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4"/>
        <w:jc w:val="left"/>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pStyle w:val="940"/>
        <w:ind w:firstLine="0"/>
        <w:jc w:val="center"/>
        <w:rPr>
          <w:rFonts w:eastAsia="黑体"/>
          <w:b/>
          <w:bCs/>
          <w:color w:val="000000"/>
          <w:sz w:val="84"/>
          <w:highlight w:val="none"/>
        </w:rPr>
      </w:pPr>
      <w:r>
        <w:rPr>
          <w:rFonts w:hint="eastAsia" w:eastAsia="黑体"/>
          <w:b/>
          <w:bCs/>
          <w:color w:val="000000"/>
          <w:sz w:val="84"/>
          <w:highlight w:val="none"/>
        </w:rPr>
        <w:t xml:space="preserve">竞争性磋商文件</w:t>
      </w:r>
      <w:r>
        <w:rPr>
          <w:rFonts w:eastAsia="黑体"/>
          <w:b/>
          <w:bCs/>
          <w:color w:val="000000"/>
          <w:sz w:val="84"/>
          <w:highlight w:val="none"/>
        </w:rPr>
      </w:r>
      <w:r/>
    </w:p>
    <w:p>
      <w:pPr>
        <w:pStyle w:val="664"/>
        <w:ind w:firstLine="1606"/>
        <w:rPr>
          <w:rFonts w:ascii="Arial" w:hAnsi="Arial"/>
          <w:b/>
          <w:bCs/>
          <w:color w:val="000000"/>
          <w:sz w:val="32"/>
          <w:szCs w:val="24"/>
          <w:highlight w:val="none"/>
          <w:u w:val="single"/>
        </w:rPr>
      </w:pPr>
      <w:r>
        <w:rPr>
          <w:rFonts w:hint="eastAsia" w:ascii="Arial" w:hAnsi="Arial"/>
          <w:b/>
          <w:bCs/>
          <w:color w:val="000000"/>
          <w:sz w:val="32"/>
          <w:szCs w:val="24"/>
          <w:highlight w:val="none"/>
        </w:rPr>
        <w:t xml:space="preserve">项目名称：六合区人民医院智慧化体检系统</w:t>
      </w:r>
      <w:r>
        <w:rPr>
          <w:rFonts w:ascii="Arial" w:hAnsi="Arial"/>
          <w:b/>
          <w:bCs/>
          <w:color w:val="000000"/>
          <w:sz w:val="32"/>
          <w:szCs w:val="24"/>
          <w:highlight w:val="none"/>
          <w:u w:val="single"/>
        </w:rPr>
      </w:r>
      <w:r/>
    </w:p>
    <w:p>
      <w:pPr>
        <w:pStyle w:val="664"/>
        <w:ind w:firstLine="1606"/>
        <w:jc w:val="left"/>
        <w:spacing w:before="120" w:after="120" w:line="360" w:lineRule="auto"/>
        <w:rPr>
          <w:color w:val="000000"/>
          <w:highlight w:val="none"/>
        </w:rPr>
      </w:pPr>
      <w:r>
        <w:rPr>
          <w:rFonts w:hint="eastAsia" w:ascii="Arial" w:hAnsi="Arial"/>
          <w:b/>
          <w:bCs/>
          <w:color w:val="000000"/>
          <w:sz w:val="32"/>
          <w:szCs w:val="24"/>
          <w:highlight w:val="none"/>
        </w:rPr>
        <w:t xml:space="preserve">项目编号：</w:t>
      </w:r>
      <w:r>
        <w:rPr>
          <w:b/>
          <w:color w:val="000000"/>
          <w:sz w:val="32"/>
          <w:szCs w:val="32"/>
          <w:highlight w:val="none"/>
        </w:rPr>
        <w:t xml:space="preserve">JSZC-320116-JZCG-C2026-0011</w:t>
      </w:r>
      <w:r>
        <w:rPr>
          <w:color w:val="000000"/>
          <w:highlight w:val="none"/>
        </w:rPr>
      </w:r>
      <w:r/>
    </w:p>
    <w:p>
      <w:pPr>
        <w:pStyle w:val="664"/>
        <w:jc w:val="center"/>
        <w:rPr>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b/>
          <w:color w:val="000000"/>
          <w:sz w:val="30"/>
          <w:szCs w:val="30"/>
          <w:highlight w:val="none"/>
        </w:rPr>
      </w:r>
      <w:r/>
    </w:p>
    <w:p>
      <w:pPr>
        <w:pStyle w:val="664"/>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64"/>
        <w:jc w:val="center"/>
        <w:spacing w:line="48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664"/>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64"/>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64"/>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64"/>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64"/>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64"/>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40"/>
        <w:ind w:firstLine="0"/>
        <w:jc w:val="center"/>
        <w:rPr>
          <w:b/>
          <w:bCs/>
          <w:color w:val="000000"/>
          <w:sz w:val="32"/>
          <w:highlight w:val="none"/>
        </w:rPr>
      </w:pPr>
      <w:r>
        <w:rPr>
          <w:rFonts w:hint="eastAsia"/>
          <w:b/>
          <w:bCs/>
          <w:color w:val="000000"/>
          <w:sz w:val="32"/>
          <w:highlight w:val="none"/>
        </w:rPr>
        <w:t xml:space="preserve">南京市公共资源交易中心六合分中心</w:t>
      </w:r>
      <w:r>
        <w:rPr>
          <w:b/>
          <w:bCs/>
          <w:color w:val="000000"/>
          <w:sz w:val="32"/>
          <w:highlight w:val="none"/>
        </w:rPr>
      </w:r>
      <w:r/>
    </w:p>
    <w:p>
      <w:pPr>
        <w:pStyle w:val="664"/>
        <w:jc w:val="center"/>
        <w:rPr>
          <w:b/>
          <w:color w:val="000000"/>
          <w:sz w:val="32"/>
          <w:szCs w:val="32"/>
          <w:highlight w:val="none"/>
        </w:rPr>
      </w:pPr>
      <w:r>
        <w:rPr>
          <w:rFonts w:hint="eastAsia"/>
          <w:b/>
          <w:color w:val="000000"/>
          <w:sz w:val="32"/>
          <w:szCs w:val="32"/>
          <w:highlight w:val="none"/>
        </w:rPr>
        <w:t xml:space="preserve">2026年6月</w:t>
      </w:r>
      <w:r>
        <w:rPr>
          <w:b/>
          <w:color w:val="000000"/>
          <w:sz w:val="32"/>
          <w:szCs w:val="32"/>
          <w:highlight w:val="none"/>
        </w:rPr>
      </w:r>
      <w:r/>
    </w:p>
    <w:p>
      <w:pPr>
        <w:pStyle w:val="664"/>
        <w:jc w:val="left"/>
        <w:spacing w:before="120" w:after="120" w:line="360" w:lineRule="auto"/>
        <w:rPr>
          <w:rFonts w:ascii="Arial" w:hAnsi="Arial"/>
          <w:color w:val="000000"/>
          <w:sz w:val="24"/>
          <w:szCs w:val="24"/>
          <w:highlight w:val="none"/>
          <w:u w:val="single"/>
        </w:rPr>
      </w:pPr>
      <w:r>
        <w:rPr>
          <w:rFonts w:hint="eastAsia" w:ascii="Arial" w:hAnsi="Arial"/>
          <w:color w:val="000000"/>
          <w:sz w:val="24"/>
          <w:szCs w:val="24"/>
          <w:highlight w:val="none"/>
        </w:rPr>
        <w:t xml:space="preserve">                   </w:t>
      </w:r>
      <w:r>
        <w:rPr>
          <w:rFonts w:ascii="Arial" w:hAnsi="Arial"/>
          <w:color w:val="000000"/>
          <w:sz w:val="24"/>
          <w:szCs w:val="24"/>
          <w:highlight w:val="none"/>
          <w:u w:val="single"/>
        </w:rPr>
      </w:r>
      <w:r/>
    </w:p>
    <w:p>
      <w:pPr>
        <w:pStyle w:val="664"/>
        <w:jc w:val="center"/>
        <w:spacing w:before="120" w:after="120" w:line="360" w:lineRule="auto"/>
        <w:rPr>
          <w:rFonts w:ascii="Arial" w:hAnsi="Arial"/>
          <w:color w:val="000000"/>
          <w:sz w:val="24"/>
          <w:szCs w:val="24"/>
          <w:highlight w:val="none"/>
        </w:rPr>
      </w:pPr>
      <w:r>
        <w:rPr>
          <w:rFonts w:ascii="Arial" w:hAnsi="Arial"/>
          <w:color w:val="000000"/>
          <w:sz w:val="24"/>
          <w:szCs w:val="24"/>
          <w:highlight w:val="none"/>
        </w:rPr>
      </w:r>
      <w:r/>
    </w:p>
    <w:p>
      <w:pPr>
        <w:pStyle w:val="664"/>
        <w:spacing w:line="480" w:lineRule="exact"/>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664"/>
        <w:jc w:val="center"/>
        <w:spacing w:line="480" w:lineRule="auto"/>
        <w:rPr>
          <w:rFonts w:ascii="黑体" w:hAnsi="Arial" w:eastAsia="黑体"/>
          <w:b/>
          <w:color w:val="000000"/>
          <w:sz w:val="44"/>
          <w:szCs w:val="21"/>
          <w:highlight w:val="none"/>
        </w:rPr>
        <w:outlineLvl w:val="0"/>
      </w:pPr>
      <w:r>
        <w:rPr>
          <w:color w:val="000000"/>
          <w:szCs w:val="21"/>
          <w:highlight w:val="none"/>
        </w:rPr>
        <w:br w:type="page" w:clear="all"/>
      </w:r>
      <w:r>
        <w:rPr>
          <w:rFonts w:hint="eastAsia" w:ascii="黑体" w:hAnsi="Arial" w:eastAsia="黑体"/>
          <w:b/>
          <w:color w:val="000000"/>
          <w:sz w:val="44"/>
          <w:szCs w:val="21"/>
          <w:highlight w:val="none"/>
        </w:rPr>
        <w:t xml:space="preserve">总  目  录</w:t>
      </w:r>
      <w:r>
        <w:rPr>
          <w:rFonts w:ascii="黑体" w:hAnsi="Arial" w:eastAsia="黑体"/>
          <w:b/>
          <w:color w:val="000000"/>
          <w:sz w:val="44"/>
          <w:szCs w:val="21"/>
          <w:highlight w:val="none"/>
        </w:rPr>
      </w:r>
      <w:r/>
    </w:p>
    <w:p>
      <w:pPr>
        <w:pStyle w:val="664"/>
        <w:spacing w:line="480" w:lineRule="auto"/>
        <w:rPr>
          <w:rFonts w:ascii="仿宋_GB2312" w:hAnsi="Arial" w:eastAsia="仿宋_GB2312"/>
          <w:b/>
          <w:color w:val="000000"/>
          <w:sz w:val="28"/>
          <w:szCs w:val="21"/>
          <w:highlight w:val="none"/>
        </w:rPr>
      </w:pPr>
      <w:r/>
      <w:bookmarkStart w:id="0" w:name="_Toc120614210"/>
      <w:r/>
      <w:bookmarkStart w:id="1" w:name="_Toc513029200"/>
      <w:r/>
      <w:bookmarkStart w:id="2" w:name="_Toc20823272"/>
      <w:r/>
      <w:bookmarkStart w:id="3" w:name="_Toc523127445"/>
      <w:r/>
      <w:bookmarkStart w:id="4" w:name="_Toc16938516"/>
      <w:r/>
      <w:bookmarkStart w:id="5" w:name="_Toc479757206"/>
      <w:r>
        <w:rPr>
          <w:rFonts w:ascii="仿宋_GB2312" w:hAnsi="Arial" w:eastAsia="仿宋_GB2312"/>
          <w:b/>
          <w:color w:val="000000"/>
          <w:sz w:val="28"/>
          <w:szCs w:val="21"/>
          <w:highlight w:val="none"/>
        </w:rPr>
      </w:r>
      <w:r/>
    </w:p>
    <w:p>
      <w:pPr>
        <w:pStyle w:val="664"/>
        <w:numPr>
          <w:ilvl w:val="0"/>
          <w:numId w:val="4"/>
        </w:numPr>
        <w:jc w:val="center"/>
        <w:spacing w:line="960" w:lineRule="auto"/>
        <w:tabs>
          <w:tab w:val="left" w:pos="1440" w:leader="none"/>
        </w:tabs>
        <w:rPr>
          <w:rFonts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磋商邀请…………………………………… </w:t>
      </w:r>
      <w:r>
        <w:rPr>
          <w:rFonts w:ascii="黑体" w:hAnsi="宋体" w:eastAsia="黑体"/>
          <w:color w:val="000000"/>
          <w:sz w:val="36"/>
          <w:szCs w:val="21"/>
          <w:highlight w:val="none"/>
        </w:rPr>
      </w:r>
      <w:r/>
    </w:p>
    <w:p>
      <w:pPr>
        <w:pStyle w:val="664"/>
        <w:numPr>
          <w:ilvl w:val="0"/>
          <w:numId w:val="4"/>
        </w:numPr>
        <w:jc w:val="center"/>
        <w:spacing w:line="960" w:lineRule="auto"/>
        <w:tabs>
          <w:tab w:val="left" w:pos="1440" w:leader="none"/>
        </w:tabs>
        <w:rPr>
          <w:rFonts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供应商须知………………………………… </w:t>
      </w:r>
      <w:r>
        <w:rPr>
          <w:rFonts w:ascii="黑体" w:hAnsi="宋体" w:eastAsia="黑体"/>
          <w:color w:val="000000"/>
          <w:sz w:val="36"/>
          <w:szCs w:val="21"/>
          <w:highlight w:val="none"/>
        </w:rPr>
      </w:r>
      <w:r/>
    </w:p>
    <w:p>
      <w:pPr>
        <w:pStyle w:val="664"/>
        <w:numPr>
          <w:ilvl w:val="0"/>
          <w:numId w:val="4"/>
        </w:numPr>
        <w:jc w:val="center"/>
        <w:spacing w:line="960" w:lineRule="auto"/>
        <w:tabs>
          <w:tab w:val="left" w:pos="1440" w:leader="none"/>
        </w:tabs>
        <w:rPr>
          <w:rFonts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合同文本……………………………………</w:t>
      </w:r>
      <w:r>
        <w:rPr>
          <w:rFonts w:ascii="黑体" w:hAnsi="宋体" w:eastAsia="黑体"/>
          <w:color w:val="000000"/>
          <w:sz w:val="36"/>
          <w:szCs w:val="21"/>
          <w:highlight w:val="none"/>
        </w:rPr>
      </w:r>
      <w:r/>
    </w:p>
    <w:p>
      <w:pPr>
        <w:pStyle w:val="664"/>
        <w:numPr>
          <w:ilvl w:val="0"/>
          <w:numId w:val="4"/>
        </w:numPr>
        <w:jc w:val="center"/>
        <w:spacing w:line="960" w:lineRule="auto"/>
        <w:tabs>
          <w:tab w:val="left" w:pos="1440" w:leader="none"/>
        </w:tabs>
        <w:rPr>
          <w:rFonts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采购需求……………………………………</w:t>
      </w:r>
      <w:r>
        <w:rPr>
          <w:rFonts w:ascii="黑体" w:hAnsi="宋体" w:eastAsia="黑体"/>
          <w:color w:val="000000"/>
          <w:sz w:val="36"/>
          <w:szCs w:val="21"/>
          <w:highlight w:val="none"/>
        </w:rPr>
      </w:r>
      <w:r/>
    </w:p>
    <w:p>
      <w:pPr>
        <w:pStyle w:val="664"/>
        <w:numPr>
          <w:ilvl w:val="0"/>
          <w:numId w:val="4"/>
        </w:numPr>
        <w:jc w:val="center"/>
        <w:spacing w:line="960" w:lineRule="auto"/>
        <w:tabs>
          <w:tab w:val="left" w:pos="1440" w:leader="none"/>
        </w:tabs>
        <w:rPr>
          <w:rFonts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评审方法与评审标准………………………</w:t>
      </w:r>
      <w:r>
        <w:rPr>
          <w:rFonts w:ascii="黑体" w:hAnsi="宋体" w:eastAsia="黑体"/>
          <w:color w:val="000000"/>
          <w:sz w:val="36"/>
          <w:szCs w:val="21"/>
          <w:highlight w:val="none"/>
        </w:rPr>
      </w:r>
      <w:r/>
    </w:p>
    <w:p>
      <w:pPr>
        <w:pStyle w:val="664"/>
        <w:numPr>
          <w:ilvl w:val="0"/>
          <w:numId w:val="4"/>
        </w:numPr>
        <w:jc w:val="center"/>
        <w:spacing w:line="960" w:lineRule="auto"/>
        <w:tabs>
          <w:tab w:val="left" w:pos="1440" w:leader="none"/>
        </w:tabs>
        <w:rPr>
          <w:rFonts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响应文件格式………………………………</w:t>
      </w:r>
      <w:r>
        <w:rPr>
          <w:rFonts w:ascii="黑体" w:hAnsi="宋体" w:eastAsia="黑体"/>
          <w:color w:val="000000"/>
          <w:sz w:val="36"/>
          <w:szCs w:val="21"/>
          <w:highlight w:val="none"/>
        </w:rPr>
      </w:r>
      <w:r/>
    </w:p>
    <w:p>
      <w:pPr>
        <w:pStyle w:val="664"/>
        <w:rPr>
          <w:color w:val="000000"/>
          <w:szCs w:val="21"/>
          <w:highlight w:val="none"/>
        </w:rPr>
      </w:pPr>
      <w:r>
        <w:rPr>
          <w:color w:val="000000"/>
          <w:szCs w:val="21"/>
          <w:highlight w:val="none"/>
        </w:rPr>
      </w:r>
      <w:r/>
    </w:p>
    <w:p>
      <w:pPr>
        <w:pStyle w:val="664"/>
        <w:rPr>
          <w:color w:val="000000"/>
          <w:szCs w:val="21"/>
          <w:highlight w:val="none"/>
        </w:rPr>
      </w:pPr>
      <w:r>
        <w:rPr>
          <w:color w:val="000000"/>
          <w:szCs w:val="21"/>
          <w:highlight w:val="none"/>
        </w:rPr>
      </w:r>
      <w:r/>
    </w:p>
    <w:p>
      <w:pPr>
        <w:pStyle w:val="664"/>
        <w:rPr>
          <w:color w:val="000000"/>
          <w:szCs w:val="21"/>
          <w:highlight w:val="none"/>
        </w:rPr>
      </w:pPr>
      <w:r>
        <w:rPr>
          <w:color w:val="000000"/>
          <w:szCs w:val="21"/>
          <w:highlight w:val="none"/>
        </w:rPr>
      </w:r>
      <w:r/>
    </w:p>
    <w:p>
      <w:pPr>
        <w:pStyle w:val="664"/>
        <w:ind w:right="840"/>
        <w:jc w:val="center"/>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磋商邀请</w:t>
      </w:r>
      <w:r>
        <w:rPr>
          <w:rFonts w:ascii="方正小标宋简体" w:hAnsi="方正小标宋简体" w:eastAsia="方正小标宋简体" w:cs="方正小标宋简体"/>
          <w:color w:val="000000"/>
          <w:sz w:val="36"/>
          <w:szCs w:val="36"/>
          <w:highlight w:val="none"/>
        </w:rPr>
      </w:r>
      <w:r/>
    </w:p>
    <w:p>
      <w:pPr>
        <w:pStyle w:val="664"/>
        <w:ind w:firstLine="480"/>
        <w:rPr>
          <w:rFonts w:ascii="宋体" w:hAnsi="宋体"/>
          <w:color w:val="000000"/>
          <w:sz w:val="24"/>
          <w:szCs w:val="24"/>
          <w:highlight w:val="none"/>
        </w:rPr>
      </w:pPr>
      <w:r>
        <w:rPr>
          <w:rFonts w:ascii="宋体" w:hAnsi="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受南京市六合区人民医院（采购单位）委托，南京市公共资源交易中心六合分中心（以下简称“交易中心”）就六合区人民医院智慧化体检系统（项目名称）进行竞争性磋商采购，欢迎符合条件的供应商参加磋商。</w:t>
      </w:r>
      <w:r>
        <w:rPr>
          <w:rFonts w:ascii="宋体" w:hAnsi="宋体"/>
          <w:color w:val="000000"/>
          <w:sz w:val="24"/>
          <w:szCs w:val="24"/>
          <w:highlight w:val="none"/>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ascii="方正黑体_GBK" w:hAnsi="方正黑体_GBK" w:eastAsia="方正黑体_GBK" w:cs="方正黑体_GBK"/>
          <w:b w:val="0"/>
          <w:bCs w:val="0"/>
          <w:color w:val="000000"/>
          <w:sz w:val="30"/>
          <w:szCs w:val="30"/>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ascii="宋体" w:hAnsi="宋体"/>
          <w:color w:val="000000"/>
          <w:sz w:val="24"/>
          <w:szCs w:val="24"/>
          <w:highlight w:val="none"/>
        </w:rPr>
        <w:t xml:space="preserve">JSZC-320116-JZCG-C2026-0011</w:t>
      </w:r>
      <w:r>
        <w:rPr>
          <w:rFonts w:ascii="宋体" w:hAnsi="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2.项目名称：六合区人民医院智慧化体检系统</w:t>
      </w:r>
      <w:r>
        <w:rPr>
          <w:rFonts w:ascii="宋体" w:hAnsi="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s="宋体"/>
          <w:color w:val="000000"/>
          <w:sz w:val="24"/>
          <w:szCs w:val="24"/>
          <w:highlight w:val="none"/>
        </w:rPr>
        <w:t xml:space="preserve">120万元</w:t>
      </w:r>
      <w:r>
        <w:rPr>
          <w:rFonts w:ascii="宋体" w:hAnsi="宋体"/>
          <w:color w:val="000000"/>
          <w:sz w:val="24"/>
          <w:szCs w:val="24"/>
          <w:highlight w:val="none"/>
        </w:rPr>
      </w:r>
      <w:r/>
    </w:p>
    <w:p>
      <w:pPr>
        <w:pStyle w:val="664"/>
        <w:ind w:firstLine="480"/>
        <w:rPr>
          <w:rFonts w:ascii="宋体" w:hAnsi="宋体" w:cs="宋体"/>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s="宋体"/>
          <w:color w:val="000000"/>
          <w:sz w:val="24"/>
          <w:szCs w:val="24"/>
          <w:highlight w:val="none"/>
        </w:rPr>
        <w:t xml:space="preserve">116万元</w:t>
      </w:r>
      <w:r>
        <w:rPr>
          <w:rFonts w:ascii="宋体" w:hAnsi="宋体" w:cs="宋体"/>
          <w:color w:val="000000"/>
          <w:sz w:val="24"/>
          <w:szCs w:val="24"/>
          <w:highlight w:val="none"/>
        </w:rPr>
      </w:r>
      <w:r/>
    </w:p>
    <w:p>
      <w:pPr>
        <w:pStyle w:val="664"/>
        <w:ind w:firstLine="480"/>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5.采购需求（简介）：采购智慧化体检系统一套，建设内容包括：检前预约排期、全流程智能导诊、检中体检系统、检后随访等。</w:t>
      </w:r>
      <w:r>
        <w:rPr>
          <w:rFonts w:hint="eastAsia" w:ascii="宋体" w:hAnsi="宋体" w:cs="宋体"/>
          <w:color w:val="000000"/>
          <w:sz w:val="24"/>
          <w:szCs w:val="24"/>
          <w:highlight w:val="none"/>
        </w:rPr>
        <w:t xml:space="preserve">（详细内容见本磋商文件第四章） </w:t>
      </w:r>
      <w:r>
        <w:rPr>
          <w:rFonts w:ascii="宋体" w:hAnsi="宋体"/>
          <w:color w:val="000000"/>
          <w:sz w:val="24"/>
          <w:szCs w:val="24"/>
          <w:highlight w:val="none"/>
          <w:u w:val="single"/>
        </w:rPr>
      </w:r>
      <w:r/>
    </w:p>
    <w:p>
      <w:pPr>
        <w:pStyle w:val="664"/>
        <w:ind w:firstLine="480"/>
        <w:rPr>
          <w:rFonts w:ascii="宋体" w:hAnsi="宋体" w:cs="宋体"/>
          <w:color w:val="000000"/>
          <w:sz w:val="24"/>
          <w:szCs w:val="24"/>
          <w:highlight w:val="none"/>
        </w:rPr>
      </w:pPr>
      <w:r>
        <w:rPr>
          <w:rFonts w:hint="eastAsia" w:ascii="宋体" w:hAnsi="宋体"/>
          <w:color w:val="000000"/>
          <w:sz w:val="24"/>
          <w:szCs w:val="24"/>
          <w:highlight w:val="none"/>
        </w:rPr>
        <w:t xml:space="preserve">6.合同履行期限：90天</w:t>
      </w:r>
      <w:r>
        <w:rPr>
          <w:rFonts w:ascii="宋体" w:hAnsi="宋体" w:cs="宋体"/>
          <w:color w:val="000000"/>
          <w:sz w:val="24"/>
          <w:szCs w:val="24"/>
          <w:highlight w:val="none"/>
        </w:rPr>
      </w:r>
      <w:r/>
    </w:p>
    <w:p>
      <w:pPr>
        <w:pStyle w:val="664"/>
        <w:ind w:firstLine="480"/>
        <w:rPr>
          <w:rFonts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本项目不接受联合体参加磋商。</w:t>
      </w:r>
      <w:r>
        <w:rPr>
          <w:rFonts w:ascii="宋体" w:hAnsi="宋体" w:cs="宋体"/>
          <w:color w:val="000000"/>
          <w:sz w:val="24"/>
          <w:szCs w:val="24"/>
          <w:highlight w:val="none"/>
        </w:rPr>
      </w:r>
      <w:r/>
    </w:p>
    <w:p>
      <w:pPr>
        <w:pStyle w:val="664"/>
        <w:ind w:firstLine="480"/>
        <w:widowControl/>
        <w:rPr>
          <w:rFonts w:ascii="宋体" w:hAnsi="宋体"/>
          <w:color w:val="000000"/>
          <w:sz w:val="24"/>
          <w:szCs w:val="24"/>
          <w:highlight w:val="none"/>
        </w:rPr>
      </w:pPr>
      <w:r>
        <w:rPr>
          <w:rFonts w:hint="eastAsia" w:ascii="宋体" w:hAnsi="宋体" w:cs="宋体"/>
          <w:color w:val="000000"/>
          <w:sz w:val="24"/>
          <w:szCs w:val="24"/>
          <w:highlight w:val="none"/>
        </w:rPr>
        <w:t xml:space="preserve">8.本项目不接受进口产品。</w:t>
      </w:r>
      <w:r>
        <w:rPr>
          <w:rFonts w:ascii="宋体" w:hAnsi="宋体"/>
          <w:color w:val="000000"/>
          <w:sz w:val="24"/>
          <w:szCs w:val="24"/>
          <w:highlight w:val="none"/>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ascii="方正黑体_GBK" w:hAnsi="方正黑体_GBK" w:eastAsia="方正黑体_GBK" w:cs="方正黑体_GBK"/>
          <w:b w:val="0"/>
          <w:bCs w:val="0"/>
          <w:color w:val="000000"/>
          <w:sz w:val="30"/>
          <w:szCs w:val="30"/>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ascii="宋体" w:hAnsi="宋体"/>
          <w:color w:val="000000"/>
          <w:sz w:val="24"/>
          <w:szCs w:val="24"/>
          <w:highlight w:val="none"/>
        </w:rPr>
      </w:r>
      <w:r/>
    </w:p>
    <w:p>
      <w:pPr>
        <w:pStyle w:val="664"/>
        <w:ind w:firstLine="480"/>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1.满足《中华人民共和国政府采购法》第二十二条规定，并提供下列材料：</w:t>
      </w:r>
      <w:r>
        <w:rPr>
          <w:rFonts w:ascii="宋体" w:hAnsi="宋体"/>
          <w:color w:val="000000"/>
          <w:sz w:val="24"/>
          <w:szCs w:val="24"/>
          <w:highlight w:val="none"/>
          <w:lang w:val="zh-CN"/>
        </w:rPr>
      </w:r>
      <w:r/>
    </w:p>
    <w:p>
      <w:pPr>
        <w:pStyle w:val="664"/>
        <w:ind w:firstLine="480"/>
        <w:rPr>
          <w:rFonts w:ascii="宋体" w:hAnsi="宋体"/>
          <w:color w:val="000000"/>
          <w:sz w:val="24"/>
          <w:szCs w:val="24"/>
          <w:highlight w:val="none"/>
          <w:lang w:val="zh-CN"/>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rPr>
          <w:rFonts w:ascii="宋体" w:hAnsi="宋体"/>
          <w:color w:val="000000"/>
          <w:sz w:val="24"/>
          <w:szCs w:val="24"/>
          <w:highlight w:val="none"/>
          <w:lang w:val="zh-CN"/>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lang w:val="zh-CN"/>
        </w:rPr>
        <w:t xml:space="preserve">2.落实政府采购政策需满足的资格要求：无</w:t>
      </w:r>
      <w:r>
        <w:rPr>
          <w:rFonts w:ascii="宋体" w:hAnsi="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rPr>
          <w:rFonts w:ascii="宋体" w:hAnsi="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（二）本项目的特定资格要求：无</w:t>
      </w:r>
      <w:r>
        <w:rPr>
          <w:rFonts w:ascii="宋体" w:hAnsi="宋体"/>
          <w:color w:val="000000"/>
          <w:sz w:val="24"/>
          <w:szCs w:val="24"/>
          <w:highlight w:val="none"/>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ascii="方正黑体_GBK" w:hAnsi="方正黑体_GBK" w:eastAsia="方正黑体_GBK" w:cs="方正黑体_GBK"/>
          <w:b w:val="0"/>
          <w:bCs w:val="0"/>
          <w:color w:val="000000"/>
          <w:sz w:val="30"/>
          <w:szCs w:val="30"/>
          <w:highlight w:val="none"/>
        </w:rPr>
      </w:r>
      <w:r/>
    </w:p>
    <w:p>
      <w:pPr>
        <w:pStyle w:val="664"/>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1.时间：自磋商文件公告发布之日起。</w:t>
      </w:r>
      <w:r>
        <w:rPr>
          <w:rFonts w:ascii="宋体" w:hAnsi="宋体" w:cs="宋体"/>
          <w:color w:val="000000"/>
          <w:sz w:val="24"/>
          <w:szCs w:val="24"/>
          <w:highlight w:val="none"/>
        </w:rPr>
      </w:r>
      <w:r/>
    </w:p>
    <w:p>
      <w:pPr>
        <w:pStyle w:val="664"/>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ascii="方正黑体_GBK" w:hAnsi="方正黑体_GBK" w:eastAsia="方正黑体_GBK" w:cs="方正黑体_GBK"/>
          <w:b w:val="0"/>
          <w:bCs w:val="0"/>
          <w:color w:val="000000"/>
          <w:sz w:val="30"/>
          <w:szCs w:val="30"/>
          <w:highlight w:val="none"/>
        </w:rPr>
      </w:r>
      <w:r/>
    </w:p>
    <w:p>
      <w:pPr>
        <w:pStyle w:val="664"/>
        <w:rPr>
          <w:rFonts w:ascii="宋体" w:hAnsi="宋体"/>
          <w:color w:val="000000"/>
          <w:sz w:val="24"/>
          <w:szCs w:val="24"/>
          <w:highlight w:val="none"/>
        </w:rPr>
      </w:pPr>
      <w:r>
        <w:rPr>
          <w:rFonts w:hint="eastAsia" w:ascii="宋体" w:hAnsi="宋体" w:cs="宋体"/>
          <w:color w:val="000000"/>
          <w:sz w:val="24"/>
          <w:szCs w:val="24"/>
          <w:highlight w:val="none"/>
        </w:rPr>
        <w:t xml:space="preserve">    2026</w:t>
      </w:r>
      <w:r>
        <w:rPr>
          <w:rFonts w:hint="eastAsia" w:ascii="宋体" w:hAnsi="宋体"/>
          <w:color w:val="000000"/>
          <w:sz w:val="24"/>
          <w:szCs w:val="24"/>
          <w:highlight w:val="none"/>
        </w:rPr>
        <w:t xml:space="preserve">年</w:t>
      </w:r>
      <w:r>
        <w:rPr>
          <w:rFonts w:hint="eastAsia" w:ascii="宋体" w:hAnsi="宋体" w:cs="宋体"/>
          <w:color w:val="000000"/>
          <w:sz w:val="24"/>
          <w:szCs w:val="24"/>
          <w:highlight w:val="none"/>
        </w:rPr>
        <w:t xml:space="preserve">6</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16</w:t>
      </w:r>
      <w:r>
        <w:rPr>
          <w:rFonts w:hint="eastAsia" w:ascii="宋体" w:hAnsi="宋体"/>
          <w:color w:val="000000"/>
          <w:sz w:val="24"/>
          <w:szCs w:val="24"/>
          <w:highlight w:val="none"/>
        </w:rPr>
        <w:t xml:space="preserve">日</w:t>
      </w:r>
      <w:r>
        <w:rPr>
          <w:rFonts w:hint="eastAsia" w:ascii="宋体" w:hAnsi="宋体" w:cs="宋体"/>
          <w:color w:val="000000"/>
          <w:sz w:val="24"/>
          <w:szCs w:val="24"/>
          <w:highlight w:val="none"/>
        </w:rPr>
        <w:t xml:space="preserve">09</w:t>
      </w:r>
      <w:r>
        <w:rPr>
          <w:rFonts w:hint="eastAsia"/>
          <w:color w:val="000000"/>
          <w:sz w:val="24"/>
          <w:szCs w:val="24"/>
          <w:highlight w:val="none"/>
        </w:rPr>
        <w:t xml:space="preserve">时</w:t>
      </w:r>
      <w:r>
        <w:rPr>
          <w:rFonts w:hint="eastAsia" w:ascii="宋体" w:hAnsi="宋体" w:cs="宋体"/>
          <w:color w:val="000000"/>
          <w:sz w:val="24"/>
          <w:szCs w:val="24"/>
          <w:highlight w:val="none"/>
        </w:rPr>
        <w:t xml:space="preserve">00</w:t>
      </w:r>
      <w:r>
        <w:rPr>
          <w:rFonts w:hint="eastAsia" w:ascii="宋体" w:hAnsi="宋体"/>
          <w:color w:val="000000"/>
          <w:sz w:val="24"/>
          <w:szCs w:val="24"/>
          <w:highlight w:val="none"/>
        </w:rPr>
        <w:t xml:space="preserve">分（北京时间）。</w:t>
      </w:r>
      <w:r>
        <w:rPr>
          <w:rFonts w:ascii="宋体" w:hAnsi="宋体"/>
          <w:color w:val="000000"/>
          <w:sz w:val="24"/>
          <w:szCs w:val="24"/>
          <w:highlight w:val="none"/>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ascii="方正黑体_GBK" w:hAnsi="方正黑体_GBK" w:eastAsia="方正黑体_GBK" w:cs="方正黑体_GBK"/>
          <w:b w:val="0"/>
          <w:bCs w:val="0"/>
          <w:color w:val="000000"/>
          <w:sz w:val="30"/>
          <w:szCs w:val="30"/>
          <w:highlight w:val="none"/>
        </w:rPr>
      </w:r>
      <w:r/>
    </w:p>
    <w:p>
      <w:pPr>
        <w:pStyle w:val="664"/>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ascii="方正黑体_GBK" w:hAnsi="方正黑体_GBK" w:eastAsia="方正黑体_GBK" w:cs="方正黑体_GBK"/>
          <w:b w:val="0"/>
          <w:bCs w:val="0"/>
          <w:color w:val="000000"/>
          <w:sz w:val="30"/>
          <w:szCs w:val="30"/>
          <w:highlight w:val="none"/>
        </w:rPr>
      </w:r>
      <w:r/>
    </w:p>
    <w:p>
      <w:pPr>
        <w:pStyle w:val="664"/>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1.本次磋商不收取磋商保证金。</w:t>
      </w:r>
      <w:r>
        <w:rPr>
          <w:rFonts w:ascii="宋体" w:hAnsi="宋体" w:cs="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2.本项目不组织勘察及答疑，供应商如对采购需求有疑问，请咨询采购单位联系人。 </w:t>
      </w:r>
      <w:r>
        <w:rPr>
          <w:rFonts w:ascii="宋体" w:hAnsi="宋体"/>
          <w:color w:val="000000"/>
          <w:sz w:val="24"/>
          <w:szCs w:val="24"/>
          <w:highlight w:val="none"/>
        </w:rPr>
      </w:r>
      <w:r/>
    </w:p>
    <w:p>
      <w:pPr>
        <w:pStyle w:val="664"/>
        <w:ind w:firstLine="480"/>
        <w:rPr>
          <w:color w:val="000000"/>
          <w:highlight w:val="none"/>
        </w:rPr>
      </w:pPr>
      <w:r>
        <w:rPr>
          <w:rFonts w:hint="eastAsia" w:ascii="宋体" w:hAnsi="宋体" w:cs="宋体"/>
          <w:color w:val="000000"/>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rPr>
          <w:color w:val="000000"/>
          <w:highlight w:val="none"/>
        </w:rPr>
      </w:r>
      <w:r/>
    </w:p>
    <w:p>
      <w:pPr>
        <w:pStyle w:val="664"/>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4.有关本次采购的事项若存在变动或修改，请及时关注“江苏政府采购网”（www.ccgp-jiangsu.gov.cn）更正公告。</w:t>
      </w:r>
      <w:r>
        <w:rPr>
          <w:rFonts w:ascii="宋体" w:hAnsi="宋体" w:cs="宋体"/>
          <w:color w:val="000000"/>
          <w:sz w:val="24"/>
          <w:szCs w:val="24"/>
          <w:highlight w:val="none"/>
        </w:rPr>
      </w:r>
      <w:r/>
    </w:p>
    <w:p>
      <w:pPr>
        <w:pStyle w:val="664"/>
        <w:ind w:firstLine="482"/>
        <w:rPr>
          <w:rFonts w:ascii="宋体" w:hAnsi="宋体"/>
          <w:color w:val="000000"/>
          <w:sz w:val="24"/>
          <w:highlight w:val="none"/>
          <w:lang w:val="zh-CN"/>
        </w:rPr>
      </w:pPr>
      <w:r>
        <w:rPr>
          <w:rFonts w:hint="eastAsia" w:ascii="宋体" w:hAnsi="宋体" w:cs="宋体"/>
          <w:b/>
          <w:bCs/>
          <w:color w:val="000000"/>
          <w:sz w:val="24"/>
          <w:szCs w:val="24"/>
          <w:highlight w:val="none"/>
        </w:rPr>
        <w:t xml:space="preserve">5.</w:t>
      </w:r>
      <w:r>
        <w:rPr>
          <w:rFonts w:hint="eastAsia" w:ascii="宋体" w:hAnsi="宋体"/>
          <w:b/>
          <w:bCs/>
          <w:color w:val="000000"/>
          <w:sz w:val="24"/>
          <w:highlight w:val="none"/>
          <w:lang w:val="zh-CN"/>
        </w:rPr>
        <w:t xml:space="preserve">供应商（含潜在供应商）对采购方式、采购需求、供应商资格条件、评</w:t>
      </w:r>
      <w:r>
        <w:rPr>
          <w:rFonts w:hint="eastAsia" w:ascii="宋体" w:hAnsi="宋体"/>
          <w:b/>
          <w:bCs/>
          <w:color w:val="000000"/>
          <w:sz w:val="24"/>
          <w:highlight w:val="none"/>
        </w:rPr>
        <w:t xml:space="preserve">审</w:t>
      </w:r>
      <w:r>
        <w:rPr>
          <w:rFonts w:hint="eastAsia" w:ascii="宋体" w:hAnsi="宋体"/>
          <w:b/>
          <w:bCs/>
          <w:color w:val="000000"/>
          <w:sz w:val="24"/>
          <w:highlight w:val="none"/>
          <w:lang w:val="zh-CN"/>
        </w:rPr>
        <w:t xml:space="preserve">方法和评</w:t>
      </w:r>
      <w:r>
        <w:rPr>
          <w:rFonts w:hint="eastAsia" w:ascii="宋体" w:hAnsi="宋体"/>
          <w:b/>
          <w:bCs/>
          <w:color w:val="000000"/>
          <w:sz w:val="24"/>
          <w:highlight w:val="none"/>
        </w:rPr>
        <w:t xml:space="preserve">审</w:t>
      </w:r>
      <w:r>
        <w:rPr>
          <w:rFonts w:hint="eastAsia" w:ascii="宋体" w:hAnsi="宋体"/>
          <w:b/>
          <w:bCs/>
          <w:color w:val="000000"/>
          <w:sz w:val="24"/>
          <w:highlight w:val="none"/>
          <w:lang w:val="zh-CN"/>
        </w:rPr>
        <w:t xml:space="preserve">标准、合同文本的询问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rPr>
        <w:t xml:space="preserve">供应商对上述事项以外</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质疑向交易中心提出，由交易中心负责答复。</w:t>
      </w:r>
      <w:r>
        <w:rPr>
          <w:rFonts w:ascii="宋体" w:hAnsi="宋体"/>
          <w:color w:val="000000"/>
          <w:sz w:val="24"/>
          <w:highlight w:val="none"/>
          <w:lang w:val="zh-CN"/>
        </w:rPr>
      </w:r>
      <w:r/>
    </w:p>
    <w:p>
      <w:pPr>
        <w:pStyle w:val="664"/>
        <w:ind w:firstLine="480"/>
        <w:spacing w:line="252" w:lineRule="auto"/>
        <w:rPr>
          <w:rFonts w:ascii="宋体" w:hAnsi="宋体"/>
          <w:color w:val="000000"/>
          <w:sz w:val="24"/>
          <w:highlight w:val="none"/>
        </w:rPr>
      </w:pPr>
      <w:r>
        <w:rPr>
          <w:rFonts w:hint="eastAsia" w:ascii="宋体" w:hAnsi="宋体"/>
          <w:color w:val="000000"/>
          <w:sz w:val="24"/>
          <w:highlight w:val="none"/>
        </w:rPr>
        <w:t xml:space="preserve">采购人《质疑函》收件人：伍丹丹，收件地址：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rPr>
        <w:t xml:space="preserve">六合</w:t>
      </w:r>
      <w:r>
        <w:rPr>
          <w:rFonts w:hint="eastAsia" w:ascii="宋体" w:hAnsi="宋体" w:cs="宋体"/>
          <w:color w:val="000000"/>
          <w:sz w:val="24"/>
          <w:szCs w:val="24"/>
          <w:highlight w:val="none"/>
        </w:rPr>
        <w:t xml:space="preserve">区</w:t>
      </w:r>
      <w:r>
        <w:rPr>
          <w:rFonts w:hint="eastAsia" w:ascii="宋体" w:hAnsi="宋体"/>
          <w:color w:val="000000"/>
          <w:sz w:val="24"/>
          <w:szCs w:val="24"/>
          <w:highlight w:val="none"/>
        </w:rPr>
        <w:t xml:space="preserve">雄州街道健康巷9号</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联系电话：57123713。</w:t>
      </w:r>
      <w:r>
        <w:rPr>
          <w:rFonts w:ascii="宋体" w:hAnsi="宋体"/>
          <w:color w:val="000000"/>
          <w:sz w:val="24"/>
          <w:highlight w:val="none"/>
        </w:rPr>
      </w:r>
      <w:r/>
    </w:p>
    <w:p>
      <w:pPr>
        <w:pStyle w:val="664"/>
        <w:ind w:firstLine="480"/>
        <w:widowControl/>
        <w:rPr>
          <w:rFonts w:ascii="宋体" w:hAnsi="宋体"/>
          <w:color w:val="000000"/>
          <w:sz w:val="24"/>
          <w:highlight w:val="none"/>
          <w:lang w:val="zh-CN"/>
        </w:rPr>
      </w:pPr>
      <w:r>
        <w:rPr>
          <w:rFonts w:hint="eastAsia" w:ascii="宋体" w:hAnsi="宋体"/>
          <w:color w:val="000000"/>
          <w:sz w:val="24"/>
          <w:highlight w:val="none"/>
          <w:lang w:val="zh-CN"/>
        </w:rPr>
        <w:t xml:space="preserve">交易中心《质疑函》收件人：交易中心质疑接收部门为业务受理科（快递运单上的收件人填写“业务受理科”即可），联系地址：南京市六合区雄州街道龙池路333号市民中心四楼业务受理科，联系电话：025-57130508。</w:t>
      </w:r>
      <w:r>
        <w:rPr>
          <w:rFonts w:ascii="宋体" w:hAnsi="宋体"/>
          <w:color w:val="000000"/>
          <w:sz w:val="24"/>
          <w:highlight w:val="none"/>
          <w:lang w:val="zh-CN"/>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ascii="方正黑体_GBK" w:hAnsi="方正黑体_GBK" w:eastAsia="方正黑体_GBK" w:cs="方正黑体_GBK"/>
          <w:b w:val="0"/>
          <w:bCs w:val="0"/>
          <w:color w:val="000000"/>
          <w:sz w:val="30"/>
          <w:szCs w:val="30"/>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1.采购人</w:t>
      </w:r>
      <w:r>
        <w:rPr>
          <w:rFonts w:ascii="宋体" w:hAnsi="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名  称：南京市六合区人民医院         </w:t>
      </w:r>
      <w:r>
        <w:rPr>
          <w:rFonts w:ascii="宋体" w:hAnsi="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rPr>
        <w:t xml:space="preserve">六合</w:t>
      </w:r>
      <w:r>
        <w:rPr>
          <w:rFonts w:hint="eastAsia" w:ascii="宋体" w:hAnsi="宋体" w:cs="宋体"/>
          <w:color w:val="000000"/>
          <w:sz w:val="24"/>
          <w:szCs w:val="24"/>
          <w:highlight w:val="none"/>
        </w:rPr>
        <w:t xml:space="preserve">区</w:t>
      </w:r>
      <w:r>
        <w:rPr>
          <w:rFonts w:hint="eastAsia" w:ascii="宋体" w:hAnsi="宋体"/>
          <w:color w:val="000000"/>
          <w:sz w:val="24"/>
          <w:szCs w:val="24"/>
          <w:highlight w:val="none"/>
        </w:rPr>
        <w:t xml:space="preserve">雄州街道健康巷9</w:t>
      </w:r>
      <w:r>
        <w:rPr>
          <w:rFonts w:hint="eastAsia" w:ascii="宋体" w:hAnsi="宋体" w:cs="宋体"/>
          <w:color w:val="000000"/>
          <w:sz w:val="24"/>
          <w:szCs w:val="24"/>
          <w:highlight w:val="none"/>
        </w:rPr>
        <w:t xml:space="preserve">号</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联系人：伍丹丹 </w:t>
      </w:r>
      <w:r>
        <w:rPr>
          <w:rFonts w:ascii="宋体" w:hAnsi="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联系电话：025-</w:t>
      </w:r>
      <w:bookmarkStart w:id="6" w:name="_Toc28359086"/>
      <w:r/>
      <w:bookmarkStart w:id="7" w:name="_Toc28359009"/>
      <w:r>
        <w:rPr>
          <w:rFonts w:hint="eastAsia" w:ascii="宋体" w:hAnsi="宋体"/>
          <w:color w:val="000000"/>
          <w:sz w:val="24"/>
          <w:szCs w:val="24"/>
          <w:highlight w:val="none"/>
        </w:rPr>
        <w:t xml:space="preserve">57123713</w:t>
      </w:r>
      <w:r>
        <w:rPr>
          <w:rFonts w:ascii="宋体" w:hAnsi="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2.交易中心</w:t>
      </w:r>
      <w:bookmarkEnd w:id="6"/>
      <w:r/>
      <w:bookmarkEnd w:id="7"/>
      <w:r>
        <w:rPr>
          <w:rFonts w:ascii="宋体" w:hAnsi="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地  址：南京市六合区雄州街道龙池路333号  </w:t>
      </w:r>
      <w:r>
        <w:rPr>
          <w:rFonts w:ascii="宋体" w:hAnsi="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联系人：温老师</w:t>
      </w:r>
      <w:r>
        <w:rPr>
          <w:rFonts w:ascii="宋体" w:hAnsi="宋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olor w:val="000000"/>
          <w:sz w:val="24"/>
          <w:szCs w:val="24"/>
          <w:highlight w:val="none"/>
        </w:rPr>
        <w:t xml:space="preserve">联系电话：025-57130501</w:t>
      </w:r>
      <w:r>
        <w:rPr>
          <w:rFonts w:ascii="宋体" w:hAnsi="宋体"/>
          <w:color w:val="000000"/>
          <w:sz w:val="24"/>
          <w:szCs w:val="24"/>
          <w:highlight w:val="none"/>
        </w:rPr>
      </w:r>
      <w:r/>
    </w:p>
    <w:p>
      <w:pPr>
        <w:pStyle w:val="713"/>
        <w:rPr>
          <w:color w:val="000000"/>
          <w:highlight w:val="none"/>
        </w:rPr>
      </w:pPr>
      <w:r>
        <w:rPr>
          <w:color w:val="000000"/>
          <w:highlight w:val="none"/>
        </w:rPr>
      </w:r>
      <w:r/>
    </w:p>
    <w:p>
      <w:pPr>
        <w:pStyle w:val="664"/>
        <w:ind w:right="840"/>
        <w:jc w:val="center"/>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第二章  供应商须知</w:t>
      </w:r>
      <w:r>
        <w:rPr>
          <w:rFonts w:ascii="方正小标宋简体" w:hAnsi="方正小标宋简体" w:eastAsia="方正小标宋简体" w:cs="方正小标宋简体"/>
          <w:color w:val="000000"/>
          <w:sz w:val="36"/>
          <w:szCs w:val="36"/>
          <w:highlight w:val="none"/>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bookmarkStart w:id="8" w:name="_Toc513029203"/>
      <w:r/>
      <w:bookmarkStart w:id="9" w:name="_Toc20823275"/>
      <w:r/>
      <w:bookmarkStart w:id="10" w:name="_Toc120614214"/>
      <w:r/>
      <w:bookmarkStart w:id="11" w:name="_Toc16938519"/>
      <w:r>
        <w:rPr>
          <w:rFonts w:hint="eastAsia" w:ascii="方正黑体_GBK" w:hAnsi="方正黑体_GBK" w:eastAsia="方正黑体_GBK" w:cs="方正黑体_GBK"/>
          <w:b w:val="0"/>
          <w:bCs w:val="0"/>
          <w:color w:val="000000"/>
          <w:sz w:val="30"/>
          <w:szCs w:val="30"/>
          <w:highlight w:val="none"/>
        </w:rPr>
        <w:t xml:space="preserve">一、总则</w:t>
      </w:r>
      <w:r>
        <w:rPr>
          <w:rFonts w:ascii="方正黑体_GBK" w:hAnsi="方正黑体_GBK" w:eastAsia="方正黑体_GBK" w:cs="方正黑体_GBK"/>
          <w:b w:val="0"/>
          <w:bCs w:val="0"/>
          <w:color w:val="000000"/>
          <w:sz w:val="30"/>
          <w:szCs w:val="30"/>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1.采购方式</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本次政府采购活动采取竞争性磋商(以下简称“磋商”)方式，本文件仅适用于采购公告中所述项目。</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2.合格的供应商</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2.1 满足采购公告对供应商资格要求的规定。</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2.2 满足磋商文件规定的实质性要求和条件。</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3.适用法律</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3.1 本次采购及由此产生的合同受中华人民共和国有关的法律法规制约和保护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4.磋商费用</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4.1 供应商应自行承担所有与参加采购有关的费用，无论采购过程中的做法和结果如何，</w:t>
      </w:r>
      <w:r>
        <w:rPr>
          <w:rFonts w:hint="eastAsia" w:ascii="宋体" w:hAnsi="宋体"/>
          <w:color w:val="000000"/>
          <w:sz w:val="24"/>
          <w:highlight w:val="none"/>
        </w:rPr>
        <w:t xml:space="preserve">交易中心</w:t>
      </w:r>
      <w:r>
        <w:rPr>
          <w:rFonts w:hint="eastAsia" w:ascii="宋体" w:hAnsi="宋体"/>
          <w:color w:val="000000"/>
          <w:sz w:val="24"/>
          <w:szCs w:val="21"/>
          <w:highlight w:val="none"/>
        </w:rPr>
        <w:t xml:space="preserve">在任何情况下均无义务和责任承担这些费用。</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4.2 本次采购交易中心和采购人不收取磋商文件工本费与成交服务费。</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5.磋商文件的约束力</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5.1 供应商一旦参加本项目采购活动，即被认为接受了本文件的规定和约束。</w:t>
      </w:r>
      <w:r>
        <w:rPr>
          <w:rFonts w:ascii="宋体" w:hAnsi="宋体"/>
          <w:color w:val="000000"/>
          <w:sz w:val="24"/>
          <w:szCs w:val="21"/>
          <w:highlight w:val="none"/>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二、磋商文件</w:t>
      </w:r>
      <w:r>
        <w:rPr>
          <w:rFonts w:ascii="方正黑体_GBK" w:hAnsi="方正黑体_GBK" w:eastAsia="方正黑体_GBK" w:cs="方正黑体_GBK"/>
          <w:b w:val="0"/>
          <w:bCs w:val="0"/>
          <w:color w:val="000000"/>
          <w:sz w:val="30"/>
          <w:szCs w:val="30"/>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6.磋商文件构成</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6.1 磋商文件由以下部分组成：</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（1）磋商邀请</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（2）供应商须知</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（3）合同文本</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（4）采购需求</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（5）评审方法与评审标准</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（6）响应文件格式</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供应商应仔细检查磋商文件是否齐全，如有缺漏请立即与交易中心联系。</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7.磋商文件的澄清</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7.1 任何要求对磋商文件进行澄清的供应商，应在磋商截止期五日前按采购公告中的通讯地址，以书面形式通知交易中心。</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8.磋商文件的修改</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8.1 在响应文件提交截止时间前，交易中心可以对磋商文件进行修改。磋商文件的修改将在原公告媒体发布更正公告，更正内容将作为磋商文件的组成部分，并对供应商具有约束力。</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8.2 供应商应在提交响应文件截止时间前，关注原公告媒体有关本项目的更正公告，根据更正公告内容自行决定是否需要重新制作和提交响应文件，并承担由此产生的相应责任。</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8.3 交易中心有权按照法定的要求推迟提交响应文件截止时间，并在原公告媒体发布更正公告。</w:t>
      </w:r>
      <w:r>
        <w:rPr>
          <w:rFonts w:ascii="宋体" w:hAnsi="宋体"/>
          <w:color w:val="000000"/>
          <w:sz w:val="24"/>
          <w:szCs w:val="21"/>
          <w:highlight w:val="none"/>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ascii="方正黑体_GBK" w:hAnsi="方正黑体_GBK" w:eastAsia="方正黑体_GBK" w:cs="方正黑体_GBK"/>
          <w:b w:val="0"/>
          <w:bCs w:val="0"/>
          <w:color w:val="000000"/>
          <w:sz w:val="30"/>
          <w:szCs w:val="30"/>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9.响应文件的语言及度量衡单位</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9.1 供应商提交的响应文件以及供应商与交易中心就有关磋商的所有来往通知、函件和文件均应使用简体中文。</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9.2 除技术性能另有规定外，响应文件所使用的度量衡单位，均须采用国家法定计量单位。</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10.响应文件构成</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10.1 供应商编写的响应文件应包括资格证明文件、符合性证明文件、分项报价表、响应及偏离表、其他证明文件、磋商响应函等部分。</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如标书制作工具中格式和内容与“江苏政府采购网”发布的磋商文件不一致，以“江苏政府采购网”发布的磋商文件为准。</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11.证明磋商响应标的符合磋商文件规定的文件</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11.1 供应商</w:t>
      </w:r>
      <w:r>
        <w:rPr>
          <w:rFonts w:hint="eastAsia" w:ascii="宋体" w:hAnsi="宋体"/>
          <w:color w:val="000000"/>
          <w:sz w:val="24"/>
          <w:highlight w:val="none"/>
        </w:rPr>
        <w:t xml:space="preserve">应按照法律、法规、规章和规范性文件以及</w:t>
      </w:r>
      <w:r>
        <w:rPr>
          <w:rFonts w:hint="eastAsia" w:ascii="宋体" w:hAnsi="宋体"/>
          <w:color w:val="000000"/>
          <w:sz w:val="24"/>
          <w:szCs w:val="21"/>
          <w:highlight w:val="none"/>
        </w:rPr>
        <w:t xml:space="preserve">磋商文件要求提交证明文件，证明其响应标的符合磋商文件规定。</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11.2 磋商文件对证明文件无明确形式要求的，证明文件可以以文字资料、图纸和数据等形式提交。</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12.分项报价表</w:t>
      </w:r>
      <w:r>
        <w:rPr>
          <w:rFonts w:hint="eastAsia" w:ascii="方正楷体_GBK" w:hAnsi="方正楷体_GBK" w:eastAsia="方正楷体_GBK" w:cs="方正楷体_GBK"/>
          <w:color w:val="000000"/>
          <w:highlight w:val="none"/>
          <w:lang w:val="zh-CN"/>
        </w:rPr>
        <w:t xml:space="preserve">（如有）</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12.1 供应商应按照磋商文件规定格式填报分项报价表。</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12.2 响应文件中的单价和总价无特殊规定的采用人民币报价，以元为单位标注。磋商文件另有规定的按规定执行。</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13.响应及偏离表</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13.1</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供应商需对磋商文件中的技术要求与商务要求逐项作出响应或偏离说明。</w:t>
      </w:r>
      <w:r>
        <w:rPr>
          <w:rFonts w:ascii="宋体" w:hAnsi="宋体"/>
          <w:color w:val="000000"/>
          <w:sz w:val="24"/>
          <w:szCs w:val="21"/>
          <w:highlight w:val="none"/>
          <w:lang w:val="zh-CN"/>
        </w:rPr>
      </w:r>
      <w:r/>
    </w:p>
    <w:p>
      <w:pPr>
        <w:pStyle w:val="664"/>
        <w:ind w:firstLine="420"/>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13.2</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供应商可在响应文件中提供认为需要的其他技术文件或说明。</w:t>
      </w:r>
      <w:r>
        <w:rPr>
          <w:rFonts w:ascii="宋体" w:hAnsi="宋体"/>
          <w:color w:val="000000"/>
          <w:sz w:val="24"/>
          <w:szCs w:val="21"/>
          <w:highlight w:val="none"/>
          <w:lang w:val="zh-CN"/>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14.磋商响应函</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4</w:t>
      </w: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供应商应按照磋商文件规定格式完整、正确填报磋商响应函。</w:t>
      </w:r>
      <w:r>
        <w:rPr>
          <w:rFonts w:ascii="宋体" w:hAnsi="宋体"/>
          <w:color w:val="000000"/>
          <w:sz w:val="24"/>
          <w:szCs w:val="21"/>
          <w:highlight w:val="none"/>
          <w:lang w:val="zh-CN"/>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15.磋商有效期</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15.1 磋商有效期为采购公告规定的提交响应文件截止之日起</w:t>
      </w:r>
      <w:r>
        <w:rPr>
          <w:rFonts w:hint="eastAsia" w:ascii="宋体" w:hAnsi="宋体"/>
          <w:color w:val="000000"/>
          <w:sz w:val="24"/>
          <w:szCs w:val="21"/>
          <w:highlight w:val="none"/>
          <w:lang w:val="zh-CN"/>
        </w:rPr>
        <w:t xml:space="preserve">六十天</w:t>
      </w:r>
      <w:r>
        <w:rPr>
          <w:rFonts w:hint="eastAsia" w:ascii="宋体" w:hAnsi="宋体"/>
          <w:color w:val="000000"/>
          <w:sz w:val="24"/>
          <w:szCs w:val="21"/>
          <w:highlight w:val="none"/>
        </w:rPr>
        <w:t xml:space="preserve">。磋商有效期比规定短的将被视为非实质性响应磋商文件而被拒绝。</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16.磋商有效期的延长</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ascii="宋体" w:hAnsi="宋体"/>
          <w:color w:val="000000"/>
          <w:sz w:val="24"/>
          <w:szCs w:val="21"/>
          <w:highlight w:val="none"/>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四、响应文件的递交</w:t>
      </w:r>
      <w:r>
        <w:rPr>
          <w:rFonts w:ascii="方正黑体_GBK" w:hAnsi="方正黑体_GBK" w:eastAsia="方正黑体_GBK" w:cs="方正黑体_GBK"/>
          <w:b w:val="0"/>
          <w:bCs w:val="0"/>
          <w:color w:val="000000"/>
          <w:sz w:val="30"/>
          <w:szCs w:val="30"/>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17.响应文件的递交</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17.1 供应商应当按照《操作手册》规定，在采购公告规定的提交响应文件截止时间前制作并上传电子响应文件。</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17.2 供应商应充分考虑网络环境、网络带宽等因素</w:t>
      </w:r>
      <w:r>
        <w:rPr>
          <w:rFonts w:hint="eastAsia" w:ascii="宋体" w:hAnsi="宋体"/>
          <w:color w:val="000000"/>
          <w:sz w:val="24"/>
          <w:highlight w:val="none"/>
        </w:rPr>
        <w:t xml:space="preserve">可能产生的影响</w:t>
      </w:r>
      <w:r>
        <w:rPr>
          <w:rFonts w:hint="eastAsia" w:ascii="宋体" w:hAnsi="宋体"/>
          <w:color w:val="000000"/>
          <w:sz w:val="24"/>
          <w:szCs w:val="21"/>
          <w:highlight w:val="none"/>
        </w:rPr>
        <w:t xml:space="preserve">，如因供应商自身原因造成的电子响应文件上传不成功的，按照本磋商文件第二章第24.3条规定做无效响应处理。</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17.3 交易中心可以按照规定，通过修改磋商文件酌情延长提交响应文件截止日期，在此情况下，供应商的所有权利和义务均以延长后新的截止日期为准。</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18.响应文件的拒收</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18.1 提交响应文件截止时间后上传的任何响应文件将被拒绝。</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19.响应文件的撤回和修改</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19.1 响应文件的撤回</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19.1.1 供应商可在提交响应文件截止时间前撤回其电子响应文件，具体操作方法见《操作手册》。</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19.1.2 供应商撤回电子响应文件，则认为其不再参与本项目磋商活动。</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19.2 响应文件的修改</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19.2.1 供应商可在提交响应文件截止时间前对其电子响应文件进行修改，具体操作方法见《操作手册》。</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19.2.2 提交响应文件截止时间之后，供应商不得对其电子响应文件作任何修改。</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19.3 在提交响应文件截止时间至磋商文件中规定的磋商有效期满之间的这段时间内，供应商不得撤回其响应文件。</w:t>
      </w:r>
      <w:r>
        <w:rPr>
          <w:rFonts w:ascii="宋体" w:hAnsi="宋体"/>
          <w:color w:val="000000"/>
          <w:sz w:val="24"/>
          <w:szCs w:val="21"/>
          <w:highlight w:val="none"/>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r>
        <w:rPr>
          <w:rFonts w:ascii="方正黑体_GBK" w:hAnsi="方正黑体_GBK" w:eastAsia="方正黑体_GBK" w:cs="方正黑体_GBK"/>
          <w:b w:val="0"/>
          <w:bCs w:val="0"/>
          <w:color w:val="000000"/>
          <w:sz w:val="30"/>
          <w:szCs w:val="30"/>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20.响应文件解密</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20.1 供应商应当按照《操作手册》规定，在苏采云系统规定的时间内对响应文件进行解密。</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21.磋商</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21.1 依法组建的磋商小组对响应文件进行评审。</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21.2 磋商小组由采购人代表和有关方面专家组成，人员构成符合政府采购有关规定。</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21.3 磋商小组独立工作，负责评审所有响应文件并推荐成交候选人，或根据采购人授权直接确定成交供应商。</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22.评审过程的保密与公正</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22.1 磋商小组、采购人和交易中心工作人员、相关监督人员等与评审工作有关的人员，对评审情况以及在评审过程中获悉的国家秘密、商业秘密负有保密责任。</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22.2 供应商不得以任何方式影响评审过程，否则其响应文件将被作为无效响应文件。</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22.3 交易中心和磋商小组不向未成交的供应商解释未成交原因，也不公布评审过程中的相关细节。</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23.评审过程中的澄清</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23.1 项目评审期间，磋商小组有权要求供应商对响应文件中含义不明确、同类问题表述不一致或者有明显文字和计算错误的内容等作出必要的澄清、说明或者补正。</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供应商的澄清、说明或者补正不得超出响应文件的范围或者改变响应文件的实质性内容。</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磋商小组并非对每个供应商都做澄清要求。</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23.2 需要供应商进行澄清、说明和补正的，磋商小组将通过苏采云系统向供应商发出</w:t>
      </w:r>
      <w:r>
        <w:rPr>
          <w:rFonts w:hint="eastAsia" w:ascii="宋体" w:hAnsi="宋体"/>
          <w:color w:val="000000"/>
          <w:sz w:val="24"/>
          <w:highlight w:val="none"/>
          <w:lang w:val="zh-CN"/>
        </w:rPr>
        <w:t xml:space="preserve">《澄清要求函》</w:t>
      </w:r>
      <w:r>
        <w:rPr>
          <w:rFonts w:hint="eastAsia" w:ascii="宋体" w:hAnsi="宋体"/>
          <w:color w:val="000000"/>
          <w:sz w:val="24"/>
          <w:szCs w:val="21"/>
          <w:highlight w:val="none"/>
        </w:rPr>
        <w:t xml:space="preserve">，接到</w:t>
      </w:r>
      <w:r>
        <w:rPr>
          <w:rFonts w:hint="eastAsia" w:ascii="宋体" w:hAnsi="宋体"/>
          <w:color w:val="000000"/>
          <w:sz w:val="24"/>
          <w:highlight w:val="none"/>
          <w:lang w:val="zh-CN"/>
        </w:rPr>
        <w:t xml:space="preserve">《澄清要求函》</w:t>
      </w:r>
      <w:r>
        <w:rPr>
          <w:rFonts w:hint="eastAsia" w:ascii="宋体" w:hAnsi="宋体"/>
          <w:color w:val="000000"/>
          <w:sz w:val="24"/>
          <w:szCs w:val="21"/>
          <w:highlight w:val="none"/>
        </w:rPr>
        <w:t xml:space="preserve">的供应商应当按照要求在苏采云系统中提交</w:t>
      </w:r>
      <w:r>
        <w:rPr>
          <w:rFonts w:hint="eastAsia" w:ascii="宋体" w:hAnsi="宋体"/>
          <w:color w:val="000000"/>
          <w:sz w:val="24"/>
          <w:highlight w:val="none"/>
          <w:lang w:val="zh-CN"/>
        </w:rPr>
        <w:t xml:space="preserve">《澄清响应函》</w:t>
      </w:r>
      <w:r>
        <w:rPr>
          <w:rFonts w:hint="eastAsia" w:ascii="宋体" w:hAnsi="宋体"/>
          <w:color w:val="000000"/>
          <w:sz w:val="24"/>
          <w:szCs w:val="21"/>
          <w:highlight w:val="none"/>
        </w:rPr>
        <w:t xml:space="preserve">并加盖电子公章。澄清、说明和补正的内容作为响应文件的补充部分，具体操作方式见《操作手册》。</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23.3 接到磋商小组澄清、说明和补正要求的供应商如未按规定做出澄清、说明和补正，其风险由供应商自行承担。</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24.响应文件的审查</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24.1 响应文件审查分为资格审查和符合性审查。</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24.1.1 资格审查。依据法律法规和磋商文件的规定，磋商小组对响应文件中的资格证明文件进行审查，以确定供应商是否具备参加磋商的资格。</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磋商小组进行资格审查时，将在“信用中国”网站（www.creditchina.gov.cn）查询供应商的信用记录，以确定供应商是否具备磋商资格,查询结果留存并归档。</w:t>
      </w:r>
      <w:r>
        <w:rPr>
          <w:rFonts w:ascii="宋体" w:hAnsi="宋体"/>
          <w:color w:val="000000"/>
          <w:sz w:val="24"/>
          <w:szCs w:val="21"/>
          <w:highlight w:val="none"/>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w:t>
      </w:r>
      <w:r>
        <w:rPr>
          <w:rFonts w:hint="eastAsia" w:ascii="宋体" w:hAnsi="宋体"/>
          <w:color w:val="000000"/>
          <w:sz w:val="24"/>
          <w:highlight w:val="none"/>
        </w:rPr>
        <w:t xml:space="preserve">信</w:t>
      </w:r>
      <w:r>
        <w:rPr>
          <w:rFonts w:hint="eastAsia" w:ascii="宋体" w:hAnsi="宋体"/>
          <w:color w:val="000000"/>
          <w:sz w:val="24"/>
          <w:highlight w:val="none"/>
          <w:lang w:val="zh-CN"/>
        </w:rPr>
        <w:t xml:space="preserve">用记录。</w:t>
      </w:r>
      <w:r>
        <w:rPr>
          <w:rFonts w:ascii="宋体" w:hAnsi="宋体"/>
          <w:color w:val="000000"/>
          <w:sz w:val="24"/>
          <w:highlight w:val="none"/>
          <w:lang w:val="zh-CN"/>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24.1.2 符合性审查。依据磋商文件的规定，由磋商小组从有效性、完整性和对磋商文件的响应程度等方面对响应文件进行审查，以确定是否对磋商文件的实质性要求作出响应。</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24.1.3 未通过资格审查或符合性审查的供应商，磋商小组将通过苏采云系统告知具体原因，评审结束后将不再接受有关询问。</w:t>
      </w:r>
      <w:r>
        <w:rPr>
          <w:rFonts w:ascii="宋体" w:hAnsi="宋体"/>
          <w:color w:val="000000"/>
          <w:sz w:val="24"/>
          <w:szCs w:val="21"/>
          <w:highlight w:val="none"/>
        </w:rPr>
      </w:r>
      <w:r/>
    </w:p>
    <w:p>
      <w:pPr>
        <w:pStyle w:val="664"/>
        <w:ind w:firstLine="420"/>
        <w:rPr>
          <w:rFonts w:ascii="宋体" w:hAnsi="宋体"/>
          <w:color w:val="000000"/>
          <w:sz w:val="24"/>
          <w:highlight w:val="none"/>
          <w:lang w:val="zh-CN"/>
        </w:rPr>
      </w:pPr>
      <w:r>
        <w:rPr>
          <w:rFonts w:hint="eastAsia" w:ascii="宋体" w:hAnsi="宋体"/>
          <w:color w:val="000000"/>
          <w:sz w:val="24"/>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磋商小组</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w:t>
      </w:r>
      <w:r>
        <w:rPr>
          <w:rFonts w:hint="eastAsia" w:ascii="宋体" w:hAnsi="宋体"/>
          <w:color w:val="000000"/>
          <w:sz w:val="24"/>
          <w:szCs w:val="21"/>
          <w:highlight w:val="none"/>
        </w:rPr>
        <w:t xml:space="preserve">磋商小组</w:t>
      </w:r>
      <w:r>
        <w:rPr>
          <w:rFonts w:hint="eastAsia" w:ascii="宋体" w:hAnsi="宋体"/>
          <w:color w:val="000000"/>
          <w:sz w:val="24"/>
          <w:highlight w:val="none"/>
        </w:rPr>
        <w:t xml:space="preserve">认</w:t>
      </w:r>
      <w:r>
        <w:rPr>
          <w:rFonts w:hint="eastAsia" w:ascii="宋体" w:hAnsi="宋体"/>
          <w:color w:val="000000"/>
          <w:sz w:val="24"/>
          <w:highlight w:val="none"/>
          <w:lang w:val="zh-CN"/>
        </w:rPr>
        <w:t xml:space="preserve">定响应文件的响应性只根据响应文件本身的内容，而不寻求外部的证据。</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异常低价审查</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评</w:t>
      </w:r>
      <w:r>
        <w:rPr>
          <w:rFonts w:hint="eastAsia" w:ascii="宋体" w:hAnsi="宋体"/>
          <w:color w:val="000000"/>
          <w:sz w:val="24"/>
          <w:highlight w:val="none"/>
        </w:rPr>
        <w:t xml:space="preserve">审</w:t>
      </w:r>
      <w:r>
        <w:rPr>
          <w:rFonts w:hint="eastAsia" w:ascii="宋体" w:hAnsi="宋体"/>
          <w:color w:val="000000"/>
          <w:sz w:val="24"/>
          <w:highlight w:val="none"/>
          <w:lang w:val="zh-CN"/>
        </w:rPr>
        <w:t xml:space="preserve">过程中出现下列情形之一的，</w:t>
      </w:r>
      <w:r>
        <w:rPr>
          <w:rFonts w:hint="eastAsia" w:ascii="宋体" w:hAnsi="宋体"/>
          <w:color w:val="000000"/>
          <w:sz w:val="24"/>
          <w:szCs w:val="21"/>
          <w:highlight w:val="none"/>
        </w:rPr>
        <w:t xml:space="preserve">磋商小组</w:t>
      </w:r>
      <w:r>
        <w:rPr>
          <w:rFonts w:hint="eastAsia" w:ascii="宋体" w:hAnsi="宋体"/>
          <w:color w:val="000000"/>
          <w:sz w:val="24"/>
          <w:highlight w:val="none"/>
          <w:lang w:val="zh-CN"/>
        </w:rPr>
        <w:t xml:space="preserve">应当启动异常低价审查程序：</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低于全部通过符合性审查供应商</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平均值</w:t>
      </w:r>
      <w:r>
        <w:rPr>
          <w:rFonts w:hint="eastAsia" w:ascii="宋体" w:hAnsi="宋体"/>
          <w:color w:val="000000"/>
          <w:sz w:val="24"/>
          <w:highlight w:val="none"/>
          <w:u w:val="single"/>
        </w:rPr>
        <w:t xml:space="preserve">50</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&lt;全部通过符合性审查供应商</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平均值×</w:t>
      </w:r>
      <w:r>
        <w:rPr>
          <w:rFonts w:hint="eastAsia" w:ascii="宋体" w:hAnsi="宋体"/>
          <w:color w:val="000000"/>
          <w:sz w:val="24"/>
          <w:highlight w:val="none"/>
          <w:u w:val="single"/>
        </w:rPr>
        <w:t xml:space="preserve">50</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低于通过符合性审查的次低报价供应商</w:t>
      </w:r>
      <w:r>
        <w:rPr>
          <w:rFonts w:hint="eastAsia" w:ascii="宋体" w:hAnsi="宋体"/>
          <w:color w:val="000000"/>
          <w:sz w:val="24"/>
          <w:szCs w:val="21"/>
          <w:highlight w:val="none"/>
        </w:rPr>
        <w:t xml:space="preserve">报价</w:t>
      </w:r>
      <w:r>
        <w:rPr>
          <w:rFonts w:hint="eastAsia" w:ascii="宋体" w:hAnsi="宋体"/>
          <w:color w:val="000000"/>
          <w:sz w:val="24"/>
          <w:highlight w:val="none"/>
          <w:u w:val="single"/>
        </w:rPr>
        <w:t xml:space="preserve">50</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&lt;通过符合性审查的次低报价供应商</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w:t>
      </w:r>
      <w:r>
        <w:rPr>
          <w:rFonts w:hint="eastAsia" w:ascii="宋体" w:hAnsi="宋体"/>
          <w:color w:val="000000"/>
          <w:sz w:val="24"/>
          <w:highlight w:val="none"/>
          <w:u w:val="single"/>
        </w:rPr>
        <w:t xml:space="preserve">50</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低于采购项目最高限价</w:t>
      </w:r>
      <w:r>
        <w:rPr>
          <w:rFonts w:hint="eastAsia" w:ascii="宋体" w:hAnsi="宋体"/>
          <w:color w:val="000000"/>
          <w:sz w:val="24"/>
          <w:highlight w:val="none"/>
          <w:u w:val="single"/>
        </w:rPr>
        <w:t xml:space="preserve">45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&lt;采购项目最高限价×</w:t>
      </w:r>
      <w:r>
        <w:rPr>
          <w:rFonts w:hint="eastAsia" w:ascii="宋体" w:hAnsi="宋体"/>
          <w:color w:val="000000"/>
          <w:sz w:val="24"/>
          <w:highlight w:val="none"/>
          <w:u w:val="single"/>
        </w:rPr>
        <w:t xml:space="preserve">45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szCs w:val="21"/>
          <w:highlight w:val="none"/>
        </w:rPr>
        <w:t xml:space="preserve">磋商小组</w:t>
      </w:r>
      <w:r>
        <w:rPr>
          <w:rFonts w:hint="eastAsia" w:ascii="宋体" w:hAnsi="宋体"/>
          <w:color w:val="000000"/>
          <w:sz w:val="24"/>
          <w:highlight w:val="none"/>
          <w:lang w:val="zh-CN"/>
        </w:rPr>
        <w:t xml:space="preserve">基于专业判断，认为供应商</w:t>
      </w:r>
      <w:r>
        <w:rPr>
          <w:rFonts w:hint="eastAsia" w:ascii="宋体" w:hAnsi="宋体"/>
          <w:color w:val="000000"/>
          <w:sz w:val="24"/>
          <w:highlight w:val="none"/>
        </w:rPr>
        <w:t xml:space="preserve">报价</w:t>
      </w:r>
      <w:r>
        <w:rPr>
          <w:rFonts w:hint="eastAsia" w:ascii="宋体" w:hAnsi="宋体"/>
          <w:color w:val="000000"/>
          <w:sz w:val="24"/>
          <w:highlight w:val="none"/>
          <w:lang w:val="zh-CN"/>
        </w:rPr>
        <w:t xml:space="preserve">过低，有可能影响产品质量或者不能诚信履约的其他情形。</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szCs w:val="21"/>
          <w:highlight w:val="none"/>
        </w:rPr>
        <w:t xml:space="preserve">磋商小组</w:t>
      </w:r>
      <w:r>
        <w:rPr>
          <w:rFonts w:hint="eastAsia" w:ascii="宋体" w:hAnsi="宋体"/>
          <w:color w:val="000000"/>
          <w:sz w:val="24"/>
          <w:highlight w:val="none"/>
          <w:lang w:val="zh-CN"/>
        </w:rPr>
        <w:t xml:space="preserve">启动异常低价审查后，属于前述第（1）项至第（4）项情形的，应当要求相关供应商在评审现场合理的时间内对</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color w:val="000000"/>
          <w:sz w:val="24"/>
          <w:highlight w:val="none"/>
          <w:lang w:val="zh-CN"/>
        </w:rPr>
        <w:t xml:space="preserve">供应商已随</w:t>
      </w:r>
      <w:r>
        <w:rPr>
          <w:rFonts w:hint="eastAsia" w:ascii="宋体" w:hAnsi="宋体"/>
          <w:color w:val="000000"/>
          <w:sz w:val="24"/>
          <w:highlight w:val="none"/>
        </w:rPr>
        <w:t xml:space="preserve">响应</w:t>
      </w:r>
      <w:r>
        <w:rPr>
          <w:rFonts w:hint="eastAsia" w:ascii="宋体" w:hAnsi="宋体"/>
          <w:color w:val="000000"/>
          <w:sz w:val="24"/>
          <w:highlight w:val="none"/>
          <w:lang w:val="zh-CN"/>
        </w:rPr>
        <w:t xml:space="preserve">文件一并提交相关书面说明及必要的证明材料的，在评</w:t>
      </w:r>
      <w:r>
        <w:rPr>
          <w:rFonts w:hint="eastAsia" w:ascii="宋体" w:hAnsi="宋体"/>
          <w:color w:val="000000"/>
          <w:sz w:val="24"/>
          <w:highlight w:val="none"/>
        </w:rPr>
        <w:t xml:space="preserve">审</w:t>
      </w:r>
      <w:r>
        <w:rPr>
          <w:rFonts w:hint="eastAsia" w:ascii="宋体" w:hAnsi="宋体"/>
          <w:color w:val="000000"/>
          <w:sz w:val="24"/>
          <w:highlight w:val="none"/>
          <w:lang w:val="zh-CN"/>
        </w:rPr>
        <w:t xml:space="preserve">现场可不再重复提交</w:t>
      </w:r>
      <w:bookmarkEnd w:id="12"/>
      <w:r>
        <w:rPr>
          <w:rFonts w:hint="eastAsia" w:ascii="宋体" w:hAnsi="宋体"/>
          <w:color w:val="000000"/>
          <w:sz w:val="24"/>
          <w:highlight w:val="none"/>
          <w:lang w:val="zh-CN"/>
        </w:rPr>
        <w:t xml:space="preserve">。</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szCs w:val="21"/>
          <w:highlight w:val="none"/>
        </w:rPr>
        <w:t xml:space="preserve">磋商小组</w:t>
      </w:r>
      <w:r>
        <w:rPr>
          <w:rFonts w:hint="eastAsia" w:ascii="宋体" w:hAnsi="宋体"/>
          <w:color w:val="000000"/>
          <w:sz w:val="24"/>
          <w:highlight w:val="none"/>
          <w:lang w:val="zh-CN"/>
        </w:rPr>
        <w:t xml:space="preserve">依据专业经验，参考同类项目</w:t>
      </w:r>
      <w:r>
        <w:rPr>
          <w:rFonts w:hint="eastAsia" w:ascii="宋体" w:hAnsi="宋体"/>
          <w:color w:val="000000"/>
          <w:sz w:val="24"/>
          <w:highlight w:val="none"/>
        </w:rPr>
        <w:t xml:space="preserve">成交</w:t>
      </w:r>
      <w:r>
        <w:rPr>
          <w:rFonts w:hint="eastAsia" w:ascii="宋体" w:hAnsi="宋体"/>
          <w:color w:val="000000"/>
          <w:sz w:val="24"/>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highlight w:val="none"/>
        </w:rPr>
        <w:t xml:space="preserve">磋商小组</w:t>
      </w:r>
      <w:r>
        <w:rPr>
          <w:rFonts w:hint="eastAsia" w:ascii="宋体" w:hAnsi="宋体"/>
          <w:color w:val="000000"/>
          <w:sz w:val="24"/>
          <w:highlight w:val="none"/>
          <w:lang w:val="zh-CN"/>
        </w:rPr>
        <w:t xml:space="preserve">应当将其作为</w:t>
      </w:r>
      <w:r>
        <w:rPr>
          <w:rFonts w:hint="eastAsia" w:ascii="宋体" w:hAnsi="宋体"/>
          <w:color w:val="000000"/>
          <w:sz w:val="24"/>
          <w:highlight w:val="none"/>
        </w:rPr>
        <w:t xml:space="preserve">未实质性响应磋商文件</w:t>
      </w:r>
      <w:r>
        <w:rPr>
          <w:rFonts w:hint="eastAsia" w:ascii="宋体" w:hAnsi="宋体"/>
          <w:color w:val="000000"/>
          <w:sz w:val="24"/>
          <w:highlight w:val="none"/>
          <w:lang w:val="zh-CN"/>
        </w:rPr>
        <w:t xml:space="preserve">处理。</w:t>
      </w:r>
      <w:r>
        <w:rPr>
          <w:rFonts w:ascii="宋体" w:hAnsi="宋体"/>
          <w:color w:val="000000"/>
          <w:sz w:val="24"/>
          <w:highlight w:val="none"/>
          <w:lang w:val="zh-CN"/>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24.4 未实质性响应磋商文件的情形</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24.4.1 供应商在苏采云系统规定的时间内未成功解密电子响应文件。</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24.4.2 供应商未按照磋商文件要求上传电子响应文件。</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24.4.3 同一供应商提交两个（含两个）以上不同的响应文件或者最后报价。</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24.4.4 供应商不具备磋商文件中规定的资格要求。</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24.4.5 供应商的最后报价超过了采购预算或最高限价或单价上限。</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24.4.6 不符合磋商文件中规定的实质性要求和条件（</w:t>
      </w:r>
      <w:r>
        <w:rPr>
          <w:rFonts w:hint="eastAsia" w:ascii="宋体" w:hAnsi="宋体"/>
          <w:b/>
          <w:bCs/>
          <w:color w:val="000000"/>
          <w:sz w:val="24"/>
          <w:szCs w:val="21"/>
          <w:highlight w:val="none"/>
        </w:rPr>
        <w:t xml:space="preserve">本文件中斜体且有下划线部分</w:t>
      </w:r>
      <w:r>
        <w:rPr>
          <w:rFonts w:hint="eastAsia" w:ascii="宋体" w:hAnsi="宋体"/>
          <w:b/>
          <w:bCs/>
          <w:color w:val="000000"/>
          <w:sz w:val="24"/>
          <w:szCs w:val="21"/>
          <w:highlight w:val="none"/>
          <w:lang w:val="zh-CN"/>
        </w:rPr>
        <w:t xml:space="preserve">或者打“</w:t>
      </w:r>
      <w:r>
        <w:rPr>
          <w:rFonts w:hint="eastAsia" w:ascii="宋体" w:hAnsi="宋体"/>
          <w:b/>
          <w:bCs/>
          <w:color w:val="000000"/>
          <w:sz w:val="24"/>
          <w:szCs w:val="21"/>
          <w:highlight w:val="none"/>
        </w:rPr>
        <w:t xml:space="preserve">★</w:t>
      </w:r>
      <w:r>
        <w:rPr>
          <w:rFonts w:hint="eastAsia" w:ascii="宋体" w:hAnsi="宋体"/>
          <w:b/>
          <w:bCs/>
          <w:color w:val="000000"/>
          <w:sz w:val="24"/>
          <w:szCs w:val="21"/>
          <w:highlight w:val="none"/>
          <w:lang w:val="zh-CN"/>
        </w:rPr>
        <w:t xml:space="preserve">”内容，</w:t>
      </w:r>
      <w:r>
        <w:rPr>
          <w:rFonts w:hint="eastAsia" w:ascii="宋体" w:hAnsi="宋体"/>
          <w:b/>
          <w:bCs/>
          <w:color w:val="000000"/>
          <w:sz w:val="24"/>
          <w:szCs w:val="21"/>
          <w:highlight w:val="none"/>
        </w:rPr>
        <w:t xml:space="preserve">为实质性要求和条件</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24.4.8 响应文件含有采购人不能接受的附加条件。</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24.4.9 磋商小组按照本采购文件规定对供应商进行异常低价审查后，认为供应商不能证明其报价合理性的。</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24.4.10 </w:t>
      </w:r>
      <w:r>
        <w:rPr>
          <w:rFonts w:hint="eastAsia" w:ascii="宋体" w:hAnsi="宋体"/>
          <w:color w:val="000000"/>
          <w:sz w:val="24"/>
          <w:szCs w:val="21"/>
          <w:highlight w:val="none"/>
          <w:lang w:val="zh-CN"/>
        </w:rPr>
        <w:t xml:space="preserve">采购产品被财政部、国家发改委、生态环境部等列入“节能产品品目清单”强制采购范围，而供应商提供的产品不在强制采购范围内。</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24.4.11 响应文件未按照磋商文件要求加盖电子公章。</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24.4.12 法律法规及本磋商文件规定的其他无效响应的情形。</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24.5 未实质性响应磋商文件的响应文件按无效响应处理。</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24.6 如果响应文件实质上没有响应磋商文件的要求，磋商小组将予以拒绝，供应商不得通过修改或撤销不符合要求的偏离或保留而使其成为实质性响应的文件。</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24.7 供应商在项目评审全过程中应保持通讯畅通，</w:t>
      </w:r>
      <w:r>
        <w:rPr>
          <w:rFonts w:hint="eastAsia" w:ascii="宋体" w:hAnsi="宋体"/>
          <w:color w:val="000000"/>
          <w:sz w:val="24"/>
          <w:highlight w:val="none"/>
          <w:lang w:val="zh-CN"/>
        </w:rPr>
        <w:t xml:space="preserve">及时登录苏采云系统查阅、答复相关信息，并安排专人与交易中心及磋商小组联系。</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25.磋商程序及评审方法与评审标准</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25.1 磋商程序</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25.2 评审方法与评审标准</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25.2.1 评审方法。见磋商文件第五章。</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25.2.2 评审标准。见磋商文件第五章。</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25.3 采购活动终止</w:t>
      </w:r>
      <w:r>
        <w:rPr>
          <w:rFonts w:ascii="宋体" w:hAnsi="宋体"/>
          <w:color w:val="000000"/>
          <w:sz w:val="24"/>
          <w:szCs w:val="21"/>
          <w:highlight w:val="none"/>
        </w:rPr>
      </w:r>
      <w:r/>
    </w:p>
    <w:p>
      <w:pPr>
        <w:pStyle w:val="664"/>
        <w:ind w:firstLine="422"/>
        <w:rPr>
          <w:rFonts w:ascii="宋体" w:hAnsi="宋体"/>
          <w:b/>
          <w:bCs/>
          <w:color w:val="000000"/>
          <w:sz w:val="24"/>
          <w:szCs w:val="21"/>
          <w:highlight w:val="none"/>
        </w:rPr>
      </w:pPr>
      <w:r>
        <w:rPr>
          <w:rFonts w:hint="eastAsia" w:ascii="宋体" w:hAnsi="宋体"/>
          <w:b/>
          <w:bCs/>
          <w:color w:val="000000"/>
          <w:sz w:val="24"/>
          <w:szCs w:val="21"/>
          <w:highlight w:val="none"/>
        </w:rPr>
        <w:t xml:space="preserve">出现下列情形之一的，本次采购活动终止：</w:t>
      </w:r>
      <w:r>
        <w:rPr>
          <w:rFonts w:ascii="宋体" w:hAnsi="宋体"/>
          <w:b/>
          <w:bCs/>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25.3.1 因情况变化，不再符合竞争性磋商采购方式适用情形。</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25.3.2 出现影响采购公正的违法、违规行为。</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25.3.3 在苏采云系统规定时间内成功解密电子响应文件的供应商不足三家。</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25.3.4 除本磋商文件第二章第25.1.2条第三款规定的情形外，磋商过程中符合要求的供应商或者提交最后报价且未超过采购预算或最高限价的供应商不足三家。</w:t>
      </w:r>
      <w:r>
        <w:rPr>
          <w:rFonts w:ascii="宋体" w:hAnsi="宋体"/>
          <w:color w:val="000000"/>
          <w:sz w:val="24"/>
          <w:szCs w:val="21"/>
          <w:highlight w:val="none"/>
        </w:rPr>
      </w:r>
      <w:r/>
    </w:p>
    <w:p>
      <w:pPr>
        <w:pStyle w:val="664"/>
        <w:ind w:firstLine="420"/>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2</w:t>
      </w:r>
      <w:r>
        <w:rPr>
          <w:rFonts w:hint="eastAsia" w:ascii="宋体" w:hAnsi="宋体"/>
          <w:color w:val="000000"/>
          <w:sz w:val="24"/>
          <w:szCs w:val="21"/>
          <w:highlight w:val="none"/>
        </w:rPr>
        <w:t xml:space="preserve">5</w:t>
      </w:r>
      <w:r>
        <w:rPr>
          <w:rFonts w:hint="eastAsia" w:ascii="宋体" w:hAnsi="宋体"/>
          <w:color w:val="000000"/>
          <w:sz w:val="24"/>
          <w:szCs w:val="21"/>
          <w:highlight w:val="none"/>
          <w:lang w:val="zh-CN"/>
        </w:rPr>
        <w:t xml:space="preserve">.3.5</w:t>
      </w:r>
      <w:r>
        <w:rPr>
          <w:rFonts w:hint="eastAsia" w:ascii="宋体" w:hAnsi="宋体"/>
          <w:color w:val="000000"/>
          <w:sz w:val="24"/>
          <w:szCs w:val="21"/>
          <w:highlight w:val="none"/>
        </w:rPr>
        <w:t xml:space="preserve"> </w:t>
      </w:r>
      <w:r>
        <w:rPr>
          <w:rFonts w:hint="eastAsia" w:ascii="宋体" w:hAnsi="宋体"/>
          <w:color w:val="000000"/>
          <w:sz w:val="24"/>
          <w:szCs w:val="21"/>
          <w:highlight w:val="none"/>
          <w:lang w:val="zh-CN"/>
        </w:rPr>
        <w:t xml:space="preserve">法律法规规定的其他应当终止情形。</w:t>
      </w:r>
      <w:r>
        <w:rPr>
          <w:rFonts w:ascii="宋体" w:hAnsi="宋体"/>
          <w:color w:val="000000"/>
          <w:sz w:val="24"/>
          <w:szCs w:val="21"/>
          <w:highlight w:val="none"/>
          <w:lang w:val="zh-CN"/>
        </w:rPr>
      </w:r>
      <w:r/>
    </w:p>
    <w:p>
      <w:pPr>
        <w:pStyle w:val="664"/>
        <w:ind w:firstLine="422"/>
        <w:rPr>
          <w:rFonts w:ascii="宋体" w:hAnsi="宋体"/>
          <w:b/>
          <w:bCs/>
          <w:color w:val="000000"/>
          <w:sz w:val="24"/>
          <w:highlight w:val="none"/>
        </w:rPr>
      </w:pPr>
      <w:r>
        <w:rPr>
          <w:rFonts w:hint="eastAsia" w:ascii="宋体" w:hAnsi="宋体"/>
          <w:b/>
          <w:bCs/>
          <w:color w:val="000000"/>
          <w:sz w:val="24"/>
          <w:highlight w:val="none"/>
          <w:lang w:val="zh-CN"/>
        </w:rPr>
        <w:t xml:space="preserve">25.4 如出现25.</w:t>
      </w:r>
      <w:r>
        <w:rPr>
          <w:rFonts w:hint="eastAsia" w:ascii="宋体" w:hAnsi="宋体"/>
          <w:b/>
          <w:bCs/>
          <w:color w:val="000000"/>
          <w:sz w:val="24"/>
          <w:highlight w:val="none"/>
        </w:rPr>
        <w:t xml:space="preserve">3</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3</w:t>
      </w:r>
      <w:r>
        <w:rPr>
          <w:rFonts w:hint="eastAsia" w:ascii="宋体" w:hAnsi="宋体"/>
          <w:b/>
          <w:bCs/>
          <w:color w:val="000000"/>
          <w:sz w:val="24"/>
          <w:highlight w:val="none"/>
          <w:lang w:val="zh-CN"/>
        </w:rPr>
        <w:t xml:space="preserve">或25.3</w:t>
      </w:r>
      <w:r>
        <w:rPr>
          <w:rFonts w:hint="eastAsia" w:ascii="宋体" w:hAnsi="宋体"/>
          <w:b/>
          <w:bCs/>
          <w:color w:val="000000"/>
          <w:sz w:val="24"/>
          <w:highlight w:val="none"/>
        </w:rPr>
        <w:t xml:space="preserve">.4</w:t>
      </w:r>
      <w:r>
        <w:rPr>
          <w:rFonts w:hint="eastAsia" w:ascii="宋体" w:hAnsi="宋体"/>
          <w:b/>
          <w:bCs/>
          <w:color w:val="000000"/>
          <w:sz w:val="24"/>
          <w:highlight w:val="none"/>
          <w:lang w:val="zh-CN"/>
        </w:rPr>
        <w:t xml:space="preserve">情形，</w:t>
      </w:r>
      <w:r>
        <w:rPr>
          <w:rFonts w:hint="eastAsia" w:ascii="宋体" w:hAnsi="宋体"/>
          <w:b/>
          <w:bCs/>
          <w:color w:val="000000"/>
          <w:sz w:val="24"/>
          <w:highlight w:val="none"/>
        </w:rPr>
        <w:t xml:space="preserve">采购</w:t>
      </w:r>
      <w:r>
        <w:rPr>
          <w:rFonts w:hint="eastAsia" w:ascii="宋体" w:hAnsi="宋体"/>
          <w:b/>
          <w:bCs/>
          <w:color w:val="000000"/>
          <w:sz w:val="24"/>
          <w:highlight w:val="none"/>
          <w:lang w:val="zh-CN"/>
        </w:rPr>
        <w:t xml:space="preserve">活动失败，</w:t>
      </w:r>
      <w:r>
        <w:rPr>
          <w:rFonts w:hint="eastAsia" w:ascii="宋体" w:hAnsi="宋体"/>
          <w:b/>
          <w:bCs/>
          <w:color w:val="000000"/>
          <w:sz w:val="24"/>
          <w:highlight w:val="none"/>
        </w:rPr>
        <w:t xml:space="preserve">磋商小组应</w:t>
      </w:r>
      <w:r>
        <w:rPr>
          <w:rFonts w:hint="eastAsia" w:ascii="宋体" w:hAnsi="宋体"/>
          <w:b/>
          <w:bCs/>
          <w:color w:val="000000"/>
          <w:sz w:val="24"/>
          <w:highlight w:val="none"/>
          <w:lang w:bidi="ar"/>
        </w:rPr>
        <w:t xml:space="preserve">对磋商</w:t>
      </w:r>
      <w:r>
        <w:rPr>
          <w:rFonts w:hint="eastAsia" w:ascii="宋体" w:hAnsi="宋体"/>
          <w:b/>
          <w:bCs/>
          <w:color w:val="000000"/>
          <w:sz w:val="24"/>
          <w:highlight w:val="none"/>
          <w:lang w:val="zh-CN" w:bidi="ar"/>
        </w:rPr>
        <w:t xml:space="preserve">文件是否存在不合理条款</w:t>
      </w:r>
      <w:r>
        <w:rPr>
          <w:rFonts w:hint="eastAsia" w:ascii="宋体" w:hAnsi="宋体"/>
          <w:b/>
          <w:bCs/>
          <w:color w:val="000000"/>
          <w:sz w:val="24"/>
          <w:highlight w:val="none"/>
          <w:lang w:bidi="ar"/>
        </w:rPr>
        <w:t xml:space="preserve">进行论证，并在评审报告中写明</w:t>
      </w:r>
      <w:r>
        <w:rPr>
          <w:rFonts w:hint="eastAsia" w:ascii="宋体" w:hAnsi="宋体"/>
          <w:b/>
          <w:bCs/>
          <w:color w:val="000000"/>
          <w:sz w:val="24"/>
          <w:highlight w:val="none"/>
          <w:lang w:val="zh-CN" w:bidi="ar"/>
        </w:rPr>
        <w:t xml:space="preserve">论证意见。</w:t>
      </w:r>
      <w:r>
        <w:rPr>
          <w:rFonts w:ascii="宋体" w:hAnsi="宋体"/>
          <w:b/>
          <w:bCs/>
          <w:color w:val="000000"/>
          <w:sz w:val="24"/>
          <w:highlight w:val="none"/>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rPr>
          <w:rFonts w:ascii="方正黑体_GBK" w:hAnsi="方正黑体_GBK" w:eastAsia="方正黑体_GBK" w:cs="方正黑体_GBK"/>
          <w:b w:val="0"/>
          <w:bCs w:val="0"/>
          <w:color w:val="000000"/>
          <w:sz w:val="30"/>
          <w:szCs w:val="30"/>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26.确定成交单位</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26.1 成交候选供应商的确定原则和数量见磋商文件第五章。</w:t>
      </w:r>
      <w:r>
        <w:rPr>
          <w:rFonts w:ascii="宋体" w:hAnsi="宋体"/>
          <w:color w:val="000000"/>
          <w:sz w:val="24"/>
          <w:szCs w:val="21"/>
          <w:highlight w:val="none"/>
        </w:rPr>
      </w:r>
      <w:r/>
    </w:p>
    <w:p>
      <w:pPr>
        <w:pStyle w:val="664"/>
        <w:ind w:firstLine="420"/>
        <w:rPr>
          <w:rFonts w:ascii="宋体" w:hAnsi="宋体"/>
          <w:color w:val="000000"/>
          <w:sz w:val="24"/>
          <w:szCs w:val="24"/>
          <w:highlight w:val="none"/>
        </w:rPr>
      </w:pPr>
      <w:r>
        <w:rPr>
          <w:rFonts w:hint="eastAsia" w:ascii="宋体" w:hAnsi="宋体"/>
          <w:color w:val="000000"/>
          <w:sz w:val="24"/>
          <w:szCs w:val="21"/>
          <w:highlight w:val="none"/>
        </w:rPr>
        <w:t xml:space="preserve">26.2 </w:t>
      </w:r>
      <w:r>
        <w:rPr>
          <w:rFonts w:hint="eastAsia" w:ascii="宋体" w:hAnsi="宋体"/>
          <w:color w:val="000000"/>
          <w:sz w:val="24"/>
          <w:szCs w:val="21"/>
          <w:highlight w:val="none"/>
          <w:lang w:val="zh-CN"/>
        </w:rPr>
        <w:t xml:space="preserve">按以下第（</w:t>
      </w:r>
      <w:r>
        <w:rPr>
          <w:rFonts w:hint="eastAsia" w:ascii="宋体" w:hAnsi="宋体"/>
          <w:color w:val="000000"/>
          <w:sz w:val="24"/>
          <w:szCs w:val="21"/>
          <w:highlight w:val="none"/>
        </w:rPr>
        <w:t xml:space="preserve">2</w:t>
      </w:r>
      <w:r>
        <w:rPr>
          <w:rFonts w:hint="eastAsia" w:ascii="宋体" w:hAnsi="宋体"/>
          <w:color w:val="000000"/>
          <w:sz w:val="24"/>
          <w:szCs w:val="21"/>
          <w:highlight w:val="none"/>
          <w:lang w:val="zh-CN"/>
        </w:rPr>
        <w:t xml:space="preserve">）种方式确定</w:t>
      </w:r>
      <w:r>
        <w:rPr>
          <w:rFonts w:hint="eastAsia" w:ascii="宋体" w:hAnsi="宋体"/>
          <w:color w:val="000000"/>
          <w:sz w:val="24"/>
          <w:szCs w:val="21"/>
          <w:highlight w:val="none"/>
        </w:rPr>
        <w:t xml:space="preserve">成交供应商</w:t>
      </w:r>
      <w:r>
        <w:rPr>
          <w:rFonts w:ascii="宋体" w:hAnsi="宋体"/>
          <w:color w:val="000000"/>
          <w:sz w:val="24"/>
          <w:szCs w:val="24"/>
          <w:highlight w:val="none"/>
        </w:rPr>
      </w:r>
      <w:r/>
    </w:p>
    <w:p>
      <w:pPr>
        <w:pStyle w:val="664"/>
        <w:ind w:firstLine="420"/>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直接确定排名第一的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为</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ascii="宋体" w:hAnsi="宋体"/>
          <w:color w:val="000000"/>
          <w:sz w:val="24"/>
          <w:szCs w:val="21"/>
          <w:highlight w:val="none"/>
          <w:lang w:val="zh-CN"/>
        </w:rPr>
      </w:r>
      <w:r/>
    </w:p>
    <w:p>
      <w:pPr>
        <w:pStyle w:val="664"/>
        <w:ind w:firstLine="420"/>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（2）采购人在</w:t>
      </w:r>
      <w:r>
        <w:rPr>
          <w:rFonts w:hint="eastAsia" w:ascii="宋体" w:hAnsi="宋体"/>
          <w:color w:val="000000"/>
          <w:sz w:val="24"/>
          <w:szCs w:val="21"/>
          <w:highlight w:val="none"/>
        </w:rPr>
        <w:t xml:space="preserve">磋商小组</w:t>
      </w:r>
      <w:r>
        <w:rPr>
          <w:rFonts w:hint="eastAsia" w:ascii="宋体" w:hAnsi="宋体"/>
          <w:color w:val="000000"/>
          <w:sz w:val="24"/>
          <w:szCs w:val="21"/>
          <w:highlight w:val="none"/>
          <w:lang w:val="zh-CN"/>
        </w:rPr>
        <w:t xml:space="preserve">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ascii="宋体" w:hAnsi="宋体"/>
          <w:color w:val="000000"/>
          <w:sz w:val="24"/>
          <w:szCs w:val="21"/>
          <w:highlight w:val="none"/>
          <w:lang w:val="zh-CN"/>
        </w:rPr>
      </w:r>
      <w:r/>
    </w:p>
    <w:p>
      <w:pPr>
        <w:pStyle w:val="664"/>
        <w:ind w:firstLine="420"/>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按第二种方式确定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000000"/>
          <w:sz w:val="24"/>
          <w:szCs w:val="21"/>
          <w:highlight w:val="none"/>
        </w:rPr>
        <w:t xml:space="preserve">成交候选供应商</w:t>
      </w:r>
      <w:r>
        <w:rPr>
          <w:rFonts w:hint="eastAsia" w:ascii="宋体" w:hAnsi="宋体"/>
          <w:color w:val="000000"/>
          <w:sz w:val="24"/>
          <w:szCs w:val="21"/>
          <w:highlight w:val="none"/>
          <w:lang w:val="zh-CN"/>
        </w:rPr>
        <w:t xml:space="preserve">中按顺序确定</w:t>
      </w:r>
      <w:r>
        <w:rPr>
          <w:rFonts w:hint="eastAsia" w:ascii="宋体" w:hAnsi="宋体"/>
          <w:color w:val="000000"/>
          <w:sz w:val="24"/>
          <w:szCs w:val="21"/>
          <w:highlight w:val="none"/>
        </w:rPr>
        <w:t xml:space="preserve">成交供应商</w:t>
      </w:r>
      <w:r>
        <w:rPr>
          <w:rFonts w:hint="eastAsia" w:ascii="宋体" w:hAnsi="宋体"/>
          <w:color w:val="000000"/>
          <w:sz w:val="24"/>
          <w:szCs w:val="21"/>
          <w:highlight w:val="none"/>
          <w:lang w:val="zh-CN"/>
        </w:rPr>
        <w:t xml:space="preserve">。</w:t>
      </w:r>
      <w:r>
        <w:rPr>
          <w:rFonts w:ascii="宋体" w:hAnsi="宋体"/>
          <w:color w:val="000000"/>
          <w:sz w:val="24"/>
          <w:szCs w:val="21"/>
          <w:highlight w:val="none"/>
          <w:lang w:val="zh-CN"/>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26.3 交易中心将在“江苏政府采购网”发布成交结果公告，公告期限为1个工作日。</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26.4 </w:t>
      </w:r>
      <w:r>
        <w:rPr>
          <w:rFonts w:hint="eastAsia" w:ascii="宋体" w:hAnsi="宋体"/>
          <w:b/>
          <w:bCs/>
          <w:color w:val="000000"/>
          <w:sz w:val="24"/>
          <w:szCs w:val="21"/>
          <w:highlight w:val="none"/>
        </w:rPr>
        <w:t xml:space="preserve">若有充分证据证明成交供应商有下列情况之一的，一经查实将被取消成交资格：</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26.4.1 提供虚假材料谋取成交。</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26.4.2 向评审专家、采购人或交易中心工作人员行贿或者提供其他不正当利益。</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26.4.3 与其他供应商、评审专家、采购人或交易中心工作人员恶意串通。</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26.4.4 不满足本磋商文件规定的实质性要求，但在评审过程中未被磋商小组发现。</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26.4.5 采取不正当手段诋毁、排挤其他供应商。</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27.成交通知书</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27.1 成交结果确定后，交易中心将向成交供应商发出《成交通知书》。成交供应商可在成交结果公告届满之日起三十日内，登录苏采云系统下载。    </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szCs w:val="21"/>
          <w:highlight w:val="none"/>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ascii="方正黑体_GBK" w:hAnsi="方正黑体_GBK" w:eastAsia="方正黑体_GBK" w:cs="方正黑体_GBK"/>
          <w:b w:val="0"/>
          <w:bCs w:val="0"/>
          <w:color w:val="000000"/>
          <w:sz w:val="30"/>
          <w:szCs w:val="30"/>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28.签订合同</w:t>
      </w:r>
      <w:r>
        <w:rPr>
          <w:rFonts w:ascii="方正楷体_GBK" w:hAnsi="方正楷体_GBK" w:eastAsia="方正楷体_GBK" w:cs="方正楷体_GBK"/>
          <w:color w:val="000000"/>
          <w:highlight w:val="none"/>
        </w:rPr>
      </w:r>
      <w:r/>
    </w:p>
    <w:p>
      <w:pPr>
        <w:pStyle w:val="664"/>
        <w:ind w:firstLine="420"/>
        <w:rPr>
          <w:rFonts w:ascii="宋体" w:hAnsi="宋体"/>
          <w:color w:val="000000"/>
          <w:sz w:val="24"/>
          <w:highlight w:val="none"/>
        </w:rPr>
      </w:pPr>
      <w:r>
        <w:rPr>
          <w:rFonts w:hint="eastAsia" w:ascii="宋体" w:hAnsi="宋体"/>
          <w:color w:val="000000"/>
          <w:sz w:val="24"/>
          <w:szCs w:val="21"/>
          <w:highlight w:val="none"/>
        </w:rPr>
        <w:t xml:space="preserve">28.l 成交供应商应当在《成交通知书》发出之日起三十日内，按照磋商文件确定的事项与采购人签订政府采购合同。</w:t>
      </w:r>
      <w:r>
        <w:rPr>
          <w:rFonts w:hint="eastAsia" w:ascii="宋体" w:hAnsi="宋体"/>
          <w:color w:val="000000"/>
          <w:sz w:val="24"/>
          <w:highlight w:val="none"/>
        </w:rPr>
        <w:t xml:space="preserve">采购人于合同签订后2个工作日内通过苏采云系统进行公示。</w:t>
      </w:r>
      <w:r>
        <w:rPr>
          <w:rFonts w:ascii="宋体" w:hAnsi="宋体"/>
          <w:color w:val="000000"/>
          <w:sz w:val="24"/>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28.2 磋商文件、成交供应商的响应文件及磋商过程中有关澄清、承诺文件均作为合同附件。</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color w:val="000000"/>
          <w:sz w:val="24"/>
          <w:szCs w:val="21"/>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28.4 成交供应商因自身原因拒绝与采购人签订合同的，</w:t>
      </w:r>
      <w:r>
        <w:rPr>
          <w:rFonts w:hint="eastAsia" w:ascii="宋体" w:hAnsi="宋体"/>
          <w:color w:val="000000"/>
          <w:sz w:val="24"/>
          <w:highlight w:val="none"/>
          <w:lang w:val="zh-CN"/>
        </w:rPr>
        <w:t xml:space="preserve">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rPr>
          <w:rFonts w:ascii="方正楷体_GBK" w:hAnsi="方正楷体_GBK" w:eastAsia="方正楷体_GBK" w:cs="方正楷体_GBK"/>
          <w:color w:val="000000"/>
          <w:highlight w:val="none"/>
        </w:rPr>
      </w:r>
      <w:r/>
    </w:p>
    <w:p>
      <w:pPr>
        <w:pStyle w:val="664"/>
        <w:ind w:firstLine="420"/>
        <w:rPr>
          <w:rFonts w:ascii="宋体" w:hAnsi="宋体"/>
          <w:color w:val="000000"/>
          <w:sz w:val="24"/>
          <w:szCs w:val="21"/>
          <w:highlight w:val="none"/>
        </w:rPr>
      </w:pPr>
      <w:r>
        <w:rPr>
          <w:rFonts w:hint="eastAsia" w:ascii="宋体" w:hAnsi="宋体"/>
          <w:color w:val="000000"/>
          <w:sz w:val="24"/>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ascii="宋体" w:hAnsi="宋体"/>
          <w:color w:val="000000"/>
          <w:sz w:val="24"/>
          <w:szCs w:val="21"/>
          <w:highlight w:val="none"/>
        </w:rPr>
      </w:r>
      <w:r/>
    </w:p>
    <w:p>
      <w:pPr>
        <w:pStyle w:val="857"/>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rPr>
          <w:rFonts w:ascii="方正楷体_GBK" w:hAnsi="方正楷体_GBK" w:eastAsia="方正楷体_GBK" w:cs="方正楷体_GBK"/>
          <w:color w:val="000000"/>
          <w:highlight w:val="none"/>
        </w:rPr>
      </w:r>
      <w:r/>
    </w:p>
    <w:p>
      <w:pPr>
        <w:pStyle w:val="664"/>
        <w:ind w:firstLine="420"/>
        <w:rPr>
          <w:rFonts w:ascii="宋体" w:hAnsi="宋体"/>
          <w:color w:val="000000"/>
          <w:sz w:val="24"/>
          <w:highlight w:val="none"/>
          <w:lang w:val="zh-CN"/>
        </w:rPr>
      </w:pPr>
      <w:r>
        <w:rPr>
          <w:rFonts w:hint="eastAsia" w:ascii="宋体" w:hAnsi="宋体"/>
          <w:color w:val="000000"/>
          <w:sz w:val="24"/>
          <w:szCs w:val="21"/>
          <w:highlight w:val="none"/>
        </w:rPr>
        <w:t xml:space="preserve">30.1 成交供应商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rFonts w:ascii="宋体" w:hAnsi="宋体"/>
          <w:color w:val="000000"/>
          <w:sz w:val="24"/>
          <w:highlight w:val="none"/>
          <w:lang w:val="zh-CN"/>
        </w:rPr>
      </w:r>
      <w:r/>
    </w:p>
    <w:p>
      <w:pPr>
        <w:pStyle w:val="664"/>
        <w:ind w:firstLine="420"/>
        <w:rPr>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150号），需要缴纳履约保证金的，成交供应商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color w:val="000000"/>
          <w:highlight w:val="none"/>
          <w:lang w:val="zh-CN"/>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ascii="方正黑体_GBK" w:hAnsi="方正黑体_GBK" w:eastAsia="方正黑体_GBK" w:cs="方正黑体_GBK"/>
          <w:b w:val="0"/>
          <w:bCs w:val="0"/>
          <w:color w:val="000000"/>
          <w:sz w:val="30"/>
          <w:szCs w:val="30"/>
          <w:highlight w:val="none"/>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对采购文件提出质疑的，为收到采购文件之日或者采购文件公告期限届满之日。</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对采购过程提出质疑的，为各采购程序环节结束之日。</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对成交结果提出质疑的，为成交结果公告期限届满之日。</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采购人将只对供应商第一次质疑作出答复。</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rFonts w:ascii="宋体" w:hAnsi="宋体"/>
          <w:color w:val="000000"/>
          <w:sz w:val="24"/>
          <w:highlight w:val="none"/>
          <w:lang w:val="zh-CN"/>
        </w:rPr>
      </w:r>
      <w:r/>
    </w:p>
    <w:p>
      <w:pPr>
        <w:pStyle w:val="664"/>
        <w:ind w:firstLine="420"/>
        <w:jc w:val="left"/>
        <w:rPr>
          <w:rFonts w:ascii="宋体" w:hAnsi="宋体"/>
          <w:b/>
          <w:bCs/>
          <w:color w:val="000000"/>
          <w:sz w:val="24"/>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rPr>
        <w:t xml:space="preserve">供应商根据质疑事项向相应的质疑答复主体提出质疑，具体详见采购文件第一章。由采购人负责答复的质疑，采购人将《质疑函》《质疑答复函》抄送交易中心。</w:t>
      </w:r>
      <w:r>
        <w:rPr>
          <w:rFonts w:ascii="宋体" w:hAnsi="宋体"/>
          <w:b/>
          <w:bCs/>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36.</w:t>
      </w:r>
      <w:r>
        <w:rPr>
          <w:rFonts w:hint="eastAsia" w:ascii="宋体" w:hAnsi="宋体"/>
          <w:color w:val="000000"/>
          <w:sz w:val="24"/>
          <w:highlight w:val="none"/>
          <w:lang w:val="zh-CN"/>
        </w:rPr>
        <w:t xml:space="preserve">以下情形的质疑不予受理：</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超出政府采购法定期限的质疑；</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w:t>
      </w:r>
      <w:r>
        <w:rPr>
          <w:rFonts w:hint="eastAsia" w:ascii="宋体" w:hAnsi="宋体"/>
          <w:color w:val="000000"/>
          <w:sz w:val="24"/>
          <w:highlight w:val="none"/>
        </w:rPr>
        <w:t xml:space="preserve">属于第33条规定的对</w:t>
      </w:r>
      <w:r>
        <w:rPr>
          <w:rFonts w:hint="eastAsia" w:ascii="宋体" w:hAnsi="宋体"/>
          <w:color w:val="000000"/>
          <w:sz w:val="24"/>
          <w:highlight w:val="none"/>
          <w:lang w:val="zh-CN"/>
        </w:rPr>
        <w:t xml:space="preserve">同一采购程序环节提出</w:t>
      </w:r>
      <w:r>
        <w:rPr>
          <w:rFonts w:hint="eastAsia" w:ascii="宋体" w:hAnsi="宋体"/>
          <w:color w:val="000000"/>
          <w:sz w:val="24"/>
          <w:highlight w:val="none"/>
        </w:rPr>
        <w:t xml:space="preserve">的多次</w:t>
      </w:r>
      <w:r>
        <w:rPr>
          <w:rFonts w:hint="eastAsia" w:ascii="宋体" w:hAnsi="宋体"/>
          <w:color w:val="000000"/>
          <w:sz w:val="24"/>
          <w:highlight w:val="none"/>
          <w:lang w:val="zh-CN"/>
        </w:rPr>
        <w:t xml:space="preserve">质疑；</w:t>
      </w:r>
      <w:r>
        <w:rPr>
          <w:rFonts w:ascii="宋体" w:hAnsi="宋体"/>
          <w:color w:val="000000"/>
          <w:sz w:val="24"/>
          <w:highlight w:val="none"/>
          <w:lang w:val="zh-CN"/>
        </w:rPr>
      </w:r>
      <w:r/>
    </w:p>
    <w:p>
      <w:pPr>
        <w:pStyle w:val="664"/>
        <w:ind w:firstLine="420"/>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ascii="宋体" w:hAnsi="宋体"/>
          <w:color w:val="000000"/>
          <w:sz w:val="24"/>
          <w:highlight w:val="none"/>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ascii="宋体" w:hAnsi="宋体"/>
          <w:color w:val="000000"/>
          <w:sz w:val="24"/>
          <w:highlight w:val="none"/>
          <w:lang w:val="zh-CN"/>
        </w:rPr>
      </w:r>
      <w:r/>
    </w:p>
    <w:p>
      <w:pPr>
        <w:pStyle w:val="855"/>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857"/>
        <w:ind w:firstLine="420"/>
        <w:spacing w:before="0" w:after="0" w:line="240" w:lineRule="auto"/>
        <w:rPr>
          <w:rFonts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rPr>
          <w:rFonts w:ascii="方正楷体_GBK" w:hAnsi="方正楷体_GBK" w:eastAsia="方正楷体_GBK" w:cs="方正楷体_GBK"/>
          <w:color w:val="000000"/>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38.1 本项目</w:t>
      </w:r>
      <w:r>
        <w:rPr>
          <w:rFonts w:hint="eastAsia" w:ascii="宋体" w:hAnsi="宋体"/>
          <w:color w:val="000000"/>
          <w:sz w:val="24"/>
          <w:highlight w:val="none"/>
          <w:lang w:val="zh-CN"/>
        </w:rPr>
        <w:t xml:space="preserve">服务由中小企业承接的，</w:t>
      </w:r>
      <w:r>
        <w:rPr>
          <w:rFonts w:hint="eastAsia" w:ascii="宋体" w:hAnsi="宋体"/>
          <w:color w:val="000000"/>
          <w:sz w:val="24"/>
          <w:highlight w:val="none"/>
        </w:rPr>
        <w:t xml:space="preserve">参与磋商的供应商</w:t>
      </w:r>
      <w:r>
        <w:rPr>
          <w:rFonts w:hint="eastAsia" w:ascii="宋体" w:hAnsi="宋体"/>
          <w:color w:val="000000"/>
          <w:sz w:val="24"/>
          <w:highlight w:val="none"/>
          <w:lang w:val="zh-CN"/>
        </w:rPr>
        <w:t xml:space="preserve">享受中小企业扶持政策：</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bookmarkEnd w:id="8"/>
      <w:r/>
      <w:bookmarkEnd w:id="9"/>
      <w:r/>
      <w:bookmarkEnd w:id="10"/>
      <w:r/>
      <w:bookmarkEnd w:id="11"/>
      <w:r>
        <w:rPr>
          <w:rFonts w:ascii="宋体" w:hAnsi="宋体"/>
          <w:color w:val="000000"/>
          <w:sz w:val="24"/>
          <w:highlight w:val="none"/>
          <w:lang w:val="zh-CN"/>
        </w:rPr>
      </w:r>
      <w:r/>
    </w:p>
    <w:p>
      <w:pPr>
        <w:pStyle w:val="857"/>
        <w:ind w:firstLine="420"/>
        <w:spacing w:before="0" w:after="0" w:line="240" w:lineRule="auto"/>
        <w:rPr>
          <w:rFonts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39.节能环保产品</w:t>
      </w:r>
      <w:r>
        <w:rPr>
          <w:rFonts w:ascii="方正楷体_GBK" w:hAnsi="方正楷体_GBK" w:eastAsia="方正楷体_GBK" w:cs="方正楷体_GBK"/>
          <w:color w:val="000000"/>
          <w:highlight w:val="none"/>
          <w:lang w:val="zh-CN"/>
        </w:rPr>
      </w:r>
      <w:r/>
    </w:p>
    <w:p>
      <w:pPr>
        <w:pStyle w:val="664"/>
        <w:ind w:firstLine="420"/>
        <w:rPr>
          <w:rFonts w:ascii="宋体" w:hAnsi="宋体"/>
          <w:color w:val="000000"/>
          <w:sz w:val="24"/>
          <w:highlight w:val="none"/>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ascii="宋体" w:hAnsi="宋体"/>
          <w:color w:val="000000"/>
          <w:sz w:val="24"/>
          <w:highlight w:val="none"/>
        </w:rPr>
      </w:r>
      <w:r/>
    </w:p>
    <w:p>
      <w:pPr>
        <w:pStyle w:val="664"/>
        <w:ind w:firstLine="420"/>
        <w:rPr>
          <w:rFonts w:ascii="宋体" w:hAnsi="宋体"/>
          <w:color w:val="000000"/>
          <w:sz w:val="24"/>
          <w:highlight w:val="none"/>
        </w:rPr>
      </w:pPr>
      <w:r>
        <w:rPr>
          <w:rFonts w:hint="eastAsia" w:ascii="宋体" w:hAnsi="宋体"/>
          <w:color w:val="000000"/>
          <w:sz w:val="24"/>
          <w:highlight w:val="none"/>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ascii="宋体" w:hAnsi="宋体"/>
          <w:color w:val="000000"/>
          <w:sz w:val="24"/>
          <w:highlight w:val="none"/>
        </w:rPr>
      </w:r>
      <w:r/>
    </w:p>
    <w:p>
      <w:pPr>
        <w:pStyle w:val="664"/>
        <w:ind w:firstLine="420"/>
        <w:rPr>
          <w:rFonts w:ascii="宋体" w:hAnsi="宋体"/>
          <w:color w:val="000000"/>
          <w:sz w:val="24"/>
          <w:highlight w:val="none"/>
        </w:rPr>
      </w:pPr>
      <w:r>
        <w:rPr>
          <w:rFonts w:hint="eastAsia" w:ascii="宋体" w:hAnsi="宋体"/>
          <w:color w:val="000000"/>
          <w:sz w:val="24"/>
          <w:highlight w:val="none"/>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ascii="宋体" w:hAnsi="宋体"/>
          <w:color w:val="000000"/>
          <w:sz w:val="24"/>
          <w:highlight w:val="none"/>
        </w:rPr>
      </w:r>
      <w:r/>
    </w:p>
    <w:p>
      <w:pPr>
        <w:pStyle w:val="857"/>
        <w:ind w:firstLine="420"/>
        <w:spacing w:before="0" w:after="0" w:line="240" w:lineRule="auto"/>
        <w:rPr>
          <w:rFonts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40.绿色采购</w:t>
      </w:r>
      <w:r>
        <w:rPr>
          <w:rFonts w:ascii="方正楷体_GBK" w:hAnsi="方正楷体_GBK" w:eastAsia="方正楷体_GBK" w:cs="方正楷体_GBK"/>
          <w:color w:val="000000"/>
          <w:highlight w:val="none"/>
          <w:lang w:val="zh-CN"/>
        </w:rPr>
      </w:r>
      <w:r/>
    </w:p>
    <w:p>
      <w:pPr>
        <w:pStyle w:val="664"/>
        <w:ind w:firstLine="420"/>
        <w:rPr>
          <w:rFonts w:ascii="宋体" w:hAnsi="宋体"/>
          <w:color w:val="000000"/>
          <w:sz w:val="24"/>
          <w:highlight w:val="none"/>
        </w:rPr>
      </w:pPr>
      <w:r>
        <w:rPr>
          <w:rFonts w:hint="eastAsia" w:ascii="宋体" w:hAnsi="宋体"/>
          <w:color w:val="000000"/>
          <w:sz w:val="24"/>
          <w:highlight w:val="none"/>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ascii="宋体" w:hAnsi="宋体"/>
          <w:color w:val="000000"/>
          <w:sz w:val="24"/>
          <w:highlight w:val="none"/>
        </w:rPr>
      </w:r>
      <w:r/>
    </w:p>
    <w:p>
      <w:pPr>
        <w:pStyle w:val="664"/>
        <w:ind w:firstLine="420"/>
        <w:rPr>
          <w:rFonts w:ascii="宋体" w:hAnsi="宋体"/>
          <w:color w:val="000000"/>
          <w:sz w:val="24"/>
          <w:highlight w:val="none"/>
        </w:rPr>
      </w:pPr>
      <w:r>
        <w:rPr>
          <w:rFonts w:hint="eastAsia" w:ascii="宋体" w:hAnsi="宋体"/>
          <w:color w:val="000000"/>
          <w:sz w:val="24"/>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ascii="宋体" w:hAnsi="宋体"/>
          <w:color w:val="000000"/>
          <w:sz w:val="24"/>
          <w:highlight w:val="none"/>
        </w:rPr>
      </w:r>
      <w:r/>
    </w:p>
    <w:p>
      <w:pPr>
        <w:pStyle w:val="664"/>
        <w:ind w:firstLine="420"/>
        <w:rPr>
          <w:rFonts w:ascii="宋体" w:hAnsi="宋体"/>
          <w:color w:val="000000"/>
          <w:sz w:val="24"/>
          <w:highlight w:val="none"/>
        </w:rPr>
      </w:pPr>
      <w:r>
        <w:rPr>
          <w:rFonts w:hint="eastAsia" w:ascii="宋体" w:hAnsi="宋体"/>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ascii="宋体" w:hAnsi="宋体"/>
          <w:color w:val="000000"/>
          <w:sz w:val="24"/>
          <w:highlight w:val="none"/>
        </w:rPr>
      </w:r>
      <w:r/>
    </w:p>
    <w:p>
      <w:pPr>
        <w:pStyle w:val="664"/>
        <w:ind w:firstLine="420"/>
        <w:rPr>
          <w:rFonts w:ascii="宋体" w:hAnsi="宋体"/>
          <w:color w:val="000000"/>
          <w:sz w:val="24"/>
          <w:highlight w:val="none"/>
        </w:rPr>
      </w:pPr>
      <w:r>
        <w:rPr>
          <w:rFonts w:hint="eastAsia" w:ascii="宋体" w:hAnsi="宋体"/>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ascii="宋体" w:hAnsi="宋体"/>
          <w:color w:val="000000"/>
          <w:sz w:val="24"/>
          <w:highlight w:val="none"/>
        </w:rPr>
      </w:r>
      <w:r/>
    </w:p>
    <w:p>
      <w:pPr>
        <w:pStyle w:val="857"/>
        <w:ind w:firstLine="420"/>
        <w:spacing w:before="0" w:after="0" w:line="240" w:lineRule="auto"/>
        <w:rPr>
          <w:rFonts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41.创新产品采购</w:t>
      </w:r>
      <w:r>
        <w:rPr>
          <w:rFonts w:ascii="方正楷体_GBK" w:hAnsi="方正楷体_GBK" w:eastAsia="方正楷体_GBK" w:cs="方正楷体_GBK"/>
          <w:color w:val="000000"/>
          <w:highlight w:val="none"/>
          <w:lang w:val="zh-CN"/>
        </w:rPr>
      </w:r>
      <w:r/>
    </w:p>
    <w:p>
      <w:pPr>
        <w:pStyle w:val="664"/>
        <w:ind w:firstLine="420"/>
        <w:widowControl/>
        <w:rPr>
          <w:rFonts w:ascii="宋体" w:hAnsi="宋体"/>
          <w:color w:val="000000"/>
          <w:sz w:val="24"/>
          <w:highlight w:val="none"/>
        </w:rPr>
      </w:pPr>
      <w:r>
        <w:rPr>
          <w:rFonts w:hint="eastAsia" w:ascii="宋体" w:hAnsi="宋体"/>
          <w:color w:val="000000"/>
          <w:sz w:val="24"/>
          <w:highlight w:val="none"/>
        </w:rPr>
        <w:t xml:space="preserve">41.1 优先采购各级政府部门公开发布的有效期内的创新产品、首台套等《目录》内的创新产品。创新产品自进入《目录》起2年内视同具备相应销售业绩。</w:t>
      </w:r>
      <w:r>
        <w:rPr>
          <w:rFonts w:ascii="宋体" w:hAnsi="宋体"/>
          <w:color w:val="000000"/>
          <w:sz w:val="24"/>
          <w:highlight w:val="none"/>
        </w:rPr>
      </w:r>
      <w:r/>
    </w:p>
    <w:p>
      <w:pPr>
        <w:pStyle w:val="857"/>
        <w:ind w:firstLine="420"/>
        <w:spacing w:before="0" w:after="0" w:line="240" w:lineRule="auto"/>
        <w:rPr>
          <w:rFonts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42.网络产品、市场准入类产品采购</w:t>
      </w:r>
      <w:r>
        <w:rPr>
          <w:rFonts w:ascii="方正楷体_GBK" w:hAnsi="方正楷体_GBK" w:eastAsia="方正楷体_GBK" w:cs="方正楷体_GBK"/>
          <w:color w:val="000000"/>
          <w:highlight w:val="none"/>
          <w:lang w:val="zh-CN"/>
        </w:rPr>
      </w:r>
      <w:r/>
    </w:p>
    <w:p>
      <w:pPr>
        <w:pStyle w:val="664"/>
        <w:ind w:firstLine="420"/>
        <w:widowControl/>
        <w:rPr>
          <w:rFonts w:ascii="宋体" w:hAnsi="宋体"/>
          <w:color w:val="000000"/>
          <w:sz w:val="24"/>
          <w:highlight w:val="none"/>
        </w:rPr>
      </w:pPr>
      <w:r>
        <w:rPr>
          <w:rFonts w:hint="eastAsia" w:ascii="宋体" w:hAnsi="宋体"/>
          <w:color w:val="000000"/>
          <w:sz w:val="24"/>
          <w:highlight w:val="none"/>
        </w:rPr>
        <w:t xml:space="preserve">42.1 本</w:t>
      </w:r>
      <w:r>
        <w:rPr>
          <w:rFonts w:hint="eastAsia" w:ascii="宋体" w:hAnsi="宋体"/>
          <w:color w:val="000000"/>
          <w:sz w:val="24"/>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ascii="宋体" w:hAnsi="宋体"/>
          <w:color w:val="000000"/>
          <w:sz w:val="24"/>
          <w:highlight w:val="none"/>
        </w:rPr>
      </w:r>
      <w:r/>
    </w:p>
    <w:p>
      <w:pPr>
        <w:pStyle w:val="664"/>
        <w:ind w:firstLine="420"/>
        <w:widowControl/>
        <w:rPr>
          <w:rFonts w:ascii="宋体" w:hAnsi="宋体"/>
          <w:color w:val="000000"/>
          <w:sz w:val="24"/>
          <w:highlight w:val="none"/>
        </w:rPr>
      </w:pPr>
      <w:r>
        <w:rPr>
          <w:rFonts w:hint="eastAsia" w:ascii="宋体" w:hAnsi="宋体"/>
          <w:color w:val="000000"/>
          <w:sz w:val="24"/>
          <w:highlight w:val="none"/>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ascii="宋体" w:hAnsi="宋体"/>
          <w:color w:val="000000"/>
          <w:sz w:val="24"/>
          <w:highlight w:val="none"/>
        </w:rPr>
      </w:r>
      <w:r/>
    </w:p>
    <w:p>
      <w:pPr>
        <w:pStyle w:val="857"/>
        <w:ind w:firstLine="420"/>
        <w:spacing w:before="0" w:after="0" w:line="240" w:lineRule="auto"/>
        <w:rPr>
          <w:rFonts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43.实施本国产品标准及相关政策</w:t>
      </w:r>
      <w:r>
        <w:rPr>
          <w:rFonts w:ascii="方正楷体_GBK" w:hAnsi="方正楷体_GBK" w:eastAsia="方正楷体_GBK" w:cs="方正楷体_GBK"/>
          <w:color w:val="000000"/>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rPr>
        <w:t xml:space="preserve">43.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43.2本国产品应当符合以下条件：</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（1）在中国境内生产</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（3）特定产品的关键组件、关键工序符合相关要求</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43.3本国产品标准的适用范围</w:t>
      </w:r>
      <w:r>
        <w:rPr>
          <w:rFonts w:ascii="宋体" w:hAnsi="宋体"/>
          <w:color w:val="000000"/>
          <w:sz w:val="24"/>
          <w:highlight w:val="none"/>
          <w:lang w:val="zh-CN"/>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olor w:val="000000"/>
          <w:sz w:val="24"/>
          <w:highlight w:val="none"/>
          <w:lang w:val="zh-CN"/>
        </w:rPr>
      </w:r>
      <w:r/>
    </w:p>
    <w:p>
      <w:pPr>
        <w:pStyle w:val="664"/>
        <w:ind w:firstLine="420"/>
        <w:rPr>
          <w:rFonts w:ascii="宋体" w:hAnsi="宋体"/>
          <w:color w:val="000000"/>
          <w:sz w:val="24"/>
          <w:highlight w:val="none"/>
        </w:rPr>
      </w:pPr>
      <w:r>
        <w:rPr>
          <w:rFonts w:hint="eastAsia" w:ascii="宋体" w:hAnsi="宋体"/>
          <w:color w:val="000000"/>
          <w:sz w:val="24"/>
          <w:highlight w:val="none"/>
        </w:rPr>
        <w:t xml:space="preserve">43.4对本国产品的支持政策</w:t>
      </w:r>
      <w:r>
        <w:rPr>
          <w:rFonts w:ascii="宋体" w:hAnsi="宋体"/>
          <w:color w:val="000000"/>
          <w:sz w:val="24"/>
          <w:highlight w:val="none"/>
        </w:rPr>
      </w:r>
      <w:r/>
    </w:p>
    <w:p>
      <w:pPr>
        <w:pStyle w:val="664"/>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664"/>
        <w:ind w:firstLine="420"/>
        <w:rPr>
          <w:rFonts w:ascii="宋体" w:hAnsi="宋体"/>
          <w:color w:val="000000"/>
          <w:sz w:val="24"/>
          <w:highlight w:val="none"/>
        </w:rPr>
      </w:pPr>
      <w:r>
        <w:rPr>
          <w:rFonts w:hint="eastAsia" w:ascii="宋体" w:hAnsi="宋体"/>
          <w:color w:val="000000"/>
          <w:sz w:val="24"/>
          <w:highlight w:val="none"/>
        </w:rPr>
        <w:t xml:space="preserve">43.5政策执行要求</w:t>
      </w:r>
      <w:r>
        <w:rPr>
          <w:rFonts w:ascii="宋体" w:hAnsi="宋体"/>
          <w:color w:val="000000"/>
          <w:sz w:val="24"/>
          <w:highlight w:val="none"/>
        </w:rPr>
      </w:r>
      <w:r/>
    </w:p>
    <w:p>
      <w:pPr>
        <w:pStyle w:val="664"/>
        <w:ind w:firstLine="420"/>
        <w:rPr>
          <w:rFonts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ascii="宋体" w:hAnsi="宋体" w:cs="宋体"/>
          <w:color w:val="000000"/>
          <w:sz w:val="24"/>
          <w:szCs w:val="24"/>
          <w:highlight w:val="none"/>
          <w:shd w:val="clear" w:color="auto" w:fill="ffffff"/>
        </w:rPr>
      </w:r>
      <w:r/>
    </w:p>
    <w:p>
      <w:pPr>
        <w:pStyle w:val="664"/>
        <w:ind w:firstLine="420"/>
        <w:rPr>
          <w:rFonts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ascii="宋体" w:hAnsi="宋体"/>
          <w:b/>
          <w:bCs/>
          <w:color w:val="000000"/>
          <w:sz w:val="24"/>
          <w:highlight w:val="none"/>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olor w:val="000000"/>
          <w:sz w:val="24"/>
          <w:highlight w:val="none"/>
          <w:lang w:val="zh-CN"/>
        </w:rPr>
      </w:r>
      <w:r/>
    </w:p>
    <w:p>
      <w:pPr>
        <w:pStyle w:val="857"/>
        <w:ind w:firstLine="420"/>
        <w:spacing w:before="0" w:after="0" w:line="240" w:lineRule="auto"/>
        <w:rPr>
          <w:rFonts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rPr>
        <w:t xml:space="preserve">4</w:t>
      </w:r>
      <w:r>
        <w:rPr>
          <w:rFonts w:hint="eastAsia" w:ascii="方正楷体_GBK" w:hAnsi="方正楷体_GBK" w:eastAsia="方正楷体_GBK" w:cs="方正楷体_GBK"/>
          <w:color w:val="000000"/>
          <w:highlight w:val="none"/>
          <w:lang w:val="zh-CN"/>
        </w:rPr>
        <w:t xml:space="preserve">.数据交易说明</w:t>
      </w:r>
      <w:r>
        <w:rPr>
          <w:rFonts w:ascii="方正楷体_GBK" w:hAnsi="方正楷体_GBK" w:eastAsia="方正楷体_GBK" w:cs="方正楷体_GBK"/>
          <w:color w:val="000000"/>
          <w:highlight w:val="none"/>
          <w:lang w:val="zh-CN"/>
        </w:rPr>
      </w:r>
      <w:r/>
    </w:p>
    <w:p>
      <w:pPr>
        <w:pStyle w:val="664"/>
        <w:ind w:firstLine="420"/>
        <w:widowControl/>
        <w:rPr>
          <w:rFonts w:ascii="宋体" w:hAnsi="宋体"/>
          <w:color w:val="000000"/>
          <w:sz w:val="24"/>
          <w:highlight w:val="none"/>
        </w:rPr>
      </w:pPr>
      <w:r>
        <w:rPr>
          <w:rFonts w:hint="eastAsia" w:ascii="宋体" w:hAnsi="宋体"/>
          <w:color w:val="000000"/>
          <w:sz w:val="24"/>
          <w:highlight w:val="none"/>
        </w:rPr>
        <w:t xml:space="preserve">数据交易标的包括数据产品、数据服务、数据工具。</w:t>
      </w:r>
      <w:r>
        <w:rPr>
          <w:rFonts w:ascii="宋体" w:hAnsi="宋体"/>
          <w:color w:val="000000"/>
          <w:sz w:val="24"/>
          <w:highlight w:val="none"/>
        </w:rPr>
      </w:r>
      <w:r/>
    </w:p>
    <w:p>
      <w:pPr>
        <w:pStyle w:val="664"/>
        <w:ind w:firstLine="420"/>
        <w:widowControl/>
        <w:rPr>
          <w:rFonts w:ascii="宋体" w:hAnsi="宋体"/>
          <w:color w:val="000000"/>
          <w:sz w:val="24"/>
          <w:highlight w:val="none"/>
        </w:rPr>
      </w:pPr>
      <w:r>
        <w:rPr>
          <w:rFonts w:hint="eastAsia" w:ascii="宋体" w:hAnsi="宋体"/>
          <w:color w:val="000000"/>
          <w:sz w:val="24"/>
          <w:highlight w:val="none"/>
        </w:rPr>
        <w:t xml:space="preserve">数据产品是指用于交易的数据和数据衍生产品，包括但不限于数据集、数据分析报告、数据可视化产品、数据指数、API 数据、加密数据等。</w:t>
      </w:r>
      <w:r>
        <w:rPr>
          <w:rFonts w:ascii="宋体" w:hAnsi="宋体"/>
          <w:color w:val="000000"/>
          <w:sz w:val="24"/>
          <w:highlight w:val="none"/>
        </w:rPr>
      </w:r>
      <w:r/>
    </w:p>
    <w:p>
      <w:pPr>
        <w:pStyle w:val="664"/>
        <w:ind w:firstLine="420"/>
        <w:widowControl/>
        <w:rPr>
          <w:rFonts w:ascii="宋体" w:hAnsi="宋体"/>
          <w:color w:val="000000"/>
          <w:sz w:val="24"/>
          <w:highlight w:val="none"/>
        </w:rPr>
      </w:pPr>
      <w:r>
        <w:rPr>
          <w:rFonts w:hint="eastAsia" w:ascii="宋体" w:hAnsi="宋体"/>
          <w:color w:val="000000"/>
          <w:sz w:val="24"/>
          <w:highlight w:val="none"/>
        </w:rPr>
        <w:t xml:space="preserve">数据服务是指提供数据收集、存储、使用、加工、传输等服务，包括但不限于数据采集和预处理服务、数据建模、分析处理服务、数据可视化服务、数据安全服务等。</w:t>
      </w:r>
      <w:r>
        <w:rPr>
          <w:rFonts w:ascii="宋体" w:hAnsi="宋体"/>
          <w:color w:val="000000"/>
          <w:sz w:val="24"/>
          <w:highlight w:val="none"/>
        </w:rPr>
      </w:r>
      <w:r/>
    </w:p>
    <w:p>
      <w:pPr>
        <w:pStyle w:val="664"/>
        <w:ind w:firstLine="420"/>
        <w:widowControl/>
        <w:rPr>
          <w:rFonts w:ascii="宋体" w:hAnsi="宋体"/>
          <w:color w:val="000000"/>
          <w:sz w:val="24"/>
          <w:highlight w:val="none"/>
        </w:rPr>
      </w:pPr>
      <w:r>
        <w:rPr>
          <w:rFonts w:hint="eastAsia" w:ascii="宋体" w:hAnsi="宋体"/>
          <w:color w:val="000000"/>
          <w:sz w:val="24"/>
          <w:highlight w:val="none"/>
        </w:rPr>
        <w:t xml:space="preserve">数据工具是指可实现数据服务的软硬件工具，包括但不限于数据存储和管理工具、数据采集工具、数据清洗工具、数据分析工具、数据可视化工具、数据安全工具等。</w:t>
      </w:r>
      <w:r>
        <w:rPr>
          <w:rFonts w:ascii="宋体" w:hAnsi="宋体"/>
          <w:color w:val="000000"/>
          <w:sz w:val="24"/>
          <w:highlight w:val="none"/>
        </w:rPr>
      </w:r>
      <w:r/>
    </w:p>
    <w:p>
      <w:pPr>
        <w:pStyle w:val="918"/>
        <w:ind w:firstLine="480"/>
        <w:rPr>
          <w:color w:val="000000"/>
          <w:sz w:val="24"/>
          <w:highlight w:val="none"/>
          <w:lang w:val="zh-CN"/>
        </w:rPr>
      </w:pPr>
      <w:r>
        <w:rPr>
          <w:color w:val="000000"/>
          <w:sz w:val="24"/>
          <w:highlight w:val="none"/>
          <w:lang w:val="zh-CN"/>
        </w:rPr>
      </w:r>
      <w:r/>
    </w:p>
    <w:p>
      <w:pPr>
        <w:pStyle w:val="664"/>
        <w:rPr>
          <w:rFonts w:ascii="宋体" w:hAnsi="宋体"/>
          <w:color w:val="000000"/>
          <w:sz w:val="24"/>
          <w:highlight w:val="none"/>
          <w:lang w:val="zh-CN"/>
        </w:rPr>
      </w:pPr>
      <w:r>
        <w:rPr>
          <w:rFonts w:ascii="宋体" w:hAnsi="宋体"/>
          <w:color w:val="000000"/>
          <w:sz w:val="24"/>
          <w:highlight w:val="none"/>
          <w:lang w:val="zh-CN"/>
        </w:rPr>
      </w:r>
      <w:r/>
    </w:p>
    <w:p>
      <w:pPr>
        <w:pStyle w:val="918"/>
        <w:ind w:firstLine="480"/>
        <w:rPr>
          <w:color w:val="000000"/>
          <w:sz w:val="24"/>
          <w:highlight w:val="none"/>
          <w:lang w:val="zh-CN"/>
        </w:rPr>
      </w:pPr>
      <w:r>
        <w:rPr>
          <w:color w:val="000000"/>
          <w:sz w:val="24"/>
          <w:highlight w:val="none"/>
          <w:lang w:val="zh-CN"/>
        </w:rPr>
      </w:r>
      <w:r/>
    </w:p>
    <w:p>
      <w:pPr>
        <w:pStyle w:val="664"/>
        <w:ind w:right="840"/>
        <w:jc w:val="center"/>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第三章  合同文本</w:t>
      </w:r>
      <w:r>
        <w:rPr>
          <w:rFonts w:ascii="方正小标宋简体" w:hAnsi="方正小标宋简体" w:eastAsia="方正小标宋简体" w:cs="方正小标宋简体"/>
          <w:color w:val="000000"/>
          <w:sz w:val="36"/>
          <w:szCs w:val="36"/>
          <w:highlight w:val="none"/>
        </w:rPr>
      </w:r>
      <w:r/>
    </w:p>
    <w:p>
      <w:pPr>
        <w:pStyle w:val="664"/>
        <w:jc w:val="center"/>
        <w:spacing w:before="145" w:after="145"/>
        <w:rPr>
          <w:rFonts w:ascii="宋体" w:hAnsi="宋体"/>
          <w:bCs/>
          <w:color w:val="000000"/>
          <w:sz w:val="24"/>
          <w:szCs w:val="21"/>
          <w:highlight w:val="none"/>
        </w:rPr>
      </w:pPr>
      <w:r>
        <w:rPr>
          <w:rFonts w:hint="eastAsia" w:ascii="宋体" w:hAnsi="宋体"/>
          <w:bCs/>
          <w:color w:val="000000"/>
          <w:sz w:val="24"/>
          <w:szCs w:val="21"/>
          <w:highlight w:val="none"/>
        </w:rPr>
        <w:t xml:space="preserve">以下为本项目的合同条款，合同双方不得对磋商、响应文件内容作实质性修改。</w:t>
      </w:r>
      <w:r>
        <w:rPr>
          <w:rFonts w:ascii="宋体" w:hAnsi="宋体"/>
          <w:bCs/>
          <w:color w:val="000000"/>
          <w:sz w:val="24"/>
          <w:szCs w:val="21"/>
          <w:highlight w:val="none"/>
        </w:rPr>
      </w:r>
      <w:r/>
    </w:p>
    <w:p>
      <w:pPr>
        <w:pStyle w:val="927"/>
        <w:ind w:left="0"/>
        <w:rPr>
          <w:color w:val="000000"/>
          <w:highlight w:val="none"/>
        </w:rPr>
      </w:pPr>
      <w:r>
        <w:rPr>
          <w:color w:val="000000"/>
          <w:highlight w:val="none"/>
        </w:rPr>
      </w:r>
      <w:r/>
    </w:p>
    <w:p>
      <w:pPr>
        <w:pStyle w:val="664"/>
        <w:jc w:val="center"/>
        <w:spacing w:before="145" w:after="145"/>
        <w:rPr>
          <w:rFonts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ascii="方正小标宋简体" w:hAnsi="方正小标宋简体" w:eastAsia="方正小标宋简体" w:cs="方正小标宋简体"/>
          <w:bCs/>
          <w:color w:val="000000"/>
          <w:sz w:val="32"/>
          <w:szCs w:val="32"/>
          <w:highlight w:val="none"/>
        </w:rPr>
      </w:r>
      <w:r/>
    </w:p>
    <w:p>
      <w:pPr>
        <w:pStyle w:val="664"/>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664"/>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664"/>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664"/>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664"/>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南京市公共资源交易中心六合分中心组织的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ascii="方正黑体_GBK" w:hAnsi="方正黑体_GBK" w:eastAsia="方正黑体_GBK" w:cs="方正黑体_GBK"/>
          <w:bCs/>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标的质量：按磋商文件及响应文件执行。</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标的数量（规模）：按磋商文件及响应文件执行。</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履行时间（期限）：按磋商文件及响应文件执行。</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履行方式：按磋商文件及响应文件执行。</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包装方式：按磋商文件及响应文件执行。</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w:t>
      </w:r>
      <w:r>
        <w:rPr>
          <w:rFonts w:hint="eastAsia" w:ascii="宋体" w:hAnsi="宋体" w:cs="宋体"/>
          <w:color w:val="000000"/>
          <w:sz w:val="24"/>
          <w:szCs w:val="24"/>
          <w:highlight w:val="none"/>
        </w:rPr>
        <w:t xml:space="preserve">磋商</w:t>
      </w:r>
      <w:r>
        <w:rPr>
          <w:rFonts w:ascii="宋体" w:hAnsi="宋体" w:cs="宋体"/>
          <w:color w:val="000000"/>
          <w:sz w:val="24"/>
          <w:szCs w:val="24"/>
          <w:highlight w:val="none"/>
        </w:rPr>
        <w:t xml:space="preserve">文件、</w:t>
      </w:r>
      <w:r>
        <w:rPr>
          <w:rFonts w:hint="eastAsia" w:ascii="宋体" w:hAnsi="宋体" w:cs="宋体"/>
          <w:color w:val="000000"/>
          <w:sz w:val="24"/>
          <w:szCs w:val="24"/>
          <w:highlight w:val="none"/>
        </w:rPr>
        <w:t xml:space="preserve">响应</w:t>
      </w:r>
      <w:r>
        <w:rPr>
          <w:rFonts w:ascii="宋体" w:hAnsi="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ascii="方正黑体_GBK" w:hAnsi="方正黑体_GBK" w:eastAsia="方正黑体_GBK" w:cs="方正黑体_GBK"/>
          <w:bCs/>
          <w:color w:val="000000"/>
          <w:sz w:val="24"/>
          <w:szCs w:val="24"/>
          <w:highlight w:val="none"/>
        </w:rPr>
      </w:r>
      <w:r/>
    </w:p>
    <w:p>
      <w:pPr>
        <w:pStyle w:val="888"/>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本合同金额为：人民币____________________元，（大写：_____________________）。</w:t>
      </w:r>
      <w:r>
        <w:rPr>
          <w:rFonts w:hAnsi="宋体"/>
          <w:color w:val="000000"/>
          <w:sz w:val="24"/>
          <w:szCs w:val="24"/>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ascii="方正黑体_GBK" w:hAnsi="方正黑体_GBK" w:eastAsia="方正黑体_GBK" w:cs="方正黑体_GBK"/>
          <w:bCs/>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乙方应按磋商文件规定的时间向甲方提供服务（包含与服务相关的货物）的有关技术资料。</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s="Courier New"/>
          <w:color w:val="000000"/>
          <w:sz w:val="24"/>
          <w:szCs w:val="24"/>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ascii="方正黑体_GBK" w:hAnsi="方正黑体_GBK" w:eastAsia="方正黑体_GBK" w:cs="方正黑体_GBK"/>
          <w:bCs/>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Courier New"/>
          <w:color w:val="000000"/>
          <w:sz w:val="24"/>
          <w:szCs w:val="24"/>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ascii="方正黑体_GBK" w:hAnsi="方正黑体_GBK" w:eastAsia="方正黑体_GBK" w:cs="方正黑体_GBK"/>
          <w:bCs/>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ascii="宋体" w:hAnsi="宋体" w:cs="Courier New"/>
          <w:color w:val="000000"/>
          <w:sz w:val="24"/>
          <w:szCs w:val="24"/>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ascii="方正黑体_GBK" w:hAnsi="方正黑体_GBK" w:eastAsia="方正黑体_GBK" w:cs="方正黑体_GBK"/>
          <w:bCs/>
          <w:color w:val="000000"/>
          <w:sz w:val="24"/>
          <w:szCs w:val="24"/>
          <w:highlight w:val="none"/>
        </w:rPr>
      </w:r>
      <w:r/>
    </w:p>
    <w:p>
      <w:pPr>
        <w:pStyle w:val="664"/>
        <w:rPr>
          <w:rFonts w:ascii="宋体" w:hAnsi="宋体" w:cs="Courier New"/>
          <w:color w:val="000000"/>
          <w:sz w:val="24"/>
          <w:szCs w:val="24"/>
          <w:highlight w:val="none"/>
        </w:rPr>
        <w:outlineLvl w:val="2"/>
      </w:pPr>
      <w:r>
        <w:rPr>
          <w:rFonts w:hint="eastAsia" w:ascii="宋体" w:hAnsi="宋体" w:cs="Courier New"/>
          <w:color w:val="000000"/>
          <w:sz w:val="24"/>
          <w:szCs w:val="24"/>
          <w:highlight w:val="none"/>
        </w:rPr>
        <w:t xml:space="preserve">6.1 本项目乙方无需缴纳履约保证金。</w:t>
      </w:r>
      <w:r>
        <w:rPr>
          <w:rFonts w:ascii="宋体" w:hAnsi="宋体" w:cs="Courier New"/>
          <w:color w:val="000000"/>
          <w:sz w:val="24"/>
          <w:szCs w:val="24"/>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ascii="方正黑体_GBK" w:hAnsi="方正黑体_GBK" w:eastAsia="方正黑体_GBK" w:cs="方正黑体_GBK"/>
          <w:bCs/>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7.2 除磋商文件接受分包并经甲方同意，乙方可按分包意向协议分包情况外，乙方不得将合同标的分包给他人履行。</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ascii="宋体" w:hAnsi="宋体" w:cs="Courier New"/>
          <w:color w:val="000000"/>
          <w:sz w:val="24"/>
          <w:szCs w:val="24"/>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ascii="方正黑体_GBK" w:hAnsi="方正黑体_GBK" w:eastAsia="方正黑体_GBK" w:cs="方正黑体_GBK"/>
          <w:bCs/>
          <w:color w:val="000000"/>
          <w:sz w:val="24"/>
          <w:szCs w:val="24"/>
          <w:highlight w:val="none"/>
        </w:rPr>
      </w:r>
      <w:r/>
    </w:p>
    <w:p>
      <w:pPr>
        <w:pStyle w:val="888"/>
        <w:rPr>
          <w:rFonts w:hAnsi="宋体"/>
          <w:color w:val="000000"/>
          <w:sz w:val="24"/>
          <w:szCs w:val="24"/>
          <w:highlight w:val="none"/>
        </w:rPr>
        <w:outlineLvl w:val="2"/>
      </w:pPr>
      <w:r/>
      <w:bookmarkStart w:id="13" w:name="OLE_LINK10"/>
      <w:r/>
      <w:bookmarkStart w:id="14" w:name="OLE_LINK11"/>
      <w:r>
        <w:rPr>
          <w:rFonts w:hint="eastAsia" w:hAnsi="宋体"/>
          <w:color w:val="000000"/>
          <w:sz w:val="24"/>
          <w:szCs w:val="24"/>
          <w:highlight w:val="none"/>
        </w:rPr>
        <w:t xml:space="preserve">8.1 合同款项的支付方式及时间</w:t>
      </w:r>
      <w:r>
        <w:rPr>
          <w:rFonts w:hAnsi="宋体"/>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8.1.1 合同签订且服务团队人员到位后，甲方支付合同总价款的30%作为预付款，</w:t>
      </w:r>
      <w:r>
        <w:rPr>
          <w:rFonts w:hint="eastAsia" w:hAnsi="宋体"/>
          <w:color w:val="000000"/>
          <w:sz w:val="24"/>
          <w:szCs w:val="24"/>
          <w:highlight w:val="none"/>
        </w:rPr>
        <w:t xml:space="preserve">系统开发完成并验收合格后支付合同总价款的</w:t>
      </w:r>
      <w:r>
        <w:rPr>
          <w:rFonts w:hint="eastAsia" w:ascii="宋体" w:hAnsi="宋体" w:cs="Courier New"/>
          <w:color w:val="000000"/>
          <w:sz w:val="24"/>
          <w:szCs w:val="24"/>
          <w:highlight w:val="none"/>
        </w:rPr>
        <w:t xml:space="preserve">60%</w:t>
      </w:r>
      <w:r>
        <w:rPr>
          <w:rFonts w:hint="eastAsia" w:hAnsi="宋体"/>
          <w:color w:val="000000"/>
          <w:sz w:val="24"/>
          <w:szCs w:val="24"/>
          <w:highlight w:val="none"/>
        </w:rPr>
        <w:t xml:space="preserve">。</w:t>
      </w:r>
      <w:r>
        <w:rPr>
          <w:rFonts w:ascii="宋体" w:hAnsi="宋体" w:cs="Courier New"/>
          <w:color w:val="000000"/>
          <w:sz w:val="24"/>
          <w:szCs w:val="24"/>
          <w:highlight w:val="none"/>
        </w:rPr>
      </w:r>
      <w:r/>
    </w:p>
    <w:p>
      <w:pPr>
        <w:pStyle w:val="888"/>
        <w:spacing w:line="264" w:lineRule="auto"/>
        <w:rPr>
          <w:color w:val="000000"/>
          <w:highlight w:val="none"/>
        </w:rPr>
      </w:pPr>
      <w:r>
        <w:rPr>
          <w:rFonts w:hint="eastAsia" w:hAnsi="宋体"/>
          <w:color w:val="000000"/>
          <w:sz w:val="24"/>
          <w:szCs w:val="24"/>
          <w:highlight w:val="none"/>
        </w:rPr>
        <w:t xml:space="preserve">8.1.2 免费维保期满后，甲方支付合同总价款的10%。</w:t>
      </w:r>
      <w:bookmarkEnd w:id="13"/>
      <w:r/>
      <w:bookmarkEnd w:id="14"/>
      <w:r>
        <w:rPr>
          <w:color w:val="000000"/>
          <w:highlight w:val="none"/>
        </w:rPr>
      </w:r>
      <w:r/>
    </w:p>
    <w:p>
      <w:pPr>
        <w:pStyle w:val="888"/>
        <w:rPr>
          <w:rFonts w:hAnsi="宋体"/>
          <w:color w:val="000000"/>
          <w:sz w:val="24"/>
          <w:szCs w:val="24"/>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Ansi="宋体"/>
          <w:color w:val="000000"/>
          <w:sz w:val="24"/>
          <w:szCs w:val="24"/>
          <w:highlight w:val="none"/>
        </w:rPr>
      </w:r>
      <w:r/>
    </w:p>
    <w:p>
      <w:pPr>
        <w:pStyle w:val="888"/>
        <w:rPr>
          <w:rFonts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Ansi="宋体"/>
          <w:color w:val="000000"/>
          <w:sz w:val="24"/>
          <w:szCs w:val="24"/>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ascii="方正黑体_GBK" w:hAnsi="方正黑体_GBK" w:eastAsia="方正黑体_GBK" w:cs="方正黑体_GBK"/>
          <w:bCs/>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ascii="宋体" w:hAnsi="宋体" w:cs="Courier New"/>
          <w:color w:val="000000"/>
          <w:sz w:val="24"/>
          <w:szCs w:val="24"/>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ascii="方正黑体_GBK" w:hAnsi="方正黑体_GBK" w:eastAsia="方正黑体_GBK" w:cs="方正黑体_GBK"/>
          <w:bCs/>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如有必要，甲方可邀请参加本项目磋商的其他供应商或第三方专业机构及专家参与验收，相关意见将作为验收结论的参考。</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Courier New"/>
          <w:color w:val="000000"/>
          <w:sz w:val="24"/>
          <w:szCs w:val="24"/>
          <w:highlight w:val="none"/>
        </w:rPr>
      </w:r>
      <w:r/>
    </w:p>
    <w:p>
      <w:pPr>
        <w:pStyle w:val="664"/>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lang w:val="zh-CN"/>
        </w:rPr>
        <w:t xml:space="preserve">10.7 网络安全、</w:t>
      </w:r>
      <w:r>
        <w:rPr>
          <w:rFonts w:hint="eastAsia" w:ascii="宋体" w:hAnsi="宋体" w:cs="Courier New"/>
          <w:color w:val="000000"/>
          <w:sz w:val="24"/>
          <w:szCs w:val="24"/>
          <w:highlight w:val="none"/>
        </w:rPr>
        <w:t xml:space="preserve">市场准入</w:t>
      </w:r>
      <w:r>
        <w:rPr>
          <w:rFonts w:hint="eastAsia" w:ascii="宋体" w:hAnsi="宋体" w:cs="Courier New"/>
          <w:color w:val="000000"/>
          <w:sz w:val="24"/>
          <w:szCs w:val="24"/>
          <w:highlight w:val="none"/>
          <w:lang w:val="zh-CN"/>
        </w:rPr>
        <w:t xml:space="preserve">要求（</w:t>
      </w:r>
      <w:r>
        <w:rPr>
          <w:rFonts w:hint="eastAsia" w:ascii="宋体" w:hAnsi="宋体" w:cs="Courier New"/>
          <w:color w:val="000000"/>
          <w:sz w:val="24"/>
          <w:szCs w:val="24"/>
          <w:highlight w:val="none"/>
        </w:rPr>
        <w:t xml:space="preserve">如有</w:t>
      </w:r>
      <w:r>
        <w:rPr>
          <w:rFonts w:hint="eastAsia" w:ascii="宋体" w:hAnsi="宋体" w:cs="Courier New"/>
          <w:color w:val="000000"/>
          <w:sz w:val="24"/>
          <w:szCs w:val="24"/>
          <w:highlight w:val="none"/>
          <w:lang w:val="zh-CN"/>
        </w:rPr>
        <w:t xml:space="preserve">）：无。</w:t>
      </w:r>
      <w:r>
        <w:rPr>
          <w:rFonts w:ascii="宋体" w:hAnsi="宋体" w:cs="Courier New"/>
          <w:color w:val="000000"/>
          <w:sz w:val="24"/>
          <w:szCs w:val="24"/>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ascii="方正黑体_GBK" w:hAnsi="方正黑体_GBK" w:eastAsia="方正黑体_GBK" w:cs="方正黑体_GBK"/>
          <w:bCs/>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甲方无故逾期验收和办理支付手续的，应按逾期付款总额每日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rPr>
        <w:t xml:space="preserve">%。</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乙方所提供服务的标准不符合合同规定及磋商文件规定标准的，甲方有权拒绝接受服务，并可单方面解除合同。</w:t>
      </w:r>
      <w:r>
        <w:rPr>
          <w:rFonts w:ascii="宋体" w:hAnsi="宋体" w:cs="Courier New"/>
          <w:color w:val="000000"/>
          <w:sz w:val="24"/>
          <w:szCs w:val="24"/>
          <w:highlight w:val="none"/>
        </w:rPr>
      </w:r>
      <w:r/>
    </w:p>
    <w:p>
      <w:pPr>
        <w:pStyle w:val="664"/>
        <w:rPr>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000000"/>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ascii="方正黑体_GBK" w:hAnsi="方正黑体_GBK" w:eastAsia="方正黑体_GBK" w:cs="方正黑体_GBK"/>
          <w:bCs/>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ascii="宋体" w:hAnsi="宋体" w:cs="Courier New"/>
          <w:color w:val="000000"/>
          <w:sz w:val="24"/>
          <w:szCs w:val="24"/>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ascii="方正黑体_GBK" w:hAnsi="方正黑体_GBK" w:eastAsia="方正黑体_GBK" w:cs="方正黑体_GBK"/>
          <w:bCs/>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ascii="宋体" w:hAnsi="宋体" w:cs="Courier New"/>
          <w:color w:val="000000"/>
          <w:sz w:val="24"/>
          <w:szCs w:val="24"/>
          <w:highlight w:val="none"/>
        </w:rPr>
      </w:r>
      <w:r/>
    </w:p>
    <w:p>
      <w:pPr>
        <w:pStyle w:val="664"/>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十四、合同生效及其它</w:t>
      </w:r>
      <w:r>
        <w:rPr>
          <w:rFonts w:ascii="方正黑体_GBK" w:hAnsi="方正黑体_GBK" w:eastAsia="方正黑体_GBK" w:cs="方正黑体_GBK"/>
          <w:bCs/>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ascii="宋体" w:hAnsi="宋体" w:cs="Courier New"/>
          <w:color w:val="000000"/>
          <w:sz w:val="24"/>
          <w:szCs w:val="24"/>
          <w:highlight w:val="none"/>
        </w:rPr>
      </w:r>
      <w:r/>
    </w:p>
    <w:p>
      <w:pPr>
        <w:pStyle w:val="664"/>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ascii="宋体" w:hAnsi="宋体" w:cs="Courier New"/>
          <w:color w:val="000000"/>
          <w:sz w:val="24"/>
          <w:szCs w:val="24"/>
          <w:highlight w:val="none"/>
        </w:rPr>
      </w:r>
      <w:r/>
    </w:p>
    <w:p>
      <w:pPr>
        <w:pStyle w:val="888"/>
        <w:spacing w:before="120" w:after="120"/>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p>
      <w:pPr>
        <w:pStyle w:val="888"/>
        <w:ind w:firstLine="240"/>
        <w:spacing w:before="120" w:after="120"/>
        <w:rPr>
          <w:rFonts w:hAnsi="宋体"/>
          <w:color w:val="000000"/>
          <w:sz w:val="24"/>
          <w:szCs w:val="24"/>
          <w:highlight w:val="none"/>
        </w:rPr>
      </w:pPr>
      <w:r>
        <w:rPr>
          <w:rFonts w:hint="eastAsia" w:hAnsi="宋体"/>
          <w:color w:val="000000"/>
          <w:sz w:val="24"/>
          <w:szCs w:val="24"/>
          <w:highlight w:val="none"/>
        </w:rPr>
        <w:t xml:space="preserve">甲方：（公章）                       乙方：（公章） </w:t>
      </w:r>
      <w:r>
        <w:rPr>
          <w:rFonts w:hAnsi="宋体"/>
          <w:color w:val="000000"/>
          <w:sz w:val="24"/>
          <w:szCs w:val="24"/>
          <w:highlight w:val="none"/>
        </w:rPr>
      </w:r>
      <w:r/>
    </w:p>
    <w:p>
      <w:pPr>
        <w:pStyle w:val="888"/>
        <w:spacing w:before="120" w:after="120"/>
        <w:rPr>
          <w:rFonts w:hAnsi="宋体"/>
          <w:color w:val="000000"/>
          <w:sz w:val="24"/>
          <w:szCs w:val="24"/>
          <w:highlight w:val="none"/>
        </w:rPr>
      </w:pPr>
      <w:r>
        <w:rPr>
          <w:rFonts w:hint="eastAsia" w:hAnsi="宋体"/>
          <w:color w:val="000000"/>
          <w:sz w:val="24"/>
          <w:szCs w:val="24"/>
          <w:highlight w:val="none"/>
        </w:rPr>
        <w:t xml:space="preserve">  地址：                               地址： </w:t>
      </w:r>
      <w:r>
        <w:rPr>
          <w:rFonts w:hAnsi="宋体"/>
          <w:color w:val="000000"/>
          <w:sz w:val="24"/>
          <w:szCs w:val="24"/>
          <w:highlight w:val="none"/>
        </w:rPr>
      </w:r>
      <w:r/>
    </w:p>
    <w:p>
      <w:pPr>
        <w:pStyle w:val="888"/>
        <w:spacing w:before="120" w:after="120"/>
        <w:rPr>
          <w:rFonts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rFonts w:hAnsi="宋体"/>
          <w:color w:val="000000"/>
          <w:sz w:val="24"/>
          <w:szCs w:val="24"/>
          <w:highlight w:val="none"/>
        </w:rPr>
      </w:r>
      <w:r/>
    </w:p>
    <w:p>
      <w:pPr>
        <w:pStyle w:val="888"/>
        <w:ind w:firstLine="240"/>
        <w:spacing w:before="120" w:after="120"/>
        <w:rPr>
          <w:rFonts w:hAnsi="宋体"/>
          <w:color w:val="000000"/>
          <w:sz w:val="24"/>
          <w:szCs w:val="24"/>
          <w:highlight w:val="none"/>
        </w:rPr>
      </w:pPr>
      <w:r>
        <w:rPr>
          <w:rFonts w:hint="eastAsia" w:hAnsi="宋体"/>
          <w:color w:val="000000"/>
          <w:sz w:val="24"/>
          <w:szCs w:val="24"/>
          <w:highlight w:val="none"/>
        </w:rPr>
        <w:t xml:space="preserve">联系电话：                           联系电话：          </w:t>
      </w:r>
      <w:r>
        <w:rPr>
          <w:rFonts w:hAnsi="宋体"/>
          <w:color w:val="000000"/>
          <w:sz w:val="24"/>
          <w:szCs w:val="24"/>
          <w:highlight w:val="none"/>
        </w:rPr>
      </w:r>
      <w:r/>
    </w:p>
    <w:p>
      <w:pPr>
        <w:pStyle w:val="888"/>
        <w:spacing w:before="120" w:after="120"/>
        <w:rPr>
          <w:rFonts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r>
      <w:r/>
    </w:p>
    <w:p>
      <w:pPr>
        <w:pStyle w:val="888"/>
        <w:ind w:firstLine="5280"/>
        <w:spacing w:before="120" w:after="120"/>
        <w:rPr>
          <w:rFonts w:hAnsi="宋体"/>
          <w:color w:val="000000"/>
          <w:sz w:val="24"/>
          <w:szCs w:val="24"/>
          <w:highlight w:val="none"/>
        </w:rPr>
      </w:pPr>
      <w:r>
        <w:rPr>
          <w:rFonts w:hint="eastAsia" w:hAnsi="宋体"/>
          <w:color w:val="000000"/>
          <w:sz w:val="24"/>
          <w:szCs w:val="24"/>
          <w:highlight w:val="none"/>
        </w:rPr>
        <w:t xml:space="preserve">签订日期：      年    月   日</w:t>
      </w:r>
      <w:r>
        <w:rPr>
          <w:rFonts w:hAnsi="宋体"/>
          <w:color w:val="000000"/>
          <w:sz w:val="24"/>
          <w:szCs w:val="24"/>
          <w:highlight w:val="none"/>
        </w:rPr>
      </w:r>
      <w:r/>
    </w:p>
    <w:p>
      <w:pPr>
        <w:pStyle w:val="888"/>
        <w:ind w:firstLine="4800"/>
        <w:spacing w:before="120" w:after="120"/>
        <w:rPr>
          <w:rFonts w:hAnsi="宋体"/>
          <w:color w:val="000000"/>
          <w:sz w:val="24"/>
          <w:szCs w:val="24"/>
          <w:highlight w:val="none"/>
        </w:rPr>
      </w:pPr>
      <w:r>
        <w:rPr>
          <w:rFonts w:hAnsi="宋体"/>
          <w:color w:val="000000"/>
          <w:sz w:val="24"/>
          <w:szCs w:val="24"/>
          <w:highlight w:val="none"/>
        </w:rPr>
      </w:r>
      <w:r/>
    </w:p>
    <w:p>
      <w:pPr>
        <w:pStyle w:val="664"/>
        <w:jc w:val="center"/>
        <w:spacing w:before="145" w:after="145"/>
        <w:rPr>
          <w:rFonts w:ascii="宋体" w:hAnsi="宋体"/>
          <w:b/>
          <w:color w:val="000000"/>
          <w:sz w:val="30"/>
          <w:szCs w:val="21"/>
          <w:highlight w:val="none"/>
        </w:rPr>
        <w:outlineLvl w:val="1"/>
      </w:pPr>
      <w:r>
        <w:rPr>
          <w:rFonts w:hint="eastAsia" w:ascii="宋体" w:hAnsi="宋体"/>
          <w:b/>
          <w:color w:val="000000"/>
          <w:sz w:val="30"/>
          <w:szCs w:val="21"/>
          <w:highlight w:val="none"/>
        </w:rPr>
        <w:t xml:space="preserve">《*******合同》补充协议（合同附件）</w:t>
      </w:r>
      <w:r>
        <w:rPr>
          <w:rFonts w:ascii="宋体" w:hAnsi="宋体"/>
          <w:b/>
          <w:color w:val="000000"/>
          <w:sz w:val="30"/>
          <w:szCs w:val="21"/>
          <w:highlight w:val="none"/>
        </w:rPr>
      </w:r>
      <w:r/>
    </w:p>
    <w:p>
      <w:pPr>
        <w:pStyle w:val="888"/>
        <w:jc w:val="left"/>
        <w:spacing w:before="120" w:after="120"/>
        <w:rPr>
          <w:rFonts w:hAnsi="宋体"/>
          <w:color w:val="000000"/>
          <w:sz w:val="24"/>
          <w:szCs w:val="24"/>
          <w:highlight w:val="none"/>
        </w:rPr>
      </w:pPr>
      <w:r>
        <w:rPr>
          <w:rFonts w:hint="eastAsia" w:hAnsi="宋体"/>
          <w:color w:val="000000"/>
          <w:sz w:val="24"/>
          <w:szCs w:val="24"/>
          <w:highlight w:val="none"/>
        </w:rPr>
        <w:t xml:space="preserve">    如遇磋商文件及合同未约定事项，双方可友好协商签订补充协议。</w:t>
      </w:r>
      <w:bookmarkEnd w:id="0"/>
      <w:r/>
      <w:bookmarkEnd w:id="1"/>
      <w:r/>
      <w:bookmarkEnd w:id="2"/>
      <w:r/>
      <w:bookmarkEnd w:id="3"/>
      <w:r/>
      <w:bookmarkEnd w:id="4"/>
      <w:r/>
      <w:bookmarkEnd w:id="5"/>
      <w:r>
        <w:rPr>
          <w:rFonts w:hAnsi="宋体"/>
          <w:color w:val="000000"/>
          <w:sz w:val="24"/>
          <w:szCs w:val="24"/>
          <w:highlight w:val="none"/>
        </w:rPr>
      </w:r>
      <w:r/>
    </w:p>
    <w:p>
      <w:pPr>
        <w:pStyle w:val="970"/>
        <w:jc w:val="center"/>
        <w:spacing w:before="120" w:after="120" w:line="0" w:lineRule="atLeast"/>
        <w:rPr>
          <w:rFonts w:ascii="方正小标宋简体" w:hAnsi="方正小标宋简体" w:eastAsia="方正小标宋简体" w:cs="方正小标宋简体"/>
          <w:color w:val="000000"/>
          <w:sz w:val="36"/>
          <w:szCs w:val="36"/>
          <w:highlight w:val="none"/>
        </w:rPr>
        <w:outlineLvl w:val="0"/>
      </w:pPr>
      <w:r/>
      <w:bookmarkStart w:id="15" w:name="_Hlt16619350"/>
      <w:r/>
      <w:bookmarkStart w:id="16" w:name="_Toc16938590"/>
      <w:r/>
      <w:bookmarkStart w:id="17" w:name="_Toc20823346"/>
      <w:r/>
      <w:bookmarkStart w:id="18" w:name="_Toc120614244"/>
      <w:r/>
      <w:bookmarkStart w:id="19" w:name="_Toc479757211"/>
      <w:r/>
      <w:bookmarkStart w:id="20" w:name="_Toc462564139"/>
      <w:r>
        <w:rPr>
          <w:rFonts w:hint="eastAsia" w:hAnsi="宋体"/>
          <w:color w:val="000000"/>
          <w:sz w:val="24"/>
          <w:szCs w:val="24"/>
          <w:highlight w:val="none"/>
        </w:rPr>
        <w:br w:type="page" w:clear="all"/>
      </w:r>
      <w:bookmarkEnd w:id="15"/>
      <w:r/>
      <w:bookmarkEnd w:id="16"/>
      <w:r/>
      <w:bookmarkEnd w:id="17"/>
      <w:r/>
      <w:bookmarkEnd w:id="18"/>
      <w:r/>
      <w:bookmarkStart w:id="21" w:name="_Toc49090575"/>
      <w:r/>
      <w:bookmarkStart w:id="22" w:name="_Toc26554093"/>
      <w:r>
        <w:rPr>
          <w:rFonts w:hint="eastAsia" w:ascii="方正小标宋简体" w:hAnsi="方正小标宋简体" w:eastAsia="方正小标宋简体" w:cs="方正小标宋简体"/>
          <w:color w:val="000000"/>
          <w:sz w:val="36"/>
          <w:szCs w:val="36"/>
          <w:highlight w:val="none"/>
        </w:rPr>
        <w:t xml:space="preserve">第四章  采购需求</w:t>
      </w:r>
      <w:r>
        <w:rPr>
          <w:rFonts w:ascii="方正小标宋简体" w:hAnsi="方正小标宋简体" w:eastAsia="方正小标宋简体" w:cs="方正小标宋简体"/>
          <w:color w:val="000000"/>
          <w:sz w:val="36"/>
          <w:szCs w:val="36"/>
          <w:highlight w:val="none"/>
        </w:rPr>
      </w:r>
      <w:r/>
    </w:p>
    <w:p>
      <w:pPr>
        <w:pStyle w:val="664"/>
        <w:ind w:firstLine="480"/>
        <w:spacing w:line="264"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olor w:val="000000"/>
          <w:sz w:val="24"/>
          <w:szCs w:val="24"/>
          <w:highlight w:val="none"/>
        </w:rPr>
        <w:t xml:space="preserve">服务类项目。</w:t>
      </w:r>
      <w:r>
        <w:rPr>
          <w:rFonts w:ascii="黑体" w:hAnsi="黑体" w:eastAsia="黑体" w:cs="黑体"/>
          <w:color w:val="000000"/>
          <w:sz w:val="24"/>
          <w:szCs w:val="24"/>
          <w:highlight w:val="none"/>
        </w:rPr>
      </w:r>
      <w:r/>
    </w:p>
    <w:p>
      <w:pPr>
        <w:pStyle w:val="664"/>
        <w:ind w:firstLine="480"/>
        <w:spacing w:line="264"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ascii="黑体" w:hAnsi="黑体" w:eastAsia="黑体" w:cs="黑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（一）项目背景</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江苏省卫健委《关于进一步规范健康体检机构管理工作的通知》（苏卫医发〔2018〕33号）：健康体检机构需通过信息化建设实现核心目标：一是体检流程标准化，要求机构建立统一的操作规范和数据采集标准，确保服务流程可追溯、质量可控，二是数据管理规范化，强调体检信息的电子化存储与安全传输，需符合《健康体检管理暂行规定》中关于数据完整性和隐私保护的要求；《“健康中国2030”规划纲要》：明确提出“发展基于互联网的健康服务，促进个性化健康管理服务发展”。</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目前医院的体检中心发展需要更便捷的预约（如在线选时段/套餐）、更短的等待时间、更易懂的报告解读与持续的健康跟踪”；同时需要降低漏检和误检率、通过检后服务增强用户粘性；公立医院体检中心与民营机构均在向“智慧体检”转型。</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（二）项目建设遵循标准</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遵循国家、行业及地方现行的规范和标准要求，包括中华医学会健康管理学会《健康体检质量控制指南》要求。</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以上标准如有更新，按更新后的标准执行。</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或：遵循国家、行业及地方现行的规范和标准。</w:t>
      </w:r>
      <w:r>
        <w:rPr>
          <w:rFonts w:ascii="宋体" w:hAnsi="宋体"/>
          <w:color w:val="000000"/>
          <w:sz w:val="24"/>
          <w:szCs w:val="24"/>
          <w:highlight w:val="none"/>
        </w:rPr>
      </w:r>
      <w:r/>
    </w:p>
    <w:p>
      <w:pPr>
        <w:pStyle w:val="664"/>
        <w:ind w:firstLine="480"/>
        <w:spacing w:line="264" w:lineRule="auto"/>
        <w:rPr>
          <w:rFonts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ascii="黑体" w:hAnsi="黑体" w:eastAsia="黑体" w:cs="黑体"/>
          <w:color w:val="000000"/>
          <w:sz w:val="24"/>
          <w:szCs w:val="24"/>
          <w:highlight w:val="none"/>
        </w:rPr>
      </w:r>
      <w:r/>
    </w:p>
    <w:tbl>
      <w:tblPr>
        <w:tblW w:w="51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14"/>
        <w:gridCol w:w="1273"/>
        <w:gridCol w:w="707"/>
        <w:gridCol w:w="671"/>
        <w:gridCol w:w="988"/>
        <w:gridCol w:w="1614"/>
        <w:gridCol w:w="1242"/>
        <w:gridCol w:w="1027"/>
        <w:gridCol w:w="1060"/>
        <w:gridCol w:w="945"/>
      </w:tblGrid>
      <w:tr>
        <w:trPr>
          <w:trHeight w:val="470"/>
        </w:trPr>
        <w:tc>
          <w:tcPr>
            <w:tcW w:w="273" w:type="dxa"/>
            <w:vAlign w:val="center"/>
            <w:textDirection w:val="lrTb"/>
            <w:noWrap w:val="false"/>
          </w:tcPr>
          <w:p>
            <w:pPr>
              <w:pStyle w:val="664"/>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ascii="宋体" w:hAnsi="宋体"/>
                <w:bCs/>
                <w:color w:val="000000"/>
                <w:sz w:val="24"/>
                <w:szCs w:val="24"/>
                <w:highlight w:val="none"/>
              </w:rPr>
            </w:r>
            <w:r/>
          </w:p>
        </w:tc>
        <w:tc>
          <w:tcPr>
            <w:tcW w:w="675" w:type="dxa"/>
            <w:vAlign w:val="center"/>
            <w:textDirection w:val="lrTb"/>
            <w:noWrap w:val="false"/>
          </w:tcPr>
          <w:p>
            <w:pPr>
              <w:pStyle w:val="664"/>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分项名称</w:t>
            </w:r>
            <w:r>
              <w:rPr>
                <w:rFonts w:ascii="宋体" w:hAnsi="宋体"/>
                <w:bCs/>
                <w:color w:val="000000"/>
                <w:sz w:val="24"/>
                <w:szCs w:val="24"/>
                <w:highlight w:val="none"/>
              </w:rPr>
            </w:r>
            <w:r/>
          </w:p>
        </w:tc>
        <w:tc>
          <w:tcPr>
            <w:tcW w:w="375" w:type="dxa"/>
            <w:vAlign w:val="center"/>
            <w:textDirection w:val="lrTb"/>
            <w:noWrap w:val="false"/>
          </w:tcPr>
          <w:p>
            <w:pPr>
              <w:pStyle w:val="664"/>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数量</w:t>
            </w:r>
            <w:r>
              <w:rPr>
                <w:rFonts w:ascii="宋体" w:hAnsi="宋体"/>
                <w:bCs/>
                <w:color w:val="000000"/>
                <w:sz w:val="24"/>
                <w:szCs w:val="24"/>
                <w:highlight w:val="none"/>
              </w:rPr>
            </w:r>
            <w:r/>
          </w:p>
        </w:tc>
        <w:tc>
          <w:tcPr>
            <w:tcW w:w="356" w:type="dxa"/>
            <w:vAlign w:val="center"/>
            <w:textDirection w:val="lrTb"/>
            <w:noWrap w:val="false"/>
          </w:tcPr>
          <w:p>
            <w:pPr>
              <w:pStyle w:val="664"/>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w:t>
            </w:r>
            <w:r>
              <w:rPr>
                <w:rFonts w:ascii="宋体" w:hAnsi="宋体"/>
                <w:bCs/>
                <w:color w:val="000000"/>
                <w:sz w:val="24"/>
                <w:szCs w:val="24"/>
                <w:highlight w:val="none"/>
              </w:rPr>
            </w:r>
            <w:r/>
          </w:p>
        </w:tc>
        <w:tc>
          <w:tcPr>
            <w:tcW w:w="524" w:type="dxa"/>
            <w:vAlign w:val="center"/>
            <w:textDirection w:val="lrTb"/>
            <w:noWrap w:val="false"/>
          </w:tcPr>
          <w:p>
            <w:pPr>
              <w:pStyle w:val="664"/>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产品类型</w:t>
            </w:r>
            <w:r>
              <w:rPr>
                <w:rFonts w:ascii="宋体" w:hAnsi="宋体"/>
                <w:bCs/>
                <w:color w:val="000000"/>
                <w:sz w:val="24"/>
                <w:szCs w:val="24"/>
                <w:highlight w:val="none"/>
              </w:rPr>
            </w:r>
            <w:r/>
          </w:p>
        </w:tc>
        <w:tc>
          <w:tcPr>
            <w:tcW w:w="530" w:type="dxa"/>
            <w:vAlign w:val="center"/>
            <w:textDirection w:val="lrTb"/>
            <w:noWrap w:val="false"/>
          </w:tcPr>
          <w:p>
            <w:pPr>
              <w:pStyle w:val="664"/>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单价上限</w:t>
            </w:r>
            <w:r>
              <w:rPr>
                <w:rFonts w:ascii="宋体" w:hAnsi="宋体"/>
                <w:bCs/>
                <w:color w:val="000000"/>
                <w:sz w:val="24"/>
                <w:szCs w:val="24"/>
                <w:highlight w:val="none"/>
              </w:rPr>
            </w:r>
            <w:r/>
          </w:p>
          <w:p>
            <w:pPr>
              <w:pStyle w:val="664"/>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（元）</w:t>
            </w:r>
            <w:r>
              <w:rPr>
                <w:rFonts w:ascii="宋体" w:hAnsi="宋体"/>
                <w:bCs/>
                <w:color w:val="000000"/>
                <w:sz w:val="24"/>
                <w:szCs w:val="24"/>
                <w:highlight w:val="none"/>
              </w:rPr>
            </w:r>
            <w:r/>
          </w:p>
        </w:tc>
        <w:tc>
          <w:tcPr>
            <w:tcW w:w="659" w:type="dxa"/>
            <w:vAlign w:val="center"/>
            <w:textDirection w:val="lrTb"/>
            <w:noWrap w:val="false"/>
          </w:tcPr>
          <w:p>
            <w:pPr>
              <w:pStyle w:val="664"/>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所属行业</w:t>
            </w:r>
            <w:r>
              <w:rPr>
                <w:rFonts w:ascii="宋体" w:hAnsi="宋体"/>
                <w:bCs/>
                <w:color w:val="000000"/>
                <w:sz w:val="24"/>
                <w:szCs w:val="24"/>
                <w:highlight w:val="none"/>
              </w:rPr>
            </w:r>
            <w:r/>
          </w:p>
        </w:tc>
        <w:tc>
          <w:tcPr>
            <w:tcW w:w="545" w:type="dxa"/>
            <w:vAlign w:val="center"/>
            <w:textDirection w:val="lrTb"/>
            <w:noWrap w:val="false"/>
          </w:tcPr>
          <w:p>
            <w:pPr>
              <w:pStyle w:val="664"/>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属性</w:t>
            </w:r>
            <w:r>
              <w:rPr>
                <w:rFonts w:ascii="宋体" w:hAnsi="宋体"/>
                <w:bCs/>
                <w:color w:val="000000"/>
                <w:sz w:val="24"/>
                <w:szCs w:val="24"/>
                <w:highlight w:val="none"/>
              </w:rPr>
            </w:r>
            <w:r/>
          </w:p>
        </w:tc>
        <w:tc>
          <w:tcPr>
            <w:tcW w:w="562" w:type="dxa"/>
            <w:vAlign w:val="center"/>
            <w:textDirection w:val="lrTb"/>
            <w:noWrap w:val="false"/>
          </w:tcPr>
          <w:p>
            <w:pPr>
              <w:pStyle w:val="664"/>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数据交易类型（如有）</w:t>
            </w:r>
            <w:r>
              <w:rPr>
                <w:rFonts w:ascii="宋体" w:hAnsi="宋体" w:cs="宋体"/>
                <w:bCs/>
                <w:color w:val="000000"/>
                <w:sz w:val="24"/>
                <w:szCs w:val="24"/>
                <w:highlight w:val="none"/>
              </w:rPr>
            </w:r>
            <w:r/>
          </w:p>
        </w:tc>
        <w:tc>
          <w:tcPr>
            <w:tcW w:w="501" w:type="dxa"/>
            <w:vAlign w:val="center"/>
            <w:textDirection w:val="lrTb"/>
            <w:noWrap w:val="false"/>
          </w:tcPr>
          <w:p>
            <w:pPr>
              <w:pStyle w:val="664"/>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政府强制采购节能产品（如有）</w:t>
            </w:r>
            <w:r>
              <w:rPr>
                <w:rFonts w:ascii="宋体" w:hAnsi="宋体" w:cs="宋体"/>
                <w:bCs/>
                <w:color w:val="000000"/>
                <w:sz w:val="24"/>
                <w:szCs w:val="24"/>
                <w:highlight w:val="none"/>
              </w:rPr>
            </w:r>
            <w:r/>
          </w:p>
        </w:tc>
      </w:tr>
      <w:tr>
        <w:trPr>
          <w:trHeight w:val="597"/>
        </w:trPr>
        <w:tc>
          <w:tcPr>
            <w:tcW w:w="273" w:type="dxa"/>
            <w:vAlign w:val="center"/>
            <w:textDirection w:val="lrTb"/>
            <w:noWrap w:val="false"/>
          </w:tcPr>
          <w:p>
            <w:pPr>
              <w:pStyle w:val="664"/>
              <w:jc w:val="center"/>
              <w:spacing w:line="264"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bCs/>
                <w:color w:val="000000"/>
                <w:sz w:val="24"/>
                <w:szCs w:val="24"/>
                <w:highlight w:val="none"/>
              </w:rPr>
            </w:r>
            <w:r/>
          </w:p>
        </w:tc>
        <w:tc>
          <w:tcPr>
            <w:tcW w:w="675" w:type="dxa"/>
            <w:vAlign w:val="center"/>
            <w:textDirection w:val="lrTb"/>
            <w:noWrap w:val="false"/>
          </w:tcPr>
          <w:p>
            <w:pPr>
              <w:pStyle w:val="664"/>
              <w:spacing w:line="264"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智慧化体检系统</w:t>
            </w:r>
            <w:r>
              <w:rPr>
                <w:rFonts w:ascii="宋体" w:hAnsi="宋体"/>
                <w:bCs/>
                <w:color w:val="000000"/>
                <w:sz w:val="24"/>
                <w:szCs w:val="24"/>
                <w:highlight w:val="none"/>
              </w:rPr>
            </w:r>
            <w:r/>
          </w:p>
        </w:tc>
        <w:tc>
          <w:tcPr>
            <w:tcW w:w="375" w:type="dxa"/>
            <w:vAlign w:val="center"/>
            <w:textDirection w:val="lrTb"/>
            <w:noWrap w:val="false"/>
          </w:tcPr>
          <w:p>
            <w:pPr>
              <w:pStyle w:val="664"/>
              <w:jc w:val="center"/>
              <w:spacing w:line="264"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bCs/>
                <w:color w:val="000000"/>
                <w:sz w:val="24"/>
                <w:szCs w:val="24"/>
                <w:highlight w:val="none"/>
              </w:rPr>
            </w:r>
            <w:r/>
          </w:p>
        </w:tc>
        <w:tc>
          <w:tcPr>
            <w:tcW w:w="356" w:type="dxa"/>
            <w:vAlign w:val="center"/>
            <w:textDirection w:val="lrTb"/>
            <w:noWrap w:val="false"/>
          </w:tcPr>
          <w:p>
            <w:pPr>
              <w:pStyle w:val="664"/>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套</w:t>
            </w:r>
            <w:r>
              <w:rPr>
                <w:rFonts w:ascii="宋体" w:hAnsi="宋体" w:cs="宋体"/>
                <w:bCs/>
                <w:color w:val="000000"/>
                <w:sz w:val="24"/>
                <w:szCs w:val="24"/>
                <w:highlight w:val="none"/>
              </w:rPr>
            </w:r>
            <w:r/>
          </w:p>
        </w:tc>
        <w:tc>
          <w:tcPr>
            <w:tcW w:w="524" w:type="dxa"/>
            <w:vAlign w:val="center"/>
            <w:textDirection w:val="lrTb"/>
            <w:noWrap w:val="false"/>
          </w:tcPr>
          <w:p>
            <w:pPr>
              <w:pStyle w:val="664"/>
              <w:jc w:val="center"/>
              <w:spacing w:line="264"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主要产品</w:t>
            </w:r>
            <w:r>
              <w:rPr>
                <w:rFonts w:ascii="宋体" w:hAnsi="宋体"/>
                <w:bCs/>
                <w:color w:val="000000"/>
                <w:sz w:val="24"/>
                <w:szCs w:val="24"/>
                <w:highlight w:val="none"/>
              </w:rPr>
            </w:r>
            <w:r/>
          </w:p>
        </w:tc>
        <w:tc>
          <w:tcPr>
            <w:tcW w:w="530" w:type="dxa"/>
            <w:vAlign w:val="center"/>
            <w:textDirection w:val="lrTb"/>
            <w:noWrap w:val="false"/>
          </w:tcPr>
          <w:p>
            <w:pPr>
              <w:pStyle w:val="664"/>
              <w:jc w:val="center"/>
              <w:spacing w:line="264"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1160000</w:t>
            </w:r>
            <w:r>
              <w:rPr>
                <w:rFonts w:ascii="宋体" w:hAnsi="宋体"/>
                <w:bCs/>
                <w:color w:val="000000"/>
                <w:sz w:val="24"/>
                <w:szCs w:val="24"/>
                <w:highlight w:val="none"/>
              </w:rPr>
            </w:r>
            <w:r/>
          </w:p>
        </w:tc>
        <w:tc>
          <w:tcPr>
            <w:tcW w:w="659" w:type="dxa"/>
            <w:vAlign w:val="center"/>
            <w:textDirection w:val="lrTb"/>
            <w:noWrap w:val="false"/>
          </w:tcPr>
          <w:p>
            <w:pPr>
              <w:pStyle w:val="664"/>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软件和信息技术服务业</w:t>
            </w:r>
            <w:r>
              <w:rPr>
                <w:rFonts w:ascii="宋体" w:hAnsi="宋体" w:cs="宋体"/>
                <w:bCs/>
                <w:color w:val="000000"/>
                <w:sz w:val="24"/>
                <w:szCs w:val="24"/>
                <w:highlight w:val="none"/>
              </w:rPr>
            </w:r>
            <w:r/>
          </w:p>
        </w:tc>
        <w:tc>
          <w:tcPr>
            <w:tcW w:w="545" w:type="dxa"/>
            <w:vAlign w:val="center"/>
            <w:textDirection w:val="lrTb"/>
            <w:noWrap w:val="false"/>
          </w:tcPr>
          <w:p>
            <w:pPr>
              <w:pStyle w:val="664"/>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ascii="宋体" w:hAnsi="宋体" w:cs="宋体"/>
                <w:bCs/>
                <w:color w:val="000000"/>
                <w:sz w:val="24"/>
                <w:szCs w:val="24"/>
                <w:highlight w:val="none"/>
              </w:rPr>
            </w:r>
            <w:r/>
          </w:p>
        </w:tc>
        <w:tc>
          <w:tcPr>
            <w:tcW w:w="562" w:type="dxa"/>
            <w:vAlign w:val="center"/>
            <w:textDirection w:val="lrTb"/>
            <w:noWrap w:val="false"/>
          </w:tcPr>
          <w:p>
            <w:pPr>
              <w:pStyle w:val="664"/>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数据工具</w:t>
            </w:r>
            <w:r>
              <w:rPr>
                <w:rFonts w:ascii="宋体" w:hAnsi="宋体" w:cs="宋体"/>
                <w:bCs/>
                <w:color w:val="000000"/>
                <w:sz w:val="24"/>
                <w:szCs w:val="24"/>
                <w:highlight w:val="none"/>
              </w:rPr>
            </w:r>
            <w:r/>
          </w:p>
        </w:tc>
        <w:tc>
          <w:tcPr>
            <w:tcW w:w="501" w:type="dxa"/>
            <w:vAlign w:val="center"/>
            <w:textDirection w:val="lrTb"/>
            <w:noWrap w:val="false"/>
          </w:tcPr>
          <w:p>
            <w:pPr>
              <w:pStyle w:val="664"/>
              <w:jc w:val="cente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否</w:t>
            </w:r>
            <w:r>
              <w:rPr>
                <w:rFonts w:ascii="宋体" w:hAnsi="宋体" w:cs="宋体"/>
                <w:bCs/>
                <w:color w:val="000000"/>
                <w:sz w:val="24"/>
                <w:szCs w:val="24"/>
                <w:highlight w:val="none"/>
              </w:rPr>
            </w:r>
            <w:r/>
          </w:p>
        </w:tc>
      </w:tr>
    </w:tbl>
    <w:p>
      <w:pPr>
        <w:pStyle w:val="664"/>
        <w:ind w:firstLine="480"/>
        <w:spacing w:line="264" w:lineRule="auto"/>
        <w:rPr>
          <w:rFonts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ascii="宋体" w:hAnsi="宋体" w:cs="宋体"/>
          <w:b/>
          <w:color w:val="000000"/>
          <w:sz w:val="24"/>
          <w:szCs w:val="24"/>
          <w:highlight w:val="none"/>
        </w:rPr>
      </w:r>
      <w:r/>
    </w:p>
    <w:p>
      <w:pPr>
        <w:pStyle w:val="664"/>
        <w:ind w:firstLine="480"/>
        <w:spacing w:line="264" w:lineRule="auto"/>
        <w:rPr>
          <w:rFonts w:ascii="宋体" w:hAnsi="宋体" w:cs="宋体"/>
          <w:bCs/>
          <w:color w:val="000000"/>
          <w:sz w:val="24"/>
          <w:szCs w:val="24"/>
          <w:highlight w:val="none"/>
        </w:rPr>
        <w:outlineLvl w:val="2"/>
      </w:pPr>
      <w:r/>
      <w:bookmarkStart w:id="23" w:name="_Toc120614281"/>
      <w:r>
        <w:rPr>
          <w:rFonts w:hint="eastAsia" w:ascii="宋体" w:hAnsi="宋体" w:cs="宋体"/>
          <w:bCs/>
          <w:color w:val="000000"/>
          <w:sz w:val="24"/>
          <w:szCs w:val="24"/>
          <w:highlight w:val="none"/>
        </w:rPr>
        <w:t xml:space="preserve">（一）技术要求</w:t>
      </w:r>
      <w:r>
        <w:rPr>
          <w:rFonts w:ascii="宋体" w:hAnsi="宋体" w:cs="宋体"/>
          <w:bCs/>
          <w:color w:val="000000"/>
          <w:sz w:val="24"/>
          <w:szCs w:val="24"/>
          <w:highlight w:val="none"/>
        </w:rPr>
      </w:r>
      <w:r/>
    </w:p>
    <w:p>
      <w:pPr>
        <w:pStyle w:val="664"/>
        <w:ind w:firstLine="482"/>
        <w:spacing w:line="264" w:lineRule="auto"/>
        <w:rPr>
          <w:rFonts w:ascii="宋体" w:hAnsi="宋体"/>
          <w:b/>
          <w:color w:val="000000"/>
          <w:sz w:val="24"/>
          <w:szCs w:val="24"/>
          <w:highlight w:val="none"/>
        </w:rPr>
      </w:pPr>
      <w:r>
        <w:rPr>
          <w:rFonts w:hint="eastAsia" w:ascii="宋体" w:hAnsi="宋体"/>
          <w:b/>
          <w:color w:val="000000"/>
          <w:sz w:val="24"/>
          <w:szCs w:val="24"/>
          <w:highlight w:val="none"/>
        </w:rPr>
        <w:t xml:space="preserve">系统框架总体要求</w:t>
      </w:r>
      <w:r>
        <w:rPr>
          <w:rFonts w:ascii="宋体" w:hAnsi="宋体"/>
          <w:b/>
          <w:color w:val="000000"/>
          <w:sz w:val="24"/>
          <w:szCs w:val="24"/>
          <w:highlight w:val="none"/>
        </w:rPr>
      </w:r>
      <w:r/>
    </w:p>
    <w:p>
      <w:pPr>
        <w:pStyle w:val="664"/>
        <w:numPr>
          <w:ilvl w:val="0"/>
          <w:numId w:val="5"/>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国产化及性能要求：整个系统能够适配使用安全可控的国有知识产权的操作系统和数据库系统和中间件，支持平台保存20年的体检数据量的环境下，保证软件正常稳定、高效运行。</w:t>
      </w:r>
      <w:r>
        <w:rPr>
          <w:rFonts w:hint="eastAsia" w:ascii="宋体" w:hAnsi="宋体"/>
          <w:b/>
          <w:color w:val="000000"/>
          <w:sz w:val="24"/>
          <w:szCs w:val="24"/>
          <w:highlight w:val="none"/>
        </w:rPr>
        <w:t xml:space="preserve">（备注：出具系统制造商的国产化数据库适配证书。）</w:t>
      </w:r>
      <w:r>
        <w:rPr>
          <w:rFonts w:ascii="宋体" w:hAnsi="宋体"/>
          <w:color w:val="000000"/>
          <w:sz w:val="24"/>
          <w:szCs w:val="24"/>
          <w:highlight w:val="none"/>
        </w:rPr>
      </w:r>
      <w:r/>
    </w:p>
    <w:p>
      <w:pPr>
        <w:pStyle w:val="664"/>
        <w:numPr>
          <w:ilvl w:val="0"/>
          <w:numId w:val="5"/>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三级等保：满足医院三级等保要求，具备三级信息系统安全等级保护备案证明。（</w:t>
      </w:r>
      <w:r>
        <w:rPr>
          <w:rFonts w:hint="eastAsia" w:ascii="宋体" w:hAnsi="宋体"/>
          <w:b/>
          <w:color w:val="000000"/>
          <w:sz w:val="24"/>
          <w:szCs w:val="24"/>
          <w:highlight w:val="none"/>
        </w:rPr>
        <w:t xml:space="preserve">备注：需提供</w:t>
      </w:r>
      <w:r>
        <w:rPr>
          <w:rFonts w:hint="eastAsia" w:ascii="宋体" w:hAnsi="宋体"/>
          <w:b/>
          <w:bCs/>
          <w:color w:val="000000"/>
          <w:sz w:val="24"/>
          <w:szCs w:val="24"/>
          <w:highlight w:val="none"/>
        </w:rPr>
        <w:t xml:space="preserve">系统制造商的</w:t>
      </w:r>
      <w:r>
        <w:rPr>
          <w:rFonts w:hint="eastAsia" w:ascii="宋体" w:hAnsi="宋体"/>
          <w:b/>
          <w:color w:val="000000"/>
          <w:sz w:val="24"/>
          <w:szCs w:val="24"/>
          <w:highlight w:val="none"/>
        </w:rPr>
        <w:t xml:space="preserve">三级等保证书。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0"/>
          <w:numId w:val="5"/>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开发框架</w:t>
      </w:r>
      <w:r>
        <w:rPr>
          <w:rFonts w:hint="eastAsia" w:ascii="宋体" w:hAnsi="宋体"/>
          <w:color w:val="000000"/>
          <w:sz w:val="24"/>
          <w:szCs w:val="24"/>
          <w:highlight w:val="none"/>
        </w:rPr>
        <w:t xml:space="preserve">：系统基于B/S架构开发，所有体检流程能够在浏览器和客户端上运行，并完成所有功能。</w:t>
      </w:r>
      <w:r>
        <w:rPr>
          <w:rFonts w:ascii="宋体" w:hAnsi="宋体"/>
          <w:color w:val="000000"/>
          <w:sz w:val="24"/>
          <w:szCs w:val="24"/>
          <w:highlight w:val="none"/>
        </w:rPr>
      </w:r>
      <w:r/>
    </w:p>
    <w:p>
      <w:pPr>
        <w:pStyle w:val="664"/>
        <w:numPr>
          <w:ilvl w:val="0"/>
          <w:numId w:val="5"/>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分区管理模式：</w:t>
      </w:r>
      <w:r>
        <w:rPr>
          <w:rFonts w:ascii="宋体" w:hAnsi="宋体"/>
          <w:color w:val="000000"/>
          <w:sz w:val="24"/>
          <w:szCs w:val="24"/>
          <w:highlight w:val="none"/>
        </w:rPr>
      </w:r>
      <w:r/>
    </w:p>
    <w:p>
      <w:pPr>
        <w:pStyle w:val="664"/>
        <w:numPr>
          <w:ilvl w:val="1"/>
          <w:numId w:val="5"/>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系统支持体检中心分区管理模式，实现不同的人员在不同的区域体检，</w:t>
      </w:r>
      <w:r>
        <w:rPr>
          <w:rFonts w:hint="eastAsia" w:ascii="宋体" w:hAnsi="宋体"/>
          <w:color w:val="000000"/>
          <w:sz w:val="24"/>
          <w:szCs w:val="24"/>
          <w:highlight w:val="none"/>
        </w:rPr>
        <w:t xml:space="preserve">如VIP一、二、三区、普检区等，方便体检中心管理体检者。</w:t>
      </w:r>
      <w:r>
        <w:rPr>
          <w:rFonts w:ascii="宋体" w:hAnsi="宋体"/>
          <w:color w:val="000000"/>
          <w:sz w:val="24"/>
          <w:szCs w:val="24"/>
          <w:highlight w:val="none"/>
        </w:rPr>
      </w:r>
      <w:r/>
    </w:p>
    <w:p>
      <w:pPr>
        <w:pStyle w:val="664"/>
        <w:numPr>
          <w:ilvl w:val="1"/>
          <w:numId w:val="5"/>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实现微信端根据不同区域设置不同的预约号源数。预约完成后通知用户在哪个区域体检。</w:t>
      </w:r>
      <w:r>
        <w:rPr>
          <w:rFonts w:hint="eastAsia" w:ascii="宋体" w:hAnsi="宋体"/>
          <w:color w:val="000000"/>
          <w:sz w:val="24"/>
          <w:szCs w:val="24"/>
          <w:highlight w:val="none"/>
        </w:rPr>
        <w:t xml:space="preserve">能实现体检人员跨区体检，跨区体检者需要提示医生。</w:t>
      </w:r>
      <w:r>
        <w:rPr>
          <w:rFonts w:hint="eastAsia" w:ascii="宋体" w:hAnsi="宋体"/>
          <w:color w:val="000000"/>
          <w:sz w:val="24"/>
          <w:szCs w:val="24"/>
          <w:highlight w:val="none"/>
        </w:rPr>
        <w:t xml:space="preserve">工作量统计可以按照不同的分区来统计。</w:t>
      </w:r>
      <w:r>
        <w:rPr>
          <w:rFonts w:ascii="宋体" w:hAnsi="宋体"/>
          <w:color w:val="000000"/>
          <w:sz w:val="24"/>
          <w:szCs w:val="24"/>
          <w:highlight w:val="none"/>
        </w:rPr>
      </w:r>
      <w:r/>
    </w:p>
    <w:p>
      <w:pPr>
        <w:pStyle w:val="664"/>
        <w:numPr>
          <w:ilvl w:val="0"/>
          <w:numId w:val="5"/>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大数据可视化平台（</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1"/>
          <w:numId w:val="5"/>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支持通过大数据可视化平台，展示体检现场实时数据，为医院管理者提供实时可视化的导检现场监控平台。</w:t>
      </w:r>
      <w:r>
        <w:rPr>
          <w:rFonts w:ascii="宋体" w:hAnsi="宋体"/>
          <w:color w:val="000000"/>
          <w:sz w:val="24"/>
          <w:szCs w:val="24"/>
          <w:highlight w:val="none"/>
        </w:rPr>
      </w:r>
      <w:r/>
    </w:p>
    <w:p>
      <w:pPr>
        <w:pStyle w:val="664"/>
        <w:numPr>
          <w:ilvl w:val="1"/>
          <w:numId w:val="5"/>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个性化定制显示健康管理中心当天体检数据、月/季/年度报表，如登记人员套餐比例、年龄分布、体检者分类人数统计（团检个检人数、vip客户普通客户人数、登记人数、交表人数），人员密度、科室实时已检人数、当天体检者流量趋势、近期体检者趋势、财务月/季/年报表/实时目标完成率等。</w:t>
      </w:r>
      <w:r>
        <w:rPr>
          <w:rFonts w:ascii="宋体" w:hAnsi="宋体"/>
          <w:color w:val="000000"/>
          <w:sz w:val="24"/>
          <w:szCs w:val="24"/>
          <w:highlight w:val="none"/>
        </w:rPr>
      </w:r>
      <w:r/>
    </w:p>
    <w:p>
      <w:pPr>
        <w:pStyle w:val="664"/>
        <w:numPr>
          <w:ilvl w:val="0"/>
          <w:numId w:val="5"/>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数据统计</w:t>
      </w:r>
      <w:r>
        <w:rPr>
          <w:rFonts w:hint="eastAsia" w:ascii="宋体" w:hAnsi="宋体"/>
          <w:color w:val="000000"/>
          <w:sz w:val="24"/>
          <w:szCs w:val="24"/>
          <w:highlight w:val="none"/>
        </w:rPr>
        <w:t xml:space="preserve">：可通过自定义字段灵活生成各种统计报表，满足不同场景的统计需求。</w:t>
      </w:r>
      <w:r>
        <w:rPr>
          <w:rFonts w:ascii="宋体" w:hAnsi="宋体"/>
          <w:color w:val="000000"/>
          <w:sz w:val="24"/>
          <w:szCs w:val="24"/>
          <w:highlight w:val="none"/>
        </w:rPr>
      </w:r>
      <w:r/>
    </w:p>
    <w:p>
      <w:pPr>
        <w:pStyle w:val="664"/>
        <w:numPr>
          <w:ilvl w:val="0"/>
          <w:numId w:val="5"/>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操作日志：记录重点业务功能的操作日志，便于追溯。</w:t>
      </w:r>
      <w:r>
        <w:rPr>
          <w:rFonts w:ascii="宋体" w:hAnsi="宋体"/>
          <w:color w:val="000000"/>
          <w:sz w:val="24"/>
          <w:szCs w:val="24"/>
          <w:highlight w:val="none"/>
        </w:rPr>
      </w:r>
      <w:r/>
    </w:p>
    <w:p>
      <w:pPr>
        <w:pStyle w:val="664"/>
        <w:ind w:firstLine="482"/>
        <w:spacing w:line="264" w:lineRule="auto"/>
        <w:rPr>
          <w:rFonts w:ascii="宋体" w:hAnsi="宋体"/>
          <w:b/>
          <w:color w:val="000000"/>
          <w:sz w:val="24"/>
          <w:szCs w:val="24"/>
          <w:highlight w:val="none"/>
        </w:rPr>
      </w:pPr>
      <w:r>
        <w:rPr>
          <w:rFonts w:ascii="宋体" w:hAnsi="宋体"/>
          <w:b/>
          <w:color w:val="000000"/>
          <w:sz w:val="24"/>
          <w:szCs w:val="24"/>
          <w:highlight w:val="none"/>
        </w:rPr>
      </w:r>
      <w:r/>
    </w:p>
    <w:p>
      <w:pPr>
        <w:pStyle w:val="664"/>
        <w:ind w:firstLine="482"/>
        <w:spacing w:line="264" w:lineRule="auto"/>
        <w:rPr>
          <w:rFonts w:ascii="宋体" w:hAnsi="宋体"/>
          <w:b/>
          <w:color w:val="000000"/>
          <w:sz w:val="24"/>
          <w:szCs w:val="24"/>
          <w:highlight w:val="none"/>
        </w:rPr>
      </w:pPr>
      <w:r>
        <w:rPr>
          <w:rFonts w:hint="eastAsia" w:ascii="宋体" w:hAnsi="宋体"/>
          <w:b/>
          <w:color w:val="000000"/>
          <w:sz w:val="24"/>
          <w:szCs w:val="24"/>
          <w:highlight w:val="none"/>
        </w:rPr>
        <w:t xml:space="preserve">检前预约排期</w:t>
      </w:r>
      <w:r>
        <w:rPr>
          <w:rFonts w:ascii="宋体" w:hAnsi="宋体"/>
          <w:b/>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预约套餐，加项，改项</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支持进行加项，改项，改期，撤单操作。</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支持通过“1+X“问卷自动推荐体检项目或套餐。</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支持配置用户在同一天可预约的体检订单数量。</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可控制微信预约开放天数，开放30天表示体检者只能预约30天内的有效日期，不能超过设置天数。</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套餐对比：支持选择最多5个套餐进行横向对比套餐差异，包括套餐信息差异，金额差异，项目差异。</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按科室，病症筛选项目：加项时，支持按照科室或按照病症筛查相关项目信息，并支持给项目信息配置解读，告知客户项目意义等信息。</w:t>
      </w:r>
      <w:r>
        <w:rPr>
          <w:rFonts w:ascii="宋体" w:hAnsi="宋体"/>
          <w:color w:val="000000"/>
          <w:sz w:val="24"/>
          <w:szCs w:val="24"/>
          <w:highlight w:val="none"/>
        </w:rPr>
      </w:r>
      <w:r/>
    </w:p>
    <w:p>
      <w:pPr>
        <w:pStyle w:val="664"/>
        <w:numPr>
          <w:ilvl w:val="0"/>
          <w:numId w:val="6"/>
        </w:numPr>
        <w:rPr>
          <w:color w:val="000000"/>
          <w:highlight w:val="none"/>
        </w:rPr>
      </w:pPr>
      <w:r>
        <w:rPr>
          <w:rFonts w:ascii="宋体" w:hAnsi="宋体" w:cs="宋体"/>
          <w:color w:val="000000"/>
          <w:sz w:val="22"/>
          <w:highlight w:val="none"/>
        </w:rPr>
        <w:t xml:space="preserve">▲</w:t>
      </w:r>
      <w:r>
        <w:rPr>
          <w:b/>
          <w:bCs/>
          <w:color w:val="000000"/>
          <w:spacing w:val="-7"/>
          <w:highlight w:val="none"/>
        </w:rPr>
        <w:t xml:space="preserve">预约支付</w:t>
      </w:r>
      <w:r>
        <w:rPr>
          <w:rFonts w:hint="eastAsia" w:ascii="宋体" w:hAnsi="宋体"/>
          <w:color w:val="000000"/>
          <w:sz w:val="24"/>
          <w:szCs w:val="24"/>
          <w:highlight w:val="none"/>
        </w:rPr>
        <w:t xml:space="preserve">（</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color w:val="000000"/>
          <w:highlight w:val="none"/>
        </w:rPr>
      </w:r>
      <w:r/>
    </w:p>
    <w:p>
      <w:pPr>
        <w:pStyle w:val="687"/>
        <w:numPr>
          <w:ilvl w:val="1"/>
          <w:numId w:val="6"/>
        </w:numPr>
        <w:ind w:right="211" w:hanging="454"/>
        <w:spacing w:before="182"/>
        <w:rPr>
          <w:rFonts w:ascii="宋体" w:hAnsi="宋体" w:eastAsia="宋体" w:cs="宋体"/>
          <w:color w:val="000000"/>
          <w:highlight w:val="none"/>
        </w:rPr>
      </w:pPr>
      <w:r>
        <w:rPr>
          <w:rFonts w:hint="eastAsia" w:ascii="宋体" w:hAnsi="宋体" w:eastAsia="宋体" w:cs="宋体"/>
          <w:color w:val="000000"/>
          <w:spacing w:val="-2"/>
          <w:highlight w:val="none"/>
        </w:rPr>
        <w:t xml:space="preserve">微信端预约体检</w:t>
      </w:r>
      <w:r>
        <w:rPr>
          <w:rFonts w:hint="eastAsia" w:ascii="宋体" w:hAnsi="宋体" w:eastAsia="宋体" w:cs="Times New Roman"/>
          <w:color w:val="000000"/>
          <w:highlight w:val="none"/>
          <w:lang w:eastAsia="zh-CN"/>
        </w:rPr>
        <w:t xml:space="preserve">可设置支付方式（移动支付或现场支付），可设置适用的订单类型（个人订单或单位订单）。</w:t>
      </w:r>
      <w:r>
        <w:rPr>
          <w:rFonts w:ascii="宋体" w:hAnsi="宋体" w:eastAsia="宋体" w:cs="宋体"/>
          <w:color w:val="000000"/>
          <w:highlight w:val="none"/>
        </w:rPr>
      </w:r>
      <w:r/>
    </w:p>
    <w:p>
      <w:pPr>
        <w:pStyle w:val="687"/>
        <w:numPr>
          <w:ilvl w:val="1"/>
          <w:numId w:val="6"/>
        </w:numPr>
        <w:ind w:hanging="454"/>
        <w:spacing w:before="1"/>
        <w:rPr>
          <w:rFonts w:ascii="宋体" w:hAnsi="宋体" w:eastAsia="宋体" w:cs="宋体"/>
          <w:color w:val="000000"/>
          <w:highlight w:val="none"/>
        </w:rPr>
      </w:pPr>
      <w:r>
        <w:rPr>
          <w:rFonts w:hint="eastAsia" w:ascii="宋体" w:hAnsi="宋体" w:eastAsia="宋体" w:cs="宋体"/>
          <w:color w:val="000000"/>
          <w:spacing w:val="-3"/>
          <w:highlight w:val="none"/>
        </w:rPr>
        <w:t xml:space="preserve">预约完成后支持选择线上支付或线下支付。</w:t>
      </w:r>
      <w:r>
        <w:rPr>
          <w:rFonts w:ascii="宋体" w:hAnsi="宋体" w:eastAsia="宋体" w:cs="宋体"/>
          <w:color w:val="000000"/>
          <w:highlight w:val="none"/>
        </w:rPr>
      </w:r>
      <w:r/>
    </w:p>
    <w:p>
      <w:pPr>
        <w:pStyle w:val="687"/>
        <w:numPr>
          <w:ilvl w:val="1"/>
          <w:numId w:val="6"/>
        </w:numPr>
        <w:ind w:hanging="454"/>
        <w:spacing w:before="1"/>
        <w:rPr>
          <w:rFonts w:ascii="宋体" w:hAnsi="宋体" w:eastAsia="宋体" w:cs="宋体"/>
          <w:color w:val="000000"/>
          <w:highlight w:val="none"/>
        </w:rPr>
      </w:pPr>
      <w:r>
        <w:rPr>
          <w:rFonts w:hint="eastAsia" w:ascii="宋体" w:hAnsi="宋体" w:eastAsia="宋体" w:cs="宋体"/>
          <w:color w:val="000000"/>
          <w:spacing w:val="-2"/>
          <w:highlight w:val="none"/>
        </w:rPr>
        <w:t xml:space="preserve">个人预约支持微信完成预约，在线下进行缴费；也可以在微信端选择到院支付后并提交预约，可设置是否允许继续使用微信支付。</w:t>
      </w:r>
      <w:r>
        <w:rPr>
          <w:rFonts w:ascii="宋体" w:hAnsi="宋体" w:eastAsia="宋体" w:cs="宋体"/>
          <w:color w:val="000000"/>
          <w:highlight w:val="none"/>
        </w:rPr>
      </w:r>
      <w:r/>
    </w:p>
    <w:p>
      <w:pPr>
        <w:pStyle w:val="687"/>
        <w:numPr>
          <w:ilvl w:val="1"/>
          <w:numId w:val="6"/>
        </w:numPr>
        <w:ind w:right="208" w:hanging="454"/>
        <w:spacing w:before="3"/>
        <w:rPr>
          <w:rFonts w:ascii="宋体" w:hAnsi="宋体" w:eastAsia="宋体" w:cs="宋体"/>
          <w:color w:val="000000"/>
          <w:highlight w:val="none"/>
        </w:rPr>
      </w:pPr>
      <w:r>
        <w:rPr>
          <w:rFonts w:hint="eastAsia" w:ascii="宋体" w:hAnsi="宋体" w:eastAsia="宋体" w:cs="宋体"/>
          <w:color w:val="000000"/>
          <w:spacing w:val="-2"/>
          <w:highlight w:val="none"/>
        </w:rPr>
        <w:t xml:space="preserve">单位预约可根据单位</w:t>
      </w:r>
      <w:r>
        <w:rPr>
          <w:rFonts w:hint="eastAsia" w:ascii="宋体" w:hAnsi="宋体" w:eastAsia="宋体" w:cs="宋体"/>
          <w:color w:val="000000"/>
          <w:spacing w:val="-2"/>
          <w:highlight w:val="none"/>
          <w:lang w:eastAsia="zh-CN"/>
        </w:rPr>
        <w:t xml:space="preserve">情况设定</w:t>
      </w:r>
      <w:r>
        <w:rPr>
          <w:rFonts w:hint="eastAsia" w:ascii="宋体" w:hAnsi="宋体" w:eastAsia="宋体" w:cs="宋体"/>
          <w:color w:val="000000"/>
          <w:spacing w:val="-2"/>
          <w:highlight w:val="none"/>
        </w:rPr>
        <w:t xml:space="preserve">收费模式，支持在订单总金额超出定额时客户</w:t>
      </w:r>
      <w:r>
        <w:rPr>
          <w:rFonts w:hint="eastAsia" w:ascii="宋体" w:hAnsi="宋体" w:eastAsia="宋体" w:cs="宋体"/>
          <w:color w:val="000000"/>
          <w:spacing w:val="-4"/>
          <w:highlight w:val="none"/>
        </w:rPr>
        <w:t xml:space="preserve">直接在微信缴纳超出费用。</w:t>
      </w:r>
      <w:r>
        <w:rPr>
          <w:rFonts w:ascii="宋体" w:hAnsi="宋体" w:eastAsia="宋体" w:cs="宋体"/>
          <w:color w:val="000000"/>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预约提醒：预约完成，预约改期，以及预约到期前，可发送微信消息推送提醒，或手机短信提醒（需医院具备短信平台）</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ascii="宋体" w:hAnsi="宋体" w:cs="宋体"/>
          <w:color w:val="000000"/>
          <w:sz w:val="24"/>
          <w:szCs w:val="24"/>
          <w:highlight w:val="none"/>
        </w:rPr>
        <w:t xml:space="preserve">▲</w:t>
      </w:r>
      <w:r>
        <w:rPr>
          <w:color w:val="000000"/>
          <w:spacing w:val="-37"/>
          <w:sz w:val="24"/>
          <w:szCs w:val="24"/>
          <w:highlight w:val="none"/>
        </w:rPr>
        <w:t xml:space="preserve"> </w:t>
      </w:r>
      <w:r>
        <w:rPr>
          <w:color w:val="000000"/>
          <w:spacing w:val="-2"/>
          <w:sz w:val="24"/>
          <w:szCs w:val="24"/>
          <w:highlight w:val="none"/>
        </w:rPr>
        <w:t xml:space="preserve">单位预约发布提醒及二维码</w:t>
      </w:r>
      <w:r>
        <w:rPr>
          <w:rFonts w:hint="eastAsia" w:ascii="宋体" w:hAnsi="宋体"/>
          <w:color w:val="000000"/>
          <w:sz w:val="24"/>
          <w:szCs w:val="24"/>
          <w:highlight w:val="none"/>
        </w:rPr>
        <w:t xml:space="preserve">（</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color w:val="000000"/>
          <w:spacing w:val="-37"/>
          <w:sz w:val="24"/>
          <w:szCs w:val="24"/>
          <w:highlight w:val="none"/>
        </w:rPr>
        <w:t xml:space="preserve"> </w:t>
      </w:r>
      <w:r>
        <w:rPr>
          <w:color w:val="000000"/>
          <w:spacing w:val="-2"/>
          <w:sz w:val="24"/>
          <w:szCs w:val="24"/>
          <w:highlight w:val="none"/>
        </w:rPr>
        <w:t xml:space="preserve">单位预约排期发布后，系统</w:t>
      </w:r>
      <w:r>
        <w:rPr>
          <w:rFonts w:hint="eastAsia"/>
          <w:color w:val="000000"/>
          <w:spacing w:val="-2"/>
          <w:sz w:val="24"/>
          <w:szCs w:val="24"/>
          <w:highlight w:val="none"/>
        </w:rPr>
        <w:t xml:space="preserve">可</w:t>
      </w:r>
      <w:r>
        <w:rPr>
          <w:color w:val="000000"/>
          <w:spacing w:val="-2"/>
          <w:sz w:val="24"/>
          <w:szCs w:val="24"/>
          <w:highlight w:val="none"/>
        </w:rPr>
        <w:t xml:space="preserve">发送短</w:t>
      </w:r>
      <w:r>
        <w:rPr>
          <w:color w:val="000000"/>
          <w:spacing w:val="-3"/>
          <w:sz w:val="24"/>
          <w:szCs w:val="24"/>
          <w:highlight w:val="none"/>
        </w:rPr>
        <w:t xml:space="preserve">信消息给单位人员，系统将自动生成单位预约二维码和预约详</w:t>
      </w:r>
      <w:r>
        <w:rPr>
          <w:color w:val="000000"/>
          <w:spacing w:val="-4"/>
          <w:sz w:val="24"/>
          <w:szCs w:val="24"/>
          <w:highlight w:val="none"/>
        </w:rPr>
        <w:t xml:space="preserve">情，客户扫描二维</w:t>
      </w:r>
      <w:r>
        <w:rPr>
          <w:color w:val="000000"/>
          <w:spacing w:val="-3"/>
          <w:sz w:val="24"/>
          <w:szCs w:val="24"/>
          <w:highlight w:val="none"/>
        </w:rPr>
        <w:t xml:space="preserve">码后可立即进入微信单位预约界面。</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亲属预约</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团检订单，支持帮亲属预约，亲属可以选择单位开放给亲属的套餐，可设置亲属是否享受单位折扣自费、单位付费或者完全自费。</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可支持客户为自己亲属预约个人体检套餐。</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报告查询</w:t>
      </w:r>
      <w:r>
        <w:rPr>
          <w:rFonts w:ascii="宋体" w:hAnsi="宋体"/>
          <w:color w:val="000000"/>
          <w:sz w:val="24"/>
          <w:szCs w:val="24"/>
          <w:highlight w:val="none"/>
        </w:rPr>
      </w:r>
      <w:r/>
    </w:p>
    <w:p>
      <w:pPr>
        <w:pStyle w:val="664"/>
        <w:numPr>
          <w:ilvl w:val="1"/>
          <w:numId w:val="6"/>
        </w:numPr>
        <w:rPr>
          <w:rFonts w:ascii="宋体" w:hAnsi="宋体"/>
          <w:b/>
          <w:bCs/>
          <w:color w:val="000000"/>
          <w:sz w:val="24"/>
          <w:szCs w:val="24"/>
          <w:highlight w:val="none"/>
        </w:rPr>
      </w:pPr>
      <w:r>
        <w:rPr>
          <w:rFonts w:hint="eastAsia" w:ascii="黑体" w:hAnsi="黑体" w:eastAsia="黑体" w:cs="黑体"/>
          <w:color w:val="000000"/>
          <w:sz w:val="24"/>
          <w:szCs w:val="24"/>
          <w:highlight w:val="none"/>
        </w:rPr>
        <w:t xml:space="preserve">★</w:t>
      </w:r>
      <w:r>
        <w:rPr>
          <w:rFonts w:hint="eastAsia" w:ascii="宋体" w:hAnsi="宋体"/>
          <w:color w:val="000000"/>
          <w:sz w:val="24"/>
          <w:szCs w:val="24"/>
          <w:highlight w:val="none"/>
        </w:rPr>
        <w:t xml:space="preserve">支持微信端查询客户本人或他人电子报告，并支持将体检报告PDF文件保存在手机中，可图文显示。</w:t>
      </w:r>
      <w:r>
        <w:rPr>
          <w:rFonts w:hint="eastAsia" w:ascii="宋体" w:hAnsi="宋体"/>
          <w:b/>
          <w:bCs/>
          <w:color w:val="000000"/>
          <w:sz w:val="24"/>
          <w:szCs w:val="24"/>
          <w:highlight w:val="none"/>
        </w:rPr>
        <w:t xml:space="preserve">（备注：内容需提供系统截图证明，否则作无效投标处理。）</w:t>
      </w:r>
      <w:r>
        <w:rPr>
          <w:rFonts w:ascii="宋体" w:hAnsi="宋体"/>
          <w:b/>
          <w:bCs/>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支持展示客户历年体检结果进行横向对比，并针对数值类型结果生成趋势图。</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支持设置微信端第三方查询报告详情的页签名称。</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“我的订单”支持查看报告的出具状态。</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项目互斥：选择了A项目，就不能选择B项目，比如选择了生化32项，就不允许选择生化16项。</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项目依赖：选择了A项目，必须选择B项目，比如做了血常规，必须选择耗材。</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预约详情：可设置微信端预约详情页面中字段填写规则，是否需要必填，支持与体检类型关联。</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预约流程设置价格隐藏：可设置微信端个检流程和团检流程中套餐或项目的价格是否隐藏。</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开发票</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微信端个人订单和单位订单支付完成后可设置是否允许开具电子发票。</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微信支持对个人完成支付的记录开具发票。</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支持查看未开发票的记录和开票历史。</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支持重新开票和重新发送发票至邮箱。</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支持维护抬头模版</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预约渠道</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支持通过支付宝小程序预约，预约完成之后支持支付宝缴费</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支持通过微信小程序，微信公众号预约，预约完成之后支持微信缴费</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预约</w:t>
      </w:r>
      <w:r>
        <w:rPr>
          <w:rFonts w:hint="eastAsia" w:ascii="宋体" w:hAnsi="宋体"/>
          <w:color w:val="000000"/>
          <w:sz w:val="24"/>
          <w:szCs w:val="24"/>
          <w:highlight w:val="none"/>
        </w:rPr>
        <w:t xml:space="preserve">设置</w:t>
      </w:r>
      <w:r>
        <w:rPr>
          <w:rFonts w:hint="eastAsia" w:ascii="宋体" w:hAnsi="宋体"/>
          <w:color w:val="000000"/>
          <w:sz w:val="24"/>
          <w:szCs w:val="24"/>
          <w:highlight w:val="none"/>
        </w:rPr>
        <w:t xml:space="preserve">（</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可设置每日及每个时间段可预约的个检人数，单位人数以及单位。</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可设置特殊日期的可约个检人数及单位人数。</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可设置项目上限和特殊项目。</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可设置不同年龄段可约人数。</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可设置不同套餐的可约人数及周期。</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可针对不同体检类型设置可约人数及周期。</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可针对不同用户等级设置可约人数及周期。</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单位预约发布提醒及二维码</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单位预约排期发布后，系统支持发送短信消息给单位人员。系统将自动生成单位预约二维码和预约详情，可直接复制，发送给单位负责人。客户扫描二维码后可立即进入微信单位预约界面</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支持批量取消发布预约时间，该操作不影响已预约订单。</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团检信息批量导入</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团检预约信息可通过Excel，批量的导入到系统，并支持对导入名单的证件号格式作标准校验，同时支持对人员的婚姻状况、性别、分组、年龄与对应套餐进行校验。</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提供自动匹配导入模式，对人员的基础信息做匹配，自动将人员导入条件适配的套餐中。</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预约</w:t>
      </w:r>
      <w:r>
        <w:rPr>
          <w:rFonts w:hint="eastAsia" w:ascii="宋体" w:hAnsi="宋体"/>
          <w:color w:val="000000"/>
          <w:sz w:val="24"/>
          <w:szCs w:val="24"/>
          <w:highlight w:val="none"/>
        </w:rPr>
        <w:t xml:space="preserve">工作台</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支持日历形式查看预约的已约、可约情况；支持查看具体日期中个人和单位已约人数，预留人数，个人余量，单位余量；支持添加备注；支持新增预约登记人员；支持对新增人员进行导医分配；支持可视化统计今日就餐人数和明日预约人数。</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在体检安排表中，支持查看单位订单的预约情况，同时支持查看个人体检的预约情况。</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可以查看未来一周的项目预约情况，以及每一天、每个时段的明细情况。</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可查看科室或分类的预约情况，支持按人数、按部位进行查看</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支持自定义设置分类名称，在分类下添加组合项目，体检订单含有此组合项目后，可计入预约统计。</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预约管理（</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所有预约的用户信息，都可以在后台用户管理页面查询到。管理医院的预约情况，同时可以增加新的预约。</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单位导入的人员信息都可以在预约管理页面查询到，支持对人员进行预约，改期，批量预约，批量改期。</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检前改项：系统支持查看所有的预约详情记录，并支持医护人员查看人员问卷，病史，提前联系客户对订单进行加项，减项处理，加项会在微信端体现，用户可直接在手机进行支付。</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放号规则</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可设置单位客户和个人客户预约的日期范围和时间范围，处于对应的日期范围或者时间范围内才可预约</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单位预约加项</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可设置加项金额是否能超过定额金额。</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可设置加项模式（</w:t>
      </w:r>
      <w:r>
        <w:rPr>
          <w:rFonts w:hint="eastAsia" w:ascii="宋体" w:hAnsi="宋体"/>
          <w:color w:val="000000"/>
          <w:sz w:val="24"/>
          <w:szCs w:val="24"/>
          <w:highlight w:val="none"/>
        </w:rPr>
        <w:t xml:space="preserve">禁用加项，使用加项，</w:t>
      </w:r>
      <w:r>
        <w:rPr>
          <w:rFonts w:hint="eastAsia" w:ascii="宋体" w:hAnsi="宋体"/>
          <w:color w:val="000000"/>
          <w:sz w:val="24"/>
          <w:szCs w:val="24"/>
          <w:highlight w:val="none"/>
        </w:rPr>
        <w:t xml:space="preserve">加项提示）。</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可设置不需要加项提醒的套餐类型。</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可设置禁止加项科室。</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ab/>
      </w:r>
      <w:r>
        <w:rPr>
          <w:rFonts w:hint="eastAsia" w:ascii="宋体" w:hAnsi="宋体"/>
          <w:color w:val="000000"/>
          <w:sz w:val="24"/>
          <w:szCs w:val="24"/>
          <w:highlight w:val="none"/>
        </w:rPr>
        <w:t xml:space="preserve">改期规则</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可设置用户改期时间及改期次数。</w:t>
      </w:r>
      <w:r>
        <w:rPr>
          <w:rFonts w:ascii="宋体" w:hAnsi="宋体"/>
          <w:color w:val="000000"/>
          <w:sz w:val="24"/>
          <w:szCs w:val="24"/>
          <w:highlight w:val="none"/>
        </w:rPr>
      </w:r>
      <w:r/>
    </w:p>
    <w:p>
      <w:pPr>
        <w:pStyle w:val="664"/>
        <w:numPr>
          <w:ilvl w:val="1"/>
          <w:numId w:val="6"/>
        </w:numPr>
        <w:rPr>
          <w:rFonts w:ascii="宋体" w:hAnsi="宋体"/>
          <w:color w:val="000000"/>
          <w:sz w:val="24"/>
          <w:szCs w:val="24"/>
          <w:highlight w:val="none"/>
        </w:rPr>
      </w:pPr>
      <w:r>
        <w:rPr>
          <w:rFonts w:hint="eastAsia" w:ascii="宋体" w:hAnsi="宋体"/>
          <w:color w:val="000000"/>
          <w:sz w:val="24"/>
          <w:szCs w:val="24"/>
          <w:highlight w:val="none"/>
        </w:rPr>
        <w:t xml:space="preserve">可设置改期时是否提醒客户剩余改期次数和最迟改期时间</w:t>
      </w:r>
      <w:r>
        <w:rPr>
          <w:rFonts w:ascii="宋体" w:hAnsi="宋体"/>
          <w:color w:val="000000"/>
          <w:sz w:val="24"/>
          <w:szCs w:val="24"/>
          <w:highlight w:val="none"/>
        </w:rPr>
      </w:r>
      <w:r/>
    </w:p>
    <w:p>
      <w:pPr>
        <w:pStyle w:val="664"/>
        <w:numPr>
          <w:ilvl w:val="0"/>
          <w:numId w:val="6"/>
        </w:numPr>
        <w:rPr>
          <w:rFonts w:ascii="宋体" w:hAnsi="宋体"/>
          <w:color w:val="000000"/>
          <w:sz w:val="24"/>
          <w:szCs w:val="24"/>
          <w:highlight w:val="none"/>
        </w:rPr>
      </w:pPr>
      <w:r>
        <w:rPr>
          <w:rFonts w:hint="eastAsia" w:ascii="宋体" w:hAnsi="宋体"/>
          <w:color w:val="000000"/>
          <w:sz w:val="24"/>
          <w:szCs w:val="24"/>
          <w:highlight w:val="none"/>
        </w:rPr>
        <w:t xml:space="preserve">撤单规则：可设置周期内可撤单次数。</w:t>
      </w:r>
      <w:r>
        <w:rPr>
          <w:rFonts w:ascii="宋体" w:hAnsi="宋体"/>
          <w:color w:val="000000"/>
          <w:sz w:val="24"/>
          <w:szCs w:val="24"/>
          <w:highlight w:val="none"/>
        </w:rPr>
      </w:r>
      <w:r/>
    </w:p>
    <w:p>
      <w:pPr>
        <w:pStyle w:val="664"/>
        <w:numPr>
          <w:ilvl w:val="0"/>
          <w:numId w:val="6"/>
        </w:numPr>
        <w:rPr>
          <w:rFonts w:ascii="宋体" w:hAnsi="宋体"/>
          <w:b/>
          <w:color w:val="000000"/>
          <w:sz w:val="24"/>
          <w:szCs w:val="24"/>
          <w:highlight w:val="none"/>
        </w:rPr>
      </w:pPr>
      <w:r>
        <w:rPr>
          <w:rFonts w:hint="eastAsia" w:ascii="宋体" w:hAnsi="宋体"/>
          <w:color w:val="000000"/>
          <w:sz w:val="24"/>
          <w:szCs w:val="24"/>
          <w:highlight w:val="none"/>
        </w:rPr>
        <w:t xml:space="preserve">干保预约： “干保预约记录” 页签，列表字段按对方传参字段创建，同时有关联体检号、体检状态、干保订单状态、操作等字段，支持通过姓名、证件号等字段进行检索。操作列可触发各种同步和确认接口，如确认预约、取消确认预约等，且所有按钮需二次确认。</w:t>
      </w:r>
      <w:r>
        <w:rPr>
          <w:rFonts w:ascii="宋体" w:hAnsi="宋体"/>
          <w:b/>
          <w:color w:val="000000"/>
          <w:sz w:val="24"/>
          <w:szCs w:val="24"/>
          <w:highlight w:val="none"/>
        </w:rPr>
      </w:r>
      <w:r/>
    </w:p>
    <w:p>
      <w:pPr>
        <w:pStyle w:val="664"/>
        <w:rPr>
          <w:rFonts w:ascii="宋体" w:hAnsi="宋体"/>
          <w:b/>
          <w:color w:val="000000"/>
          <w:sz w:val="24"/>
          <w:szCs w:val="24"/>
          <w:highlight w:val="none"/>
        </w:rPr>
      </w:pPr>
      <w:r>
        <w:rPr>
          <w:rFonts w:ascii="宋体" w:hAnsi="宋体"/>
          <w:b/>
          <w:color w:val="000000"/>
          <w:sz w:val="24"/>
          <w:szCs w:val="24"/>
          <w:highlight w:val="none"/>
        </w:rPr>
      </w:r>
      <w:r/>
    </w:p>
    <w:p>
      <w:pPr>
        <w:pStyle w:val="664"/>
        <w:ind w:firstLine="482"/>
        <w:spacing w:line="264" w:lineRule="auto"/>
        <w:rPr>
          <w:rFonts w:ascii="宋体" w:hAnsi="宋体"/>
          <w:b/>
          <w:color w:val="000000"/>
          <w:sz w:val="24"/>
          <w:szCs w:val="24"/>
          <w:highlight w:val="none"/>
        </w:rPr>
      </w:pPr>
      <w:r>
        <w:rPr>
          <w:rFonts w:hint="eastAsia" w:ascii="宋体" w:hAnsi="宋体"/>
          <w:b/>
          <w:color w:val="000000"/>
          <w:sz w:val="24"/>
          <w:szCs w:val="24"/>
          <w:highlight w:val="none"/>
        </w:rPr>
        <w:t xml:space="preserve">检中体检系统</w:t>
      </w:r>
      <w:r>
        <w:rPr>
          <w:rFonts w:ascii="宋体" w:hAnsi="宋体"/>
          <w:b/>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提供多种字体</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系统提供至少两种字体选择，可以让医生按需求选择字体的大小，以适应老年医生的操作习惯。并且整个系统界面支持无极缩放功能，可放大，缩小显示的界面。</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字号大小记录用户习惯，重新登录后仍保持上次设置。</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个性化首页显示：首页支持展示多种数据，多种样式的可视化统计图表，如未来七天体检人数，报告逾期统计，数据接收逾期统计，过去一周应收统计。并可按照角色权限，或者个人喜好调整图表是否展示以及展示顺序。</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多屏展示数据：开单医生操作的信息，可通过第二个屏幕向体检者展示个人登记信息，套餐信息，体检项目信息，体检者可以对本人信息，项目及金额进行确认。</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多等级VIP </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支持自定义客户等级，可按照业务需求自由设置多个等级的VIP；</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订单等级根据用户档案等级、套餐等级、价格范围等级综合考量；</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等级优先级从高到低依次为，“VIP”，“优先级”，“编码”；</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用户档案等级支持同步更新。</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可视化配置：系统提供多个功能模块的高自由自定义设置，适应不同医生的需求。</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结果特殊字符提示：支持针对性别，婚姻情况设置结果中不能出现的关键字，一旦出现将进行错误提醒不允许保存。如男性项目结果不能出现子宫。</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数据同步</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支持系统提供数据同步模块，自动检测HIS科室信息，人员信息，物价数据变动。</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支持在列表查看数据更新前后的内容。</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支持手动或自动同步体检项目价格，名称，编码等信息，并同步更新体检套餐。</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支持在基本信息-组合项目中将其状态变更为启用，数据同步-组合项目中启用状态（原值）列将显示为启用</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支持消息预警和报错，针对如Lis、pacs的第三方平台的数据回传，如超期未收到或者接口异常将针对指定用户发送邮件预警消息。 </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结果/报告逾期提醒（</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系统可自由配置不同体检类型的报告逾期天数，超过未出总检报告将在系统内提醒相关人员及时处理，逾期天数统计跳过节假日。</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系统可自由配置每个体检项目的结果逾期天数，如果超期未接收或录入项目结果将在系统内提醒相关人员及时处理，逾期天数统计跳过节假日。</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预总检、体检总检、总检审核三个体检流程支持配置逾期天数，若超过时间未处理完成，将在系统内提醒相关人员及时处理，该逻辑跳过节假日；</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危重提醒：消息列表中可查看危急值消息。支持通过危重等级筛选消息。支持配置不同等级的危急值消息通知不通知。</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ab/>
      </w:r>
      <w:r>
        <w:rPr>
          <w:rFonts w:hint="eastAsia" w:ascii="宋体" w:hAnsi="宋体"/>
          <w:color w:val="000000"/>
          <w:sz w:val="24"/>
          <w:szCs w:val="24"/>
          <w:highlight w:val="none"/>
        </w:rPr>
        <w:t xml:space="preserve">护士工作台</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体检轨迹：可在系统记录中自动记录客户的体检轨迹信息，针对如登记，选套餐，加减项，结算，收费，数据录入，总检，换套餐、报告出入柜各节点中的操作人员，操作时间以及操作内容信息。</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体检报告：体检后支持查看生成的pdf报告地址，在列表中，支持点击按钮查看pdf报告内容，同时也支持扫描二维码来查看pdf报告。</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登记信息</w:t>
      </w:r>
      <w:r>
        <w:rPr>
          <w:rFonts w:ascii="宋体" w:hAnsi="宋体"/>
          <w:color w:val="000000"/>
          <w:sz w:val="24"/>
          <w:szCs w:val="24"/>
          <w:highlight w:val="none"/>
        </w:rPr>
      </w:r>
      <w:r/>
    </w:p>
    <w:p>
      <w:pPr>
        <w:pStyle w:val="687"/>
        <w:numPr>
          <w:ilvl w:val="1"/>
          <w:numId w:val="7"/>
        </w:numPr>
        <w:spacing w:line="216" w:lineRule="auto"/>
        <w:rPr>
          <w:rFonts w:ascii="宋体" w:hAnsi="宋体" w:eastAsia="宋体" w:cs="宋体"/>
          <w:color w:val="000000"/>
          <w:spacing w:val="-6"/>
          <w:highlight w:val="none"/>
        </w:rPr>
      </w:pPr>
      <w:r>
        <w:rPr>
          <w:rFonts w:hint="eastAsia" w:ascii="宋体" w:hAnsi="宋体" w:eastAsia="宋体" w:cs="宋体"/>
          <w:color w:val="000000"/>
          <w:spacing w:val="-2"/>
          <w:highlight w:val="none"/>
        </w:rPr>
        <w:t xml:space="preserve">可通过读取身份证、网络预约信息、</w:t>
      </w:r>
      <w:r>
        <w:rPr>
          <w:rFonts w:hint="eastAsia" w:ascii="宋体" w:hAnsi="宋体" w:eastAsia="宋体" w:cs="宋体"/>
          <w:color w:val="000000"/>
          <w:spacing w:val="-3"/>
          <w:highlight w:val="none"/>
        </w:rPr>
        <w:t xml:space="preserve">手工登记等</w:t>
      </w:r>
      <w:r>
        <w:rPr>
          <w:rFonts w:hint="eastAsia" w:ascii="宋体" w:hAnsi="宋体" w:eastAsia="宋体" w:cs="宋体"/>
          <w:color w:val="000000"/>
          <w:spacing w:val="-6"/>
          <w:highlight w:val="none"/>
        </w:rPr>
        <w:t xml:space="preserve">多种方式获取体检者信息。</w:t>
      </w:r>
      <w:r>
        <w:rPr>
          <w:rFonts w:ascii="宋体" w:hAnsi="宋体" w:eastAsia="宋体" w:cs="宋体"/>
          <w:color w:val="000000"/>
          <w:spacing w:val="-6"/>
          <w:highlight w:val="none"/>
        </w:rPr>
      </w:r>
      <w:r/>
    </w:p>
    <w:p>
      <w:pPr>
        <w:pStyle w:val="687"/>
        <w:numPr>
          <w:ilvl w:val="1"/>
          <w:numId w:val="7"/>
        </w:numPr>
        <w:spacing w:line="216" w:lineRule="auto"/>
        <w:rPr>
          <w:rFonts w:ascii="宋体" w:hAnsi="宋体" w:eastAsia="宋体" w:cs="宋体"/>
          <w:color w:val="000000"/>
          <w:spacing w:val="-3"/>
          <w:highlight w:val="none"/>
        </w:rPr>
      </w:pPr>
      <w:r>
        <w:rPr>
          <w:rFonts w:hint="eastAsia" w:ascii="宋体" w:hAnsi="宋体" w:eastAsia="宋体" w:cs="宋体"/>
          <w:color w:val="000000"/>
          <w:spacing w:val="-6"/>
          <w:highlight w:val="none"/>
        </w:rPr>
        <w:t xml:space="preserve">身份证识别：</w:t>
      </w:r>
      <w:r>
        <w:rPr>
          <w:rFonts w:hint="eastAsia" w:ascii="宋体" w:hAnsi="宋体" w:eastAsia="宋体" w:cs="宋体"/>
          <w:color w:val="000000"/>
          <w:spacing w:val="-35"/>
          <w:highlight w:val="none"/>
        </w:rPr>
        <w:t xml:space="preserve"> </w:t>
      </w:r>
      <w:r>
        <w:rPr>
          <w:rFonts w:hint="eastAsia" w:ascii="宋体" w:hAnsi="宋体" w:eastAsia="宋体" w:cs="宋体"/>
          <w:color w:val="000000"/>
          <w:spacing w:val="-6"/>
          <w:highlight w:val="none"/>
        </w:rPr>
        <w:t xml:space="preserve">提供第二代身份证信息识别与读取功能</w:t>
      </w:r>
      <w:r>
        <w:rPr>
          <w:rFonts w:hint="eastAsia" w:ascii="宋体" w:hAnsi="宋体" w:eastAsia="宋体" w:cs="宋体"/>
          <w:color w:val="000000"/>
          <w:spacing w:val="-3"/>
          <w:highlight w:val="none"/>
        </w:rPr>
        <w:t xml:space="preserve">接口，自动提取电子照片、姓名、性别、出生年月等相关信息。</w:t>
      </w:r>
      <w:r>
        <w:rPr>
          <w:rFonts w:ascii="宋体" w:hAnsi="宋体" w:eastAsia="宋体" w:cs="宋体"/>
          <w:color w:val="000000"/>
          <w:spacing w:val="-3"/>
          <w:highlight w:val="none"/>
        </w:rPr>
      </w:r>
      <w:r/>
    </w:p>
    <w:p>
      <w:pPr>
        <w:pStyle w:val="687"/>
        <w:numPr>
          <w:ilvl w:val="1"/>
          <w:numId w:val="7"/>
        </w:numPr>
        <w:spacing w:line="216" w:lineRule="auto"/>
        <w:rPr>
          <w:rFonts w:ascii="宋体" w:hAnsi="宋体" w:eastAsia="宋体" w:cs="宋体"/>
          <w:color w:val="000000"/>
          <w:spacing w:val="-6"/>
          <w:highlight w:val="none"/>
        </w:rPr>
      </w:pPr>
      <w:r>
        <w:rPr>
          <w:rFonts w:hint="eastAsia" w:ascii="宋体" w:hAnsi="宋体" w:eastAsia="宋体" w:cs="宋体"/>
          <w:color w:val="000000"/>
          <w:spacing w:val="-3"/>
          <w:highlight w:val="none"/>
        </w:rPr>
        <w:t xml:space="preserve">电子</w:t>
      </w:r>
      <w:r>
        <w:rPr>
          <w:rFonts w:hint="eastAsia" w:ascii="宋体" w:hAnsi="宋体" w:eastAsia="宋体" w:cs="宋体"/>
          <w:color w:val="000000"/>
          <w:spacing w:val="-4"/>
          <w:highlight w:val="none"/>
        </w:rPr>
        <w:t xml:space="preserve">相片</w:t>
      </w:r>
      <w:r>
        <w:rPr>
          <w:rFonts w:hint="eastAsia" w:ascii="宋体" w:hAnsi="宋体" w:eastAsia="宋体" w:cs="宋体"/>
          <w:color w:val="000000"/>
          <w:spacing w:val="-3"/>
          <w:highlight w:val="none"/>
        </w:rPr>
        <w:t xml:space="preserve">摄取：提供电子相片摄取功能，照相环节可以自动设置是否需要照相</w:t>
      </w:r>
      <w:r>
        <w:rPr>
          <w:rFonts w:hint="eastAsia" w:ascii="宋体" w:hAnsi="宋体" w:eastAsia="宋体" w:cs="宋体"/>
          <w:color w:val="000000"/>
          <w:spacing w:val="-3"/>
          <w:highlight w:val="none"/>
          <w:lang w:eastAsia="zh-CN"/>
        </w:rPr>
        <w:t xml:space="preserve">，</w:t>
      </w:r>
      <w:r>
        <w:rPr>
          <w:rFonts w:hint="eastAsia" w:ascii="宋体" w:hAnsi="宋体" w:eastAsia="宋体" w:cs="宋体"/>
          <w:color w:val="000000"/>
          <w:spacing w:val="-6"/>
          <w:highlight w:val="none"/>
        </w:rPr>
        <w:t xml:space="preserve">避免替检情况发生。</w:t>
      </w:r>
      <w:r>
        <w:rPr>
          <w:rFonts w:ascii="宋体" w:hAnsi="宋体" w:eastAsia="宋体" w:cs="宋体"/>
          <w:color w:val="000000"/>
          <w:spacing w:val="-6"/>
          <w:highlight w:val="none"/>
        </w:rPr>
      </w:r>
      <w:r/>
    </w:p>
    <w:p>
      <w:pPr>
        <w:pStyle w:val="687"/>
        <w:numPr>
          <w:ilvl w:val="1"/>
          <w:numId w:val="7"/>
        </w:numPr>
        <w:spacing w:line="216" w:lineRule="auto"/>
        <w:rPr>
          <w:rFonts w:ascii="宋体" w:hAnsi="宋体" w:eastAsia="宋体" w:cs="宋体"/>
          <w:color w:val="000000"/>
          <w:highlight w:val="none"/>
        </w:rPr>
      </w:pPr>
      <w:r>
        <w:rPr>
          <w:rFonts w:hint="eastAsia" w:ascii="宋体" w:hAnsi="宋体" w:eastAsia="宋体" w:cs="宋体"/>
          <w:color w:val="000000"/>
          <w:spacing w:val="-6"/>
          <w:highlight w:val="none"/>
        </w:rPr>
        <w:t xml:space="preserve">档案挂接： 提</w:t>
      </w:r>
      <w:r>
        <w:rPr>
          <w:rFonts w:hint="eastAsia" w:ascii="宋体" w:hAnsi="宋体" w:eastAsia="宋体" w:cs="宋体"/>
          <w:color w:val="000000"/>
          <w:spacing w:val="-7"/>
          <w:highlight w:val="none"/>
        </w:rPr>
        <w:t xml:space="preserve">供体检者电子健康档案自动生成，支持</w:t>
      </w:r>
      <w:r>
        <w:rPr>
          <w:rFonts w:hint="eastAsia" w:ascii="宋体" w:hAnsi="宋体" w:eastAsia="宋体" w:cs="宋体"/>
          <w:color w:val="000000"/>
          <w:spacing w:val="-3"/>
          <w:highlight w:val="none"/>
        </w:rPr>
        <w:t xml:space="preserve">查看及完善健康档案内容。</w:t>
      </w:r>
      <w:r>
        <w:rPr>
          <w:rFonts w:ascii="宋体" w:hAnsi="宋体" w:eastAsia="宋体" w:cs="宋体"/>
          <w:color w:val="000000"/>
          <w:highlight w:val="none"/>
        </w:rPr>
      </w:r>
      <w:r/>
    </w:p>
    <w:p>
      <w:pPr>
        <w:pStyle w:val="687"/>
        <w:numPr>
          <w:ilvl w:val="1"/>
          <w:numId w:val="7"/>
        </w:numPr>
        <w:spacing w:line="216" w:lineRule="auto"/>
        <w:rPr>
          <w:rFonts w:ascii="宋体" w:hAnsi="宋体" w:eastAsia="宋体" w:cs="宋体"/>
          <w:color w:val="000000"/>
          <w:highlight w:val="none"/>
        </w:rPr>
      </w:pPr>
      <w:r>
        <w:rPr>
          <w:rFonts w:hint="eastAsia" w:ascii="宋体" w:hAnsi="宋体" w:eastAsia="宋体" w:cs="宋体"/>
          <w:color w:val="000000"/>
          <w:spacing w:val="-3"/>
          <w:highlight w:val="none"/>
        </w:rPr>
        <w:t xml:space="preserve">对已登记或预约成功人员同时批量</w:t>
      </w:r>
      <w:r>
        <w:rPr>
          <w:rFonts w:hint="eastAsia" w:ascii="宋体" w:hAnsi="宋体" w:eastAsia="宋体" w:cs="宋体"/>
          <w:color w:val="000000"/>
          <w:spacing w:val="-4"/>
          <w:highlight w:val="none"/>
        </w:rPr>
        <w:t xml:space="preserve">打印指引单、申请单及条形码，并提供补打功能。</w:t>
      </w:r>
      <w:r>
        <w:rPr>
          <w:rFonts w:ascii="宋体" w:hAnsi="宋体" w:eastAsia="宋体" w:cs="宋体"/>
          <w:color w:val="000000"/>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登记信息校验</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体检项目数据会根据体检者性别，婚姻、状态、年龄进行过滤及校验。</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针对</w:t>
      </w:r>
      <w:r>
        <w:rPr>
          <w:rFonts w:hint="eastAsia" w:ascii="宋体" w:hAnsi="宋体"/>
          <w:color w:val="000000"/>
          <w:sz w:val="24"/>
          <w:szCs w:val="24"/>
          <w:highlight w:val="none"/>
        </w:rPr>
        <w:t xml:space="preserve">项目互斥，相互关联</w:t>
      </w:r>
      <w:r>
        <w:rPr>
          <w:rFonts w:hint="eastAsia" w:ascii="宋体" w:hAnsi="宋体"/>
          <w:color w:val="000000"/>
          <w:sz w:val="24"/>
          <w:szCs w:val="24"/>
          <w:highlight w:val="none"/>
        </w:rPr>
        <w:t xml:space="preserve">提供自动校验及提醒，并且自动过滤重复项目，防止开单错误。</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支持在登记时，对客户电话，身份证号码格式进行校验，并在错误时进行提醒，防止登记错误客户信息。</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支持配置开单人员最低折扣</w:t>
      </w:r>
      <w:r>
        <w:rPr>
          <w:rFonts w:hint="eastAsia" w:ascii="宋体" w:hAnsi="宋体"/>
          <w:color w:val="000000"/>
          <w:sz w:val="24"/>
          <w:szCs w:val="24"/>
          <w:highlight w:val="none"/>
        </w:rPr>
        <w:t xml:space="preserve">，并低于折扣权限时给与提醒，防止误操作或乱开单。</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登记页面收费时，支持对付款方式做账号校验，只有授权成功，才能使用这种特殊付款方式付款</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敏感信息保密</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可对特殊客户</w:t>
      </w:r>
      <w:r>
        <w:rPr>
          <w:rFonts w:hint="eastAsia" w:ascii="宋体" w:hAnsi="宋体"/>
          <w:color w:val="000000"/>
          <w:sz w:val="24"/>
          <w:szCs w:val="24"/>
          <w:highlight w:val="none"/>
        </w:rPr>
        <w:t xml:space="preserve">进行标记</w:t>
      </w:r>
      <w:r>
        <w:rPr>
          <w:rFonts w:hint="eastAsia" w:ascii="宋体" w:hAnsi="宋体"/>
          <w:color w:val="000000"/>
          <w:sz w:val="24"/>
          <w:szCs w:val="24"/>
          <w:highlight w:val="none"/>
        </w:rPr>
        <w:t xml:space="preserve">，隐藏敏感信息</w:t>
      </w:r>
      <w:r>
        <w:rPr>
          <w:rFonts w:hint="eastAsia" w:ascii="宋体" w:hAnsi="宋体"/>
          <w:color w:val="000000"/>
          <w:sz w:val="24"/>
          <w:szCs w:val="24"/>
          <w:highlight w:val="none"/>
        </w:rPr>
        <w:t xml:space="preserve">（包括姓名，电话号码，身份证号）</w:t>
      </w:r>
      <w:r>
        <w:rPr>
          <w:rFonts w:hint="eastAsia" w:ascii="宋体" w:hAnsi="宋体"/>
          <w:color w:val="000000"/>
          <w:sz w:val="24"/>
          <w:szCs w:val="24"/>
          <w:highlight w:val="none"/>
        </w:rPr>
        <w:t xml:space="preserve">，并且只有特殊授权的账号才能够查看该敏感信息。</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可以选择在某些环节或者系统全局隐藏用户订单，只有特殊授权账号可以看到这些订单。</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打印功能</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支持单张条码的补打、查看、拆分、合并与重新生成；</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支持批量打印；</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校验</w:t>
      </w:r>
      <w:r>
        <w:rPr>
          <w:rFonts w:hint="eastAsia" w:ascii="宋体" w:hAnsi="宋体"/>
          <w:color w:val="000000"/>
          <w:sz w:val="24"/>
          <w:szCs w:val="24"/>
          <w:highlight w:val="none"/>
        </w:rPr>
        <w:t xml:space="preserve">提醒</w:t>
      </w:r>
      <w:r>
        <w:rPr>
          <w:rFonts w:hint="eastAsia" w:ascii="宋体" w:hAnsi="宋体"/>
          <w:color w:val="000000"/>
          <w:sz w:val="24"/>
          <w:szCs w:val="24"/>
          <w:highlight w:val="none"/>
        </w:rPr>
        <w:t xml:space="preserve">规则：针对未预约、提前报到、有多张未体检订单的客户与未收费的订单进行相关提醒。</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到检管理</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备单单位体检人员可通过登记管理进行扫描导引单条码进行导检排队。</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支持回收已完成体检人员导引单的功能；</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支持对体检人员组合项目进行来检、延检、弃检、补检操作。</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检中加项：可在科室检查过程中，支持医生在数据录入页面直接进行加项操作。并且检中加项项目支持先付费后体检或先体检后付费。</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检中加项提供线上缴费通道：体检者在检中加项后，提供即时的微信收费通道在手机上完成缴费，避免加项后需要折返到前台做登记，再到收费窗口缴费的过程。</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协同会诊：医生在检查时，如发现体检者有异常情况，可以设置诊断提醒，如在内科检查时医生发现有问题，但不能确诊，可以设置提醒信息，提醒其它科室在检查时着重注意。</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独占性：数据录入支持开启项目独占性，项目记录专有的检查医生和录入医生，后续该项目只能由对应的检查医生和录入医生修改、提交、取消提交</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历史信息：数据录入中支持查看历史诊断、历史项目及结果、历史体检总结信息。</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采样管理：</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针对采血台提供专门的采样确认模块，支持自动打印样本条码。并针对条码信息可手动编辑，包括重新生成，拆分及合并。</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支持对二次采血原因进行备注记录并进行报表统计。</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支持进行样本交接，样本核收并记录详细时间及相关人员，管理样本流转记录。</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体检系统内可以统计各科采样标本数据（血、白带、尿、大便、支原体衣原体等）。</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条码号支持单独取消交接。</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支持自动打印、自动采样确认、自动交接。</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预总检：</w:t>
      </w:r>
      <w:r>
        <w:rPr>
          <w:rFonts w:ascii="宋体" w:hAnsi="宋体"/>
          <w:color w:val="000000"/>
          <w:sz w:val="24"/>
          <w:szCs w:val="24"/>
          <w:highlight w:val="none"/>
        </w:rPr>
      </w:r>
      <w:r/>
    </w:p>
    <w:p>
      <w:pPr>
        <w:pStyle w:val="687"/>
        <w:numPr>
          <w:ilvl w:val="1"/>
          <w:numId w:val="7"/>
        </w:numPr>
        <w:ind w:right="127" w:hanging="454"/>
        <w:spacing w:before="188"/>
        <w:rPr>
          <w:rFonts w:ascii="宋体" w:hAnsi="宋体" w:eastAsia="宋体" w:cs="宋体"/>
          <w:color w:val="000000"/>
          <w:highlight w:val="none"/>
        </w:rPr>
      </w:pPr>
      <w:r>
        <w:rPr>
          <w:rFonts w:hint="eastAsia" w:ascii="宋体" w:hAnsi="宋体" w:eastAsia="宋体" w:cs="宋体"/>
          <w:color w:val="000000"/>
          <w:spacing w:val="-7"/>
          <w:highlight w:val="none"/>
        </w:rPr>
        <w:t xml:space="preserve">总检分级：系统提供有预总检、总检、总审三级总检审核机制。</w:t>
      </w:r>
      <w:r>
        <w:rPr>
          <w:rFonts w:hint="eastAsia" w:ascii="宋体" w:hAnsi="宋体" w:eastAsia="宋体" w:cs="宋体"/>
          <w:color w:val="000000"/>
          <w:spacing w:val="42"/>
          <w:highlight w:val="none"/>
        </w:rPr>
        <w:t xml:space="preserve"> </w:t>
      </w:r>
      <w:r>
        <w:rPr>
          <w:rFonts w:hint="eastAsia" w:ascii="宋体" w:hAnsi="宋体" w:eastAsia="宋体" w:cs="宋体"/>
          <w:color w:val="000000"/>
          <w:spacing w:val="-7"/>
          <w:highlight w:val="none"/>
        </w:rPr>
        <w:t xml:space="preserve">一级</w:t>
      </w:r>
      <w:r>
        <w:rPr>
          <w:rFonts w:hint="eastAsia" w:ascii="宋体" w:hAnsi="宋体" w:eastAsia="宋体" w:cs="宋体"/>
          <w:color w:val="000000"/>
          <w:spacing w:val="-3"/>
          <w:highlight w:val="none"/>
        </w:rPr>
        <w:t xml:space="preserve">预总检：医护可在预总检页面对客户结果数据进行第一次审核；二</w:t>
      </w:r>
      <w:r>
        <w:rPr>
          <w:rFonts w:hint="eastAsia" w:ascii="宋体" w:hAnsi="宋体" w:eastAsia="宋体" w:cs="宋体"/>
          <w:color w:val="000000"/>
          <w:spacing w:val="-4"/>
          <w:highlight w:val="none"/>
        </w:rPr>
        <w:t xml:space="preserve">级总检：总检</w:t>
      </w:r>
      <w:r>
        <w:rPr>
          <w:rFonts w:hint="eastAsia" w:ascii="宋体" w:hAnsi="宋体" w:eastAsia="宋体" w:cs="宋体"/>
          <w:color w:val="000000"/>
          <w:spacing w:val="-8"/>
          <w:highlight w:val="none"/>
        </w:rPr>
        <w:t xml:space="preserve">医生将在总检界面对体检者进行初检，填写相关诊断及健康建议信息；三级审核：</w:t>
      </w:r>
      <w:r>
        <w:rPr>
          <w:rFonts w:hint="eastAsia" w:ascii="宋体" w:hAnsi="宋体" w:eastAsia="宋体" w:cs="宋体"/>
          <w:color w:val="000000"/>
          <w:spacing w:val="-1"/>
          <w:highlight w:val="none"/>
        </w:rPr>
        <w:t xml:space="preserve">初检完成后将需要审核医生对总检报告进行审</w:t>
      </w:r>
      <w:r>
        <w:rPr>
          <w:rFonts w:hint="eastAsia" w:ascii="宋体" w:hAnsi="宋体" w:eastAsia="宋体" w:cs="宋体"/>
          <w:color w:val="000000"/>
          <w:spacing w:val="-2"/>
          <w:highlight w:val="none"/>
        </w:rPr>
        <w:t xml:space="preserve">核，审核通过后方可发放报告。</w:t>
      </w:r>
      <w:r>
        <w:rPr>
          <w:rFonts w:ascii="宋体" w:hAnsi="宋体" w:eastAsia="宋体" w:cs="宋体"/>
          <w:color w:val="000000"/>
          <w:highlight w:val="none"/>
        </w:rPr>
      </w:r>
      <w:r/>
    </w:p>
    <w:p>
      <w:pPr>
        <w:pStyle w:val="687"/>
        <w:numPr>
          <w:ilvl w:val="1"/>
          <w:numId w:val="7"/>
        </w:numPr>
        <w:ind w:right="191" w:hanging="454"/>
        <w:rPr>
          <w:rFonts w:ascii="宋体" w:hAnsi="宋体" w:eastAsia="宋体" w:cs="宋体"/>
          <w:color w:val="000000"/>
          <w:highlight w:val="none"/>
        </w:rPr>
      </w:pPr>
      <w:r>
        <w:rPr>
          <w:rFonts w:hint="eastAsia" w:ascii="宋体" w:hAnsi="宋体" w:eastAsia="宋体" w:cs="宋体"/>
          <w:color w:val="000000"/>
          <w:spacing w:val="-2"/>
          <w:highlight w:val="none"/>
        </w:rPr>
        <w:t xml:space="preserve">提供在总检前将订单数据统计查询，由体检中心的人员确认该体检者</w:t>
      </w:r>
      <w:r>
        <w:rPr>
          <w:rFonts w:hint="eastAsia" w:ascii="宋体" w:hAnsi="宋体" w:eastAsia="宋体" w:cs="宋体"/>
          <w:color w:val="000000"/>
          <w:spacing w:val="-4"/>
          <w:highlight w:val="none"/>
        </w:rPr>
        <w:t xml:space="preserve">的项目结果是否正确，图文报告是否出错及各科室体检进度，同时提供操作项目</w:t>
      </w:r>
      <w:r>
        <w:rPr>
          <w:rFonts w:hint="eastAsia" w:ascii="宋体" w:hAnsi="宋体" w:eastAsia="宋体" w:cs="宋体"/>
          <w:color w:val="000000"/>
          <w:spacing w:val="-6"/>
          <w:highlight w:val="none"/>
        </w:rPr>
        <w:t xml:space="preserve">的弃检，延检，补检。</w:t>
      </w:r>
      <w:r>
        <w:rPr>
          <w:rFonts w:ascii="宋体" w:hAnsi="宋体" w:eastAsia="宋体" w:cs="宋体"/>
          <w:color w:val="000000"/>
          <w:highlight w:val="none"/>
        </w:rPr>
      </w:r>
      <w:r/>
    </w:p>
    <w:p>
      <w:pPr>
        <w:pStyle w:val="687"/>
        <w:numPr>
          <w:ilvl w:val="1"/>
          <w:numId w:val="7"/>
        </w:numPr>
        <w:ind w:right="191" w:hanging="454"/>
        <w:spacing w:before="1"/>
        <w:rPr>
          <w:rFonts w:ascii="宋体" w:hAnsi="宋体" w:eastAsia="宋体" w:cs="宋体"/>
          <w:color w:val="000000"/>
          <w:highlight w:val="none"/>
        </w:rPr>
      </w:pPr>
      <w:r>
        <w:rPr>
          <w:rFonts w:hint="eastAsia" w:ascii="宋体" w:hAnsi="宋体" w:eastAsia="宋体" w:cs="宋体"/>
          <w:color w:val="000000"/>
          <w:spacing w:val="-2"/>
          <w:highlight w:val="none"/>
        </w:rPr>
        <w:t xml:space="preserve">审核通过后才生成预总检任务，并在出错时可操作退</w:t>
      </w:r>
      <w:r>
        <w:rPr>
          <w:rFonts w:hint="eastAsia" w:ascii="宋体" w:hAnsi="宋体" w:eastAsia="宋体" w:cs="宋体"/>
          <w:color w:val="000000"/>
          <w:spacing w:val="-3"/>
          <w:highlight w:val="none"/>
        </w:rPr>
        <w:t xml:space="preserve">回至相关的结果</w:t>
      </w:r>
      <w:r>
        <w:rPr>
          <w:rFonts w:hint="eastAsia" w:ascii="宋体" w:hAnsi="宋体" w:eastAsia="宋体" w:cs="宋体"/>
          <w:color w:val="000000"/>
          <w:spacing w:val="-5"/>
          <w:highlight w:val="none"/>
        </w:rPr>
        <w:t xml:space="preserve">录入员同时进行消息提醒。</w:t>
      </w:r>
      <w:r>
        <w:rPr>
          <w:rFonts w:ascii="宋体" w:hAnsi="宋体" w:eastAsia="宋体" w:cs="宋体"/>
          <w:color w:val="000000"/>
          <w:highlight w:val="none"/>
        </w:rPr>
      </w:r>
      <w:r/>
    </w:p>
    <w:p>
      <w:pPr>
        <w:pStyle w:val="687"/>
        <w:numPr>
          <w:ilvl w:val="1"/>
          <w:numId w:val="7"/>
        </w:numPr>
        <w:ind w:hanging="454"/>
        <w:spacing w:before="1"/>
        <w:rPr>
          <w:rFonts w:ascii="宋体" w:hAnsi="宋体" w:eastAsia="宋体" w:cs="宋体"/>
          <w:color w:val="000000"/>
          <w:highlight w:val="none"/>
        </w:rPr>
      </w:pPr>
      <w:r>
        <w:rPr>
          <w:rFonts w:hint="eastAsia" w:ascii="宋体" w:hAnsi="宋体" w:eastAsia="宋体" w:cs="宋体"/>
          <w:color w:val="000000"/>
          <w:spacing w:val="-40"/>
          <w:highlight w:val="none"/>
        </w:rPr>
        <w:t xml:space="preserve"> </w:t>
      </w:r>
      <w:r>
        <w:rPr>
          <w:rFonts w:hint="eastAsia" w:ascii="宋体" w:hAnsi="宋体" w:eastAsia="宋体" w:cs="宋体"/>
          <w:color w:val="000000"/>
          <w:spacing w:val="1"/>
          <w:highlight w:val="none"/>
        </w:rPr>
        <w:t xml:space="preserve">提供撤销预检的功能，对误操作通过预</w:t>
      </w:r>
      <w:r>
        <w:rPr>
          <w:rFonts w:hint="eastAsia" w:ascii="宋体" w:hAnsi="宋体" w:eastAsia="宋体" w:cs="宋体"/>
          <w:color w:val="000000"/>
          <w:highlight w:val="none"/>
        </w:rPr>
        <w:t xml:space="preserve">备总检的人员进行撤销操作。</w:t>
      </w:r>
      <w:r>
        <w:rPr>
          <w:rFonts w:ascii="宋体" w:hAnsi="宋体" w:eastAsia="宋体" w:cs="宋体"/>
          <w:color w:val="000000"/>
          <w:highlight w:val="none"/>
        </w:rPr>
      </w:r>
      <w:r/>
    </w:p>
    <w:p>
      <w:pPr>
        <w:pStyle w:val="687"/>
        <w:numPr>
          <w:ilvl w:val="1"/>
          <w:numId w:val="7"/>
        </w:numPr>
        <w:ind w:hanging="454"/>
        <w:spacing w:before="1"/>
        <w:rPr>
          <w:rFonts w:ascii="宋体" w:hAnsi="宋体" w:eastAsia="宋体" w:cs="宋体"/>
          <w:color w:val="000000"/>
          <w:highlight w:val="none"/>
        </w:rPr>
      </w:pPr>
      <w:r>
        <w:rPr>
          <w:rFonts w:hint="eastAsia" w:ascii="宋体" w:hAnsi="宋体" w:eastAsia="宋体" w:cs="宋体"/>
          <w:color w:val="000000"/>
          <w:spacing w:val="-33"/>
          <w:highlight w:val="none"/>
        </w:rPr>
        <w:t xml:space="preserve"> </w:t>
      </w:r>
      <w:r>
        <w:rPr>
          <w:rFonts w:hint="eastAsia" w:ascii="宋体" w:hAnsi="宋体" w:eastAsia="宋体" w:cs="宋体"/>
          <w:color w:val="000000"/>
          <w:spacing w:val="-2"/>
          <w:highlight w:val="none"/>
        </w:rPr>
        <w:t xml:space="preserve">提供指派会诊科室的功能，能根据当前体检人员的体检项目，同时</w:t>
      </w:r>
      <w:r>
        <w:rPr>
          <w:rFonts w:hint="eastAsia" w:ascii="宋体" w:hAnsi="宋体" w:eastAsia="宋体" w:cs="宋体"/>
          <w:color w:val="000000"/>
          <w:spacing w:val="-3"/>
          <w:highlight w:val="none"/>
        </w:rPr>
        <w:t xml:space="preserve">勾选多个可以指派的会诊科室，相关会诊科室的医生就能在专家</w:t>
      </w:r>
      <w:r>
        <w:rPr>
          <w:rFonts w:hint="eastAsia" w:ascii="宋体" w:hAnsi="宋体" w:eastAsia="宋体" w:cs="宋体"/>
          <w:color w:val="000000"/>
          <w:spacing w:val="-4"/>
          <w:highlight w:val="none"/>
        </w:rPr>
        <w:t xml:space="preserve">会诊界面查看到</w:t>
      </w:r>
      <w:r>
        <w:rPr>
          <w:rFonts w:hint="eastAsia" w:ascii="宋体" w:hAnsi="宋体" w:eastAsia="宋体" w:cs="宋体"/>
          <w:color w:val="000000"/>
          <w:spacing w:val="-2"/>
          <w:highlight w:val="none"/>
        </w:rPr>
        <w:t xml:space="preserve">体检中心推送过来的人员及和本科室相关的体检项目结果。</w:t>
      </w:r>
      <w:r>
        <w:rPr>
          <w:rFonts w:ascii="宋体" w:hAnsi="宋体" w:eastAsia="宋体" w:cs="宋体"/>
          <w:color w:val="000000"/>
          <w:highlight w:val="none"/>
        </w:rPr>
      </w:r>
      <w:r/>
    </w:p>
    <w:p>
      <w:pPr>
        <w:pStyle w:val="687"/>
        <w:numPr>
          <w:ilvl w:val="1"/>
          <w:numId w:val="7"/>
        </w:numPr>
        <w:ind w:right="191" w:hanging="454"/>
        <w:spacing w:before="1"/>
        <w:rPr>
          <w:rFonts w:ascii="宋体" w:hAnsi="宋体" w:eastAsia="宋体" w:cs="宋体"/>
          <w:color w:val="000000"/>
          <w:spacing w:val="-2"/>
          <w:highlight w:val="none"/>
        </w:rPr>
      </w:pPr>
      <w:r>
        <w:rPr>
          <w:rFonts w:hint="eastAsia" w:ascii="宋体" w:hAnsi="宋体" w:eastAsia="宋体" w:cs="宋体"/>
          <w:color w:val="000000"/>
          <w:spacing w:val="-2"/>
          <w:highlight w:val="none"/>
        </w:rPr>
        <w:t xml:space="preserve">对部分体检项目还没有结束的人员或者不需要体检报告的人，要有强制结束到科室结束、审核通过、已发报告、领取报告的功能。</w:t>
      </w:r>
      <w:r>
        <w:rPr>
          <w:rFonts w:ascii="宋体" w:hAnsi="宋体" w:eastAsia="宋体" w:cs="宋体"/>
          <w:color w:val="000000"/>
          <w:spacing w:val="-2"/>
          <w:highlight w:val="none"/>
        </w:rPr>
      </w:r>
      <w:r/>
    </w:p>
    <w:p>
      <w:pPr>
        <w:pStyle w:val="687"/>
        <w:numPr>
          <w:ilvl w:val="1"/>
          <w:numId w:val="7"/>
        </w:numPr>
        <w:ind w:right="191" w:hanging="454"/>
        <w:spacing w:before="1"/>
        <w:rPr>
          <w:rFonts w:ascii="宋体" w:hAnsi="宋体" w:eastAsia="宋体" w:cs="宋体"/>
          <w:color w:val="000000"/>
          <w:highlight w:val="none"/>
        </w:rPr>
      </w:pPr>
      <w:r>
        <w:rPr>
          <w:rFonts w:hint="eastAsia" w:ascii="宋体" w:hAnsi="宋体" w:eastAsia="宋体" w:cs="宋体"/>
          <w:color w:val="000000"/>
          <w:spacing w:val="-33"/>
          <w:highlight w:val="none"/>
        </w:rPr>
        <w:t xml:space="preserve"> </w:t>
      </w:r>
      <w:r>
        <w:rPr>
          <w:rFonts w:hint="eastAsia" w:ascii="宋体" w:hAnsi="宋体" w:eastAsia="宋体" w:cs="宋体"/>
          <w:color w:val="000000"/>
          <w:spacing w:val="-2"/>
          <w:highlight w:val="none"/>
        </w:rPr>
        <w:t xml:space="preserve">提供延检处理的功能，对没有完成全部体检项目检查，离开体检中心</w:t>
      </w:r>
      <w:r>
        <w:rPr>
          <w:rFonts w:hint="eastAsia" w:ascii="宋体" w:hAnsi="宋体" w:eastAsia="宋体" w:cs="宋体"/>
          <w:color w:val="000000"/>
          <w:spacing w:val="-3"/>
          <w:highlight w:val="none"/>
        </w:rPr>
        <w:t xml:space="preserve">时没有交导检单的体检人员，可以在该界面进行延检操作。</w:t>
      </w:r>
      <w:r>
        <w:rPr>
          <w:rFonts w:ascii="宋体" w:hAnsi="宋体" w:eastAsia="宋体" w:cs="宋体"/>
          <w:color w:val="000000"/>
          <w:highlight w:val="none"/>
        </w:rPr>
      </w:r>
      <w:r/>
    </w:p>
    <w:p>
      <w:pPr>
        <w:pStyle w:val="664"/>
        <w:numPr>
          <w:ilvl w:val="1"/>
          <w:numId w:val="7"/>
        </w:numPr>
        <w:ind w:hanging="454"/>
        <w:rPr>
          <w:rFonts w:ascii="宋体" w:hAnsi="宋体"/>
          <w:color w:val="000000"/>
          <w:sz w:val="24"/>
          <w:szCs w:val="24"/>
          <w:highlight w:val="none"/>
        </w:rPr>
      </w:pPr>
      <w:r>
        <w:rPr>
          <w:rFonts w:hint="eastAsia" w:ascii="宋体" w:hAnsi="宋体" w:cs="宋体"/>
          <w:color w:val="000000"/>
          <w:sz w:val="24"/>
          <w:szCs w:val="24"/>
          <w:highlight w:val="none"/>
        </w:rPr>
        <w:t xml:space="preserve">分配规则：支持设置预总检医生是否自动分配以及自动分配的规则是否按照体检类型来分配。支持设置预总检医生自动分配起止时间。支持设置触发预总检医生自动分配的订单体检状态。</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总检任务分配多样化：</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自动分配：所有体检者的总检任务，将按照当天每个医生的任务数量，和总检医生排班进行自动平均分配，确保每位总检老师工作量一致。</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手动分配：可以批量选择总检任务，进行批量分配。</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重新分配：针对已分配的任务支持进行重新分配，选择其他总检老师。</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手动领取：总检老师可自行查询，领取某位体检者的总检任务进行总检。</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总检：</w:t>
      </w:r>
      <w:r>
        <w:rPr>
          <w:rFonts w:hint="eastAsia" w:ascii="宋体" w:hAnsi="宋体" w:cs="宋体"/>
          <w:color w:val="000000"/>
          <w:sz w:val="22"/>
          <w:highlight w:val="none"/>
        </w:rPr>
        <w:t xml:space="preserve">（</w:t>
      </w:r>
      <w:r>
        <w:rPr>
          <w:rFonts w:hint="eastAsia" w:ascii="宋体" w:hAnsi="宋体"/>
          <w:b/>
          <w:color w:val="000000"/>
          <w:sz w:val="24"/>
          <w:szCs w:val="24"/>
          <w:highlight w:val="none"/>
        </w:rPr>
        <w:t xml:space="preserve">备注：内容需提供系统截图证明。</w:t>
      </w:r>
      <w:r>
        <w:rPr>
          <w:rFonts w:hint="eastAsia" w:ascii="宋体" w:hAnsi="宋体" w:cs="宋体"/>
          <w:color w:val="000000"/>
          <w:sz w:val="22"/>
          <w:highlight w:val="none"/>
        </w:rPr>
        <w:t xml:space="preserve">）</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支持根据体检结果自动产生综述和建议，并且诊断建议能够根据科室排序或按照诊断的严重程度进行自动排序。</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若诊断关联重要异常结果将被标红进行区分提醒。</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支持将体检结果符合的多个相关诊断自动替换为一条合并诊断，</w:t>
      </w:r>
      <w:r>
        <w:rPr>
          <w:rFonts w:hint="eastAsia" w:ascii="宋体" w:hAnsi="宋体"/>
          <w:color w:val="000000"/>
          <w:sz w:val="24"/>
          <w:szCs w:val="24"/>
          <w:highlight w:val="none"/>
        </w:rPr>
        <w:t xml:space="preserve">确保诊断“一元论”。同时支持手动合并诊断。</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手动添加的诊断支持手动关联体检结果。</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支持通过AI大模型自动进行诊断建议生成及优化，结合客户档案，病史等情况输出个性化诊断内容。并自动检验总检中出现的错误诊断，错误关键字给与诊断优化建议。</w:t>
      </w:r>
      <w:r>
        <w:rPr>
          <w:rFonts w:hint="eastAsia" w:ascii="宋体" w:hAnsi="宋体"/>
          <w:color w:val="000000"/>
          <w:sz w:val="24"/>
          <w:szCs w:val="24"/>
          <w:highlight w:val="none"/>
        </w:rPr>
        <w:t xml:space="preserve">（甲方提供AI本地化部署设备及算力）</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自动将生成诊断建议的总结文本内容进行特殊颜色标注，确保医生不会遗漏重要异常指标。</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支持手动调整（增、删、改）建议，修改建议顺序，以及合并建议。</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支持查询历次的体检结果，近三年体检图片并进行横向预览对比。在体检结果中支持查看弃检的组合项目。</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编辑区域支持鼠标拖动，自由放大缩小，方便总检医师编辑。</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总检退回：</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支持将总检订单退回，退回可选择多个分科检查医生、总检医生，并在退回时填写退回原因一次性对多个医生进行消息提醒。</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具有完备的总检退回和重做功能，在总检未退回到检查前，各科室不能随意修改体检结果。</w:t>
      </w:r>
      <w:r>
        <w:rPr>
          <w:rFonts w:ascii="宋体" w:hAnsi="宋体"/>
          <w:color w:val="000000"/>
          <w:sz w:val="24"/>
          <w:szCs w:val="24"/>
          <w:highlight w:val="none"/>
        </w:rPr>
      </w:r>
      <w:r/>
    </w:p>
    <w:p>
      <w:pPr>
        <w:pStyle w:val="664"/>
        <w:numPr>
          <w:ilvl w:val="0"/>
          <w:numId w:val="7"/>
        </w:numPr>
        <w:spacing w:line="264" w:lineRule="auto"/>
        <w:rPr>
          <w:rFonts w:ascii="宋体" w:hAnsi="宋体"/>
          <w:b/>
          <w:bCs/>
          <w:color w:val="000000"/>
          <w:sz w:val="24"/>
          <w:szCs w:val="24"/>
          <w:highlight w:val="none"/>
        </w:rPr>
      </w:pPr>
      <w:r>
        <w:rPr>
          <w:rFonts w:hint="eastAsia" w:ascii="宋体" w:hAnsi="宋体"/>
          <w:color w:val="000000"/>
          <w:sz w:val="24"/>
          <w:szCs w:val="24"/>
          <w:highlight w:val="none"/>
        </w:rPr>
        <w:t xml:space="preserve">★智能生成就诊</w:t>
      </w:r>
      <w:r>
        <w:rPr>
          <w:rFonts w:hint="eastAsia" w:ascii="宋体" w:hAnsi="宋体"/>
          <w:color w:val="000000"/>
          <w:sz w:val="24"/>
          <w:szCs w:val="24"/>
          <w:highlight w:val="none"/>
        </w:rPr>
        <w:t xml:space="preserve">建议</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（备注：内容需提供系统截图证明，否则作无效投标处理。）</w:t>
      </w:r>
      <w:r>
        <w:rPr>
          <w:rFonts w:ascii="宋体" w:hAnsi="宋体"/>
          <w:b/>
          <w:bCs/>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总检时，支持医生手动选择</w:t>
      </w:r>
      <w:r>
        <w:rPr>
          <w:rFonts w:hint="eastAsia" w:ascii="宋体" w:hAnsi="宋体"/>
          <w:color w:val="000000"/>
          <w:sz w:val="24"/>
          <w:szCs w:val="24"/>
          <w:highlight w:val="none"/>
        </w:rPr>
        <w:t xml:space="preserve">就诊</w:t>
      </w:r>
      <w:r>
        <w:rPr>
          <w:rFonts w:hint="eastAsia" w:ascii="宋体" w:hAnsi="宋体"/>
          <w:color w:val="000000"/>
          <w:sz w:val="24"/>
          <w:szCs w:val="24"/>
          <w:highlight w:val="none"/>
        </w:rPr>
        <w:t xml:space="preserve">科室、医生或根据体检诊断智能自动推荐就诊科室、医生。</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就诊建议内容支持展示在微信查询报告界面，并和院内挂号平台、互联网医院快速跳转。</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远程总检：若院内网络允许，支持总检老师远程通过浏览器登录进入体检系统，完成总检操作。</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总检审核：</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初检完成后可由审核老师进行总审，可批量分配总检审核医生。在审核时支持对该份报告操作退回到总检或结果录入流程，在退回时可选择多个退回人，填写退回原因，并在退回后给与相关人员消息提醒。</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总检退回次数和原因支持进行记录和统计，作为绩效考核参考。</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支持汇总查看职业体检结论和建议。</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多种总检操作界面：为总检医生提供三种总检操作界面，适应不同医生的习惯。多种功能兼容三种总检模式，如“显示规则”新增“显示弃检项目”</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乙肝检查：提供乙肝项目专用的总检建议，支持单独维护乙肝诊断建议，并打印单独的乙肝诊断报告。</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报告多样化：支持个性化定制各种报告，包括个人报告，乙肝报告，健康证报告等等。</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收</w:t>
      </w:r>
      <w:r>
        <w:rPr>
          <w:rFonts w:hint="eastAsia" w:ascii="宋体" w:hAnsi="宋体"/>
          <w:color w:val="000000"/>
          <w:sz w:val="24"/>
          <w:szCs w:val="24"/>
          <w:highlight w:val="none"/>
        </w:rPr>
        <w:t xml:space="preserve">费</w:t>
      </w:r>
      <w:r>
        <w:rPr>
          <w:rFonts w:hint="eastAsia" w:ascii="宋体" w:hAnsi="宋体"/>
          <w:color w:val="000000"/>
          <w:sz w:val="24"/>
          <w:szCs w:val="24"/>
          <w:highlight w:val="none"/>
        </w:rPr>
        <w:t xml:space="preserve">管理：</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多种方式实现收费、退费功能如支付宝，微信，Pos机等；支持整体、单项打折，可以设置诊疗项目的最低价格、组合项目的最低折扣；团检可换项目并自动补差价，超出统收金额自动转自费，具有发票管理功能；退项、退费、增项、增费严格又灵活，能跟踪到责任人，杜绝团体结算漏洞；团体支持中途结算、预结算，结算后禁检操作。</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可以管理消费卡、会员卡</w:t>
      </w:r>
      <w:r>
        <w:rPr>
          <w:rFonts w:ascii="宋体" w:hAnsi="宋体"/>
          <w:color w:val="000000"/>
          <w:sz w:val="24"/>
          <w:szCs w:val="24"/>
          <w:highlight w:val="none"/>
        </w:rPr>
      </w:r>
      <w:r/>
    </w:p>
    <w:p>
      <w:pPr>
        <w:pStyle w:val="687"/>
        <w:numPr>
          <w:ilvl w:val="0"/>
          <w:numId w:val="7"/>
        </w:numPr>
        <w:spacing w:before="187"/>
        <w:rPr>
          <w:rFonts w:ascii="宋体" w:hAnsi="宋体" w:eastAsia="宋体" w:cs="宋体"/>
          <w:color w:val="000000"/>
          <w:highlight w:val="none"/>
        </w:rPr>
      </w:pPr>
      <w:r>
        <w:rPr>
          <w:rFonts w:hint="eastAsia" w:ascii="宋体" w:hAnsi="宋体" w:eastAsia="宋体" w:cs="宋体"/>
          <w:color w:val="000000"/>
          <w:spacing w:val="-1"/>
          <w:highlight w:val="none"/>
        </w:rPr>
        <w:t xml:space="preserve">按照单位套餐收费</w:t>
      </w:r>
      <w:r>
        <w:rPr>
          <w:rFonts w:hint="eastAsia" w:ascii="宋体" w:hAnsi="宋体" w:eastAsia="宋体" w:cs="宋体"/>
          <w:color w:val="000000"/>
          <w:spacing w:val="-1"/>
          <w:highlight w:val="none"/>
        </w:rPr>
        <w:t xml:space="preserve">.</w:t>
      </w:r>
      <w:r>
        <w:rPr>
          <w:rFonts w:ascii="宋体" w:hAnsi="宋体" w:eastAsia="宋体" w:cs="宋体"/>
          <w:color w:val="000000"/>
          <w:highlight w:val="none"/>
        </w:rPr>
      </w:r>
      <w:r/>
    </w:p>
    <w:p>
      <w:pPr>
        <w:pStyle w:val="687"/>
        <w:numPr>
          <w:ilvl w:val="1"/>
          <w:numId w:val="7"/>
        </w:numPr>
        <w:ind w:right="98"/>
        <w:spacing w:before="186"/>
        <w:rPr>
          <w:rFonts w:ascii="宋体" w:hAnsi="宋体" w:eastAsia="宋体" w:cs="宋体"/>
          <w:color w:val="000000"/>
          <w:highlight w:val="none"/>
        </w:rPr>
      </w:pPr>
      <w:r>
        <w:rPr>
          <w:rFonts w:hint="eastAsia" w:ascii="宋体" w:hAnsi="宋体" w:eastAsia="宋体" w:cs="宋体"/>
          <w:color w:val="000000"/>
          <w:spacing w:val="-1"/>
          <w:highlight w:val="none"/>
        </w:rPr>
        <w:t xml:space="preserve">按照实际所做项目收费，支持加项，加项项目可以配置为用户自</w:t>
      </w:r>
      <w:r>
        <w:rPr>
          <w:rFonts w:hint="eastAsia" w:ascii="宋体" w:hAnsi="宋体" w:eastAsia="宋体" w:cs="宋体"/>
          <w:color w:val="000000"/>
          <w:spacing w:val="-6"/>
          <w:highlight w:val="none"/>
        </w:rPr>
        <w:t xml:space="preserve">付或者单位结算。</w:t>
      </w:r>
      <w:r>
        <w:rPr>
          <w:rFonts w:ascii="宋体" w:hAnsi="宋体" w:eastAsia="宋体" w:cs="宋体"/>
          <w:color w:val="000000"/>
          <w:highlight w:val="none"/>
        </w:rPr>
      </w:r>
      <w:r/>
    </w:p>
    <w:p>
      <w:pPr>
        <w:pStyle w:val="687"/>
        <w:numPr>
          <w:ilvl w:val="1"/>
          <w:numId w:val="7"/>
        </w:numPr>
        <w:ind w:right="15"/>
        <w:rPr>
          <w:rFonts w:ascii="宋体" w:hAnsi="宋体" w:eastAsia="宋体" w:cs="宋体"/>
          <w:color w:val="000000"/>
          <w:highlight w:val="none"/>
        </w:rPr>
      </w:pPr>
      <w:r>
        <w:rPr>
          <w:rFonts w:hint="eastAsia" w:ascii="宋体" w:hAnsi="宋体" w:eastAsia="宋体" w:cs="宋体"/>
          <w:color w:val="000000"/>
          <w:spacing w:val="-1"/>
          <w:highlight w:val="none"/>
        </w:rPr>
        <w:t xml:space="preserve">按照单位人员对应的定额值进行收费。如果未达到定额值可以按</w:t>
      </w:r>
      <w:r>
        <w:rPr>
          <w:rFonts w:hint="eastAsia" w:ascii="宋体" w:hAnsi="宋体" w:eastAsia="宋体" w:cs="宋体"/>
          <w:color w:val="000000"/>
          <w:spacing w:val="-3"/>
          <w:highlight w:val="none"/>
        </w:rPr>
        <w:t xml:space="preserve">实际项目收费也可按照定额值收费，超出定额值可</w:t>
      </w:r>
      <w:r>
        <w:rPr>
          <w:rFonts w:hint="eastAsia" w:ascii="宋体" w:hAnsi="宋体" w:eastAsia="宋体" w:cs="宋体"/>
          <w:color w:val="000000"/>
          <w:spacing w:val="-4"/>
          <w:highlight w:val="none"/>
        </w:rPr>
        <w:t xml:space="preserve">由用户自付，也可配置由单位</w:t>
      </w:r>
      <w:r>
        <w:rPr>
          <w:rFonts w:hint="eastAsia" w:ascii="宋体" w:hAnsi="宋体" w:eastAsia="宋体" w:cs="宋体"/>
          <w:color w:val="000000"/>
          <w:spacing w:val="-9"/>
          <w:highlight w:val="none"/>
        </w:rPr>
        <w:t xml:space="preserve">统一结算。</w:t>
      </w:r>
      <w:r>
        <w:rPr>
          <w:rFonts w:ascii="宋体" w:hAnsi="宋体" w:eastAsia="宋体" w:cs="宋体"/>
          <w:color w:val="000000"/>
          <w:highlight w:val="none"/>
        </w:rPr>
      </w:r>
      <w:r/>
    </w:p>
    <w:p>
      <w:pPr>
        <w:pStyle w:val="687"/>
        <w:numPr>
          <w:ilvl w:val="1"/>
          <w:numId w:val="7"/>
        </w:numPr>
        <w:ind w:right="99"/>
        <w:spacing w:before="3"/>
        <w:rPr>
          <w:rFonts w:ascii="宋体" w:hAnsi="宋体" w:eastAsia="宋体" w:cs="宋体"/>
          <w:color w:val="000000"/>
          <w:highlight w:val="none"/>
        </w:rPr>
      </w:pPr>
      <w:r>
        <w:rPr>
          <w:rFonts w:hint="eastAsia" w:ascii="宋体" w:hAnsi="宋体" w:eastAsia="宋体" w:cs="宋体"/>
          <w:color w:val="000000"/>
          <w:spacing w:val="-1"/>
          <w:highlight w:val="none"/>
        </w:rPr>
        <w:t xml:space="preserve">单位套餐定额，将套餐总金额作为定额金额。</w:t>
      </w:r>
      <w:r>
        <w:rPr>
          <w:rFonts w:hint="eastAsia" w:ascii="宋体" w:hAnsi="宋体" w:eastAsia="宋体" w:cs="宋体"/>
          <w:color w:val="000000"/>
          <w:spacing w:val="-1"/>
          <w:highlight w:val="none"/>
        </w:rPr>
        <w:t xml:space="preserve">加项和减项获取差</w:t>
      </w:r>
      <w:r>
        <w:rPr>
          <w:rFonts w:hint="eastAsia" w:ascii="宋体" w:hAnsi="宋体" w:eastAsia="宋体" w:cs="宋体"/>
          <w:color w:val="000000"/>
          <w:spacing w:val="-3"/>
          <w:highlight w:val="none"/>
        </w:rPr>
        <w:t xml:space="preserve">额。更换套餐则定额金额也会随套餐改变。</w:t>
      </w:r>
      <w:r>
        <w:rPr>
          <w:rFonts w:ascii="宋体" w:hAnsi="宋体" w:eastAsia="宋体" w:cs="宋体"/>
          <w:color w:val="000000"/>
          <w:highlight w:val="none"/>
        </w:rPr>
      </w:r>
      <w:r/>
    </w:p>
    <w:p>
      <w:pPr>
        <w:pStyle w:val="687"/>
        <w:numPr>
          <w:ilvl w:val="1"/>
          <w:numId w:val="7"/>
        </w:numPr>
        <w:ind w:right="15"/>
        <w:rPr>
          <w:rFonts w:ascii="宋体" w:hAnsi="宋体" w:eastAsia="宋体" w:cs="宋体"/>
          <w:color w:val="000000"/>
          <w:highlight w:val="none"/>
        </w:rPr>
      </w:pPr>
      <w:r>
        <w:rPr>
          <w:rFonts w:hint="eastAsia" w:ascii="宋体" w:hAnsi="宋体" w:eastAsia="宋体" w:cs="宋体"/>
          <w:color w:val="000000"/>
          <w:spacing w:val="-1"/>
          <w:highlight w:val="none"/>
        </w:rPr>
        <w:t xml:space="preserve">可以设置免单额度，针对加项类型的项目，将使用免单额度进行</w:t>
      </w:r>
      <w:r>
        <w:rPr>
          <w:rFonts w:hint="eastAsia" w:ascii="宋体" w:hAnsi="宋体" w:eastAsia="宋体" w:cs="宋体"/>
          <w:color w:val="000000"/>
          <w:spacing w:val="-3"/>
          <w:highlight w:val="none"/>
        </w:rPr>
        <w:t xml:space="preserve">抵扣，并根据实际添加的项目金额进行结算收费，超出免单额</w:t>
      </w:r>
      <w:r>
        <w:rPr>
          <w:rFonts w:hint="eastAsia" w:ascii="宋体" w:hAnsi="宋体" w:eastAsia="宋体" w:cs="宋体"/>
          <w:color w:val="000000"/>
          <w:spacing w:val="-4"/>
          <w:highlight w:val="none"/>
        </w:rPr>
        <w:t xml:space="preserve">度的金额需要用户</w:t>
      </w:r>
      <w:r>
        <w:rPr>
          <w:rFonts w:hint="eastAsia" w:ascii="宋体" w:hAnsi="宋体" w:eastAsia="宋体" w:cs="宋体"/>
          <w:color w:val="000000"/>
          <w:spacing w:val="-8"/>
          <w:highlight w:val="none"/>
        </w:rPr>
        <w:t xml:space="preserve">进行自费。</w:t>
      </w:r>
      <w:r>
        <w:rPr>
          <w:rFonts w:ascii="宋体" w:hAnsi="宋体" w:eastAsia="宋体" w:cs="宋体"/>
          <w:color w:val="000000"/>
          <w:highlight w:val="none"/>
        </w:rPr>
      </w:r>
      <w:r/>
    </w:p>
    <w:p>
      <w:pPr>
        <w:pStyle w:val="687"/>
        <w:numPr>
          <w:ilvl w:val="1"/>
          <w:numId w:val="7"/>
        </w:numPr>
        <w:ind w:right="99"/>
        <w:rPr>
          <w:rFonts w:ascii="宋体" w:hAnsi="宋体" w:eastAsia="宋体" w:cs="宋体"/>
          <w:color w:val="000000"/>
          <w:highlight w:val="none"/>
        </w:rPr>
      </w:pPr>
      <w:r>
        <w:rPr>
          <w:rFonts w:hint="eastAsia" w:ascii="宋体" w:hAnsi="宋体" w:eastAsia="宋体" w:cs="宋体"/>
          <w:color w:val="000000"/>
          <w:spacing w:val="-2"/>
          <w:highlight w:val="none"/>
        </w:rPr>
        <w:t xml:space="preserve">同一单位可支持多次结算，可以按照最小单位收费项目、按单个</w:t>
      </w:r>
      <w:r>
        <w:rPr>
          <w:rFonts w:hint="eastAsia" w:ascii="宋体" w:hAnsi="宋体" w:eastAsia="宋体" w:cs="宋体"/>
          <w:color w:val="000000"/>
          <w:spacing w:val="-3"/>
          <w:highlight w:val="none"/>
        </w:rPr>
        <w:t xml:space="preserve">人、任意多个人组合、任意项目组合进行结算。</w:t>
      </w:r>
      <w:r>
        <w:rPr>
          <w:rFonts w:ascii="宋体" w:hAnsi="宋体" w:eastAsia="宋体" w:cs="宋体"/>
          <w:color w:val="000000"/>
          <w:highlight w:val="none"/>
        </w:rPr>
      </w:r>
      <w:r/>
    </w:p>
    <w:p>
      <w:pPr>
        <w:pStyle w:val="687"/>
        <w:numPr>
          <w:ilvl w:val="1"/>
          <w:numId w:val="7"/>
        </w:numPr>
        <w:ind w:right="15"/>
        <w:rPr>
          <w:rFonts w:ascii="宋体" w:hAnsi="宋体" w:eastAsia="宋体" w:cs="宋体"/>
          <w:color w:val="000000"/>
          <w:highlight w:val="none"/>
        </w:rPr>
      </w:pPr>
      <w:r>
        <w:rPr>
          <w:rFonts w:hint="eastAsia" w:ascii="宋体" w:hAnsi="宋体" w:eastAsia="宋体" w:cs="宋体"/>
          <w:color w:val="000000"/>
          <w:spacing w:val="-1"/>
          <w:highlight w:val="none"/>
        </w:rPr>
        <w:t xml:space="preserve">系统可区分自费、公费项目，可打印清晰详细的团体结算单，</w:t>
      </w:r>
      <w:r>
        <w:rPr>
          <w:rFonts w:hint="eastAsia" w:ascii="宋体" w:hAnsi="宋体" w:eastAsia="宋体" w:cs="宋体"/>
          <w:color w:val="000000"/>
          <w:spacing w:val="-1"/>
          <w:highlight w:val="none"/>
        </w:rPr>
        <w:t xml:space="preserve">包</w:t>
      </w:r>
      <w:r>
        <w:rPr>
          <w:rFonts w:hint="eastAsia" w:ascii="宋体" w:hAnsi="宋体" w:eastAsia="宋体" w:cs="宋体"/>
          <w:color w:val="000000"/>
          <w:spacing w:val="-3"/>
          <w:highlight w:val="none"/>
        </w:rPr>
        <w:t xml:space="preserve">含套餐金额、组内套餐项目明细、分组人数、公费加项金</w:t>
      </w:r>
      <w:r>
        <w:rPr>
          <w:rFonts w:hint="eastAsia" w:ascii="宋体" w:hAnsi="宋体" w:eastAsia="宋体" w:cs="宋体"/>
          <w:color w:val="000000"/>
          <w:spacing w:val="-4"/>
          <w:highlight w:val="none"/>
        </w:rPr>
        <w:t xml:space="preserve">额、公费加项明细、放弃项目金额、放弃项目明细等。</w:t>
      </w:r>
      <w:r>
        <w:rPr>
          <w:rFonts w:ascii="宋体" w:hAnsi="宋体" w:eastAsia="宋体" w:cs="宋体"/>
          <w:color w:val="000000"/>
          <w:highlight w:val="none"/>
        </w:rPr>
      </w:r>
      <w:r/>
    </w:p>
    <w:p>
      <w:pPr>
        <w:pStyle w:val="687"/>
        <w:numPr>
          <w:ilvl w:val="1"/>
          <w:numId w:val="7"/>
        </w:numPr>
        <w:spacing w:before="2"/>
        <w:rPr>
          <w:rFonts w:ascii="宋体" w:hAnsi="宋体" w:eastAsia="宋体" w:cs="宋体"/>
          <w:color w:val="000000"/>
          <w:highlight w:val="none"/>
        </w:rPr>
      </w:pPr>
      <w:r>
        <w:rPr>
          <w:rFonts w:hint="eastAsia" w:ascii="宋体" w:hAnsi="宋体" w:eastAsia="宋体" w:cs="宋体"/>
          <w:color w:val="000000"/>
          <w:spacing w:val="-2"/>
          <w:highlight w:val="none"/>
        </w:rPr>
        <w:t xml:space="preserve">防漏费功能，可以很清晰的看到</w:t>
      </w:r>
      <w:r>
        <w:rPr>
          <w:rFonts w:hint="eastAsia" w:ascii="宋体" w:hAnsi="宋体" w:eastAsia="宋体" w:cs="宋体"/>
          <w:color w:val="000000"/>
          <w:spacing w:val="-3"/>
          <w:highlight w:val="none"/>
        </w:rPr>
        <w:t xml:space="preserve">单位人员的缴费情况。</w:t>
      </w:r>
      <w:r>
        <w:rPr>
          <w:rFonts w:ascii="宋体" w:hAnsi="宋体" w:eastAsia="宋体" w:cs="宋体"/>
          <w:color w:val="000000"/>
          <w:highlight w:val="none"/>
        </w:rPr>
      </w:r>
      <w:r/>
    </w:p>
    <w:p>
      <w:pPr>
        <w:pStyle w:val="687"/>
        <w:numPr>
          <w:ilvl w:val="1"/>
          <w:numId w:val="7"/>
        </w:numPr>
        <w:spacing w:before="2"/>
        <w:rPr>
          <w:rFonts w:ascii="宋体" w:hAnsi="宋体" w:eastAsia="宋体" w:cs="宋体"/>
          <w:color w:val="000000"/>
          <w:highlight w:val="none"/>
        </w:rPr>
      </w:pPr>
      <w:r>
        <w:rPr>
          <w:rFonts w:hint="eastAsia" w:ascii="宋体" w:hAnsi="宋体" w:eastAsia="宋体" w:cs="宋体"/>
          <w:color w:val="000000"/>
          <w:spacing w:val="-1"/>
          <w:highlight w:val="none"/>
        </w:rPr>
        <w:t xml:space="preserve">财务统计：按日期、检查科室、收费项目进行分类查询、统计并打</w:t>
      </w:r>
      <w:r>
        <w:rPr>
          <w:rFonts w:hint="eastAsia" w:ascii="宋体" w:hAnsi="宋体" w:eastAsia="宋体" w:cs="宋体"/>
          <w:color w:val="000000"/>
          <w:spacing w:val="-13"/>
          <w:highlight w:val="none"/>
        </w:rPr>
        <w:t xml:space="preserve">印报表。</w:t>
      </w:r>
      <w:r>
        <w:rPr>
          <w:rFonts w:ascii="宋体" w:hAnsi="宋体" w:eastAsia="宋体" w:cs="宋体"/>
          <w:color w:val="000000"/>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消费卡：提供批量制作消费卡功能，消费卡可以当作一种支付方式抵扣体检费用。系统支持提供消费卡明细报表，方便体检中心对账。</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会员卡：</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支持建立客户个人会员卡，建卡后该客户在进行团检、个检、微信预约时都可以使用会员卡余额进行支付。</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微信端可以看到会员卡使用记录。</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会员卡退费支持模拟整收整退。</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发票管理：每个收费员领取的发票号码会进行登记，在收费时,系统会自动显示该收费员领取的还未使用的发票号（以顺序自动增加）。收费员使用发票收费的时候，系统自动根据该收费号检索最近的发票号，收费后发票号自动与收据号对应。</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支持对接发票系统，多人合并开票：支持对接第三方发票系统，在系统内可以多个订单合并开一张发票，支持退款自动冲红发票，查看历史发票记录。</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配置付款方式不开发票：开发票支持配置付款方式不需要开发票，如消费卡付款的金额可以选择不需要开发票，则在开发票的时候可以开剩余金额的发票</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餐厅管理：支持录入客户体检号校验客户是否可以领取早餐，</w:t>
      </w:r>
      <w:r>
        <w:rPr>
          <w:rFonts w:hint="eastAsia" w:ascii="宋体" w:hAnsi="宋体"/>
          <w:color w:val="000000"/>
          <w:sz w:val="24"/>
          <w:szCs w:val="24"/>
          <w:highlight w:val="none"/>
        </w:rPr>
        <w:t xml:space="preserve">如：餐前项目是否做完，是否领取过早餐。</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短信管理：（</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可以与医院短信管理平台对接，实现短信发送，体检中心管理员可以看到所有体检者发出的短信内容，及短信的发送时间及状态。支持一键批量重新发送，以及手动批量发送短信。</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支持新增手机号批量发送短信。</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短信模版支持文本搜索。</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定制化报表：（</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可以快速的定制化报表，不用改动程序，使用配置的方式展示报表内容，可以把一些简单的汇总数据显示在报表内，并且和数据一起导出。</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报表可进行多条件筛选，根据需求自定义报表。</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报表个性化显示，可以通过图表等形式展示。</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报表内超链接支持跳转与生成对应二维码</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针对多个表格的报表，按报表查询结果导出Excel文件后，可以在Excel表格中对齐多个表格。</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结节管理：</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体检者如果检出结节，系统会自动在结节数据管理页面显示相关结果。支持医生管理维护结节数据包括结节形态，结节大小等各种属性以及随访记录、结果。结节数据可支持统计导出，用于科研数据支持。</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支持在个人信息栏中维护“吸烟史”“既往史”“家族史”内容。</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在可视化配置中维护项目后，支持在结节信息中获取并展示本次体检的对应项目的体检结果。</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报告柜管理：可按实际需求建立电子报告柜，存取报告，对每份报告的存放位置，存取时间做记录，以便取报告时，可以查询出报告的所在位置，提高效率，降低出错率。方便工作人员管理报告和快速拿取。</w:t>
      </w:r>
      <w:r>
        <w:rPr>
          <w:rFonts w:ascii="宋体" w:hAnsi="宋体"/>
          <w:color w:val="000000"/>
          <w:sz w:val="24"/>
          <w:szCs w:val="24"/>
          <w:highlight w:val="none"/>
        </w:rPr>
      </w:r>
      <w:r/>
    </w:p>
    <w:p>
      <w:pPr>
        <w:pStyle w:val="687"/>
        <w:numPr>
          <w:ilvl w:val="0"/>
          <w:numId w:val="7"/>
        </w:numPr>
        <w:ind w:left="0" w:right="125" w:firstLine="425"/>
        <w:spacing w:before="184"/>
        <w:rPr>
          <w:rFonts w:ascii="宋体" w:hAnsi="宋体" w:eastAsia="宋体" w:cs="宋体"/>
          <w:color w:val="000000"/>
          <w:highlight w:val="none"/>
        </w:rPr>
      </w:pPr>
      <w:r>
        <w:rPr>
          <w:rFonts w:hint="eastAsia" w:ascii="宋体" w:hAnsi="宋体" w:eastAsia="宋体" w:cs="宋体"/>
          <w:color w:val="000000"/>
          <w:highlight w:val="none"/>
        </w:rPr>
        <w:t xml:space="preserve">重阳审核：</w:t>
      </w:r>
      <w:r>
        <w:rPr>
          <w:rFonts w:ascii="宋体" w:hAnsi="宋体" w:eastAsia="宋体" w:cs="宋体"/>
          <w:color w:val="000000"/>
          <w:highlight w:val="none"/>
        </w:rPr>
      </w:r>
      <w:r/>
    </w:p>
    <w:p>
      <w:pPr>
        <w:pStyle w:val="687"/>
        <w:numPr>
          <w:ilvl w:val="1"/>
          <w:numId w:val="7"/>
        </w:numPr>
        <w:ind w:left="420" w:right="125" w:firstLine="425"/>
        <w:spacing w:before="184"/>
        <w:rPr>
          <w:rFonts w:ascii="宋体" w:hAnsi="宋体" w:eastAsia="宋体" w:cs="宋体"/>
          <w:color w:val="000000"/>
          <w:highlight w:val="none"/>
        </w:rPr>
      </w:pPr>
      <w:r>
        <w:rPr>
          <w:rFonts w:hint="eastAsia" w:ascii="宋体" w:hAnsi="宋体" w:eastAsia="宋体" w:cs="宋体"/>
          <w:color w:val="000000"/>
          <w:spacing w:val="-3"/>
          <w:highlight w:val="none"/>
        </w:rPr>
        <w:t xml:space="preserve">提供重阳配置功能，能实现临床类科室体检结果是</w:t>
      </w:r>
      <w:r>
        <w:rPr>
          <w:rFonts w:hint="eastAsia" w:ascii="宋体" w:hAnsi="宋体" w:eastAsia="宋体" w:cs="宋体"/>
          <w:color w:val="000000"/>
          <w:spacing w:val="-57"/>
          <w:highlight w:val="none"/>
        </w:rPr>
        <w:t xml:space="preserve"> </w:t>
      </w:r>
      <w:r>
        <w:rPr>
          <w:rFonts w:hint="eastAsia" w:ascii="宋体" w:hAnsi="宋体" w:eastAsia="宋体" w:cs="宋体"/>
          <w:color w:val="000000"/>
          <w:spacing w:val="-3"/>
          <w:highlight w:val="none"/>
        </w:rPr>
        <w:t xml:space="preserve">A</w:t>
      </w:r>
      <w:r>
        <w:rPr>
          <w:rFonts w:hint="eastAsia" w:ascii="宋体" w:hAnsi="宋体" w:eastAsia="宋体" w:cs="宋体"/>
          <w:color w:val="000000"/>
          <w:spacing w:val="-42"/>
          <w:highlight w:val="none"/>
        </w:rPr>
        <w:t xml:space="preserve"> </w:t>
      </w:r>
      <w:r>
        <w:rPr>
          <w:rFonts w:hint="eastAsia" w:ascii="宋体" w:hAnsi="宋体" w:eastAsia="宋体" w:cs="宋体"/>
          <w:color w:val="000000"/>
          <w:spacing w:val="-3"/>
          <w:highlight w:val="none"/>
        </w:rPr>
        <w:t xml:space="preserve">类或</w:t>
      </w:r>
      <w:r>
        <w:rPr>
          <w:rFonts w:hint="eastAsia" w:ascii="宋体" w:hAnsi="宋体" w:eastAsia="宋体" w:cs="宋体"/>
          <w:color w:val="000000"/>
          <w:spacing w:val="-57"/>
          <w:highlight w:val="none"/>
        </w:rPr>
        <w:t xml:space="preserve"> </w:t>
      </w:r>
      <w:r>
        <w:rPr>
          <w:rFonts w:hint="eastAsia" w:ascii="宋体" w:hAnsi="宋体" w:eastAsia="宋体" w:cs="宋体"/>
          <w:color w:val="000000"/>
          <w:spacing w:val="-3"/>
          <w:highlight w:val="none"/>
        </w:rPr>
        <w:t xml:space="preserve">B</w:t>
      </w:r>
      <w:r>
        <w:rPr>
          <w:rFonts w:hint="eastAsia" w:ascii="宋体" w:hAnsi="宋体" w:eastAsia="宋体" w:cs="宋体"/>
          <w:color w:val="000000"/>
          <w:spacing w:val="-41"/>
          <w:highlight w:val="none"/>
        </w:rPr>
        <w:t xml:space="preserve"> </w:t>
      </w:r>
      <w:r>
        <w:rPr>
          <w:rFonts w:hint="eastAsia" w:ascii="宋体" w:hAnsi="宋体" w:eastAsia="宋体" w:cs="宋体"/>
          <w:color w:val="000000"/>
          <w:spacing w:val="-3"/>
          <w:highlight w:val="none"/>
        </w:rPr>
        <w:t xml:space="preserve">类的结果；通过检验知识库能配置自动判断检验项目结果是</w:t>
      </w:r>
      <w:r>
        <w:rPr>
          <w:rFonts w:hint="eastAsia" w:ascii="宋体" w:hAnsi="宋体" w:eastAsia="宋体" w:cs="宋体"/>
          <w:color w:val="000000"/>
          <w:spacing w:val="-50"/>
          <w:highlight w:val="none"/>
        </w:rPr>
        <w:t xml:space="preserve"> </w:t>
      </w:r>
      <w:r>
        <w:rPr>
          <w:rFonts w:hint="eastAsia" w:ascii="宋体" w:hAnsi="宋体" w:eastAsia="宋体" w:cs="宋体"/>
          <w:color w:val="000000"/>
          <w:spacing w:val="-3"/>
          <w:highlight w:val="none"/>
        </w:rPr>
        <w:t xml:space="preserve">A</w:t>
      </w:r>
      <w:r>
        <w:rPr>
          <w:rFonts w:hint="eastAsia" w:ascii="宋体" w:hAnsi="宋体" w:eastAsia="宋体" w:cs="宋体"/>
          <w:color w:val="000000"/>
          <w:spacing w:val="-39"/>
          <w:highlight w:val="none"/>
        </w:rPr>
        <w:t xml:space="preserve"> </w:t>
      </w:r>
      <w:r>
        <w:rPr>
          <w:rFonts w:hint="eastAsia" w:ascii="宋体" w:hAnsi="宋体" w:eastAsia="宋体" w:cs="宋体"/>
          <w:color w:val="000000"/>
          <w:spacing w:val="-3"/>
          <w:highlight w:val="none"/>
        </w:rPr>
        <w:t xml:space="preserve">类或</w:t>
      </w:r>
      <w:r>
        <w:rPr>
          <w:rFonts w:hint="eastAsia" w:ascii="宋体" w:hAnsi="宋体" w:eastAsia="宋体" w:cs="宋体"/>
          <w:color w:val="000000"/>
          <w:spacing w:val="-54"/>
          <w:highlight w:val="none"/>
        </w:rPr>
        <w:t xml:space="preserve"> </w:t>
      </w:r>
      <w:r>
        <w:rPr>
          <w:rFonts w:hint="eastAsia" w:ascii="宋体" w:hAnsi="宋体" w:eastAsia="宋体" w:cs="宋体"/>
          <w:color w:val="000000"/>
          <w:spacing w:val="-3"/>
          <w:highlight w:val="none"/>
        </w:rPr>
        <w:t xml:space="preserve">B</w:t>
      </w:r>
      <w:r>
        <w:rPr>
          <w:rFonts w:hint="eastAsia" w:ascii="宋体" w:hAnsi="宋体" w:eastAsia="宋体" w:cs="宋体"/>
          <w:color w:val="000000"/>
          <w:spacing w:val="-39"/>
          <w:highlight w:val="none"/>
        </w:rPr>
        <w:t xml:space="preserve"> </w:t>
      </w:r>
      <w:r>
        <w:rPr>
          <w:rFonts w:hint="eastAsia" w:ascii="宋体" w:hAnsi="宋体" w:eastAsia="宋体" w:cs="宋体"/>
          <w:color w:val="000000"/>
          <w:spacing w:val="-3"/>
          <w:highlight w:val="none"/>
        </w:rPr>
        <w:t xml:space="preserve">类的判断条件；</w:t>
      </w:r>
      <w:r>
        <w:rPr>
          <w:rFonts w:hint="eastAsia" w:ascii="宋体" w:hAnsi="宋体" w:eastAsia="宋体" w:cs="宋体"/>
          <w:color w:val="000000"/>
          <w:spacing w:val="-2"/>
          <w:highlight w:val="none"/>
        </w:rPr>
        <w:t xml:space="preserve">通过检查知识库能配置</w:t>
      </w:r>
      <w:r>
        <w:rPr>
          <w:rFonts w:hint="eastAsia" w:ascii="宋体" w:hAnsi="宋体" w:eastAsia="宋体" w:cs="宋体"/>
          <w:color w:val="000000"/>
          <w:spacing w:val="-51"/>
          <w:highlight w:val="none"/>
        </w:rPr>
        <w:t xml:space="preserve"> </w:t>
      </w:r>
      <w:r>
        <w:rPr>
          <w:rFonts w:hint="eastAsia" w:ascii="宋体" w:hAnsi="宋体" w:eastAsia="宋体" w:cs="宋体"/>
          <w:color w:val="000000"/>
          <w:spacing w:val="-2"/>
          <w:highlight w:val="none"/>
        </w:rPr>
        <w:t xml:space="preserve">B</w:t>
      </w:r>
      <w:r>
        <w:rPr>
          <w:rFonts w:hint="eastAsia" w:ascii="宋体" w:hAnsi="宋体" w:eastAsia="宋体" w:cs="宋体"/>
          <w:color w:val="000000"/>
          <w:spacing w:val="-43"/>
          <w:highlight w:val="none"/>
        </w:rPr>
        <w:t xml:space="preserve"> </w:t>
      </w:r>
      <w:r>
        <w:rPr>
          <w:rFonts w:hint="eastAsia" w:ascii="宋体" w:hAnsi="宋体" w:eastAsia="宋体" w:cs="宋体"/>
          <w:color w:val="000000"/>
          <w:spacing w:val="-2"/>
          <w:highlight w:val="none"/>
        </w:rPr>
        <w:t xml:space="preserve">超、放射、心电等检查项目结果关键字，是</w:t>
      </w:r>
      <w:r>
        <w:rPr>
          <w:rFonts w:hint="eastAsia" w:ascii="宋体" w:hAnsi="宋体" w:eastAsia="宋体" w:cs="宋体"/>
          <w:color w:val="000000"/>
          <w:spacing w:val="-58"/>
          <w:highlight w:val="none"/>
        </w:rPr>
        <w:t xml:space="preserve"> </w:t>
      </w:r>
      <w:r>
        <w:rPr>
          <w:rFonts w:hint="eastAsia" w:ascii="宋体" w:hAnsi="宋体" w:eastAsia="宋体" w:cs="宋体"/>
          <w:color w:val="000000"/>
          <w:spacing w:val="-2"/>
          <w:highlight w:val="none"/>
        </w:rPr>
        <w:t xml:space="preserve">A</w:t>
      </w:r>
      <w:r>
        <w:rPr>
          <w:rFonts w:hint="eastAsia" w:ascii="宋体" w:hAnsi="宋体" w:eastAsia="宋体" w:cs="宋体"/>
          <w:color w:val="000000"/>
          <w:spacing w:val="-42"/>
          <w:highlight w:val="none"/>
        </w:rPr>
        <w:t xml:space="preserve"> </w:t>
      </w:r>
      <w:r>
        <w:rPr>
          <w:rFonts w:hint="eastAsia" w:ascii="宋体" w:hAnsi="宋体" w:eastAsia="宋体" w:cs="宋体"/>
          <w:color w:val="000000"/>
          <w:spacing w:val="-2"/>
          <w:highlight w:val="none"/>
        </w:rPr>
        <w:t xml:space="preserve">类或</w:t>
      </w:r>
      <w:r>
        <w:rPr>
          <w:rFonts w:hint="eastAsia" w:ascii="宋体" w:hAnsi="宋体" w:eastAsia="宋体" w:cs="宋体"/>
          <w:color w:val="000000"/>
          <w:spacing w:val="-56"/>
          <w:highlight w:val="none"/>
        </w:rPr>
        <w:t xml:space="preserve"> </w:t>
      </w:r>
      <w:r>
        <w:rPr>
          <w:rFonts w:hint="eastAsia" w:ascii="宋体" w:hAnsi="宋体" w:eastAsia="宋体" w:cs="宋体"/>
          <w:color w:val="000000"/>
          <w:spacing w:val="-2"/>
          <w:highlight w:val="none"/>
        </w:rPr>
        <w:t xml:space="preserve">B</w:t>
      </w:r>
      <w:r>
        <w:rPr>
          <w:rFonts w:hint="eastAsia" w:ascii="宋体" w:hAnsi="宋体" w:eastAsia="宋体" w:cs="宋体"/>
          <w:color w:val="000000"/>
          <w:spacing w:val="-5"/>
          <w:highlight w:val="none"/>
        </w:rPr>
        <w:t xml:space="preserve">类的判断条件；通过阳性配置功能设置多条件下，体检结果是</w:t>
      </w:r>
      <w:r>
        <w:rPr>
          <w:rFonts w:hint="eastAsia" w:ascii="宋体" w:hAnsi="宋体" w:eastAsia="宋体" w:cs="宋体"/>
          <w:color w:val="000000"/>
          <w:spacing w:val="-40"/>
          <w:highlight w:val="none"/>
        </w:rPr>
        <w:t xml:space="preserve"> </w:t>
      </w:r>
      <w:r>
        <w:rPr>
          <w:rFonts w:hint="eastAsia" w:ascii="宋体" w:hAnsi="宋体" w:eastAsia="宋体" w:cs="宋体"/>
          <w:color w:val="000000"/>
          <w:spacing w:val="-5"/>
          <w:highlight w:val="none"/>
        </w:rPr>
        <w:t xml:space="preserve">A</w:t>
      </w:r>
      <w:r>
        <w:rPr>
          <w:rFonts w:hint="eastAsia" w:ascii="宋体" w:hAnsi="宋体" w:eastAsia="宋体" w:cs="宋体"/>
          <w:color w:val="000000"/>
          <w:spacing w:val="-41"/>
          <w:highlight w:val="none"/>
        </w:rPr>
        <w:t xml:space="preserve"> </w:t>
      </w:r>
      <w:r>
        <w:rPr>
          <w:rFonts w:hint="eastAsia" w:ascii="宋体" w:hAnsi="宋体" w:eastAsia="宋体" w:cs="宋体"/>
          <w:color w:val="000000"/>
          <w:spacing w:val="-5"/>
          <w:highlight w:val="none"/>
        </w:rPr>
        <w:t xml:space="preserve">类或</w:t>
      </w:r>
      <w:r>
        <w:rPr>
          <w:rFonts w:hint="eastAsia" w:ascii="宋体" w:hAnsi="宋体" w:eastAsia="宋体" w:cs="宋体"/>
          <w:color w:val="000000"/>
          <w:spacing w:val="-57"/>
          <w:highlight w:val="none"/>
        </w:rPr>
        <w:t xml:space="preserve"> </w:t>
      </w:r>
      <w:r>
        <w:rPr>
          <w:rFonts w:hint="eastAsia" w:ascii="宋体" w:hAnsi="宋体" w:eastAsia="宋体" w:cs="宋体"/>
          <w:color w:val="000000"/>
          <w:spacing w:val="-5"/>
          <w:highlight w:val="none"/>
        </w:rPr>
        <w:t xml:space="preserve">B</w:t>
      </w:r>
      <w:r>
        <w:rPr>
          <w:rFonts w:hint="eastAsia" w:ascii="宋体" w:hAnsi="宋体" w:eastAsia="宋体" w:cs="宋体"/>
          <w:color w:val="000000"/>
          <w:spacing w:val="-42"/>
          <w:highlight w:val="none"/>
        </w:rPr>
        <w:t xml:space="preserve"> </w:t>
      </w:r>
      <w:r>
        <w:rPr>
          <w:rFonts w:hint="eastAsia" w:ascii="宋体" w:hAnsi="宋体" w:eastAsia="宋体" w:cs="宋体"/>
          <w:color w:val="000000"/>
          <w:spacing w:val="-5"/>
          <w:highlight w:val="none"/>
        </w:rPr>
        <w:t xml:space="preserve">类的判断</w:t>
      </w:r>
      <w:r>
        <w:rPr>
          <w:rFonts w:hint="eastAsia" w:ascii="宋体" w:hAnsi="宋体" w:eastAsia="宋体" w:cs="宋体"/>
          <w:color w:val="000000"/>
          <w:spacing w:val="-12"/>
          <w:highlight w:val="none"/>
        </w:rPr>
        <w:t xml:space="preserve">条件。</w:t>
      </w:r>
      <w:r>
        <w:rPr>
          <w:rFonts w:ascii="宋体" w:hAnsi="宋体" w:eastAsia="宋体" w:cs="宋体"/>
          <w:color w:val="000000"/>
          <w:highlight w:val="none"/>
        </w:rPr>
      </w:r>
      <w:r/>
    </w:p>
    <w:p>
      <w:pPr>
        <w:pStyle w:val="687"/>
        <w:numPr>
          <w:ilvl w:val="1"/>
          <w:numId w:val="7"/>
        </w:numPr>
        <w:ind w:left="420" w:firstLine="425"/>
        <w:spacing w:before="2"/>
        <w:rPr>
          <w:rFonts w:ascii="宋体" w:hAnsi="宋体" w:eastAsia="宋体" w:cs="宋体"/>
          <w:color w:val="000000"/>
          <w:highlight w:val="none"/>
        </w:rPr>
      </w:pPr>
      <w:r>
        <w:rPr>
          <w:rFonts w:hint="eastAsia" w:ascii="宋体" w:hAnsi="宋体" w:eastAsia="宋体" w:cs="宋体"/>
          <w:color w:val="000000"/>
          <w:spacing w:val="-3"/>
          <w:highlight w:val="none"/>
        </w:rPr>
        <w:t xml:space="preserve">提供系统自动列出所有已经自动判断出来的</w:t>
      </w:r>
      <w:r>
        <w:rPr>
          <w:rFonts w:hint="eastAsia" w:ascii="宋体" w:hAnsi="宋体" w:eastAsia="宋体" w:cs="宋体"/>
          <w:color w:val="000000"/>
          <w:spacing w:val="-65"/>
          <w:highlight w:val="none"/>
        </w:rPr>
        <w:t xml:space="preserve"> </w:t>
      </w:r>
      <w:r>
        <w:rPr>
          <w:rFonts w:hint="eastAsia" w:ascii="宋体" w:hAnsi="宋体" w:eastAsia="宋体" w:cs="宋体"/>
          <w:color w:val="000000"/>
          <w:spacing w:val="-3"/>
          <w:highlight w:val="none"/>
        </w:rPr>
        <w:t xml:space="preserve">A</w:t>
      </w:r>
      <w:r>
        <w:rPr>
          <w:rFonts w:hint="eastAsia" w:ascii="宋体" w:hAnsi="宋体" w:eastAsia="宋体" w:cs="宋体"/>
          <w:color w:val="000000"/>
          <w:spacing w:val="-48"/>
          <w:highlight w:val="none"/>
        </w:rPr>
        <w:t xml:space="preserve"> </w:t>
      </w:r>
      <w:r>
        <w:rPr>
          <w:rFonts w:hint="eastAsia" w:ascii="宋体" w:hAnsi="宋体" w:eastAsia="宋体" w:cs="宋体"/>
          <w:color w:val="000000"/>
          <w:spacing w:val="-3"/>
          <w:highlight w:val="none"/>
        </w:rPr>
        <w:t xml:space="preserve">类或</w:t>
      </w:r>
      <w:r>
        <w:rPr>
          <w:rFonts w:hint="eastAsia" w:ascii="宋体" w:hAnsi="宋体" w:eastAsia="宋体" w:cs="宋体"/>
          <w:color w:val="000000"/>
          <w:spacing w:val="-64"/>
          <w:highlight w:val="none"/>
        </w:rPr>
        <w:t xml:space="preserve"> </w:t>
      </w:r>
      <w:r>
        <w:rPr>
          <w:rFonts w:hint="eastAsia" w:ascii="宋体" w:hAnsi="宋体" w:eastAsia="宋体" w:cs="宋体"/>
          <w:color w:val="000000"/>
          <w:spacing w:val="-3"/>
          <w:highlight w:val="none"/>
        </w:rPr>
        <w:t xml:space="preserve">B</w:t>
      </w:r>
      <w:r>
        <w:rPr>
          <w:rFonts w:hint="eastAsia" w:ascii="宋体" w:hAnsi="宋体" w:eastAsia="宋体" w:cs="宋体"/>
          <w:color w:val="000000"/>
          <w:spacing w:val="-49"/>
          <w:highlight w:val="none"/>
        </w:rPr>
        <w:t xml:space="preserve"> </w:t>
      </w:r>
      <w:r>
        <w:rPr>
          <w:rFonts w:hint="eastAsia" w:ascii="宋体" w:hAnsi="宋体" w:eastAsia="宋体" w:cs="宋体"/>
          <w:color w:val="000000"/>
          <w:spacing w:val="-4"/>
          <w:highlight w:val="none"/>
        </w:rPr>
        <w:t xml:space="preserve">类体检结果的人，</w:t>
      </w:r>
      <w:r>
        <w:rPr>
          <w:rFonts w:hint="eastAsia" w:ascii="宋体" w:hAnsi="宋体" w:eastAsia="宋体" w:cs="宋体"/>
          <w:color w:val="000000"/>
          <w:spacing w:val="-3"/>
          <w:highlight w:val="none"/>
        </w:rPr>
        <w:t xml:space="preserve">生成随访任务，指派给随访医生后期进行随访处理。</w:t>
      </w:r>
      <w:r>
        <w:rPr>
          <w:rFonts w:ascii="宋体" w:hAnsi="宋体" w:eastAsia="宋体" w:cs="宋体"/>
          <w:color w:val="000000"/>
          <w:highlight w:val="none"/>
        </w:rPr>
      </w:r>
      <w:r/>
    </w:p>
    <w:p>
      <w:pPr>
        <w:pStyle w:val="687"/>
        <w:numPr>
          <w:ilvl w:val="1"/>
          <w:numId w:val="7"/>
        </w:numPr>
        <w:ind w:left="420" w:right="191" w:firstLine="425"/>
        <w:spacing w:before="2"/>
        <w:rPr>
          <w:rFonts w:ascii="宋体" w:hAnsi="宋体" w:eastAsia="宋体" w:cs="宋体"/>
          <w:color w:val="000000"/>
          <w:highlight w:val="none"/>
        </w:rPr>
      </w:pPr>
      <w:r>
        <w:rPr>
          <w:rFonts w:hint="eastAsia" w:ascii="宋体" w:hAnsi="宋体" w:eastAsia="宋体" w:cs="宋体"/>
          <w:color w:val="000000"/>
          <w:spacing w:val="-3"/>
          <w:highlight w:val="none"/>
        </w:rPr>
        <w:t xml:space="preserve">当体检人员此项目结果又回到正常值时，自动删除重阳和对应随访计</w:t>
      </w:r>
      <w:r>
        <w:rPr>
          <w:rFonts w:hint="eastAsia" w:ascii="宋体" w:hAnsi="宋体" w:eastAsia="宋体" w:cs="宋体"/>
          <w:color w:val="000000"/>
          <w:spacing w:val="-13"/>
          <w:highlight w:val="none"/>
        </w:rPr>
        <w:t xml:space="preserve">划。</w:t>
      </w:r>
      <w:r>
        <w:rPr>
          <w:rFonts w:ascii="宋体" w:hAnsi="宋体" w:eastAsia="宋体" w:cs="宋体"/>
          <w:color w:val="000000"/>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危急值：</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产生的危急值都会在危急值页面展示，支持手动新增危急值；支持批量处理危急值，处理方式包含四种（电话，短信，现场，忽略），处理完成的危急值会展示在危急值历史页签中；支持查看通知记录；支持批量发送短信。</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危急值支持选择对应的随访计划模板，生成危急值时会生成对应的随访计划。</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当用户这个项目结果又回到正常值时，自动删除危急值和对应随访计划</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公告管理：</w:t>
      </w:r>
      <w:r>
        <w:rPr>
          <w:rFonts w:hint="eastAsia" w:ascii="宋体" w:hAnsi="宋体"/>
          <w:color w:val="000000"/>
          <w:sz w:val="24"/>
          <w:szCs w:val="24"/>
          <w:highlight w:val="none"/>
        </w:rPr>
        <w:t xml:space="preserve">支持新增公告信息；</w:t>
      </w:r>
      <w:r>
        <w:rPr>
          <w:rFonts w:hint="eastAsia" w:ascii="宋体" w:hAnsi="宋体"/>
          <w:color w:val="000000"/>
          <w:sz w:val="24"/>
          <w:szCs w:val="24"/>
          <w:highlight w:val="none"/>
        </w:rPr>
        <w:t xml:space="preserve">支持选择提醒人员在公告发布后给与相关账户进行消息提醒。</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延检复查：</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支持在复查管理中进行人员复查和通知操作；</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支持在延检管理中对人员进行延检通知；</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交接管理：支持记录交接导引单的接收人、操作人、交接时间等信息</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现场录音：能够进行现场声音录制，上传到服务器。提供两个维度的录音播放功能：可在检查科室进行现场录音；可在登记台进行录音；支持电话录音保存、下载和播放，再次进入相关界面仍可查看录音。</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支持接入特定型号的高拍仪：</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支持使用高拍仪对引导单进行拍照保存到客户档案。</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支持使用高拍仪对弃检单进行拍照保存到客户档案。</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支持使用高拍仪对收费凭证进行拍照保存到客户档案。</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支持使用高拍仪对单位的合同或各种收费证据进行拍照保存到单位客户档案。</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支持接入特定型号的电子签字笔：体检者弃检、拿报告、做特殊项目需要签署【知情同意书】时，可以用签字板电子签字确认，确认后的凭证保存到后台数据库的用户档案里面，以备查询，打印。</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单位询价单管理：</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针对单位订单提供专门的询价单制定模块，可自定义维护体检项目，调整折扣，项目意义，并导出Excel，PDF格式的询价单内容。</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系统支持通过将单位询价单项目自动转化为套餐，无需二次维护套餐信息。</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CRM客户管理：（</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支持配置单位订单管理阶段，自定义制定如：立项，洽谈，签约，体检，结算等单位订单阶段。每个阶段支持上传附件，备注等内容。完成阶段时支持配置是否需要审核，相关人员收到审核提醒并审核通过后才可进入下一阶段。</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提供单位拜访记录维护界面，记录销售和单位的沟通拜访信息。</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提供单位联系人通讯录，支持维护所有单位的联系人通讯录，并分配专门的负责人员。</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单位信息变更，订单属性变更，编辑套餐，导入人员均有详细的操作记录。</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为单位订单管理提供多种筛选方式</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单位订单支持单独设置折扣，区别于个人订单。</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支持限制业务员编辑非本人负责的单位订单信息。</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单位套餐推荐包：</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支持设置套餐推荐包，</w:t>
      </w:r>
      <w:r>
        <w:rPr>
          <w:rFonts w:hint="eastAsia" w:ascii="宋体" w:hAnsi="宋体"/>
          <w:color w:val="000000"/>
          <w:sz w:val="24"/>
          <w:szCs w:val="24"/>
          <w:highlight w:val="none"/>
        </w:rPr>
        <w:t xml:space="preserve">并在微信预约</w:t>
      </w:r>
      <w:r>
        <w:rPr>
          <w:rFonts w:hint="eastAsia" w:ascii="宋体" w:hAnsi="宋体"/>
          <w:color w:val="000000"/>
          <w:sz w:val="24"/>
          <w:szCs w:val="24"/>
          <w:highlight w:val="none"/>
        </w:rPr>
        <w:t xml:space="preserve">，体检登记界面选择推荐包项目</w:t>
      </w:r>
      <w:r>
        <w:rPr>
          <w:rFonts w:hint="eastAsia" w:ascii="宋体" w:hAnsi="宋体"/>
          <w:color w:val="000000"/>
          <w:sz w:val="24"/>
          <w:szCs w:val="24"/>
          <w:highlight w:val="none"/>
        </w:rPr>
        <w:t xml:space="preserve">内容</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推荐包项目支持灵活定制多种方案</w:t>
      </w:r>
      <w:r>
        <w:rPr>
          <w:rFonts w:hint="eastAsia" w:ascii="宋体" w:hAnsi="宋体"/>
          <w:color w:val="000000"/>
          <w:sz w:val="24"/>
          <w:szCs w:val="24"/>
          <w:highlight w:val="none"/>
        </w:rPr>
        <w:t xml:space="preserve">，可选数量，是否必选属性</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单位订单自选包：</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支持设置订单自选包模式，在单位订单下配置导入包和选择包。</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导入包支持自动匹配导入模式匹配校验人员信息导入自选包。</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支持通过excel设置人员信息和对应的自选包名单，通过自动匹配导入的方式将人员直接导入对应套餐和自选包下，如后续需要更换，支持更换人员的套餐和自选包</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团体备单：</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支持团体备单功能，通过新建团体单位，设置多种单位套餐方式</w:t>
      </w:r>
      <w:r>
        <w:rPr>
          <w:rFonts w:hint="eastAsia" w:ascii="宋体" w:hAnsi="宋体"/>
          <w:color w:val="000000"/>
          <w:sz w:val="24"/>
          <w:szCs w:val="24"/>
          <w:highlight w:val="none"/>
        </w:rPr>
        <w:t xml:space="preserve">（如单位套餐、单位定额、单位实收、单位套餐定额、公费自定义、单位定额小值、单位套餐（免单额度）等），</w:t>
      </w:r>
      <w:r>
        <w:rPr>
          <w:rFonts w:hint="eastAsia" w:ascii="宋体" w:hAnsi="宋体"/>
          <w:color w:val="000000"/>
          <w:sz w:val="24"/>
          <w:szCs w:val="24"/>
          <w:highlight w:val="none"/>
        </w:rPr>
        <w:t xml:space="preserve">系统配置体检模板，填写后直接批量导入单位人员信息及套餐分配，</w:t>
      </w:r>
      <w:r>
        <w:rPr>
          <w:rFonts w:hint="eastAsia" w:ascii="宋体" w:hAnsi="宋体"/>
          <w:color w:val="000000"/>
          <w:sz w:val="24"/>
          <w:szCs w:val="24"/>
          <w:highlight w:val="none"/>
        </w:rPr>
        <w:t xml:space="preserve">提高了工作效率，</w:t>
      </w:r>
      <w:r>
        <w:rPr>
          <w:rFonts w:hint="eastAsia" w:ascii="宋体" w:hAnsi="宋体"/>
          <w:color w:val="000000"/>
          <w:sz w:val="24"/>
          <w:szCs w:val="24"/>
          <w:highlight w:val="none"/>
        </w:rPr>
        <w:t xml:space="preserve">单位套餐设置后可生成预约二维码直接预约。订单下支持新建询价单来直接生成套餐</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支持设置不同的自选包模式创建不同逻辑自选包选择的单位订单。</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指定加项支持批量操作，设置折扣、折扣优先和套餐折扣优先。</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单位替检管理：支持单位订单替检功能，</w:t>
      </w:r>
      <w:r>
        <w:rPr>
          <w:rFonts w:hint="eastAsia" w:ascii="宋体" w:hAnsi="宋体"/>
          <w:color w:val="000000"/>
          <w:sz w:val="24"/>
          <w:szCs w:val="24"/>
          <w:highlight w:val="none"/>
        </w:rPr>
        <w:t xml:space="preserve">可以将体检名额让给他人，系统会记录谁替检了谁</w:t>
      </w:r>
      <w:r>
        <w:rPr>
          <w:rFonts w:hint="eastAsia" w:ascii="宋体" w:hAnsi="宋体"/>
          <w:color w:val="000000"/>
          <w:sz w:val="24"/>
          <w:szCs w:val="24"/>
          <w:highlight w:val="none"/>
        </w:rPr>
        <w:t xml:space="preserve">，并支持统计相关替检数据。替检订单可以进行项目变动。</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ab/>
      </w:r>
      <w:r>
        <w:rPr>
          <w:rFonts w:hint="eastAsia" w:ascii="宋体" w:hAnsi="宋体"/>
          <w:color w:val="000000"/>
          <w:sz w:val="24"/>
          <w:szCs w:val="24"/>
          <w:highlight w:val="none"/>
        </w:rPr>
        <w:t xml:space="preserve">单位账号：支持独立的单位账号，支持单位预交金的充值，消费，退费操作。（</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人员管理：</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支持根据分组名称和套餐名称进行筛选人员列表。</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单位订单自选包模式下支持通过“换套餐”按钮对人员自选包方式、套餐、自选包进行修改。</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支持人员列表显示人员选择自选包。</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体检车外出体检</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提供使用体检车模块，到单位所在地进行体检。</w:t>
      </w:r>
      <w:r>
        <w:rPr>
          <w:rFonts w:hint="eastAsia" w:ascii="宋体" w:hAnsi="宋体"/>
          <w:color w:val="000000"/>
          <w:sz w:val="24"/>
          <w:szCs w:val="24"/>
          <w:highlight w:val="none"/>
        </w:rPr>
        <w:t xml:space="preserve">外检包含两种模式：</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使用5G/4G网络将体检车的外检模块直接和院内系统进行连接，使院内体检系统可扩展在外检车上。</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体检车外检模块独立运行，等体检车回到医院后，再把体检车上的数据通过网络同步到院内体检系统里面。</w:t>
      </w:r>
      <w:r>
        <w:rPr>
          <w:rFonts w:ascii="宋体" w:hAnsi="宋体"/>
          <w:color w:val="000000"/>
          <w:sz w:val="24"/>
          <w:szCs w:val="24"/>
          <w:highlight w:val="none"/>
        </w:rPr>
      </w:r>
      <w:r/>
    </w:p>
    <w:p>
      <w:pPr>
        <w:pStyle w:val="664"/>
        <w:numPr>
          <w:ilvl w:val="0"/>
          <w:numId w:val="7"/>
        </w:numPr>
        <w:spacing w:line="264" w:lineRule="auto"/>
        <w:rPr>
          <w:rFonts w:ascii="宋体" w:hAnsi="宋体"/>
          <w:color w:val="000000"/>
          <w:sz w:val="24"/>
          <w:szCs w:val="24"/>
          <w:highlight w:val="none"/>
        </w:rPr>
      </w:pPr>
      <w:r/>
      <w:bookmarkStart w:id="24" w:name="OLE_LINK7"/>
      <w:r>
        <w:rPr>
          <w:rFonts w:hint="eastAsia" w:ascii="宋体" w:hAnsi="宋体"/>
          <w:color w:val="000000"/>
          <w:sz w:val="24"/>
          <w:szCs w:val="24"/>
          <w:highlight w:val="none"/>
        </w:rPr>
        <w:t xml:space="preserve">接口： </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实现医保接口对接。</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院内接口：实现体检与HIS/LIS/PACS/病理/心电/CA电子签名系统/短信平台等接口对接。</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院外接口: 实现区域平台、企退接口、健康证、江苏人社一体化对接。</w:t>
      </w:r>
      <w:r>
        <w:rPr>
          <w:rFonts w:ascii="宋体" w:hAnsi="宋体"/>
          <w:color w:val="000000"/>
          <w:sz w:val="24"/>
          <w:szCs w:val="24"/>
          <w:highlight w:val="none"/>
        </w:rPr>
      </w:r>
      <w:r/>
    </w:p>
    <w:p>
      <w:pPr>
        <w:pStyle w:val="664"/>
        <w:numPr>
          <w:ilvl w:val="1"/>
          <w:numId w:val="7"/>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设备接口：对接医院心理健康测试、碳13、血压仪、人体成分、骨密度、身高体重、动脉硬化等设备。</w:t>
      </w:r>
      <w:bookmarkEnd w:id="24"/>
      <w:r>
        <w:rPr>
          <w:rFonts w:ascii="宋体" w:hAnsi="宋体"/>
          <w:color w:val="000000"/>
          <w:sz w:val="24"/>
          <w:szCs w:val="24"/>
          <w:highlight w:val="none"/>
        </w:rPr>
      </w:r>
      <w:r/>
    </w:p>
    <w:p>
      <w:pPr>
        <w:pStyle w:val="918"/>
        <w:rPr>
          <w:color w:val="000000"/>
          <w:highlight w:val="none"/>
        </w:rPr>
      </w:pPr>
      <w:r>
        <w:rPr>
          <w:color w:val="000000"/>
          <w:highlight w:val="none"/>
        </w:rPr>
      </w:r>
      <w:r/>
    </w:p>
    <w:p>
      <w:pPr>
        <w:pStyle w:val="664"/>
        <w:ind w:firstLine="482"/>
        <w:spacing w:line="264" w:lineRule="auto"/>
        <w:rPr>
          <w:rFonts w:ascii="宋体" w:hAnsi="宋体"/>
          <w:b/>
          <w:color w:val="000000"/>
          <w:sz w:val="24"/>
          <w:szCs w:val="24"/>
          <w:highlight w:val="none"/>
        </w:rPr>
      </w:pPr>
      <w:r>
        <w:rPr>
          <w:rFonts w:hint="eastAsia" w:ascii="宋体" w:hAnsi="宋体"/>
          <w:b/>
          <w:color w:val="000000"/>
          <w:sz w:val="24"/>
          <w:szCs w:val="24"/>
          <w:highlight w:val="none"/>
        </w:rPr>
        <w:t xml:space="preserve">检后随访</w:t>
      </w:r>
      <w:r>
        <w:rPr>
          <w:rFonts w:ascii="宋体" w:hAnsi="宋体"/>
          <w:b/>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客户档案</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支持查看客户所有体检记录，就诊推荐记录，随访计划信息，随访预计跟踪天数，问卷等信息。</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支持维护客户人际关系网络，</w:t>
      </w:r>
      <w:r>
        <w:rPr>
          <w:rFonts w:hint="eastAsia" w:ascii="宋体" w:hAnsi="宋体"/>
          <w:color w:val="000000"/>
          <w:sz w:val="24"/>
          <w:szCs w:val="24"/>
          <w:highlight w:val="none"/>
        </w:rPr>
        <w:t xml:space="preserve">包括但不限于父亲，母亲，哥哥，姐姐等亲属关系，以及同事，领导等社会关系</w:t>
      </w:r>
      <w:r>
        <w:rPr>
          <w:rFonts w:hint="eastAsia" w:ascii="宋体" w:hAnsi="宋体"/>
          <w:color w:val="000000"/>
          <w:sz w:val="24"/>
          <w:szCs w:val="24"/>
          <w:highlight w:val="none"/>
        </w:rPr>
        <w:t xml:space="preserve">。并且人际关系支持自动进行双向绑定。</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支持自定义建立标签分类，标签名称及标签颜色，对客户档案进行标记，对客户人群进行分类管理。</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支持医护人员关注指定客户档案，并添加关注原因，支持</w:t>
      </w:r>
      <w:r>
        <w:rPr>
          <w:rFonts w:hint="eastAsia" w:ascii="宋体" w:hAnsi="宋体"/>
          <w:color w:val="000000"/>
          <w:sz w:val="24"/>
          <w:szCs w:val="24"/>
          <w:highlight w:val="none"/>
        </w:rPr>
        <w:t xml:space="preserve">在“我的关注”页</w:t>
      </w:r>
      <w:r>
        <w:rPr>
          <w:rFonts w:hint="eastAsia" w:ascii="宋体" w:hAnsi="宋体"/>
          <w:color w:val="000000"/>
          <w:sz w:val="24"/>
          <w:szCs w:val="24"/>
          <w:highlight w:val="none"/>
        </w:rPr>
        <w:t xml:space="preserve">签下查看在其他流程中添加的关注原因。</w:t>
      </w:r>
      <w:r>
        <w:rPr>
          <w:rFonts w:ascii="宋体" w:hAnsi="宋体"/>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黑名单：医生可以记录此类人员信息，记录以后此人自带特殊人员属性，其他医生都能看到此人的黑名单标记及相关记录信息。</w:t>
      </w:r>
      <w:r>
        <w:rPr>
          <w:rFonts w:ascii="宋体" w:hAnsi="宋体"/>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特别关注：医生可以记录此类人员信息，记录以后此人自带特殊人员属性，其他医生都能看到此人的特别关注标记及相关记录信息。</w:t>
      </w:r>
      <w:r>
        <w:rPr>
          <w:rFonts w:ascii="宋体" w:hAnsi="宋体"/>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随访干预模板管理</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支持自定义维护随访干预模板，或不同等级重要异常结果的随访模板。可自定义设置随访模板的等级，标签，以及分类。</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支持自定义配置每个模板的子任务，包含执行时间，执行方式，随访问卷，短信模板及指定执行人。</w:t>
      </w:r>
      <w:r>
        <w:rPr>
          <w:rFonts w:ascii="宋体" w:hAnsi="宋体"/>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随访计划创建</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支持根据客户订单或客户档案手动建立随访计划，计划可自定义配置医生交代，子任务，如指定每次任务的执行日期，执行方式（电话，短信，微信等），随访问卷，短信模板。（</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支持根据用户等级进行判断，自动生成随访任务。</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支持自定义配置每次随访子任务的询问内容以及需要发送的短信模板。</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随访计划分类支持自定义配置，如：慢病随访，普通随访，危重随访等。</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支持在手动创建随访时快捷选择随访模板，快捷填入随访子任务，无需手动添加。</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支持根据客户结果自动创建随访计划，并根据不同等级的重要异常结果，按照不同规则创建随访计划。</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支持在创建随访时，自动合并同一人的多个随访计划，防止数据冗余，随访子任务重复。</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支持通过绑定并填写问卷扩展随访计划属性，绑定更多客户信息如疾病史，结节详细信息等，方便后期跟踪随访时能够有更详细参考依据。</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支持创建随访时，手动或自动绑定体检结果，作为后续随访计划的判断依据。</w:t>
      </w:r>
      <w:r>
        <w:rPr>
          <w:rFonts w:ascii="宋体" w:hAnsi="宋体"/>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随访工作台</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支持查看当前随访老师的待执行任务数量，已执行任务数量统计，以及未来任务数量趋势图。</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支持按照日期，分类快捷筛选指定随访计划。</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支持自定义配置工作台需要展示的快捷功能如：客户档案，新建随访，干预模板，我的任务</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支持在随访时自定义选择三次体检结果进行横向对比。</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支持在随访时查看客户体检总结信息，诊断建议，历史随访记录及所有问卷信息。</w:t>
      </w:r>
      <w:r>
        <w:rPr>
          <w:rFonts w:ascii="宋体" w:hAnsi="宋体"/>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呼叫中心功能：系统内置呼叫中心，能够和指定厂家座机电话进行连接，控制座机电话拨号，挂断功能，在软件界面上鼠标点击打电话功能按钮就能自动拨号，解决传统手动拨号的繁琐和容易拨错电话的问题。</w:t>
      </w:r>
      <w:r>
        <w:rPr>
          <w:rFonts w:ascii="宋体" w:hAnsi="宋体"/>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自动录音：随访电话拨出后自动开始录音，记录随访内容，方便追溯纠纷。</w:t>
      </w:r>
      <w:r>
        <w:rPr>
          <w:rFonts w:ascii="宋体" w:hAnsi="宋体"/>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随访计划管理</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支持针对随访计划进行手动平均分配，转移，编辑，删除，中止。</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随访计划支持进行自动平均分配，或某科室某项目的重要异常随访指定分配某随访专员。</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随访计划支持在随访过程中编辑子任务，删除某次任务，或根据随访情况继续新增随访子任务。</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随访计划列表支持查看子任务处理状态，子任务处理方式。</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在随访计划详情页中，体检结果页签支持查看展示所有状态的体检结果内容。</w:t>
      </w:r>
      <w:r>
        <w:rPr>
          <w:rFonts w:ascii="宋体" w:hAnsi="宋体"/>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短信随访</w:t>
      </w:r>
      <w:r>
        <w:rPr>
          <w:rFonts w:ascii="宋体" w:hAnsi="宋体"/>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支持执行方式为短信的随访子任务，自动执行，自动发送，无需人工触发。</w:t>
      </w:r>
      <w:r>
        <w:rPr>
          <w:rFonts w:ascii="宋体" w:hAnsi="宋体"/>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支持对接医院短信管理平台，支持在每次随访时都可选择短信手动发送。</w:t>
      </w:r>
      <w:r>
        <w:rPr>
          <w:rFonts w:ascii="宋体" w:hAnsi="宋体"/>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s="宋体"/>
          <w:color w:val="000000"/>
          <w:sz w:val="22"/>
          <w:highlight w:val="none"/>
        </w:rPr>
        <w:t xml:space="preserve"> </w:t>
      </w:r>
      <w:r>
        <w:rPr>
          <w:rFonts w:hint="eastAsia" w:ascii="宋体" w:hAnsi="宋体"/>
          <w:color w:val="000000"/>
          <w:sz w:val="24"/>
          <w:szCs w:val="24"/>
          <w:highlight w:val="none"/>
        </w:rPr>
        <w:t xml:space="preserve">微信随访：支持对接医院短信管理平台，支持根据子任务配置的执行时间，问卷信息，自动推送客户微信消息。并且可支持客户微信填写问卷完成并随访。（备注：内容需提供系统截图证明。）</w:t>
      </w:r>
      <w:r>
        <w:rPr>
          <w:rFonts w:ascii="宋体" w:hAnsi="宋体"/>
          <w:color w:val="000000"/>
          <w:sz w:val="24"/>
          <w:szCs w:val="24"/>
          <w:highlight w:val="none"/>
        </w:rPr>
      </w:r>
      <w:r/>
    </w:p>
    <w:p>
      <w:pPr>
        <w:pStyle w:val="664"/>
        <w:numPr>
          <w:ilvl w:val="0"/>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随访关注</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针对危急值或重大异常结果或VIP客户或电话未接通的体检者，可手动添加随访关注，方便后期快速找到其信息。支持对vip客户自动添加随访任务。</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支持按照客户档案关注的人员，展示对应所有的随访计划，方便快捷管理指定客户。</w:t>
      </w:r>
      <w:r>
        <w:rPr>
          <w:rFonts w:ascii="宋体" w:hAnsi="宋体"/>
          <w:color w:val="000000"/>
          <w:sz w:val="24"/>
          <w:szCs w:val="24"/>
          <w:highlight w:val="none"/>
        </w:rPr>
      </w:r>
      <w:r/>
    </w:p>
    <w:p>
      <w:pPr>
        <w:pStyle w:val="664"/>
        <w:numPr>
          <w:ilvl w:val="1"/>
          <w:numId w:val="8"/>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支持在随访进度发生更新，或者到达随访计划时间时对关注人员，随访人员发送系统内消息提醒。</w:t>
      </w:r>
      <w:r>
        <w:rPr>
          <w:rFonts w:ascii="宋体" w:hAnsi="宋体"/>
          <w:color w:val="000000"/>
          <w:sz w:val="24"/>
          <w:szCs w:val="24"/>
          <w:highlight w:val="none"/>
        </w:rPr>
      </w:r>
      <w:r/>
    </w:p>
    <w:p>
      <w:pPr>
        <w:pStyle w:val="713"/>
        <w:rPr>
          <w:color w:val="000000"/>
          <w:highlight w:val="none"/>
        </w:rPr>
      </w:pPr>
      <w:r>
        <w:rPr>
          <w:color w:val="000000"/>
          <w:highlight w:val="none"/>
        </w:rPr>
      </w:r>
      <w:r/>
    </w:p>
    <w:p>
      <w:pPr>
        <w:pStyle w:val="664"/>
        <w:ind w:firstLine="482"/>
        <w:spacing w:line="264" w:lineRule="auto"/>
        <w:rPr>
          <w:rFonts w:ascii="宋体" w:hAnsi="宋体"/>
          <w:b/>
          <w:color w:val="000000"/>
          <w:sz w:val="24"/>
          <w:szCs w:val="24"/>
          <w:highlight w:val="none"/>
        </w:rPr>
      </w:pPr>
      <w:r/>
      <w:bookmarkStart w:id="25" w:name="OLE_LINK6"/>
      <w:r>
        <w:rPr>
          <w:rFonts w:hint="eastAsia" w:ascii="宋体" w:hAnsi="宋体"/>
          <w:b/>
          <w:color w:val="000000"/>
          <w:sz w:val="24"/>
          <w:szCs w:val="24"/>
          <w:highlight w:val="none"/>
        </w:rPr>
        <w:t xml:space="preserve">全流程智能导诊</w:t>
      </w:r>
      <w:bookmarkEnd w:id="25"/>
      <w:r>
        <w:rPr>
          <w:rFonts w:hint="eastAsia" w:ascii="宋体" w:hAnsi="宋体"/>
          <w:b/>
          <w:color w:val="000000"/>
          <w:sz w:val="24"/>
          <w:szCs w:val="24"/>
          <w:highlight w:val="none"/>
        </w:rPr>
        <w:tab/>
      </w:r>
      <w:r>
        <w:rPr>
          <w:rFonts w:ascii="宋体" w:hAnsi="宋体"/>
          <w:b/>
          <w:color w:val="000000"/>
          <w:sz w:val="24"/>
          <w:szCs w:val="24"/>
          <w:highlight w:val="none"/>
        </w:rPr>
      </w:r>
      <w:r/>
    </w:p>
    <w:p>
      <w:pPr>
        <w:pStyle w:val="664"/>
        <w:numPr>
          <w:ilvl w:val="0"/>
          <w:numId w:val="9"/>
        </w:numPr>
        <w:spacing w:line="264" w:lineRule="auto"/>
        <w:rPr>
          <w:rFonts w:ascii="宋体" w:hAnsi="宋体"/>
          <w:b/>
          <w:bCs/>
          <w:color w:val="000000"/>
          <w:sz w:val="24"/>
          <w:szCs w:val="24"/>
          <w:highlight w:val="none"/>
        </w:rPr>
      </w:pPr>
      <w:r>
        <w:rPr>
          <w:rFonts w:hint="eastAsia" w:ascii="宋体" w:hAnsi="宋体"/>
          <w:color w:val="000000"/>
          <w:sz w:val="24"/>
          <w:szCs w:val="24"/>
          <w:highlight w:val="none"/>
        </w:rPr>
        <w:t xml:space="preserve">★微信端管理功能：提供管理者能在微信端查询、管控健康管理中心的日常运作，可统计日检量、性别比例、评价记录及回复等功能。</w:t>
      </w:r>
      <w:r>
        <w:rPr>
          <w:rFonts w:hint="eastAsia" w:ascii="宋体" w:hAnsi="宋体"/>
          <w:b/>
          <w:bCs/>
          <w:color w:val="000000"/>
          <w:sz w:val="24"/>
          <w:szCs w:val="24"/>
          <w:highlight w:val="none"/>
        </w:rPr>
        <w:t xml:space="preserve">（备注：内容需提供系统截图证明，否则作无效投标处理。）</w:t>
      </w:r>
      <w:r>
        <w:rPr>
          <w:rFonts w:ascii="宋体" w:hAnsi="宋体"/>
          <w:b/>
          <w:bCs/>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预警提示</w:t>
      </w:r>
      <w:r>
        <w:rPr>
          <w:rFonts w:hint="eastAsia" w:ascii="宋体" w:hAnsi="宋体"/>
          <w:color w:val="000000"/>
          <w:sz w:val="24"/>
          <w:szCs w:val="24"/>
          <w:highlight w:val="none"/>
        </w:rPr>
        <w:t xml:space="preserve">：区域、业务、诊室、瓶颈项目饱和度超过阈值时管理者会收到预警信息，从而方便管理者调整人员应对现场状况。</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弹性化</w:t>
      </w:r>
      <w:r>
        <w:rPr>
          <w:rFonts w:hint="eastAsia" w:ascii="宋体" w:hAnsi="宋体"/>
          <w:color w:val="000000"/>
          <w:sz w:val="24"/>
          <w:szCs w:val="24"/>
          <w:highlight w:val="none"/>
        </w:rPr>
        <w:t xml:space="preserve">参数</w:t>
      </w:r>
      <w:r>
        <w:rPr>
          <w:rFonts w:hint="eastAsia" w:ascii="宋体" w:hAnsi="宋体"/>
          <w:color w:val="000000"/>
          <w:sz w:val="24"/>
          <w:szCs w:val="24"/>
          <w:highlight w:val="none"/>
        </w:rPr>
        <w:t xml:space="preserve">：系统可自动动态调整参数，当达到阈值时自动触发更改相关参数设置，</w:t>
      </w:r>
      <w:r>
        <w:rPr>
          <w:rFonts w:hint="eastAsia" w:ascii="宋体" w:hAnsi="宋体"/>
          <w:color w:val="000000"/>
          <w:sz w:val="24"/>
          <w:szCs w:val="24"/>
          <w:highlight w:val="none"/>
        </w:rPr>
        <w:t xml:space="preserve">让导检更加智能。</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效用最大化：充分利用场地、硬件设备，诊间屏幕不同时段，显示不同内容，比如上午体检、中午宣教、下午门诊。</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VIP优先原则：可设置优先人群，多级VIP、虚拟占位等，优先检查相关项目。（</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瓶颈项目独立原则：瓶颈项目独立队列，并可设置检查上限。</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首站提示</w:t>
      </w:r>
      <w:r>
        <w:rPr>
          <w:rFonts w:hint="eastAsia" w:ascii="宋体" w:hAnsi="宋体"/>
          <w:color w:val="000000"/>
          <w:sz w:val="24"/>
          <w:szCs w:val="24"/>
          <w:highlight w:val="none"/>
        </w:rPr>
        <w:t xml:space="preserve">：体检者登记成功后，首站检查科室多种提示方式：支持显示在大厅屏幕，并语音播报；支持利用手机短信、微信等发送首站检查科室信息；支持提供免费接口，打印到检查指引单。</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客户偏好：支持根据体检者个人偏好，分配符合偏好的诊室，如男性医生或女性医生，或特定诊室。</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客户类型设定：</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支持自定义客户类型，比如军人、老人孕妇、残疾人；</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支持客户类型配置相应的插队模式，比如空腹插队、直接插队、虚拟插队；</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支持客户类型定义专属图标，并显示在导检台、呼叫器、显示屏等。</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灵活过号处理：支持过号自动退位 N 位 N 次后冻结人员，解冻可在导检台、自助机等多种手段解除迟到状态。</w:t>
      </w:r>
      <w:r>
        <w:rPr>
          <w:rFonts w:ascii="宋体" w:hAnsi="宋体"/>
          <w:color w:val="000000"/>
          <w:sz w:val="24"/>
          <w:szCs w:val="24"/>
          <w:highlight w:val="none"/>
        </w:rPr>
      </w:r>
      <w:r/>
    </w:p>
    <w:p>
      <w:pPr>
        <w:pStyle w:val="664"/>
        <w:numPr>
          <w:ilvl w:val="0"/>
          <w:numId w:val="9"/>
        </w:numPr>
        <w:spacing w:line="264" w:lineRule="auto"/>
        <w:rPr>
          <w:rFonts w:ascii="宋体" w:hAnsi="宋体"/>
          <w:b/>
          <w:bCs/>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独立队列排队：</w:t>
      </w:r>
      <w:r>
        <w:rPr>
          <w:rFonts w:hint="eastAsia" w:ascii="宋体" w:hAnsi="宋体" w:cs="宋体"/>
          <w:color w:val="000000"/>
          <w:sz w:val="22"/>
          <w:highlight w:val="none"/>
        </w:rPr>
        <w:t xml:space="preserve">（</w:t>
      </w:r>
      <w:r>
        <w:rPr>
          <w:rFonts w:hint="eastAsia" w:ascii="宋体" w:hAnsi="宋体"/>
          <w:b/>
          <w:color w:val="000000"/>
          <w:sz w:val="24"/>
          <w:szCs w:val="24"/>
          <w:highlight w:val="none"/>
        </w:rPr>
        <w:t xml:space="preserve">备注：内容需提供系统截图证明。</w:t>
      </w:r>
      <w:r>
        <w:rPr>
          <w:rFonts w:hint="eastAsia" w:ascii="宋体" w:hAnsi="宋体" w:cs="宋体"/>
          <w:color w:val="000000"/>
          <w:sz w:val="22"/>
          <w:highlight w:val="none"/>
        </w:rPr>
        <w:t xml:space="preserve">）</w:t>
      </w:r>
      <w:r>
        <w:rPr>
          <w:rFonts w:ascii="宋体" w:hAnsi="宋体"/>
          <w:b/>
          <w:bCs/>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支持按照登记先后顺序独立排队；</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支持按照预约号先后顺序排队；</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独立排队的同时，在全流程并行排队，并能相互指引；</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根据体检者喜好，自行从全流程切换到独立队列，切换途径有自助机、导检台、微信、带扫描功能的显示屏等。</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复检功能：（</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支持科室检查需要复检的功能，比如B超需要憋尿，等憋尿好了后再进入科室；</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支持自助机，导检台、微信、带扫描的显示综合屏等多种途径复查进入复查科室的自定义的位置，并在导检台、呼叫器、显示屏等显示该客户复查的状态；</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支持忘记复检的客户，完成最后一项检查后，自动按照复检规则返回科室；</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支持设置复检间隔时间，达到时间后优先返回复检科室。</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登记数量预警及控制：</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支持导检台实时查看单个或多个业务的登记人数，超过预警人数在导检台对指定工作人员发送消息提醒，如采血业务超过100人时向1楼导检护士发送预警；</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支持触发预警后登记客户项目自动改期检查；</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支持彩超根据部位总数或部位权重累计值来限制彩超的当天整体可检查数量；</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支持在导检台临时关闭或开启业务自动改期。</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二次分检功能：</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支持自定义配置检查等候区（父队列），等候区的体检者自动分流到各个检查科室（等候区的子队列）；</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支持自定义配置各个检查科室（子队列）的检查规则，让等候区的体检者根据规则自动分流到适合的科室，例如检查科室检查的性别、拒检的项目、接待的客户类型等；</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等候区的体检者不能在一个科室一次检查完成，可以在该等候区的多个检查科室（子队列）分别检查后前往其他科室。</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检查人数控制及提醒：</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w:t>
      </w:r>
      <w:r>
        <w:rPr>
          <w:rFonts w:hint="eastAsia" w:ascii="宋体" w:hAnsi="宋体"/>
          <w:color w:val="000000"/>
          <w:sz w:val="24"/>
          <w:szCs w:val="24"/>
          <w:highlight w:val="none"/>
        </w:rPr>
        <w:t xml:space="preserve">体检中心</w:t>
      </w:r>
      <w:r>
        <w:rPr>
          <w:rFonts w:hint="eastAsia" w:ascii="宋体" w:hAnsi="宋体"/>
          <w:color w:val="000000"/>
          <w:sz w:val="24"/>
          <w:szCs w:val="24"/>
          <w:highlight w:val="none"/>
        </w:rPr>
        <w:t xml:space="preserve">体检总数的控制及提醒；</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支持自定义多个瓶颈项目的体检人数的控制及提醒；</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支持体检中心部分区域的体检人数控制及提醒；</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支持医生的检查部位的数量的控制及明细查看。</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ascii="宋体" w:hAnsi="宋体" w:cs="宋体"/>
          <w:color w:val="000000"/>
          <w:sz w:val="22"/>
          <w:highlight w:val="none"/>
        </w:rPr>
        <w:t xml:space="preserve">▲</w:t>
      </w:r>
      <w:r>
        <w:rPr>
          <w:rFonts w:hint="eastAsia" w:ascii="宋体" w:hAnsi="宋体"/>
          <w:color w:val="000000"/>
          <w:sz w:val="24"/>
          <w:szCs w:val="24"/>
          <w:highlight w:val="none"/>
        </w:rPr>
        <w:t xml:space="preserve">组队体检：（</w:t>
      </w:r>
      <w:r>
        <w:rPr>
          <w:rFonts w:hint="eastAsia" w:ascii="宋体" w:hAnsi="宋体"/>
          <w:b/>
          <w:color w:val="000000"/>
          <w:sz w:val="24"/>
          <w:szCs w:val="24"/>
          <w:highlight w:val="none"/>
        </w:rPr>
        <w:t xml:space="preserve">备注：内容需提供系统截图证明。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支持组队体检，设置领队及伴检人员，伴检人员跟随领队前往同一检查科室，适用于公务员招聘及家庭成员伴随体检；</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支持队员的入队离队，队长更换。</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color w:val="000000"/>
          <w:sz w:val="24"/>
          <w:szCs w:val="24"/>
          <w:highlight w:val="none"/>
        </w:rPr>
        <w:t xml:space="preserve">支持医生的拒检项目的设置，比如医生没心脏彩超的检</w:t>
      </w:r>
      <w:r>
        <w:rPr>
          <w:color w:val="000000"/>
          <w:spacing w:val="-3"/>
          <w:sz w:val="24"/>
          <w:szCs w:val="24"/>
          <w:highlight w:val="none"/>
        </w:rPr>
        <w:t xml:space="preserve">查资质，支持诊室的拒检项目的设置，比如诊室的检查设备不</w:t>
      </w:r>
      <w:r>
        <w:rPr>
          <w:color w:val="000000"/>
          <w:spacing w:val="-4"/>
          <w:sz w:val="24"/>
          <w:szCs w:val="24"/>
          <w:highlight w:val="none"/>
        </w:rPr>
        <w:t xml:space="preserve">支持，体检人员可以通过手机自行完成项目拒检。</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消息提醒：</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支持体检后自定义延时提醒，</w:t>
      </w:r>
      <w:r>
        <w:rPr>
          <w:rFonts w:hint="eastAsia" w:ascii="宋体" w:hAnsi="宋体"/>
          <w:color w:val="000000"/>
          <w:sz w:val="24"/>
          <w:szCs w:val="24"/>
          <w:highlight w:val="none"/>
        </w:rPr>
        <w:t xml:space="preserve">比如呼气试验吃药后15分钟发送吹气提醒</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支持进入科室发送检查科室的温馨提醒；</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支持抵达指定位置后的即将检查的提醒信息；</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支持进入指定区域后的信息提示；</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呼叫功能：</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支持呼叫，重呼，过号，完成等基本操作功能；</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支持多种呼叫模式，包括顺序依次呼叫、完成当前呼叫同时呼叫下一位、重呼、重置状态依次呼叫；</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支持选择性呼叫；</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支持一次同时呼叫多个体检者，可设置呼叫数量；</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支持已完成体检者返回科室；</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支持不呼叫含特定项目的体检者；</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支持自动呼叫，可自定义呼叫间隔时间。</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客户标识：</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支持呼叫列表显示客户类型图标，如军人、老人、孕妇、残疾人等特殊群体；</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支持呼叫列表显示客户状态图标及文字，如正常、迟到、锁定、未签到、就餐状态等；</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支持呼叫列表显示客户性别图标。</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医院科室评价：</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支持对本次体检整体进行星级打分及评价；</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支持对已检查科室进行多维星级打分及评价，包括医生技能、科室环境及服务态度；</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支持匿名评价；</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支持体检完成后提示体检者对本次体检进行评价</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客户端评价管理：</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支持医院及科室评价数据查看、回复及导出；</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支持控评；</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支持未评价者默认好评；</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支持查看体检人数，微信使用人数，微信评价人数，微信使用率，参与评价率趋势图；</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支持查看医院及科室评价星级汇总图。</w:t>
      </w:r>
      <w:r>
        <w:rPr>
          <w:rFonts w:ascii="宋体" w:hAnsi="宋体"/>
          <w:color w:val="000000"/>
          <w:sz w:val="24"/>
          <w:szCs w:val="24"/>
          <w:highlight w:val="none"/>
        </w:rPr>
      </w:r>
      <w:r/>
    </w:p>
    <w:p>
      <w:pPr>
        <w:pStyle w:val="664"/>
        <w:numPr>
          <w:ilvl w:val="0"/>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历史记录：</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支持体检者查看过往的体检记录；</w:t>
      </w:r>
      <w:r>
        <w:rPr>
          <w:rFonts w:ascii="宋体" w:hAnsi="宋体"/>
          <w:color w:val="000000"/>
          <w:sz w:val="24"/>
          <w:szCs w:val="24"/>
          <w:highlight w:val="none"/>
        </w:rPr>
      </w:r>
      <w:r/>
    </w:p>
    <w:p>
      <w:pPr>
        <w:pStyle w:val="664"/>
        <w:numPr>
          <w:ilvl w:val="1"/>
          <w:numId w:val="9"/>
        </w:numPr>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支持体检者查看过往的体检评价信息。</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ascii="宋体" w:hAnsi="宋体"/>
          <w:color w:val="000000"/>
          <w:sz w:val="24"/>
          <w:szCs w:val="24"/>
          <w:highlight w:val="none"/>
        </w:rPr>
      </w:r>
      <w:r/>
    </w:p>
    <w:p>
      <w:pPr>
        <w:pStyle w:val="664"/>
        <w:ind w:firstLine="482"/>
        <w:spacing w:line="264" w:lineRule="auto"/>
        <w:rPr>
          <w:rFonts w:ascii="宋体" w:hAnsi="宋体"/>
          <w:b/>
          <w:color w:val="000000"/>
          <w:sz w:val="24"/>
          <w:szCs w:val="24"/>
          <w:highlight w:val="none"/>
        </w:rPr>
      </w:pPr>
      <w:r>
        <w:rPr>
          <w:rFonts w:hint="eastAsia" w:ascii="宋体" w:hAnsi="宋体"/>
          <w:b/>
          <w:color w:val="000000"/>
          <w:sz w:val="24"/>
          <w:szCs w:val="24"/>
          <w:highlight w:val="none"/>
        </w:rPr>
        <w:t xml:space="preserve">配套硬件参数</w:t>
      </w:r>
      <w:r>
        <w:rPr>
          <w:rFonts w:hint="eastAsia" w:ascii="宋体" w:hAnsi="宋体"/>
          <w:b/>
          <w:color w:val="000000"/>
          <w:sz w:val="24"/>
          <w:szCs w:val="24"/>
          <w:highlight w:val="none"/>
        </w:rPr>
        <w:t xml:space="preserve">（以下硬件参数为最低标准，厂家可以提供更高配置）</w:t>
      </w:r>
      <w:r>
        <w:rPr>
          <w:rFonts w:ascii="宋体" w:hAnsi="宋体"/>
          <w:b/>
          <w:color w:val="000000"/>
          <w:sz w:val="24"/>
          <w:szCs w:val="24"/>
          <w:highlight w:val="none"/>
        </w:rPr>
      </w:r>
      <w:r/>
    </w:p>
    <w:p>
      <w:pPr>
        <w:pStyle w:val="664"/>
        <w:ind w:firstLine="482"/>
        <w:spacing w:line="264" w:lineRule="auto"/>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rPr>
        <w:tab/>
      </w:r>
      <w:r>
        <w:rPr>
          <w:rFonts w:hint="eastAsia" w:ascii="宋体" w:hAnsi="宋体"/>
          <w:b/>
          <w:color w:val="000000"/>
          <w:sz w:val="24"/>
          <w:szCs w:val="24"/>
          <w:highlight w:val="none"/>
        </w:rPr>
        <w:t xml:space="preserve">21.5寸体检导诊屏   22台</w:t>
      </w:r>
      <w:r>
        <w:rPr>
          <w:rFonts w:ascii="宋体" w:hAnsi="宋体"/>
          <w:b/>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操作系统：</w:t>
      </w:r>
      <w:r>
        <w:rPr>
          <w:rFonts w:hint="eastAsia" w:ascii="宋体" w:hAnsi="宋体"/>
          <w:color w:val="000000"/>
          <w:sz w:val="24"/>
          <w:szCs w:val="24"/>
          <w:highlight w:val="none"/>
        </w:rPr>
        <w:t xml:space="preserve">Android 10.0及以上</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屏幕尺寸：21.5寸；</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最大分辨率：1920×1080；</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响应时间：&lt;5ms；</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接口：≥2xUSB2.0, 1xTF, 1xHDMI,  1xLAN；</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电源：AC100V--240V  50/60Hz；功耗：≤48W；待机功耗：≤1W；</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音响：</w:t>
      </w:r>
      <w:r>
        <w:rPr>
          <w:rFonts w:ascii="宋体" w:hAnsi="宋体"/>
          <w:color w:val="000000"/>
          <w:sz w:val="24"/>
          <w:szCs w:val="24"/>
          <w:highlight w:val="none"/>
        </w:rPr>
        <w:t xml:space="preserve">8Ω</w:t>
      </w:r>
      <w:r>
        <w:rPr>
          <w:rFonts w:hint="eastAsia" w:ascii="宋体" w:hAnsi="宋体"/>
          <w:color w:val="000000"/>
          <w:sz w:val="24"/>
          <w:szCs w:val="24"/>
          <w:highlight w:val="none"/>
        </w:rPr>
        <w:t xml:space="preserve">3W+</w:t>
      </w:r>
      <w:r>
        <w:rPr>
          <w:rFonts w:ascii="宋体" w:hAnsi="宋体"/>
          <w:color w:val="000000"/>
          <w:sz w:val="24"/>
          <w:szCs w:val="24"/>
          <w:highlight w:val="none"/>
        </w:rPr>
        <w:t xml:space="preserve">8Ω</w:t>
      </w:r>
      <w:r>
        <w:rPr>
          <w:rFonts w:hint="eastAsia" w:ascii="宋体" w:hAnsi="宋体"/>
          <w:color w:val="000000"/>
          <w:sz w:val="24"/>
          <w:szCs w:val="24"/>
          <w:highlight w:val="none"/>
        </w:rPr>
        <w:t xml:space="preserve">3W；</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联网方式：有线；CPU：四核及以上；</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内存：≥</w:t>
      </w:r>
      <w:r>
        <w:rPr>
          <w:rFonts w:hint="eastAsia" w:ascii="宋体" w:hAnsi="宋体"/>
          <w:b/>
          <w:color w:val="000000"/>
          <w:sz w:val="24"/>
          <w:szCs w:val="24"/>
          <w:highlight w:val="none"/>
        </w:rPr>
        <w:t xml:space="preserve">2G</w:t>
      </w:r>
      <w:r>
        <w:rPr>
          <w:rFonts w:hint="eastAsia" w:ascii="宋体" w:hAnsi="宋体"/>
          <w:color w:val="000000"/>
          <w:sz w:val="24"/>
          <w:szCs w:val="24"/>
          <w:highlight w:val="none"/>
        </w:rPr>
        <w:t xml:space="preserve">B；网卡：百兆；存储：≥3</w:t>
      </w:r>
      <w:r>
        <w:rPr>
          <w:rFonts w:hint="eastAsia" w:ascii="宋体" w:hAnsi="宋体"/>
          <w:b/>
          <w:color w:val="000000"/>
          <w:sz w:val="24"/>
          <w:szCs w:val="24"/>
          <w:highlight w:val="none"/>
        </w:rPr>
        <w:t xml:space="preserve">2GB</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ind w:firstLine="482"/>
        <w:spacing w:line="264" w:lineRule="auto"/>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hint="eastAsia" w:ascii="宋体" w:hAnsi="宋体"/>
          <w:b/>
          <w:color w:val="000000"/>
          <w:sz w:val="24"/>
          <w:szCs w:val="24"/>
          <w:highlight w:val="none"/>
        </w:rPr>
        <w:tab/>
      </w:r>
      <w:r>
        <w:rPr>
          <w:rFonts w:hint="eastAsia" w:ascii="宋体" w:hAnsi="宋体"/>
          <w:b/>
          <w:color w:val="000000"/>
          <w:sz w:val="24"/>
          <w:szCs w:val="24"/>
          <w:highlight w:val="none"/>
        </w:rPr>
        <w:t xml:space="preserve">10.1寸采血平板    3台</w:t>
      </w:r>
      <w:r>
        <w:rPr>
          <w:rFonts w:ascii="宋体" w:hAnsi="宋体"/>
          <w:b/>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操作系统：</w:t>
      </w:r>
      <w:r>
        <w:rPr>
          <w:rFonts w:hint="eastAsia" w:ascii="宋体" w:hAnsi="宋体"/>
          <w:color w:val="000000"/>
          <w:sz w:val="24"/>
          <w:szCs w:val="24"/>
          <w:highlight w:val="none"/>
        </w:rPr>
        <w:t xml:space="preserve">Android  10.0及以上;</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屏幕尺寸：10.1寸；10点电容式触摸；</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最大分辨率：800×1280；</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响应时间：&lt;5ms；</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接口：≥2xUSB2.0, 1xTF, 1xHDMI ；</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电源：DC 5V/2A  50/60Hz；功耗：≤30W；待机功耗：≤1W；</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音响：1W+1W；</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联网方式：有线/无线；CPU：四核及以上；</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内存：</w:t>
      </w:r>
      <w:bookmarkStart w:id="26" w:name="OLE_LINK3"/>
      <w:r>
        <w:rPr>
          <w:rFonts w:hint="eastAsia" w:ascii="宋体" w:hAnsi="宋体"/>
          <w:color w:val="000000"/>
          <w:sz w:val="24"/>
          <w:szCs w:val="24"/>
          <w:highlight w:val="none"/>
        </w:rPr>
        <w:t xml:space="preserve">≥</w:t>
      </w:r>
      <w:bookmarkEnd w:id="26"/>
      <w:r>
        <w:rPr>
          <w:rFonts w:hint="eastAsia" w:ascii="宋体" w:hAnsi="宋体"/>
          <w:b/>
          <w:color w:val="000000"/>
          <w:sz w:val="24"/>
          <w:szCs w:val="24"/>
          <w:highlight w:val="none"/>
        </w:rPr>
        <w:t xml:space="preserve">2GB</w:t>
      </w:r>
      <w:r>
        <w:rPr>
          <w:rFonts w:hint="eastAsia" w:ascii="宋体" w:hAnsi="宋体"/>
          <w:color w:val="000000"/>
          <w:sz w:val="24"/>
          <w:szCs w:val="24"/>
          <w:highlight w:val="none"/>
        </w:rPr>
        <w:t xml:space="preserve">；网卡：千兆；存储：≥3</w:t>
      </w:r>
      <w:r>
        <w:rPr>
          <w:rFonts w:hint="eastAsia" w:ascii="宋体" w:hAnsi="宋体"/>
          <w:b/>
          <w:color w:val="000000"/>
          <w:sz w:val="24"/>
          <w:szCs w:val="24"/>
          <w:highlight w:val="none"/>
        </w:rPr>
        <w:t xml:space="preserve">2GB</w:t>
      </w:r>
      <w:r>
        <w:rPr>
          <w:rFonts w:hint="eastAsia" w:ascii="宋体" w:hAnsi="宋体"/>
          <w:color w:val="000000"/>
          <w:sz w:val="24"/>
          <w:szCs w:val="24"/>
          <w:highlight w:val="none"/>
        </w:rPr>
        <w:t xml:space="preserve">；前置200W摄像头。</w:t>
      </w:r>
      <w:r>
        <w:rPr>
          <w:rFonts w:ascii="宋体" w:hAnsi="宋体"/>
          <w:color w:val="000000"/>
          <w:sz w:val="24"/>
          <w:szCs w:val="24"/>
          <w:highlight w:val="none"/>
        </w:rPr>
      </w:r>
      <w:r/>
    </w:p>
    <w:p>
      <w:pPr>
        <w:pStyle w:val="664"/>
        <w:ind w:firstLine="482"/>
        <w:spacing w:line="264" w:lineRule="auto"/>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rPr>
        <w:tab/>
      </w:r>
      <w:r>
        <w:rPr>
          <w:rFonts w:hint="eastAsia" w:ascii="宋体" w:hAnsi="宋体"/>
          <w:b/>
          <w:color w:val="000000"/>
          <w:sz w:val="24"/>
          <w:szCs w:val="24"/>
          <w:highlight w:val="none"/>
        </w:rPr>
        <w:t xml:space="preserve">55寸综合显示屏  2台</w:t>
      </w:r>
      <w:r>
        <w:rPr>
          <w:rFonts w:ascii="宋体" w:hAnsi="宋体"/>
          <w:b/>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操作系统:</w:t>
      </w:r>
      <w:r>
        <w:rPr>
          <w:rFonts w:hint="eastAsia" w:ascii="宋体" w:hAnsi="宋体"/>
          <w:color w:val="000000"/>
          <w:sz w:val="24"/>
          <w:szCs w:val="24"/>
          <w:highlight w:val="none"/>
        </w:rPr>
        <w:t xml:space="preserve">Android  9.0及以上</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屏幕尺寸：55寸；屏幕比例16:9;</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屏幕分辨率:超高清4K</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存储内存：≥3</w:t>
      </w:r>
      <w:r>
        <w:rPr>
          <w:rFonts w:hint="eastAsia" w:ascii="宋体" w:hAnsi="宋体"/>
          <w:b/>
          <w:color w:val="000000"/>
          <w:sz w:val="24"/>
          <w:szCs w:val="24"/>
          <w:highlight w:val="none"/>
        </w:rPr>
        <w:t xml:space="preserve">2G</w:t>
      </w:r>
      <w:r>
        <w:rPr>
          <w:rFonts w:hint="eastAsia" w:ascii="宋体" w:hAnsi="宋体"/>
          <w:color w:val="000000"/>
          <w:sz w:val="24"/>
          <w:szCs w:val="24"/>
          <w:highlight w:val="none"/>
        </w:rPr>
        <w:t xml:space="preserve">B   CPU架构：四核A35 运行内存：RAM:</w:t>
      </w:r>
      <w:r>
        <w:rPr>
          <w:rFonts w:hint="eastAsia" w:ascii="宋体" w:hAnsi="宋体"/>
          <w:b/>
          <w:color w:val="000000"/>
          <w:sz w:val="24"/>
          <w:szCs w:val="24"/>
          <w:highlight w:val="none"/>
        </w:rPr>
        <w:t xml:space="preserve">2G</w:t>
      </w:r>
      <w:r>
        <w:rPr>
          <w:rFonts w:hint="eastAsia" w:ascii="宋体" w:hAnsi="宋体"/>
          <w:color w:val="000000"/>
          <w:sz w:val="24"/>
          <w:szCs w:val="24"/>
          <w:highlight w:val="none"/>
        </w:rPr>
        <w:t xml:space="preserve">B</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功耗参数:工作电压220V 待机功率≤0.5W  整机功耗≤</w:t>
      </w:r>
      <w:r>
        <w:rPr>
          <w:rFonts w:hint="eastAsia" w:ascii="宋体" w:hAnsi="宋体"/>
          <w:color w:val="000000"/>
          <w:sz w:val="24"/>
          <w:szCs w:val="24"/>
          <w:highlight w:val="none"/>
        </w:rPr>
        <w:t xml:space="preserve">95</w:t>
      </w:r>
      <w:r>
        <w:rPr>
          <w:rFonts w:hint="eastAsia" w:ascii="宋体" w:hAnsi="宋体"/>
          <w:color w:val="000000"/>
          <w:sz w:val="24"/>
          <w:szCs w:val="24"/>
          <w:highlight w:val="none"/>
        </w:rPr>
        <w:t xml:space="preserve">W</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接口：≥USB2.0×2   ≥HDMI2.0×2个</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音响功率:≥20W </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网络参数:连接方式：无线/有线</w:t>
      </w:r>
      <w:r>
        <w:rPr>
          <w:rFonts w:ascii="宋体" w:hAnsi="宋体"/>
          <w:color w:val="000000"/>
          <w:sz w:val="24"/>
          <w:szCs w:val="24"/>
          <w:highlight w:val="none"/>
        </w:rPr>
      </w:r>
      <w:r/>
    </w:p>
    <w:p>
      <w:pPr>
        <w:pStyle w:val="664"/>
        <w:ind w:firstLine="482"/>
        <w:spacing w:line="264" w:lineRule="auto"/>
        <w:rPr>
          <w:rFonts w:ascii="宋体" w:hAnsi="宋体"/>
          <w:b/>
          <w:color w:val="000000"/>
          <w:sz w:val="24"/>
          <w:szCs w:val="24"/>
          <w:highlight w:val="none"/>
        </w:rPr>
      </w:pPr>
      <w:r>
        <w:rPr>
          <w:rFonts w:hint="eastAsia" w:ascii="宋体" w:hAnsi="宋体"/>
          <w:b/>
          <w:color w:val="000000"/>
          <w:sz w:val="24"/>
          <w:szCs w:val="24"/>
          <w:highlight w:val="none"/>
        </w:rPr>
        <w:t xml:space="preserve">4.</w:t>
      </w:r>
      <w:r>
        <w:rPr>
          <w:rFonts w:hint="eastAsia" w:ascii="宋体" w:hAnsi="宋体"/>
          <w:b/>
          <w:color w:val="000000"/>
          <w:sz w:val="24"/>
          <w:szCs w:val="24"/>
          <w:highlight w:val="none"/>
        </w:rPr>
        <w:tab/>
      </w:r>
      <w:r>
        <w:rPr>
          <w:rFonts w:hint="eastAsia" w:ascii="宋体" w:hAnsi="宋体"/>
          <w:b/>
          <w:color w:val="000000"/>
          <w:sz w:val="24"/>
          <w:szCs w:val="24"/>
          <w:highlight w:val="none"/>
        </w:rPr>
        <w:t xml:space="preserve">32寸体检报告机  1台</w:t>
      </w:r>
      <w:r>
        <w:rPr>
          <w:rFonts w:ascii="宋体" w:hAnsi="宋体"/>
          <w:b/>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操作系统：</w:t>
      </w:r>
      <w:r>
        <w:rPr>
          <w:rFonts w:hint="eastAsia" w:ascii="宋体" w:hAnsi="宋体"/>
          <w:color w:val="000000"/>
          <w:sz w:val="24"/>
          <w:szCs w:val="24"/>
          <w:highlight w:val="none"/>
        </w:rPr>
        <w:t xml:space="preserve">Windows10  64位专业版;</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屏幕尺寸：32寸；电容触摸屏；</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最大分辨率：1920×1080；</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响应时间：＜5ms；</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接口：≥10xUSB2.0, 1xHDMI,6xCOM,1xLAN；</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电源：AC100V--240V  50/60Hz；功耗：≤300W；待机功耗：≤1W；</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音响：8Ω10W+8Ω10W；</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联网方式：有线；</w:t>
      </w:r>
      <w:r>
        <w:rPr>
          <w:rFonts w:hint="eastAsia" w:ascii="宋体" w:hAnsi="宋体"/>
          <w:color w:val="000000"/>
          <w:sz w:val="24"/>
          <w:szCs w:val="24"/>
          <w:highlight w:val="none"/>
        </w:rPr>
        <w:t xml:space="preserve">CPU：</w:t>
      </w:r>
      <w:r>
        <w:rPr>
          <w:rFonts w:hint="eastAsia" w:ascii="宋体" w:hAnsi="宋体"/>
          <w:color w:val="000000"/>
          <w:sz w:val="24"/>
          <w:szCs w:val="24"/>
          <w:highlight w:val="none"/>
        </w:rPr>
        <w:t xml:space="preserve">Intel酷睿i5十代及以上（含12代同规格处理器）  </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内存：≥8GB；硬盘 ：SSD256G;网卡：百兆千兆自适应；功能模块：扫描模块、高清摄像头、A4激光打印机、电动订书机、身份证阅读器、logo丝印；</w:t>
      </w:r>
      <w:r>
        <w:rPr>
          <w:rFonts w:ascii="宋体" w:hAnsi="宋体"/>
          <w:color w:val="000000"/>
          <w:sz w:val="24"/>
          <w:szCs w:val="24"/>
          <w:highlight w:val="none"/>
        </w:rPr>
      </w:r>
      <w:r/>
    </w:p>
    <w:p>
      <w:pPr>
        <w:pStyle w:val="664"/>
        <w:ind w:firstLine="482"/>
        <w:spacing w:line="264" w:lineRule="auto"/>
        <w:rPr>
          <w:rFonts w:ascii="宋体" w:hAnsi="宋体"/>
          <w:b/>
          <w:color w:val="000000"/>
          <w:sz w:val="24"/>
          <w:szCs w:val="24"/>
          <w:highlight w:val="none"/>
        </w:rPr>
      </w:pPr>
      <w:r>
        <w:rPr>
          <w:rFonts w:hint="eastAsia" w:ascii="宋体" w:hAnsi="宋体"/>
          <w:b/>
          <w:color w:val="000000"/>
          <w:sz w:val="24"/>
          <w:szCs w:val="24"/>
          <w:highlight w:val="none"/>
        </w:rPr>
        <w:t xml:space="preserve">5.</w:t>
      </w:r>
      <w:r>
        <w:rPr>
          <w:rFonts w:hint="eastAsia" w:ascii="宋体" w:hAnsi="宋体"/>
          <w:b/>
          <w:color w:val="000000"/>
          <w:sz w:val="24"/>
          <w:szCs w:val="24"/>
          <w:highlight w:val="none"/>
        </w:rPr>
        <w:tab/>
      </w:r>
      <w:r>
        <w:rPr>
          <w:rFonts w:hint="eastAsia" w:ascii="宋体" w:hAnsi="宋体"/>
          <w:b/>
          <w:color w:val="000000"/>
          <w:sz w:val="24"/>
          <w:szCs w:val="24"/>
          <w:highlight w:val="none"/>
        </w:rPr>
        <w:t xml:space="preserve">32寸自助终端机   1台</w:t>
      </w:r>
      <w:r>
        <w:rPr>
          <w:rFonts w:ascii="宋体" w:hAnsi="宋体"/>
          <w:b/>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操作系统：Windows10 </w:t>
      </w:r>
      <w:r>
        <w:rPr>
          <w:rFonts w:hint="eastAsia" w:ascii="宋体" w:hAnsi="宋体"/>
          <w:color w:val="000000"/>
          <w:sz w:val="24"/>
          <w:szCs w:val="24"/>
          <w:highlight w:val="none"/>
        </w:rPr>
        <w:t xml:space="preserve">64位专业版;</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屏幕尺寸：32寸；电容触摸屏；</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最大分辨率：1920×1080；</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响应时间：&lt;5ms；</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接口：≥10xUSB2.0, 1xHDMI,6xCOM,1xLAN；</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电源：AC100V--240V  50/60Hz；功耗：≤300W；待机功耗：≤1W；</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音响：8Ω10W+8Ω10W；</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联网方式：有线；</w:t>
      </w:r>
      <w:r>
        <w:rPr>
          <w:rFonts w:hint="eastAsia" w:ascii="宋体" w:hAnsi="宋体"/>
          <w:color w:val="000000"/>
          <w:sz w:val="24"/>
          <w:szCs w:val="24"/>
          <w:highlight w:val="none"/>
        </w:rPr>
        <w:t xml:space="preserve">CPU：</w:t>
      </w:r>
      <w:r>
        <w:rPr>
          <w:rFonts w:hint="eastAsia" w:ascii="宋体" w:hAnsi="宋体"/>
          <w:color w:val="000000"/>
          <w:sz w:val="24"/>
          <w:szCs w:val="24"/>
          <w:highlight w:val="none"/>
        </w:rPr>
        <w:t xml:space="preserve">Intel酷睿i5十代及以上（含12代同规格处理器）  </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内存：≥16G；硬盘 ：SSD256G;网卡：百兆千兆自适应；功能模块：扫描模块、高清摄像头、A4激光打印机、标签打印机、身份证阅读器、金属键盘、logo丝印；</w:t>
      </w:r>
      <w:r>
        <w:rPr>
          <w:rFonts w:ascii="宋体" w:hAnsi="宋体"/>
          <w:color w:val="000000"/>
          <w:sz w:val="24"/>
          <w:szCs w:val="24"/>
          <w:highlight w:val="none"/>
        </w:rPr>
      </w:r>
      <w:r/>
    </w:p>
    <w:p>
      <w:pPr>
        <w:pStyle w:val="664"/>
        <w:ind w:firstLine="482"/>
        <w:spacing w:line="264" w:lineRule="auto"/>
        <w:rPr>
          <w:rFonts w:ascii="宋体" w:hAnsi="宋体"/>
          <w:b/>
          <w:color w:val="000000"/>
          <w:sz w:val="24"/>
          <w:szCs w:val="24"/>
          <w:highlight w:val="none"/>
        </w:rPr>
      </w:pPr>
      <w:r>
        <w:rPr>
          <w:rFonts w:hint="eastAsia" w:ascii="宋体" w:hAnsi="宋体"/>
          <w:b/>
          <w:color w:val="000000"/>
          <w:sz w:val="24"/>
          <w:szCs w:val="24"/>
          <w:highlight w:val="none"/>
        </w:rPr>
        <w:t xml:space="preserve">6. 75寸综合显示屏 1台</w:t>
      </w:r>
      <w:r>
        <w:rPr>
          <w:rFonts w:ascii="宋体" w:hAnsi="宋体"/>
          <w:b/>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操作系统:Android 10及以上</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屏幕尺寸：75寸；屏幕比例16:9;</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屏幕分辨率:超高清4K</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存储内存：≥64GB   CPU架构：四核A73 运行内存：RAM:3GB</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功耗参数:工作电压220V 待机功率≤0.5W 电源功率≤95W</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接口：≥USB2.0×2   ≥HDMI2.0×2个</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音响功率：≥30W</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网络参数:连接方式：无线/有线</w:t>
      </w:r>
      <w:r>
        <w:rPr>
          <w:rFonts w:ascii="宋体" w:hAnsi="宋体"/>
          <w:color w:val="000000"/>
          <w:sz w:val="24"/>
          <w:szCs w:val="24"/>
          <w:highlight w:val="none"/>
        </w:rPr>
      </w:r>
      <w:r/>
    </w:p>
    <w:p>
      <w:pPr>
        <w:pStyle w:val="664"/>
        <w:ind w:firstLine="482"/>
        <w:spacing w:line="264" w:lineRule="auto"/>
        <w:rPr>
          <w:rFonts w:ascii="宋体" w:hAnsi="宋体"/>
          <w:b/>
          <w:color w:val="000000"/>
          <w:sz w:val="24"/>
          <w:szCs w:val="24"/>
          <w:highlight w:val="none"/>
        </w:rPr>
      </w:pPr>
      <w:r>
        <w:rPr>
          <w:rFonts w:hint="eastAsia" w:ascii="宋体" w:hAnsi="宋体"/>
          <w:b/>
          <w:color w:val="000000"/>
          <w:sz w:val="24"/>
          <w:szCs w:val="24"/>
          <w:highlight w:val="none"/>
        </w:rPr>
        <w:t xml:space="preserve">6. 75寸综合显示屏 1台</w:t>
      </w:r>
      <w:r>
        <w:rPr>
          <w:rFonts w:ascii="宋体" w:hAnsi="宋体"/>
          <w:b/>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操作系统:Android 10及以上</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屏幕尺寸：75寸；屏幕比例16:9;</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屏幕分辨率:超高清4K</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存储内存：≥64GB   CPU架构：四核A73 运行内存：RAM:3GB</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功耗参数:工作电压220V 待机功率≥0.5W 电源功率 ≥95W</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接口：≥USB2.0*2   ≥HDMI2.0*2个</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音响功率：30w</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网络参数:连接方式：无线/有线</w:t>
      </w:r>
      <w:r>
        <w:rPr>
          <w:rFonts w:ascii="宋体" w:hAnsi="宋体"/>
          <w:color w:val="000000"/>
          <w:sz w:val="24"/>
          <w:szCs w:val="24"/>
          <w:highlight w:val="none"/>
        </w:rPr>
      </w:r>
      <w:r/>
    </w:p>
    <w:p>
      <w:pPr>
        <w:pStyle w:val="918"/>
        <w:rPr>
          <w:color w:val="000000"/>
          <w:highlight w:val="none"/>
        </w:rPr>
      </w:pPr>
      <w:r>
        <w:rPr>
          <w:color w:val="000000"/>
          <w:highlight w:val="none"/>
        </w:rPr>
      </w:r>
      <w:r/>
    </w:p>
    <w:p>
      <w:pPr>
        <w:pStyle w:val="664"/>
        <w:ind w:firstLine="480"/>
        <w:spacing w:line="264" w:lineRule="auto"/>
        <w:rPr>
          <w:rFonts w:ascii="宋体" w:hAnsi="宋体" w:cs="宋体"/>
          <w:bCs/>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rFonts w:ascii="宋体" w:hAnsi="宋体" w:cs="宋体"/>
          <w:bCs/>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报价要求</w:t>
      </w:r>
      <w:r>
        <w:rPr>
          <w:rFonts w:ascii="宋体" w:hAnsi="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ascii="宋体" w:hAnsi="宋体" w:cs="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ascii="宋体" w:hAnsi="宋体" w:cs="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（3）供应商报价除包含磋商文件中列明的项目外还应包括保障服务正常运行应当具有的物资和服务，对服务正常运行应当具有的物资和服务理解不一致的以采购单位理解为准。</w:t>
      </w:r>
      <w:r>
        <w:rPr>
          <w:rFonts w:ascii="宋体" w:hAnsi="宋体" w:cs="宋体"/>
          <w:color w:val="000000"/>
          <w:sz w:val="24"/>
          <w:szCs w:val="24"/>
          <w:highlight w:val="none"/>
        </w:rPr>
      </w:r>
      <w:r/>
    </w:p>
    <w:p>
      <w:pPr>
        <w:pStyle w:val="664"/>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rPr>
          <w:rFonts w:ascii="宋体" w:hAnsi="宋体" w:cs="宋体"/>
          <w:bCs/>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1.如果发生因供应商安全措施不力造成的事故责任，或者其他工作失误，由此所产生的一切责任由供应商承担。 </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2. 如因供应商投入人员过少原因，造成无法在承诺工期内完成服务，由此产生的一切责任由供应商承担。</w:t>
      </w:r>
      <w:r>
        <w:rPr>
          <w:rFonts w:ascii="宋体" w:hAnsi="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服务要求</w:t>
      </w:r>
      <w:r>
        <w:rPr>
          <w:rFonts w:ascii="宋体" w:hAnsi="宋体" w:cs="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本项目建设期为合同签订之日起90天内，具体实施进度和计划投标方可根据实际情况在成交后项目正式进场实施前以项目实施方案的形式给出详细设计方案，经招标人书面批准确认后方可正式开始实施。</w:t>
      </w:r>
      <w:r>
        <w:rPr>
          <w:rFonts w:ascii="宋体" w:hAnsi="宋体"/>
          <w:color w:val="000000"/>
          <w:sz w:val="24"/>
          <w:szCs w:val="24"/>
          <w:highlight w:val="none"/>
        </w:rPr>
      </w:r>
      <w:r/>
    </w:p>
    <w:p>
      <w:pPr>
        <w:pStyle w:val="664"/>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（3）验收要求</w:t>
      </w:r>
      <w:r>
        <w:rPr>
          <w:rFonts w:ascii="宋体" w:hAnsi="宋体" w:cs="宋体"/>
          <w:bCs/>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highlight w:val="none"/>
          <w:lang w:bidi="ar"/>
        </w:rPr>
        <w:t xml:space="preserve">形成验收文件作</w:t>
      </w:r>
      <w:r>
        <w:rPr>
          <w:rFonts w:hint="eastAsia" w:ascii="宋体" w:hAnsi="宋体"/>
          <w:color w:val="000000"/>
          <w:sz w:val="24"/>
          <w:szCs w:val="24"/>
          <w:highlight w:val="none"/>
        </w:rPr>
        <w:t xml:space="preserve">为验收依据。验收测试合格后，双方签署验收协议，系统试运行。</w:t>
      </w:r>
      <w:r>
        <w:rPr>
          <w:rFonts w:ascii="宋体" w:hAnsi="宋体"/>
          <w:color w:val="000000"/>
          <w:sz w:val="24"/>
          <w:szCs w:val="24"/>
          <w:highlight w:val="none"/>
        </w:rPr>
      </w:r>
      <w:r/>
    </w:p>
    <w:p>
      <w:pPr>
        <w:pStyle w:val="664"/>
        <w:ind w:firstLine="480"/>
        <w:spacing w:line="264" w:lineRule="auto"/>
        <w:rPr>
          <w:rFonts w:ascii="宋体" w:hAnsi="宋体" w:cs="宋体"/>
          <w:bCs/>
          <w:color w:val="000000"/>
          <w:sz w:val="24"/>
          <w:szCs w:val="24"/>
          <w:highlight w:val="none"/>
        </w:rPr>
      </w:pPr>
      <w:r>
        <w:rPr>
          <w:rFonts w:hint="eastAsia" w:ascii="宋体" w:hAnsi="宋体"/>
          <w:color w:val="000000"/>
          <w:sz w:val="24"/>
          <w:szCs w:val="24"/>
          <w:highlight w:val="none"/>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cs="宋体"/>
          <w:bCs/>
          <w:color w:val="000000"/>
          <w:sz w:val="24"/>
          <w:szCs w:val="24"/>
          <w:highlight w:val="none"/>
        </w:rPr>
      </w:r>
      <w:r/>
    </w:p>
    <w:p>
      <w:pPr>
        <w:pStyle w:val="664"/>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（4）维保要求</w:t>
      </w:r>
      <w:r>
        <w:rPr>
          <w:rFonts w:ascii="宋体" w:hAnsi="宋体" w:cs="宋体"/>
          <w:bCs/>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在系统安装调试并经验收合格后，进入免费质保期，质保期1年。</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中标人需要为采购方的相关人员提供系统应用技术和操作方面的培训，并交付培训相关文档，同时如果系统使用流程改变时也应进行培训和提供培训文档。这些培训应确保采购方的团队能够充分了解和掌握系统的操作、日常维护以及解决常见问题的能力，相关培训费用应包括本次项目报价及之后维保服务期内的维保服务费中，不再单独收费。</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投标人投标时提供对应服务周期内的履约时长与响应时效7*24的承诺函。</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中标后，中标人须前往采购人指定地点，依据招标文件中明确的演示功能点进行现场演示，以验证并确保相关功能均能正常使用。 </w:t>
      </w:r>
      <w:r>
        <w:rPr>
          <w:rFonts w:ascii="宋体" w:hAnsi="宋体"/>
          <w:color w:val="000000"/>
          <w:sz w:val="24"/>
          <w:szCs w:val="24"/>
          <w:highlight w:val="none"/>
        </w:rPr>
      </w:r>
      <w:r/>
    </w:p>
    <w:p>
      <w:pPr>
        <w:pStyle w:val="664"/>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（5）知识产权及保密要求</w:t>
      </w:r>
      <w:r>
        <w:rPr>
          <w:rFonts w:ascii="宋体" w:hAnsi="宋体" w:cs="宋体"/>
          <w:bCs/>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①采购人拥有本系统包括永久使用权和修改权在内的一切权利；拥有本系统产生的所有数据的所有权。供应商应当在验收后10日内，将本项目产生的全部软件源代码交付采购人。</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③供应商须按照与采购人签订的《信息安全保密承诺书》的约定严格履行各项保密义务。</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④采购人与供应商都拥有本项目定制开发部分的知识产权。交付项应包括但不限于如下内容：</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满足采购人需求的、完整的、可最终良好运行的系统。</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系统运行、管理、维护相关的各项技术文件和管理规范。应包括：系统实施计划、系统需求调研报告、系统上线测试报告、试运行报告、验收报告、系统操作手册等技术及项目管理文档。</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提供项目的最终版本部署包及产品永久授权。</w:t>
      </w:r>
      <w:r>
        <w:rPr>
          <w:rFonts w:ascii="宋体" w:hAnsi="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（6）建设成果要求</w:t>
      </w:r>
      <w:r>
        <w:rPr>
          <w:rFonts w:ascii="宋体" w:hAnsi="宋体" w:cs="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供应商在项目建设的各个阶段及时提交建设成果，主要包括但不限于以下内容：</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①项目启动阶段：项目实施方案。 </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②业务需求分析阶段：需求调研方案、需求分析说明书。</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③系统设计、开发阶段：需求规格说明书、概要设计说明书、详细设计说明书、数据库设计说明书、系统接口说明书。 </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④系统实施阶段：系统上线部署方案、软件安装说明书、软件使用说明书、系统安装光盘、系统培训方案、系统培训手册。 </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⑤项目验收阶段：测试报告、项目验收方案、系统运行报告、项目验收报告。 </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⑥运行维护阶段：系统维护方案、系统维护手册、系统运行维护记录。</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（7）网络安全等级保护测评要求</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供应商配合采购人，做好系统通过等保测评相关准备工作。</w:t>
      </w:r>
      <w:r>
        <w:rPr>
          <w:rFonts w:ascii="宋体" w:hAnsi="宋体"/>
          <w:color w:val="000000"/>
          <w:sz w:val="24"/>
          <w:szCs w:val="24"/>
          <w:highlight w:val="none"/>
        </w:rPr>
      </w:r>
      <w:r/>
    </w:p>
    <w:p>
      <w:pPr>
        <w:pStyle w:val="664"/>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（8）网络安全和数据安全要求，外包网络安全管理要求</w:t>
      </w:r>
      <w:r>
        <w:rPr>
          <w:rFonts w:ascii="宋体" w:hAnsi="宋体"/>
          <w:color w:val="000000"/>
          <w:sz w:val="24"/>
          <w:szCs w:val="24"/>
          <w:highlight w:val="none"/>
        </w:rPr>
      </w:r>
      <w:r/>
    </w:p>
    <w:p>
      <w:pPr>
        <w:pStyle w:val="664"/>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符合网络安全和密码应用要求，符合国家安全可靠应用政策规定。</w:t>
      </w:r>
      <w:r>
        <w:rPr>
          <w:rFonts w:ascii="宋体" w:hAnsi="宋体" w:cs="宋体"/>
          <w:bCs/>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付款条件</w:t>
      </w:r>
      <w:r>
        <w:rPr>
          <w:rFonts w:ascii="宋体" w:hAnsi="宋体" w:cs="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olor w:val="000000"/>
          <w:sz w:val="24"/>
          <w:szCs w:val="24"/>
          <w:highlight w:val="none"/>
        </w:rPr>
        <w:t xml:space="preserve">90</w:t>
      </w:r>
      <w:r>
        <w:rPr>
          <w:rFonts w:ascii="宋体" w:hAnsi="宋体" w:cs="宋体"/>
          <w:color w:val="000000"/>
          <w:sz w:val="24"/>
          <w:szCs w:val="24"/>
          <w:highlight w:val="none"/>
        </w:rPr>
        <w:t xml:space="preserve">天内</w:t>
      </w:r>
      <w:r>
        <w:rPr>
          <w:rFonts w:hint="eastAsia" w:ascii="宋体" w:hAnsi="宋体" w:cs="宋体"/>
          <w:color w:val="000000"/>
          <w:sz w:val="24"/>
          <w:szCs w:val="24"/>
          <w:highlight w:val="none"/>
        </w:rPr>
        <w:t xml:space="preserve">完成系统开发</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rPr>
          <w:rFonts w:ascii="宋体" w:hAnsi="宋体" w:cs="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bookmarkStart w:id="27" w:name="OLE_LINK1"/>
      <w:r>
        <w:rPr>
          <w:rFonts w:hint="eastAsia" w:ascii="宋体" w:hAnsi="宋体" w:cs="宋体"/>
          <w:color w:val="000000"/>
          <w:sz w:val="24"/>
          <w:szCs w:val="24"/>
          <w:highlight w:val="none"/>
        </w:rPr>
        <w:t xml:space="preserve">6.其他要求</w:t>
      </w:r>
      <w:bookmarkEnd w:id="27"/>
      <w:r>
        <w:rPr>
          <w:rFonts w:ascii="宋体" w:hAnsi="宋体" w:cs="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ascii="宋体" w:hAnsi="宋体" w:cs="宋体"/>
          <w:color w:val="000000"/>
          <w:sz w:val="24"/>
          <w:szCs w:val="24"/>
          <w:highlight w:val="none"/>
        </w:rPr>
      </w:r>
      <w:r/>
    </w:p>
    <w:p>
      <w:pPr>
        <w:pStyle w:val="664"/>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ascii="宋体" w:hAnsi="宋体" w:cs="宋体"/>
          <w:color w:val="000000"/>
          <w:sz w:val="24"/>
          <w:szCs w:val="24"/>
          <w:highlight w:val="none"/>
        </w:rPr>
      </w:r>
      <w:r/>
    </w:p>
    <w:p>
      <w:pPr>
        <w:pStyle w:val="664"/>
        <w:ind w:firstLine="480"/>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970"/>
        <w:jc w:val="center"/>
        <w:spacing w:before="120" w:after="120" w:line="0" w:lineRule="atLeast"/>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第五章  评审方法与评审标准</w:t>
      </w:r>
      <w:r>
        <w:rPr>
          <w:rFonts w:ascii="方正小标宋简体" w:hAnsi="方正小标宋简体" w:eastAsia="方正小标宋简体" w:cs="方正小标宋简体"/>
          <w:color w:val="000000"/>
          <w:sz w:val="36"/>
          <w:szCs w:val="36"/>
          <w:highlight w:val="none"/>
        </w:rPr>
      </w:r>
      <w:r/>
    </w:p>
    <w:p>
      <w:pPr>
        <w:pStyle w:val="664"/>
        <w:ind w:firstLine="480"/>
        <w:rPr>
          <w:rFonts w:ascii="黑体" w:hAnsi="黑体" w:eastAsia="黑体" w:cs="黑体"/>
          <w:color w:val="000000"/>
          <w:sz w:val="24"/>
          <w:szCs w:val="24"/>
          <w:highlight w:val="none"/>
        </w:rPr>
      </w:pPr>
      <w:r>
        <w:rPr>
          <w:rFonts w:ascii="黑体" w:hAnsi="黑体" w:eastAsia="黑体" w:cs="黑体"/>
          <w:color w:val="000000"/>
          <w:sz w:val="24"/>
          <w:szCs w:val="24"/>
          <w:highlight w:val="none"/>
        </w:rPr>
      </w:r>
      <w:r/>
    </w:p>
    <w:p>
      <w:pPr>
        <w:pStyle w:val="664"/>
        <w:ind w:firstLine="480"/>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一、评审方法</w:t>
      </w:r>
      <w:r>
        <w:rPr>
          <w:rFonts w:ascii="黑体" w:hAnsi="黑体" w:eastAsia="黑体" w:cs="黑体"/>
          <w:color w:val="000000"/>
          <w:sz w:val="24"/>
          <w:szCs w:val="24"/>
          <w:highlight w:val="none"/>
        </w:rPr>
      </w:r>
      <w:r/>
    </w:p>
    <w:p>
      <w:pPr>
        <w:pStyle w:val="664"/>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color w:val="000000"/>
          <w:sz w:val="24"/>
          <w:szCs w:val="24"/>
          <w:highlight w:val="none"/>
        </w:rPr>
        <w:t xml:space="preserve">3名</w:t>
      </w:r>
      <w:r>
        <w:rPr>
          <w:rFonts w:hint="eastAsia" w:ascii="宋体" w:hAnsi="宋体" w:cs="宋体"/>
          <w:color w:val="000000"/>
          <w:sz w:val="24"/>
          <w:szCs w:val="24"/>
          <w:highlight w:val="none"/>
        </w:rPr>
        <w:t xml:space="preserve">成交候选供应商，并编写评审报告。评审得分相同的，按照最后报价由低到高的顺序推荐。评审得分且最后报价相同的，按照“评审标准2.技术项”得分由高到低顺序推荐。</w:t>
      </w:r>
      <w:r>
        <w:rPr>
          <w:rFonts w:ascii="宋体" w:hAnsi="宋体" w:cs="宋体"/>
          <w:color w:val="000000"/>
          <w:sz w:val="24"/>
          <w:szCs w:val="24"/>
          <w:highlight w:val="none"/>
        </w:rPr>
      </w:r>
      <w:r/>
    </w:p>
    <w:p>
      <w:pPr>
        <w:pStyle w:val="664"/>
        <w:ind w:firstLine="480"/>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rPr>
          <w:rFonts w:ascii="黑体" w:hAnsi="黑体" w:eastAsia="黑体" w:cs="黑体"/>
          <w:color w:val="000000"/>
          <w:sz w:val="24"/>
          <w:szCs w:val="24"/>
          <w:highlight w:val="none"/>
        </w:rPr>
      </w:r>
      <w:r/>
    </w:p>
    <w:p>
      <w:pPr>
        <w:pStyle w:val="664"/>
        <w:ind w:firstLine="420"/>
        <w:rPr>
          <w:rFonts w:ascii="宋体" w:hAnsi="宋体"/>
          <w:color w:val="000000"/>
          <w:sz w:val="24"/>
          <w:highlight w:val="none"/>
          <w:lang w:val="zh-CN"/>
        </w:rPr>
      </w:pPr>
      <w:r>
        <w:rPr>
          <w:rFonts w:hint="eastAsia" w:ascii="宋体" w:hAnsi="宋体"/>
          <w:color w:val="000000"/>
          <w:sz w:val="24"/>
          <w:highlight w:val="none"/>
          <w:lang w:val="zh-CN"/>
        </w:rPr>
        <w:t xml:space="preserve">1.本</w:t>
      </w:r>
      <w:r>
        <w:rPr>
          <w:rFonts w:hint="eastAsia" w:ascii="宋体" w:hAnsi="宋体"/>
          <w:color w:val="000000"/>
          <w:sz w:val="24"/>
          <w:highlight w:val="none"/>
        </w:rPr>
        <w:t xml:space="preserve">项目如</w:t>
      </w:r>
      <w:r>
        <w:rPr>
          <w:rFonts w:hint="eastAsia" w:ascii="宋体" w:hAnsi="宋体"/>
          <w:color w:val="000000"/>
          <w:sz w:val="24"/>
          <w:highlight w:val="none"/>
          <w:lang w:val="zh-CN"/>
        </w:rPr>
        <w:t xml:space="preserve">既有本国产品又有非本国产品参与竞争，依法对本国产品给予价格评审优惠，对本国产品的报价给予20%的价格扣除，用扣除后的价格参与评审。</w:t>
      </w:r>
      <w:r>
        <w:rPr>
          <w:rFonts w:ascii="宋体" w:hAnsi="宋体"/>
          <w:color w:val="000000"/>
          <w:sz w:val="24"/>
          <w:highlight w:val="none"/>
          <w:lang w:val="zh-CN"/>
        </w:rPr>
      </w:r>
      <w:r/>
    </w:p>
    <w:p>
      <w:pPr>
        <w:pStyle w:val="664"/>
        <w:ind w:firstLine="420"/>
        <w:rPr>
          <w:rFonts w:ascii="宋体" w:hAnsi="宋体"/>
          <w:color w:val="000000"/>
          <w:sz w:val="24"/>
          <w:highlight w:val="none"/>
        </w:rPr>
      </w:pPr>
      <w:r>
        <w:rPr>
          <w:rFonts w:hint="eastAsia" w:ascii="宋体" w:hAnsi="宋体"/>
          <w:color w:val="000000"/>
          <w:sz w:val="24"/>
          <w:highlight w:val="none"/>
        </w:rPr>
        <w:t xml:space="preserve">2.如本</w:t>
      </w:r>
      <w:r>
        <w:rPr>
          <w:rFonts w:hint="eastAsia" w:ascii="宋体" w:hAnsi="宋体"/>
          <w:color w:val="000000"/>
          <w:sz w:val="24"/>
          <w:highlight w:val="none"/>
          <w:lang w:val="zh-CN"/>
        </w:rPr>
        <w:t xml:space="preserve">项目或者</w:t>
      </w:r>
      <w:r>
        <w:rPr>
          <w:rFonts w:hint="eastAsia" w:ascii="宋体" w:hAnsi="宋体"/>
          <w:color w:val="000000"/>
          <w:sz w:val="24"/>
          <w:highlight w:val="none"/>
        </w:rPr>
        <w:t xml:space="preserve">其中</w:t>
      </w:r>
      <w:r>
        <w:rPr>
          <w:rFonts w:hint="eastAsia" w:ascii="宋体" w:hAnsi="宋体"/>
          <w:color w:val="000000"/>
          <w:sz w:val="24"/>
          <w:highlight w:val="none"/>
          <w:lang w:val="zh-CN"/>
        </w:rPr>
        <w:t xml:space="preserve">采购包中含有多种产品，供应商为</w:t>
      </w:r>
      <w:r>
        <w:rPr>
          <w:rFonts w:hint="eastAsia" w:ascii="宋体" w:hAnsi="宋体"/>
          <w:color w:val="000000"/>
          <w:sz w:val="24"/>
          <w:highlight w:val="none"/>
        </w:rPr>
        <w:t xml:space="preserve">本</w:t>
      </w:r>
      <w:r>
        <w:rPr>
          <w:rFonts w:hint="eastAsia" w:ascii="宋体" w:hAnsi="宋体"/>
          <w:color w:val="000000"/>
          <w:sz w:val="24"/>
          <w:highlight w:val="none"/>
          <w:lang w:val="zh-CN"/>
        </w:rPr>
        <w:t xml:space="preserve">项目或者</w:t>
      </w:r>
      <w:r>
        <w:rPr>
          <w:rFonts w:hint="eastAsia" w:ascii="宋体" w:hAnsi="宋体"/>
          <w:color w:val="000000"/>
          <w:sz w:val="24"/>
          <w:highlight w:val="none"/>
        </w:rPr>
        <w:t xml:space="preserve">其中</w:t>
      </w:r>
      <w:r>
        <w:rPr>
          <w:rFonts w:hint="eastAsia" w:ascii="宋体" w:hAnsi="宋体"/>
          <w:color w:val="000000"/>
          <w:sz w:val="24"/>
          <w:highlight w:val="none"/>
          <w:lang w:val="zh-CN"/>
        </w:rPr>
        <w:t xml:space="preserve">采购包提供的符合本国产品标准的产品成本之和占该供应商提供的全部产品成本之和的比例达到80%以上时，依法</w:t>
      </w:r>
      <w:r>
        <w:rPr>
          <w:rFonts w:hint="eastAsia" w:ascii="宋体" w:hAnsi="宋体"/>
          <w:color w:val="000000"/>
          <w:sz w:val="24"/>
          <w:highlight w:val="none"/>
        </w:rPr>
        <w:t xml:space="preserve">对该供应商提供的全部产品给予价格评审优惠，即对该供应商提供的全部产品的总报价给予20%的价格扣除，用扣除后的价格参与评审。</w:t>
      </w:r>
      <w:r>
        <w:rPr>
          <w:rFonts w:ascii="宋体" w:hAnsi="宋体"/>
          <w:color w:val="000000"/>
          <w:sz w:val="24"/>
          <w:highlight w:val="none"/>
        </w:rPr>
      </w:r>
      <w:r/>
    </w:p>
    <w:p>
      <w:pPr>
        <w:pStyle w:val="664"/>
        <w:ind w:firstLine="420"/>
        <w:rPr>
          <w:rFonts w:ascii="宋体" w:hAnsi="宋体"/>
          <w:color w:val="000000"/>
          <w:sz w:val="24"/>
          <w:highlight w:val="none"/>
        </w:rPr>
      </w:pPr>
      <w:r>
        <w:rPr>
          <w:rFonts w:hint="eastAsia" w:ascii="宋体" w:hAnsi="宋体"/>
          <w:color w:val="000000"/>
          <w:sz w:val="24"/>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ascii="宋体" w:hAnsi="宋体"/>
          <w:color w:val="000000"/>
          <w:sz w:val="24"/>
          <w:highlight w:val="none"/>
        </w:rPr>
      </w:r>
      <w:r/>
    </w:p>
    <w:p>
      <w:pPr>
        <w:pStyle w:val="664"/>
        <w:ind w:firstLine="422"/>
        <w:widowControl/>
        <w:rPr>
          <w:rFonts w:ascii="宋体" w:hAnsi="宋体" w:cs="宋体"/>
          <w:b/>
          <w:bCs/>
          <w:color w:val="000000"/>
          <w:sz w:val="24"/>
          <w:szCs w:val="24"/>
          <w:highlight w:val="none"/>
        </w:rPr>
      </w:pPr>
      <w:r>
        <w:rPr>
          <w:rFonts w:hint="eastAsia" w:ascii="宋体" w:hAnsi="宋体"/>
          <w:b/>
          <w:bCs/>
          <w:color w:val="000000"/>
          <w:sz w:val="24"/>
          <w:highlight w:val="none"/>
        </w:rPr>
        <w:t xml:space="preserve">4.</w:t>
      </w:r>
      <w:r>
        <w:rPr>
          <w:rFonts w:hint="eastAsia" w:ascii="宋体" w:hAnsi="宋体"/>
          <w:b/>
          <w:bCs/>
          <w:color w:val="000000"/>
          <w:sz w:val="24"/>
          <w:highlight w:val="none"/>
          <w:lang w:val="zh-CN"/>
        </w:rPr>
        <w:t xml:space="preserve">对本国产品的支持政策与政府采购支持中小企业、节能环保等优惠政策叠加适用，对应执行价格扣除政策的项目，统一在原报价的基础上给予价格扣除。</w:t>
      </w:r>
      <w:r>
        <w:rPr>
          <w:rFonts w:ascii="宋体" w:hAnsi="宋体" w:cs="宋体"/>
          <w:b/>
          <w:bCs/>
          <w:color w:val="000000"/>
          <w:sz w:val="24"/>
          <w:szCs w:val="24"/>
          <w:highlight w:val="none"/>
        </w:rPr>
      </w:r>
      <w:r/>
    </w:p>
    <w:p>
      <w:pPr>
        <w:pStyle w:val="664"/>
        <w:ind w:firstLine="480"/>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rPr>
          <w:rFonts w:ascii="黑体" w:hAnsi="黑体" w:eastAsia="黑体" w:cs="黑体"/>
          <w:color w:val="000000"/>
          <w:sz w:val="24"/>
          <w:szCs w:val="24"/>
          <w:highlight w:val="none"/>
        </w:rPr>
      </w:r>
      <w:r/>
    </w:p>
    <w:p>
      <w:pPr>
        <w:pStyle w:val="664"/>
        <w:ind w:firstLine="480"/>
        <w:rPr>
          <w:rFonts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15</w:t>
      </w:r>
      <w:r>
        <w:rPr>
          <w:rFonts w:hint="eastAsia" w:ascii="宋体" w:hAnsi="宋体" w:cs="宋体"/>
          <w:color w:val="000000"/>
          <w:sz w:val="24"/>
          <w:szCs w:val="24"/>
          <w:highlight w:val="none"/>
        </w:rPr>
        <w:t xml:space="preserve">%的扣除，用扣除后的价格参与评审。</w:t>
      </w:r>
      <w:r>
        <w:rPr>
          <w:rFonts w:ascii="宋体" w:hAnsi="宋体"/>
          <w:color w:val="000000"/>
          <w:sz w:val="24"/>
          <w:szCs w:val="24"/>
          <w:highlight w:val="none"/>
        </w:rPr>
      </w:r>
      <w:r/>
    </w:p>
    <w:p>
      <w:pPr>
        <w:pStyle w:val="664"/>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的价格扣除，用扣除后的价格参与评审。残疾人福利单位、监狱企业属于小型、微型企业的，不重复享受价格扣除。</w:t>
      </w:r>
      <w:r>
        <w:rPr>
          <w:rFonts w:ascii="宋体" w:hAnsi="宋体" w:cs="宋体"/>
          <w:color w:val="000000"/>
          <w:sz w:val="24"/>
          <w:szCs w:val="24"/>
          <w:highlight w:val="none"/>
        </w:rPr>
      </w:r>
      <w:r/>
    </w:p>
    <w:p>
      <w:pPr>
        <w:pStyle w:val="713"/>
        <w:ind w:firstLine="0"/>
        <w:rPr>
          <w:color w:val="000000"/>
          <w:highlight w:val="none"/>
        </w:rPr>
      </w:pPr>
      <w:r>
        <w:rPr>
          <w:color w:val="000000"/>
          <w:highlight w:val="none"/>
        </w:rPr>
      </w:r>
      <w:r/>
    </w:p>
    <w:p>
      <w:pPr>
        <w:pStyle w:val="664"/>
        <w:ind w:firstLine="480"/>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四、评审标准</w:t>
      </w:r>
      <w:r>
        <w:rPr>
          <w:rFonts w:ascii="黑体" w:hAnsi="黑体" w:eastAsia="黑体" w:cs="黑体"/>
          <w:color w:val="000000"/>
          <w:sz w:val="24"/>
          <w:szCs w:val="24"/>
          <w:highlight w:val="none"/>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664"/>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序号</w:t>
            </w:r>
            <w:r>
              <w:rPr>
                <w:rFonts w:ascii="宋体" w:hAnsi="宋体" w:cs="宋体"/>
                <w:b/>
                <w:bCs/>
                <w:color w:val="000000"/>
                <w:spacing w:val="-3"/>
                <w:szCs w:val="21"/>
                <w:highlight w:val="none"/>
              </w:rPr>
            </w:r>
            <w:r/>
          </w:p>
        </w:tc>
        <w:tc>
          <w:tcPr>
            <w:tcW w:w="1179" w:type="dxa"/>
            <w:vAlign w:val="top"/>
            <w:textDirection w:val="lrTb"/>
            <w:noWrap w:val="false"/>
          </w:tcPr>
          <w:p>
            <w:pPr>
              <w:pStyle w:val="664"/>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评审因素</w:t>
            </w:r>
            <w:r>
              <w:rPr>
                <w:rFonts w:ascii="宋体" w:hAnsi="宋体" w:cs="宋体"/>
                <w:b/>
                <w:bCs/>
                <w:color w:val="000000"/>
                <w:spacing w:val="-3"/>
                <w:szCs w:val="21"/>
                <w:highlight w:val="none"/>
              </w:rPr>
            </w:r>
            <w:r/>
          </w:p>
        </w:tc>
        <w:tc>
          <w:tcPr>
            <w:tcW w:w="6330" w:type="dxa"/>
            <w:vAlign w:val="top"/>
            <w:textDirection w:val="lrTb"/>
            <w:noWrap w:val="false"/>
          </w:tcPr>
          <w:p>
            <w:pPr>
              <w:pStyle w:val="664"/>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评审细则</w:t>
            </w:r>
            <w:r>
              <w:rPr>
                <w:rFonts w:ascii="宋体" w:hAnsi="宋体" w:cs="宋体"/>
                <w:b/>
                <w:bCs/>
                <w:color w:val="000000"/>
                <w:spacing w:val="-3"/>
                <w:szCs w:val="21"/>
                <w:highlight w:val="none"/>
              </w:rPr>
            </w:r>
            <w:r/>
          </w:p>
        </w:tc>
        <w:tc>
          <w:tcPr>
            <w:tcW w:w="647" w:type="dxa"/>
            <w:vAlign w:val="top"/>
            <w:textDirection w:val="lrTb"/>
            <w:noWrap w:val="false"/>
          </w:tcPr>
          <w:p>
            <w:pPr>
              <w:pStyle w:val="664"/>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分值</w:t>
            </w:r>
            <w:r>
              <w:rPr>
                <w:rFonts w:ascii="宋体" w:hAnsi="宋体" w:cs="宋体"/>
                <w:b/>
                <w:bCs/>
                <w:color w:val="000000"/>
                <w:spacing w:val="-3"/>
                <w:szCs w:val="21"/>
                <w:highlight w:val="none"/>
              </w:rPr>
            </w:r>
            <w:r/>
          </w:p>
        </w:tc>
        <w:tc>
          <w:tcPr>
            <w:tcW w:w="900" w:type="dxa"/>
            <w:vAlign w:val="top"/>
            <w:textDirection w:val="lrTb"/>
            <w:noWrap w:val="false"/>
          </w:tcPr>
          <w:p>
            <w:pPr>
              <w:pStyle w:val="664"/>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类型</w:t>
            </w:r>
            <w:r>
              <w:rPr>
                <w:rFonts w:ascii="宋体" w:hAnsi="宋体" w:cs="宋体"/>
                <w:b/>
                <w:bCs/>
                <w:color w:val="000000"/>
                <w:spacing w:val="-3"/>
                <w:szCs w:val="21"/>
                <w:highlight w:val="none"/>
              </w:rPr>
            </w:r>
            <w:r/>
          </w:p>
        </w:tc>
      </w:tr>
      <w:tr>
        <w:trPr>
          <w:trHeight w:val="460"/>
        </w:trPr>
        <w:tc>
          <w:tcPr>
            <w:gridSpan w:val="5"/>
            <w:tcW w:w="9575" w:type="dxa"/>
            <w:vAlign w:val="top"/>
            <w:textDirection w:val="lrTb"/>
            <w:noWrap w:val="false"/>
          </w:tcPr>
          <w:p>
            <w:pPr>
              <w:pStyle w:val="664"/>
              <w:ind w:left="114"/>
              <w:spacing w:before="122" w:line="264" w:lineRule="auto"/>
              <w:rPr>
                <w:rFonts w:ascii="宋体" w:hAnsi="宋体" w:cs="宋体"/>
                <w:color w:val="000000"/>
                <w:highlight w:val="none"/>
              </w:rPr>
            </w:pPr>
            <w:r>
              <w:rPr>
                <w:rFonts w:hint="eastAsia" w:ascii="宋体" w:hAnsi="宋体" w:cs="宋体"/>
                <w:b/>
                <w:bCs/>
                <w:color w:val="000000"/>
                <w:spacing w:val="-3"/>
                <w:highlight w:val="none"/>
              </w:rPr>
              <w:t xml:space="preserve">1.</w:t>
            </w:r>
            <w:r>
              <w:rPr>
                <w:rFonts w:ascii="宋体" w:hAnsi="宋体" w:cs="宋体"/>
                <w:b/>
                <w:bCs/>
                <w:color w:val="000000"/>
                <w:spacing w:val="-3"/>
                <w:highlight w:val="none"/>
              </w:rPr>
              <w:t xml:space="preserve">价</w:t>
            </w:r>
            <w:r>
              <w:rPr>
                <w:rFonts w:ascii="宋体" w:hAnsi="宋体" w:cs="宋体"/>
                <w:b/>
                <w:bCs/>
                <w:color w:val="000000"/>
                <w:spacing w:val="-2"/>
                <w:highlight w:val="none"/>
              </w:rPr>
              <w:t xml:space="preserve">格</w:t>
            </w:r>
            <w:r>
              <w:rPr>
                <w:rFonts w:ascii="宋体" w:hAnsi="宋体" w:cs="宋体"/>
                <w:color w:val="000000"/>
                <w:highlight w:val="none"/>
              </w:rPr>
            </w:r>
            <w:r/>
          </w:p>
        </w:tc>
      </w:tr>
      <w:tr>
        <w:trPr>
          <w:trHeight w:val="90"/>
        </w:trPr>
        <w:tc>
          <w:tcPr>
            <w:tcW w:w="519" w:type="dxa"/>
            <w:vAlign w:val="center"/>
            <w:textDirection w:val="lrTb"/>
            <w:noWrap w:val="false"/>
          </w:tcPr>
          <w:p>
            <w:pPr>
              <w:pStyle w:val="664"/>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1</w:t>
            </w:r>
            <w:r>
              <w:rPr>
                <w:rFonts w:ascii="宋体" w:hAnsi="宋体" w:cs="宋体"/>
                <w:color w:val="000000"/>
                <w:spacing w:val="-5"/>
                <w:highlight w:val="none"/>
              </w:rPr>
              <w:t xml:space="preserve">.1</w:t>
            </w:r>
            <w:r>
              <w:rPr>
                <w:rFonts w:ascii="宋体" w:hAnsi="宋体" w:cs="宋体"/>
                <w:color w:val="000000"/>
                <w:highlight w:val="none"/>
              </w:rPr>
            </w:r>
            <w:r/>
          </w:p>
        </w:tc>
        <w:tc>
          <w:tcPr>
            <w:tcW w:w="1179" w:type="dxa"/>
            <w:vAlign w:val="center"/>
            <w:textDirection w:val="lrTb"/>
            <w:noWrap w:val="false"/>
          </w:tcPr>
          <w:p>
            <w:pPr>
              <w:pStyle w:val="664"/>
              <w:jc w:val="left"/>
              <w:spacing w:before="68" w:line="264" w:lineRule="auto"/>
              <w:rPr>
                <w:rFonts w:ascii="宋体" w:hAnsi="宋体" w:cs="宋体"/>
                <w:color w:val="000000"/>
                <w:highlight w:val="none"/>
              </w:rPr>
            </w:pPr>
            <w:r>
              <w:rPr>
                <w:rFonts w:ascii="宋体" w:hAnsi="宋体" w:cs="宋体"/>
                <w:color w:val="000000"/>
                <w:spacing w:val="-2"/>
                <w:highlight w:val="none"/>
              </w:rPr>
              <w:t xml:space="preserve">价格分</w:t>
            </w:r>
            <w:r>
              <w:rPr>
                <w:rFonts w:ascii="宋体" w:hAnsi="宋体" w:cs="宋体"/>
                <w:color w:val="000000"/>
                <w:highlight w:val="none"/>
              </w:rPr>
            </w:r>
            <w:r/>
          </w:p>
        </w:tc>
        <w:tc>
          <w:tcPr>
            <w:tcW w:w="6330" w:type="dxa"/>
            <w:vAlign w:val="center"/>
            <w:textDirection w:val="lrTb"/>
            <w:noWrap w:val="false"/>
          </w:tcPr>
          <w:p>
            <w:pPr>
              <w:pStyle w:val="664"/>
              <w:jc w:val="left"/>
              <w:spacing w:line="264" w:lineRule="auto"/>
              <w:rPr>
                <w:rFonts w:ascii="宋体" w:hAnsi="宋体" w:cs="宋体"/>
                <w:color w:val="000000"/>
                <w:highlight w:val="none"/>
              </w:rPr>
            </w:pPr>
            <w:r>
              <w:rPr>
                <w:rFonts w:hint="eastAsia" w:ascii="宋体" w:hAnsi="宋体" w:cs="宋体"/>
                <w:color w:val="000000"/>
                <w:highlight w:val="none"/>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rFonts w:ascii="宋体" w:hAnsi="宋体" w:cs="宋体"/>
                <w:color w:val="000000"/>
                <w:highlight w:val="none"/>
              </w:rPr>
            </w:r>
            <w:r/>
          </w:p>
          <w:p>
            <w:pPr>
              <w:pStyle w:val="664"/>
              <w:jc w:val="left"/>
              <w:spacing w:line="264" w:lineRule="auto"/>
              <w:rPr>
                <w:color w:val="000000"/>
                <w:highlight w:val="none"/>
              </w:rPr>
            </w:pPr>
            <w:r>
              <w:rPr>
                <w:color w:val="000000"/>
                <w:highlight w:val="none"/>
              </w:rPr>
            </w:r>
            <w:r/>
          </w:p>
        </w:tc>
        <w:tc>
          <w:tcPr>
            <w:tcW w:w="647"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20</w:t>
            </w:r>
            <w:r>
              <w:rPr>
                <w:rFonts w:ascii="宋体" w:hAnsi="宋体" w:cs="宋体"/>
                <w:color w:val="000000"/>
                <w:highlight w:val="none"/>
              </w:rPr>
            </w:r>
            <w:r/>
          </w:p>
        </w:tc>
        <w:tc>
          <w:tcPr>
            <w:tcW w:w="900"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价格分</w:t>
            </w:r>
            <w:r>
              <w:rPr>
                <w:rFonts w:ascii="宋体" w:hAnsi="宋体" w:cs="宋体"/>
                <w:color w:val="000000"/>
                <w:highlight w:val="none"/>
              </w:rPr>
            </w:r>
            <w:r/>
          </w:p>
        </w:tc>
      </w:tr>
      <w:tr>
        <w:trPr>
          <w:trHeight w:val="460"/>
        </w:trPr>
        <w:tc>
          <w:tcPr>
            <w:gridSpan w:val="5"/>
            <w:tcW w:w="9575" w:type="dxa"/>
            <w:vAlign w:val="top"/>
            <w:textDirection w:val="lrTb"/>
            <w:noWrap w:val="false"/>
          </w:tcPr>
          <w:p>
            <w:pPr>
              <w:pStyle w:val="664"/>
              <w:ind w:left="114"/>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2.技术</w:t>
            </w:r>
            <w:r>
              <w:rPr>
                <w:rFonts w:ascii="宋体" w:hAnsi="宋体" w:cs="宋体"/>
                <w:color w:val="000000"/>
                <w:highlight w:val="none"/>
              </w:rPr>
            </w:r>
            <w:r/>
          </w:p>
        </w:tc>
      </w:tr>
      <w:tr>
        <w:trPr>
          <w:trHeight w:val="479"/>
        </w:trPr>
        <w:tc>
          <w:tcPr>
            <w:tcW w:w="519" w:type="dxa"/>
            <w:vAlign w:val="center"/>
            <w:textDirection w:val="lrTb"/>
            <w:noWrap w:val="false"/>
          </w:tcPr>
          <w:p>
            <w:pPr>
              <w:pStyle w:val="664"/>
              <w:jc w:val="center"/>
              <w:spacing w:before="68" w:line="264" w:lineRule="auto"/>
              <w:rPr>
                <w:rFonts w:ascii="宋体" w:hAnsi="宋体" w:cs="宋体"/>
                <w:color w:val="000000"/>
                <w:spacing w:val="-2"/>
                <w:highlight w:val="none"/>
              </w:rPr>
            </w:pPr>
            <w:r>
              <w:rPr>
                <w:rFonts w:ascii="宋体" w:hAnsi="宋体" w:cs="宋体"/>
                <w:color w:val="000000"/>
                <w:spacing w:val="-2"/>
                <w:highlight w:val="none"/>
              </w:rPr>
              <w:t xml:space="preserve">2.1</w:t>
            </w:r>
            <w:r>
              <w:rPr>
                <w:rFonts w:ascii="宋体" w:hAnsi="宋体" w:cs="宋体"/>
                <w:color w:val="000000"/>
                <w:spacing w:val="-2"/>
                <w:highlight w:val="none"/>
              </w:rPr>
            </w:r>
            <w:r/>
          </w:p>
        </w:tc>
        <w:tc>
          <w:tcPr>
            <w:tcW w:w="1179" w:type="dxa"/>
            <w:vAlign w:val="center"/>
            <w:textDirection w:val="lrTb"/>
            <w:noWrap w:val="false"/>
          </w:tcPr>
          <w:p>
            <w:pPr>
              <w:pStyle w:val="664"/>
              <w:jc w:val="left"/>
              <w:spacing w:before="68" w:line="264" w:lineRule="auto"/>
              <w:rPr>
                <w:rFonts w:ascii="宋体" w:hAnsi="宋体" w:cs="宋体"/>
                <w:color w:val="000000"/>
                <w:spacing w:val="-2"/>
                <w:highlight w:val="none"/>
              </w:rPr>
            </w:pPr>
            <w:r>
              <w:rPr>
                <w:rFonts w:hint="eastAsia"/>
                <w:color w:val="000000"/>
                <w:highlight w:val="none"/>
              </w:rPr>
              <w:t xml:space="preserve">产品技术参数</w:t>
            </w:r>
            <w:r>
              <w:rPr>
                <w:rFonts w:ascii="宋体" w:hAnsi="宋体" w:cs="宋体"/>
                <w:color w:val="000000"/>
                <w:spacing w:val="-2"/>
                <w:highlight w:val="none"/>
              </w:rPr>
            </w:r>
            <w:r/>
          </w:p>
        </w:tc>
        <w:tc>
          <w:tcPr>
            <w:tcW w:w="6330" w:type="dxa"/>
            <w:vAlign w:val="center"/>
            <w:textDirection w:val="lrTb"/>
            <w:noWrap w:val="false"/>
          </w:tcPr>
          <w:p>
            <w:pPr>
              <w:pStyle w:val="664"/>
              <w:jc w:val="left"/>
              <w:spacing w:line="264" w:lineRule="auto"/>
              <w:widowControl/>
              <w:rPr>
                <w:rFonts w:ascii="宋体" w:hAnsi="宋体" w:cs="宋体"/>
                <w:color w:val="000000"/>
                <w:highlight w:val="none"/>
              </w:rPr>
            </w:pPr>
            <w:r>
              <w:rPr>
                <w:rFonts w:hint="eastAsia" w:ascii="宋体" w:hAnsi="宋体" w:cs="宋体"/>
                <w:color w:val="000000"/>
                <w:highlight w:val="none"/>
              </w:rPr>
              <w:t xml:space="preserve">产品</w:t>
            </w:r>
            <w:r>
              <w:rPr>
                <w:rFonts w:ascii="宋体" w:hAnsi="宋体" w:cs="宋体"/>
                <w:color w:val="000000"/>
                <w:highlight w:val="none"/>
              </w:rPr>
              <w:t xml:space="preserve">技术参数全部满足</w:t>
            </w:r>
            <w:r>
              <w:rPr>
                <w:rFonts w:hint="eastAsia" w:ascii="宋体" w:hAnsi="宋体" w:cs="宋体"/>
                <w:color w:val="000000"/>
                <w:highlight w:val="none"/>
              </w:rPr>
              <w:t xml:space="preserve">磋商文件</w:t>
            </w:r>
            <w:r>
              <w:rPr>
                <w:rFonts w:ascii="宋体" w:hAnsi="宋体" w:cs="宋体"/>
                <w:color w:val="000000"/>
                <w:highlight w:val="none"/>
              </w:rPr>
              <w:t xml:space="preserve">要求的得满分</w:t>
            </w:r>
            <w:r>
              <w:rPr>
                <w:rFonts w:hint="eastAsia" w:ascii="宋体" w:hAnsi="宋体" w:cs="宋体"/>
                <w:color w:val="000000"/>
                <w:highlight w:val="none"/>
              </w:rPr>
              <w:t xml:space="preserve">，</w:t>
            </w:r>
            <w:r>
              <w:rPr>
                <w:rFonts w:ascii="宋体" w:hAnsi="宋体" w:cs="宋体"/>
                <w:color w:val="000000"/>
                <w:highlight w:val="none"/>
              </w:rPr>
              <w:t xml:space="preserve">打★指标为重要指标，</w:t>
            </w:r>
            <w:r>
              <w:rPr>
                <w:rFonts w:hint="eastAsia" w:ascii="宋体" w:hAnsi="宋体" w:cs="宋体"/>
                <w:color w:val="000000"/>
                <w:szCs w:val="21"/>
                <w:highlight w:val="none"/>
              </w:rPr>
              <w:t xml:space="preserve">有1项负偏离，</w:t>
            </w:r>
            <w:r>
              <w:rPr>
                <w:rFonts w:hint="eastAsia" w:ascii="宋体" w:hAnsi="宋体" w:cs="宋体"/>
                <w:color w:val="000000"/>
                <w:highlight w:val="none"/>
              </w:rPr>
              <w:t xml:space="preserve">作无效投标处理</w:t>
            </w:r>
            <w:r>
              <w:rPr>
                <w:rFonts w:hint="eastAsia" w:ascii="宋体" w:hAnsi="宋体" w:cs="宋体"/>
                <w:color w:val="000000"/>
                <w:szCs w:val="21"/>
                <w:highlight w:val="none"/>
              </w:rPr>
              <w:t xml:space="preserve">；</w:t>
            </w:r>
            <w:r>
              <w:rPr>
                <w:rFonts w:ascii="宋体" w:hAnsi="宋体" w:cs="宋体"/>
                <w:color w:val="000000"/>
                <w:sz w:val="22"/>
                <w:highlight w:val="none"/>
              </w:rPr>
              <w:t xml:space="preserve">打▲</w:t>
            </w:r>
            <w:r>
              <w:rPr>
                <w:rFonts w:hint="eastAsia" w:ascii="宋体" w:hAnsi="宋体" w:cs="宋体"/>
                <w:color w:val="000000"/>
                <w:highlight w:val="none"/>
              </w:rPr>
              <w:t xml:space="preserve">指标为重要指标，有1项负偏离扣1分；其余指标有1项负偏离扣0.5分。</w:t>
            </w:r>
            <w:r>
              <w:rPr>
                <w:rFonts w:ascii="宋体" w:hAnsi="宋体" w:cs="宋体"/>
                <w:color w:val="000000"/>
                <w:highlight w:val="none"/>
              </w:rPr>
            </w:r>
            <w:r/>
          </w:p>
          <w:p>
            <w:pPr>
              <w:pStyle w:val="664"/>
              <w:jc w:val="left"/>
              <w:spacing w:line="264" w:lineRule="auto"/>
              <w:widowControl/>
              <w:rPr>
                <w:rFonts w:ascii="宋体" w:hAnsi="宋体" w:cs="宋体"/>
                <w:color w:val="000000"/>
                <w:highlight w:val="none"/>
              </w:rPr>
            </w:pPr>
            <w:r>
              <w:rPr>
                <w:rFonts w:hint="eastAsia" w:ascii="宋体" w:hAnsi="宋体" w:cs="宋体"/>
                <w:color w:val="000000"/>
                <w:highlight w:val="none"/>
              </w:rPr>
              <w:t xml:space="preserve">注：</w:t>
            </w:r>
            <w:r>
              <w:rPr>
                <w:rFonts w:ascii="宋体" w:hAnsi="宋体" w:cs="宋体"/>
                <w:color w:val="000000"/>
                <w:highlight w:val="none"/>
              </w:rPr>
            </w:r>
            <w:r/>
          </w:p>
          <w:p>
            <w:pPr>
              <w:pStyle w:val="664"/>
              <w:jc w:val="left"/>
              <w:spacing w:line="264" w:lineRule="auto"/>
              <w:widowControl/>
              <w:rPr>
                <w:color w:val="000000"/>
                <w:highlight w:val="none"/>
              </w:rPr>
            </w:pPr>
            <w:r>
              <w:rPr>
                <w:rFonts w:hint="eastAsia" w:ascii="宋体" w:hAnsi="宋体" w:cs="宋体"/>
                <w:color w:val="000000"/>
                <w:highlight w:val="none"/>
              </w:rPr>
              <w:t xml:space="preserve">其中标注“★”的内容需提供系统截图证明或相关证明、证书，否则作无效投标处理；“</w:t>
            </w:r>
            <w:r>
              <w:rPr>
                <w:rFonts w:ascii="宋体" w:hAnsi="宋体" w:cs="宋体"/>
                <w:color w:val="000000"/>
                <w:sz w:val="22"/>
                <w:highlight w:val="none"/>
              </w:rPr>
              <w:t xml:space="preserve">▲</w:t>
            </w:r>
            <w:r>
              <w:rPr>
                <w:rFonts w:hint="eastAsia" w:ascii="宋体" w:hAnsi="宋体" w:cs="宋体"/>
                <w:color w:val="000000"/>
                <w:highlight w:val="none"/>
              </w:rPr>
              <w:t xml:space="preserve">”的内容需提供系统截图证明或相关证明、证书。</w:t>
            </w:r>
            <w:r>
              <w:rPr>
                <w:color w:val="000000"/>
                <w:highlight w:val="none"/>
              </w:rPr>
            </w:r>
            <w:r/>
          </w:p>
        </w:tc>
        <w:tc>
          <w:tcPr>
            <w:tcW w:w="647"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20</w:t>
            </w:r>
            <w:r>
              <w:rPr>
                <w:rFonts w:ascii="宋体" w:hAnsi="宋体" w:cs="宋体"/>
                <w:color w:val="000000"/>
                <w:highlight w:val="none"/>
              </w:rPr>
            </w:r>
            <w:r/>
          </w:p>
        </w:tc>
        <w:tc>
          <w:tcPr>
            <w:tcW w:w="900"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r>
      <w:tr>
        <w:trPr>
          <w:trHeight w:val="315"/>
        </w:trPr>
        <w:tc>
          <w:tcPr>
            <w:tcW w:w="519" w:type="dxa"/>
            <w:vAlign w:val="center"/>
            <w:textDirection w:val="lrTb"/>
            <w:noWrap w:val="false"/>
          </w:tcPr>
          <w:p>
            <w:pPr>
              <w:pStyle w:val="664"/>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2</w:t>
            </w:r>
            <w:r>
              <w:rPr>
                <w:rFonts w:ascii="宋体" w:hAnsi="宋体" w:cs="宋体"/>
                <w:color w:val="000000"/>
                <w:spacing w:val="-2"/>
                <w:highlight w:val="none"/>
              </w:rPr>
              <w:t xml:space="preserve">.2</w:t>
            </w:r>
            <w:r>
              <w:rPr>
                <w:rFonts w:ascii="宋体" w:hAnsi="宋体" w:cs="宋体"/>
                <w:color w:val="000000"/>
                <w:spacing w:val="-2"/>
                <w:highlight w:val="none"/>
              </w:rPr>
            </w:r>
            <w:r/>
          </w:p>
        </w:tc>
        <w:tc>
          <w:tcPr>
            <w:tcW w:w="1179" w:type="dxa"/>
            <w:vAlign w:val="center"/>
            <w:textDirection w:val="lrTb"/>
            <w:noWrap w:val="false"/>
          </w:tcPr>
          <w:p>
            <w:pPr>
              <w:pStyle w:val="664"/>
              <w:spacing w:line="264" w:lineRule="auto"/>
              <w:rPr>
                <w:color w:val="000000"/>
                <w:highlight w:val="none"/>
              </w:rPr>
            </w:pPr>
            <w:r>
              <w:rPr>
                <w:rFonts w:hint="eastAsia"/>
                <w:color w:val="000000"/>
                <w:highlight w:val="none"/>
              </w:rPr>
              <w:t xml:space="preserve">需求理解</w:t>
            </w:r>
            <w:r>
              <w:rPr>
                <w:color w:val="000000"/>
                <w:highlight w:val="none"/>
              </w:rPr>
            </w:r>
            <w:r/>
          </w:p>
        </w:tc>
        <w:tc>
          <w:tcPr>
            <w:tcW w:w="6330" w:type="dxa"/>
            <w:vAlign w:val="center"/>
            <w:textDirection w:val="lrTb"/>
            <w:noWrap w:val="false"/>
          </w:tcPr>
          <w:p>
            <w:pPr>
              <w:pStyle w:val="975"/>
              <w:spacing w:line="264" w:lineRule="auto"/>
              <w:rPr>
                <w:color w:val="000000"/>
                <w:sz w:val="21"/>
                <w:highlight w:val="none"/>
                <w:lang w:bidi="ar-SA"/>
              </w:rPr>
            </w:pPr>
            <w:r/>
            <w:bookmarkStart w:id="28" w:name="OLE_LINK5"/>
            <w:r>
              <w:rPr>
                <w:rFonts w:hint="eastAsia"/>
                <w:color w:val="000000"/>
                <w:sz w:val="21"/>
                <w:highlight w:val="none"/>
                <w:lang w:bidi="ar-SA"/>
              </w:rPr>
              <w:t xml:space="preserve">投标人提供针对本项目的项目服务实施方案，包括（每项内容逐条阐述）</w:t>
            </w:r>
            <w:r>
              <w:rPr>
                <w:rFonts w:hint="eastAsia"/>
                <w:color w:val="000000"/>
                <w:sz w:val="21"/>
                <w:highlight w:val="none"/>
                <w:lang w:val="en-US" w:bidi="ar-SA"/>
              </w:rPr>
              <w:t xml:space="preserve">1、项目实施节点；2、项目流程规划；3、项目实施应急方案；4、项目上线验收规划。</w:t>
            </w:r>
            <w:r>
              <w:rPr>
                <w:color w:val="000000"/>
                <w:sz w:val="21"/>
                <w:highlight w:val="none"/>
                <w:lang w:bidi="ar-SA"/>
              </w:rPr>
            </w:r>
            <w:r/>
          </w:p>
          <w:p>
            <w:pPr>
              <w:pStyle w:val="664"/>
              <w:spacing w:line="264" w:lineRule="auto"/>
              <w:rPr>
                <w:rFonts w:ascii="宋体" w:hAnsi="宋体" w:cs="宋体"/>
                <w:color w:val="000000"/>
                <w:highlight w:val="none"/>
              </w:rPr>
            </w:pPr>
            <w:r>
              <w:rPr>
                <w:rFonts w:hint="eastAsia" w:ascii="宋体" w:hAnsi="宋体" w:cs="宋体"/>
                <w:color w:val="000000"/>
                <w:highlight w:val="none"/>
              </w:rPr>
              <w:t xml:space="preserve">（1）上述每项内容，分析准确、细致完整，应对措施有力、科学可行，与采购需求高度吻合的，每项得2分；</w:t>
            </w:r>
            <w:r>
              <w:rPr>
                <w:rFonts w:ascii="宋体" w:hAnsi="宋体" w:cs="宋体"/>
                <w:color w:val="000000"/>
                <w:highlight w:val="none"/>
              </w:rPr>
            </w:r>
            <w:r/>
          </w:p>
          <w:p>
            <w:pPr>
              <w:pStyle w:val="664"/>
              <w:spacing w:line="264" w:lineRule="auto"/>
              <w:rPr>
                <w:rFonts w:ascii="宋体" w:hAnsi="宋体" w:cs="宋体"/>
                <w:color w:val="000000"/>
                <w:highlight w:val="none"/>
              </w:rPr>
            </w:pPr>
            <w:r>
              <w:rPr>
                <w:rFonts w:hint="eastAsia" w:ascii="宋体" w:hAnsi="宋体" w:cs="宋体"/>
                <w:color w:val="000000"/>
                <w:highlight w:val="none"/>
              </w:rPr>
              <w:t xml:space="preserve">（2）上述每项内容，分析较为准确完整，应对措施可行，与采购需求较为吻合的，每项得1分；</w:t>
            </w:r>
            <w:r>
              <w:rPr>
                <w:rFonts w:ascii="宋体" w:hAnsi="宋体" w:cs="宋体"/>
                <w:color w:val="000000"/>
                <w:highlight w:val="none"/>
              </w:rPr>
            </w:r>
            <w:r/>
          </w:p>
          <w:p>
            <w:pPr>
              <w:pStyle w:val="664"/>
              <w:rPr>
                <w:color w:val="000000"/>
                <w:highlight w:val="none"/>
              </w:rPr>
            </w:pPr>
            <w:r>
              <w:rPr>
                <w:rFonts w:hint="eastAsia" w:ascii="宋体" w:hAnsi="宋体" w:cs="宋体"/>
                <w:color w:val="000000"/>
                <w:highlight w:val="none"/>
              </w:rPr>
              <w:t xml:space="preserve">（3）上述每项内容，分析不完整，应对措施不可行，脱离采购需求实际或未提供的，不得分。</w:t>
            </w:r>
            <w:bookmarkEnd w:id="28"/>
            <w:r>
              <w:rPr>
                <w:color w:val="000000"/>
                <w:highlight w:val="none"/>
              </w:rPr>
            </w:r>
            <w:r/>
          </w:p>
          <w:p>
            <w:pPr>
              <w:pStyle w:val="875"/>
              <w:spacing w:line="264" w:lineRule="auto"/>
              <w:rPr>
                <w:color w:val="000000"/>
                <w:highlight w:val="none"/>
              </w:rPr>
            </w:pPr>
            <w:r>
              <w:rPr>
                <w:color w:val="000000"/>
                <w:highlight w:val="none"/>
              </w:rPr>
            </w:r>
            <w:r/>
          </w:p>
        </w:tc>
        <w:tc>
          <w:tcPr>
            <w:tcW w:w="647"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W w:w="900"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spacing w:val="-4"/>
                <w:highlight w:val="none"/>
              </w:rPr>
              <w:t xml:space="preserve">主观分</w:t>
            </w:r>
            <w:r>
              <w:rPr>
                <w:rFonts w:ascii="宋体" w:hAnsi="宋体" w:cs="宋体"/>
                <w:color w:val="000000"/>
                <w:highlight w:val="none"/>
              </w:rPr>
            </w:r>
            <w:r/>
          </w:p>
        </w:tc>
      </w:tr>
      <w:tr>
        <w:trPr>
          <w:trHeight w:val="315"/>
        </w:trPr>
        <w:tc>
          <w:tcPr>
            <w:tcW w:w="519" w:type="dxa"/>
            <w:vAlign w:val="center"/>
            <w:textDirection w:val="lrTb"/>
            <w:noWrap w:val="false"/>
          </w:tcPr>
          <w:p>
            <w:pPr>
              <w:pStyle w:val="664"/>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highlight w:val="none"/>
              </w:rPr>
              <w:t xml:space="preserve">2.3</w:t>
            </w:r>
            <w:r>
              <w:rPr>
                <w:rFonts w:ascii="宋体" w:hAnsi="宋体" w:cs="宋体"/>
                <w:color w:val="000000"/>
                <w:spacing w:val="-2"/>
                <w:szCs w:val="21"/>
                <w:highlight w:val="none"/>
              </w:rPr>
            </w:r>
            <w:r/>
          </w:p>
        </w:tc>
        <w:tc>
          <w:tcPr>
            <w:tcW w:w="1179" w:type="dxa"/>
            <w:vAlign w:val="center"/>
            <w:textDirection w:val="lrTb"/>
            <w:noWrap w:val="false"/>
          </w:tcPr>
          <w:p>
            <w:pPr>
              <w:pStyle w:val="664"/>
              <w:spacing w:line="264" w:lineRule="auto"/>
              <w:rPr>
                <w:color w:val="000000"/>
                <w:highlight w:val="none"/>
              </w:rPr>
            </w:pPr>
            <w:r>
              <w:rPr>
                <w:rFonts w:hint="eastAsia"/>
                <w:color w:val="000000"/>
                <w:highlight w:val="none"/>
              </w:rPr>
              <w:t xml:space="preserve">项目技术方案</w:t>
            </w:r>
            <w:r>
              <w:rPr>
                <w:color w:val="000000"/>
                <w:highlight w:val="none"/>
              </w:rPr>
            </w:r>
            <w:r/>
          </w:p>
        </w:tc>
        <w:tc>
          <w:tcPr>
            <w:tcW w:w="6330" w:type="dxa"/>
            <w:vAlign w:val="center"/>
            <w:textDirection w:val="lrTb"/>
            <w:noWrap w:val="false"/>
          </w:tcPr>
          <w:p>
            <w:pPr>
              <w:pStyle w:val="664"/>
              <w:jc w:val="left"/>
              <w:spacing w:line="264" w:lineRule="auto"/>
              <w:rPr>
                <w:color w:val="000000"/>
                <w:highlight w:val="none"/>
              </w:rPr>
            </w:pPr>
            <w:r>
              <w:rPr>
                <w:rFonts w:hint="eastAsia"/>
                <w:color w:val="000000"/>
                <w:highlight w:val="none"/>
              </w:rPr>
              <w:t xml:space="preserve">评委根据供应商提供的项目总体技术方案</w:t>
            </w:r>
            <w:r>
              <w:rPr>
                <w:rFonts w:hint="eastAsia" w:ascii="宋体" w:hAnsi="宋体" w:cs="宋体"/>
                <w:color w:val="000000"/>
                <w:highlight w:val="none"/>
              </w:rPr>
              <w:t xml:space="preserve">综合评分，包括：</w:t>
            </w:r>
            <w:r>
              <w:rPr>
                <w:rFonts w:ascii="宋体" w:hAnsi="宋体" w:cs="宋体"/>
                <w:color w:val="000000"/>
                <w:highlight w:val="none"/>
              </w:rPr>
              <w:t xml:space="preserve">1.</w:t>
            </w:r>
            <w:r>
              <w:rPr>
                <w:rFonts w:hint="eastAsia" w:ascii="宋体" w:hAnsi="宋体" w:cs="宋体"/>
                <w:color w:val="000000"/>
                <w:highlight w:val="none"/>
              </w:rPr>
              <w:t xml:space="preserve">总体架构和性能设计；</w:t>
            </w:r>
            <w:r>
              <w:rPr>
                <w:rFonts w:ascii="宋体" w:hAnsi="宋体" w:cs="宋体"/>
                <w:color w:val="000000"/>
                <w:highlight w:val="none"/>
              </w:rPr>
              <w:t xml:space="preserve">2.</w:t>
            </w:r>
            <w:r>
              <w:rPr>
                <w:rFonts w:hint="eastAsia" w:ascii="宋体" w:hAnsi="宋体" w:cs="宋体"/>
                <w:color w:val="000000"/>
                <w:highlight w:val="none"/>
              </w:rPr>
              <w:t xml:space="preserve">技术路线和业务逻辑流程设计；</w:t>
            </w:r>
            <w:r>
              <w:rPr>
                <w:rFonts w:ascii="宋体" w:hAnsi="宋体" w:cs="宋体"/>
                <w:color w:val="000000"/>
                <w:highlight w:val="none"/>
              </w:rPr>
              <w:t xml:space="preserve">3.</w:t>
            </w:r>
            <w:r>
              <w:rPr>
                <w:rFonts w:hint="eastAsia" w:ascii="宋体" w:hAnsi="宋体" w:cs="宋体"/>
                <w:color w:val="000000"/>
                <w:highlight w:val="none"/>
              </w:rPr>
              <w:t xml:space="preserve">用户界面和应用功能设计；</w:t>
            </w:r>
            <w:r>
              <w:rPr>
                <w:rFonts w:ascii="宋体" w:hAnsi="宋体" w:cs="宋体"/>
                <w:color w:val="000000"/>
                <w:highlight w:val="none"/>
              </w:rPr>
              <w:t xml:space="preserve">4.</w:t>
            </w:r>
            <w:r>
              <w:rPr>
                <w:rFonts w:hint="eastAsia" w:ascii="宋体" w:hAnsi="宋体" w:cs="宋体"/>
                <w:color w:val="000000"/>
                <w:highlight w:val="none"/>
              </w:rPr>
              <w:t xml:space="preserve">系统部署和安全防护设计。</w:t>
            </w:r>
            <w:r>
              <w:rPr>
                <w:rFonts w:hint="eastAsia" w:ascii="宋体" w:hAnsi="宋体" w:cs="宋体"/>
                <w:color w:val="000000"/>
                <w:szCs w:val="21"/>
                <w:highlight w:val="none"/>
              </w:rPr>
              <w:t xml:space="preserve">以上每项内容逐条阐述。</w:t>
            </w:r>
            <w:r>
              <w:rPr>
                <w:color w:val="000000"/>
                <w:highlight w:val="none"/>
              </w:rPr>
            </w:r>
            <w:r/>
          </w:p>
          <w:p>
            <w:pPr>
              <w:pStyle w:val="664"/>
              <w:jc w:val="left"/>
              <w:spacing w:line="264" w:lineRule="auto"/>
              <w:widowControl/>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以上每项内容</w:t>
            </w:r>
            <w:r>
              <w:rPr>
                <w:rFonts w:ascii="宋体" w:hAnsi="宋体" w:cs="宋体"/>
                <w:color w:val="000000"/>
                <w:highlight w:val="none"/>
              </w:rPr>
              <w:t xml:space="preserve">设计思路科学、前瞻性、技术先进可行</w:t>
            </w:r>
            <w:r>
              <w:rPr>
                <w:rFonts w:hint="eastAsia" w:ascii="宋体" w:hAnsi="宋体" w:cs="宋体"/>
                <w:color w:val="000000"/>
                <w:highlight w:val="none"/>
              </w:rPr>
              <w:t xml:space="preserve">、</w:t>
            </w:r>
            <w:r>
              <w:rPr>
                <w:rFonts w:ascii="宋体" w:hAnsi="宋体" w:cs="宋体"/>
                <w:color w:val="000000"/>
                <w:highlight w:val="none"/>
              </w:rPr>
              <w:t xml:space="preserve">紧贴采购需求的，得</w:t>
            </w:r>
            <w:r>
              <w:rPr>
                <w:rFonts w:hint="eastAsia" w:ascii="宋体" w:hAnsi="宋体" w:cs="宋体"/>
                <w:color w:val="000000"/>
                <w:highlight w:val="none"/>
              </w:rPr>
              <w:t xml:space="preserve">3</w:t>
            </w:r>
            <w:r>
              <w:rPr>
                <w:rFonts w:ascii="宋体" w:hAnsi="宋体" w:cs="宋体"/>
                <w:color w:val="000000"/>
                <w:highlight w:val="none"/>
              </w:rPr>
              <w:t xml:space="preserve">分； </w:t>
            </w:r>
            <w:r>
              <w:rPr>
                <w:rFonts w:ascii="宋体" w:hAnsi="宋体" w:cs="宋体"/>
                <w:color w:val="000000"/>
                <w:highlight w:val="none"/>
              </w:rPr>
            </w:r>
            <w:r/>
          </w:p>
          <w:p>
            <w:pPr>
              <w:pStyle w:val="664"/>
              <w:jc w:val="left"/>
              <w:spacing w:line="264" w:lineRule="auto"/>
              <w:widowControl/>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以上每项内容</w:t>
            </w:r>
            <w:r>
              <w:rPr>
                <w:rFonts w:ascii="宋体" w:hAnsi="宋体" w:cs="宋体"/>
                <w:color w:val="000000"/>
                <w:highlight w:val="none"/>
              </w:rPr>
              <w:t xml:space="preserve">设计思路较科学、前瞻性、技术较先进可行、能够满足采购需求的，得</w:t>
            </w:r>
            <w:r>
              <w:rPr>
                <w:rFonts w:hint="eastAsia" w:ascii="宋体" w:hAnsi="宋体" w:cs="宋体"/>
                <w:color w:val="000000"/>
                <w:highlight w:val="none"/>
              </w:rPr>
              <w:t xml:space="preserve">2</w:t>
            </w:r>
            <w:r>
              <w:rPr>
                <w:rFonts w:ascii="宋体" w:hAnsi="宋体" w:cs="宋体"/>
                <w:color w:val="000000"/>
                <w:highlight w:val="none"/>
              </w:rPr>
              <w:t xml:space="preserve">分； </w:t>
            </w:r>
            <w:r>
              <w:rPr>
                <w:rFonts w:ascii="宋体" w:hAnsi="宋体" w:cs="宋体"/>
                <w:color w:val="000000"/>
                <w:highlight w:val="none"/>
              </w:rPr>
            </w:r>
            <w:r/>
          </w:p>
          <w:p>
            <w:pPr>
              <w:pStyle w:val="664"/>
              <w:jc w:val="left"/>
              <w:spacing w:line="264" w:lineRule="auto"/>
              <w:widowControl/>
              <w:rPr>
                <w:rFonts w:ascii="宋体" w:hAnsi="宋体" w:cs="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以上每项内容</w:t>
            </w:r>
            <w:r>
              <w:rPr>
                <w:rFonts w:ascii="宋体" w:hAnsi="宋体" w:cs="宋体"/>
                <w:color w:val="000000"/>
                <w:highlight w:val="none"/>
              </w:rPr>
              <w:t xml:space="preserve">设计思路基本满足采购需求、具有一定可行性的，得</w:t>
            </w:r>
            <w:r>
              <w:rPr>
                <w:rFonts w:hint="eastAsia" w:ascii="宋体" w:hAnsi="宋体" w:cs="宋体"/>
                <w:color w:val="000000"/>
                <w:highlight w:val="none"/>
              </w:rPr>
              <w:t xml:space="preserve">1</w:t>
            </w:r>
            <w:r>
              <w:rPr>
                <w:rFonts w:ascii="宋体" w:hAnsi="宋体" w:cs="宋体"/>
                <w:color w:val="000000"/>
                <w:highlight w:val="none"/>
              </w:rPr>
              <w:t xml:space="preserve">分； </w:t>
            </w:r>
            <w:r>
              <w:rPr>
                <w:rFonts w:ascii="宋体" w:hAnsi="宋体" w:cs="宋体"/>
                <w:color w:val="000000"/>
                <w:highlight w:val="none"/>
              </w:rPr>
            </w:r>
            <w:r/>
          </w:p>
          <w:p>
            <w:pPr>
              <w:pStyle w:val="664"/>
              <w:jc w:val="left"/>
              <w:spacing w:line="264" w:lineRule="auto"/>
              <w:widowControl/>
              <w:rPr>
                <w:rFonts w:ascii="宋体" w:hAnsi="宋体" w:cs="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以上每项内容</w:t>
            </w:r>
            <w:r>
              <w:rPr>
                <w:rFonts w:ascii="宋体" w:hAnsi="宋体" w:cs="宋体"/>
                <w:color w:val="000000"/>
                <w:highlight w:val="none"/>
              </w:rPr>
              <w:t xml:space="preserve">设计思路不能满足采购需求或未提供方案的不得分。 </w:t>
            </w:r>
            <w:r>
              <w:rPr>
                <w:rFonts w:ascii="宋体" w:hAnsi="宋体" w:cs="宋体"/>
                <w:color w:val="000000"/>
                <w:highlight w:val="none"/>
              </w:rPr>
            </w:r>
            <w:r/>
          </w:p>
          <w:p>
            <w:pPr>
              <w:pStyle w:val="664"/>
              <w:spacing w:line="264" w:lineRule="auto"/>
              <w:rPr>
                <w:color w:val="000000"/>
                <w:highlight w:val="none"/>
              </w:rPr>
            </w:pPr>
            <w:r>
              <w:rPr>
                <w:color w:val="000000"/>
                <w:highlight w:val="none"/>
              </w:rPr>
            </w:r>
            <w:r/>
          </w:p>
        </w:tc>
        <w:tc>
          <w:tcPr>
            <w:tcW w:w="647" w:type="dxa"/>
            <w:vAlign w:val="center"/>
            <w:textDirection w:val="lrTb"/>
            <w:noWrap w:val="false"/>
          </w:tcPr>
          <w:p>
            <w:pPr>
              <w:pStyle w:val="664"/>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900" w:type="dxa"/>
            <w:vAlign w:val="center"/>
            <w:textDirection w:val="lrTb"/>
            <w:noWrap w:val="false"/>
          </w:tcPr>
          <w:p>
            <w:pPr>
              <w:pStyle w:val="664"/>
              <w:jc w:val="center"/>
              <w:spacing w:before="68" w:line="264" w:lineRule="auto"/>
              <w:rPr>
                <w:rFonts w:ascii="宋体" w:hAnsi="宋体" w:cs="宋体"/>
                <w:color w:val="000000"/>
                <w:szCs w:val="21"/>
                <w:highlight w:val="none"/>
              </w:rPr>
            </w:pPr>
            <w:r>
              <w:rPr>
                <w:rFonts w:hint="eastAsia" w:ascii="宋体" w:hAnsi="宋体" w:cs="宋体"/>
                <w:color w:val="000000"/>
                <w:spacing w:val="-4"/>
                <w:highlight w:val="none"/>
              </w:rPr>
              <w:t xml:space="preserve">主观分</w:t>
            </w:r>
            <w:r>
              <w:rPr>
                <w:rFonts w:ascii="宋体" w:hAnsi="宋体" w:cs="宋体"/>
                <w:color w:val="000000"/>
                <w:szCs w:val="21"/>
                <w:highlight w:val="none"/>
              </w:rPr>
            </w:r>
            <w:r/>
          </w:p>
        </w:tc>
      </w:tr>
      <w:tr>
        <w:trPr>
          <w:trHeight w:val="472"/>
        </w:trPr>
        <w:tc>
          <w:tcPr>
            <w:gridSpan w:val="5"/>
            <w:tcW w:w="9575" w:type="dxa"/>
            <w:vAlign w:val="center"/>
            <w:textDirection w:val="lrTb"/>
            <w:noWrap w:val="false"/>
          </w:tcPr>
          <w:p>
            <w:pPr>
              <w:pStyle w:val="664"/>
              <w:spacing w:before="68" w:line="264" w:lineRule="auto"/>
              <w:rPr>
                <w:rFonts w:ascii="宋体" w:hAnsi="宋体" w:cs="宋体"/>
                <w:color w:val="000000"/>
                <w:highlight w:val="none"/>
              </w:rPr>
            </w:pPr>
            <w:r>
              <w:rPr>
                <w:rFonts w:hint="eastAsia" w:ascii="宋体" w:hAnsi="宋体" w:cs="宋体"/>
                <w:b/>
                <w:bCs/>
                <w:color w:val="000000"/>
                <w:spacing w:val="-3"/>
                <w:highlight w:val="none"/>
              </w:rPr>
              <w:t xml:space="preserve">3.服务</w:t>
            </w:r>
            <w:r>
              <w:rPr>
                <w:rFonts w:ascii="宋体" w:hAnsi="宋体" w:cs="宋体"/>
                <w:color w:val="000000"/>
                <w:highlight w:val="none"/>
              </w:rPr>
            </w:r>
            <w:r/>
          </w:p>
        </w:tc>
      </w:tr>
      <w:tr>
        <w:trPr>
          <w:trHeight w:val="430"/>
        </w:trPr>
        <w:tc>
          <w:tcPr>
            <w:tcW w:w="519" w:type="dxa"/>
            <w:vAlign w:val="center"/>
            <w:textDirection w:val="lrTb"/>
            <w:noWrap w:val="false"/>
          </w:tcPr>
          <w:p>
            <w:pPr>
              <w:pStyle w:val="664"/>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3.1</w:t>
            </w:r>
            <w:r>
              <w:rPr>
                <w:rFonts w:ascii="宋体" w:hAnsi="宋体" w:cs="宋体"/>
                <w:color w:val="000000"/>
                <w:spacing w:val="-2"/>
                <w:highlight w:val="none"/>
              </w:rPr>
            </w:r>
            <w:r/>
          </w:p>
        </w:tc>
        <w:tc>
          <w:tcPr>
            <w:tcW w:w="1179" w:type="dxa"/>
            <w:vAlign w:val="center"/>
            <w:textDirection w:val="lrTb"/>
            <w:noWrap w:val="false"/>
          </w:tcPr>
          <w:p>
            <w:pPr>
              <w:pStyle w:val="664"/>
              <w:spacing w:line="264" w:lineRule="auto"/>
              <w:rPr>
                <w:color w:val="000000"/>
                <w:highlight w:val="none"/>
              </w:rPr>
            </w:pPr>
            <w:r>
              <w:rPr>
                <w:rFonts w:hint="eastAsia"/>
                <w:color w:val="000000"/>
                <w:highlight w:val="none"/>
              </w:rPr>
              <w:t xml:space="preserve">售后服务方案</w:t>
            </w:r>
            <w:r>
              <w:rPr>
                <w:color w:val="000000"/>
                <w:highlight w:val="none"/>
              </w:rPr>
            </w:r>
            <w:r/>
          </w:p>
        </w:tc>
        <w:tc>
          <w:tcPr>
            <w:tcW w:w="6330" w:type="dxa"/>
            <w:vAlign w:val="center"/>
            <w:textDirection w:val="lrTb"/>
            <w:noWrap w:val="false"/>
          </w:tcPr>
          <w:p>
            <w:pPr>
              <w:pStyle w:val="975"/>
              <w:spacing w:line="264" w:lineRule="auto"/>
              <w:rPr>
                <w:color w:val="000000"/>
                <w:sz w:val="21"/>
                <w:highlight w:val="none"/>
                <w:lang w:val="en-US" w:bidi="ar-SA"/>
              </w:rPr>
            </w:pPr>
            <w:r>
              <w:rPr>
                <w:rFonts w:hint="eastAsia"/>
                <w:color w:val="000000"/>
                <w:sz w:val="21"/>
                <w:highlight w:val="none"/>
                <w:lang w:bidi="ar-SA"/>
              </w:rPr>
              <w:t xml:space="preserve">投标人提供针对本项目的</w:t>
            </w:r>
            <w:r>
              <w:rPr>
                <w:rFonts w:hint="eastAsia"/>
                <w:color w:val="000000"/>
                <w:szCs w:val="21"/>
                <w:highlight w:val="none"/>
              </w:rPr>
              <w:t xml:space="preserve">售后服务方案，包括（每项内容逐条阐述）</w:t>
            </w:r>
            <w:r>
              <w:rPr>
                <w:rFonts w:hint="eastAsia"/>
                <w:color w:val="000000"/>
                <w:sz w:val="21"/>
                <w:highlight w:val="none"/>
                <w:lang w:val="en-US" w:bidi="ar-SA"/>
              </w:rPr>
              <w:t xml:space="preserve">1、售后服务流程安排；2、售后实现方式；3、服务人员配置。</w:t>
            </w:r>
            <w:r>
              <w:rPr>
                <w:color w:val="000000"/>
                <w:sz w:val="21"/>
                <w:highlight w:val="none"/>
                <w:lang w:val="en-US" w:bidi="ar-SA"/>
              </w:rPr>
            </w:r>
            <w:r/>
          </w:p>
          <w:p>
            <w:pPr>
              <w:pStyle w:val="664"/>
              <w:spacing w:line="264" w:lineRule="auto"/>
              <w:rPr>
                <w:rFonts w:ascii="宋体" w:hAnsi="宋体" w:cs="宋体"/>
                <w:color w:val="000000"/>
                <w:highlight w:val="none"/>
              </w:rPr>
            </w:pPr>
            <w:r>
              <w:rPr>
                <w:rFonts w:hint="eastAsia" w:ascii="宋体" w:hAnsi="宋体" w:cs="宋体"/>
                <w:color w:val="000000"/>
                <w:highlight w:val="none"/>
              </w:rPr>
              <w:t xml:space="preserve">（1）上述每项内容，分析准确、细致完整，应对措施有力、科学可行，与采购需求高度吻合的，每项得3分；</w:t>
            </w:r>
            <w:r>
              <w:rPr>
                <w:rFonts w:ascii="宋体" w:hAnsi="宋体" w:cs="宋体"/>
                <w:color w:val="000000"/>
                <w:highlight w:val="none"/>
              </w:rPr>
            </w:r>
            <w:r/>
          </w:p>
          <w:p>
            <w:pPr>
              <w:pStyle w:val="664"/>
              <w:spacing w:line="264" w:lineRule="auto"/>
              <w:rPr>
                <w:rFonts w:ascii="宋体" w:hAnsi="宋体" w:cs="宋体"/>
                <w:color w:val="000000"/>
                <w:highlight w:val="none"/>
              </w:rPr>
            </w:pPr>
            <w:r>
              <w:rPr>
                <w:rFonts w:hint="eastAsia" w:ascii="宋体" w:hAnsi="宋体" w:cs="宋体"/>
                <w:color w:val="000000"/>
                <w:highlight w:val="none"/>
              </w:rPr>
              <w:t xml:space="preserve">（2）上述每项内容，分析较为准确完整，应对措施可行，与采购需求较为吻合的，每项得1分；</w:t>
            </w:r>
            <w:r>
              <w:rPr>
                <w:rFonts w:ascii="宋体" w:hAnsi="宋体" w:cs="宋体"/>
                <w:color w:val="000000"/>
                <w:highlight w:val="none"/>
              </w:rPr>
            </w:r>
            <w:r/>
          </w:p>
          <w:p>
            <w:pPr>
              <w:pStyle w:val="927"/>
              <w:ind w:left="0"/>
              <w:spacing w:line="264" w:lineRule="auto"/>
              <w:rPr>
                <w:color w:val="000000"/>
                <w:highlight w:val="none"/>
              </w:rPr>
            </w:pPr>
            <w:r>
              <w:rPr>
                <w:rFonts w:hint="eastAsia" w:ascii="宋体" w:hAnsi="宋体" w:eastAsia="宋体"/>
                <w:color w:val="000000"/>
                <w:sz w:val="21"/>
                <w:highlight w:val="none"/>
                <w:lang w:val="en-US"/>
              </w:rPr>
              <w:t xml:space="preserve">（3）上述每项内容，分析不完整，应对措施不可行，脱离采购需求实际或未提供的，不得分。</w:t>
            </w:r>
            <w:r>
              <w:rPr>
                <w:color w:val="000000"/>
                <w:highlight w:val="none"/>
              </w:rPr>
            </w:r>
            <w:r/>
          </w:p>
        </w:tc>
        <w:tc>
          <w:tcPr>
            <w:tcW w:w="647"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9</w:t>
            </w:r>
            <w:r>
              <w:rPr>
                <w:rFonts w:ascii="宋体" w:hAnsi="宋体" w:cs="宋体"/>
                <w:color w:val="000000"/>
                <w:highlight w:val="none"/>
              </w:rPr>
            </w:r>
            <w:r/>
          </w:p>
        </w:tc>
        <w:tc>
          <w:tcPr>
            <w:tcW w:w="900" w:type="dxa"/>
            <w:vAlign w:val="center"/>
            <w:textDirection w:val="lrTb"/>
            <w:noWrap w:val="false"/>
          </w:tcPr>
          <w:p>
            <w:pPr>
              <w:pStyle w:val="664"/>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主观分</w:t>
            </w:r>
            <w:r>
              <w:rPr>
                <w:rFonts w:ascii="宋体" w:hAnsi="宋体" w:cs="宋体"/>
                <w:color w:val="000000"/>
                <w:spacing w:val="-6"/>
                <w:highlight w:val="none"/>
              </w:rPr>
            </w:r>
            <w:r/>
          </w:p>
        </w:tc>
      </w:tr>
      <w:tr>
        <w:trPr>
          <w:trHeight w:val="1083"/>
        </w:trPr>
        <w:tc>
          <w:tcPr>
            <w:tcW w:w="519" w:type="dxa"/>
            <w:vAlign w:val="center"/>
            <w:textDirection w:val="lrTb"/>
            <w:noWrap w:val="false"/>
          </w:tcPr>
          <w:p>
            <w:pPr>
              <w:pStyle w:val="664"/>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3.2</w:t>
            </w:r>
            <w:r>
              <w:rPr>
                <w:rFonts w:ascii="宋体" w:hAnsi="宋体" w:cs="宋体"/>
                <w:color w:val="000000"/>
                <w:spacing w:val="-2"/>
                <w:highlight w:val="none"/>
              </w:rPr>
            </w:r>
            <w:r/>
          </w:p>
        </w:tc>
        <w:tc>
          <w:tcPr>
            <w:tcW w:w="1179" w:type="dxa"/>
            <w:vAlign w:val="center"/>
            <w:textDirection w:val="lrTb"/>
            <w:noWrap w:val="false"/>
          </w:tcPr>
          <w:p>
            <w:pPr>
              <w:pStyle w:val="664"/>
              <w:spacing w:line="264" w:lineRule="auto"/>
              <w:rPr>
                <w:color w:val="000000"/>
                <w:highlight w:val="none"/>
              </w:rPr>
            </w:pPr>
            <w:r>
              <w:rPr>
                <w:rFonts w:hint="eastAsia" w:ascii="宋体" w:hAnsi="宋体" w:cs="宋体"/>
                <w:color w:val="000000"/>
                <w:szCs w:val="21"/>
                <w:highlight w:val="none"/>
              </w:rPr>
              <w:t xml:space="preserve">培训方案</w:t>
            </w:r>
            <w:r>
              <w:rPr>
                <w:color w:val="000000"/>
                <w:highlight w:val="none"/>
              </w:rPr>
            </w:r>
            <w:r/>
          </w:p>
        </w:tc>
        <w:tc>
          <w:tcPr>
            <w:tcW w:w="6330" w:type="dxa"/>
            <w:vAlign w:val="center"/>
            <w:textDirection w:val="lrTb"/>
            <w:noWrap w:val="false"/>
          </w:tcPr>
          <w:p>
            <w:pPr>
              <w:pStyle w:val="975"/>
              <w:spacing w:line="264" w:lineRule="auto"/>
              <w:rPr>
                <w:color w:val="000000"/>
                <w:sz w:val="21"/>
                <w:highlight w:val="none"/>
                <w:lang w:val="en-US" w:bidi="ar-SA"/>
              </w:rPr>
            </w:pPr>
            <w:r>
              <w:rPr>
                <w:rFonts w:hint="eastAsia"/>
                <w:color w:val="000000"/>
                <w:sz w:val="21"/>
                <w:highlight w:val="none"/>
                <w:lang w:bidi="ar-SA"/>
              </w:rPr>
              <w:t xml:space="preserve">投标人提供针对本项目的</w:t>
            </w:r>
            <w:r>
              <w:rPr>
                <w:rFonts w:hint="eastAsia"/>
                <w:color w:val="000000"/>
                <w:szCs w:val="21"/>
                <w:highlight w:val="none"/>
              </w:rPr>
              <w:t xml:space="preserve">培训方案，</w:t>
            </w:r>
            <w:r>
              <w:rPr>
                <w:rFonts w:hint="eastAsia"/>
                <w:color w:val="000000"/>
                <w:sz w:val="21"/>
                <w:highlight w:val="none"/>
                <w:lang w:bidi="ar-SA"/>
              </w:rPr>
              <w:t xml:space="preserve">包括（</w:t>
            </w:r>
            <w:r>
              <w:rPr>
                <w:rFonts w:hint="eastAsia"/>
                <w:color w:val="000000"/>
                <w:spacing w:val="1"/>
                <w:highlight w:val="none"/>
                <w:lang w:bidi="ar-SA"/>
              </w:rPr>
              <w:t xml:space="preserve">每项内容逐条阐述</w:t>
            </w:r>
            <w:r>
              <w:rPr>
                <w:rFonts w:hint="eastAsia"/>
                <w:color w:val="000000"/>
                <w:sz w:val="21"/>
                <w:highlight w:val="none"/>
                <w:lang w:bidi="ar-SA"/>
              </w:rPr>
              <w:t xml:space="preserve">）</w:t>
            </w:r>
            <w:r>
              <w:rPr>
                <w:rFonts w:hint="eastAsia"/>
                <w:color w:val="000000"/>
                <w:sz w:val="21"/>
                <w:highlight w:val="none"/>
                <w:lang w:val="en-US" w:bidi="ar-SA"/>
              </w:rPr>
              <w:t xml:space="preserve">1、培训准备工作；2、功能内容培训；3、培训计划规划；4、科室人员培训安排。</w:t>
            </w:r>
            <w:r>
              <w:rPr>
                <w:color w:val="000000"/>
                <w:sz w:val="21"/>
                <w:highlight w:val="none"/>
                <w:lang w:val="en-US" w:bidi="ar-SA"/>
              </w:rPr>
            </w:r>
            <w:r/>
          </w:p>
          <w:p>
            <w:pPr>
              <w:pStyle w:val="664"/>
              <w:spacing w:line="264" w:lineRule="auto"/>
              <w:rPr>
                <w:rFonts w:ascii="宋体" w:hAnsi="宋体" w:cs="宋体"/>
                <w:color w:val="000000"/>
                <w:highlight w:val="none"/>
              </w:rPr>
            </w:pPr>
            <w:r>
              <w:rPr>
                <w:rFonts w:hint="eastAsia" w:ascii="宋体" w:hAnsi="宋体" w:cs="宋体"/>
                <w:color w:val="000000"/>
                <w:highlight w:val="none"/>
              </w:rPr>
              <w:t xml:space="preserve">（1）上述每项内容，分析准确、细致完整，应对措施有力、科学可行，与采购需求高度吻合的，每项得2分；</w:t>
            </w:r>
            <w:r>
              <w:rPr>
                <w:rFonts w:ascii="宋体" w:hAnsi="宋体" w:cs="宋体"/>
                <w:color w:val="000000"/>
                <w:highlight w:val="none"/>
              </w:rPr>
            </w:r>
            <w:r/>
          </w:p>
          <w:p>
            <w:pPr>
              <w:pStyle w:val="664"/>
              <w:spacing w:line="264" w:lineRule="auto"/>
              <w:rPr>
                <w:rFonts w:ascii="宋体" w:hAnsi="宋体" w:cs="宋体"/>
                <w:color w:val="000000"/>
                <w:highlight w:val="none"/>
              </w:rPr>
            </w:pPr>
            <w:r>
              <w:rPr>
                <w:rFonts w:hint="eastAsia" w:ascii="宋体" w:hAnsi="宋体" w:cs="宋体"/>
                <w:color w:val="000000"/>
                <w:highlight w:val="none"/>
              </w:rPr>
              <w:t xml:space="preserve">（2）上述每项内容，分析较为准确完整，应对措施可行，与采购需求较为吻合的，每项得1分；</w:t>
            </w:r>
            <w:r>
              <w:rPr>
                <w:rFonts w:ascii="宋体" w:hAnsi="宋体" w:cs="宋体"/>
                <w:color w:val="000000"/>
                <w:highlight w:val="none"/>
              </w:rPr>
            </w:r>
            <w:r/>
          </w:p>
          <w:p>
            <w:pPr>
              <w:pStyle w:val="927"/>
              <w:ind w:left="0"/>
              <w:spacing w:line="264" w:lineRule="auto"/>
              <w:rPr>
                <w:rFonts w:ascii="宋体" w:hAnsi="宋体" w:eastAsia="宋体"/>
                <w:color w:val="000000"/>
                <w:sz w:val="21"/>
                <w:highlight w:val="none"/>
                <w:lang w:val="en-US"/>
              </w:rPr>
            </w:pPr>
            <w:r>
              <w:rPr>
                <w:rFonts w:hint="eastAsia" w:ascii="宋体" w:hAnsi="宋体" w:eastAsia="宋体"/>
                <w:color w:val="000000"/>
                <w:sz w:val="21"/>
                <w:highlight w:val="none"/>
                <w:lang w:val="en-US"/>
              </w:rPr>
              <w:t xml:space="preserve">（3）上述每项内容，分析不完整，应对措施不可行，脱离采购需求实际或未提供的，不得分。</w:t>
            </w:r>
            <w:r>
              <w:rPr>
                <w:rFonts w:ascii="宋体" w:hAnsi="宋体" w:eastAsia="宋体"/>
                <w:color w:val="000000"/>
                <w:sz w:val="21"/>
                <w:highlight w:val="none"/>
                <w:lang w:val="en-US"/>
              </w:rPr>
            </w:r>
            <w:r/>
          </w:p>
          <w:p>
            <w:pPr>
              <w:pStyle w:val="664"/>
              <w:rPr>
                <w:color w:val="000000"/>
                <w:highlight w:val="none"/>
              </w:rPr>
            </w:pPr>
            <w:r>
              <w:rPr>
                <w:color w:val="000000"/>
                <w:highlight w:val="none"/>
              </w:rPr>
            </w:r>
            <w:r/>
          </w:p>
        </w:tc>
        <w:tc>
          <w:tcPr>
            <w:tcW w:w="647"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W w:w="900" w:type="dxa"/>
            <w:vAlign w:val="center"/>
            <w:textDirection w:val="lrTb"/>
            <w:noWrap w:val="false"/>
          </w:tcPr>
          <w:p>
            <w:pPr>
              <w:pStyle w:val="664"/>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主观分</w:t>
            </w:r>
            <w:r>
              <w:rPr>
                <w:rFonts w:ascii="宋体" w:hAnsi="宋体" w:cs="宋体"/>
                <w:color w:val="000000"/>
                <w:spacing w:val="-6"/>
                <w:highlight w:val="none"/>
              </w:rPr>
            </w:r>
            <w:r/>
          </w:p>
        </w:tc>
      </w:tr>
      <w:tr>
        <w:trPr>
          <w:trHeight w:val="133"/>
        </w:trPr>
        <w:tc>
          <w:tcPr>
            <w:tcW w:w="519" w:type="dxa"/>
            <w:vAlign w:val="center"/>
            <w:textDirection w:val="lrTb"/>
            <w:noWrap w:val="false"/>
          </w:tcPr>
          <w:p>
            <w:pPr>
              <w:pStyle w:val="664"/>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3.3</w:t>
            </w:r>
            <w:r>
              <w:rPr>
                <w:rFonts w:ascii="宋体" w:hAnsi="宋体" w:cs="宋体"/>
                <w:color w:val="000000"/>
                <w:spacing w:val="-2"/>
                <w:highlight w:val="none"/>
              </w:rPr>
            </w:r>
            <w:r/>
          </w:p>
        </w:tc>
        <w:tc>
          <w:tcPr>
            <w:tcW w:w="1179" w:type="dxa"/>
            <w:vAlign w:val="center"/>
            <w:textDirection w:val="lrTb"/>
            <w:noWrap w:val="false"/>
          </w:tcPr>
          <w:p>
            <w:pPr>
              <w:pStyle w:val="664"/>
              <w:jc w:val="left"/>
              <w:spacing w:before="68" w:line="264" w:lineRule="auto"/>
              <w:rPr>
                <w:rFonts w:ascii="宋体" w:hAnsi="宋体" w:cs="宋体"/>
                <w:color w:val="000000"/>
                <w:spacing w:val="-2"/>
                <w:highlight w:val="none"/>
              </w:rPr>
            </w:pPr>
            <w:r>
              <w:rPr>
                <w:rFonts w:hint="eastAsia"/>
                <w:color w:val="000000"/>
                <w:szCs w:val="21"/>
                <w:highlight w:val="none"/>
              </w:rPr>
              <w:t xml:space="preserve">本地化服务能力</w:t>
            </w:r>
            <w:r>
              <w:rPr>
                <w:rFonts w:ascii="宋体" w:hAnsi="宋体" w:cs="宋体"/>
                <w:color w:val="000000"/>
                <w:spacing w:val="-2"/>
                <w:highlight w:val="none"/>
              </w:rPr>
            </w:r>
            <w:r/>
          </w:p>
        </w:tc>
        <w:tc>
          <w:tcPr>
            <w:tcW w:w="6330" w:type="dxa"/>
            <w:vAlign w:val="center"/>
            <w:textDirection w:val="lrTb"/>
            <w:noWrap w:val="false"/>
          </w:tcPr>
          <w:p>
            <w:pPr>
              <w:pStyle w:val="664"/>
              <w:jc w:val="left"/>
              <w:spacing w:line="264" w:lineRule="auto"/>
              <w:rPr>
                <w:rFonts w:ascii="宋体" w:hAnsi="宋体" w:cs="宋体"/>
                <w:color w:val="000000"/>
                <w:spacing w:val="-2"/>
                <w:highlight w:val="none"/>
              </w:rPr>
            </w:pPr>
            <w:r>
              <w:rPr>
                <w:rFonts w:hint="eastAsia" w:ascii="宋体" w:hAnsi="宋体" w:cs="宋体"/>
                <w:color w:val="000000"/>
                <w:highlight w:val="none"/>
              </w:rPr>
              <w:t xml:space="preserve">供应商具有本地化服务能力或承诺提供本地化服务的，得3分。（提供有效证明材料或承诺书）</w:t>
            </w:r>
            <w:r>
              <w:rPr>
                <w:rFonts w:ascii="宋体" w:hAnsi="宋体" w:cs="宋体"/>
                <w:color w:val="000000"/>
                <w:spacing w:val="-2"/>
                <w:highlight w:val="none"/>
              </w:rPr>
            </w:r>
            <w:r/>
          </w:p>
        </w:tc>
        <w:tc>
          <w:tcPr>
            <w:tcW w:w="647"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900" w:type="dxa"/>
            <w:vAlign w:val="center"/>
            <w:textDirection w:val="lrTb"/>
            <w:noWrap w:val="false"/>
          </w:tcPr>
          <w:p>
            <w:pPr>
              <w:pStyle w:val="664"/>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客观分</w:t>
            </w:r>
            <w:r>
              <w:rPr>
                <w:rFonts w:ascii="宋体" w:hAnsi="宋体" w:cs="宋体"/>
                <w:color w:val="000000"/>
                <w:spacing w:val="-6"/>
                <w:highlight w:val="none"/>
              </w:rPr>
            </w:r>
            <w:r/>
          </w:p>
        </w:tc>
      </w:tr>
      <w:tr>
        <w:trPr>
          <w:trHeight w:val="455"/>
        </w:trPr>
        <w:tc>
          <w:tcPr>
            <w:gridSpan w:val="5"/>
            <w:tcW w:w="9575" w:type="dxa"/>
            <w:vAlign w:val="center"/>
            <w:textDirection w:val="lrTb"/>
            <w:noWrap w:val="false"/>
          </w:tcPr>
          <w:p>
            <w:pPr>
              <w:pStyle w:val="664"/>
              <w:spacing w:line="264" w:lineRule="auto"/>
              <w:rPr>
                <w:rFonts w:ascii="宋体" w:hAnsi="宋体" w:cs="宋体"/>
                <w:color w:val="000000"/>
                <w:highlight w:val="none"/>
              </w:rPr>
            </w:pPr>
            <w:r>
              <w:rPr>
                <w:rFonts w:hint="eastAsia" w:ascii="宋体" w:hAnsi="宋体" w:cs="宋体"/>
                <w:b/>
                <w:bCs/>
                <w:color w:val="000000"/>
                <w:spacing w:val="-3"/>
                <w:highlight w:val="none"/>
              </w:rPr>
              <w:t xml:space="preserve">4.业绩</w:t>
            </w:r>
            <w:r>
              <w:rPr>
                <w:rFonts w:ascii="宋体" w:hAnsi="宋体" w:cs="宋体"/>
                <w:color w:val="000000"/>
                <w:highlight w:val="none"/>
              </w:rPr>
            </w:r>
            <w:r/>
          </w:p>
        </w:tc>
      </w:tr>
      <w:tr>
        <w:trPr>
          <w:trHeight w:val="1015"/>
        </w:trPr>
        <w:tc>
          <w:tcPr>
            <w:tcW w:w="519" w:type="dxa"/>
            <w:vAlign w:val="center"/>
            <w:textDirection w:val="lrTb"/>
            <w:noWrap w:val="false"/>
          </w:tcPr>
          <w:p>
            <w:pPr>
              <w:pStyle w:val="664"/>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4</w:t>
            </w:r>
            <w:r>
              <w:rPr>
                <w:rFonts w:ascii="宋体" w:hAnsi="宋体" w:cs="宋体"/>
                <w:color w:val="000000"/>
                <w:spacing w:val="-2"/>
                <w:highlight w:val="none"/>
              </w:rPr>
              <w:t xml:space="preserve">.1</w:t>
            </w:r>
            <w:r>
              <w:rPr>
                <w:rFonts w:ascii="宋体" w:hAnsi="宋体" w:cs="宋体"/>
                <w:color w:val="000000"/>
                <w:spacing w:val="-2"/>
                <w:highlight w:val="none"/>
              </w:rPr>
            </w:r>
            <w:r/>
          </w:p>
        </w:tc>
        <w:tc>
          <w:tcPr>
            <w:tcW w:w="1179" w:type="dxa"/>
            <w:vAlign w:val="center"/>
            <w:textDirection w:val="lrTb"/>
            <w:noWrap w:val="false"/>
          </w:tcPr>
          <w:p>
            <w:pPr>
              <w:pStyle w:val="664"/>
              <w:spacing w:before="69" w:line="264" w:lineRule="auto"/>
              <w:rPr>
                <w:rFonts w:ascii="宋体" w:hAnsi="宋体" w:cs="宋体"/>
                <w:color w:val="000000"/>
                <w:spacing w:val="-2"/>
                <w:highlight w:val="none"/>
              </w:rPr>
            </w:pPr>
            <w:r>
              <w:rPr>
                <w:rFonts w:hint="eastAsia" w:ascii="宋体" w:hAnsi="宋体" w:cs="宋体"/>
                <w:color w:val="000000"/>
                <w:spacing w:val="-1"/>
                <w:highlight w:val="none"/>
              </w:rPr>
              <w:t xml:space="preserve">供应商</w:t>
            </w:r>
            <w:r>
              <w:rPr>
                <w:rFonts w:ascii="宋体" w:hAnsi="宋体" w:cs="宋体"/>
                <w:color w:val="000000"/>
                <w:spacing w:val="-1"/>
                <w:highlight w:val="none"/>
              </w:rPr>
              <w:t xml:space="preserve">业绩</w:t>
            </w:r>
            <w:r>
              <w:rPr>
                <w:rFonts w:ascii="宋体" w:hAnsi="宋体" w:cs="宋体"/>
                <w:color w:val="000000"/>
                <w:spacing w:val="-2"/>
                <w:highlight w:val="none"/>
              </w:rPr>
            </w:r>
            <w:r/>
          </w:p>
        </w:tc>
        <w:tc>
          <w:tcPr>
            <w:tcW w:w="6330" w:type="dxa"/>
            <w:vAlign w:val="center"/>
            <w:textDirection w:val="lrTb"/>
            <w:noWrap w:val="false"/>
          </w:tcPr>
          <w:p>
            <w:pPr>
              <w:pStyle w:val="664"/>
              <w:spacing w:line="264" w:lineRule="auto"/>
              <w:rPr>
                <w:rFonts w:eastAsia="方正仿宋_GBK"/>
                <w:color w:val="000000"/>
                <w:szCs w:val="21"/>
                <w:highlight w:val="none"/>
                <w:lang w:bidi="zh-CN"/>
              </w:rPr>
            </w:pPr>
            <w:r>
              <w:rPr>
                <w:rFonts w:hint="eastAsia" w:ascii="宋体" w:hAnsi="宋体" w:cs="宋体"/>
                <w:color w:val="000000"/>
                <w:highlight w:val="none"/>
              </w:rPr>
              <w:t xml:space="preserve">供应商提供</w:t>
            </w:r>
            <w:r>
              <w:rPr>
                <w:rFonts w:ascii="宋体" w:hAnsi="宋体" w:cs="宋体"/>
                <w:color w:val="000000"/>
                <w:highlight w:val="none"/>
              </w:rPr>
              <w:t xml:space="preserve">20</w:t>
            </w:r>
            <w:r>
              <w:rPr>
                <w:rFonts w:hint="eastAsia" w:ascii="宋体" w:hAnsi="宋体" w:cs="宋体"/>
                <w:color w:val="000000"/>
                <w:highlight w:val="none"/>
              </w:rPr>
              <w:t xml:space="preserve">23</w:t>
            </w:r>
            <w:r>
              <w:rPr>
                <w:rFonts w:ascii="宋体" w:hAnsi="宋体" w:cs="宋体"/>
                <w:color w:val="000000"/>
                <w:highlight w:val="none"/>
              </w:rPr>
              <w:t xml:space="preserve">年</w:t>
            </w:r>
            <w:r>
              <w:rPr>
                <w:rFonts w:hint="eastAsia" w:ascii="宋体" w:hAnsi="宋体" w:cs="宋体"/>
                <w:color w:val="000000"/>
                <w:highlight w:val="none"/>
              </w:rPr>
              <w:t xml:space="preserve">6</w:t>
            </w:r>
            <w:r>
              <w:rPr>
                <w:rFonts w:ascii="宋体" w:hAnsi="宋体" w:cs="宋体"/>
                <w:color w:val="000000"/>
                <w:highlight w:val="none"/>
              </w:rPr>
              <w:t xml:space="preserve">月</w:t>
            </w:r>
            <w:r>
              <w:rPr>
                <w:rFonts w:hint="eastAsia" w:ascii="宋体" w:hAnsi="宋体" w:cs="宋体"/>
                <w:color w:val="000000"/>
                <w:highlight w:val="none"/>
              </w:rPr>
              <w:t xml:space="preserve">1</w:t>
            </w:r>
            <w:r>
              <w:rPr>
                <w:rFonts w:ascii="宋体" w:hAnsi="宋体" w:cs="宋体"/>
                <w:color w:val="000000"/>
                <w:highlight w:val="none"/>
              </w:rPr>
              <w:t xml:space="preserve">日（含）以来</w:t>
            </w:r>
            <w:r>
              <w:rPr>
                <w:rFonts w:hint="eastAsia" w:ascii="宋体" w:hAnsi="宋体" w:cs="宋体"/>
                <w:color w:val="000000"/>
                <w:highlight w:val="none"/>
              </w:rPr>
              <w:t xml:space="preserve">医疗信息化相关业绩（如：智慧医院信息化项目、LIS、HIS、PACS系统、体检管理系统、前置审方系统、国考绩效管理系统等）</w:t>
            </w:r>
            <w:r>
              <w:rPr>
                <w:rFonts w:ascii="宋体" w:hAnsi="宋体" w:cs="宋体"/>
                <w:color w:val="000000"/>
                <w:highlight w:val="none"/>
              </w:rPr>
              <w:t xml:space="preserve">，每提供</w:t>
            </w:r>
            <w:r>
              <w:rPr>
                <w:rFonts w:hint="eastAsia" w:ascii="宋体" w:hAnsi="宋体" w:cs="宋体"/>
                <w:color w:val="000000"/>
                <w:highlight w:val="none"/>
              </w:rPr>
              <w:t xml:space="preserve">1</w:t>
            </w:r>
            <w:r>
              <w:rPr>
                <w:rFonts w:ascii="宋体" w:hAnsi="宋体" w:cs="宋体"/>
                <w:color w:val="000000"/>
                <w:highlight w:val="none"/>
              </w:rPr>
              <w:t xml:space="preserve">个得</w:t>
            </w:r>
            <w:r>
              <w:rPr>
                <w:rFonts w:hint="eastAsia" w:ascii="宋体" w:hAnsi="宋体" w:cs="宋体"/>
                <w:color w:val="000000"/>
                <w:highlight w:val="none"/>
              </w:rPr>
              <w:t xml:space="preserve">2</w:t>
            </w:r>
            <w:r>
              <w:rPr>
                <w:rFonts w:ascii="宋体" w:hAnsi="宋体" w:cs="宋体"/>
                <w:color w:val="000000"/>
                <w:highlight w:val="none"/>
              </w:rPr>
              <w:t xml:space="preserve">分，最多得</w:t>
            </w:r>
            <w:r>
              <w:rPr>
                <w:rFonts w:hint="eastAsia" w:ascii="宋体" w:hAnsi="宋体" w:cs="宋体"/>
                <w:color w:val="000000"/>
                <w:highlight w:val="none"/>
              </w:rPr>
              <w:t xml:space="preserve">6分</w:t>
            </w:r>
            <w:r>
              <w:rPr>
                <w:rFonts w:ascii="宋体" w:hAnsi="宋体" w:cs="宋体"/>
                <w:color w:val="000000"/>
                <w:highlight w:val="none"/>
              </w:rPr>
              <w:t xml:space="preserve">。（</w:t>
            </w:r>
            <w:r>
              <w:rPr>
                <w:rFonts w:hint="eastAsia" w:ascii="宋体" w:hAnsi="宋体" w:cs="宋体"/>
                <w:color w:val="000000"/>
                <w:szCs w:val="21"/>
                <w:highlight w:val="none"/>
              </w:rPr>
              <w:t xml:space="preserve">时间以合同签订时间为准，</w:t>
            </w:r>
            <w:r>
              <w:rPr>
                <w:rFonts w:ascii="宋体" w:hAnsi="宋体" w:cs="宋体"/>
                <w:color w:val="000000"/>
                <w:highlight w:val="none"/>
              </w:rPr>
              <w:t xml:space="preserve">提供有效合同，合同</w:t>
            </w:r>
            <w:r>
              <w:rPr>
                <w:rFonts w:hint="eastAsia" w:ascii="宋体" w:hAnsi="宋体" w:cs="宋体"/>
                <w:color w:val="000000"/>
                <w:highlight w:val="none"/>
              </w:rPr>
              <w:t xml:space="preserve">页</w:t>
            </w:r>
            <w:r>
              <w:rPr>
                <w:rFonts w:ascii="宋体" w:hAnsi="宋体" w:cs="宋体"/>
                <w:color w:val="000000"/>
                <w:highlight w:val="none"/>
              </w:rPr>
              <w:t xml:space="preserve">须清晰可见相应内容）</w:t>
            </w:r>
            <w:r>
              <w:rPr>
                <w:rFonts w:eastAsia="方正仿宋_GBK"/>
                <w:color w:val="000000"/>
                <w:szCs w:val="21"/>
                <w:highlight w:val="none"/>
                <w:lang w:bidi="zh-CN"/>
              </w:rPr>
            </w:r>
            <w:r/>
          </w:p>
        </w:tc>
        <w:tc>
          <w:tcPr>
            <w:tcW w:w="647" w:type="dxa"/>
            <w:vAlign w:val="center"/>
            <w:textDirection w:val="lrTb"/>
            <w:noWrap w:val="false"/>
          </w:tcPr>
          <w:p>
            <w:pPr>
              <w:pStyle w:val="664"/>
              <w:jc w:val="center"/>
              <w:spacing w:line="264" w:lineRule="auto"/>
              <w:rPr>
                <w:color w:val="000000"/>
                <w:szCs w:val="21"/>
                <w:highlight w:val="none"/>
              </w:rPr>
            </w:pPr>
            <w:r>
              <w:rPr>
                <w:rFonts w:hint="eastAsia"/>
                <w:color w:val="000000"/>
                <w:szCs w:val="21"/>
                <w:highlight w:val="none"/>
              </w:rPr>
              <w:t xml:space="preserve">6</w:t>
            </w:r>
            <w:r>
              <w:rPr>
                <w:color w:val="000000"/>
                <w:szCs w:val="21"/>
                <w:highlight w:val="none"/>
              </w:rPr>
            </w:r>
            <w:r/>
          </w:p>
        </w:tc>
        <w:tc>
          <w:tcPr>
            <w:tcW w:w="900"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r>
      <w:tr>
        <w:trPr>
          <w:trHeight w:val="269"/>
        </w:trPr>
        <w:tc>
          <w:tcPr>
            <w:gridSpan w:val="5"/>
            <w:tcW w:w="9575" w:type="dxa"/>
            <w:vAlign w:val="top"/>
            <w:textDirection w:val="lrTb"/>
            <w:noWrap w:val="false"/>
          </w:tcPr>
          <w:p>
            <w:pPr>
              <w:pStyle w:val="664"/>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5.履约能力</w:t>
            </w:r>
            <w:r>
              <w:rPr>
                <w:rFonts w:ascii="宋体" w:hAnsi="宋体" w:cs="宋体"/>
                <w:color w:val="000000"/>
                <w:highlight w:val="none"/>
              </w:rPr>
            </w:r>
            <w:r/>
          </w:p>
        </w:tc>
      </w:tr>
      <w:tr>
        <w:trPr>
          <w:trHeight w:val="387"/>
        </w:trPr>
        <w:tc>
          <w:tcPr>
            <w:tcW w:w="519" w:type="dxa"/>
            <w:vAlign w:val="center"/>
            <w:textDirection w:val="lrTb"/>
            <w:noWrap w:val="false"/>
          </w:tcPr>
          <w:p>
            <w:pPr>
              <w:pStyle w:val="664"/>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5</w:t>
            </w:r>
            <w:r>
              <w:rPr>
                <w:rFonts w:ascii="宋体" w:hAnsi="宋体" w:cs="宋体"/>
                <w:color w:val="000000"/>
                <w:spacing w:val="-2"/>
                <w:highlight w:val="none"/>
              </w:rPr>
              <w:t xml:space="preserve">.1</w:t>
            </w:r>
            <w:r>
              <w:rPr>
                <w:rFonts w:ascii="宋体" w:hAnsi="宋体" w:cs="宋体"/>
                <w:color w:val="000000"/>
                <w:spacing w:val="-2"/>
                <w:highlight w:val="none"/>
              </w:rPr>
            </w:r>
            <w:r/>
          </w:p>
        </w:tc>
        <w:tc>
          <w:tcPr>
            <w:tcW w:w="1179" w:type="dxa"/>
            <w:vAlign w:val="center"/>
            <w:textDirection w:val="lrTb"/>
            <w:noWrap w:val="false"/>
          </w:tcPr>
          <w:p>
            <w:pPr>
              <w:pStyle w:val="664"/>
              <w:spacing w:line="264" w:lineRule="auto"/>
              <w:rPr>
                <w:color w:val="000000"/>
                <w:highlight w:val="none"/>
              </w:rPr>
            </w:pPr>
            <w:r>
              <w:rPr>
                <w:rFonts w:hint="eastAsia"/>
                <w:color w:val="000000"/>
                <w:highlight w:val="none"/>
              </w:rPr>
              <w:t xml:space="preserve">履约能力1</w:t>
            </w:r>
            <w:r>
              <w:rPr>
                <w:color w:val="000000"/>
                <w:highlight w:val="none"/>
              </w:rPr>
            </w:r>
            <w:r/>
          </w:p>
        </w:tc>
        <w:tc>
          <w:tcPr>
            <w:tcW w:w="6330" w:type="dxa"/>
            <w:vAlign w:val="center"/>
            <w:textDirection w:val="lrTb"/>
            <w:noWrap w:val="false"/>
          </w:tcPr>
          <w:p>
            <w:pPr>
              <w:pStyle w:val="664"/>
              <w:spacing w:line="264" w:lineRule="auto"/>
              <w:rPr>
                <w:rFonts w:ascii="宋体" w:hAnsi="宋体" w:cs="宋体"/>
                <w:color w:val="000000"/>
                <w:highlight w:val="none"/>
              </w:rPr>
            </w:pPr>
            <w:r>
              <w:rPr>
                <w:rFonts w:hint="eastAsia" w:ascii="宋体" w:hAnsi="宋体" w:cs="宋体"/>
                <w:color w:val="000000"/>
                <w:highlight w:val="none"/>
              </w:rPr>
              <w:t xml:space="preserve">（1）项目经理能力：</w:t>
            </w:r>
            <w:r>
              <w:rPr>
                <w:rFonts w:ascii="宋体" w:hAnsi="宋体" w:cs="宋体"/>
                <w:color w:val="000000"/>
                <w:highlight w:val="none"/>
              </w:rPr>
            </w:r>
            <w:r/>
          </w:p>
          <w:p>
            <w:pPr>
              <w:pStyle w:val="713"/>
              <w:ind w:firstLine="0"/>
              <w:rPr>
                <w:color w:val="000000"/>
                <w:highlight w:val="none"/>
              </w:rPr>
            </w:pPr>
            <w:r>
              <w:rPr>
                <w:rFonts w:hint="eastAsia"/>
                <w:color w:val="000000"/>
                <w:highlight w:val="none"/>
              </w:rPr>
              <w:t xml:space="preserve">具有注册信息安全专业人员（CISP）</w:t>
            </w:r>
            <w:r>
              <w:rPr>
                <w:rFonts w:hint="eastAsia" w:cs="宋体"/>
                <w:color w:val="000000"/>
                <w:sz w:val="22"/>
                <w:highlight w:val="none"/>
              </w:rPr>
              <w:t xml:space="preserve">证书；</w:t>
            </w:r>
            <w:r>
              <w:rPr>
                <w:color w:val="000000"/>
                <w:highlight w:val="none"/>
              </w:rPr>
            </w:r>
            <w:r/>
          </w:p>
          <w:p>
            <w:pPr>
              <w:pStyle w:val="713"/>
              <w:ind w:firstLine="0"/>
              <w:rPr>
                <w:color w:val="000000"/>
                <w:highlight w:val="none"/>
              </w:rPr>
            </w:pPr>
            <w:r>
              <w:rPr>
                <w:rFonts w:hint="eastAsia"/>
                <w:color w:val="000000"/>
                <w:highlight w:val="none"/>
              </w:rPr>
              <w:t xml:space="preserve">具有ITSS-IT服务项目经理</w:t>
            </w:r>
            <w:r>
              <w:rPr>
                <w:rFonts w:hint="eastAsia" w:cs="宋体"/>
                <w:color w:val="000000"/>
                <w:sz w:val="22"/>
                <w:highlight w:val="none"/>
              </w:rPr>
              <w:t xml:space="preserve">证书；</w:t>
            </w:r>
            <w:r>
              <w:rPr>
                <w:color w:val="000000"/>
                <w:highlight w:val="none"/>
              </w:rPr>
            </w:r>
            <w:r/>
          </w:p>
          <w:p>
            <w:pPr>
              <w:pStyle w:val="713"/>
              <w:ind w:firstLine="0"/>
              <w:rPr>
                <w:color w:val="000000"/>
                <w:highlight w:val="none"/>
              </w:rPr>
            </w:pPr>
            <w:r>
              <w:rPr>
                <w:rFonts w:hint="eastAsia"/>
                <w:color w:val="000000"/>
                <w:highlight w:val="none"/>
              </w:rPr>
              <w:t xml:space="preserve">具有信息系统项目管理师</w:t>
            </w:r>
            <w:r>
              <w:rPr>
                <w:rFonts w:hint="eastAsia" w:cs="宋体"/>
                <w:color w:val="000000"/>
                <w:sz w:val="22"/>
                <w:highlight w:val="none"/>
              </w:rPr>
              <w:t xml:space="preserve">证书；</w:t>
            </w:r>
            <w:r>
              <w:rPr>
                <w:color w:val="000000"/>
                <w:highlight w:val="none"/>
              </w:rPr>
            </w:r>
            <w:r/>
          </w:p>
          <w:p>
            <w:pPr>
              <w:pStyle w:val="713"/>
              <w:ind w:firstLine="0"/>
              <w:rPr>
                <w:color w:val="000000"/>
                <w:highlight w:val="none"/>
              </w:rPr>
            </w:pPr>
            <w:r>
              <w:rPr>
                <w:rFonts w:hint="eastAsia"/>
                <w:color w:val="000000"/>
                <w:highlight w:val="none"/>
              </w:rPr>
              <w:t xml:space="preserve">每提供1个证书得2分，最多得6分。</w:t>
            </w:r>
            <w:r>
              <w:rPr>
                <w:color w:val="000000"/>
                <w:highlight w:val="none"/>
              </w:rPr>
            </w:r>
            <w:r/>
          </w:p>
          <w:p>
            <w:pPr>
              <w:pStyle w:val="664"/>
              <w:spacing w:line="264" w:lineRule="auto"/>
              <w:rPr>
                <w:color w:val="000000"/>
                <w:highlight w:val="none"/>
              </w:rPr>
            </w:pPr>
            <w:r>
              <w:rPr>
                <w:rFonts w:ascii="宋体" w:hAnsi="宋体" w:cs="宋体"/>
                <w:color w:val="000000"/>
                <w:highlight w:val="none"/>
                <w:lang w:val="zh-CN"/>
              </w:rPr>
              <w:t xml:space="preserve">（提供上述</w:t>
            </w:r>
            <w:r>
              <w:rPr>
                <w:rFonts w:hint="eastAsia" w:ascii="宋体" w:hAnsi="宋体" w:cs="宋体"/>
                <w:color w:val="000000"/>
                <w:highlight w:val="none"/>
                <w:lang w:val="zh-CN"/>
              </w:rPr>
              <w:t xml:space="preserve">人员</w:t>
            </w:r>
            <w:r>
              <w:rPr>
                <w:rFonts w:ascii="宋体" w:hAnsi="宋体" w:cs="宋体"/>
                <w:color w:val="000000"/>
                <w:highlight w:val="none"/>
                <w:lang w:val="zh-CN"/>
              </w:rPr>
              <w:t xml:space="preserve">证书</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供应商为其缴纳的2025年6月以来任意1个月的社保证明材料，缺一不可）</w:t>
            </w:r>
            <w:r>
              <w:rPr>
                <w:color w:val="000000"/>
                <w:highlight w:val="none"/>
              </w:rPr>
            </w:r>
            <w:r/>
          </w:p>
        </w:tc>
        <w:tc>
          <w:tcPr>
            <w:tcW w:w="647"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900"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r>
      <w:tr>
        <w:trPr>
          <w:trHeight w:val="383"/>
        </w:trPr>
        <w:tc>
          <w:tcPr>
            <w:tcW w:w="519" w:type="dxa"/>
            <w:vAlign w:val="center"/>
            <w:textDirection w:val="lrTb"/>
            <w:noWrap w:val="false"/>
          </w:tcPr>
          <w:p>
            <w:pPr>
              <w:pStyle w:val="664"/>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5</w:t>
            </w:r>
            <w:r>
              <w:rPr>
                <w:rFonts w:ascii="宋体" w:hAnsi="宋体" w:cs="宋体"/>
                <w:color w:val="000000"/>
                <w:spacing w:val="-2"/>
                <w:highlight w:val="none"/>
              </w:rPr>
              <w:t xml:space="preserve">.2</w:t>
            </w:r>
            <w:r>
              <w:rPr>
                <w:rFonts w:ascii="宋体" w:hAnsi="宋体" w:cs="宋体"/>
                <w:color w:val="000000"/>
                <w:spacing w:val="-2"/>
                <w:highlight w:val="none"/>
              </w:rPr>
            </w:r>
            <w:r/>
          </w:p>
        </w:tc>
        <w:tc>
          <w:tcPr>
            <w:tcW w:w="1179" w:type="dxa"/>
            <w:vAlign w:val="center"/>
            <w:textDirection w:val="lrTb"/>
            <w:noWrap w:val="false"/>
          </w:tcPr>
          <w:p>
            <w:pPr>
              <w:pStyle w:val="664"/>
              <w:spacing w:line="264" w:lineRule="auto"/>
              <w:rPr>
                <w:color w:val="000000"/>
                <w:highlight w:val="none"/>
              </w:rPr>
            </w:pPr>
            <w:r>
              <w:rPr>
                <w:rFonts w:hint="eastAsia"/>
                <w:color w:val="000000"/>
                <w:highlight w:val="none"/>
              </w:rPr>
              <w:t xml:space="preserve">履约能力2</w:t>
            </w:r>
            <w:r>
              <w:rPr>
                <w:color w:val="000000"/>
                <w:highlight w:val="none"/>
              </w:rPr>
            </w:r>
            <w:r/>
          </w:p>
        </w:tc>
        <w:tc>
          <w:tcPr>
            <w:tcW w:w="6330" w:type="dxa"/>
            <w:vAlign w:val="center"/>
            <w:textDirection w:val="lrTb"/>
            <w:noWrap w:val="false"/>
          </w:tcPr>
          <w:p>
            <w:pPr>
              <w:pStyle w:val="664"/>
              <w:spacing w:line="264" w:lineRule="auto"/>
              <w:rPr>
                <w:rFonts w:ascii="宋体" w:hAnsi="宋体" w:cs="宋体"/>
                <w:color w:val="000000"/>
                <w:highlight w:val="none"/>
              </w:rPr>
            </w:pPr>
            <w:r>
              <w:rPr>
                <w:rFonts w:hint="eastAsia" w:ascii="宋体" w:hAnsi="宋体" w:cs="宋体"/>
                <w:color w:val="000000"/>
                <w:highlight w:val="none"/>
              </w:rPr>
              <w:t xml:space="preserve">（2）技术负责人（非项目经理）能力：</w:t>
            </w:r>
            <w:r>
              <w:rPr>
                <w:rFonts w:ascii="宋体" w:hAnsi="宋体" w:cs="宋体"/>
                <w:color w:val="000000"/>
                <w:highlight w:val="none"/>
              </w:rPr>
            </w:r>
            <w:r/>
          </w:p>
          <w:p>
            <w:pPr>
              <w:pStyle w:val="713"/>
              <w:ind w:firstLine="0"/>
              <w:rPr>
                <w:color w:val="000000"/>
                <w:highlight w:val="none"/>
              </w:rPr>
            </w:pPr>
            <w:r>
              <w:rPr>
                <w:rFonts w:hint="eastAsia"/>
                <w:color w:val="000000"/>
                <w:highlight w:val="none"/>
              </w:rPr>
              <w:t xml:space="preserve">具有ITSS-信息技术应用创新服务经理</w:t>
            </w:r>
            <w:r>
              <w:rPr>
                <w:rFonts w:hint="eastAsia" w:cs="宋体"/>
                <w:color w:val="000000"/>
                <w:sz w:val="22"/>
                <w:highlight w:val="none"/>
              </w:rPr>
              <w:t xml:space="preserve">证书；</w:t>
            </w:r>
            <w:r>
              <w:rPr>
                <w:color w:val="000000"/>
                <w:highlight w:val="none"/>
              </w:rPr>
            </w:r>
            <w:r/>
          </w:p>
          <w:p>
            <w:pPr>
              <w:pStyle w:val="713"/>
              <w:ind w:firstLine="0"/>
              <w:rPr>
                <w:color w:val="000000"/>
                <w:highlight w:val="none"/>
              </w:rPr>
            </w:pPr>
            <w:r>
              <w:rPr>
                <w:rFonts w:hint="eastAsia"/>
                <w:color w:val="000000"/>
                <w:highlight w:val="none"/>
              </w:rPr>
              <w:t xml:space="preserve">具有信息系统项目管理师</w:t>
            </w:r>
            <w:r>
              <w:rPr>
                <w:rFonts w:hint="eastAsia" w:cs="宋体"/>
                <w:color w:val="000000"/>
                <w:sz w:val="22"/>
                <w:highlight w:val="none"/>
              </w:rPr>
              <w:t xml:space="preserve">证书；</w:t>
            </w:r>
            <w:r>
              <w:rPr>
                <w:color w:val="000000"/>
                <w:highlight w:val="none"/>
              </w:rPr>
            </w:r>
            <w:r/>
          </w:p>
          <w:p>
            <w:pPr>
              <w:pStyle w:val="713"/>
              <w:ind w:firstLine="0"/>
              <w:rPr>
                <w:color w:val="000000"/>
                <w:highlight w:val="none"/>
              </w:rPr>
            </w:pPr>
            <w:r>
              <w:rPr>
                <w:rFonts w:hint="eastAsia"/>
                <w:color w:val="000000"/>
                <w:highlight w:val="none"/>
              </w:rPr>
              <w:t xml:space="preserve">每提供1个证书得2分，最高4分.</w:t>
            </w:r>
            <w:r>
              <w:rPr>
                <w:color w:val="000000"/>
                <w:highlight w:val="none"/>
              </w:rPr>
            </w:r>
            <w:r/>
          </w:p>
          <w:p>
            <w:pPr>
              <w:pStyle w:val="664"/>
              <w:spacing w:line="264" w:lineRule="auto"/>
              <w:rPr>
                <w:rFonts w:ascii="宋体" w:hAnsi="宋体" w:cs="宋体"/>
                <w:color w:val="000000"/>
                <w:highlight w:val="none"/>
              </w:rPr>
            </w:pPr>
            <w:r>
              <w:rPr>
                <w:rFonts w:ascii="宋体" w:hAnsi="宋体" w:cs="宋体"/>
                <w:color w:val="000000"/>
                <w:highlight w:val="none"/>
                <w:lang w:val="zh-CN"/>
              </w:rPr>
              <w:t xml:space="preserve">（提供上述</w:t>
            </w:r>
            <w:r>
              <w:rPr>
                <w:rFonts w:hint="eastAsia" w:ascii="宋体" w:hAnsi="宋体" w:cs="宋体"/>
                <w:color w:val="000000"/>
                <w:highlight w:val="none"/>
                <w:lang w:val="zh-CN"/>
              </w:rPr>
              <w:t xml:space="preserve">人员</w:t>
            </w:r>
            <w:r>
              <w:rPr>
                <w:rFonts w:ascii="宋体" w:hAnsi="宋体" w:cs="宋体"/>
                <w:color w:val="000000"/>
                <w:highlight w:val="none"/>
                <w:lang w:val="zh-CN"/>
              </w:rPr>
              <w:t xml:space="preserve">证书</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供应商为其缴纳的2025年6月以来任意1个月的社保证明材料，缺一不可）</w:t>
            </w:r>
            <w:r>
              <w:rPr>
                <w:rFonts w:ascii="宋体" w:hAnsi="宋体" w:cs="宋体"/>
                <w:color w:val="000000"/>
                <w:highlight w:val="none"/>
              </w:rPr>
            </w:r>
            <w:r/>
          </w:p>
        </w:tc>
        <w:tc>
          <w:tcPr>
            <w:tcW w:w="647"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900"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r>
      <w:tr>
        <w:trPr>
          <w:trHeight w:val="383"/>
        </w:trPr>
        <w:tc>
          <w:tcPr>
            <w:tcW w:w="519" w:type="dxa"/>
            <w:vAlign w:val="center"/>
            <w:textDirection w:val="lrTb"/>
            <w:noWrap w:val="false"/>
          </w:tcPr>
          <w:p>
            <w:pPr>
              <w:pStyle w:val="664"/>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5.3</w:t>
            </w:r>
            <w:r>
              <w:rPr>
                <w:rFonts w:ascii="宋体" w:hAnsi="宋体" w:cs="宋体"/>
                <w:color w:val="000000"/>
                <w:spacing w:val="-2"/>
                <w:highlight w:val="none"/>
              </w:rPr>
            </w:r>
            <w:r/>
          </w:p>
        </w:tc>
        <w:tc>
          <w:tcPr>
            <w:tcW w:w="1179" w:type="dxa"/>
            <w:vAlign w:val="center"/>
            <w:textDirection w:val="lrTb"/>
            <w:noWrap w:val="false"/>
          </w:tcPr>
          <w:p>
            <w:pPr>
              <w:pStyle w:val="664"/>
              <w:spacing w:line="264" w:lineRule="auto"/>
              <w:rPr>
                <w:color w:val="000000"/>
                <w:highlight w:val="none"/>
              </w:rPr>
            </w:pPr>
            <w:r>
              <w:rPr>
                <w:rFonts w:hint="eastAsia"/>
                <w:color w:val="000000"/>
                <w:highlight w:val="none"/>
              </w:rPr>
              <w:t xml:space="preserve">履约能力3</w:t>
            </w:r>
            <w:r>
              <w:rPr>
                <w:color w:val="000000"/>
                <w:highlight w:val="none"/>
              </w:rPr>
            </w:r>
            <w:r/>
          </w:p>
        </w:tc>
        <w:tc>
          <w:tcPr>
            <w:tcW w:w="6330" w:type="dxa"/>
            <w:vAlign w:val="center"/>
            <w:textDirection w:val="lrTb"/>
            <w:noWrap w:val="false"/>
          </w:tcPr>
          <w:p>
            <w:pPr>
              <w:pStyle w:val="664"/>
              <w:spacing w:line="62"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w:t>
            </w:r>
            <w:r>
              <w:rPr>
                <w:rFonts w:ascii="宋体" w:hAnsi="宋体" w:cs="宋体"/>
                <w:color w:val="000000"/>
                <w:sz w:val="22"/>
                <w:highlight w:val="none"/>
              </w:rPr>
              <w:t xml:space="preserve">团队成员能力</w:t>
            </w:r>
            <w:r>
              <w:rPr>
                <w:rFonts w:hint="eastAsia" w:ascii="宋体" w:hAnsi="宋体" w:cs="宋体"/>
                <w:color w:val="000000"/>
                <w:highlight w:val="none"/>
              </w:rPr>
              <w:t xml:space="preserve">（不含项目经理和技术负责人）</w:t>
            </w:r>
            <w:r>
              <w:rPr>
                <w:rFonts w:ascii="宋体" w:hAnsi="宋体" w:cs="宋体"/>
                <w:color w:val="000000"/>
                <w:sz w:val="22"/>
                <w:highlight w:val="none"/>
              </w:rPr>
              <w:t xml:space="preserve">：</w:t>
            </w:r>
            <w:r>
              <w:rPr>
                <w:color w:val="000000"/>
                <w:highlight w:val="none"/>
              </w:rPr>
            </w:r>
            <w:r/>
          </w:p>
          <w:p>
            <w:pPr>
              <w:pStyle w:val="713"/>
              <w:ind w:firstLine="0"/>
              <w:rPr>
                <w:color w:val="000000"/>
                <w:highlight w:val="none"/>
              </w:rPr>
            </w:pPr>
            <w:r>
              <w:rPr>
                <w:rFonts w:hint="eastAsia"/>
                <w:color w:val="000000"/>
                <w:highlight w:val="none"/>
              </w:rPr>
              <w:t xml:space="preserve">具有系统规划与管理师证书；</w:t>
            </w:r>
            <w:r>
              <w:rPr>
                <w:color w:val="000000"/>
                <w:highlight w:val="none"/>
              </w:rPr>
            </w:r>
            <w:r/>
          </w:p>
          <w:p>
            <w:pPr>
              <w:pStyle w:val="713"/>
              <w:ind w:firstLine="0"/>
              <w:rPr>
                <w:color w:val="000000"/>
                <w:highlight w:val="none"/>
              </w:rPr>
            </w:pPr>
            <w:r>
              <w:rPr>
                <w:rFonts w:hint="eastAsia"/>
                <w:color w:val="000000"/>
                <w:highlight w:val="none"/>
              </w:rPr>
              <w:t xml:space="preserve">具有网络规划设计师证书；</w:t>
            </w:r>
            <w:r>
              <w:rPr>
                <w:color w:val="000000"/>
                <w:highlight w:val="none"/>
              </w:rPr>
            </w:r>
            <w:r/>
          </w:p>
          <w:p>
            <w:pPr>
              <w:pStyle w:val="713"/>
              <w:ind w:firstLine="0"/>
              <w:rPr>
                <w:color w:val="000000"/>
                <w:highlight w:val="none"/>
              </w:rPr>
            </w:pPr>
            <w:r>
              <w:rPr>
                <w:rFonts w:hint="eastAsia"/>
                <w:color w:val="000000"/>
                <w:highlight w:val="none"/>
              </w:rPr>
              <w:t xml:space="preserve">具有系统分析师证书；</w:t>
            </w:r>
            <w:r>
              <w:rPr>
                <w:color w:val="000000"/>
                <w:highlight w:val="none"/>
              </w:rPr>
            </w:r>
            <w:r/>
          </w:p>
          <w:p>
            <w:pPr>
              <w:pStyle w:val="713"/>
              <w:ind w:firstLine="0"/>
              <w:rPr>
                <w:color w:val="000000"/>
                <w:highlight w:val="none"/>
              </w:rPr>
            </w:pPr>
            <w:r>
              <w:rPr>
                <w:rFonts w:hint="eastAsia"/>
                <w:color w:val="000000"/>
                <w:highlight w:val="none"/>
              </w:rPr>
              <w:t xml:space="preserve">具有高级工程师（电子信息）证书；</w:t>
            </w:r>
            <w:r>
              <w:rPr>
                <w:color w:val="000000"/>
                <w:highlight w:val="none"/>
              </w:rPr>
            </w:r>
            <w:r/>
          </w:p>
          <w:p>
            <w:pPr>
              <w:pStyle w:val="664"/>
              <w:rPr>
                <w:color w:val="000000"/>
                <w:highlight w:val="none"/>
              </w:rPr>
            </w:pPr>
            <w:r>
              <w:rPr>
                <w:rFonts w:ascii="宋体" w:hAnsi="宋体" w:cs="宋体"/>
                <w:color w:val="000000"/>
                <w:sz w:val="22"/>
                <w:highlight w:val="none"/>
              </w:rPr>
              <w:t xml:space="preserve">每提供1个证书得</w:t>
            </w:r>
            <w:r>
              <w:rPr>
                <w:rFonts w:hint="eastAsia" w:ascii="宋体" w:hAnsi="宋体" w:cs="宋体"/>
                <w:color w:val="000000"/>
                <w:sz w:val="22"/>
                <w:highlight w:val="none"/>
              </w:rPr>
              <w:t xml:space="preserve">1</w:t>
            </w:r>
            <w:r>
              <w:rPr>
                <w:rFonts w:ascii="宋体" w:hAnsi="宋体" w:cs="宋体"/>
                <w:color w:val="000000"/>
                <w:sz w:val="22"/>
                <w:highlight w:val="none"/>
              </w:rPr>
              <w:t xml:space="preserve">分，最多得</w:t>
            </w:r>
            <w:r>
              <w:rPr>
                <w:rFonts w:hint="eastAsia" w:ascii="宋体" w:hAnsi="宋体" w:cs="宋体"/>
                <w:color w:val="000000"/>
                <w:sz w:val="22"/>
                <w:highlight w:val="none"/>
              </w:rPr>
              <w:t xml:space="preserve">4</w:t>
            </w:r>
            <w:r>
              <w:rPr>
                <w:rFonts w:ascii="宋体" w:hAnsi="宋体" w:cs="宋体"/>
                <w:color w:val="000000"/>
                <w:sz w:val="22"/>
                <w:highlight w:val="none"/>
              </w:rPr>
              <w:t xml:space="preserve">分。</w:t>
            </w:r>
            <w:r>
              <w:rPr>
                <w:color w:val="000000"/>
                <w:highlight w:val="none"/>
              </w:rPr>
            </w:r>
            <w:r/>
          </w:p>
          <w:p>
            <w:pPr>
              <w:pStyle w:val="664"/>
              <w:spacing w:line="62"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（多人一证、一人多证不重复计分，提供团队成员证书、</w:t>
            </w:r>
            <w:r>
              <w:rPr>
                <w:rFonts w:hint="eastAsia" w:ascii="宋体" w:hAnsi="宋体" w:cs="宋体"/>
                <w:color w:val="000000"/>
                <w:sz w:val="22"/>
                <w:highlight w:val="none"/>
              </w:rPr>
              <w:t xml:space="preserve">供应商为其缴纳的2025年6月以来任意1个月的社保证明材料，缺一不可</w:t>
            </w:r>
            <w:r>
              <w:rPr>
                <w:rFonts w:hint="eastAsia" w:ascii="宋体" w:hAnsi="宋体" w:cs="宋体"/>
                <w:color w:val="000000"/>
                <w:highlight w:val="none"/>
              </w:rPr>
              <w:t xml:space="preserve">）</w:t>
            </w:r>
            <w:r>
              <w:rPr>
                <w:color w:val="000000"/>
                <w:highlight w:val="none"/>
              </w:rPr>
            </w:r>
            <w:r/>
          </w:p>
        </w:tc>
        <w:tc>
          <w:tcPr>
            <w:tcW w:w="647" w:type="dxa"/>
            <w:vAlign w:val="center"/>
            <w:textDirection w:val="lrTb"/>
            <w:noWrap w:val="false"/>
          </w:tcPr>
          <w:p>
            <w:pPr>
              <w:pStyle w:val="664"/>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900" w:type="dxa"/>
            <w:vAlign w:val="center"/>
            <w:textDirection w:val="lrTb"/>
            <w:noWrap w:val="false"/>
          </w:tcPr>
          <w:p>
            <w:pPr>
              <w:pStyle w:val="664"/>
              <w:jc w:val="center"/>
              <w:spacing w:before="68" w:line="264" w:lineRule="auto"/>
              <w:rPr>
                <w:rFonts w:ascii="宋体" w:hAnsi="宋体" w:cs="宋体"/>
                <w:color w:val="000000"/>
                <w:szCs w:val="21"/>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szCs w:val="21"/>
                <w:highlight w:val="none"/>
              </w:rPr>
            </w:r>
            <w:r/>
          </w:p>
        </w:tc>
      </w:tr>
      <w:tr>
        <w:trPr>
          <w:trHeight w:val="464"/>
        </w:trPr>
        <w:tc>
          <w:tcPr>
            <w:tcW w:w="519" w:type="dxa"/>
            <w:vAlign w:val="center"/>
            <w:textDirection w:val="lrTb"/>
            <w:noWrap w:val="false"/>
          </w:tcPr>
          <w:p>
            <w:pPr>
              <w:pStyle w:val="664"/>
              <w:jc w:val="center"/>
              <w:spacing w:line="264" w:lineRule="auto"/>
              <w:rPr>
                <w:color w:val="000000"/>
                <w:highlight w:val="none"/>
              </w:rPr>
            </w:pPr>
            <w:r>
              <w:rPr>
                <w:rFonts w:ascii="宋体" w:hAnsi="宋体" w:cs="宋体"/>
                <w:color w:val="000000"/>
                <w:spacing w:val="-3"/>
                <w:highlight w:val="none"/>
              </w:rPr>
              <w:t xml:space="preserve">合</w:t>
            </w:r>
            <w:r>
              <w:rPr>
                <w:rFonts w:ascii="宋体" w:hAnsi="宋体" w:cs="宋体"/>
                <w:color w:val="000000"/>
                <w:spacing w:val="-2"/>
                <w:highlight w:val="none"/>
              </w:rPr>
              <w:t xml:space="preserve">计</w:t>
            </w:r>
            <w:r>
              <w:rPr>
                <w:color w:val="000000"/>
                <w:highlight w:val="none"/>
              </w:rPr>
            </w:r>
            <w:r/>
          </w:p>
        </w:tc>
        <w:tc>
          <w:tcPr>
            <w:gridSpan w:val="2"/>
            <w:tcW w:w="7509" w:type="dxa"/>
            <w:vAlign w:val="center"/>
            <w:textDirection w:val="lrTb"/>
            <w:noWrap w:val="false"/>
          </w:tcPr>
          <w:p>
            <w:pPr>
              <w:pStyle w:val="664"/>
              <w:ind w:left="172"/>
              <w:jc w:val="center"/>
              <w:spacing w:before="123" w:line="264" w:lineRule="auto"/>
              <w:rPr>
                <w:rFonts w:ascii="宋体" w:hAnsi="宋体" w:cs="宋体"/>
                <w:color w:val="000000"/>
                <w:spacing w:val="-2"/>
                <w:highlight w:val="none"/>
              </w:rPr>
            </w:pPr>
            <w:r>
              <w:rPr>
                <w:rFonts w:ascii="宋体" w:hAnsi="宋体" w:cs="宋体"/>
                <w:color w:val="000000"/>
                <w:spacing w:val="-2"/>
                <w:highlight w:val="none"/>
              </w:rPr>
            </w:r>
            <w:r/>
          </w:p>
        </w:tc>
        <w:tc>
          <w:tcPr>
            <w:gridSpan w:val="2"/>
            <w:tcW w:w="1547" w:type="dxa"/>
            <w:vAlign w:val="center"/>
            <w:textDirection w:val="lrTb"/>
            <w:noWrap w:val="false"/>
          </w:tcPr>
          <w:p>
            <w:pPr>
              <w:pStyle w:val="664"/>
              <w:jc w:val="center"/>
              <w:spacing w:line="264" w:lineRule="auto"/>
              <w:rPr>
                <w:color w:val="000000"/>
                <w:highlight w:val="none"/>
              </w:rPr>
            </w:pPr>
            <w:r>
              <w:rPr>
                <w:rFonts w:ascii="宋体" w:hAnsi="宋体" w:cs="宋体"/>
                <w:color w:val="000000"/>
                <w:spacing w:val="-11"/>
                <w:highlight w:val="none"/>
              </w:rPr>
              <w:t xml:space="preserve">100分</w:t>
            </w:r>
            <w:r>
              <w:rPr>
                <w:color w:val="000000"/>
                <w:highlight w:val="none"/>
              </w:rPr>
            </w:r>
            <w:r/>
          </w:p>
        </w:tc>
      </w:tr>
    </w:tbl>
    <w:p>
      <w:pPr>
        <w:pStyle w:val="664"/>
        <w:ind w:right="840"/>
        <w:jc w:val="left"/>
        <w:rPr>
          <w:rFonts w:ascii="方正小标宋简体" w:hAnsi="方正小标宋简体" w:eastAsia="方正小标宋简体" w:cs="方正小标宋简体"/>
          <w:color w:val="000000"/>
          <w:sz w:val="36"/>
          <w:szCs w:val="36"/>
          <w:highlight w:val="none"/>
        </w:rPr>
        <w:outlineLvl w:val="0"/>
      </w:pPr>
      <w:r>
        <w:rPr>
          <w:rFonts w:hint="eastAsia" w:ascii="黑体"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w:t>
      </w:r>
      <w:bookmarkEnd w:id="21"/>
      <w:r/>
      <w:bookmarkEnd w:id="22"/>
      <w:r/>
      <w:bookmarkEnd w:id="23"/>
      <w:r>
        <w:rPr>
          <w:rFonts w:hint="eastAsia" w:ascii="方正小标宋简体" w:hAnsi="方正小标宋简体" w:eastAsia="方正小标宋简体" w:cs="方正小标宋简体"/>
          <w:color w:val="000000"/>
          <w:sz w:val="36"/>
          <w:szCs w:val="36"/>
          <w:highlight w:val="none"/>
        </w:rPr>
        <w:t xml:space="preserve">响应文件格式 </w:t>
      </w:r>
      <w:r>
        <w:rPr>
          <w:rFonts w:ascii="方正小标宋简体" w:hAnsi="方正小标宋简体" w:eastAsia="方正小标宋简体" w:cs="方正小标宋简体"/>
          <w:color w:val="000000"/>
          <w:sz w:val="36"/>
          <w:szCs w:val="36"/>
          <w:highlight w:val="none"/>
        </w:rPr>
      </w:r>
      <w:r/>
    </w:p>
    <w:p>
      <w:pPr>
        <w:pStyle w:val="664"/>
        <w:jc w:val="center"/>
        <w:rPr>
          <w:rFonts w:ascii="宋体" w:hAnsi="宋体"/>
          <w:b/>
          <w:color w:val="000000"/>
          <w:sz w:val="72"/>
          <w:szCs w:val="21"/>
          <w:highlight w:val="none"/>
        </w:rPr>
      </w:pPr>
      <w:r/>
      <w:bookmarkStart w:id="29" w:name="_Toc26554094"/>
      <w:r/>
      <w:bookmarkStart w:id="30" w:name="_Toc120614282"/>
      <w:r/>
      <w:bookmarkStart w:id="31" w:name="_Toc49090576"/>
      <w:r/>
      <w:bookmarkStart w:id="32" w:name="_Hlt26955039"/>
      <w:r/>
      <w:bookmarkEnd w:id="32"/>
      <w:r/>
      <w:bookmarkStart w:id="33" w:name="_Hlt26671244"/>
      <w:r/>
      <w:bookmarkEnd w:id="33"/>
      <w:r>
        <w:rPr>
          <w:rFonts w:ascii="宋体" w:hAnsi="宋体"/>
          <w:b/>
          <w:color w:val="000000"/>
          <w:sz w:val="72"/>
          <w:szCs w:val="21"/>
          <w:highlight w:val="none"/>
        </w:rPr>
      </w:r>
      <w:r/>
    </w:p>
    <w:p>
      <w:pPr>
        <w:pStyle w:val="664"/>
        <w:jc w:val="center"/>
        <w:rPr>
          <w:rFonts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ascii="宋体" w:hAnsi="宋体"/>
          <w:b/>
          <w:color w:val="000000"/>
          <w:sz w:val="72"/>
          <w:szCs w:val="21"/>
          <w:highlight w:val="none"/>
        </w:rPr>
      </w:r>
      <w:r/>
    </w:p>
    <w:p>
      <w:pPr>
        <w:pStyle w:val="664"/>
        <w:jc w:val="center"/>
        <w:rPr>
          <w:rFonts w:ascii="宋体" w:hAnsi="宋体"/>
          <w:b/>
          <w:color w:val="000000"/>
          <w:sz w:val="72"/>
          <w:szCs w:val="21"/>
          <w:highlight w:val="none"/>
        </w:rPr>
      </w:pPr>
      <w:r>
        <w:rPr>
          <w:rFonts w:ascii="宋体" w:hAnsi="宋体"/>
          <w:b/>
          <w:color w:val="000000"/>
          <w:sz w:val="72"/>
          <w:szCs w:val="21"/>
          <w:highlight w:val="none"/>
        </w:rPr>
      </w:r>
      <w:r/>
    </w:p>
    <w:p>
      <w:pPr>
        <w:pStyle w:val="664"/>
        <w:jc w:val="center"/>
        <w:rPr>
          <w:rFonts w:ascii="宋体" w:hAnsi="宋体"/>
          <w:b/>
          <w:color w:val="000000"/>
          <w:sz w:val="72"/>
          <w:szCs w:val="21"/>
          <w:highlight w:val="none"/>
        </w:rPr>
      </w:pPr>
      <w:r>
        <w:rPr>
          <w:rFonts w:ascii="宋体" w:hAnsi="宋体"/>
          <w:b/>
          <w:color w:val="000000"/>
          <w:sz w:val="72"/>
          <w:szCs w:val="21"/>
          <w:highlight w:val="none"/>
        </w:rPr>
      </w:r>
      <w:r/>
    </w:p>
    <w:p>
      <w:pPr>
        <w:pStyle w:val="664"/>
        <w:jc w:val="center"/>
        <w:rPr>
          <w:rFonts w:ascii="宋体" w:hAnsi="宋体"/>
          <w:b/>
          <w:color w:val="000000"/>
          <w:sz w:val="36"/>
          <w:szCs w:val="21"/>
          <w:highlight w:val="none"/>
        </w:rPr>
      </w:pPr>
      <w:r>
        <w:rPr>
          <w:rFonts w:ascii="宋体" w:hAnsi="宋体"/>
          <w:b/>
          <w:color w:val="000000"/>
          <w:sz w:val="36"/>
          <w:szCs w:val="21"/>
          <w:highlight w:val="none"/>
        </w:rPr>
      </w:r>
      <w:r/>
    </w:p>
    <w:p>
      <w:pPr>
        <w:pStyle w:val="664"/>
        <w:jc w:val="center"/>
        <w:rPr>
          <w:rFonts w:ascii="宋体" w:hAnsi="宋体"/>
          <w:b/>
          <w:color w:val="000000"/>
          <w:sz w:val="36"/>
          <w:szCs w:val="21"/>
          <w:highlight w:val="none"/>
        </w:rPr>
      </w:pPr>
      <w:r>
        <w:rPr>
          <w:rFonts w:ascii="宋体" w:hAnsi="宋体"/>
          <w:b/>
          <w:color w:val="000000"/>
          <w:sz w:val="36"/>
          <w:szCs w:val="21"/>
          <w:highlight w:val="none"/>
        </w:rPr>
      </w:r>
      <w:r/>
    </w:p>
    <w:p>
      <w:pPr>
        <w:pStyle w:val="664"/>
        <w:jc w:val="center"/>
        <w:rPr>
          <w:rFonts w:ascii="宋体" w:hAnsi="宋体"/>
          <w:b/>
          <w:color w:val="000000"/>
          <w:sz w:val="36"/>
          <w:szCs w:val="21"/>
          <w:highlight w:val="none"/>
        </w:rPr>
      </w:pPr>
      <w:r>
        <w:rPr>
          <w:rFonts w:ascii="宋体" w:hAnsi="宋体"/>
          <w:b/>
          <w:color w:val="000000"/>
          <w:sz w:val="36"/>
          <w:szCs w:val="21"/>
          <w:highlight w:val="none"/>
        </w:rPr>
      </w:r>
      <w:r/>
    </w:p>
    <w:p>
      <w:pPr>
        <w:pStyle w:val="664"/>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664"/>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664"/>
        <w:rPr>
          <w:rFonts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   </w:t>
      </w:r>
      <w:r>
        <w:rPr>
          <w:rFonts w:ascii="宋体" w:hAnsi="宋体"/>
          <w:b/>
          <w:color w:val="000000"/>
          <w:sz w:val="36"/>
          <w:szCs w:val="21"/>
          <w:highlight w:val="none"/>
          <w:u w:val="single"/>
        </w:rPr>
      </w:r>
      <w:r/>
    </w:p>
    <w:p>
      <w:pPr>
        <w:pStyle w:val="664"/>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664"/>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664"/>
        <w:spacing w:line="440" w:lineRule="exact"/>
        <w:rPr>
          <w:rFonts w:ascii="宋体" w:hAnsi="宋体"/>
          <w:color w:val="000000"/>
          <w:szCs w:val="21"/>
          <w:highlight w:val="none"/>
        </w:rPr>
      </w:pPr>
      <w:r>
        <w:rPr>
          <w:rFonts w:ascii="宋体" w:hAnsi="宋体"/>
          <w:color w:val="000000"/>
          <w:szCs w:val="21"/>
          <w:highlight w:val="none"/>
        </w:rPr>
      </w:r>
      <w:r/>
    </w:p>
    <w:p>
      <w:pPr>
        <w:pStyle w:val="664"/>
        <w:jc w:val="center"/>
        <w:rPr>
          <w:rFonts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rPr>
          <w:rFonts w:ascii="宋体" w:hAnsi="宋体"/>
          <w:b/>
          <w:bCs/>
          <w:color w:val="000000"/>
          <w:sz w:val="32"/>
          <w:szCs w:val="32"/>
          <w:highlight w:val="none"/>
        </w:rPr>
      </w:r>
      <w:r/>
    </w:p>
    <w:p>
      <w:pPr>
        <w:pStyle w:val="664"/>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664"/>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一、供应商信用承诺函</w:t>
      </w: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四、磋商响应函</w:t>
      </w: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五、报价一览表</w:t>
      </w: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六、分项报价表（如有）</w:t>
      </w: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七、技术要求响应及偏离表</w:t>
      </w: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八、商务要求响应及偏离表</w:t>
      </w: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九、中小企业声明函（如有）</w:t>
      </w: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十一、联合体协议（如有）</w:t>
      </w: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十二、分包承诺书（如有）</w:t>
      </w: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十三、关于符合本国产品标准的声明函（如有）</w:t>
      </w: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64"/>
        <w:ind w:firstLine="560"/>
        <w:spacing w:line="60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6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6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6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6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64"/>
        <w:rPr>
          <w:rFonts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br w:type="page" w:clear="all"/>
      </w:r>
      <w:r>
        <w:rPr>
          <w:rFonts w:hint="eastAsia" w:ascii="黑体" w:hAnsi="黑体" w:eastAsia="黑体"/>
          <w:color w:val="000000"/>
          <w:sz w:val="32"/>
          <w:szCs w:val="32"/>
          <w:highlight w:val="none"/>
        </w:rPr>
        <w:t xml:space="preserve">一、供应商信用承诺函</w:t>
      </w:r>
      <w:r>
        <w:rPr>
          <w:rFonts w:ascii="黑体" w:hAnsi="黑体" w:eastAsia="黑体"/>
          <w:i/>
          <w:color w:val="000000"/>
          <w:sz w:val="32"/>
          <w:szCs w:val="32"/>
          <w:highlight w:val="none"/>
          <w:u w:val="single"/>
        </w:rPr>
      </w:r>
      <w:r/>
    </w:p>
    <w:p>
      <w:pPr>
        <w:pStyle w:val="664"/>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供应商信用承诺函</w:t>
      </w:r>
      <w:r>
        <w:rPr>
          <w:rFonts w:ascii="方正小标宋简体" w:hAnsi="方正小标宋简体" w:eastAsia="方正小标宋简体" w:cs="方正小标宋简体"/>
          <w:color w:val="000000"/>
          <w:sz w:val="32"/>
          <w:szCs w:val="32"/>
          <w:highlight w:val="none"/>
        </w:rPr>
      </w:r>
      <w:r/>
    </w:p>
    <w:p>
      <w:pPr>
        <w:pStyle w:val="664"/>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南京市公共资源交易中心六合分中心：</w:t>
      </w:r>
      <w:r>
        <w:rPr>
          <w:rFonts w:ascii="宋体" w:hAnsi="宋体"/>
          <w:color w:val="000000"/>
          <w:sz w:val="24"/>
          <w:szCs w:val="24"/>
          <w:highlight w:val="none"/>
        </w:rPr>
      </w:r>
      <w:r/>
    </w:p>
    <w:p>
      <w:pPr>
        <w:pStyle w:val="664"/>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我公司（单位）</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rPr>
          <w:rFonts w:ascii="宋体" w:hAnsi="宋体"/>
          <w:color w:val="000000"/>
          <w:sz w:val="24"/>
          <w:szCs w:val="24"/>
          <w:highlight w:val="none"/>
        </w:rPr>
      </w:r>
      <w:r/>
    </w:p>
    <w:p>
      <w:pPr>
        <w:pStyle w:val="664"/>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我公司（单位）符合下列要求：</w:t>
      </w:r>
      <w:r>
        <w:rPr>
          <w:rFonts w:ascii="宋体" w:hAnsi="宋体"/>
          <w:color w:val="000000"/>
          <w:sz w:val="24"/>
          <w:szCs w:val="24"/>
          <w:highlight w:val="none"/>
        </w:rPr>
      </w:r>
      <w:r/>
    </w:p>
    <w:p>
      <w:pPr>
        <w:pStyle w:val="664"/>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ascii="宋体" w:hAnsi="宋体"/>
          <w:color w:val="000000"/>
          <w:sz w:val="24"/>
          <w:szCs w:val="24"/>
          <w:highlight w:val="none"/>
        </w:rPr>
      </w:r>
      <w:r/>
    </w:p>
    <w:p>
      <w:pPr>
        <w:pStyle w:val="664"/>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ascii="宋体" w:hAnsi="宋体"/>
          <w:color w:val="000000"/>
          <w:sz w:val="24"/>
          <w:szCs w:val="24"/>
          <w:highlight w:val="none"/>
        </w:rPr>
      </w:r>
      <w:r/>
    </w:p>
    <w:p>
      <w:pPr>
        <w:pStyle w:val="664"/>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ascii="宋体" w:hAnsi="宋体"/>
          <w:color w:val="000000"/>
          <w:sz w:val="24"/>
          <w:szCs w:val="24"/>
          <w:highlight w:val="none"/>
        </w:rPr>
      </w:r>
      <w:r/>
    </w:p>
    <w:p>
      <w:pPr>
        <w:pStyle w:val="664"/>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ascii="宋体" w:hAnsi="宋体"/>
          <w:color w:val="000000"/>
          <w:sz w:val="24"/>
          <w:szCs w:val="24"/>
          <w:highlight w:val="none"/>
        </w:rPr>
      </w:r>
      <w:r/>
    </w:p>
    <w:p>
      <w:pPr>
        <w:pStyle w:val="664"/>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ascii="宋体" w:hAnsi="宋体"/>
          <w:color w:val="000000"/>
          <w:sz w:val="24"/>
          <w:szCs w:val="24"/>
          <w:highlight w:val="none"/>
        </w:rPr>
      </w:r>
      <w:r/>
    </w:p>
    <w:p>
      <w:pPr>
        <w:pStyle w:val="664"/>
        <w:ind w:firstLine="492"/>
        <w:spacing w:line="46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(六)我公司（单位）已知晓：单位负责人为同一人或者存在直接控股、管理关系的不同供应商，不得参加同一合同项下的政府采购活动。</w:t>
      </w:r>
      <w:r>
        <w:rPr>
          <w:rFonts w:ascii="宋体" w:hAnsi="宋体"/>
          <w:color w:val="000000"/>
          <w:sz w:val="24"/>
          <w:szCs w:val="24"/>
          <w:highlight w:val="none"/>
        </w:rPr>
      </w:r>
      <w:r/>
    </w:p>
    <w:p>
      <w:pPr>
        <w:pStyle w:val="664"/>
        <w:ind w:firstLine="492"/>
        <w:spacing w:line="46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(七)未参加此项目的整体设计、规范编制或者项目管理、监理、检测等服务。</w:t>
      </w:r>
      <w:r>
        <w:rPr>
          <w:rFonts w:ascii="宋体" w:hAnsi="宋体"/>
          <w:color w:val="000000"/>
          <w:sz w:val="24"/>
          <w:szCs w:val="24"/>
          <w:highlight w:val="none"/>
        </w:rPr>
      </w:r>
      <w:r/>
    </w:p>
    <w:p>
      <w:pPr>
        <w:pStyle w:val="664"/>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如果我公司（单位）成交，将在成交结果公示后七个工作日内向采购人提供下列材料核验：</w:t>
      </w:r>
      <w:r>
        <w:rPr>
          <w:rFonts w:ascii="宋体" w:hAnsi="宋体"/>
          <w:color w:val="000000"/>
          <w:sz w:val="24"/>
          <w:szCs w:val="24"/>
          <w:highlight w:val="none"/>
        </w:rPr>
      </w:r>
      <w:r/>
    </w:p>
    <w:p>
      <w:pPr>
        <w:pStyle w:val="664"/>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rPr>
          <w:rFonts w:ascii="宋体" w:hAnsi="宋体"/>
          <w:color w:val="000000"/>
          <w:sz w:val="24"/>
          <w:szCs w:val="24"/>
          <w:highlight w:val="none"/>
        </w:rPr>
      </w:r>
      <w:r/>
    </w:p>
    <w:p>
      <w:pPr>
        <w:pStyle w:val="664"/>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ascii="宋体" w:hAnsi="宋体"/>
          <w:color w:val="000000"/>
          <w:sz w:val="24"/>
          <w:szCs w:val="24"/>
          <w:highlight w:val="none"/>
        </w:rPr>
      </w:r>
      <w:r/>
    </w:p>
    <w:p>
      <w:pPr>
        <w:pStyle w:val="664"/>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ascii="宋体" w:hAnsi="宋体"/>
          <w:color w:val="000000"/>
          <w:sz w:val="24"/>
          <w:szCs w:val="24"/>
          <w:highlight w:val="none"/>
        </w:rPr>
      </w:r>
      <w:r/>
    </w:p>
    <w:p>
      <w:pPr>
        <w:pStyle w:val="664"/>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ascii="宋体" w:hAnsi="宋体"/>
          <w:color w:val="000000"/>
          <w:sz w:val="24"/>
          <w:szCs w:val="24"/>
          <w:highlight w:val="none"/>
        </w:rPr>
      </w:r>
      <w:r/>
    </w:p>
    <w:p>
      <w:pPr>
        <w:pStyle w:val="664"/>
        <w:ind w:firstLine="492"/>
        <w:spacing w:line="460" w:lineRule="exact"/>
        <w:rPr>
          <w:color w:val="000000"/>
          <w:sz w:val="24"/>
          <w:szCs w:val="24"/>
          <w:highlight w:val="none"/>
        </w:rPr>
      </w:pPr>
      <w:r>
        <w:rPr>
          <w:rFonts w:hint="eastAsia"/>
          <w:color w:val="000000"/>
          <w:sz w:val="24"/>
          <w:szCs w:val="24"/>
          <w:highlight w:val="none"/>
        </w:rPr>
        <w:t xml:space="preserve">我公司（单位）对上述承诺内容的真实性、合法性、有效性负责，如有虚假，将依法承担相应责任。</w:t>
      </w:r>
      <w:r>
        <w:rPr>
          <w:color w:val="000000"/>
          <w:sz w:val="24"/>
          <w:szCs w:val="24"/>
          <w:highlight w:val="none"/>
        </w:rPr>
      </w:r>
      <w:r/>
    </w:p>
    <w:p>
      <w:pPr>
        <w:pStyle w:val="664"/>
        <w:ind w:firstLine="492"/>
        <w:spacing w:line="460" w:lineRule="exact"/>
        <w:rPr>
          <w:color w:val="000000"/>
          <w:sz w:val="24"/>
          <w:szCs w:val="24"/>
          <w:highlight w:val="none"/>
        </w:rPr>
      </w:pPr>
      <w:r>
        <w:rPr>
          <w:color w:val="000000"/>
          <w:sz w:val="24"/>
          <w:szCs w:val="24"/>
          <w:highlight w:val="none"/>
        </w:rPr>
      </w:r>
      <w:r/>
    </w:p>
    <w:p>
      <w:pPr>
        <w:pStyle w:val="967"/>
        <w:rPr>
          <w:color w:val="000000"/>
          <w:sz w:val="24"/>
          <w:szCs w:val="24"/>
          <w:highlight w:val="none"/>
        </w:rPr>
      </w:pPr>
      <w:r>
        <w:rPr>
          <w:color w:val="000000"/>
          <w:sz w:val="24"/>
          <w:szCs w:val="24"/>
          <w:highlight w:val="none"/>
        </w:rPr>
      </w:r>
      <w:r/>
    </w:p>
    <w:p>
      <w:pPr>
        <w:pStyle w:val="664"/>
        <w:ind w:right="180" w:firstLine="360"/>
        <w:jc w:val="righ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ascii="宋体" w:hAnsi="宋体"/>
          <w:color w:val="000000"/>
          <w:sz w:val="24"/>
          <w:szCs w:val="24"/>
          <w:highlight w:val="none"/>
        </w:rPr>
      </w:r>
      <w:r/>
    </w:p>
    <w:p>
      <w:pPr>
        <w:pStyle w:val="664"/>
        <w:ind w:firstLine="6240"/>
        <w:spacing w:line="560" w:lineRule="exact"/>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664"/>
        <w:rPr>
          <w:color w:val="000000"/>
          <w:sz w:val="24"/>
          <w:szCs w:val="24"/>
          <w:highlight w:val="none"/>
        </w:rPr>
      </w:pPr>
      <w:r>
        <w:rPr>
          <w:color w:val="000000"/>
          <w:sz w:val="24"/>
          <w:szCs w:val="24"/>
          <w:highlight w:val="none"/>
        </w:rPr>
      </w:r>
      <w:r/>
    </w:p>
    <w:p>
      <w:pPr>
        <w:pStyle w:val="664"/>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927"/>
        <w:ind w:left="0"/>
        <w:rPr>
          <w:color w:val="000000"/>
          <w:highlight w:val="none"/>
        </w:rPr>
      </w:pPr>
      <w:r/>
      <w:bookmarkEnd w:id="29"/>
      <w:r/>
      <w:bookmarkEnd w:id="30"/>
      <w:r/>
      <w:bookmarkEnd w:id="31"/>
      <w:r>
        <w:rPr>
          <w:color w:val="000000"/>
          <w:highlight w:val="none"/>
        </w:rPr>
      </w:r>
      <w:r/>
    </w:p>
    <w:p>
      <w:pPr>
        <w:pStyle w:val="664"/>
        <w:rPr>
          <w:rFonts w:ascii="黑体" w:hAnsi="黑体" w:eastAsia="黑体"/>
          <w:color w:val="000000"/>
          <w:sz w:val="32"/>
          <w:szCs w:val="32"/>
          <w:highlight w:val="none"/>
        </w:rPr>
      </w:pPr>
      <w:r/>
      <w:bookmarkStart w:id="34" w:name="_Toc120614284"/>
      <w:r>
        <w:rPr>
          <w:rFonts w:hint="eastAsia" w:ascii="黑体" w:hAnsi="黑体" w:eastAsia="黑体"/>
          <w:color w:val="000000"/>
          <w:sz w:val="32"/>
          <w:szCs w:val="32"/>
          <w:highlight w:val="none"/>
        </w:rPr>
        <w:t xml:space="preserve">二、特定资格要求的证明文件</w:t>
      </w:r>
      <w:r>
        <w:rPr>
          <w:rFonts w:ascii="黑体" w:hAnsi="黑体" w:eastAsia="黑体"/>
          <w:color w:val="000000"/>
          <w:sz w:val="32"/>
          <w:szCs w:val="32"/>
          <w:highlight w:val="none"/>
        </w:rPr>
      </w:r>
      <w:r/>
    </w:p>
    <w:p>
      <w:pPr>
        <w:pStyle w:val="664"/>
        <w:spacing w:line="460" w:lineRule="exact"/>
        <w:rPr>
          <w:rFonts w:ascii="宋体" w:hAnsi="宋体"/>
          <w:bCs/>
          <w:color w:val="000000"/>
          <w:sz w:val="24"/>
          <w:szCs w:val="21"/>
          <w:highlight w:val="none"/>
        </w:rPr>
      </w:pPr>
      <w:r>
        <w:rPr>
          <w:rFonts w:hint="eastAsia" w:ascii="宋体" w:hAnsi="宋体"/>
          <w:color w:val="000000"/>
          <w:sz w:val="24"/>
          <w:szCs w:val="21"/>
          <w:highlight w:val="none"/>
        </w:rPr>
        <w:t xml:space="preserve">  本项目申请人的特定资格要求中要求提供的材料。</w:t>
      </w:r>
      <w:r>
        <w:rPr>
          <w:rFonts w:ascii="宋体" w:hAnsi="宋体"/>
          <w:bCs/>
          <w:color w:val="000000"/>
          <w:sz w:val="24"/>
          <w:szCs w:val="21"/>
          <w:highlight w:val="none"/>
        </w:rPr>
      </w:r>
      <w:r/>
    </w:p>
    <w:p>
      <w:pPr>
        <w:pStyle w:val="664"/>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pStyle w:val="664"/>
        <w:jc w:val="left"/>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664"/>
        <w:jc w:val="left"/>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664"/>
        <w:jc w:val="left"/>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664"/>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664"/>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664"/>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rPr>
          <w:rFonts w:ascii="黑体" w:hAnsi="黑体" w:eastAsia="黑体"/>
          <w:color w:val="000000"/>
          <w:sz w:val="32"/>
          <w:szCs w:val="32"/>
          <w:highlight w:val="none"/>
        </w:rPr>
      </w:r>
      <w:r/>
    </w:p>
    <w:p>
      <w:pPr>
        <w:pStyle w:val="664"/>
        <w:jc w:val="center"/>
        <w:spacing w:line="360" w:lineRule="auto"/>
        <w:rPr>
          <w:rFonts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zh-CN"/>
        </w:rPr>
        <w:t xml:space="preserve">法人授权书</w:t>
      </w:r>
      <w:r>
        <w:rPr>
          <w:rFonts w:ascii="方正小标宋简体" w:hAnsi="方正小标宋简体" w:eastAsia="方正小标宋简体" w:cs="方正小标宋简体"/>
          <w:color w:val="000000"/>
          <w:sz w:val="32"/>
          <w:szCs w:val="32"/>
          <w:highlight w:val="none"/>
          <w:lang w:val="zh-CN"/>
        </w:rPr>
      </w:r>
      <w:r/>
    </w:p>
    <w:p>
      <w:pPr>
        <w:pStyle w:val="938"/>
        <w:ind w:firstLine="480"/>
        <w:spacing w:line="480" w:lineRule="auto"/>
        <w:tabs>
          <w:tab w:val="left" w:pos="360" w:leader="none"/>
        </w:tabs>
        <w:rPr>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（供应商名称）授权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（被授权人的姓名）作为我方就编号为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的</w:t>
      </w:r>
      <w:r>
        <w:rPr>
          <w:rFonts w:hint="eastAsia"/>
          <w:color w:val="000000"/>
          <w:sz w:val="24"/>
          <w:szCs w:val="24"/>
          <w:highlight w:val="none"/>
        </w:rPr>
        <w:t xml:space="preserve">项目采购活动的合法代理人，以本单位名义全权处理一切与该项目采购有关的事务。</w:t>
      </w:r>
      <w:r>
        <w:rPr>
          <w:color w:val="000000"/>
          <w:sz w:val="24"/>
          <w:szCs w:val="24"/>
          <w:highlight w:val="none"/>
        </w:rPr>
      </w:r>
      <w:r/>
    </w:p>
    <w:p>
      <w:pPr>
        <w:pStyle w:val="938"/>
        <w:ind w:firstLine="480"/>
        <w:spacing w:line="480" w:lineRule="auto"/>
        <w:tabs>
          <w:tab w:val="left" w:pos="360" w:leader="none"/>
        </w:tabs>
        <w:rPr>
          <w:color w:val="000000"/>
          <w:sz w:val="24"/>
          <w:szCs w:val="24"/>
          <w:highlight w:val="none"/>
        </w:rPr>
      </w:pPr>
      <w:r>
        <w:rPr>
          <w:rFonts w:hint="eastAsia"/>
          <w:color w:val="000000"/>
          <w:sz w:val="24"/>
          <w:szCs w:val="24"/>
          <w:highlight w:val="none"/>
        </w:rPr>
        <w:t xml:space="preserve">本授权书于______年____月____日起生效，特此声明。</w:t>
      </w:r>
      <w:r>
        <w:rPr>
          <w:color w:val="000000"/>
          <w:sz w:val="24"/>
          <w:szCs w:val="24"/>
          <w:highlight w:val="none"/>
        </w:rPr>
      </w:r>
      <w:r/>
    </w:p>
    <w:p>
      <w:pPr>
        <w:pStyle w:val="938"/>
        <w:ind w:firstLine="0"/>
        <w:spacing w:line="480" w:lineRule="auto"/>
        <w:tabs>
          <w:tab w:val="left" w:pos="360" w:leader="none"/>
        </w:tabs>
        <w:rPr>
          <w:color w:val="000000"/>
          <w:sz w:val="24"/>
          <w:szCs w:val="24"/>
          <w:highlight w:val="none"/>
          <w:u w:val="single"/>
        </w:rPr>
      </w:pPr>
      <w:r>
        <w:rPr>
          <w:rFonts w:hint="eastAsia"/>
          <w:color w:val="000000"/>
          <w:sz w:val="24"/>
          <w:szCs w:val="24"/>
          <w:highlight w:val="none"/>
        </w:rPr>
        <w:t xml:space="preserve">    被授权人身份证号码：</w:t>
      </w:r>
      <w:r>
        <w:rPr>
          <w:color w:val="000000"/>
          <w:sz w:val="24"/>
          <w:szCs w:val="24"/>
          <w:highlight w:val="none"/>
          <w:u w:val="single"/>
        </w:rPr>
      </w:r>
      <w:r/>
    </w:p>
    <w:p>
      <w:pPr>
        <w:pStyle w:val="938"/>
        <w:ind w:firstLine="480"/>
        <w:spacing w:line="480" w:lineRule="auto"/>
        <w:tabs>
          <w:tab w:val="left" w:pos="360" w:leader="none"/>
        </w:tabs>
        <w:rPr>
          <w:rFonts w:ascii="宋体" w:hAnsi="宋体" w:cs="宋体"/>
          <w:color w:val="000000"/>
          <w:sz w:val="24"/>
          <w:szCs w:val="24"/>
          <w:highlight w:val="none"/>
          <w:u w:val="single"/>
        </w:rPr>
      </w:pPr>
      <w:r>
        <w:rPr>
          <w:rFonts w:hint="eastAsia"/>
          <w:color w:val="000000"/>
          <w:sz w:val="24"/>
          <w:szCs w:val="24"/>
          <w:highlight w:val="none"/>
        </w:rPr>
        <w:t xml:space="preserve">被授权人联系电话：（手机）</w:t>
      </w:r>
      <w:r>
        <w:rPr>
          <w:rFonts w:ascii="宋体" w:hAnsi="宋体" w:cs="宋体"/>
          <w:color w:val="000000"/>
          <w:sz w:val="24"/>
          <w:szCs w:val="24"/>
          <w:highlight w:val="none"/>
          <w:u w:val="single"/>
        </w:rPr>
      </w:r>
      <w:r/>
    </w:p>
    <w:p>
      <w:pPr>
        <w:pStyle w:val="938"/>
        <w:ind w:firstLine="480"/>
        <w:spacing w:line="480" w:lineRule="auto"/>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ascii="宋体" w:hAnsi="宋体" w:cs="宋体"/>
          <w:color w:val="000000"/>
          <w:sz w:val="24"/>
          <w:szCs w:val="24"/>
          <w:highlight w:val="none"/>
        </w:rPr>
        <w:t xml:space="preserve">（加盖电子公章）</w:t>
      </w:r>
      <w:r>
        <w:rPr>
          <w:color w:val="000000"/>
          <w:sz w:val="24"/>
          <w:szCs w:val="24"/>
          <w:highlight w:val="none"/>
        </w:rPr>
      </w:r>
      <w:r/>
    </w:p>
    <w:p>
      <w:pPr>
        <w:pStyle w:val="938"/>
        <w:ind w:firstLine="480"/>
        <w:spacing w:line="480" w:lineRule="auto"/>
        <w:tabs>
          <w:tab w:val="left" w:pos="360" w:leader="none"/>
        </w:tabs>
        <w:rPr>
          <w:color w:val="000000"/>
          <w:sz w:val="24"/>
          <w:szCs w:val="24"/>
          <w:highlight w:val="none"/>
          <w:u w:val="single"/>
        </w:rPr>
      </w:pPr>
      <w:r>
        <w:rPr>
          <w:rFonts w:hint="eastAsia"/>
          <w:color w:val="000000"/>
          <w:sz w:val="24"/>
          <w:szCs w:val="24"/>
          <w:highlight w:val="none"/>
        </w:rPr>
        <w:t xml:space="preserve">单位地址：</w:t>
      </w:r>
      <w:r>
        <w:rPr>
          <w:color w:val="000000"/>
          <w:sz w:val="24"/>
          <w:szCs w:val="24"/>
          <w:highlight w:val="none"/>
          <w:u w:val="single"/>
        </w:rPr>
      </w:r>
      <w:r/>
    </w:p>
    <w:p>
      <w:pPr>
        <w:pStyle w:val="938"/>
        <w:ind w:firstLine="480"/>
        <w:spacing w:line="480" w:lineRule="auto"/>
        <w:tabs>
          <w:tab w:val="left" w:pos="360" w:leader="none"/>
        </w:tabs>
        <w:rPr>
          <w:color w:val="000000"/>
          <w:sz w:val="24"/>
          <w:szCs w:val="24"/>
          <w:highlight w:val="none"/>
        </w:rPr>
      </w:pPr>
      <w:r>
        <w:rPr>
          <w:rFonts w:hint="eastAsia"/>
          <w:color w:val="000000"/>
          <w:sz w:val="24"/>
          <w:szCs w:val="24"/>
          <w:highlight w:val="none"/>
        </w:rPr>
        <w:t xml:space="preserve">日    期：</w:t>
      </w:r>
      <w:bookmarkStart w:id="35" w:name="_Hlt26671380"/>
      <w:r/>
      <w:bookmarkEnd w:id="35"/>
      <w:r/>
      <w:bookmarkStart w:id="36" w:name="_格式3__银行出具的资信证明"/>
      <w:r/>
      <w:bookmarkEnd w:id="36"/>
      <w:r/>
      <w:bookmarkStart w:id="37" w:name="_Hlt26955070"/>
      <w:r/>
      <w:bookmarkEnd w:id="37"/>
      <w:r>
        <w:rPr>
          <w:color w:val="000000"/>
          <w:sz w:val="24"/>
          <w:szCs w:val="24"/>
          <w:highlight w:val="none"/>
        </w:rPr>
      </w:r>
      <w:r/>
    </w:p>
    <w:p>
      <w:pPr>
        <w:pStyle w:val="664"/>
        <w:ind w:firstLine="480"/>
        <w:tabs>
          <w:tab w:val="left" w:pos="360" w:leader="none"/>
        </w:tabs>
        <w:rPr>
          <w:color w:val="000000"/>
          <w:sz w:val="24"/>
          <w:szCs w:val="24"/>
          <w:highlight w:val="none"/>
          <w:u w:val="single"/>
        </w:rPr>
      </w:pPr>
      <w:r>
        <w:rPr>
          <w:color w:val="000000"/>
          <w:sz w:val="24"/>
          <w:szCs w:val="24"/>
          <w:highlight w:val="none"/>
          <w:u w:val="single"/>
        </w:rPr>
      </w:r>
      <w:r/>
    </w:p>
    <w:p>
      <w:pPr>
        <w:pStyle w:val="664"/>
        <w:ind w:firstLine="480"/>
        <w:tabs>
          <w:tab w:val="left" w:pos="360" w:leader="none"/>
        </w:tabs>
        <w:rPr>
          <w:color w:val="000000"/>
          <w:sz w:val="24"/>
          <w:szCs w:val="24"/>
          <w:highlight w:val="none"/>
          <w:u w:val="single"/>
        </w:rPr>
      </w:pPr>
      <w:r>
        <w:rPr>
          <w:color w:val="000000"/>
          <w:sz w:val="24"/>
          <w:szCs w:val="24"/>
          <w:highlight w:val="none"/>
          <w:u w:val="single"/>
        </w:rPr>
      </w:r>
      <w:r/>
    </w:p>
    <w:p>
      <w:pPr>
        <w:pStyle w:val="664"/>
        <w:ind w:firstLine="480"/>
        <w:tabs>
          <w:tab w:val="left" w:pos="360" w:leader="none"/>
        </w:tabs>
        <w:rPr>
          <w:color w:val="000000"/>
          <w:sz w:val="24"/>
          <w:szCs w:val="24"/>
          <w:highlight w:val="none"/>
          <w:u w:val="single"/>
        </w:rPr>
      </w:pPr>
      <w:r>
        <w:rPr>
          <w:color w:val="000000"/>
          <w:sz w:val="24"/>
          <w:szCs w:val="24"/>
          <w:highlight w:val="none"/>
          <w:u w:val="single"/>
        </w:rPr>
      </w:r>
      <w:r/>
    </w:p>
    <w:p>
      <w:pPr>
        <w:pStyle w:val="664"/>
        <w:ind w:firstLine="480"/>
        <w:tabs>
          <w:tab w:val="left" w:pos="360" w:leader="none"/>
        </w:tabs>
        <w:rPr>
          <w:color w:val="000000"/>
          <w:sz w:val="24"/>
          <w:szCs w:val="24"/>
          <w:highlight w:val="none"/>
          <w:u w:val="single"/>
        </w:rPr>
      </w:pPr>
      <w:r>
        <w:rPr>
          <w:color w:val="000000"/>
          <w:sz w:val="24"/>
          <w:szCs w:val="24"/>
          <w:highlight w:val="none"/>
          <w:u w:val="single"/>
        </w:rPr>
      </w:r>
      <w:r/>
    </w:p>
    <w:p>
      <w:pPr>
        <w:pStyle w:val="664"/>
        <w:ind w:firstLine="480"/>
        <w:tabs>
          <w:tab w:val="left" w:pos="360" w:leader="none"/>
        </w:tabs>
        <w:rPr>
          <w:color w:val="000000"/>
          <w:sz w:val="24"/>
          <w:szCs w:val="24"/>
          <w:highlight w:val="none"/>
          <w:u w:val="single"/>
        </w:rPr>
      </w:pPr>
      <w:r>
        <w:rPr>
          <w:color w:val="000000"/>
          <w:sz w:val="24"/>
          <w:szCs w:val="24"/>
          <w:highlight w:val="none"/>
          <w:u w:val="single"/>
        </w:rPr>
      </w:r>
      <w:r/>
    </w:p>
    <w:p>
      <w:pPr>
        <w:pStyle w:val="664"/>
        <w:ind w:firstLine="480"/>
        <w:tabs>
          <w:tab w:val="left" w:pos="360" w:leader="none"/>
        </w:tabs>
        <w:rPr>
          <w:color w:val="000000"/>
          <w:sz w:val="24"/>
          <w:szCs w:val="24"/>
          <w:highlight w:val="none"/>
          <w:u w:val="single"/>
        </w:rPr>
      </w:pPr>
      <w:r>
        <w:rPr>
          <w:color w:val="000000"/>
          <w:sz w:val="24"/>
          <w:szCs w:val="24"/>
          <w:highlight w:val="none"/>
          <w:u w:val="single"/>
        </w:rPr>
      </w:r>
      <w:r/>
    </w:p>
    <w:p>
      <w:pPr>
        <w:pStyle w:val="664"/>
        <w:ind w:firstLine="480"/>
        <w:tabs>
          <w:tab w:val="left" w:pos="360" w:leader="none"/>
        </w:tabs>
        <w:rPr>
          <w:color w:val="000000"/>
          <w:sz w:val="24"/>
          <w:szCs w:val="24"/>
          <w:highlight w:val="none"/>
          <w:u w:val="single"/>
        </w:rPr>
      </w:pPr>
      <w:r>
        <w:rPr>
          <w:color w:val="000000"/>
          <w:sz w:val="24"/>
          <w:szCs w:val="24"/>
          <w:highlight w:val="none"/>
          <w:u w:val="single"/>
        </w:rPr>
      </w:r>
      <w:r/>
    </w:p>
    <w:p>
      <w:pPr>
        <w:pStyle w:val="664"/>
        <w:ind w:firstLine="480"/>
        <w:tabs>
          <w:tab w:val="left" w:pos="360" w:leader="none"/>
        </w:tabs>
        <w:rPr>
          <w:color w:val="000000"/>
          <w:sz w:val="24"/>
          <w:szCs w:val="24"/>
          <w:highlight w:val="none"/>
          <w:u w:val="single"/>
        </w:rPr>
      </w:pPr>
      <w:r>
        <w:rPr>
          <w:color w:val="000000"/>
          <w:sz w:val="24"/>
          <w:szCs w:val="24"/>
          <w:highlight w:val="none"/>
          <w:u w:val="single"/>
        </w:rPr>
      </w:r>
      <w:r/>
    </w:p>
    <w:p>
      <w:pPr>
        <w:pStyle w:val="664"/>
        <w:ind w:firstLine="480"/>
        <w:tabs>
          <w:tab w:val="left" w:pos="360" w:leader="none"/>
        </w:tabs>
        <w:rPr>
          <w:color w:val="000000"/>
          <w:sz w:val="24"/>
          <w:szCs w:val="24"/>
          <w:highlight w:val="none"/>
          <w:u w:val="single"/>
        </w:rPr>
      </w:pPr>
      <w:r>
        <w:rPr>
          <w:color w:val="000000"/>
          <w:sz w:val="24"/>
          <w:szCs w:val="24"/>
          <w:highlight w:val="none"/>
          <w:u w:val="single"/>
        </w:rPr>
      </w:r>
      <w:r/>
    </w:p>
    <w:p>
      <w:pPr>
        <w:pStyle w:val="664"/>
        <w:ind w:firstLine="480"/>
        <w:tabs>
          <w:tab w:val="left" w:pos="360" w:leader="none"/>
        </w:tabs>
        <w:rPr>
          <w:color w:val="000000"/>
          <w:sz w:val="24"/>
          <w:szCs w:val="24"/>
          <w:highlight w:val="none"/>
          <w:u w:val="single"/>
        </w:rPr>
      </w:pPr>
      <w:r>
        <w:rPr>
          <w:color w:val="000000"/>
          <w:sz w:val="24"/>
          <w:szCs w:val="24"/>
          <w:highlight w:val="none"/>
          <w:u w:val="single"/>
        </w:rPr>
      </w:r>
      <w:r/>
    </w:p>
    <w:p>
      <w:pPr>
        <w:pStyle w:val="664"/>
        <w:ind w:firstLine="480"/>
        <w:tabs>
          <w:tab w:val="left" w:pos="360" w:leader="none"/>
        </w:tabs>
        <w:rPr>
          <w:color w:val="000000"/>
          <w:sz w:val="24"/>
          <w:szCs w:val="24"/>
          <w:highlight w:val="none"/>
          <w:u w:val="single"/>
        </w:rPr>
      </w:pPr>
      <w:r>
        <w:rPr>
          <w:color w:val="000000"/>
          <w:sz w:val="24"/>
          <w:szCs w:val="24"/>
          <w:highlight w:val="none"/>
          <w:u w:val="single"/>
        </w:rPr>
      </w:r>
      <w:r/>
    </w:p>
    <w:p>
      <w:pPr>
        <w:pStyle w:val="664"/>
        <w:ind w:firstLine="480"/>
        <w:tabs>
          <w:tab w:val="left" w:pos="360" w:leader="none"/>
        </w:tabs>
        <w:rPr>
          <w:color w:val="000000"/>
          <w:sz w:val="24"/>
          <w:szCs w:val="24"/>
          <w:highlight w:val="none"/>
          <w:u w:val="single"/>
        </w:rPr>
      </w:pPr>
      <w:r>
        <w:rPr>
          <w:color w:val="000000"/>
          <w:sz w:val="24"/>
          <w:szCs w:val="24"/>
          <w:highlight w:val="none"/>
          <w:u w:val="single"/>
        </w:rPr>
      </w:r>
      <w:r/>
    </w:p>
    <w:p>
      <w:pPr>
        <w:pStyle w:val="664"/>
        <w:ind w:firstLine="480"/>
        <w:tabs>
          <w:tab w:val="left" w:pos="360" w:leader="none"/>
        </w:tabs>
        <w:rPr>
          <w:color w:val="000000"/>
          <w:sz w:val="24"/>
          <w:szCs w:val="24"/>
          <w:highlight w:val="none"/>
          <w:u w:val="single"/>
        </w:rPr>
      </w:pPr>
      <w:r>
        <w:rPr>
          <w:color w:val="000000"/>
          <w:sz w:val="24"/>
          <w:szCs w:val="24"/>
          <w:highlight w:val="none"/>
          <w:u w:val="single"/>
        </w:rPr>
      </w:r>
      <w:r/>
    </w:p>
    <w:p>
      <w:pPr>
        <w:pStyle w:val="664"/>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四、磋商响应函</w:t>
      </w:r>
      <w:r>
        <w:rPr>
          <w:rFonts w:ascii="黑体" w:hAnsi="黑体" w:eastAsia="黑体"/>
          <w:color w:val="000000"/>
          <w:sz w:val="32"/>
          <w:szCs w:val="32"/>
          <w:highlight w:val="none"/>
        </w:rPr>
      </w:r>
      <w:r/>
    </w:p>
    <w:p>
      <w:pPr>
        <w:pStyle w:val="664"/>
        <w:jc w:val="center"/>
        <w:spacing w:line="360" w:lineRule="auto"/>
        <w:rPr>
          <w:rFonts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rPr>
        <w:t xml:space="preserve">磋商响应函</w:t>
      </w:r>
      <w:r>
        <w:rPr>
          <w:rFonts w:ascii="方正小标宋简体" w:hAnsi="方正小标宋简体" w:eastAsia="方正小标宋简体" w:cs="方正小标宋简体"/>
          <w:color w:val="000000"/>
          <w:sz w:val="32"/>
          <w:szCs w:val="32"/>
          <w:highlight w:val="none"/>
          <w:lang w:val="zh-CN"/>
        </w:rPr>
      </w:r>
      <w:r/>
    </w:p>
    <w:p>
      <w:pPr>
        <w:pStyle w:val="664"/>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致：南京市公共资源交易中心六合分中心</w:t>
      </w:r>
      <w:r>
        <w:rPr>
          <w:rFonts w:ascii="宋体" w:hAnsi="宋体"/>
          <w:color w:val="000000"/>
          <w:sz w:val="24"/>
          <w:szCs w:val="21"/>
          <w:highlight w:val="none"/>
        </w:rPr>
      </w:r>
      <w:r/>
    </w:p>
    <w:p>
      <w:pPr>
        <w:pStyle w:val="940"/>
        <w:spacing w:before="0" w:after="0"/>
        <w:rPr>
          <w:rFonts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项目磋商文件，我方正式提</w:t>
      </w:r>
      <w:r>
        <w:rPr>
          <w:rFonts w:hint="eastAsia" w:ascii="宋体" w:hAnsi="宋体" w:cs="宋体"/>
          <w:color w:val="000000"/>
          <w:highlight w:val="none"/>
        </w:rPr>
        <w:t xml:space="preserve">交磋商响应函，</w:t>
      </w:r>
      <w:r>
        <w:rPr>
          <w:rFonts w:hint="eastAsia" w:ascii="宋体" w:hAnsi="宋体"/>
          <w:color w:val="000000"/>
          <w:szCs w:val="21"/>
          <w:highlight w:val="none"/>
        </w:rPr>
        <w:t xml:space="preserve">并宣布同意如下内容：</w:t>
      </w:r>
      <w:r>
        <w:rPr>
          <w:rFonts w:ascii="宋体" w:hAnsi="宋体"/>
          <w:color w:val="000000"/>
          <w:szCs w:val="21"/>
          <w:highlight w:val="none"/>
        </w:rPr>
      </w:r>
      <w:r/>
    </w:p>
    <w:p>
      <w:pPr>
        <w:pStyle w:val="664"/>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1.按磋商文件规定的各项要求，向买方提供所需服务（包含与货物相关的服务及与服务相关的货物）。</w:t>
      </w:r>
      <w:r>
        <w:rPr>
          <w:rFonts w:ascii="宋体" w:hAnsi="宋体"/>
          <w:color w:val="000000"/>
          <w:sz w:val="24"/>
          <w:szCs w:val="21"/>
          <w:highlight w:val="none"/>
        </w:rPr>
      </w:r>
      <w:r/>
    </w:p>
    <w:p>
      <w:pPr>
        <w:pStyle w:val="664"/>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ascii="宋体" w:hAnsi="宋体"/>
          <w:color w:val="000000"/>
          <w:sz w:val="24"/>
          <w:szCs w:val="21"/>
          <w:highlight w:val="none"/>
        </w:rPr>
      </w:r>
      <w:r/>
    </w:p>
    <w:p>
      <w:pPr>
        <w:pStyle w:val="664"/>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rPr>
          <w:rFonts w:ascii="宋体" w:hAnsi="宋体"/>
          <w:color w:val="000000"/>
          <w:sz w:val="24"/>
          <w:szCs w:val="21"/>
          <w:highlight w:val="none"/>
        </w:rPr>
      </w:r>
      <w:r/>
    </w:p>
    <w:p>
      <w:pPr>
        <w:pStyle w:val="664"/>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4.我们同意从规定的磋商日期起遵循本响应文件，并在规定的磋商有效期期满之前均具有约束力。</w:t>
      </w:r>
      <w:r>
        <w:rPr>
          <w:rFonts w:ascii="宋体" w:hAnsi="宋体"/>
          <w:color w:val="000000"/>
          <w:sz w:val="24"/>
          <w:szCs w:val="21"/>
          <w:highlight w:val="none"/>
        </w:rPr>
      </w:r>
      <w:r/>
    </w:p>
    <w:p>
      <w:pPr>
        <w:pStyle w:val="664"/>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5.同意向贵方提供贵方可能另外要求的与磋商有关的任何证据或资料，并保证我方已提供和将要提供的文件是真实的、准确的。</w:t>
      </w:r>
      <w:r>
        <w:rPr>
          <w:rFonts w:ascii="宋体" w:hAnsi="宋体"/>
          <w:color w:val="000000"/>
          <w:sz w:val="24"/>
          <w:szCs w:val="21"/>
          <w:highlight w:val="none"/>
        </w:rPr>
      </w:r>
      <w:r/>
    </w:p>
    <w:p>
      <w:pPr>
        <w:pStyle w:val="664"/>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6.一旦我方成交，我方将根据磋商文件的规定，严格履行合同的责任和义务,并保证在磋商文件规定的时间完成项目，交付买方验收、使用。</w:t>
      </w:r>
      <w:r>
        <w:rPr>
          <w:rFonts w:ascii="宋体" w:hAnsi="宋体"/>
          <w:color w:val="000000"/>
          <w:sz w:val="24"/>
          <w:szCs w:val="21"/>
          <w:highlight w:val="none"/>
        </w:rPr>
      </w:r>
      <w:r/>
    </w:p>
    <w:p>
      <w:pPr>
        <w:pStyle w:val="664"/>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18"/>
        <w:ind w:firstLine="480"/>
        <w:rPr>
          <w:color w:val="000000"/>
          <w:highlight w:val="none"/>
        </w:rPr>
      </w:pPr>
      <w:r>
        <w:rPr>
          <w:rFonts w:hint="eastAsia"/>
          <w:color w:val="000000"/>
          <w:sz w:val="24"/>
          <w:szCs w:val="24"/>
          <w:highlight w:val="none"/>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rPr>
        <w:t xml:space="preserve">民营企业 </w:t>
      </w:r>
      <w:r>
        <w:rPr>
          <w:rFonts w:ascii="Wingdings" w:hAnsi="Wingdings" w:eastAsia="Wingdings" w:cs="Wingdings"/>
          <w:color w:val="000000"/>
          <w:sz w:val="24"/>
          <w:szCs w:val="24"/>
          <w:highlight w:val="none"/>
        </w:rPr>
        <w:t xml:space="preserve"></w:t>
      </w:r>
      <w:r>
        <w:rPr>
          <w:rFonts w:hint="eastAsia"/>
          <w:color w:val="000000"/>
          <w:sz w:val="24"/>
          <w:szCs w:val="24"/>
          <w:highlight w:val="none"/>
        </w:rPr>
        <w:t xml:space="preserve">非民营企业 </w:t>
      </w:r>
      <w:r>
        <w:rPr>
          <w:rFonts w:ascii="Wingdings" w:hAnsi="Wingdings" w:eastAsia="Wingdings" w:cs="Wingdings"/>
          <w:color w:val="000000"/>
          <w:sz w:val="24"/>
          <w:szCs w:val="24"/>
          <w:highlight w:val="none"/>
        </w:rPr>
        <w:t xml:space="preserve"></w:t>
      </w:r>
      <w:r>
        <w:rPr>
          <w:rFonts w:hint="eastAsia"/>
          <w:color w:val="000000"/>
          <w:sz w:val="24"/>
          <w:szCs w:val="24"/>
          <w:highlight w:val="none"/>
        </w:rPr>
        <w:t xml:space="preserve">其他（在对应</w:t>
      </w:r>
      <w:r>
        <w:rPr>
          <w:rFonts w:ascii="Wingdings" w:hAnsi="Wingdings" w:eastAsia="Wingdings" w:cs="Wingdings"/>
          <w:color w:val="000000"/>
          <w:sz w:val="24"/>
          <w:szCs w:val="24"/>
          <w:highlight w:val="none"/>
        </w:rPr>
        <w:t xml:space="preserve"></w:t>
      </w:r>
      <w:r>
        <w:rPr>
          <w:rFonts w:hint="eastAsia" w:cs="宋体"/>
          <w:color w:val="000000"/>
          <w:sz w:val="24"/>
          <w:szCs w:val="24"/>
          <w:highlight w:val="none"/>
        </w:rPr>
        <w:t xml:space="preserve">内</w:t>
      </w:r>
      <w:r>
        <w:rPr>
          <w:rFonts w:hint="eastAsia"/>
          <w:color w:val="000000"/>
          <w:sz w:val="24"/>
          <w:szCs w:val="24"/>
          <w:highlight w:val="none"/>
          <w:lang w:val="zh-CN"/>
        </w:rPr>
        <w:t xml:space="preserve">打</w:t>
      </w:r>
      <w:r>
        <w:rPr>
          <w:rFonts w:hint="eastAsia" w:cs="Verdana"/>
          <w:color w:val="000000"/>
          <w:sz w:val="24"/>
          <w:szCs w:val="24"/>
          <w:highlight w:val="none"/>
          <w:lang w:val="zh-CN"/>
        </w:rPr>
        <w:t xml:space="preserve">“√”</w:t>
      </w:r>
      <w:r>
        <w:rPr>
          <w:rFonts w:hint="eastAsia"/>
          <w:color w:val="000000"/>
          <w:sz w:val="24"/>
          <w:szCs w:val="24"/>
          <w:highlight w:val="none"/>
        </w:rPr>
        <w:t xml:space="preserve">）               </w:t>
      </w:r>
      <w:r>
        <w:rPr>
          <w:color w:val="000000"/>
          <w:highlight w:val="none"/>
        </w:rPr>
      </w:r>
      <w:r/>
    </w:p>
    <w:p>
      <w:pPr>
        <w:pStyle w:val="664"/>
        <w:ind w:firstLine="480"/>
        <w:jc w:val="left"/>
        <w:spacing w:line="360" w:lineRule="auto"/>
        <w:rPr>
          <w:rFonts w:ascii="宋体" w:hAnsi="宋体"/>
          <w:color w:val="000000"/>
          <w:sz w:val="24"/>
          <w:szCs w:val="21"/>
          <w:highlight w:val="none"/>
        </w:rPr>
      </w:pPr>
      <w:r>
        <w:rPr>
          <w:rFonts w:hint="eastAsia" w:ascii="宋体" w:hAnsi="宋体"/>
          <w:color w:val="000000"/>
          <w:szCs w:val="21"/>
          <w:highlight w:val="none"/>
        </w:rPr>
        <w:t xml:space="preserve">9.</w:t>
      </w:r>
      <w:r>
        <w:rPr>
          <w:rFonts w:hint="eastAsia" w:ascii="宋体" w:hAnsi="宋体"/>
          <w:color w:val="000000"/>
          <w:sz w:val="24"/>
          <w:szCs w:val="21"/>
          <w:highlight w:val="none"/>
        </w:rPr>
        <w:t xml:space="preserve">我方与本磋商有关的正式通讯地址为：</w:t>
      </w:r>
      <w:r>
        <w:rPr>
          <w:rFonts w:ascii="宋体" w:hAnsi="宋体"/>
          <w:color w:val="000000"/>
          <w:sz w:val="24"/>
          <w:szCs w:val="21"/>
          <w:highlight w:val="none"/>
        </w:rPr>
      </w:r>
      <w:r/>
    </w:p>
    <w:p>
      <w:pPr>
        <w:pStyle w:val="940"/>
        <w:spacing w:before="0" w:after="0"/>
        <w:rPr>
          <w:rFonts w:ascii="宋体" w:hAnsi="宋体"/>
          <w:color w:val="000000"/>
          <w:szCs w:val="21"/>
          <w:highlight w:val="none"/>
        </w:rPr>
      </w:pPr>
      <w:r>
        <w:rPr>
          <w:rFonts w:hint="eastAsia" w:ascii="宋体" w:hAnsi="宋体"/>
          <w:color w:val="000000"/>
          <w:szCs w:val="21"/>
          <w:highlight w:val="none"/>
        </w:rPr>
        <w:t xml:space="preserve">地  址：</w:t>
      </w:r>
      <w:r>
        <w:rPr>
          <w:rFonts w:ascii="宋体" w:hAnsi="宋体"/>
          <w:color w:val="000000"/>
          <w:szCs w:val="21"/>
          <w:highlight w:val="none"/>
        </w:rPr>
      </w:r>
      <w:r/>
    </w:p>
    <w:p>
      <w:pPr>
        <w:pStyle w:val="940"/>
        <w:spacing w:before="0" w:after="0"/>
        <w:rPr>
          <w:rFonts w:ascii="宋体" w:hAnsi="宋体"/>
          <w:color w:val="000000"/>
          <w:szCs w:val="21"/>
          <w:highlight w:val="none"/>
        </w:rPr>
      </w:pPr>
      <w:r>
        <w:rPr>
          <w:rFonts w:hint="eastAsia" w:ascii="宋体" w:hAnsi="宋体"/>
          <w:color w:val="000000"/>
          <w:szCs w:val="21"/>
          <w:highlight w:val="none"/>
        </w:rPr>
        <w:t xml:space="preserve">邮  编：</w:t>
      </w:r>
      <w:r>
        <w:rPr>
          <w:rFonts w:ascii="宋体" w:hAnsi="宋体"/>
          <w:color w:val="000000"/>
          <w:szCs w:val="21"/>
          <w:highlight w:val="none"/>
        </w:rPr>
      </w:r>
      <w:r/>
    </w:p>
    <w:p>
      <w:pPr>
        <w:pStyle w:val="940"/>
        <w:spacing w:before="0" w:after="0"/>
        <w:rPr>
          <w:rFonts w:ascii="宋体" w:hAnsi="宋体"/>
          <w:color w:val="000000"/>
          <w:szCs w:val="21"/>
          <w:highlight w:val="none"/>
          <w:u w:val="single"/>
        </w:rPr>
      </w:pPr>
      <w:r>
        <w:rPr>
          <w:rFonts w:hint="eastAsia" w:ascii="宋体" w:hAnsi="宋体"/>
          <w:color w:val="000000"/>
          <w:szCs w:val="21"/>
          <w:highlight w:val="none"/>
        </w:rPr>
        <w:t xml:space="preserve">电  话：</w:t>
      </w:r>
      <w:r>
        <w:rPr>
          <w:rFonts w:ascii="宋体" w:hAnsi="宋体"/>
          <w:color w:val="000000"/>
          <w:szCs w:val="21"/>
          <w:highlight w:val="none"/>
          <w:u w:val="single"/>
        </w:rPr>
      </w:r>
      <w:r/>
    </w:p>
    <w:p>
      <w:pPr>
        <w:pStyle w:val="940"/>
        <w:spacing w:before="0" w:after="0"/>
        <w:rPr>
          <w:rFonts w:ascii="宋体" w:hAnsi="宋体"/>
          <w:color w:val="000000"/>
          <w:szCs w:val="21"/>
          <w:highlight w:val="none"/>
          <w:u w:val="single"/>
        </w:rPr>
      </w:pPr>
      <w:r>
        <w:rPr>
          <w:rFonts w:hint="eastAsia" w:ascii="宋体" w:hAnsi="宋体"/>
          <w:color w:val="000000"/>
          <w:szCs w:val="21"/>
          <w:highlight w:val="none"/>
        </w:rPr>
        <w:t xml:space="preserve">传  真：</w:t>
      </w:r>
      <w:r>
        <w:rPr>
          <w:rFonts w:ascii="宋体" w:hAnsi="宋体"/>
          <w:color w:val="000000"/>
          <w:szCs w:val="21"/>
          <w:highlight w:val="none"/>
          <w:u w:val="single"/>
        </w:rPr>
      </w:r>
      <w:r/>
    </w:p>
    <w:p>
      <w:pPr>
        <w:pStyle w:val="940"/>
        <w:spacing w:before="0" w:after="0"/>
        <w:rPr>
          <w:rFonts w:ascii="宋体" w:hAnsi="宋体"/>
          <w:color w:val="000000"/>
          <w:szCs w:val="21"/>
          <w:highlight w:val="none"/>
          <w:u w:val="single"/>
        </w:rPr>
      </w:pPr>
      <w:r>
        <w:rPr>
          <w:rFonts w:hint="eastAsia" w:ascii="宋体" w:hAnsi="宋体"/>
          <w:color w:val="000000"/>
          <w:szCs w:val="21"/>
          <w:highlight w:val="none"/>
        </w:rPr>
        <w:t xml:space="preserve">开户行：</w:t>
      </w:r>
      <w:r>
        <w:rPr>
          <w:rFonts w:ascii="宋体" w:hAnsi="宋体"/>
          <w:color w:val="000000"/>
          <w:szCs w:val="21"/>
          <w:highlight w:val="none"/>
          <w:u w:val="single"/>
        </w:rPr>
      </w:r>
      <w:r/>
    </w:p>
    <w:p>
      <w:pPr>
        <w:pStyle w:val="940"/>
        <w:spacing w:before="0" w:after="0"/>
        <w:rPr>
          <w:rFonts w:ascii="宋体" w:hAnsi="宋体"/>
          <w:color w:val="000000"/>
          <w:szCs w:val="21"/>
          <w:highlight w:val="none"/>
          <w:u w:val="single"/>
        </w:rPr>
      </w:pPr>
      <w:r>
        <w:rPr>
          <w:rFonts w:hint="eastAsia" w:ascii="宋体" w:hAnsi="宋体"/>
          <w:color w:val="000000"/>
          <w:szCs w:val="21"/>
          <w:highlight w:val="none"/>
        </w:rPr>
        <w:t xml:space="preserve">账  号：</w:t>
      </w:r>
      <w:r>
        <w:rPr>
          <w:rFonts w:ascii="宋体" w:hAnsi="宋体"/>
          <w:color w:val="000000"/>
          <w:szCs w:val="21"/>
          <w:highlight w:val="none"/>
          <w:u w:val="single"/>
        </w:rPr>
      </w:r>
      <w:r/>
    </w:p>
    <w:p>
      <w:pPr>
        <w:pStyle w:val="664"/>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ascii="宋体" w:hAnsi="宋体"/>
          <w:color w:val="000000"/>
          <w:sz w:val="24"/>
          <w:szCs w:val="24"/>
          <w:highlight w:val="none"/>
        </w:rPr>
      </w:r>
      <w:r/>
    </w:p>
    <w:p>
      <w:pPr>
        <w:pStyle w:val="940"/>
        <w:spacing w:before="0" w:after="0"/>
        <w:rPr>
          <w:rFonts w:ascii="宋体" w:hAnsi="宋体"/>
          <w:color w:val="000000"/>
          <w:szCs w:val="21"/>
          <w:highlight w:val="none"/>
        </w:rPr>
      </w:pPr>
      <w:r>
        <w:rPr>
          <w:rFonts w:hint="eastAsia" w:ascii="宋体" w:hAnsi="宋体"/>
          <w:color w:val="000000"/>
          <w:szCs w:val="21"/>
          <w:highlight w:val="none"/>
        </w:rPr>
        <w:t xml:space="preserve">日  期：</w:t>
      </w:r>
      <w:r>
        <w:rPr>
          <w:rFonts w:ascii="宋体" w:hAnsi="宋体"/>
          <w:color w:val="000000"/>
          <w:szCs w:val="21"/>
          <w:highlight w:val="none"/>
        </w:rPr>
      </w:r>
      <w:r/>
    </w:p>
    <w:p>
      <w:pPr>
        <w:pStyle w:val="664"/>
        <w:rPr>
          <w:rFonts w:ascii="宋体" w:hAnsi="宋体"/>
          <w:color w:val="000000"/>
          <w:highlight w:val="none"/>
        </w:rPr>
      </w:pPr>
      <w:r>
        <w:rPr>
          <w:rFonts w:ascii="宋体" w:hAnsi="宋体"/>
          <w:color w:val="000000"/>
          <w:highlight w:val="none"/>
        </w:rPr>
      </w:r>
      <w:r/>
    </w:p>
    <w:p>
      <w:pPr>
        <w:pStyle w:val="664"/>
        <w:rPr>
          <w:rFonts w:ascii="宋体" w:hAnsi="宋体"/>
          <w:color w:val="000000"/>
          <w:highlight w:val="none"/>
        </w:rPr>
      </w:pPr>
      <w:r>
        <w:rPr>
          <w:rFonts w:ascii="宋体" w:hAnsi="宋体"/>
          <w:color w:val="000000"/>
          <w:highlight w:val="none"/>
        </w:rPr>
      </w:r>
      <w:r/>
    </w:p>
    <w:p>
      <w:pPr>
        <w:pStyle w:val="664"/>
        <w:rPr>
          <w:rFonts w:ascii="宋体" w:hAnsi="宋体"/>
          <w:color w:val="000000"/>
          <w:szCs w:val="21"/>
          <w:highlight w:val="none"/>
        </w:rPr>
      </w:pPr>
      <w:r>
        <w:rPr>
          <w:rFonts w:ascii="宋体" w:hAnsi="宋体"/>
          <w:color w:val="000000"/>
          <w:szCs w:val="21"/>
          <w:highlight w:val="none"/>
        </w:rPr>
      </w:r>
      <w:r/>
    </w:p>
    <w:p>
      <w:pPr>
        <w:pStyle w:val="664"/>
        <w:rPr>
          <w:rFonts w:ascii="宋体" w:hAnsi="宋体"/>
          <w:color w:val="000000"/>
          <w:szCs w:val="21"/>
          <w:highlight w:val="none"/>
        </w:rPr>
      </w:pPr>
      <w:r>
        <w:rPr>
          <w:rFonts w:ascii="宋体" w:hAnsi="宋体"/>
          <w:color w:val="000000"/>
          <w:szCs w:val="21"/>
          <w:highlight w:val="none"/>
        </w:rPr>
      </w:r>
      <w:r/>
    </w:p>
    <w:p>
      <w:pPr>
        <w:pStyle w:val="664"/>
        <w:jc w:val="left"/>
        <w:spacing w:line="360" w:lineRule="auto"/>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五、报价一览表</w:t>
      </w:r>
      <w:r>
        <w:rPr>
          <w:rFonts w:ascii="黑体" w:hAnsi="黑体" w:eastAsia="黑体"/>
          <w:color w:val="000000"/>
          <w:sz w:val="32"/>
          <w:szCs w:val="32"/>
          <w:highlight w:val="none"/>
        </w:rPr>
      </w:r>
      <w:r/>
    </w:p>
    <w:p>
      <w:pPr>
        <w:pStyle w:val="664"/>
        <w:jc w:val="center"/>
        <w:spacing w:line="48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报价一览表</w:t>
      </w:r>
      <w:r>
        <w:rPr>
          <w:rFonts w:ascii="方正小标宋简体" w:hAnsi="方正小标宋简体" w:eastAsia="方正小标宋简体" w:cs="方正小标宋简体"/>
          <w:color w:val="000000"/>
          <w:sz w:val="32"/>
          <w:szCs w:val="32"/>
          <w:highlight w:val="none"/>
        </w:rPr>
      </w:r>
      <w:r/>
    </w:p>
    <w:p>
      <w:pPr>
        <w:pStyle w:val="664"/>
        <w:rPr>
          <w:rFonts w:ascii="宋体" w:hAnsi="宋体"/>
          <w:color w:val="000000"/>
          <w:sz w:val="24"/>
          <w:szCs w:val="24"/>
          <w:highlight w:val="none"/>
        </w:rPr>
      </w:pPr>
      <w:r>
        <w:rPr>
          <w:rFonts w:hint="eastAsia" w:ascii="宋体" w:hAnsi="宋体"/>
          <w:color w:val="000000"/>
          <w:sz w:val="24"/>
          <w:szCs w:val="24"/>
          <w:highlight w:val="none"/>
        </w:rPr>
        <w:t xml:space="preserve">供应商名称：（加盖电子公章） </w:t>
      </w:r>
      <w:r>
        <w:rPr>
          <w:rFonts w:ascii="宋体" w:hAnsi="宋体"/>
          <w:color w:val="000000"/>
          <w:sz w:val="24"/>
          <w:szCs w:val="24"/>
          <w:highlight w:val="none"/>
        </w:rPr>
      </w:r>
      <w:r/>
    </w:p>
    <w:p>
      <w:pPr>
        <w:pStyle w:val="664"/>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                                 </w:t>
      </w:r>
      <w:r>
        <w:rPr>
          <w:rFonts w:ascii="宋体" w:hAnsi="宋体"/>
          <w:color w:val="000000"/>
          <w:sz w:val="24"/>
          <w:szCs w:val="24"/>
          <w:highlight w:val="none"/>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64"/>
              <w:jc w:val="center"/>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总报价</w:t>
            </w:r>
            <w:r>
              <w:rPr>
                <w:rFonts w:ascii="宋体" w:hAnsi="宋体"/>
                <w:color w:val="000000"/>
                <w:sz w:val="24"/>
                <w:szCs w:val="24"/>
                <w:highlight w:val="none"/>
              </w:rPr>
            </w:r>
            <w:r/>
          </w:p>
        </w:tc>
      </w:tr>
      <w:tr>
        <w:trPr>
          <w:cantSplit/>
          <w:trHeight w:val="780"/>
        </w:trPr>
        <w:tc>
          <w:tcPr>
            <w:tcW w:w="9748" w:type="dxa"/>
            <w:vAlign w:val="center"/>
            <w:textDirection w:val="lrTb"/>
            <w:noWrap w:val="false"/>
          </w:tcPr>
          <w:p>
            <w:pPr>
              <w:pStyle w:val="940"/>
              <w:ind w:firstLine="0"/>
              <w:spacing w:before="0" w:after="0" w:line="480" w:lineRule="auto"/>
              <w:rPr>
                <w:rFonts w:ascii="宋体" w:hAnsi="宋体"/>
                <w:color w:val="000000"/>
                <w:szCs w:val="21"/>
                <w:highlight w:val="none"/>
              </w:rPr>
            </w:pPr>
            <w:r>
              <w:rPr>
                <w:rFonts w:hint="eastAsia" w:ascii="宋体" w:hAnsi="宋体" w:cs="宋体"/>
                <w:color w:val="000000"/>
                <w:highlight w:val="none"/>
              </w:rPr>
              <w:t xml:space="preserve">小写（元）：                             </w:t>
            </w:r>
            <w:r>
              <w:rPr>
                <w:rFonts w:ascii="宋体" w:hAnsi="宋体"/>
                <w:color w:val="000000"/>
                <w:szCs w:val="21"/>
                <w:highlight w:val="none"/>
              </w:rPr>
            </w:r>
            <w:r/>
          </w:p>
        </w:tc>
      </w:tr>
    </w:tbl>
    <w:p>
      <w:pPr>
        <w:pStyle w:val="664"/>
        <w:rPr>
          <w:rFonts w:ascii="宋体" w:hAnsi="宋体"/>
          <w:color w:val="000000"/>
          <w:sz w:val="24"/>
          <w:szCs w:val="24"/>
          <w:highlight w:val="none"/>
        </w:rPr>
      </w:pPr>
      <w:r>
        <w:rPr>
          <w:rFonts w:ascii="宋体" w:hAnsi="宋体"/>
          <w:color w:val="000000"/>
          <w:sz w:val="24"/>
          <w:szCs w:val="24"/>
          <w:highlight w:val="none"/>
        </w:rPr>
      </w:r>
      <w:r/>
    </w:p>
    <w:p>
      <w:pPr>
        <w:pStyle w:val="664"/>
        <w:ind w:firstLine="480"/>
        <w:spacing w:line="480" w:lineRule="auto"/>
        <w:rPr>
          <w:rFonts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ascii="黑体" w:hAnsi="黑体" w:eastAsia="黑体"/>
          <w:b/>
          <w:i/>
          <w:color w:val="000000"/>
          <w:sz w:val="32"/>
          <w:szCs w:val="32"/>
          <w:highlight w:val="none"/>
          <w:u w:val="single"/>
        </w:rPr>
      </w:r>
      <w:r/>
    </w:p>
    <w:p>
      <w:pPr>
        <w:pStyle w:val="664"/>
        <w:ind w:firstLine="480"/>
        <w:rPr>
          <w:rFonts w:ascii="黑体" w:hAnsi="黑体" w:eastAsia="黑体"/>
          <w:b/>
          <w:i/>
          <w:color w:val="000000"/>
          <w:sz w:val="32"/>
          <w:szCs w:val="32"/>
          <w:highlight w:val="none"/>
          <w:u w:val="single"/>
        </w:rPr>
      </w:pPr>
      <w:r>
        <w:rPr>
          <w:rFonts w:ascii="黑体" w:hAnsi="黑体" w:eastAsia="黑体"/>
          <w:b/>
          <w:i/>
          <w:color w:val="000000"/>
          <w:sz w:val="32"/>
          <w:szCs w:val="32"/>
          <w:highlight w:val="none"/>
          <w:u w:val="single"/>
        </w:rPr>
      </w:r>
      <w:r/>
    </w:p>
    <w:p>
      <w:pPr>
        <w:pStyle w:val="664"/>
        <w:spacing w:line="480" w:lineRule="exact"/>
        <w:rPr>
          <w:rFonts w:ascii="宋体" w:hAnsi="宋体"/>
          <w:b/>
          <w:bCs/>
          <w:color w:val="000000"/>
          <w:sz w:val="24"/>
          <w:szCs w:val="24"/>
          <w:highlight w:val="none"/>
        </w:rPr>
      </w:pPr>
      <w:r>
        <w:rPr>
          <w:rFonts w:ascii="宋体" w:hAnsi="宋体"/>
          <w:b/>
          <w:bCs/>
          <w:color w:val="000000"/>
          <w:sz w:val="24"/>
          <w:szCs w:val="24"/>
          <w:highlight w:val="none"/>
        </w:rPr>
      </w:r>
      <w:r/>
    </w:p>
    <w:p>
      <w:pPr>
        <w:pStyle w:val="664"/>
        <w:spacing w:line="480" w:lineRule="exact"/>
        <w:rPr>
          <w:rFonts w:ascii="宋体" w:hAnsi="宋体"/>
          <w:b/>
          <w:bCs/>
          <w:color w:val="000000"/>
          <w:sz w:val="24"/>
          <w:szCs w:val="24"/>
          <w:highlight w:val="none"/>
        </w:rPr>
      </w:pPr>
      <w:r>
        <w:rPr>
          <w:rFonts w:ascii="宋体" w:hAnsi="宋体"/>
          <w:b/>
          <w:bCs/>
          <w:color w:val="000000"/>
          <w:sz w:val="24"/>
          <w:szCs w:val="24"/>
          <w:highlight w:val="none"/>
        </w:rPr>
      </w:r>
      <w:r/>
    </w:p>
    <w:p>
      <w:pPr>
        <w:pStyle w:val="664"/>
        <w:spacing w:line="480" w:lineRule="exact"/>
        <w:rPr>
          <w:rFonts w:ascii="宋体" w:hAnsi="宋体"/>
          <w:b/>
          <w:bCs/>
          <w:color w:val="000000"/>
          <w:sz w:val="24"/>
          <w:szCs w:val="24"/>
          <w:highlight w:val="none"/>
        </w:rPr>
      </w:pPr>
      <w:r>
        <w:rPr>
          <w:rFonts w:ascii="宋体" w:hAnsi="宋体"/>
          <w:b/>
          <w:bCs/>
          <w:color w:val="000000"/>
          <w:sz w:val="24"/>
          <w:szCs w:val="24"/>
          <w:highlight w:val="none"/>
        </w:rPr>
      </w:r>
      <w:r/>
    </w:p>
    <w:p>
      <w:pPr>
        <w:pStyle w:val="664"/>
        <w:spacing w:line="480" w:lineRule="exact"/>
        <w:rPr>
          <w:rFonts w:ascii="宋体" w:hAnsi="宋体"/>
          <w:b/>
          <w:bCs/>
          <w:color w:val="000000"/>
          <w:sz w:val="24"/>
          <w:szCs w:val="24"/>
          <w:highlight w:val="none"/>
        </w:rPr>
      </w:pPr>
      <w:r>
        <w:rPr>
          <w:rFonts w:ascii="宋体" w:hAnsi="宋体"/>
          <w:b/>
          <w:bCs/>
          <w:color w:val="000000"/>
          <w:sz w:val="24"/>
          <w:szCs w:val="24"/>
          <w:highlight w:val="none"/>
        </w:rPr>
      </w:r>
      <w:r/>
    </w:p>
    <w:p>
      <w:pPr>
        <w:pStyle w:val="664"/>
        <w:spacing w:line="480" w:lineRule="exact"/>
        <w:rPr>
          <w:rFonts w:ascii="宋体" w:hAnsi="宋体"/>
          <w:b/>
          <w:bCs/>
          <w:color w:val="000000"/>
          <w:sz w:val="24"/>
          <w:szCs w:val="24"/>
          <w:highlight w:val="none"/>
        </w:rPr>
      </w:pPr>
      <w:r>
        <w:rPr>
          <w:rFonts w:ascii="宋体" w:hAnsi="宋体"/>
          <w:b/>
          <w:bCs/>
          <w:color w:val="000000"/>
          <w:sz w:val="24"/>
          <w:szCs w:val="24"/>
          <w:highlight w:val="none"/>
        </w:rPr>
      </w:r>
      <w:r/>
    </w:p>
    <w:p>
      <w:pPr>
        <w:pStyle w:val="918"/>
        <w:ind w:firstLine="0"/>
        <w:rPr>
          <w:color w:val="000000"/>
          <w:highlight w:val="none"/>
        </w:rPr>
      </w:pPr>
      <w:r>
        <w:rPr>
          <w:color w:val="000000"/>
          <w:highlight w:val="none"/>
        </w:rPr>
      </w:r>
      <w:r/>
    </w:p>
    <w:p>
      <w:pPr>
        <w:pStyle w:val="927"/>
        <w:rPr>
          <w:rFonts w:ascii="黑体" w:hAnsi="黑体" w:eastAsia="黑体"/>
          <w:b/>
          <w:i/>
          <w:color w:val="000000"/>
          <w:sz w:val="32"/>
          <w:szCs w:val="32"/>
          <w:highlight w:val="none"/>
          <w:u w:val="single"/>
        </w:rPr>
      </w:pPr>
      <w:r>
        <w:rPr>
          <w:rFonts w:ascii="黑体" w:hAnsi="黑体" w:eastAsia="黑体"/>
          <w:b/>
          <w:i/>
          <w:color w:val="000000"/>
          <w:sz w:val="32"/>
          <w:szCs w:val="32"/>
          <w:highlight w:val="none"/>
          <w:u w:val="single"/>
        </w:rPr>
      </w:r>
      <w:r/>
    </w:p>
    <w:p>
      <w:pPr>
        <w:pStyle w:val="664"/>
        <w:rPr>
          <w:color w:val="000000"/>
          <w:highlight w:val="none"/>
        </w:rPr>
      </w:pPr>
      <w:r>
        <w:rPr>
          <w:color w:val="000000"/>
          <w:highlight w:val="none"/>
        </w:rPr>
      </w:r>
      <w:r/>
    </w:p>
    <w:p>
      <w:pPr>
        <w:pStyle w:val="664"/>
        <w:jc w:val="left"/>
        <w:spacing w:line="360" w:lineRule="auto"/>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927"/>
        <w:rPr>
          <w:rFonts w:ascii="黑体" w:hAnsi="黑体" w:eastAsia="黑体" w:cs="Times New Roman"/>
          <w:color w:val="000000"/>
          <w:sz w:val="32"/>
          <w:szCs w:val="32"/>
          <w:highlight w:val="none"/>
          <w:lang w:val="en-US"/>
        </w:rPr>
      </w:pPr>
      <w:r>
        <w:rPr>
          <w:rFonts w:ascii="黑体" w:hAnsi="黑体" w:eastAsia="黑体" w:cs="Times New Roman"/>
          <w:color w:val="000000"/>
          <w:sz w:val="32"/>
          <w:szCs w:val="32"/>
          <w:highlight w:val="none"/>
          <w:lang w:val="en-US"/>
        </w:rPr>
      </w:r>
      <w:r/>
    </w:p>
    <w:p>
      <w:pPr>
        <w:pStyle w:val="927"/>
        <w:rPr>
          <w:rFonts w:ascii="黑体" w:hAnsi="黑体" w:eastAsia="黑体" w:cs="Times New Roman"/>
          <w:color w:val="000000"/>
          <w:sz w:val="32"/>
          <w:szCs w:val="32"/>
          <w:highlight w:val="none"/>
          <w:lang w:val="en-US"/>
        </w:rPr>
      </w:pPr>
      <w:r>
        <w:rPr>
          <w:rFonts w:ascii="黑体" w:hAnsi="黑体" w:eastAsia="黑体" w:cs="Times New Roman"/>
          <w:color w:val="000000"/>
          <w:sz w:val="32"/>
          <w:szCs w:val="32"/>
          <w:highlight w:val="none"/>
          <w:lang w:val="en-US"/>
        </w:rPr>
      </w:r>
      <w:r/>
    </w:p>
    <w:p>
      <w:pPr>
        <w:pStyle w:val="927"/>
        <w:rPr>
          <w:rFonts w:ascii="黑体" w:hAnsi="黑体" w:eastAsia="黑体" w:cs="Times New Roman"/>
          <w:color w:val="000000"/>
          <w:sz w:val="32"/>
          <w:szCs w:val="32"/>
          <w:highlight w:val="none"/>
          <w:lang w:val="en-US"/>
        </w:rPr>
      </w:pPr>
      <w:r>
        <w:rPr>
          <w:rFonts w:ascii="黑体" w:hAnsi="黑体" w:eastAsia="黑体" w:cs="Times New Roman"/>
          <w:color w:val="000000"/>
          <w:sz w:val="32"/>
          <w:szCs w:val="32"/>
          <w:highlight w:val="none"/>
          <w:lang w:val="en-US"/>
        </w:rPr>
      </w:r>
      <w:r/>
    </w:p>
    <w:p>
      <w:pPr>
        <w:pStyle w:val="927"/>
        <w:rPr>
          <w:rFonts w:ascii="黑体" w:hAnsi="黑体" w:eastAsia="黑体" w:cs="Times New Roman"/>
          <w:color w:val="000000"/>
          <w:sz w:val="32"/>
          <w:szCs w:val="32"/>
          <w:highlight w:val="none"/>
          <w:lang w:val="en-US"/>
        </w:rPr>
      </w:pPr>
      <w:r>
        <w:rPr>
          <w:rFonts w:ascii="黑体" w:hAnsi="黑体" w:eastAsia="黑体" w:cs="Times New Roman"/>
          <w:color w:val="000000"/>
          <w:sz w:val="32"/>
          <w:szCs w:val="32"/>
          <w:highlight w:val="none"/>
          <w:lang w:val="en-US"/>
        </w:rPr>
      </w:r>
      <w:r/>
    </w:p>
    <w:p>
      <w:pPr>
        <w:pStyle w:val="927"/>
        <w:rPr>
          <w:rFonts w:ascii="黑体" w:hAnsi="黑体" w:eastAsia="黑体" w:cs="Times New Roman"/>
          <w:color w:val="000000"/>
          <w:sz w:val="32"/>
          <w:szCs w:val="32"/>
          <w:highlight w:val="none"/>
          <w:lang w:val="en-US"/>
        </w:rPr>
      </w:pPr>
      <w:r>
        <w:rPr>
          <w:rFonts w:ascii="黑体" w:hAnsi="黑体" w:eastAsia="黑体" w:cs="Times New Roman"/>
          <w:color w:val="000000"/>
          <w:sz w:val="32"/>
          <w:szCs w:val="32"/>
          <w:highlight w:val="none"/>
          <w:lang w:val="en-US"/>
        </w:rPr>
      </w:r>
      <w:r/>
    </w:p>
    <w:p>
      <w:pPr>
        <w:pStyle w:val="927"/>
        <w:rPr>
          <w:rFonts w:ascii="黑体" w:hAnsi="黑体" w:eastAsia="黑体" w:cs="Times New Roman"/>
          <w:color w:val="000000"/>
          <w:sz w:val="32"/>
          <w:szCs w:val="32"/>
          <w:highlight w:val="none"/>
          <w:lang w:val="en-US"/>
        </w:rPr>
      </w:pPr>
      <w:r>
        <w:rPr>
          <w:rFonts w:ascii="黑体" w:hAnsi="黑体" w:eastAsia="黑体" w:cs="Times New Roman"/>
          <w:color w:val="000000"/>
          <w:sz w:val="32"/>
          <w:szCs w:val="32"/>
          <w:highlight w:val="none"/>
          <w:lang w:val="en-US"/>
        </w:rPr>
      </w:r>
      <w:r/>
    </w:p>
    <w:p>
      <w:pPr>
        <w:pStyle w:val="927"/>
        <w:rPr>
          <w:rFonts w:ascii="黑体" w:hAnsi="黑体" w:eastAsia="黑体" w:cs="Times New Roman"/>
          <w:color w:val="000000"/>
          <w:sz w:val="32"/>
          <w:szCs w:val="32"/>
          <w:highlight w:val="none"/>
          <w:lang w:val="en-US"/>
        </w:rPr>
      </w:pPr>
      <w:r>
        <w:rPr>
          <w:rFonts w:ascii="黑体" w:hAnsi="黑体" w:eastAsia="黑体" w:cs="Times New Roman"/>
          <w:color w:val="000000"/>
          <w:sz w:val="32"/>
          <w:szCs w:val="32"/>
          <w:highlight w:val="none"/>
          <w:lang w:val="en-US"/>
        </w:rPr>
      </w:r>
      <w:r/>
    </w:p>
    <w:p>
      <w:pPr>
        <w:pStyle w:val="664"/>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927"/>
        <w:rPr>
          <w:rFonts w:ascii="黑体" w:hAnsi="黑体" w:eastAsia="黑体" w:cs="Times New Roman"/>
          <w:color w:val="000000"/>
          <w:sz w:val="32"/>
          <w:szCs w:val="32"/>
          <w:highlight w:val="none"/>
          <w:lang w:val="en-US"/>
        </w:rPr>
      </w:pPr>
      <w:r>
        <w:rPr>
          <w:rFonts w:ascii="黑体" w:hAnsi="黑体" w:eastAsia="黑体" w:cs="Times New Roman"/>
          <w:color w:val="000000"/>
          <w:sz w:val="32"/>
          <w:szCs w:val="32"/>
          <w:highlight w:val="none"/>
          <w:lang w:val="en-US"/>
        </w:rPr>
      </w:r>
      <w:r>
        <w:rPr>
          <w:rFonts w:ascii="黑体" w:hAnsi="黑体" w:eastAsia="黑体" w:cs="Times New Roman"/>
          <w:color w:val="000000"/>
          <w:sz w:val="32"/>
          <w:szCs w:val="32"/>
          <w:highlight w:val="none"/>
          <w:lang w:val="en-US"/>
        </w:rPr>
      </w:r>
    </w:p>
    <w:p>
      <w:pPr>
        <w:pStyle w:val="927"/>
        <w:rPr>
          <w:rFonts w:ascii="黑体" w:hAnsi="黑体" w:eastAsia="黑体" w:cs="Times New Roman"/>
          <w:color w:val="000000"/>
          <w:sz w:val="32"/>
          <w:szCs w:val="32"/>
          <w:highlight w:val="none"/>
          <w:lang w:val="en-US"/>
        </w:rPr>
      </w:pPr>
      <w:r>
        <w:rPr>
          <w:rFonts w:ascii="黑体" w:hAnsi="黑体" w:eastAsia="黑体" w:cs="Times New Roman"/>
          <w:color w:val="000000"/>
          <w:sz w:val="32"/>
          <w:szCs w:val="32"/>
          <w:highlight w:val="none"/>
          <w:lang w:val="en-US"/>
        </w:rPr>
      </w:r>
      <w:r/>
    </w:p>
    <w:p>
      <w:pPr>
        <w:pStyle w:val="664"/>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664"/>
        <w:jc w:val="left"/>
        <w:spacing w:line="360" w:lineRule="auto"/>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六、分项报价表</w:t>
      </w:r>
      <w:r>
        <w:rPr>
          <w:rFonts w:ascii="黑体" w:hAnsi="黑体" w:eastAsia="黑体"/>
          <w:color w:val="000000"/>
          <w:sz w:val="32"/>
          <w:szCs w:val="32"/>
          <w:highlight w:val="none"/>
        </w:rPr>
      </w:r>
      <w:r/>
    </w:p>
    <w:p>
      <w:pPr>
        <w:pStyle w:val="664"/>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分项报价表</w:t>
      </w:r>
      <w:r>
        <w:rPr>
          <w:rFonts w:ascii="方正小标宋简体" w:hAnsi="方正小标宋简体" w:eastAsia="方正小标宋简体" w:cs="方正小标宋简体"/>
          <w:color w:val="000000"/>
          <w:sz w:val="32"/>
          <w:szCs w:val="32"/>
          <w:highlight w:val="none"/>
        </w:rPr>
      </w:r>
      <w:r/>
    </w:p>
    <w:tbl>
      <w:tblPr>
        <w:tblW w:w="961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062"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455"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155"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1350"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1320"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1695"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r>
      <w:tr>
        <w:trPr>
          <w:cantSplit/>
          <w:trHeight w:val="570"/>
        </w:trPr>
        <w:tc>
          <w:tcPr>
            <w:tcW w:w="581" w:type="dxa"/>
            <w:vAlign w:val="center"/>
            <w:vMerge w:val="continue"/>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2062"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分项名称</w:t>
            </w:r>
            <w:r>
              <w:rPr>
                <w:rFonts w:ascii="宋体" w:hAnsi="宋体"/>
                <w:color w:val="000000"/>
                <w:sz w:val="24"/>
                <w:szCs w:val="24"/>
                <w:highlight w:val="none"/>
              </w:rPr>
            </w:r>
            <w:r/>
          </w:p>
        </w:tc>
        <w:tc>
          <w:tcPr>
            <w:tcW w:w="1455"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交付期（天）</w:t>
            </w:r>
            <w:r>
              <w:rPr>
                <w:rFonts w:ascii="宋体" w:hAnsi="宋体"/>
                <w:color w:val="000000"/>
                <w:sz w:val="24"/>
                <w:szCs w:val="24"/>
                <w:highlight w:val="none"/>
              </w:rPr>
            </w:r>
            <w:r/>
          </w:p>
        </w:tc>
        <w:tc>
          <w:tcPr>
            <w:tcW w:w="1155"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数量</w:t>
            </w:r>
            <w:r>
              <w:rPr>
                <w:rFonts w:ascii="宋体" w:hAnsi="宋体"/>
                <w:color w:val="000000"/>
                <w:sz w:val="24"/>
                <w:szCs w:val="24"/>
                <w:highlight w:val="none"/>
              </w:rPr>
            </w:r>
            <w:r/>
          </w:p>
        </w:tc>
        <w:tc>
          <w:tcPr>
            <w:tcW w:w="1350"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单位</w:t>
            </w:r>
            <w:r>
              <w:rPr>
                <w:rFonts w:ascii="宋体" w:hAnsi="宋体"/>
                <w:color w:val="000000"/>
                <w:sz w:val="24"/>
                <w:szCs w:val="24"/>
                <w:highlight w:val="none"/>
              </w:rPr>
            </w:r>
            <w:r/>
          </w:p>
        </w:tc>
        <w:tc>
          <w:tcPr>
            <w:tcW w:w="1320" w:type="dxa"/>
            <w:vAlign w:val="center"/>
            <w:textDirection w:val="lrTb"/>
            <w:noWrap w:val="false"/>
          </w:tcPr>
          <w:p>
            <w:pPr>
              <w:pStyle w:val="664"/>
              <w:jc w:val="center"/>
              <w:spacing w:line="0" w:lineRule="atLeast"/>
              <w:rPr>
                <w:color w:val="000000"/>
                <w:highlight w:val="none"/>
              </w:rPr>
            </w:pPr>
            <w:r>
              <w:rPr>
                <w:rFonts w:hint="eastAsia" w:ascii="宋体" w:hAnsi="宋体"/>
                <w:color w:val="000000"/>
                <w:sz w:val="24"/>
                <w:szCs w:val="24"/>
                <w:highlight w:val="none"/>
              </w:rPr>
              <w:t xml:space="preserve">单价（元）</w:t>
            </w:r>
            <w:r>
              <w:rPr>
                <w:color w:val="000000"/>
                <w:highlight w:val="none"/>
              </w:rPr>
            </w:r>
            <w:r/>
          </w:p>
        </w:tc>
        <w:tc>
          <w:tcPr>
            <w:tcW w:w="1695"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总价（元）</w:t>
            </w:r>
            <w:r>
              <w:rPr>
                <w:rFonts w:ascii="宋体" w:hAnsi="宋体"/>
                <w:color w:val="000000"/>
                <w:sz w:val="24"/>
                <w:szCs w:val="24"/>
                <w:highlight w:val="none"/>
              </w:rPr>
            </w:r>
            <w:r/>
          </w:p>
        </w:tc>
      </w:tr>
      <w:tr>
        <w:trPr>
          <w:cantSplit/>
          <w:trHeight w:val="654"/>
        </w:trPr>
        <w:tc>
          <w:tcPr>
            <w:tcW w:w="581"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062"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455"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155"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350"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320"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695"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54"/>
        </w:trPr>
        <w:tc>
          <w:tcPr>
            <w:tcW w:w="581"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062"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455"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155"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350"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320"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695"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54"/>
        </w:trPr>
        <w:tc>
          <w:tcPr>
            <w:tcW w:w="581"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062"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455"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155"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350"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320"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695"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54"/>
        </w:trPr>
        <w:tc>
          <w:tcPr>
            <w:tcW w:w="581"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2062" w:type="dxa"/>
            <w:vAlign w:val="center"/>
            <w:textDirection w:val="lrTb"/>
            <w:noWrap w:val="false"/>
          </w:tcPr>
          <w:p>
            <w:pPr>
              <w:pStyle w:val="664"/>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总报价（元）</w:t>
            </w:r>
            <w:r>
              <w:rPr>
                <w:rFonts w:ascii="宋体" w:hAnsi="宋体"/>
                <w:color w:val="000000"/>
                <w:sz w:val="24"/>
                <w:szCs w:val="24"/>
                <w:highlight w:val="none"/>
              </w:rPr>
            </w:r>
            <w:r/>
          </w:p>
        </w:tc>
        <w:tc>
          <w:tcPr>
            <w:gridSpan w:val="5"/>
            <w:tcW w:w="6975" w:type="dxa"/>
            <w:vAlign w:val="center"/>
            <w:textDirection w:val="lrTb"/>
            <w:noWrap w:val="false"/>
          </w:tcPr>
          <w:p>
            <w:pPr>
              <w:pStyle w:val="664"/>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bl>
    <w:p>
      <w:pPr>
        <w:pStyle w:val="912"/>
        <w:jc w:val="both"/>
        <w:spacing w:before="0" w:beforeAutospacing="0" w:after="0" w:afterAutospacing="0"/>
        <w:rPr>
          <w:color w:val="000000"/>
          <w:highlight w:val="none"/>
        </w:rPr>
      </w:pPr>
      <w:r>
        <w:rPr>
          <w:color w:val="000000"/>
          <w:highlight w:val="none"/>
        </w:rPr>
      </w:r>
      <w:r/>
    </w:p>
    <w:p>
      <w:pPr>
        <w:pStyle w:val="664"/>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ascii="宋体" w:hAnsi="宋体"/>
          <w:color w:val="000000"/>
          <w:sz w:val="24"/>
          <w:szCs w:val="24"/>
          <w:highlight w:val="none"/>
        </w:rPr>
      </w:r>
      <w:r/>
    </w:p>
    <w:p>
      <w:pPr>
        <w:pStyle w:val="664"/>
        <w:spacing w:line="360" w:lineRule="auto"/>
        <w:rPr>
          <w:rFonts w:ascii="宋体" w:hAnsi="宋体"/>
          <w:color w:val="000000"/>
          <w:sz w:val="24"/>
          <w:highlight w:val="none"/>
        </w:rPr>
      </w:pPr>
      <w:r>
        <w:rPr>
          <w:rFonts w:ascii="宋体" w:hAnsi="宋体"/>
          <w:color w:val="000000"/>
          <w:sz w:val="24"/>
          <w:highlight w:val="none"/>
        </w:rPr>
      </w:r>
      <w:r/>
    </w:p>
    <w:p>
      <w:pPr>
        <w:pStyle w:val="912"/>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12"/>
        <w:ind w:firstLine="480"/>
        <w:jc w:val="both"/>
        <w:spacing w:before="0" w:beforeAutospacing="0" w:after="0" w:afterAutospacing="0" w:line="360" w:lineRule="auto"/>
        <w:rPr>
          <w:color w:val="000000"/>
          <w:highlight w:val="none"/>
        </w:rPr>
      </w:pPr>
      <w:r>
        <w:rPr>
          <w:rFonts w:hint="eastAsia"/>
          <w:color w:val="000000"/>
          <w:highlight w:val="none"/>
        </w:rPr>
        <w:t xml:space="preserve">1.“总报价”应包括为完成整个项目所产生的所有费用，采购文件另有规定的除外。</w:t>
      </w:r>
      <w:r>
        <w:rPr>
          <w:color w:val="000000"/>
          <w:highlight w:val="none"/>
        </w:rPr>
      </w:r>
      <w:r/>
    </w:p>
    <w:p>
      <w:pPr>
        <w:pStyle w:val="912"/>
        <w:ind w:firstLine="480"/>
        <w:jc w:val="both"/>
        <w:spacing w:before="0" w:beforeAutospacing="0" w:after="0" w:afterAutospacing="0" w:line="360" w:lineRule="auto"/>
        <w:rPr>
          <w:color w:val="000000"/>
          <w:highlight w:val="none"/>
        </w:rPr>
      </w:pPr>
      <w:r>
        <w:rPr>
          <w:rFonts w:hint="eastAsia"/>
          <w:color w:val="000000"/>
          <w:highlight w:val="none"/>
        </w:rPr>
        <w:t xml:space="preserve">2.《分项报价表》中“总报价”应当与《报价一览表》中“总报价”一致。</w:t>
      </w:r>
      <w:r>
        <w:rPr>
          <w:color w:val="000000"/>
          <w:highlight w:val="none"/>
        </w:rPr>
      </w:r>
      <w:r/>
    </w:p>
    <w:p>
      <w:pPr>
        <w:pStyle w:val="912"/>
        <w:ind w:firstLine="480"/>
        <w:jc w:val="both"/>
        <w:spacing w:before="0" w:beforeAutospacing="0" w:after="0" w:afterAutospacing="0" w:line="360" w:lineRule="auto"/>
        <w:rPr>
          <w:color w:val="000000"/>
          <w:highlight w:val="none"/>
        </w:rPr>
      </w:pPr>
      <w:r>
        <w:rPr>
          <w:rFonts w:hint="eastAsia"/>
          <w:color w:val="000000"/>
          <w:highlight w:val="none"/>
        </w:rPr>
        <w:t xml:space="preserve">3.《分项报价表》中的分项名称须与“第四章-项目清单”中的名称一一对应，如有缺项、漏项或者超出单价上限的，视为无效响应。“项目清单”中分项仅为一项的，此表无需提供。</w:t>
      </w:r>
      <w:r>
        <w:rPr>
          <w:color w:val="000000"/>
          <w:highlight w:val="none"/>
        </w:rPr>
      </w:r>
      <w:r/>
    </w:p>
    <w:p>
      <w:pPr>
        <w:pStyle w:val="912"/>
        <w:ind w:firstLine="480"/>
        <w:jc w:val="both"/>
        <w:spacing w:before="0" w:beforeAutospacing="0" w:after="0" w:afterAutospacing="0" w:line="360" w:lineRule="auto"/>
        <w:rPr>
          <w:color w:val="000000"/>
          <w:highlight w:val="none"/>
        </w:rPr>
      </w:pPr>
      <w:r>
        <w:rPr>
          <w:rFonts w:hint="eastAsia"/>
          <w:color w:val="000000"/>
          <w:highlight w:val="none"/>
        </w:rPr>
        <w:t xml:space="preserve">4.行数不够，可自行添加。</w:t>
      </w:r>
      <w:r>
        <w:rPr>
          <w:color w:val="000000"/>
          <w:highlight w:val="none"/>
        </w:rPr>
      </w:r>
      <w:r/>
    </w:p>
    <w:p>
      <w:pPr>
        <w:pStyle w:val="664"/>
        <w:rPr>
          <w:rFonts w:ascii="黑体" w:hAnsi="黑体" w:eastAsia="黑体"/>
          <w:iCs/>
          <w:color w:val="000000"/>
          <w:sz w:val="32"/>
          <w:szCs w:val="32"/>
          <w:highlight w:val="none"/>
        </w:rPr>
      </w:pPr>
      <w:r>
        <w:rPr>
          <w:rFonts w:hint="eastAsia" w:ascii="黑体" w:hAnsi="黑体" w:eastAsia="黑体"/>
          <w:i/>
          <w:color w:val="000000"/>
          <w:sz w:val="32"/>
          <w:szCs w:val="32"/>
          <w:highlight w:val="none"/>
          <w:u w:val="single"/>
        </w:rPr>
        <w:br w:type="page" w:clear="all"/>
      </w:r>
      <w:bookmarkEnd w:id="19"/>
      <w:r/>
      <w:bookmarkEnd w:id="20"/>
      <w:r/>
      <w:bookmarkEnd w:id="34"/>
      <w:r>
        <w:rPr>
          <w:rFonts w:hint="eastAsia" w:ascii="黑体" w:hAnsi="黑体" w:eastAsia="黑体"/>
          <w:iCs/>
          <w:color w:val="000000"/>
          <w:sz w:val="32"/>
          <w:szCs w:val="32"/>
          <w:highlight w:val="none"/>
        </w:rPr>
        <w:t xml:space="preserve">七、技术要求响应及偏离表</w:t>
      </w:r>
      <w:r>
        <w:rPr>
          <w:rFonts w:ascii="黑体" w:hAnsi="黑体" w:eastAsia="黑体"/>
          <w:iCs/>
          <w:color w:val="000000"/>
          <w:sz w:val="32"/>
          <w:szCs w:val="32"/>
          <w:highlight w:val="none"/>
        </w:rPr>
      </w:r>
      <w:r/>
    </w:p>
    <w:p>
      <w:pPr>
        <w:pStyle w:val="664"/>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ascii="方正小标宋简体" w:hAnsi="方正小标宋简体" w:eastAsia="方正小标宋简体" w:cs="方正小标宋简体"/>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664"/>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925" w:type="dxa"/>
            <w:vAlign w:val="center"/>
            <w:textDirection w:val="lrTb"/>
            <w:noWrap w:val="false"/>
          </w:tcPr>
          <w:p>
            <w:pPr>
              <w:pStyle w:val="664"/>
              <w:jc w:val="center"/>
              <w:rPr>
                <w:rFonts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ascii="宋体" w:hAnsi="宋体"/>
                <w:color w:val="000000"/>
                <w:sz w:val="24"/>
                <w:szCs w:val="24"/>
                <w:highlight w:val="none"/>
              </w:rPr>
            </w:r>
            <w:r/>
          </w:p>
        </w:tc>
        <w:tc>
          <w:tcPr>
            <w:tcW w:w="2832" w:type="dxa"/>
            <w:vAlign w:val="center"/>
            <w:textDirection w:val="lrTb"/>
            <w:noWrap w:val="false"/>
          </w:tcPr>
          <w:p>
            <w:pPr>
              <w:pStyle w:val="664"/>
              <w:jc w:val="center"/>
              <w:rPr>
                <w:rFonts w:ascii="宋体" w:hAnsi="宋体"/>
                <w:color w:val="000000"/>
                <w:sz w:val="24"/>
                <w:szCs w:val="24"/>
                <w:highlight w:val="none"/>
              </w:rPr>
            </w:pPr>
            <w:r>
              <w:rPr>
                <w:rFonts w:hint="eastAsia" w:ascii="宋体" w:hAnsi="宋体"/>
                <w:color w:val="000000"/>
                <w:sz w:val="24"/>
                <w:szCs w:val="24"/>
                <w:highlight w:val="none"/>
              </w:rPr>
              <w:t xml:space="preserve">响应情况</w:t>
            </w:r>
            <w:r>
              <w:rPr>
                <w:rFonts w:ascii="宋体" w:hAnsi="宋体"/>
                <w:color w:val="000000"/>
                <w:sz w:val="24"/>
                <w:szCs w:val="24"/>
                <w:highlight w:val="none"/>
              </w:rPr>
            </w:r>
            <w:r/>
          </w:p>
        </w:tc>
        <w:tc>
          <w:tcPr>
            <w:tcW w:w="3365" w:type="dxa"/>
            <w:vAlign w:val="center"/>
            <w:textDirection w:val="lrTb"/>
            <w:noWrap w:val="false"/>
          </w:tcPr>
          <w:p>
            <w:pPr>
              <w:pStyle w:val="664"/>
              <w:jc w:val="center"/>
              <w:rPr>
                <w:rFonts w:ascii="宋体" w:hAnsi="宋体"/>
                <w:color w:val="000000"/>
                <w:sz w:val="24"/>
                <w:szCs w:val="24"/>
                <w:highlight w:val="none"/>
              </w:rPr>
            </w:pPr>
            <w:r>
              <w:rPr>
                <w:rFonts w:hint="eastAsia" w:cs="宋体"/>
                <w:color w:val="000000"/>
                <w:sz w:val="24"/>
                <w:szCs w:val="24"/>
                <w:highlight w:val="none"/>
              </w:rPr>
              <w:t xml:space="preserve">正偏离、无偏离或负偏离</w:t>
            </w: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6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6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6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6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6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6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6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4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92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6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bl>
    <w:p>
      <w:pPr>
        <w:pStyle w:val="912"/>
        <w:jc w:val="both"/>
        <w:spacing w:before="0" w:beforeAutospacing="0" w:after="0" w:afterAutospacing="0"/>
        <w:rPr>
          <w:color w:val="000000"/>
          <w:highlight w:val="none"/>
        </w:rPr>
      </w:pPr>
      <w:r>
        <w:rPr>
          <w:color w:val="000000"/>
          <w:highlight w:val="none"/>
        </w:rPr>
      </w:r>
      <w:r/>
    </w:p>
    <w:p>
      <w:pPr>
        <w:pStyle w:val="664"/>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ascii="宋体" w:hAnsi="宋体"/>
          <w:color w:val="000000"/>
          <w:sz w:val="24"/>
          <w:szCs w:val="24"/>
          <w:highlight w:val="none"/>
        </w:rPr>
      </w:r>
      <w:r/>
    </w:p>
    <w:p>
      <w:pPr>
        <w:pStyle w:val="664"/>
        <w:rPr>
          <w:rFonts w:ascii="宋体" w:hAnsi="宋体"/>
          <w:color w:val="000000"/>
          <w:sz w:val="24"/>
          <w:szCs w:val="24"/>
          <w:highlight w:val="none"/>
        </w:rPr>
      </w:pPr>
      <w:r>
        <w:rPr>
          <w:rFonts w:ascii="宋体" w:hAnsi="宋体"/>
          <w:color w:val="000000"/>
          <w:sz w:val="24"/>
          <w:szCs w:val="24"/>
          <w:highlight w:val="none"/>
        </w:rPr>
      </w:r>
      <w:r/>
    </w:p>
    <w:p>
      <w:pPr>
        <w:pStyle w:val="912"/>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12"/>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1.供应商须对磋商文件技术要求中的实质性要求（斜体下划线内容或打“★”内容）及其他要求做出明确响应，否则视为无效响应。</w:t>
      </w:r>
      <w:r>
        <w:rPr>
          <w:color w:val="000000"/>
          <w:highlight w:val="none"/>
        </w:rPr>
      </w:r>
      <w:r/>
    </w:p>
    <w:p>
      <w:pPr>
        <w:pStyle w:val="912"/>
        <w:ind w:firstLine="480"/>
        <w:jc w:val="both"/>
        <w:spacing w:before="0" w:beforeAutospacing="0" w:after="0" w:afterAutospacing="0" w:line="360" w:lineRule="auto"/>
        <w:rPr>
          <w:color w:val="000000"/>
          <w:highlight w:val="none"/>
        </w:rPr>
      </w:pPr>
      <w:r>
        <w:rPr>
          <w:rFonts w:hint="eastAsia"/>
          <w:color w:val="000000"/>
          <w:highlight w:val="none"/>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color w:val="000000"/>
          <w:highlight w:val="none"/>
        </w:rPr>
      </w:r>
      <w:r/>
    </w:p>
    <w:p>
      <w:pPr>
        <w:pStyle w:val="912"/>
        <w:ind w:firstLine="480"/>
        <w:jc w:val="both"/>
        <w:spacing w:before="0" w:beforeAutospacing="0" w:after="0" w:afterAutospacing="0" w:line="360" w:lineRule="auto"/>
        <w:rPr>
          <w:color w:val="000000"/>
          <w:highlight w:val="none"/>
        </w:rPr>
      </w:pPr>
      <w:r>
        <w:rPr>
          <w:rFonts w:hint="eastAsia"/>
          <w:color w:val="000000"/>
          <w:highlight w:val="none"/>
        </w:rPr>
        <w:t xml:space="preserve">3.行数不够，可自行添加。</w:t>
      </w:r>
      <w:r>
        <w:rPr>
          <w:color w:val="000000"/>
          <w:highlight w:val="none"/>
        </w:rPr>
      </w:r>
      <w:r/>
    </w:p>
    <w:p>
      <w:pPr>
        <w:pStyle w:val="664"/>
        <w:rPr>
          <w:rFonts w:ascii="黑体" w:hAnsi="黑体" w:eastAsia="黑体"/>
          <w:iCs/>
          <w:color w:val="000000"/>
          <w:sz w:val="32"/>
          <w:szCs w:val="32"/>
          <w:highlight w:val="none"/>
        </w:rPr>
      </w:pPr>
      <w:r/>
      <w:bookmarkStart w:id="38" w:name="_Hlt26955054"/>
      <w:r/>
      <w:bookmarkEnd w:id="38"/>
      <w:r>
        <w:rPr>
          <w:rFonts w:ascii="黑体" w:hAnsi="黑体" w:eastAsia="黑体"/>
          <w:iCs/>
          <w:color w:val="000000"/>
          <w:sz w:val="32"/>
          <w:szCs w:val="32"/>
          <w:highlight w:val="none"/>
        </w:rPr>
      </w:r>
      <w:r/>
    </w:p>
    <w:p>
      <w:pPr>
        <w:pStyle w:val="664"/>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664"/>
        <w:rPr>
          <w:rFonts w:ascii="黑体" w:hAnsi="黑体" w:eastAsia="黑体"/>
          <w:color w:val="000000"/>
          <w:sz w:val="32"/>
          <w:szCs w:val="32"/>
          <w:highlight w:val="none"/>
        </w:rPr>
      </w:pPr>
      <w:r>
        <w:rPr>
          <w:rFonts w:ascii="黑体" w:hAnsi="黑体" w:eastAsia="黑体"/>
          <w:color w:val="000000"/>
          <w:sz w:val="32"/>
          <w:szCs w:val="32"/>
          <w:highlight w:val="none"/>
        </w:rPr>
      </w:r>
      <w:r/>
    </w:p>
    <w:p>
      <w:pPr>
        <w:rPr>
          <w:rFonts w:ascii="黑体" w:hAnsi="黑体" w:eastAsia="黑体"/>
          <w:color w:val="000000"/>
          <w:sz w:val="32"/>
          <w:szCs w:val="32"/>
          <w:highlight w:val="none"/>
        </w:rPr>
      </w:pPr>
      <w:r>
        <w:rPr>
          <w:rFonts w:ascii="黑体" w:hAnsi="黑体" w:eastAsia="黑体"/>
          <w:color w:val="000000"/>
          <w:sz w:val="32"/>
          <w:szCs w:val="32"/>
          <w:highlight w:val="none"/>
        </w:rPr>
      </w:r>
      <w:r>
        <w:rPr>
          <w:rFonts w:ascii="黑体" w:hAnsi="黑体" w:eastAsia="黑体"/>
          <w:color w:val="000000"/>
          <w:sz w:val="32"/>
          <w:szCs w:val="32"/>
          <w:highlight w:val="none"/>
        </w:rPr>
      </w:r>
    </w:p>
    <w:p>
      <w:pPr>
        <w:pStyle w:val="664"/>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664"/>
        <w:rPr>
          <w:rFonts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八、商务要求响应及偏离表</w:t>
      </w:r>
      <w:r>
        <w:rPr>
          <w:rFonts w:ascii="黑体" w:hAnsi="黑体" w:eastAsia="黑体"/>
          <w:iCs/>
          <w:color w:val="000000"/>
          <w:sz w:val="32"/>
          <w:szCs w:val="32"/>
          <w:highlight w:val="none"/>
        </w:rPr>
      </w:r>
      <w:r/>
    </w:p>
    <w:p>
      <w:pPr>
        <w:pStyle w:val="664"/>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ascii="方正小标宋简体" w:hAnsi="方正小标宋简体" w:eastAsia="方正小标宋简体" w:cs="方正小标宋简体"/>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664"/>
              <w:jc w:val="center"/>
              <w:rPr>
                <w:rFonts w:ascii="宋体" w:hAnsi="宋体"/>
                <w:color w:val="000000"/>
                <w:sz w:val="24"/>
                <w:szCs w:val="24"/>
                <w:highlight w:val="none"/>
              </w:rPr>
            </w:pPr>
            <w:r/>
            <w:bookmarkStart w:id="39" w:name="_Hlt26955056"/>
            <w:r/>
            <w:bookmarkEnd w:id="39"/>
            <w:r/>
            <w:bookmarkStart w:id="40" w:name="_Hlt26580838"/>
            <w:r/>
            <w:bookmarkEnd w:id="40"/>
            <w:r/>
            <w:bookmarkStart w:id="41" w:name="_Hlt26671372"/>
            <w:r/>
            <w:bookmarkEnd w:id="41"/>
            <w:r/>
            <w:bookmarkStart w:id="42" w:name="_Hlt26609391"/>
            <w:r/>
            <w:bookmarkEnd w:id="42"/>
            <w:r/>
            <w:bookmarkStart w:id="43" w:name="_Hlt26782999"/>
            <w:r/>
            <w:bookmarkEnd w:id="43"/>
            <w:r/>
            <w:bookmarkStart w:id="44" w:name="_Hlt24879081"/>
            <w:r/>
            <w:bookmarkEnd w:id="44"/>
            <w:r/>
            <w:bookmarkStart w:id="45" w:name="_Hlt26671343"/>
            <w:r/>
            <w:bookmarkEnd w:id="45"/>
            <w:r/>
            <w:bookmarkStart w:id="46" w:name="_Hlt26955064"/>
            <w:r/>
            <w:bookmarkEnd w:id="46"/>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838" w:type="dxa"/>
            <w:vAlign w:val="center"/>
            <w:textDirection w:val="lrTb"/>
            <w:noWrap w:val="false"/>
          </w:tcPr>
          <w:p>
            <w:pPr>
              <w:pStyle w:val="664"/>
              <w:jc w:val="center"/>
              <w:rPr>
                <w:rFonts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ascii="宋体" w:hAnsi="宋体"/>
                <w:color w:val="000000"/>
                <w:sz w:val="24"/>
                <w:szCs w:val="24"/>
                <w:highlight w:val="none"/>
              </w:rPr>
            </w:r>
            <w:r/>
          </w:p>
        </w:tc>
        <w:tc>
          <w:tcPr>
            <w:tcW w:w="2832" w:type="dxa"/>
            <w:vAlign w:val="center"/>
            <w:textDirection w:val="lrTb"/>
            <w:noWrap w:val="false"/>
          </w:tcPr>
          <w:p>
            <w:pPr>
              <w:pStyle w:val="664"/>
              <w:jc w:val="center"/>
              <w:rPr>
                <w:rFonts w:ascii="宋体" w:hAnsi="宋体"/>
                <w:color w:val="000000"/>
                <w:sz w:val="24"/>
                <w:szCs w:val="24"/>
                <w:highlight w:val="none"/>
              </w:rPr>
            </w:pPr>
            <w:r>
              <w:rPr>
                <w:rFonts w:hint="eastAsia" w:ascii="宋体" w:hAnsi="宋体"/>
                <w:color w:val="000000"/>
                <w:sz w:val="24"/>
                <w:szCs w:val="24"/>
                <w:highlight w:val="none"/>
              </w:rPr>
              <w:t xml:space="preserve">响应情况</w:t>
            </w:r>
            <w:r>
              <w:rPr>
                <w:rFonts w:ascii="宋体" w:hAnsi="宋体"/>
                <w:color w:val="000000"/>
                <w:sz w:val="24"/>
                <w:szCs w:val="24"/>
                <w:highlight w:val="none"/>
              </w:rPr>
            </w:r>
            <w:r/>
          </w:p>
        </w:tc>
        <w:tc>
          <w:tcPr>
            <w:tcW w:w="3345" w:type="dxa"/>
            <w:vAlign w:val="center"/>
            <w:textDirection w:val="lrTb"/>
            <w:noWrap w:val="false"/>
          </w:tcPr>
          <w:p>
            <w:pPr>
              <w:pStyle w:val="664"/>
              <w:jc w:val="center"/>
              <w:rPr>
                <w:rFonts w:ascii="宋体" w:hAnsi="宋体"/>
                <w:color w:val="000000"/>
                <w:sz w:val="24"/>
                <w:szCs w:val="24"/>
                <w:highlight w:val="none"/>
              </w:rPr>
            </w:pPr>
            <w:r>
              <w:rPr>
                <w:rFonts w:hint="eastAsia" w:cs="宋体"/>
                <w:color w:val="000000"/>
                <w:sz w:val="24"/>
                <w:szCs w:val="24"/>
                <w:highlight w:val="none"/>
              </w:rPr>
              <w:t xml:space="preserve">正偏离、无偏离或负偏离</w:t>
            </w: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4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4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4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4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4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4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4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3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8"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2832"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c>
          <w:tcPr>
            <w:tcW w:w="3345" w:type="dxa"/>
            <w:vAlign w:val="top"/>
            <w:textDirection w:val="lrTb"/>
            <w:noWrap w:val="false"/>
          </w:tcPr>
          <w:p>
            <w:pPr>
              <w:pStyle w:val="664"/>
              <w:jc w:val="center"/>
              <w:rPr>
                <w:rFonts w:ascii="宋体" w:hAnsi="宋体"/>
                <w:color w:val="000000"/>
                <w:sz w:val="24"/>
                <w:szCs w:val="24"/>
                <w:highlight w:val="none"/>
              </w:rPr>
            </w:pPr>
            <w:r>
              <w:rPr>
                <w:rFonts w:ascii="宋体" w:hAnsi="宋体"/>
                <w:color w:val="000000"/>
                <w:sz w:val="24"/>
                <w:szCs w:val="24"/>
                <w:highlight w:val="none"/>
              </w:rPr>
            </w:r>
            <w:r/>
          </w:p>
        </w:tc>
      </w:tr>
    </w:tbl>
    <w:p>
      <w:pPr>
        <w:pStyle w:val="912"/>
        <w:jc w:val="both"/>
        <w:spacing w:before="0" w:beforeAutospacing="0" w:after="0" w:afterAutospacing="0"/>
        <w:rPr>
          <w:color w:val="000000"/>
          <w:highlight w:val="none"/>
        </w:rPr>
      </w:pPr>
      <w:r>
        <w:rPr>
          <w:color w:val="000000"/>
          <w:highlight w:val="none"/>
        </w:rPr>
      </w:r>
      <w:r/>
    </w:p>
    <w:p>
      <w:pPr>
        <w:pStyle w:val="664"/>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ascii="宋体" w:hAnsi="宋体"/>
          <w:color w:val="000000"/>
          <w:sz w:val="24"/>
          <w:szCs w:val="24"/>
          <w:highlight w:val="none"/>
        </w:rPr>
      </w:r>
      <w:r/>
    </w:p>
    <w:p>
      <w:pPr>
        <w:pStyle w:val="664"/>
        <w:rPr>
          <w:rFonts w:ascii="宋体" w:hAnsi="宋体"/>
          <w:color w:val="000000"/>
          <w:sz w:val="24"/>
          <w:szCs w:val="24"/>
          <w:highlight w:val="none"/>
        </w:rPr>
      </w:pPr>
      <w:r>
        <w:rPr>
          <w:rFonts w:ascii="宋体" w:hAnsi="宋体"/>
          <w:color w:val="000000"/>
          <w:sz w:val="24"/>
          <w:szCs w:val="24"/>
          <w:highlight w:val="none"/>
        </w:rPr>
      </w:r>
      <w:r/>
    </w:p>
    <w:p>
      <w:pPr>
        <w:pStyle w:val="912"/>
        <w:ind w:firstLine="480"/>
        <w:jc w:val="both"/>
        <w:spacing w:before="0" w:beforeAutospacing="0" w:after="0" w:afterAutospacing="0" w:line="360" w:lineRule="auto"/>
        <w:rPr>
          <w:color w:val="000000"/>
          <w:highlight w:val="none"/>
        </w:rPr>
      </w:pPr>
      <w:r>
        <w:rPr>
          <w:rFonts w:hint="eastAsia"/>
          <w:color w:val="000000"/>
          <w:highlight w:val="none"/>
        </w:rPr>
        <w:t xml:space="preserve">备注： </w:t>
      </w:r>
      <w:r>
        <w:rPr>
          <w:color w:val="000000"/>
          <w:highlight w:val="none"/>
        </w:rPr>
      </w:r>
      <w:r/>
    </w:p>
    <w:p>
      <w:pPr>
        <w:pStyle w:val="912"/>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1.供应商须对磋商文件商务要求中的实质性要求（斜体下划线内容或打“★”内容）做出明确响应，否则视为无效响应。</w:t>
      </w:r>
      <w:r>
        <w:rPr>
          <w:color w:val="000000"/>
          <w:highlight w:val="none"/>
        </w:rPr>
      </w:r>
      <w:r/>
    </w:p>
    <w:p>
      <w:pPr>
        <w:pStyle w:val="912"/>
        <w:ind w:firstLine="480"/>
        <w:jc w:val="both"/>
        <w:spacing w:before="0" w:beforeAutospacing="0" w:after="0" w:afterAutospacing="0" w:line="360" w:lineRule="auto"/>
        <w:rPr>
          <w:color w:val="000000"/>
          <w:highlight w:val="none"/>
        </w:rPr>
      </w:pPr>
      <w:r>
        <w:rPr>
          <w:rFonts w:hint="eastAsia"/>
          <w:color w:val="000000"/>
          <w:highlight w:val="none"/>
        </w:rPr>
        <w:t xml:space="preserve">2.行数不够，可自行添加。</w:t>
      </w:r>
      <w:r>
        <w:rPr>
          <w:color w:val="000000"/>
          <w:highlight w:val="none"/>
        </w:rPr>
      </w:r>
      <w:r/>
    </w:p>
    <w:p>
      <w:pPr>
        <w:pStyle w:val="664"/>
        <w:rPr>
          <w:color w:val="000000"/>
          <w:highlight w:val="none"/>
        </w:rPr>
      </w:pPr>
      <w:r>
        <w:rPr>
          <w:color w:val="000000"/>
          <w:highlight w:val="none"/>
        </w:rPr>
      </w:r>
      <w:r/>
    </w:p>
    <w:p>
      <w:pPr>
        <w:pStyle w:val="918"/>
        <w:rPr>
          <w:color w:val="000000"/>
          <w:highlight w:val="none"/>
        </w:rPr>
      </w:pPr>
      <w:r>
        <w:rPr>
          <w:color w:val="000000"/>
          <w:highlight w:val="none"/>
        </w:rPr>
      </w:r>
      <w:r/>
    </w:p>
    <w:p>
      <w:pPr>
        <w:pStyle w:val="664"/>
        <w:rPr>
          <w:color w:val="000000"/>
          <w:highlight w:val="none"/>
        </w:rPr>
      </w:pPr>
      <w:r>
        <w:rPr>
          <w:color w:val="000000"/>
          <w:highlight w:val="none"/>
        </w:rPr>
      </w:r>
      <w:r/>
    </w:p>
    <w:p>
      <w:pPr>
        <w:pStyle w:val="918"/>
        <w:rPr>
          <w:color w:val="000000"/>
          <w:highlight w:val="none"/>
        </w:rPr>
      </w:pPr>
      <w:r>
        <w:rPr>
          <w:color w:val="000000"/>
          <w:highlight w:val="none"/>
        </w:rPr>
      </w:r>
      <w:r/>
    </w:p>
    <w:p>
      <w:pPr>
        <w:pStyle w:val="664"/>
        <w:jc w:val="center"/>
        <w:rPr>
          <w:rFonts w:ascii="宋体" w:hAnsi="宋体" w:cs="仿宋"/>
          <w:b/>
          <w:bCs/>
          <w:color w:val="000000"/>
          <w:sz w:val="32"/>
          <w:szCs w:val="32"/>
          <w:highlight w:val="none"/>
        </w:rPr>
      </w:pPr>
      <w:r>
        <w:rPr>
          <w:rFonts w:ascii="宋体" w:hAnsi="宋体" w:cs="仿宋"/>
          <w:b/>
          <w:bCs/>
          <w:color w:val="000000"/>
          <w:sz w:val="32"/>
          <w:szCs w:val="32"/>
          <w:highlight w:val="none"/>
        </w:rPr>
      </w:r>
      <w:r/>
    </w:p>
    <w:p>
      <w:pPr>
        <w:pStyle w:val="664"/>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664"/>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664"/>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664"/>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664"/>
        <w:rPr>
          <w:rFonts w:ascii="黑体" w:hAnsi="黑体" w:eastAsia="黑体"/>
          <w:iCs/>
          <w:color w:val="000000"/>
          <w:sz w:val="32"/>
          <w:szCs w:val="32"/>
          <w:highlight w:val="none"/>
        </w:rPr>
      </w:pPr>
      <w:r>
        <w:rPr>
          <w:rFonts w:ascii="黑体" w:hAnsi="黑体" w:eastAsia="黑体"/>
          <w:iCs/>
          <w:color w:val="000000"/>
          <w:sz w:val="32"/>
          <w:szCs w:val="32"/>
          <w:highlight w:val="none"/>
        </w:rPr>
      </w:r>
      <w:r/>
    </w:p>
    <w:p>
      <w:pPr>
        <w:pStyle w:val="713"/>
        <w:rPr>
          <w:color w:val="000000"/>
          <w:highlight w:val="none"/>
        </w:rPr>
      </w:pPr>
      <w:r>
        <w:rPr>
          <w:color w:val="000000"/>
          <w:highlight w:val="none"/>
        </w:rPr>
      </w:r>
      <w:r/>
    </w:p>
    <w:p>
      <w:pPr>
        <w:pStyle w:val="664"/>
        <w:rPr>
          <w:rFonts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九、中小企业声明函</w:t>
      </w:r>
      <w:r>
        <w:rPr>
          <w:rFonts w:ascii="黑体" w:hAnsi="黑体" w:eastAsia="黑体"/>
          <w:iCs/>
          <w:color w:val="000000"/>
          <w:sz w:val="32"/>
          <w:szCs w:val="32"/>
          <w:highlight w:val="none"/>
        </w:rPr>
      </w:r>
      <w:r/>
    </w:p>
    <w:p>
      <w:pPr>
        <w:pStyle w:val="664"/>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中小企业声明函（服务）</w:t>
      </w:r>
      <w:r>
        <w:rPr>
          <w:rFonts w:ascii="方正小标宋简体" w:hAnsi="方正小标宋简体" w:eastAsia="方正小标宋简体" w:cs="方正小标宋简体"/>
          <w:color w:val="000000"/>
          <w:sz w:val="32"/>
          <w:szCs w:val="32"/>
          <w:highlight w:val="none"/>
        </w:rPr>
      </w:r>
      <w:r/>
    </w:p>
    <w:p>
      <w:pPr>
        <w:pStyle w:val="664"/>
        <w:ind w:firstLine="480"/>
        <w:spacing w:line="240" w:lineRule="atLeast"/>
        <w:rPr>
          <w:rFonts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rPr>
          <w:rFonts w:ascii="宋体" w:hAnsi="宋体"/>
          <w:color w:val="000000"/>
          <w:sz w:val="24"/>
          <w:szCs w:val="24"/>
          <w:highlight w:val="none"/>
        </w:rPr>
      </w:r>
      <w:r/>
    </w:p>
    <w:p>
      <w:pPr>
        <w:pStyle w:val="664"/>
        <w:ind w:firstLine="480"/>
        <w:spacing w:line="240" w:lineRule="atLeast"/>
        <w:rPr>
          <w:rFonts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行业（磋商文件中明确的所属行业）；承接企业为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ascii="宋体" w:hAnsi="宋体"/>
          <w:i/>
          <w:color w:val="000000"/>
          <w:sz w:val="24"/>
          <w:szCs w:val="24"/>
          <w:highlight w:val="none"/>
          <w:u w:val="single"/>
        </w:rPr>
      </w:r>
      <w:r/>
    </w:p>
    <w:p>
      <w:pPr>
        <w:pStyle w:val="664"/>
        <w:ind w:firstLine="480"/>
        <w:spacing w:line="240" w:lineRule="atLeast"/>
        <w:rPr>
          <w:rFonts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行业（磋商文件中明确的所属行业）；承接企业为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ascii="宋体" w:hAnsi="宋体"/>
          <w:i/>
          <w:color w:val="000000"/>
          <w:sz w:val="24"/>
          <w:szCs w:val="24"/>
          <w:highlight w:val="none"/>
        </w:rPr>
      </w:r>
      <w:r/>
    </w:p>
    <w:p>
      <w:pPr>
        <w:pStyle w:val="664"/>
        <w:ind w:firstLine="360"/>
        <w:spacing w:line="240" w:lineRule="atLeas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ind w:firstLine="480"/>
        <w:spacing w:line="240" w:lineRule="atLeast"/>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olor w:val="000000"/>
          <w:sz w:val="24"/>
          <w:szCs w:val="24"/>
          <w:highlight w:val="none"/>
        </w:rPr>
      </w:r>
      <w:r/>
    </w:p>
    <w:p>
      <w:pPr>
        <w:pStyle w:val="664"/>
        <w:ind w:firstLine="480"/>
        <w:spacing w:line="240" w:lineRule="atLeas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927"/>
        <w:spacing w:line="240" w:lineRule="atLeast"/>
        <w:rPr>
          <w:rFonts w:ascii="宋体" w:hAnsi="宋体"/>
          <w:color w:val="000000"/>
          <w:sz w:val="24"/>
          <w:szCs w:val="24"/>
          <w:highlight w:val="none"/>
        </w:rPr>
      </w:pPr>
      <w:r>
        <w:rPr>
          <w:rFonts w:ascii="宋体" w:hAnsi="宋体"/>
          <w:color w:val="000000"/>
          <w:sz w:val="24"/>
          <w:szCs w:val="24"/>
          <w:highlight w:val="none"/>
        </w:rPr>
      </w:r>
      <w:r/>
    </w:p>
    <w:p>
      <w:pPr>
        <w:pStyle w:val="664"/>
        <w:spacing w:line="240" w:lineRule="atLeast"/>
        <w:rPr>
          <w:color w:val="000000"/>
          <w:highlight w:val="none"/>
        </w:rPr>
      </w:pPr>
      <w:r>
        <w:rPr>
          <w:color w:val="000000"/>
          <w:highlight w:val="none"/>
        </w:rPr>
      </w:r>
      <w:r/>
    </w:p>
    <w:p>
      <w:pPr>
        <w:pStyle w:val="664"/>
        <w:ind w:right="180" w:firstLine="360"/>
        <w:jc w:val="center"/>
        <w:spacing w:line="240" w:lineRule="atLeast"/>
        <w:rPr>
          <w:rFonts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ascii="宋体" w:hAnsi="宋体"/>
          <w:color w:val="000000"/>
          <w:sz w:val="24"/>
          <w:szCs w:val="24"/>
          <w:highlight w:val="none"/>
        </w:rPr>
      </w:r>
      <w:r/>
    </w:p>
    <w:p>
      <w:pPr>
        <w:pStyle w:val="664"/>
        <w:ind w:firstLine="6000"/>
        <w:spacing w:line="240" w:lineRule="atLeast"/>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664"/>
        <w:ind w:firstLine="480"/>
        <w:spacing w:line="240" w:lineRule="atLeast"/>
        <w:widowControl/>
        <w:rPr>
          <w:rFonts w:ascii="宋体" w:hAnsi="宋体"/>
          <w:color w:val="000000"/>
          <w:sz w:val="24"/>
          <w:szCs w:val="24"/>
          <w:highlight w:val="none"/>
        </w:rPr>
      </w:pPr>
      <w:r>
        <w:rPr>
          <w:rFonts w:ascii="宋体" w:hAnsi="宋体"/>
          <w:color w:val="000000"/>
          <w:sz w:val="24"/>
          <w:szCs w:val="24"/>
          <w:highlight w:val="none"/>
        </w:rPr>
      </w:r>
      <w:r/>
    </w:p>
    <w:p>
      <w:pPr>
        <w:pStyle w:val="664"/>
        <w:ind w:firstLine="480"/>
        <w:spacing w:line="240" w:lineRule="atLeast"/>
        <w:rPr>
          <w:rFonts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服务由中小企业承接，即提供服务的人员为中小企业依照《中华人民共和国劳动合同法》订立劳动合同的从业人员)，不对其中涉及的货物的制造商、工程的承建商作出要求。</w:t>
      </w:r>
      <w:r>
        <w:rPr>
          <w:rFonts w:ascii="宋体" w:hAnsi="宋体"/>
          <w:color w:val="000000"/>
          <w:sz w:val="24"/>
          <w:szCs w:val="24"/>
          <w:highlight w:val="none"/>
        </w:rPr>
      </w:r>
      <w:r/>
    </w:p>
    <w:p>
      <w:pPr>
        <w:pStyle w:val="664"/>
        <w:jc w:val="left"/>
        <w:spacing w:line="360" w:lineRule="auto"/>
        <w:rPr>
          <w:rFonts w:ascii="黑体" w:hAnsi="黑体" w:eastAsia="黑体"/>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iCs/>
          <w:color w:val="000000"/>
          <w:sz w:val="32"/>
          <w:szCs w:val="32"/>
          <w:highlight w:val="none"/>
        </w:rPr>
        <w:t xml:space="preserve">十、</w:t>
      </w:r>
      <w:r>
        <w:rPr>
          <w:rFonts w:hint="eastAsia" w:ascii="黑体" w:hAnsi="黑体" w:eastAsia="黑体"/>
          <w:color w:val="000000"/>
          <w:sz w:val="32"/>
          <w:szCs w:val="32"/>
          <w:highlight w:val="none"/>
        </w:rPr>
        <w:t xml:space="preserve">残疾人福利性单位声明函</w:t>
      </w:r>
      <w:r>
        <w:rPr>
          <w:rFonts w:ascii="黑体" w:hAnsi="黑体" w:eastAsia="黑体"/>
          <w:color w:val="000000"/>
          <w:sz w:val="32"/>
          <w:szCs w:val="32"/>
          <w:highlight w:val="none"/>
        </w:rPr>
      </w:r>
      <w:r/>
    </w:p>
    <w:p>
      <w:pPr>
        <w:pStyle w:val="664"/>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ascii="方正小标宋简体" w:hAnsi="方正小标宋简体" w:eastAsia="方正小标宋简体" w:cs="方正小标宋简体"/>
          <w:color w:val="000000"/>
          <w:sz w:val="32"/>
          <w:szCs w:val="32"/>
          <w:highlight w:val="none"/>
        </w:rPr>
      </w:r>
      <w:r/>
    </w:p>
    <w:p>
      <w:pPr>
        <w:pStyle w:val="664"/>
        <w:ind w:firstLine="480"/>
        <w:spacing w:line="360" w:lineRule="auto"/>
        <w:rPr>
          <w:rFonts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66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92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64"/>
        <w:spacing w:line="360" w:lineRule="auto"/>
        <w:rPr>
          <w:color w:val="000000"/>
          <w:highlight w:val="none"/>
        </w:rPr>
      </w:pPr>
      <w:r>
        <w:rPr>
          <w:color w:val="000000"/>
          <w:highlight w:val="none"/>
        </w:rPr>
      </w:r>
      <w:r/>
    </w:p>
    <w:p>
      <w:pPr>
        <w:pStyle w:val="664"/>
        <w:ind w:right="180" w:firstLine="36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ascii="宋体" w:hAnsi="宋体"/>
          <w:color w:val="000000"/>
          <w:sz w:val="24"/>
          <w:szCs w:val="24"/>
          <w:highlight w:val="none"/>
        </w:rPr>
      </w:r>
      <w:r/>
    </w:p>
    <w:p>
      <w:pPr>
        <w:pStyle w:val="664"/>
        <w:ind w:firstLine="6000"/>
        <w:spacing w:line="360" w:lineRule="auto"/>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664"/>
        <w:ind w:firstLine="480"/>
        <w:spacing w:line="360" w:lineRule="auto"/>
        <w:rPr>
          <w:rFonts w:ascii="宋体" w:hAnsi="宋体"/>
          <w:color w:val="000000"/>
          <w:sz w:val="24"/>
          <w:highlight w:val="none"/>
        </w:rPr>
      </w:pPr>
      <w:r>
        <w:rPr>
          <w:rFonts w:ascii="宋体" w:hAnsi="宋体"/>
          <w:color w:val="000000"/>
          <w:sz w:val="24"/>
          <w:highlight w:val="none"/>
        </w:rPr>
      </w:r>
      <w:r/>
    </w:p>
    <w:p>
      <w:pPr>
        <w:pStyle w:val="66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66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1.供应商如不提供此声明函，价格将不做相应扣除。</w:t>
      </w:r>
      <w:r>
        <w:rPr>
          <w:rFonts w:ascii="宋体" w:hAnsi="宋体"/>
          <w:color w:val="000000"/>
          <w:sz w:val="24"/>
          <w:highlight w:val="none"/>
        </w:rPr>
      </w:r>
      <w:r/>
    </w:p>
    <w:p>
      <w:pPr>
        <w:pStyle w:val="66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2.成交供应商为残疾人福利性单位的，此声明函将随成交结果同时公告，接受社会监督。</w:t>
      </w:r>
      <w:r>
        <w:rPr>
          <w:rFonts w:ascii="宋体" w:hAnsi="宋体"/>
          <w:color w:val="000000"/>
          <w:sz w:val="24"/>
          <w:highlight w:val="none"/>
        </w:rPr>
      </w:r>
      <w:r/>
    </w:p>
    <w:p>
      <w:pPr>
        <w:pStyle w:val="664"/>
        <w:ind w:firstLine="480"/>
        <w:spacing w:line="480" w:lineRule="exact"/>
        <w:rPr>
          <w:rFonts w:ascii="宋体" w:hAnsi="宋体"/>
          <w:color w:val="000000"/>
          <w:sz w:val="24"/>
          <w:highlight w:val="none"/>
        </w:rPr>
      </w:pPr>
      <w:r>
        <w:rPr>
          <w:rFonts w:ascii="宋体" w:hAnsi="宋体"/>
          <w:color w:val="000000"/>
          <w:sz w:val="24"/>
          <w:highlight w:val="none"/>
        </w:rPr>
      </w:r>
      <w:r/>
    </w:p>
    <w:p>
      <w:pPr>
        <w:pStyle w:val="664"/>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64"/>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64"/>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64"/>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64"/>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64"/>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64"/>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64"/>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64"/>
        <w:jc w:val="left"/>
        <w:spacing w:line="360" w:lineRule="auto"/>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664"/>
        <w:jc w:val="left"/>
        <w:spacing w:line="360" w:lineRule="auto"/>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664"/>
        <w:jc w:val="left"/>
        <w:spacing w:line="360" w:lineRule="auto"/>
        <w:rPr>
          <w:rFonts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十一、联合体协议</w:t>
      </w:r>
      <w:r>
        <w:rPr>
          <w:rFonts w:ascii="黑体" w:hAnsi="黑体" w:eastAsia="黑体"/>
          <w:iCs/>
          <w:color w:val="000000"/>
          <w:sz w:val="32"/>
          <w:szCs w:val="32"/>
          <w:highlight w:val="none"/>
        </w:rPr>
      </w:r>
      <w:r/>
    </w:p>
    <w:p>
      <w:pPr>
        <w:pStyle w:val="664"/>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ascii="方正小标宋简体" w:hAnsi="方正小标宋简体" w:eastAsia="方正小标宋简体" w:cs="方正小标宋简体"/>
          <w:color w:val="000000"/>
          <w:sz w:val="32"/>
          <w:szCs w:val="32"/>
          <w:highlight w:val="none"/>
        </w:rPr>
      </w:r>
      <w:r/>
    </w:p>
    <w:p>
      <w:pPr>
        <w:pStyle w:val="664"/>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664"/>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664"/>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.若我们联合成交，</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664"/>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664"/>
        <w:ind w:firstLine="645"/>
        <w:spacing w:line="360" w:lineRule="auto"/>
        <w:rPr>
          <w:rFonts w:ascii="宋体" w:hAnsi="宋体"/>
          <w:color w:val="000000"/>
          <w:sz w:val="24"/>
          <w:highlight w:val="none"/>
        </w:rPr>
      </w:pPr>
      <w:r>
        <w:rPr>
          <w:rFonts w:ascii="宋体" w:hAnsi="宋体"/>
          <w:color w:val="000000"/>
          <w:sz w:val="24"/>
          <w:highlight w:val="none"/>
        </w:rPr>
      </w:r>
      <w:r/>
    </w:p>
    <w:p>
      <w:pPr>
        <w:pStyle w:val="664"/>
        <w:ind w:firstLine="645"/>
        <w:spacing w:line="360" w:lineRule="auto"/>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r>
      <w:r/>
    </w:p>
    <w:p>
      <w:pPr>
        <w:pStyle w:val="664"/>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664"/>
        <w:ind w:firstLine="5280"/>
        <w:spacing w:line="360" w:lineRule="auto"/>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664"/>
        <w:ind w:firstLine="480"/>
        <w:spacing w:line="360" w:lineRule="auto"/>
        <w:rPr>
          <w:rFonts w:ascii="宋体" w:hAnsi="宋体"/>
          <w:color w:val="000000"/>
          <w:sz w:val="24"/>
          <w:highlight w:val="none"/>
        </w:rPr>
      </w:pPr>
      <w:r>
        <w:rPr>
          <w:rFonts w:ascii="宋体" w:hAnsi="宋体"/>
          <w:color w:val="000000"/>
          <w:sz w:val="24"/>
          <w:highlight w:val="none"/>
        </w:rPr>
      </w:r>
      <w:r/>
    </w:p>
    <w:p>
      <w:pPr>
        <w:pStyle w:val="66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66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1.牵头单位必须为联合体成员。</w:t>
      </w:r>
      <w:r>
        <w:rPr>
          <w:rFonts w:ascii="宋体" w:hAnsi="宋体"/>
          <w:color w:val="000000"/>
          <w:sz w:val="24"/>
          <w:highlight w:val="none"/>
        </w:rPr>
      </w:r>
      <w:r/>
    </w:p>
    <w:p>
      <w:pPr>
        <w:pStyle w:val="66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6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3.除另有说明外，本采购文件要求加盖电子公章之处，加盖牵头单位的电子公章即可。</w:t>
      </w:r>
      <w:r>
        <w:rPr>
          <w:rFonts w:ascii="宋体" w:hAnsi="宋体"/>
          <w:color w:val="000000"/>
          <w:sz w:val="24"/>
          <w:highlight w:val="none"/>
        </w:rPr>
      </w:r>
      <w:r/>
    </w:p>
    <w:p>
      <w:pPr>
        <w:pStyle w:val="918"/>
        <w:ind w:firstLine="480"/>
        <w:rPr>
          <w:color w:val="000000"/>
          <w:sz w:val="24"/>
          <w:highlight w:val="none"/>
        </w:rPr>
      </w:pPr>
      <w:r>
        <w:rPr>
          <w:color w:val="000000"/>
          <w:sz w:val="24"/>
          <w:highlight w:val="none"/>
        </w:rPr>
      </w:r>
      <w:r/>
    </w:p>
    <w:p>
      <w:pPr>
        <w:pStyle w:val="664"/>
        <w:rPr>
          <w:color w:val="000000"/>
          <w:highlight w:val="none"/>
        </w:rPr>
      </w:pPr>
      <w:r>
        <w:rPr>
          <w:color w:val="000000"/>
          <w:highlight w:val="none"/>
        </w:rPr>
      </w:r>
      <w:r/>
    </w:p>
    <w:p>
      <w:pPr>
        <w:pStyle w:val="664"/>
        <w:ind w:firstLine="645"/>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64"/>
        <w:ind w:firstLine="645"/>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64"/>
        <w:ind w:firstLine="645"/>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64"/>
        <w:ind w:firstLine="645"/>
        <w:spacing w:line="560" w:lineRule="exact"/>
        <w:rPr>
          <w:rFonts w:ascii="宋体" w:hAnsi="宋体"/>
          <w:color w:val="000000"/>
          <w:sz w:val="24"/>
          <w:highlight w:val="none"/>
        </w:rPr>
      </w:pPr>
      <w:r>
        <w:rPr>
          <w:rFonts w:ascii="宋体" w:hAnsi="宋体"/>
          <w:color w:val="000000"/>
          <w:sz w:val="24"/>
          <w:highlight w:val="none"/>
        </w:rPr>
      </w:r>
      <w:r/>
    </w:p>
    <w:p>
      <w:pPr>
        <w:pStyle w:val="664"/>
        <w:rPr>
          <w:rFonts w:ascii="宋体" w:hAnsi="宋体"/>
          <w:color w:val="000000"/>
          <w:sz w:val="24"/>
          <w:highlight w:val="none"/>
        </w:rPr>
      </w:pPr>
      <w:r>
        <w:rPr>
          <w:rFonts w:ascii="宋体" w:hAnsi="宋体"/>
          <w:color w:val="000000"/>
          <w:sz w:val="24"/>
          <w:highlight w:val="none"/>
        </w:rPr>
      </w:r>
      <w:r/>
    </w:p>
    <w:p>
      <w:pPr>
        <w:pStyle w:val="927"/>
        <w:rPr>
          <w:color w:val="000000"/>
          <w:highlight w:val="none"/>
        </w:rPr>
      </w:pPr>
      <w:r>
        <w:rPr>
          <w:color w:val="000000"/>
          <w:highlight w:val="none"/>
        </w:rPr>
      </w:r>
      <w:r/>
    </w:p>
    <w:p>
      <w:pPr>
        <w:pStyle w:val="664"/>
        <w:jc w:val="left"/>
        <w:spacing w:line="360" w:lineRule="auto"/>
        <w:rPr>
          <w:rFonts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十二、分包承诺书</w:t>
      </w:r>
      <w:r>
        <w:rPr>
          <w:rFonts w:ascii="黑体" w:hAnsi="黑体" w:eastAsia="黑体"/>
          <w:iCs/>
          <w:color w:val="000000"/>
          <w:sz w:val="32"/>
          <w:szCs w:val="32"/>
          <w:highlight w:val="none"/>
        </w:rPr>
      </w:r>
      <w:r/>
    </w:p>
    <w:p>
      <w:pPr>
        <w:pStyle w:val="664"/>
        <w:rPr>
          <w:color w:val="000000"/>
          <w:highlight w:val="none"/>
        </w:rPr>
      </w:pPr>
      <w:r>
        <w:rPr>
          <w:color w:val="000000"/>
          <w:highlight w:val="none"/>
        </w:rPr>
      </w:r>
      <w:r/>
    </w:p>
    <w:p>
      <w:pPr>
        <w:pStyle w:val="664"/>
        <w:jc w:val="center"/>
        <w:spacing w:line="360" w:lineRule="auto"/>
        <w:rPr>
          <w:rFonts w:ascii="方正小标宋简体" w:hAnsi="方正小标宋简体" w:eastAsia="方正小标宋简体" w:cs="方正小标宋简体"/>
          <w:color w:val="000000"/>
          <w:sz w:val="32"/>
          <w:szCs w:val="32"/>
          <w:highlight w:val="none"/>
          <w:lang w:val="zh-CN"/>
        </w:rPr>
      </w:pPr>
      <w:r>
        <w:rPr>
          <w:rFonts w:hint="eastAsia" w:ascii="方正小标宋简体" w:hAnsi="方正小标宋简体" w:eastAsia="方正小标宋简体" w:cs="方正小标宋简体"/>
          <w:color w:val="000000"/>
          <w:sz w:val="32"/>
          <w:szCs w:val="32"/>
          <w:highlight w:val="none"/>
          <w:lang w:val="zh-CN"/>
        </w:rPr>
        <w:t xml:space="preserve">分包承诺书</w:t>
      </w:r>
      <w:r>
        <w:rPr>
          <w:rFonts w:ascii="方正小标宋简体" w:hAnsi="方正小标宋简体" w:eastAsia="方正小标宋简体" w:cs="方正小标宋简体"/>
          <w:color w:val="000000"/>
          <w:sz w:val="32"/>
          <w:szCs w:val="32"/>
          <w:highlight w:val="none"/>
          <w:lang w:val="zh-CN"/>
        </w:rPr>
      </w:r>
      <w:r/>
    </w:p>
    <w:p>
      <w:pPr>
        <w:pStyle w:val="664"/>
        <w:ind w:firstLine="2640"/>
        <w:spacing w:line="480" w:lineRule="auto"/>
        <w:rPr>
          <w:rFonts w:ascii="方正仿宋_GBK" w:hAnsi="方正仿宋_GBK" w:eastAsia="方正仿宋_GBK" w:cs="方正仿宋_GBK"/>
          <w:color w:val="000000"/>
          <w:sz w:val="24"/>
          <w:szCs w:val="24"/>
          <w:highlight w:val="none"/>
        </w:rPr>
      </w:pPr>
      <w:r>
        <w:rPr>
          <w:rFonts w:ascii="方正仿宋_GBK" w:hAnsi="方正仿宋_GBK" w:eastAsia="方正仿宋_GBK" w:cs="方正仿宋_GBK"/>
          <w:color w:val="000000"/>
          <w:sz w:val="24"/>
          <w:szCs w:val="24"/>
          <w:highlight w:val="none"/>
        </w:rPr>
      </w:r>
      <w:r/>
    </w:p>
    <w:p>
      <w:pPr>
        <w:pStyle w:val="664"/>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：（采购人名称）</w:t>
      </w:r>
      <w:r>
        <w:rPr>
          <w:rFonts w:ascii="宋体" w:hAnsi="宋体" w:cs="宋体"/>
          <w:color w:val="000000"/>
          <w:sz w:val="24"/>
          <w:szCs w:val="24"/>
          <w:highlight w:val="none"/>
        </w:rPr>
      </w:r>
      <w:r/>
    </w:p>
    <w:p>
      <w:pPr>
        <w:pStyle w:val="664"/>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我公司</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（供应商名称）郑重承诺：</w:t>
      </w:r>
      <w:r>
        <w:rPr>
          <w:rFonts w:ascii="宋体" w:hAnsi="宋体" w:cs="宋体"/>
          <w:color w:val="000000"/>
          <w:sz w:val="24"/>
          <w:szCs w:val="24"/>
          <w:highlight w:val="none"/>
        </w:rPr>
      </w:r>
      <w:r/>
    </w:p>
    <w:p>
      <w:pPr>
        <w:pStyle w:val="664"/>
        <w:ind w:firstLine="480"/>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如我公司中标（成交）</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（项目名称）项目，拟将项目中的</w:t>
      </w:r>
      <w:r>
        <w:rPr>
          <w:rFonts w:ascii="宋体" w:hAnsi="宋体" w:cs="宋体"/>
          <w:color w:val="000000"/>
          <w:sz w:val="24"/>
          <w:szCs w:val="24"/>
          <w:highlight w:val="none"/>
        </w:rPr>
      </w:r>
      <w:r/>
    </w:p>
    <w:p>
      <w:pPr>
        <w:pStyle w:val="664"/>
        <w:jc w:val="lef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建设内容，分包给具有相应资质的供应商实施，并在签订合同时提供分包意向协议。</w:t>
      </w:r>
      <w:r>
        <w:rPr>
          <w:rFonts w:ascii="宋体" w:hAnsi="宋体" w:cs="宋体"/>
          <w:color w:val="000000"/>
          <w:sz w:val="24"/>
          <w:szCs w:val="24"/>
          <w:highlight w:val="none"/>
        </w:rPr>
      </w:r>
      <w:r/>
    </w:p>
    <w:p>
      <w:pPr>
        <w:pStyle w:val="664"/>
        <w:spacing w:line="48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64"/>
        <w:ind w:right="180" w:firstLine="360"/>
        <w:jc w:val="right"/>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供应商名称：（加盖电子公章）</w:t>
      </w:r>
      <w:r>
        <w:rPr>
          <w:rFonts w:ascii="宋体" w:hAnsi="宋体" w:cs="宋体"/>
          <w:color w:val="000000"/>
          <w:sz w:val="24"/>
          <w:szCs w:val="24"/>
          <w:highlight w:val="none"/>
        </w:rPr>
      </w:r>
      <w:r/>
    </w:p>
    <w:p>
      <w:pPr>
        <w:pStyle w:val="664"/>
        <w:jc w:val="center"/>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日  期：</w:t>
      </w:r>
      <w:r>
        <w:rPr>
          <w:rFonts w:ascii="宋体" w:hAnsi="宋体" w:cs="宋体"/>
          <w:color w:val="000000"/>
          <w:sz w:val="24"/>
          <w:szCs w:val="24"/>
          <w:highlight w:val="none"/>
        </w:rPr>
      </w:r>
      <w:r/>
    </w:p>
    <w:p>
      <w:pPr>
        <w:pStyle w:val="664"/>
        <w:jc w:val="center"/>
        <w:rPr>
          <w:rFonts w:ascii="方正小标宋简体" w:hAnsi="方正小标宋简体" w:eastAsia="方正小标宋简体" w:cs="方正小标宋简体"/>
          <w:color w:val="000000"/>
          <w:sz w:val="32"/>
          <w:szCs w:val="32"/>
          <w:highlight w:val="none"/>
        </w:rPr>
      </w:pPr>
      <w:r>
        <w:rPr>
          <w:rFonts w:ascii="方正小标宋简体" w:hAnsi="方正小标宋简体" w:eastAsia="方正小标宋简体" w:cs="方正小标宋简体"/>
          <w:color w:val="000000"/>
          <w:sz w:val="32"/>
          <w:szCs w:val="32"/>
          <w:highlight w:val="none"/>
        </w:rPr>
      </w:r>
      <w:r/>
    </w:p>
    <w:p>
      <w:pPr>
        <w:pStyle w:val="918"/>
        <w:ind w:firstLine="640"/>
        <w:rPr>
          <w:rFonts w:ascii="方正小标宋简体" w:hAnsi="方正小标宋简体" w:eastAsia="方正小标宋简体" w:cs="方正小标宋简体"/>
          <w:color w:val="000000"/>
          <w:sz w:val="32"/>
          <w:szCs w:val="32"/>
          <w:highlight w:val="none"/>
        </w:rPr>
      </w:pPr>
      <w:r>
        <w:rPr>
          <w:rFonts w:ascii="方正小标宋简体" w:hAnsi="方正小标宋简体" w:eastAsia="方正小标宋简体" w:cs="方正小标宋简体"/>
          <w:color w:val="000000"/>
          <w:sz w:val="32"/>
          <w:szCs w:val="32"/>
          <w:highlight w:val="none"/>
        </w:rPr>
      </w:r>
      <w:r/>
    </w:p>
    <w:p>
      <w:pPr>
        <w:pStyle w:val="664"/>
        <w:rPr>
          <w:rFonts w:ascii="方正小标宋简体" w:hAnsi="方正小标宋简体" w:eastAsia="方正小标宋简体" w:cs="方正小标宋简体"/>
          <w:color w:val="000000"/>
          <w:sz w:val="32"/>
          <w:szCs w:val="32"/>
          <w:highlight w:val="none"/>
        </w:rPr>
      </w:pPr>
      <w:r>
        <w:rPr>
          <w:rFonts w:ascii="方正小标宋简体" w:hAnsi="方正小标宋简体" w:eastAsia="方正小标宋简体" w:cs="方正小标宋简体"/>
          <w:color w:val="000000"/>
          <w:sz w:val="32"/>
          <w:szCs w:val="32"/>
          <w:highlight w:val="none"/>
        </w:rPr>
      </w:r>
      <w:r/>
    </w:p>
    <w:p>
      <w:pPr>
        <w:pStyle w:val="918"/>
        <w:ind w:firstLine="640"/>
        <w:rPr>
          <w:rFonts w:ascii="方正小标宋简体" w:hAnsi="方正小标宋简体" w:eastAsia="方正小标宋简体" w:cs="方正小标宋简体"/>
          <w:color w:val="000000"/>
          <w:sz w:val="32"/>
          <w:szCs w:val="32"/>
          <w:highlight w:val="none"/>
        </w:rPr>
      </w:pPr>
      <w:r>
        <w:rPr>
          <w:rFonts w:ascii="方正小标宋简体" w:hAnsi="方正小标宋简体" w:eastAsia="方正小标宋简体" w:cs="方正小标宋简体"/>
          <w:color w:val="000000"/>
          <w:sz w:val="32"/>
          <w:szCs w:val="32"/>
          <w:highlight w:val="none"/>
        </w:rPr>
      </w:r>
      <w:r/>
    </w:p>
    <w:p>
      <w:pPr>
        <w:pStyle w:val="664"/>
        <w:rPr>
          <w:rFonts w:ascii="方正小标宋简体" w:hAnsi="方正小标宋简体" w:eastAsia="方正小标宋简体" w:cs="方正小标宋简体"/>
          <w:color w:val="000000"/>
          <w:sz w:val="32"/>
          <w:szCs w:val="32"/>
          <w:highlight w:val="none"/>
        </w:rPr>
      </w:pPr>
      <w:r>
        <w:rPr>
          <w:rFonts w:ascii="方正小标宋简体" w:hAnsi="方正小标宋简体" w:eastAsia="方正小标宋简体" w:cs="方正小标宋简体"/>
          <w:color w:val="000000"/>
          <w:sz w:val="32"/>
          <w:szCs w:val="32"/>
          <w:highlight w:val="none"/>
        </w:rPr>
      </w:r>
      <w:r/>
    </w:p>
    <w:p>
      <w:pPr>
        <w:pStyle w:val="918"/>
        <w:ind w:firstLine="640"/>
        <w:rPr>
          <w:rFonts w:ascii="方正小标宋简体" w:hAnsi="方正小标宋简体" w:eastAsia="方正小标宋简体" w:cs="方正小标宋简体"/>
          <w:color w:val="000000"/>
          <w:sz w:val="32"/>
          <w:szCs w:val="32"/>
          <w:highlight w:val="none"/>
        </w:rPr>
      </w:pPr>
      <w:r>
        <w:rPr>
          <w:rFonts w:ascii="方正小标宋简体" w:hAnsi="方正小标宋简体" w:eastAsia="方正小标宋简体" w:cs="方正小标宋简体"/>
          <w:color w:val="000000"/>
          <w:sz w:val="32"/>
          <w:szCs w:val="32"/>
          <w:highlight w:val="none"/>
        </w:rPr>
      </w:r>
      <w:r/>
    </w:p>
    <w:p>
      <w:pPr>
        <w:pStyle w:val="664"/>
        <w:rPr>
          <w:rFonts w:ascii="方正小标宋简体" w:hAnsi="方正小标宋简体" w:eastAsia="方正小标宋简体" w:cs="方正小标宋简体"/>
          <w:color w:val="000000"/>
          <w:sz w:val="32"/>
          <w:szCs w:val="32"/>
          <w:highlight w:val="none"/>
        </w:rPr>
      </w:pPr>
      <w:r>
        <w:rPr>
          <w:rFonts w:ascii="方正小标宋简体" w:hAnsi="方正小标宋简体" w:eastAsia="方正小标宋简体" w:cs="方正小标宋简体"/>
          <w:color w:val="000000"/>
          <w:sz w:val="32"/>
          <w:szCs w:val="32"/>
          <w:highlight w:val="none"/>
        </w:rPr>
      </w:r>
      <w:r/>
    </w:p>
    <w:p>
      <w:pPr>
        <w:pStyle w:val="664"/>
        <w:jc w:val="left"/>
        <w:spacing w:line="360" w:lineRule="auto"/>
        <w:rPr>
          <w:rFonts w:ascii="宋体" w:hAnsi="宋体"/>
          <w:color w:val="000000"/>
          <w:sz w:val="24"/>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黑体" w:hAnsi="黑体" w:eastAsia="黑体"/>
          <w:color w:val="000000"/>
          <w:sz w:val="32"/>
          <w:szCs w:val="32"/>
          <w:highlight w:val="none"/>
        </w:rPr>
        <w:t xml:space="preserve">十三、关于符合本国产品标准的声明函</w:t>
      </w:r>
      <w:r>
        <w:rPr>
          <w:rFonts w:ascii="宋体" w:hAnsi="宋体"/>
          <w:color w:val="000000"/>
          <w:sz w:val="24"/>
          <w:highlight w:val="none"/>
        </w:rPr>
      </w:r>
      <w:r/>
    </w:p>
    <w:p>
      <w:pPr>
        <w:pStyle w:val="664"/>
        <w:jc w:val="center"/>
        <w:spacing w:line="360" w:lineRule="auto"/>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ascii="方正小标宋简体" w:hAnsi="方正小标宋简体" w:eastAsia="方正小标宋简体" w:cs="方正小标宋简体"/>
          <w:color w:val="000000"/>
          <w:sz w:val="32"/>
          <w:szCs w:val="32"/>
          <w:highlight w:val="none"/>
        </w:rPr>
      </w:r>
      <w:r/>
    </w:p>
    <w:p>
      <w:pPr>
        <w:pStyle w:val="912"/>
        <w:ind w:firstLine="420"/>
        <w:spacing w:before="24" w:beforeAutospacing="0" w:after="24" w:afterAutospacing="0" w:line="360" w:lineRule="auto"/>
        <w:shd w:val="clear" w:color="auto" w:fill="ffffff"/>
        <w:rPr>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912"/>
        <w:ind w:firstLine="420"/>
        <w:spacing w:before="24" w:beforeAutospacing="0" w:after="24" w:afterAutospacing="0" w:line="360" w:lineRule="auto"/>
        <w:shd w:val="clear" w:color="auto" w:fill="ffffff"/>
        <w:rPr>
          <w:color w:val="000000"/>
          <w:highlight w:val="none"/>
        </w:rPr>
      </w:pPr>
      <w:r>
        <w:rPr>
          <w:rFonts w:hint="eastAsia"/>
          <w:color w:val="000000"/>
          <w:highlight w:val="none"/>
          <w:shd w:val="clear" w:color="auto" w:fill="ffffff"/>
        </w:rPr>
        <w:t xml:space="preserve">1.</w:t>
      </w:r>
      <w:r>
        <w:rPr>
          <w:rStyle w:val="924"/>
          <w:rFonts w:hint="eastAsia"/>
          <w:i w:val="0"/>
          <w:color w:val="000000"/>
          <w:highlight w:val="none"/>
          <w:u w:val="single"/>
          <w:shd w:val="clear" w:color="auto" w:fill="ffffff"/>
        </w:rPr>
        <w:t xml:space="preserve">（产品名称1）</w:t>
      </w:r>
      <w:r>
        <w:rPr>
          <w:rStyle w:val="924"/>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24"/>
          <w:rFonts w:hint="eastAsia"/>
          <w:i w:val="0"/>
          <w:color w:val="000000"/>
          <w:highlight w:val="none"/>
          <w:u w:val="single"/>
          <w:shd w:val="clear" w:color="auto" w:fill="ffffff"/>
        </w:rPr>
        <w:t xml:space="preserve">（厂名）</w:t>
      </w:r>
      <w:r>
        <w:rPr>
          <w:rStyle w:val="924"/>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24"/>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24"/>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的中国境内生产的组件成本占比≥</w:t>
      </w:r>
      <w:r>
        <w:rPr>
          <w:rStyle w:val="924"/>
          <w:rFonts w:hint="eastAsia"/>
          <w:i w:val="0"/>
          <w:color w:val="000000"/>
          <w:highlight w:val="none"/>
          <w:u w:val="single"/>
          <w:shd w:val="clear" w:color="auto" w:fill="ffffff"/>
        </w:rPr>
        <w:t xml:space="preserve">（规定比例）</w:t>
      </w:r>
      <w:r>
        <w:rPr>
          <w:rStyle w:val="924"/>
          <w:rFonts w:hint="eastAsia"/>
          <w:i w:val="0"/>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924"/>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24"/>
          <w:rFonts w:hint="eastAsia"/>
          <w:i w:val="0"/>
          <w:color w:val="000000"/>
          <w:highlight w:val="none"/>
          <w:u w:val="single"/>
          <w:shd w:val="clear" w:color="auto" w:fill="ffffff"/>
        </w:rPr>
        <w:t xml:space="preserve">（关键组件）</w:t>
      </w:r>
      <w:r>
        <w:rPr>
          <w:rStyle w:val="924"/>
          <w:rFonts w:hint="eastAsia"/>
          <w:i w:val="0"/>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924"/>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24"/>
          <w:rFonts w:hint="eastAsia"/>
          <w:i w:val="0"/>
          <w:color w:val="000000"/>
          <w:highlight w:val="none"/>
          <w:u w:val="single"/>
          <w:shd w:val="clear" w:color="auto" w:fill="ffffff"/>
        </w:rPr>
        <w:t xml:space="preserve">（关键工序）</w:t>
      </w:r>
      <w:r>
        <w:rPr>
          <w:rStyle w:val="924"/>
          <w:rFonts w:hint="eastAsia"/>
          <w:i w:val="0"/>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color w:val="000000"/>
          <w:highlight w:val="none"/>
        </w:rPr>
      </w:r>
      <w:r/>
    </w:p>
    <w:p>
      <w:pPr>
        <w:pStyle w:val="912"/>
        <w:ind w:firstLine="420"/>
        <w:spacing w:before="24" w:beforeAutospacing="0" w:after="24" w:afterAutospacing="0" w:line="360" w:lineRule="auto"/>
        <w:shd w:val="clear" w:color="auto" w:fill="ffffff"/>
        <w:rPr>
          <w:color w:val="000000"/>
          <w:highlight w:val="none"/>
        </w:rPr>
      </w:pPr>
      <w:r>
        <w:rPr>
          <w:rFonts w:hint="eastAsia"/>
          <w:color w:val="000000"/>
          <w:highlight w:val="none"/>
          <w:shd w:val="clear" w:color="auto" w:fill="ffffff"/>
        </w:rPr>
        <w:t xml:space="preserve">2.</w:t>
      </w:r>
      <w:r>
        <w:rPr>
          <w:rStyle w:val="924"/>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24"/>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24"/>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24"/>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924"/>
          <w:rFonts w:hint="eastAsia"/>
          <w:i w:val="0"/>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924"/>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924"/>
          <w:rFonts w:hint="eastAsia"/>
          <w:i w:val="0"/>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924"/>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924"/>
          <w:rFonts w:hint="eastAsia"/>
          <w:i w:val="0"/>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color w:val="000000"/>
          <w:highlight w:val="none"/>
        </w:rPr>
      </w:r>
      <w:r/>
    </w:p>
    <w:p>
      <w:pPr>
        <w:pStyle w:val="912"/>
        <w:ind w:firstLine="420"/>
        <w:spacing w:before="24" w:beforeAutospacing="0" w:after="24" w:afterAutospacing="0" w:line="360" w:lineRule="auto"/>
        <w:shd w:val="clear" w:color="auto" w:fill="ffffff"/>
        <w:rPr>
          <w:color w:val="000000"/>
          <w:highlight w:val="none"/>
          <w:shd w:val="clear" w:color="auto" w:fill="ffffff"/>
        </w:rPr>
      </w:pPr>
      <w:r>
        <w:rPr>
          <w:rFonts w:hint="eastAsia"/>
          <w:color w:val="000000"/>
          <w:highlight w:val="none"/>
          <w:shd w:val="clear" w:color="auto" w:fill="ffffff"/>
        </w:rPr>
        <w:t xml:space="preserve">……</w:t>
      </w:r>
      <w:r>
        <w:rPr>
          <w:color w:val="000000"/>
          <w:highlight w:val="none"/>
          <w:shd w:val="clear" w:color="auto" w:fill="ffffff"/>
        </w:rPr>
      </w:r>
      <w:r/>
    </w:p>
    <w:p>
      <w:pPr>
        <w:pStyle w:val="912"/>
        <w:ind w:firstLine="420"/>
        <w:spacing w:before="24" w:beforeAutospacing="0" w:after="24" w:afterAutospacing="0" w:line="360" w:lineRule="auto"/>
        <w:shd w:val="clear" w:color="auto" w:fill="ffffff"/>
        <w:rPr>
          <w:color w:val="000000"/>
          <w:highlight w:val="none"/>
          <w:shd w:val="clear" w:color="auto" w:fill="ffffff"/>
        </w:rPr>
      </w:pPr>
      <w:r>
        <w:rPr>
          <w:rFonts w:hint="eastAsia"/>
          <w:color w:val="000000"/>
          <w:highlight w:val="none"/>
          <w:shd w:val="clear" w:color="auto" w:fill="ffffff"/>
        </w:rPr>
        <w:t xml:space="preserve">以上产品成本之和</w:t>
      </w:r>
      <w:r>
        <w:rPr>
          <w:rFonts w:ascii="Wingdings" w:hAnsi="Wingdings" w:eastAsia="Wingdings" w:cs="Wingdings"/>
          <w:color w:val="000000"/>
          <w:highlight w:val="none"/>
        </w:rPr>
        <w:t xml:space="preserve"></w:t>
      </w:r>
      <w:r>
        <w:rPr>
          <w:rFonts w:hint="eastAsia"/>
          <w:color w:val="000000"/>
          <w:highlight w:val="none"/>
          <w:shd w:val="clear" w:color="auto" w:fill="ffffff"/>
        </w:rPr>
        <w:t xml:space="preserve">是</w:t>
      </w:r>
      <w:r>
        <w:rPr>
          <w:rFonts w:ascii="Wingdings" w:hAnsi="Wingdings" w:eastAsia="Wingdings" w:cs="Wingdings"/>
          <w:color w:val="000000"/>
          <w:highlight w:val="none"/>
        </w:rPr>
        <w:t xml:space="preserve"></w:t>
      </w:r>
      <w:r>
        <w:rPr>
          <w:rFonts w:hint="eastAsia"/>
          <w:color w:val="000000"/>
          <w:highlight w:val="none"/>
          <w:shd w:val="clear" w:color="auto" w:fill="ffffff"/>
        </w:rPr>
        <w:t xml:space="preserve">否达到本公司(单位)提供的全部产品成本之和的80%以上。</w:t>
      </w:r>
      <w:r>
        <w:rPr>
          <w:color w:val="000000"/>
          <w:highlight w:val="none"/>
          <w:shd w:val="clear" w:color="auto" w:fill="ffffff"/>
        </w:rPr>
      </w:r>
      <w:r/>
    </w:p>
    <w:p>
      <w:pPr>
        <w:pStyle w:val="912"/>
        <w:ind w:firstLine="420"/>
        <w:spacing w:before="24" w:beforeAutospacing="0" w:after="24" w:afterAutospacing="0" w:line="360" w:lineRule="auto"/>
        <w:shd w:val="clear" w:color="auto" w:fill="ffffff"/>
        <w:rPr>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color w:val="000000"/>
          <w:highlight w:val="none"/>
        </w:rPr>
      </w:r>
      <w:r/>
    </w:p>
    <w:p>
      <w:pPr>
        <w:pStyle w:val="912"/>
        <w:jc w:val="right"/>
        <w:spacing w:before="24" w:beforeAutospacing="0" w:after="24" w:afterAutospacing="0" w:line="360" w:lineRule="auto"/>
        <w:shd w:val="clear" w:color="auto" w:fill="ffffff"/>
        <w:rPr>
          <w:color w:val="000000"/>
          <w:highlight w:val="none"/>
        </w:rPr>
      </w:pPr>
      <w:r>
        <w:rPr>
          <w:rFonts w:hint="eastAsia"/>
          <w:color w:val="000000"/>
          <w:highlight w:val="none"/>
          <w:shd w:val="clear" w:color="auto" w:fill="ffffff"/>
        </w:rPr>
        <w:t xml:space="preserve">公司（单位）名称（盖章）：　        </w:t>
      </w:r>
      <w:r>
        <w:rPr>
          <w:color w:val="000000"/>
          <w:highlight w:val="none"/>
        </w:rPr>
      </w:r>
      <w:r/>
    </w:p>
    <w:p>
      <w:pPr>
        <w:pStyle w:val="912"/>
        <w:jc w:val="right"/>
        <w:spacing w:before="24" w:beforeAutospacing="0" w:after="24" w:afterAutospacing="0" w:line="360" w:lineRule="auto"/>
        <w:shd w:val="clear" w:color="auto" w:fill="ffffff"/>
        <w:rPr>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color w:val="000000"/>
          <w:sz w:val="28"/>
          <w:szCs w:val="28"/>
          <w:highlight w:val="none"/>
        </w:rPr>
      </w:r>
      <w:r/>
    </w:p>
    <w:p>
      <w:pPr>
        <w:pStyle w:val="912"/>
        <w:spacing w:before="24" w:beforeAutospacing="0" w:after="24" w:afterAutospacing="0" w:line="360" w:lineRule="auto"/>
        <w:shd w:val="clear" w:color="auto" w:fill="ffffff"/>
        <w:rPr>
          <w:color w:val="000000"/>
          <w:sz w:val="28"/>
          <w:szCs w:val="28"/>
          <w:highlight w:val="none"/>
        </w:rPr>
      </w:pPr>
      <w:r>
        <w:rPr>
          <w:rFonts w:hint="eastAsia"/>
          <w:color w:val="000000"/>
          <w:sz w:val="28"/>
          <w:szCs w:val="28"/>
          <w:highlight w:val="none"/>
          <w:shd w:val="clear" w:color="auto" w:fill="ffffff"/>
        </w:rPr>
        <w:t xml:space="preserve">__________________</w:t>
      </w:r>
      <w:r>
        <w:rPr>
          <w:color w:val="000000"/>
          <w:sz w:val="28"/>
          <w:szCs w:val="28"/>
          <w:highlight w:val="none"/>
        </w:rPr>
      </w:r>
      <w:r/>
    </w:p>
    <w:p>
      <w:pPr>
        <w:pStyle w:val="912"/>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color w:val="000000"/>
          <w:sz w:val="21"/>
          <w:szCs w:val="21"/>
          <w:highlight w:val="none"/>
        </w:rPr>
      </w:r>
      <w:r/>
    </w:p>
    <w:p>
      <w:pPr>
        <w:pStyle w:val="912"/>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color w:val="000000"/>
          <w:sz w:val="21"/>
          <w:szCs w:val="21"/>
          <w:highlight w:val="none"/>
        </w:rPr>
      </w:r>
      <w:r/>
    </w:p>
    <w:p>
      <w:pPr>
        <w:pStyle w:val="912"/>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3.该产品的中国境内生产的组件成本占比相关要求实施前，“规定比例”栏可不填。</w:t>
      </w:r>
      <w:r>
        <w:rPr>
          <w:color w:val="000000"/>
          <w:sz w:val="21"/>
          <w:szCs w:val="21"/>
          <w:highlight w:val="none"/>
        </w:rPr>
      </w:r>
      <w:r/>
    </w:p>
    <w:p>
      <w:pPr>
        <w:pStyle w:val="912"/>
        <w:ind w:firstLine="420"/>
        <w:spacing w:before="24" w:beforeAutospacing="0" w:after="24" w:afterAutospacing="0" w:line="360" w:lineRule="auto"/>
        <w:shd w:val="clear" w:color="auto" w:fill="ffffff"/>
        <w:rPr>
          <w:color w:val="000000"/>
          <w:sz w:val="21"/>
          <w:szCs w:val="21"/>
          <w:highlight w:val="none"/>
          <w:shd w:val="clear" w:color="auto" w:fill="ffffff"/>
        </w:rPr>
      </w:pPr>
      <w:r>
        <w:rPr>
          <w:rFonts w:hint="eastAsia"/>
          <w:color w:val="000000"/>
          <w:sz w:val="21"/>
          <w:szCs w:val="21"/>
          <w:highlight w:val="none"/>
          <w:shd w:val="clear" w:color="auto" w:fill="ffffff"/>
        </w:rPr>
        <w:t xml:space="preserve">4.该产品的关键组件要求实施前，“关键组件”栏可不填。</w:t>
      </w:r>
      <w:r>
        <w:rPr>
          <w:color w:val="000000"/>
          <w:sz w:val="21"/>
          <w:szCs w:val="21"/>
          <w:highlight w:val="none"/>
          <w:shd w:val="clear" w:color="auto" w:fill="ffffff"/>
        </w:rPr>
      </w:r>
      <w:r/>
    </w:p>
    <w:p>
      <w:pPr>
        <w:pStyle w:val="912"/>
        <w:ind w:firstLine="420"/>
        <w:spacing w:before="24" w:beforeAutospacing="0" w:after="24" w:afterAutospacing="0" w:line="360" w:lineRule="auto"/>
        <w:shd w:val="clear" w:color="auto" w:fill="ffffff"/>
        <w:rPr>
          <w:color w:val="000000"/>
          <w:sz w:val="21"/>
          <w:szCs w:val="21"/>
          <w:highlight w:val="none"/>
          <w:shd w:val="clear" w:color="auto" w:fill="ffffff"/>
        </w:rPr>
      </w:pPr>
      <w:r>
        <w:rPr>
          <w:rFonts w:hint="eastAsia"/>
          <w:color w:val="000000"/>
          <w:sz w:val="21"/>
          <w:szCs w:val="21"/>
          <w:highlight w:val="none"/>
          <w:shd w:val="clear" w:color="auto" w:fill="ffffff"/>
        </w:rPr>
        <w:t xml:space="preserve">5.该产品的关键工序要求实施前，“关键工序”栏可不填。</w:t>
      </w:r>
      <w:r>
        <w:rPr>
          <w:color w:val="000000"/>
          <w:sz w:val="21"/>
          <w:szCs w:val="21"/>
          <w:highlight w:val="none"/>
          <w:shd w:val="clear" w:color="auto" w:fill="ffffff"/>
        </w:rPr>
      </w:r>
      <w:r/>
    </w:p>
    <w:p>
      <w:pPr>
        <w:pStyle w:val="912"/>
        <w:ind w:firstLine="420"/>
        <w:spacing w:before="24" w:beforeAutospacing="0" w:after="24" w:afterAutospacing="0" w:line="360" w:lineRule="auto"/>
        <w:shd w:val="clear" w:color="auto" w:fill="ffffff"/>
        <w:rPr>
          <w:color w:val="000000"/>
          <w:sz w:val="21"/>
          <w:szCs w:val="21"/>
          <w:highlight w:val="none"/>
          <w:shd w:val="clear" w:color="auto" w:fill="ffffff"/>
        </w:rPr>
      </w:pPr>
      <w:r>
        <w:rPr>
          <w:rFonts w:hint="eastAsia"/>
          <w:color w:val="000000"/>
          <w:sz w:val="21"/>
          <w:szCs w:val="21"/>
          <w:highlight w:val="none"/>
          <w:shd w:val="clear" w:color="auto" w:fill="ffffff"/>
        </w:rPr>
        <w:t xml:space="preserve">6.当采购项目或者采购包中含有多种产品，供应商未对提供的符合本国产品标准的产品成本之和占全</w:t>
      </w:r>
      <w:r>
        <w:rPr>
          <w:color w:val="000000"/>
          <w:sz w:val="21"/>
          <w:szCs w:val="21"/>
          <w:highlight w:val="none"/>
          <w:shd w:val="clear" w:color="auto" w:fill="ffffff"/>
        </w:rPr>
      </w:r>
      <w:r/>
    </w:p>
    <w:p>
      <w:pPr>
        <w:pStyle w:val="912"/>
        <w:ind w:firstLine="420"/>
        <w:spacing w:before="24" w:beforeAutospacing="0" w:after="24" w:afterAutospacing="0" w:line="360" w:lineRule="auto"/>
        <w:shd w:val="clear" w:color="auto" w:fill="ffffff"/>
        <w:rPr>
          <w:color w:val="000000"/>
          <w:sz w:val="21"/>
          <w:szCs w:val="21"/>
          <w:highlight w:val="none"/>
          <w:shd w:val="clear" w:color="auto" w:fill="ffffff"/>
        </w:rPr>
      </w:pPr>
      <w:r>
        <w:rPr>
          <w:rFonts w:hint="eastAsia"/>
          <w:color w:val="000000"/>
          <w:sz w:val="21"/>
          <w:szCs w:val="21"/>
          <w:highlight w:val="none"/>
          <w:shd w:val="clear" w:color="auto" w:fill="ffffff"/>
        </w:rPr>
        <w:t xml:space="preserve">部产品成本之和的比例达到 80%以上作出承诺的，将不享受本国产品价格评审优惠。</w:t>
      </w:r>
      <w:r>
        <w:rPr>
          <w:color w:val="000000"/>
          <w:sz w:val="21"/>
          <w:szCs w:val="21"/>
          <w:highlight w:val="none"/>
          <w:shd w:val="clear" w:color="auto" w:fill="ffffff"/>
        </w:rPr>
      </w:r>
      <w:r/>
    </w:p>
    <w:p>
      <w:pPr>
        <w:pStyle w:val="927"/>
        <w:rPr>
          <w:rFonts w:ascii="宋体" w:hAnsi="宋体"/>
          <w:color w:val="000000"/>
          <w:sz w:val="24"/>
          <w:highlight w:val="none"/>
        </w:rPr>
      </w:pPr>
      <w:r>
        <w:rPr>
          <w:rFonts w:ascii="宋体" w:hAnsi="宋体"/>
          <w:color w:val="000000"/>
          <w:sz w:val="24"/>
          <w:highlight w:val="none"/>
        </w:rPr>
      </w:r>
      <w:r/>
    </w:p>
    <w:p>
      <w:pPr>
        <w:pStyle w:val="664"/>
        <w:rPr>
          <w:rFonts w:ascii="宋体" w:hAnsi="宋体"/>
          <w:color w:val="000000"/>
          <w:sz w:val="24"/>
          <w:highlight w:val="none"/>
        </w:rPr>
      </w:pPr>
      <w:r>
        <w:rPr>
          <w:rFonts w:ascii="宋体" w:hAnsi="宋体"/>
          <w:color w:val="000000"/>
          <w:sz w:val="24"/>
          <w:highlight w:val="none"/>
        </w:rPr>
      </w:r>
      <w:r/>
    </w:p>
    <w:p>
      <w:pPr>
        <w:pStyle w:val="664"/>
        <w:rPr>
          <w:color w:val="000000"/>
          <w:highlight w:val="none"/>
        </w:rPr>
      </w:pPr>
      <w:r>
        <w:rPr>
          <w:color w:val="000000"/>
          <w:highlight w:val="none"/>
        </w:rPr>
      </w:r>
      <w:r/>
    </w:p>
    <w:p>
      <w:pPr>
        <w:pStyle w:val="713"/>
        <w:rPr>
          <w:color w:val="000000"/>
          <w:highlight w:val="none"/>
        </w:rPr>
      </w:pPr>
      <w:r>
        <w:rPr>
          <w:color w:val="000000"/>
          <w:highlight w:val="none"/>
        </w:rPr>
      </w:r>
      <w:r/>
    </w:p>
    <w:p>
      <w:pPr>
        <w:pStyle w:val="713"/>
        <w:rPr>
          <w:color w:val="000000"/>
          <w:highlight w:val="none"/>
        </w:rPr>
      </w:pPr>
      <w:r>
        <w:rPr>
          <w:color w:val="000000"/>
          <w:highlight w:val="none"/>
        </w:rPr>
      </w:r>
      <w:r/>
    </w:p>
    <w:p>
      <w:pPr>
        <w:pStyle w:val="713"/>
        <w:rPr>
          <w:color w:val="000000"/>
          <w:highlight w:val="none"/>
        </w:rPr>
      </w:pPr>
      <w:r>
        <w:rPr>
          <w:color w:val="000000"/>
          <w:highlight w:val="none"/>
        </w:rPr>
      </w:r>
      <w:r/>
    </w:p>
    <w:p>
      <w:pPr>
        <w:pStyle w:val="664"/>
        <w:jc w:val="center"/>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rPr>
          <w:rFonts w:ascii="方正小标宋简体" w:hAnsi="方正小标宋简体" w:eastAsia="方正小标宋简体" w:cs="方正小标宋简体"/>
          <w:color w:val="000000"/>
          <w:sz w:val="32"/>
          <w:szCs w:val="32"/>
          <w:highlight w:val="none"/>
        </w:rPr>
      </w:r>
      <w:r/>
    </w:p>
    <w:p>
      <w:pPr>
        <w:pStyle w:val="664"/>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ascii="方正黑体_GBK" w:hAnsi="方正黑体_GBK" w:eastAsia="方正黑体_GBK" w:cs="方正黑体_GBK"/>
          <w:bCs/>
          <w:color w:val="000000"/>
          <w:sz w:val="24"/>
          <w:szCs w:val="24"/>
          <w:highlight w:val="none"/>
        </w:rPr>
      </w:r>
      <w:r/>
    </w:p>
    <w:p>
      <w:pPr>
        <w:pStyle w:val="66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6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6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4"/>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ascii="方正黑体_GBK" w:hAnsi="方正黑体_GBK" w:eastAsia="方正黑体_GBK" w:cs="方正黑体_GBK"/>
          <w:bCs/>
          <w:color w:val="000000"/>
          <w:sz w:val="24"/>
          <w:szCs w:val="24"/>
          <w:highlight w:val="none"/>
        </w:rPr>
      </w:r>
      <w:r/>
    </w:p>
    <w:p>
      <w:pPr>
        <w:pStyle w:val="66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6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6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4"/>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ascii="方正黑体_GBK" w:hAnsi="方正黑体_GBK" w:eastAsia="方正黑体_GBK" w:cs="方正黑体_GBK"/>
          <w:bCs/>
          <w:color w:val="000000"/>
          <w:sz w:val="24"/>
          <w:szCs w:val="24"/>
          <w:highlight w:val="none"/>
        </w:rPr>
      </w:r>
      <w:r/>
    </w:p>
    <w:p>
      <w:pPr>
        <w:pStyle w:val="66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6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64"/>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ascii="方正黑体_GBK" w:hAnsi="方正黑体_GBK" w:eastAsia="方正黑体_GBK" w:cs="方正黑体_GBK"/>
          <w:bCs/>
          <w:color w:val="000000"/>
          <w:sz w:val="24"/>
          <w:szCs w:val="24"/>
          <w:highlight w:val="none"/>
        </w:rPr>
      </w:r>
      <w:r/>
    </w:p>
    <w:p>
      <w:pPr>
        <w:pStyle w:val="66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64"/>
        <w:rPr>
          <w:rFonts w:ascii="宋体" w:hAnsi="宋体"/>
          <w:color w:val="000000"/>
          <w:sz w:val="24"/>
          <w:szCs w:val="24"/>
          <w:highlight w:val="none"/>
        </w:rPr>
      </w:pPr>
      <w:r>
        <w:rPr>
          <w:rFonts w:ascii="宋体" w:hAnsi="宋体"/>
          <w:color w:val="000000"/>
          <w:sz w:val="24"/>
          <w:szCs w:val="24"/>
          <w:highlight w:val="none"/>
        </w:rPr>
      </w:r>
      <w:r/>
    </w:p>
    <w:p>
      <w:pPr>
        <w:pStyle w:val="664"/>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664"/>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664"/>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664"/>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664"/>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664"/>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ascii="宋体" w:hAnsi="宋体" w:cs="仿宋"/>
          <w:color w:val="000000"/>
          <w:sz w:val="24"/>
          <w:szCs w:val="24"/>
          <w:highlight w:val="none"/>
        </w:rPr>
      </w:r>
      <w:r/>
    </w:p>
    <w:p>
      <w:pPr>
        <w:pStyle w:val="664"/>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ascii="宋体" w:hAnsi="宋体" w:cs="仿宋"/>
          <w:color w:val="000000"/>
          <w:sz w:val="24"/>
          <w:szCs w:val="24"/>
          <w:highlight w:val="none"/>
        </w:rPr>
      </w:r>
      <w:r/>
    </w:p>
    <w:p>
      <w:pPr>
        <w:pStyle w:val="664"/>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ascii="宋体" w:hAnsi="宋体" w:cs="仿宋"/>
          <w:color w:val="000000"/>
          <w:sz w:val="24"/>
          <w:szCs w:val="24"/>
          <w:highlight w:val="none"/>
        </w:rPr>
      </w:r>
      <w:r/>
    </w:p>
    <w:p>
      <w:pPr>
        <w:pStyle w:val="664"/>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ascii="宋体" w:hAnsi="宋体" w:cs="仿宋"/>
          <w:color w:val="000000"/>
          <w:sz w:val="24"/>
          <w:szCs w:val="24"/>
          <w:highlight w:val="none"/>
        </w:rPr>
      </w:r>
      <w:r/>
    </w:p>
    <w:p>
      <w:pPr>
        <w:pStyle w:val="664"/>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ascii="宋体" w:hAnsi="宋体" w:cs="仿宋"/>
          <w:color w:val="000000"/>
          <w:sz w:val="24"/>
          <w:szCs w:val="24"/>
          <w:highlight w:val="none"/>
        </w:rPr>
      </w:r>
      <w:r/>
    </w:p>
    <w:p>
      <w:pPr>
        <w:pStyle w:val="664"/>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 w:val="24"/>
          <w:szCs w:val="24"/>
          <w:highlight w:val="none"/>
        </w:rPr>
      </w:r>
      <w:r/>
    </w:p>
    <w:p>
      <w:pPr>
        <w:pStyle w:val="664"/>
        <w:ind w:firstLine="480"/>
        <w:spacing w:line="480" w:lineRule="exact"/>
        <w:rPr>
          <w:rFonts w:hint="eastAsia" w:ascii="宋体" w:hAnsi="宋体" w:cs="仿宋"/>
          <w:color w:val="000000"/>
          <w:sz w:val="24"/>
          <w:szCs w:val="24"/>
          <w:highlight w:val="none"/>
          <w:lang w:val="zh-CN"/>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rPr>
        <w:rStyle w:val="922"/>
        <w:rFonts w:ascii="宋体" w:hAnsi="宋体"/>
      </w:rPr>
      <w:framePr w:wrap="around" w:vAnchor="text" w:hAnchor="margin" w:xAlign="center" w:y="1"/>
    </w:pPr>
    <w:r>
      <w:rPr>
        <w:rFonts w:ascii="宋体" w:hAnsi="宋体"/>
      </w:rPr>
      <w:fldChar w:fldCharType="begin"/>
    </w:r>
    <w:r>
      <w:rPr>
        <w:rStyle w:val="922"/>
        <w:rFonts w:ascii="宋体" w:hAnsi="宋体"/>
      </w:rPr>
      <w:instrText xml:space="preserve">PAGE  </w:instrText>
    </w:r>
    <w:r>
      <w:rPr>
        <w:rFonts w:ascii="宋体" w:hAnsi="宋体"/>
      </w:rPr>
      <w:fldChar w:fldCharType="separate"/>
    </w:r>
    <w:r>
      <w:rPr>
        <w:rStyle w:val="922"/>
        <w:rFonts w:ascii="宋体" w:hAnsi="宋体"/>
      </w:rPr>
      <w:t xml:space="preserve">40</w:t>
    </w:r>
    <w:r>
      <w:rPr>
        <w:rFonts w:ascii="宋体" w:hAnsi="宋体"/>
      </w:rPr>
      <w:fldChar w:fldCharType="end"/>
    </w:r>
    <w:r>
      <w:rPr>
        <w:rStyle w:val="922"/>
        <w:rFonts w:ascii="宋体" w:hAnsi="宋体"/>
      </w:rPr>
    </w:r>
    <w:r/>
  </w:p>
  <w:p>
    <w:pPr>
      <w:pStyle w:val="897"/>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rPr>
        <w:rStyle w:val="922"/>
      </w:rPr>
      <w:framePr w:wrap="around" w:vAnchor="text" w:hAnchor="margin" w:xAlign="center" w:y="1"/>
    </w:pPr>
    <w:r>
      <w:fldChar w:fldCharType="begin"/>
    </w:r>
    <w:r>
      <w:rPr>
        <w:rStyle w:val="922"/>
      </w:rPr>
      <w:instrText xml:space="preserve">PAGE  </w:instrText>
    </w:r>
    <w:r>
      <w:fldChar w:fldCharType="separate"/>
    </w:r>
    <w:r>
      <w:rPr>
        <w:rStyle w:val="922"/>
      </w:rPr>
      <w:t xml:space="preserve">1</w:t>
    </w:r>
    <w:r>
      <w:fldChar w:fldCharType="end"/>
    </w:r>
    <w:r>
      <w:rPr>
        <w:rStyle w:val="922"/>
      </w:rPr>
    </w:r>
    <w:r/>
  </w:p>
  <w:p>
    <w:pPr>
      <w:pStyle w:val="8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4"/>
        <w:ind w:left="425" w:hanging="425"/>
      </w:pPr>
    </w:lvl>
    <w:lvl w:ilvl="1">
      <w:start w:val="1"/>
      <w:numFmt w:val="decimal"/>
      <w:isLgl w:val="false"/>
      <w:suff w:val="tab"/>
      <w:lvlText w:val="%1.%2."/>
      <w:lvlJc w:val="left"/>
      <w:pPr>
        <w:pStyle w:val="664"/>
        <w:ind w:left="850" w:hanging="453"/>
      </w:pPr>
    </w:lvl>
    <w:lvl w:ilvl="2">
      <w:start w:val="1"/>
      <w:numFmt w:val="decimal"/>
      <w:isLgl w:val="false"/>
      <w:suff w:val="tab"/>
      <w:lvlText w:val="%1.%2.%3."/>
      <w:lvlJc w:val="left"/>
      <w:pPr>
        <w:pStyle w:val="664"/>
        <w:ind w:left="1508" w:hanging="708"/>
      </w:pPr>
    </w:lvl>
    <w:lvl w:ilvl="3">
      <w:start w:val="1"/>
      <w:numFmt w:val="decimal"/>
      <w:isLgl w:val="false"/>
      <w:suff w:val="tab"/>
      <w:lvlText w:val="%1.%2.%3.%4."/>
      <w:lvlJc w:val="left"/>
      <w:pPr>
        <w:pStyle w:val="664"/>
        <w:ind w:left="2053" w:hanging="853"/>
      </w:pPr>
    </w:lvl>
    <w:lvl w:ilvl="4">
      <w:start w:val="1"/>
      <w:numFmt w:val="decimal"/>
      <w:isLgl w:val="false"/>
      <w:suff w:val="tab"/>
      <w:lvlText w:val="%1.%2.%3.%4.%5."/>
      <w:lvlJc w:val="left"/>
      <w:pPr>
        <w:pStyle w:val="664"/>
        <w:ind w:left="2495" w:hanging="895"/>
      </w:pPr>
    </w:lvl>
    <w:lvl w:ilvl="5">
      <w:start w:val="1"/>
      <w:numFmt w:val="decimal"/>
      <w:isLgl w:val="false"/>
      <w:suff w:val="tab"/>
      <w:lvlText w:val="%1.%2.%3.%4.%5.%6."/>
      <w:lvlJc w:val="left"/>
      <w:pPr>
        <w:pStyle w:val="664"/>
        <w:ind w:left="3136" w:hanging="1136"/>
      </w:pPr>
    </w:lvl>
    <w:lvl w:ilvl="6">
      <w:start w:val="1"/>
      <w:numFmt w:val="decimal"/>
      <w:isLgl w:val="false"/>
      <w:suff w:val="tab"/>
      <w:lvlText w:val="%1.%2.%3.%4.%5.%6.%7."/>
      <w:lvlJc w:val="left"/>
      <w:pPr>
        <w:pStyle w:val="664"/>
        <w:ind w:left="3673" w:hanging="1273"/>
      </w:pPr>
    </w:lvl>
    <w:lvl w:ilvl="7">
      <w:start w:val="1"/>
      <w:numFmt w:val="decimal"/>
      <w:isLgl w:val="false"/>
      <w:suff w:val="tab"/>
      <w:lvlText w:val="%1.%2.%3.%4.%5.%6.%7.%8."/>
      <w:lvlJc w:val="left"/>
      <w:pPr>
        <w:pStyle w:val="664"/>
        <w:ind w:left="4218" w:hanging="1418"/>
      </w:pPr>
    </w:lvl>
    <w:lvl w:ilvl="8">
      <w:start w:val="1"/>
      <w:numFmt w:val="decimal"/>
      <w:isLgl w:val="false"/>
      <w:suff w:val="tab"/>
      <w:lvlText w:val="%1.%2.%3.%4.%5.%6.%7.%8.%9."/>
      <w:lvlJc w:val="left"/>
      <w:pPr>
        <w:pStyle w:val="664"/>
        <w:ind w:left="4648" w:hanging="1448"/>
      </w:pPr>
    </w:lvl>
  </w:abstractNum>
  <w:abstractNum w:abstractNumId="1">
    <w:multiLevelType w:val="hybridMultilevel"/>
    <w:lvl w:ilvl="0">
      <w:start w:val="1"/>
      <w:numFmt w:val="decimal"/>
      <w:pStyle w:val="949"/>
      <w:isLgl w:val="false"/>
      <w:suff w:val="tab"/>
      <w:lvlText w:val="%1."/>
      <w:lvlJc w:val="left"/>
      <w:pPr>
        <w:pStyle w:val="664"/>
        <w:ind w:left="709" w:hanging="709"/>
        <w:tabs>
          <w:tab w:val="num" w:pos="709" w:leader="none"/>
        </w:tabs>
      </w:pPr>
      <w:rPr>
        <w:rFonts w:hint="eastAsia"/>
      </w:rPr>
    </w:lvl>
    <w:lvl w:ilvl="1">
      <w:start w:val="1"/>
      <w:numFmt w:val="decimal"/>
      <w:isLgl w:val="false"/>
      <w:suff w:val="tab"/>
      <w:lvlText w:val="%1.%2"/>
      <w:lvlJc w:val="left"/>
      <w:pPr>
        <w:pStyle w:val="664"/>
        <w:ind w:left="709" w:hanging="709"/>
        <w:tabs>
          <w:tab w:val="num" w:pos="709" w:leader="none"/>
        </w:tabs>
      </w:pPr>
      <w:rPr>
        <w:rFonts w:hint="eastAsia"/>
      </w:rPr>
    </w:lvl>
    <w:lvl w:ilvl="2">
      <w:start w:val="1"/>
      <w:numFmt w:val="decimal"/>
      <w:isLgl w:val="false"/>
      <w:suff w:val="tab"/>
      <w:lvlText w:val="%1.%2.%3."/>
      <w:lvlJc w:val="left"/>
      <w:pPr>
        <w:pStyle w:val="664"/>
        <w:ind w:left="425" w:hanging="425"/>
        <w:tabs>
          <w:tab w:val="num" w:pos="425" w:leader="none"/>
        </w:tabs>
      </w:pPr>
      <w:rPr>
        <w:rFonts w:hint="eastAsia"/>
      </w:rPr>
    </w:lvl>
    <w:lvl w:ilvl="3">
      <w:start w:val="1"/>
      <w:numFmt w:val="decimal"/>
      <w:isLgl w:val="false"/>
      <w:suff w:val="tab"/>
      <w:lvlText w:val="%1.%2.%3.%4."/>
      <w:lvlJc w:val="left"/>
      <w:pPr>
        <w:pStyle w:val="664"/>
        <w:ind w:left="851" w:hanging="851"/>
        <w:tabs>
          <w:tab w:val="num" w:pos="851" w:leader="none"/>
        </w:tabs>
      </w:pPr>
      <w:rPr>
        <w:rFonts w:hint="eastAsia"/>
      </w:rPr>
    </w:lvl>
    <w:lvl w:ilvl="4">
      <w:start w:val="1"/>
      <w:numFmt w:val="decimal"/>
      <w:isLgl w:val="false"/>
      <w:suff w:val="tab"/>
      <w:lvlText w:val="%1.%2.%3.%4.%5."/>
      <w:lvlJc w:val="left"/>
      <w:pPr>
        <w:pStyle w:val="664"/>
        <w:ind w:left="992" w:hanging="992"/>
        <w:tabs>
          <w:tab w:val="num" w:pos="992" w:leader="none"/>
        </w:tabs>
      </w:pPr>
      <w:rPr>
        <w:rFonts w:hint="eastAsia"/>
      </w:rPr>
    </w:lvl>
    <w:lvl w:ilvl="5">
      <w:start w:val="1"/>
      <w:numFmt w:val="decimal"/>
      <w:isLgl w:val="false"/>
      <w:suff w:val="tab"/>
      <w:lvlText w:val="%1.%2.%3.%4.%5.%6."/>
      <w:lvlJc w:val="left"/>
      <w:pPr>
        <w:pStyle w:val="664"/>
        <w:ind w:left="1134" w:hanging="1134"/>
        <w:tabs>
          <w:tab w:val="num" w:pos="1134" w:leader="none"/>
        </w:tabs>
      </w:pPr>
      <w:rPr>
        <w:rFonts w:hint="eastAsia"/>
      </w:rPr>
    </w:lvl>
    <w:lvl w:ilvl="6">
      <w:start w:val="1"/>
      <w:numFmt w:val="decimal"/>
      <w:isLgl w:val="false"/>
      <w:suff w:val="tab"/>
      <w:lvlText w:val="%1.%2.%3.%4.%5.%6.%7."/>
      <w:lvlJc w:val="left"/>
      <w:pPr>
        <w:pStyle w:val="664"/>
        <w:ind w:left="1276" w:hanging="1276"/>
        <w:tabs>
          <w:tab w:val="num" w:pos="1276" w:leader="none"/>
        </w:tabs>
      </w:pPr>
      <w:rPr>
        <w:rFonts w:hint="eastAsia"/>
      </w:rPr>
    </w:lvl>
    <w:lvl w:ilvl="7">
      <w:start w:val="1"/>
      <w:numFmt w:val="decimal"/>
      <w:isLgl w:val="false"/>
      <w:suff w:val="tab"/>
      <w:lvlText w:val="%1.%2.%3.%4.%5.%6.%7.%8."/>
      <w:lvlJc w:val="left"/>
      <w:pPr>
        <w:pStyle w:val="664"/>
        <w:ind w:left="1418" w:hanging="1418"/>
        <w:tabs>
          <w:tab w:val="num" w:pos="1418" w:leader="none"/>
        </w:tabs>
      </w:pPr>
      <w:rPr>
        <w:rFonts w:hint="eastAsia"/>
      </w:rPr>
    </w:lvl>
    <w:lvl w:ilvl="8">
      <w:start w:val="1"/>
      <w:numFmt w:val="decimal"/>
      <w:isLgl w:val="false"/>
      <w:suff w:val="tab"/>
      <w:lvlText w:val="%1.%2.%3.%4.%5.%6.%7.%8.%9."/>
      <w:lvlJc w:val="left"/>
      <w:pPr>
        <w:pStyle w:val="664"/>
        <w:ind w:left="1559" w:hanging="1559"/>
        <w:tabs>
          <w:tab w:val="num" w:pos="1559" w:leader="none"/>
        </w:tabs>
      </w:pPr>
      <w:rPr>
        <w:rFonts w:hint="eastAsia"/>
      </w:rPr>
    </w:lvl>
  </w:abstractNum>
  <w:abstractNum w:abstractNumId="2">
    <w:multiLevelType w:val="hybridMultilevel"/>
    <w:lvl w:ilvl="0">
      <w:start w:val="1"/>
      <w:numFmt w:val="decimal"/>
      <w:isLgl w:val="false"/>
      <w:suff w:val="tab"/>
      <w:lvlText w:val="%1."/>
      <w:lvlJc w:val="left"/>
      <w:pPr>
        <w:pStyle w:val="664"/>
        <w:ind w:left="425" w:hanging="425"/>
      </w:pPr>
    </w:lvl>
    <w:lvl w:ilvl="1">
      <w:start w:val="1"/>
      <w:numFmt w:val="decimal"/>
      <w:isLgl w:val="false"/>
      <w:suff w:val="tab"/>
      <w:lvlText w:val="%1.%2."/>
      <w:lvlJc w:val="left"/>
      <w:pPr>
        <w:pStyle w:val="664"/>
        <w:ind w:left="850" w:hanging="453"/>
      </w:pPr>
    </w:lvl>
    <w:lvl w:ilvl="2">
      <w:start w:val="1"/>
      <w:numFmt w:val="decimal"/>
      <w:isLgl w:val="false"/>
      <w:suff w:val="tab"/>
      <w:lvlText w:val="%1.%2.%3."/>
      <w:lvlJc w:val="left"/>
      <w:pPr>
        <w:pStyle w:val="664"/>
        <w:ind w:left="1508" w:hanging="708"/>
      </w:pPr>
    </w:lvl>
    <w:lvl w:ilvl="3">
      <w:start w:val="1"/>
      <w:numFmt w:val="decimal"/>
      <w:isLgl w:val="false"/>
      <w:suff w:val="tab"/>
      <w:lvlText w:val="%1.%2.%3.%4."/>
      <w:lvlJc w:val="left"/>
      <w:pPr>
        <w:pStyle w:val="664"/>
        <w:ind w:left="2053" w:hanging="853"/>
      </w:pPr>
    </w:lvl>
    <w:lvl w:ilvl="4">
      <w:start w:val="1"/>
      <w:numFmt w:val="decimal"/>
      <w:isLgl w:val="false"/>
      <w:suff w:val="tab"/>
      <w:lvlText w:val="%1.%2.%3.%4.%5."/>
      <w:lvlJc w:val="left"/>
      <w:pPr>
        <w:pStyle w:val="664"/>
        <w:ind w:left="2495" w:hanging="895"/>
      </w:pPr>
    </w:lvl>
    <w:lvl w:ilvl="5">
      <w:start w:val="1"/>
      <w:numFmt w:val="decimal"/>
      <w:isLgl w:val="false"/>
      <w:suff w:val="tab"/>
      <w:lvlText w:val="%1.%2.%3.%4.%5.%6."/>
      <w:lvlJc w:val="left"/>
      <w:pPr>
        <w:pStyle w:val="664"/>
        <w:ind w:left="3136" w:hanging="1136"/>
      </w:pPr>
    </w:lvl>
    <w:lvl w:ilvl="6">
      <w:start w:val="1"/>
      <w:numFmt w:val="decimal"/>
      <w:isLgl w:val="false"/>
      <w:suff w:val="tab"/>
      <w:lvlText w:val="%1.%2.%3.%4.%5.%6.%7."/>
      <w:lvlJc w:val="left"/>
      <w:pPr>
        <w:pStyle w:val="664"/>
        <w:ind w:left="3673" w:hanging="1273"/>
      </w:pPr>
    </w:lvl>
    <w:lvl w:ilvl="7">
      <w:start w:val="1"/>
      <w:numFmt w:val="decimal"/>
      <w:isLgl w:val="false"/>
      <w:suff w:val="tab"/>
      <w:lvlText w:val="%1.%2.%3.%4.%5.%6.%7.%8."/>
      <w:lvlJc w:val="left"/>
      <w:pPr>
        <w:pStyle w:val="664"/>
        <w:ind w:left="4218" w:hanging="1418"/>
      </w:pPr>
    </w:lvl>
    <w:lvl w:ilvl="8">
      <w:start w:val="1"/>
      <w:numFmt w:val="decimal"/>
      <w:isLgl w:val="false"/>
      <w:suff w:val="tab"/>
      <w:lvlText w:val="%1.%2.%3.%4.%5.%6.%7.%8.%9."/>
      <w:lvlJc w:val="left"/>
      <w:pPr>
        <w:pStyle w:val="664"/>
        <w:ind w:left="4648" w:hanging="1448"/>
      </w:pPr>
    </w:lvl>
  </w:abstractNum>
  <w:abstractNum w:abstractNumId="3">
    <w:multiLevelType w:val="hybridMultilevel"/>
    <w:lvl w:ilvl="0">
      <w:start w:val="1"/>
      <w:numFmt w:val="japaneseCounting"/>
      <w:isLgl w:val="false"/>
      <w:suff w:val="tab"/>
      <w:lvlText w:val="第%1章"/>
      <w:lvlJc w:val="left"/>
      <w:pPr>
        <w:pStyle w:val="66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64"/>
        <w:ind w:left="1440" w:hanging="360"/>
      </w:pPr>
      <w:rPr>
        <w:rFonts w:ascii="Courier New" w:hAnsi="Courier New" w:eastAsia="Courier New" w:cs="Courier New"/>
      </w:rPr>
    </w:lvl>
    <w:lvl w:ilvl="2">
      <w:start w:val="1"/>
      <w:numFmt w:val="bullet"/>
      <w:isLgl w:val="false"/>
      <w:suff w:val="tab"/>
      <w:lvlText w:val="§"/>
      <w:lvlJc w:val="left"/>
      <w:pPr>
        <w:pStyle w:val="664"/>
        <w:ind w:left="2160" w:hanging="360"/>
      </w:pPr>
      <w:rPr>
        <w:rFonts w:ascii="Wingdings" w:hAnsi="Wingdings" w:eastAsia="Wingdings" w:cs="Wingdings"/>
      </w:rPr>
    </w:lvl>
    <w:lvl w:ilvl="3">
      <w:start w:val="1"/>
      <w:numFmt w:val="bullet"/>
      <w:isLgl w:val="false"/>
      <w:suff w:val="tab"/>
      <w:lvlText w:val="·"/>
      <w:lvlJc w:val="left"/>
      <w:pPr>
        <w:pStyle w:val="664"/>
        <w:ind w:left="2880" w:hanging="360"/>
      </w:pPr>
      <w:rPr>
        <w:rFonts w:ascii="Symbol" w:hAnsi="Symbol" w:eastAsia="Symbol" w:cs="Symbol"/>
      </w:rPr>
    </w:lvl>
    <w:lvl w:ilvl="4">
      <w:start w:val="1"/>
      <w:numFmt w:val="bullet"/>
      <w:isLgl w:val="false"/>
      <w:suff w:val="tab"/>
      <w:lvlText w:val="o"/>
      <w:lvlJc w:val="left"/>
      <w:pPr>
        <w:pStyle w:val="664"/>
        <w:ind w:left="3600" w:hanging="360"/>
      </w:pPr>
      <w:rPr>
        <w:rFonts w:ascii="Courier New" w:hAnsi="Courier New" w:eastAsia="Courier New" w:cs="Courier New"/>
      </w:rPr>
    </w:lvl>
    <w:lvl w:ilvl="5">
      <w:start w:val="1"/>
      <w:numFmt w:val="bullet"/>
      <w:isLgl w:val="false"/>
      <w:suff w:val="tab"/>
      <w:lvlText w:val="§"/>
      <w:lvlJc w:val="left"/>
      <w:pPr>
        <w:pStyle w:val="664"/>
        <w:ind w:left="4320" w:hanging="360"/>
      </w:pPr>
      <w:rPr>
        <w:rFonts w:ascii="Wingdings" w:hAnsi="Wingdings" w:eastAsia="Wingdings" w:cs="Wingdings"/>
      </w:rPr>
    </w:lvl>
    <w:lvl w:ilvl="6">
      <w:start w:val="1"/>
      <w:numFmt w:val="bullet"/>
      <w:isLgl w:val="false"/>
      <w:suff w:val="tab"/>
      <w:lvlText w:val="·"/>
      <w:lvlJc w:val="left"/>
      <w:pPr>
        <w:pStyle w:val="664"/>
        <w:ind w:left="5040" w:hanging="360"/>
      </w:pPr>
      <w:rPr>
        <w:rFonts w:ascii="Symbol" w:hAnsi="Symbol" w:eastAsia="Symbol" w:cs="Symbol"/>
      </w:rPr>
    </w:lvl>
    <w:lvl w:ilvl="7">
      <w:start w:val="1"/>
      <w:numFmt w:val="bullet"/>
      <w:isLgl w:val="false"/>
      <w:suff w:val="tab"/>
      <w:lvlText w:val="o"/>
      <w:lvlJc w:val="left"/>
      <w:pPr>
        <w:pStyle w:val="664"/>
        <w:ind w:left="5760" w:hanging="360"/>
      </w:pPr>
      <w:rPr>
        <w:rFonts w:ascii="Courier New" w:hAnsi="Courier New" w:eastAsia="Courier New" w:cs="Courier New"/>
      </w:rPr>
    </w:lvl>
    <w:lvl w:ilvl="8">
      <w:start w:val="1"/>
      <w:numFmt w:val="bullet"/>
      <w:isLgl w:val="false"/>
      <w:suff w:val="tab"/>
      <w:lvlText w:val="§"/>
      <w:lvlJc w:val="left"/>
      <w:pPr>
        <w:pStyle w:val="664"/>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664"/>
        <w:ind w:left="425" w:hanging="425"/>
      </w:pPr>
    </w:lvl>
    <w:lvl w:ilvl="1">
      <w:start w:val="1"/>
      <w:numFmt w:val="decimal"/>
      <w:isLgl w:val="false"/>
      <w:suff w:val="tab"/>
      <w:lvlText w:val="%1.%2."/>
      <w:lvlJc w:val="left"/>
      <w:pPr>
        <w:pStyle w:val="664"/>
        <w:ind w:left="850" w:hanging="453"/>
      </w:pPr>
    </w:lvl>
    <w:lvl w:ilvl="2">
      <w:start w:val="1"/>
      <w:numFmt w:val="decimal"/>
      <w:isLgl w:val="false"/>
      <w:suff w:val="tab"/>
      <w:lvlText w:val="%1.%2.%3."/>
      <w:lvlJc w:val="left"/>
      <w:pPr>
        <w:pStyle w:val="664"/>
        <w:ind w:left="1508" w:hanging="708"/>
      </w:pPr>
    </w:lvl>
    <w:lvl w:ilvl="3">
      <w:start w:val="1"/>
      <w:numFmt w:val="decimal"/>
      <w:isLgl w:val="false"/>
      <w:suff w:val="tab"/>
      <w:lvlText w:val="%1.%2.%3.%4."/>
      <w:lvlJc w:val="left"/>
      <w:pPr>
        <w:pStyle w:val="664"/>
        <w:ind w:left="2053" w:hanging="853"/>
      </w:pPr>
    </w:lvl>
    <w:lvl w:ilvl="4">
      <w:start w:val="1"/>
      <w:numFmt w:val="decimal"/>
      <w:isLgl w:val="false"/>
      <w:suff w:val="tab"/>
      <w:lvlText w:val="%1.%2.%3.%4.%5."/>
      <w:lvlJc w:val="left"/>
      <w:pPr>
        <w:pStyle w:val="664"/>
        <w:ind w:left="2495" w:hanging="895"/>
      </w:pPr>
    </w:lvl>
    <w:lvl w:ilvl="5">
      <w:start w:val="1"/>
      <w:numFmt w:val="decimal"/>
      <w:isLgl w:val="false"/>
      <w:suff w:val="tab"/>
      <w:lvlText w:val="%1.%2.%3.%4.%5.%6."/>
      <w:lvlJc w:val="left"/>
      <w:pPr>
        <w:pStyle w:val="664"/>
        <w:ind w:left="3136" w:hanging="1136"/>
      </w:pPr>
    </w:lvl>
    <w:lvl w:ilvl="6">
      <w:start w:val="1"/>
      <w:numFmt w:val="decimal"/>
      <w:isLgl w:val="false"/>
      <w:suff w:val="tab"/>
      <w:lvlText w:val="%1.%2.%3.%4.%5.%6.%7."/>
      <w:lvlJc w:val="left"/>
      <w:pPr>
        <w:pStyle w:val="664"/>
        <w:ind w:left="3673" w:hanging="1273"/>
      </w:pPr>
    </w:lvl>
    <w:lvl w:ilvl="7">
      <w:start w:val="1"/>
      <w:numFmt w:val="decimal"/>
      <w:isLgl w:val="false"/>
      <w:suff w:val="tab"/>
      <w:lvlText w:val="%1.%2.%3.%4.%5.%6.%7.%8."/>
      <w:lvlJc w:val="left"/>
      <w:pPr>
        <w:pStyle w:val="664"/>
        <w:ind w:left="4218" w:hanging="1418"/>
      </w:pPr>
    </w:lvl>
    <w:lvl w:ilvl="8">
      <w:start w:val="1"/>
      <w:numFmt w:val="decimal"/>
      <w:isLgl w:val="false"/>
      <w:suff w:val="tab"/>
      <w:lvlText w:val="%1.%2.%3.%4.%5.%6.%7.%8.%9."/>
      <w:lvlJc w:val="left"/>
      <w:pPr>
        <w:pStyle w:val="664"/>
        <w:ind w:left="4648" w:hanging="1448"/>
      </w:pPr>
    </w:lvl>
  </w:abstractNum>
  <w:abstractNum w:abstractNumId="5">
    <w:multiLevelType w:val="hybridMultilevel"/>
    <w:lvl w:ilvl="0">
      <w:start w:val="1"/>
      <w:numFmt w:val="upperLetter"/>
      <w:pStyle w:val="942"/>
      <w:isLgl w:val="false"/>
      <w:suff w:val="tab"/>
      <w:lvlText w:val="附录%1."/>
      <w:lvlJc w:val="left"/>
      <w:pPr>
        <w:pStyle w:val="664"/>
        <w:ind w:left="907" w:hanging="907"/>
        <w:tabs>
          <w:tab w:val="num" w:pos="907" w:leader="none"/>
        </w:tabs>
      </w:pPr>
      <w:rPr>
        <w:rFonts w:hint="eastAsia"/>
      </w:rPr>
    </w:lvl>
    <w:lvl w:ilvl="1">
      <w:start w:val="1"/>
      <w:numFmt w:val="bullet"/>
      <w:isLgl w:val="false"/>
      <w:suff w:val="tab"/>
      <w:lvlText w:val="o"/>
      <w:lvlJc w:val="left"/>
      <w:pPr>
        <w:pStyle w:val="664"/>
        <w:ind w:left="1440" w:hanging="360"/>
      </w:pPr>
      <w:rPr>
        <w:rFonts w:ascii="Courier New" w:hAnsi="Courier New" w:eastAsia="Courier New" w:cs="Courier New"/>
      </w:rPr>
    </w:lvl>
    <w:lvl w:ilvl="2">
      <w:start w:val="1"/>
      <w:numFmt w:val="bullet"/>
      <w:isLgl w:val="false"/>
      <w:suff w:val="tab"/>
      <w:lvlText w:val="§"/>
      <w:lvlJc w:val="left"/>
      <w:pPr>
        <w:pStyle w:val="664"/>
        <w:ind w:left="2160" w:hanging="360"/>
      </w:pPr>
      <w:rPr>
        <w:rFonts w:ascii="Wingdings" w:hAnsi="Wingdings" w:eastAsia="Wingdings" w:cs="Wingdings"/>
      </w:rPr>
    </w:lvl>
    <w:lvl w:ilvl="3">
      <w:start w:val="1"/>
      <w:numFmt w:val="bullet"/>
      <w:isLgl w:val="false"/>
      <w:suff w:val="tab"/>
      <w:lvlText w:val="·"/>
      <w:lvlJc w:val="left"/>
      <w:pPr>
        <w:pStyle w:val="664"/>
        <w:ind w:left="2880" w:hanging="360"/>
      </w:pPr>
      <w:rPr>
        <w:rFonts w:ascii="Symbol" w:hAnsi="Symbol" w:eastAsia="Symbol" w:cs="Symbol"/>
      </w:rPr>
    </w:lvl>
    <w:lvl w:ilvl="4">
      <w:start w:val="1"/>
      <w:numFmt w:val="bullet"/>
      <w:isLgl w:val="false"/>
      <w:suff w:val="tab"/>
      <w:lvlText w:val="o"/>
      <w:lvlJc w:val="left"/>
      <w:pPr>
        <w:pStyle w:val="664"/>
        <w:ind w:left="3600" w:hanging="360"/>
      </w:pPr>
      <w:rPr>
        <w:rFonts w:ascii="Courier New" w:hAnsi="Courier New" w:eastAsia="Courier New" w:cs="Courier New"/>
      </w:rPr>
    </w:lvl>
    <w:lvl w:ilvl="5">
      <w:start w:val="1"/>
      <w:numFmt w:val="bullet"/>
      <w:isLgl w:val="false"/>
      <w:suff w:val="tab"/>
      <w:lvlText w:val="§"/>
      <w:lvlJc w:val="left"/>
      <w:pPr>
        <w:pStyle w:val="664"/>
        <w:ind w:left="4320" w:hanging="360"/>
      </w:pPr>
      <w:rPr>
        <w:rFonts w:ascii="Wingdings" w:hAnsi="Wingdings" w:eastAsia="Wingdings" w:cs="Wingdings"/>
      </w:rPr>
    </w:lvl>
    <w:lvl w:ilvl="6">
      <w:start w:val="1"/>
      <w:numFmt w:val="bullet"/>
      <w:isLgl w:val="false"/>
      <w:suff w:val="tab"/>
      <w:lvlText w:val="·"/>
      <w:lvlJc w:val="left"/>
      <w:pPr>
        <w:pStyle w:val="664"/>
        <w:ind w:left="5040" w:hanging="360"/>
      </w:pPr>
      <w:rPr>
        <w:rFonts w:ascii="Symbol" w:hAnsi="Symbol" w:eastAsia="Symbol" w:cs="Symbol"/>
      </w:rPr>
    </w:lvl>
    <w:lvl w:ilvl="7">
      <w:start w:val="1"/>
      <w:numFmt w:val="bullet"/>
      <w:isLgl w:val="false"/>
      <w:suff w:val="tab"/>
      <w:lvlText w:val="o"/>
      <w:lvlJc w:val="left"/>
      <w:pPr>
        <w:pStyle w:val="664"/>
        <w:ind w:left="5760" w:hanging="360"/>
      </w:pPr>
      <w:rPr>
        <w:rFonts w:ascii="Courier New" w:hAnsi="Courier New" w:eastAsia="Courier New" w:cs="Courier New"/>
      </w:rPr>
    </w:lvl>
    <w:lvl w:ilvl="8">
      <w:start w:val="1"/>
      <w:numFmt w:val="bullet"/>
      <w:isLgl w:val="false"/>
      <w:suff w:val="tab"/>
      <w:lvlText w:val="§"/>
      <w:lvlJc w:val="left"/>
      <w:pPr>
        <w:pStyle w:val="664"/>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664"/>
        <w:ind w:left="425" w:hanging="425"/>
      </w:pPr>
    </w:lvl>
    <w:lvl w:ilvl="1">
      <w:start w:val="1"/>
      <w:numFmt w:val="decimal"/>
      <w:isLgl w:val="false"/>
      <w:suff w:val="tab"/>
      <w:lvlText w:val="%1.%2."/>
      <w:lvlJc w:val="left"/>
      <w:pPr>
        <w:pStyle w:val="664"/>
        <w:ind w:left="850" w:hanging="453"/>
      </w:pPr>
    </w:lvl>
    <w:lvl w:ilvl="2">
      <w:start w:val="1"/>
      <w:numFmt w:val="decimal"/>
      <w:isLgl w:val="false"/>
      <w:suff w:val="tab"/>
      <w:lvlText w:val="%1.%2.%3."/>
      <w:lvlJc w:val="left"/>
      <w:pPr>
        <w:pStyle w:val="664"/>
        <w:ind w:left="1508" w:hanging="708"/>
      </w:pPr>
    </w:lvl>
    <w:lvl w:ilvl="3">
      <w:start w:val="1"/>
      <w:numFmt w:val="decimal"/>
      <w:isLgl w:val="false"/>
      <w:suff w:val="tab"/>
      <w:lvlText w:val="%1.%2.%3.%4."/>
      <w:lvlJc w:val="left"/>
      <w:pPr>
        <w:pStyle w:val="664"/>
        <w:ind w:left="2053" w:hanging="853"/>
      </w:pPr>
    </w:lvl>
    <w:lvl w:ilvl="4">
      <w:start w:val="1"/>
      <w:numFmt w:val="decimal"/>
      <w:isLgl w:val="false"/>
      <w:suff w:val="tab"/>
      <w:lvlText w:val="%1.%2.%3.%4.%5."/>
      <w:lvlJc w:val="left"/>
      <w:pPr>
        <w:pStyle w:val="664"/>
        <w:ind w:left="2495" w:hanging="895"/>
      </w:pPr>
    </w:lvl>
    <w:lvl w:ilvl="5">
      <w:start w:val="1"/>
      <w:numFmt w:val="decimal"/>
      <w:isLgl w:val="false"/>
      <w:suff w:val="tab"/>
      <w:lvlText w:val="%1.%2.%3.%4.%5.%6."/>
      <w:lvlJc w:val="left"/>
      <w:pPr>
        <w:pStyle w:val="664"/>
        <w:ind w:left="3136" w:hanging="1136"/>
      </w:pPr>
    </w:lvl>
    <w:lvl w:ilvl="6">
      <w:start w:val="1"/>
      <w:numFmt w:val="decimal"/>
      <w:isLgl w:val="false"/>
      <w:suff w:val="tab"/>
      <w:lvlText w:val="%1.%2.%3.%4.%5.%6.%7."/>
      <w:lvlJc w:val="left"/>
      <w:pPr>
        <w:pStyle w:val="664"/>
        <w:ind w:left="3673" w:hanging="1273"/>
      </w:pPr>
    </w:lvl>
    <w:lvl w:ilvl="7">
      <w:start w:val="1"/>
      <w:numFmt w:val="decimal"/>
      <w:isLgl w:val="false"/>
      <w:suff w:val="tab"/>
      <w:lvlText w:val="%1.%2.%3.%4.%5.%6.%7.%8."/>
      <w:lvlJc w:val="left"/>
      <w:pPr>
        <w:pStyle w:val="664"/>
        <w:ind w:left="4218" w:hanging="1418"/>
      </w:pPr>
    </w:lvl>
    <w:lvl w:ilvl="8">
      <w:start w:val="1"/>
      <w:numFmt w:val="decimal"/>
      <w:isLgl w:val="false"/>
      <w:suff w:val="tab"/>
      <w:lvlText w:val="%1.%2.%3.%4.%5.%6.%7.%8.%9."/>
      <w:lvlJc w:val="left"/>
      <w:pPr>
        <w:pStyle w:val="664"/>
        <w:ind w:left="4648" w:hanging="1448"/>
      </w:pPr>
    </w:lvl>
  </w:abstractNum>
  <w:abstractNum w:abstractNumId="7">
    <w:multiLevelType w:val="hybridMultilevel"/>
    <w:lvl w:ilvl="0">
      <w:start w:val="1"/>
      <w:numFmt w:val="decimal"/>
      <w:isLgl w:val="false"/>
      <w:suff w:val="tab"/>
      <w:lvlText w:val="%1."/>
      <w:lvlJc w:val="left"/>
      <w:pPr>
        <w:pStyle w:val="664"/>
        <w:ind w:left="425" w:hanging="425"/>
      </w:pPr>
    </w:lvl>
    <w:lvl w:ilvl="1">
      <w:start w:val="1"/>
      <w:numFmt w:val="decimal"/>
      <w:isLgl w:val="false"/>
      <w:suff w:val="tab"/>
      <w:lvlText w:val="%1.%2."/>
      <w:lvlJc w:val="left"/>
      <w:pPr>
        <w:pStyle w:val="664"/>
        <w:ind w:left="850" w:hanging="453"/>
      </w:pPr>
    </w:lvl>
    <w:lvl w:ilvl="2">
      <w:start w:val="1"/>
      <w:numFmt w:val="decimal"/>
      <w:isLgl w:val="false"/>
      <w:suff w:val="tab"/>
      <w:lvlText w:val="%1.%2.%3."/>
      <w:lvlJc w:val="left"/>
      <w:pPr>
        <w:pStyle w:val="664"/>
        <w:ind w:left="1508" w:hanging="708"/>
      </w:pPr>
    </w:lvl>
    <w:lvl w:ilvl="3">
      <w:start w:val="1"/>
      <w:numFmt w:val="decimal"/>
      <w:isLgl w:val="false"/>
      <w:suff w:val="tab"/>
      <w:lvlText w:val="%1.%2.%3.%4."/>
      <w:lvlJc w:val="left"/>
      <w:pPr>
        <w:pStyle w:val="664"/>
        <w:ind w:left="2053" w:hanging="853"/>
      </w:pPr>
    </w:lvl>
    <w:lvl w:ilvl="4">
      <w:start w:val="1"/>
      <w:numFmt w:val="decimal"/>
      <w:isLgl w:val="false"/>
      <w:suff w:val="tab"/>
      <w:lvlText w:val="%1.%2.%3.%4.%5."/>
      <w:lvlJc w:val="left"/>
      <w:pPr>
        <w:pStyle w:val="664"/>
        <w:ind w:left="2495" w:hanging="895"/>
      </w:pPr>
    </w:lvl>
    <w:lvl w:ilvl="5">
      <w:start w:val="1"/>
      <w:numFmt w:val="decimal"/>
      <w:isLgl w:val="false"/>
      <w:suff w:val="tab"/>
      <w:lvlText w:val="%1.%2.%3.%4.%5.%6."/>
      <w:lvlJc w:val="left"/>
      <w:pPr>
        <w:pStyle w:val="664"/>
        <w:ind w:left="3136" w:hanging="1136"/>
      </w:pPr>
    </w:lvl>
    <w:lvl w:ilvl="6">
      <w:start w:val="1"/>
      <w:numFmt w:val="decimal"/>
      <w:isLgl w:val="false"/>
      <w:suff w:val="tab"/>
      <w:lvlText w:val="%1.%2.%3.%4.%5.%6.%7."/>
      <w:lvlJc w:val="left"/>
      <w:pPr>
        <w:pStyle w:val="664"/>
        <w:ind w:left="3673" w:hanging="1273"/>
      </w:pPr>
    </w:lvl>
    <w:lvl w:ilvl="7">
      <w:start w:val="1"/>
      <w:numFmt w:val="decimal"/>
      <w:isLgl w:val="false"/>
      <w:suff w:val="tab"/>
      <w:lvlText w:val="%1.%2.%3.%4.%5.%6.%7.%8."/>
      <w:lvlJc w:val="left"/>
      <w:pPr>
        <w:pStyle w:val="664"/>
        <w:ind w:left="4218" w:hanging="1418"/>
      </w:pPr>
    </w:lvl>
    <w:lvl w:ilvl="8">
      <w:start w:val="1"/>
      <w:numFmt w:val="decimal"/>
      <w:isLgl w:val="false"/>
      <w:suff w:val="tab"/>
      <w:lvlText w:val="%1.%2.%3.%4.%5.%6.%7.%8.%9."/>
      <w:lvlJc w:val="left"/>
      <w:pPr>
        <w:pStyle w:val="664"/>
        <w:ind w:left="4648" w:hanging="1448"/>
      </w:pPr>
    </w:lvl>
  </w:abstractNum>
  <w:abstractNum w:abstractNumId="8">
    <w:multiLevelType w:val="hybridMultilevel"/>
    <w:lvl w:ilvl="0">
      <w:start w:val="1"/>
      <w:numFmt w:val="chineseCountingThousand"/>
      <w:isLgl w:val="false"/>
      <w:suff w:val="nothing"/>
      <w:lvlText w:val="第%1章 "/>
      <w:lvlJc w:val="left"/>
      <w:pPr>
        <w:pStyle w:val="664"/>
        <w:ind w:left="0" w:firstLine="0"/>
      </w:pPr>
      <w:rPr>
        <w:rFonts w:hint="eastAsia"/>
      </w:rPr>
    </w:lvl>
    <w:lvl w:ilvl="1">
      <w:start w:val="1"/>
      <w:numFmt w:val="decimal"/>
      <w:isLgl w:val="false"/>
      <w:suff w:val="nothing"/>
      <w:lvlText w:val="%2、"/>
      <w:lvlJc w:val="left"/>
      <w:pPr>
        <w:pStyle w:val="664"/>
        <w:ind w:left="0" w:firstLine="0"/>
      </w:pPr>
      <w:rPr>
        <w:rFonts w:hint="eastAsia"/>
      </w:rPr>
    </w:lvl>
    <w:lvl w:ilvl="2">
      <w:start w:val="1"/>
      <w:numFmt w:val="decimal"/>
      <w:isLgl w:val="false"/>
      <w:suff w:val="nothing"/>
      <w:lvlText w:val="%2.%3 "/>
      <w:lvlJc w:val="left"/>
      <w:pPr>
        <w:pStyle w:val="664"/>
        <w:ind w:left="0" w:firstLine="0"/>
      </w:pPr>
      <w:rPr>
        <w:rFonts w:hint="eastAsia"/>
      </w:rPr>
    </w:lvl>
    <w:lvl w:ilvl="3">
      <w:start w:val="1"/>
      <w:numFmt w:val="decimal"/>
      <w:isLgl w:val="false"/>
      <w:suff w:val="nothing"/>
      <w:lvlText w:val="%2.%3.%4 "/>
      <w:lvlJc w:val="left"/>
      <w:pPr>
        <w:pStyle w:val="664"/>
        <w:ind w:left="0" w:firstLine="0"/>
      </w:pPr>
      <w:rPr>
        <w:rFonts w:hint="eastAsia"/>
      </w:rPr>
    </w:lvl>
    <w:lvl w:ilvl="4">
      <w:start w:val="1"/>
      <w:numFmt w:val="decimal"/>
      <w:isLgl w:val="false"/>
      <w:suff w:val="nothing"/>
      <w:lvlText w:val="%2.%3.%4.%5 "/>
      <w:lvlJc w:val="left"/>
      <w:pPr>
        <w:pStyle w:val="664"/>
        <w:ind w:left="0" w:firstLine="0"/>
      </w:pPr>
      <w:rPr>
        <w:rFonts w:hint="eastAsia"/>
      </w:rPr>
    </w:lvl>
    <w:lvl w:ilvl="5">
      <w:start w:val="1"/>
      <w:numFmt w:val="decimal"/>
      <w:pStyle w:val="861"/>
      <w:isLgl w:val="false"/>
      <w:suff w:val="nothing"/>
      <w:lvlText w:val=""/>
      <w:lvlJc w:val="left"/>
      <w:pPr>
        <w:pStyle w:val="664"/>
        <w:ind w:left="0" w:firstLine="0"/>
      </w:pPr>
      <w:rPr>
        <w:rFonts w:hint="eastAsia"/>
      </w:rPr>
    </w:lvl>
    <w:lvl w:ilvl="6">
      <w:start w:val="1"/>
      <w:numFmt w:val="decimal"/>
      <w:pStyle w:val="863"/>
      <w:isLgl w:val="false"/>
      <w:suff w:val="nothing"/>
      <w:lvlText w:val=""/>
      <w:lvlJc w:val="left"/>
      <w:pPr>
        <w:pStyle w:val="664"/>
        <w:ind w:left="0" w:firstLine="0"/>
      </w:pPr>
      <w:rPr>
        <w:rFonts w:hint="eastAsia"/>
      </w:rPr>
    </w:lvl>
    <w:lvl w:ilvl="7">
      <w:start w:val="1"/>
      <w:numFmt w:val="decimal"/>
      <w:pStyle w:val="865"/>
      <w:isLgl w:val="false"/>
      <w:suff w:val="nothing"/>
      <w:lvlText w:val=""/>
      <w:lvlJc w:val="left"/>
      <w:pPr>
        <w:pStyle w:val="664"/>
        <w:ind w:left="0" w:firstLine="0"/>
      </w:pPr>
      <w:rPr>
        <w:rFonts w:hint="eastAsia"/>
      </w:rPr>
    </w:lvl>
    <w:lvl w:ilvl="8">
      <w:start w:val="1"/>
      <w:numFmt w:val="decimal"/>
      <w:pStyle w:val="867"/>
      <w:isLgl w:val="false"/>
      <w:suff w:val="nothing"/>
      <w:lvlText w:val=""/>
      <w:lvlJc w:val="left"/>
      <w:pPr>
        <w:pStyle w:val="664"/>
        <w:ind w:left="0" w:firstLine="0"/>
      </w:pPr>
      <w:rPr>
        <w:rFonts w:hint="eastAsia"/>
      </w:rPr>
    </w:lvl>
  </w:abstractNum>
  <w:num w:numId="1">
    <w:abstractNumId w:val="8"/>
  </w:num>
  <w:num w:numId="2">
    <w:abstractNumId w:val="5"/>
  </w:num>
  <w:num w:numId="3">
    <w:abstractNumId w:val="1"/>
  </w:num>
  <w:num w:numId="4">
    <w:abstractNumId w:val="3"/>
  </w:num>
  <w:num w:numId="5">
    <w:abstractNumId w:val="4"/>
  </w:num>
  <w:num w:numId="6">
    <w:abstractNumId w:val="0"/>
  </w:num>
  <w:num w:numId="7">
    <w:abstractNumId w:val="7"/>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718"/>
    <w:uiPriority w:val="29"/>
    <w:rPr>
      <w:i/>
    </w:rPr>
  </w:style>
  <w:style w:type="character" w:styleId="40">
    <w:name w:val="Intense Quote Char"/>
    <w:link w:val="720"/>
    <w:uiPriority w:val="30"/>
    <w:rPr>
      <w:i/>
    </w:rPr>
  </w:style>
  <w:style w:type="paragraph" w:styleId="41">
    <w:name w:val="Header"/>
    <w:basedOn w:val="6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4"/>
    <w:link w:val="46"/>
    <w:uiPriority w:val="99"/>
    <w:unhideWhenUsed/>
    <w:pPr>
      <w:spacing w:after="0" w:line="240" w:lineRule="auto"/>
      <w:tabs>
        <w:tab w:val="center" w:pos="7143" w:leader="none"/>
        <w:tab w:val="right" w:pos="14287" w:leader="none"/>
      </w:tabs>
    </w:pPr>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64"/>
    <w:link w:val="664"/>
    <w:qFormat/>
    <w:pPr>
      <w:jc w:val="both"/>
      <w:widowControl w:val="off"/>
    </w:pPr>
    <w:rPr>
      <w:rFonts w:ascii="Times New Roman" w:hAnsi="Times New Roman" w:eastAsia="宋体" w:cs="Times New Roman"/>
      <w:sz w:val="21"/>
      <w:szCs w:val="22"/>
      <w:lang w:val="en-US" w:eastAsia="zh-CN" w:bidi="ar-SA"/>
    </w:rPr>
  </w:style>
  <w:style w:type="paragraph" w:styleId="665">
    <w:name w:val="标题 1"/>
    <w:basedOn w:val="664"/>
    <w:next w:val="664"/>
    <w:link w:val="676"/>
    <w:uiPriority w:val="9"/>
    <w:qFormat/>
    <w:pPr>
      <w:keepLines/>
      <w:keepNext/>
      <w:spacing w:before="480" w:after="200"/>
      <w:outlineLvl w:val="0"/>
    </w:pPr>
    <w:rPr>
      <w:rFonts w:ascii="Arial" w:hAnsi="Arial" w:eastAsia="Arial" w:cs="Arial"/>
      <w:sz w:val="40"/>
      <w:szCs w:val="40"/>
    </w:rPr>
  </w:style>
  <w:style w:type="paragraph" w:styleId="666">
    <w:name w:val="标题 2"/>
    <w:basedOn w:val="664"/>
    <w:next w:val="664"/>
    <w:link w:val="677"/>
    <w:uiPriority w:val="9"/>
    <w:unhideWhenUsed/>
    <w:qFormat/>
    <w:pPr>
      <w:keepLines/>
      <w:keepNext/>
      <w:spacing w:before="360" w:after="200"/>
      <w:outlineLvl w:val="1"/>
    </w:pPr>
    <w:rPr>
      <w:rFonts w:ascii="Arial" w:hAnsi="Arial" w:eastAsia="Arial" w:cs="Arial"/>
      <w:sz w:val="34"/>
    </w:rPr>
  </w:style>
  <w:style w:type="paragraph" w:styleId="667">
    <w:name w:val="标题 3"/>
    <w:basedOn w:val="664"/>
    <w:next w:val="664"/>
    <w:link w:val="678"/>
    <w:uiPriority w:val="9"/>
    <w:unhideWhenUsed/>
    <w:qFormat/>
    <w:pPr>
      <w:keepLines/>
      <w:keepNext/>
      <w:spacing w:before="320" w:after="200"/>
      <w:outlineLvl w:val="2"/>
    </w:pPr>
    <w:rPr>
      <w:rFonts w:ascii="Arial" w:hAnsi="Arial" w:eastAsia="Arial" w:cs="Arial"/>
      <w:sz w:val="30"/>
      <w:szCs w:val="30"/>
    </w:rPr>
  </w:style>
  <w:style w:type="paragraph" w:styleId="668">
    <w:name w:val="标题 4"/>
    <w:basedOn w:val="664"/>
    <w:next w:val="664"/>
    <w:link w:val="679"/>
    <w:uiPriority w:val="9"/>
    <w:unhideWhenUsed/>
    <w:qFormat/>
    <w:pPr>
      <w:keepLines/>
      <w:keepNext/>
      <w:spacing w:before="320" w:after="200"/>
      <w:outlineLvl w:val="3"/>
    </w:pPr>
    <w:rPr>
      <w:rFonts w:ascii="Arial" w:hAnsi="Arial" w:eastAsia="Arial" w:cs="Arial"/>
      <w:b/>
      <w:bCs/>
      <w:sz w:val="26"/>
      <w:szCs w:val="26"/>
    </w:rPr>
  </w:style>
  <w:style w:type="paragraph" w:styleId="669">
    <w:name w:val="标题 5"/>
    <w:basedOn w:val="664"/>
    <w:next w:val="664"/>
    <w:link w:val="680"/>
    <w:uiPriority w:val="9"/>
    <w:unhideWhenUsed/>
    <w:qFormat/>
    <w:pPr>
      <w:keepLines/>
      <w:keepNext/>
      <w:spacing w:before="320" w:after="200"/>
      <w:outlineLvl w:val="4"/>
    </w:pPr>
    <w:rPr>
      <w:rFonts w:ascii="Arial" w:hAnsi="Arial" w:eastAsia="Arial" w:cs="Arial"/>
      <w:b/>
      <w:bCs/>
      <w:sz w:val="24"/>
      <w:szCs w:val="24"/>
    </w:rPr>
  </w:style>
  <w:style w:type="paragraph" w:styleId="670">
    <w:name w:val="标题 6"/>
    <w:basedOn w:val="664"/>
    <w:next w:val="664"/>
    <w:link w:val="681"/>
    <w:uiPriority w:val="9"/>
    <w:unhideWhenUsed/>
    <w:qFormat/>
    <w:pPr>
      <w:keepLines/>
      <w:keepNext/>
      <w:spacing w:before="320" w:after="200"/>
      <w:outlineLvl w:val="5"/>
    </w:pPr>
    <w:rPr>
      <w:rFonts w:ascii="Arial" w:hAnsi="Arial" w:eastAsia="Arial" w:cs="Arial"/>
      <w:b/>
      <w:bCs/>
      <w:sz w:val="22"/>
    </w:rPr>
  </w:style>
  <w:style w:type="paragraph" w:styleId="671">
    <w:name w:val="标题 7"/>
    <w:basedOn w:val="664"/>
    <w:next w:val="664"/>
    <w:link w:val="682"/>
    <w:uiPriority w:val="9"/>
    <w:unhideWhenUsed/>
    <w:qFormat/>
    <w:pPr>
      <w:keepLines/>
      <w:keepNext/>
      <w:spacing w:before="320" w:after="200"/>
      <w:outlineLvl w:val="6"/>
    </w:pPr>
    <w:rPr>
      <w:rFonts w:ascii="Arial" w:hAnsi="Arial" w:eastAsia="Arial" w:cs="Arial"/>
      <w:b/>
      <w:bCs/>
      <w:i/>
      <w:iCs/>
      <w:sz w:val="22"/>
    </w:rPr>
  </w:style>
  <w:style w:type="paragraph" w:styleId="672">
    <w:name w:val="标题 8"/>
    <w:basedOn w:val="664"/>
    <w:next w:val="664"/>
    <w:link w:val="683"/>
    <w:uiPriority w:val="9"/>
    <w:unhideWhenUsed/>
    <w:qFormat/>
    <w:pPr>
      <w:keepLines/>
      <w:keepNext/>
      <w:spacing w:before="320" w:after="200"/>
      <w:outlineLvl w:val="7"/>
    </w:pPr>
    <w:rPr>
      <w:rFonts w:ascii="Arial" w:hAnsi="Arial" w:eastAsia="Arial" w:cs="Arial"/>
      <w:i/>
      <w:iCs/>
      <w:sz w:val="22"/>
    </w:rPr>
  </w:style>
  <w:style w:type="paragraph" w:styleId="673">
    <w:name w:val="标题 9"/>
    <w:basedOn w:val="664"/>
    <w:next w:val="664"/>
    <w:link w:val="684"/>
    <w:uiPriority w:val="9"/>
    <w:unhideWhenUsed/>
    <w:qFormat/>
    <w:pPr>
      <w:keepLines/>
      <w:keepNext/>
      <w:spacing w:before="320" w:after="200"/>
      <w:outlineLvl w:val="8"/>
    </w:pPr>
    <w:rPr>
      <w:rFonts w:ascii="Arial" w:hAnsi="Arial" w:eastAsia="Arial" w:cs="Arial"/>
      <w:i/>
      <w:iCs/>
      <w:szCs w:val="21"/>
    </w:rPr>
  </w:style>
  <w:style w:type="character" w:styleId="674">
    <w:name w:val="默认段落字体"/>
    <w:next w:val="674"/>
    <w:link w:val="664"/>
    <w:uiPriority w:val="1"/>
    <w:unhideWhenUsed/>
  </w:style>
  <w:style w:type="table" w:styleId="675">
    <w:name w:val="普通表格"/>
    <w:next w:val="675"/>
    <w:link w:val="664"/>
    <w:uiPriority w:val="99"/>
    <w:unhideWhenUsed/>
    <w:tblPr/>
  </w:style>
  <w:style w:type="character" w:styleId="676">
    <w:name w:val="标题 1 Char1"/>
    <w:next w:val="676"/>
    <w:link w:val="665"/>
    <w:uiPriority w:val="9"/>
    <w:rPr>
      <w:rFonts w:ascii="Arial" w:hAnsi="Arial" w:eastAsia="Arial" w:cs="Arial"/>
      <w:sz w:val="40"/>
      <w:szCs w:val="40"/>
    </w:rPr>
  </w:style>
  <w:style w:type="character" w:styleId="677">
    <w:name w:val="标题 2 Char1"/>
    <w:next w:val="677"/>
    <w:link w:val="666"/>
    <w:uiPriority w:val="9"/>
    <w:rPr>
      <w:rFonts w:ascii="Arial" w:hAnsi="Arial" w:eastAsia="Arial" w:cs="Arial"/>
      <w:sz w:val="34"/>
    </w:rPr>
  </w:style>
  <w:style w:type="character" w:styleId="678">
    <w:name w:val="标题 3 Char1"/>
    <w:next w:val="678"/>
    <w:link w:val="667"/>
    <w:uiPriority w:val="9"/>
    <w:rPr>
      <w:rFonts w:ascii="Arial" w:hAnsi="Arial" w:eastAsia="Arial" w:cs="Arial"/>
      <w:sz w:val="30"/>
      <w:szCs w:val="30"/>
    </w:rPr>
  </w:style>
  <w:style w:type="character" w:styleId="679">
    <w:name w:val="标题 4 Char1"/>
    <w:next w:val="679"/>
    <w:link w:val="668"/>
    <w:uiPriority w:val="9"/>
    <w:rPr>
      <w:rFonts w:ascii="Arial" w:hAnsi="Arial" w:eastAsia="Arial" w:cs="Arial"/>
      <w:b/>
      <w:bCs/>
      <w:sz w:val="26"/>
      <w:szCs w:val="26"/>
    </w:rPr>
  </w:style>
  <w:style w:type="character" w:styleId="680">
    <w:name w:val="标题 5 Char1"/>
    <w:next w:val="680"/>
    <w:link w:val="669"/>
    <w:uiPriority w:val="9"/>
    <w:rPr>
      <w:rFonts w:ascii="Arial" w:hAnsi="Arial" w:eastAsia="Arial" w:cs="Arial"/>
      <w:b/>
      <w:bCs/>
      <w:sz w:val="24"/>
      <w:szCs w:val="24"/>
    </w:rPr>
  </w:style>
  <w:style w:type="character" w:styleId="681">
    <w:name w:val="标题 6 Char1"/>
    <w:next w:val="681"/>
    <w:link w:val="670"/>
    <w:uiPriority w:val="9"/>
    <w:rPr>
      <w:rFonts w:ascii="Arial" w:hAnsi="Arial" w:eastAsia="Arial" w:cs="Arial"/>
      <w:b/>
      <w:bCs/>
      <w:sz w:val="22"/>
      <w:szCs w:val="22"/>
    </w:rPr>
  </w:style>
  <w:style w:type="character" w:styleId="682">
    <w:name w:val="标题 7 Char1"/>
    <w:next w:val="682"/>
    <w:link w:val="671"/>
    <w:uiPriority w:val="9"/>
    <w:rPr>
      <w:rFonts w:ascii="Arial" w:hAnsi="Arial" w:eastAsia="Arial" w:cs="Arial"/>
      <w:b/>
      <w:bCs/>
      <w:i/>
      <w:iCs/>
      <w:sz w:val="22"/>
      <w:szCs w:val="22"/>
    </w:rPr>
  </w:style>
  <w:style w:type="character" w:styleId="683">
    <w:name w:val="标题 8 Char1"/>
    <w:next w:val="683"/>
    <w:link w:val="672"/>
    <w:uiPriority w:val="9"/>
    <w:rPr>
      <w:rFonts w:ascii="Arial" w:hAnsi="Arial" w:eastAsia="Arial" w:cs="Arial"/>
      <w:i/>
      <w:iCs/>
      <w:sz w:val="22"/>
      <w:szCs w:val="22"/>
    </w:rPr>
  </w:style>
  <w:style w:type="character" w:styleId="684">
    <w:name w:val="标题 9 Char1"/>
    <w:next w:val="684"/>
    <w:link w:val="673"/>
    <w:uiPriority w:val="9"/>
    <w:rPr>
      <w:rFonts w:ascii="Arial" w:hAnsi="Arial" w:eastAsia="Arial" w:cs="Arial"/>
      <w:i/>
      <w:iCs/>
      <w:sz w:val="21"/>
      <w:szCs w:val="21"/>
    </w:rPr>
  </w:style>
  <w:style w:type="paragraph" w:styleId="685">
    <w:name w:val="目录 7"/>
    <w:basedOn w:val="664"/>
    <w:next w:val="664"/>
    <w:link w:val="664"/>
    <w:uiPriority w:val="39"/>
    <w:unhideWhenUsed/>
    <w:qFormat/>
    <w:pPr>
      <w:ind w:left="1701"/>
      <w:spacing w:after="57"/>
    </w:pPr>
  </w:style>
  <w:style w:type="paragraph" w:styleId="686">
    <w:name w:val="题注"/>
    <w:basedOn w:val="664"/>
    <w:next w:val="664"/>
    <w:link w:val="664"/>
    <w:uiPriority w:val="35"/>
    <w:unhideWhenUsed/>
    <w:qFormat/>
    <w:pPr>
      <w:spacing w:line="276" w:lineRule="auto"/>
    </w:pPr>
    <w:rPr>
      <w:b/>
      <w:bCs/>
      <w:color w:val="4f81bd"/>
      <w:sz w:val="18"/>
      <w:szCs w:val="18"/>
    </w:rPr>
  </w:style>
  <w:style w:type="paragraph" w:styleId="687">
    <w:name w:val="正文文本"/>
    <w:basedOn w:val="664"/>
    <w:next w:val="687"/>
    <w:link w:val="664"/>
    <w:semiHidden/>
    <w:qFormat/>
    <w:rPr>
      <w:rFonts w:ascii="仿宋" w:hAnsi="仿宋" w:eastAsia="仿宋" w:cs="仿宋"/>
      <w:sz w:val="24"/>
      <w:szCs w:val="24"/>
      <w:lang w:eastAsia="en-US"/>
    </w:rPr>
  </w:style>
  <w:style w:type="paragraph" w:styleId="688">
    <w:name w:val="目录 5"/>
    <w:basedOn w:val="664"/>
    <w:next w:val="664"/>
    <w:link w:val="664"/>
    <w:uiPriority w:val="39"/>
    <w:unhideWhenUsed/>
    <w:qFormat/>
    <w:pPr>
      <w:ind w:left="1134"/>
      <w:spacing w:after="57"/>
    </w:pPr>
  </w:style>
  <w:style w:type="paragraph" w:styleId="689">
    <w:name w:val="目录 3"/>
    <w:basedOn w:val="664"/>
    <w:next w:val="664"/>
    <w:link w:val="664"/>
    <w:uiPriority w:val="39"/>
    <w:unhideWhenUsed/>
    <w:qFormat/>
    <w:pPr>
      <w:ind w:left="567"/>
      <w:spacing w:after="57"/>
    </w:pPr>
  </w:style>
  <w:style w:type="paragraph" w:styleId="690">
    <w:name w:val="目录 8"/>
    <w:basedOn w:val="664"/>
    <w:next w:val="664"/>
    <w:link w:val="664"/>
    <w:uiPriority w:val="39"/>
    <w:unhideWhenUsed/>
    <w:qFormat/>
    <w:pPr>
      <w:ind w:left="1984"/>
      <w:spacing w:after="57"/>
    </w:pPr>
  </w:style>
  <w:style w:type="paragraph" w:styleId="691">
    <w:name w:val="尾注文本"/>
    <w:basedOn w:val="664"/>
    <w:next w:val="691"/>
    <w:link w:val="692"/>
    <w:uiPriority w:val="99"/>
    <w:unhideWhenUsed/>
    <w:qFormat/>
    <w:rPr>
      <w:sz w:val="20"/>
    </w:rPr>
  </w:style>
  <w:style w:type="character" w:styleId="692">
    <w:name w:val="尾注文本 Char"/>
    <w:next w:val="692"/>
    <w:link w:val="691"/>
    <w:uiPriority w:val="99"/>
    <w:rPr>
      <w:sz w:val="20"/>
    </w:rPr>
  </w:style>
  <w:style w:type="paragraph" w:styleId="693">
    <w:name w:val="页脚"/>
    <w:basedOn w:val="664"/>
    <w:next w:val="693"/>
    <w:link w:val="694"/>
    <w:uiPriority w:val="99"/>
    <w:unhideWhenUsed/>
    <w:qFormat/>
    <w:pPr>
      <w:tabs>
        <w:tab w:val="center" w:pos="7143" w:leader="none"/>
        <w:tab w:val="right" w:pos="14287" w:leader="none"/>
      </w:tabs>
    </w:pPr>
  </w:style>
  <w:style w:type="character" w:styleId="694">
    <w:name w:val="页脚 Char1"/>
    <w:next w:val="694"/>
    <w:link w:val="693"/>
    <w:uiPriority w:val="99"/>
    <w:qFormat/>
  </w:style>
  <w:style w:type="paragraph" w:styleId="695">
    <w:name w:val="页眉"/>
    <w:basedOn w:val="664"/>
    <w:next w:val="695"/>
    <w:link w:val="696"/>
    <w:uiPriority w:val="99"/>
    <w:unhideWhenUsed/>
    <w:qFormat/>
    <w:pPr>
      <w:tabs>
        <w:tab w:val="center" w:pos="7143" w:leader="none"/>
        <w:tab w:val="right" w:pos="14287" w:leader="none"/>
      </w:tabs>
    </w:pPr>
  </w:style>
  <w:style w:type="character" w:styleId="696">
    <w:name w:val="页眉 Char1"/>
    <w:next w:val="696"/>
    <w:link w:val="695"/>
    <w:uiPriority w:val="99"/>
    <w:qFormat/>
  </w:style>
  <w:style w:type="paragraph" w:styleId="697">
    <w:name w:val="目录 1"/>
    <w:basedOn w:val="664"/>
    <w:next w:val="664"/>
    <w:link w:val="664"/>
    <w:uiPriority w:val="39"/>
    <w:unhideWhenUsed/>
    <w:qFormat/>
    <w:pPr>
      <w:spacing w:after="57"/>
    </w:pPr>
  </w:style>
  <w:style w:type="paragraph" w:styleId="698">
    <w:name w:val="目录 4"/>
    <w:basedOn w:val="664"/>
    <w:next w:val="664"/>
    <w:link w:val="664"/>
    <w:uiPriority w:val="39"/>
    <w:unhideWhenUsed/>
    <w:qFormat/>
    <w:pPr>
      <w:ind w:left="850"/>
      <w:spacing w:after="57"/>
    </w:pPr>
  </w:style>
  <w:style w:type="paragraph" w:styleId="699">
    <w:name w:val="副标题"/>
    <w:basedOn w:val="664"/>
    <w:next w:val="664"/>
    <w:link w:val="700"/>
    <w:uiPriority w:val="11"/>
    <w:qFormat/>
    <w:pPr>
      <w:spacing w:before="200" w:after="200"/>
    </w:pPr>
    <w:rPr>
      <w:sz w:val="24"/>
      <w:szCs w:val="24"/>
    </w:rPr>
  </w:style>
  <w:style w:type="character" w:styleId="700">
    <w:name w:val="副标题 Char"/>
    <w:next w:val="700"/>
    <w:link w:val="699"/>
    <w:uiPriority w:val="11"/>
    <w:qFormat/>
    <w:rPr>
      <w:sz w:val="24"/>
      <w:szCs w:val="24"/>
    </w:rPr>
  </w:style>
  <w:style w:type="paragraph" w:styleId="701">
    <w:name w:val="脚注文本"/>
    <w:basedOn w:val="664"/>
    <w:next w:val="701"/>
    <w:link w:val="702"/>
    <w:uiPriority w:val="99"/>
    <w:unhideWhenUsed/>
    <w:qFormat/>
    <w:pPr>
      <w:spacing w:after="40"/>
    </w:pPr>
    <w:rPr>
      <w:sz w:val="18"/>
    </w:rPr>
  </w:style>
  <w:style w:type="character" w:styleId="702">
    <w:name w:val="脚注文本 Char"/>
    <w:next w:val="702"/>
    <w:link w:val="701"/>
    <w:uiPriority w:val="99"/>
    <w:qFormat/>
    <w:rPr>
      <w:sz w:val="18"/>
    </w:rPr>
  </w:style>
  <w:style w:type="paragraph" w:styleId="703">
    <w:name w:val="目录 6"/>
    <w:basedOn w:val="664"/>
    <w:next w:val="664"/>
    <w:link w:val="664"/>
    <w:uiPriority w:val="39"/>
    <w:unhideWhenUsed/>
    <w:qFormat/>
    <w:pPr>
      <w:ind w:left="1417"/>
      <w:spacing w:after="57"/>
    </w:pPr>
  </w:style>
  <w:style w:type="paragraph" w:styleId="704">
    <w:name w:val="图表目录"/>
    <w:basedOn w:val="664"/>
    <w:next w:val="664"/>
    <w:link w:val="664"/>
    <w:uiPriority w:val="99"/>
    <w:unhideWhenUsed/>
    <w:qFormat/>
  </w:style>
  <w:style w:type="paragraph" w:styleId="705">
    <w:name w:val="目录 2"/>
    <w:basedOn w:val="664"/>
    <w:next w:val="664"/>
    <w:link w:val="664"/>
    <w:uiPriority w:val="39"/>
    <w:unhideWhenUsed/>
    <w:qFormat/>
    <w:pPr>
      <w:ind w:left="283"/>
      <w:spacing w:after="57"/>
    </w:pPr>
  </w:style>
  <w:style w:type="paragraph" w:styleId="706">
    <w:name w:val="目录 9"/>
    <w:basedOn w:val="664"/>
    <w:next w:val="664"/>
    <w:link w:val="664"/>
    <w:uiPriority w:val="39"/>
    <w:unhideWhenUsed/>
    <w:qFormat/>
    <w:pPr>
      <w:ind w:left="2268"/>
      <w:spacing w:after="57"/>
    </w:pPr>
  </w:style>
  <w:style w:type="paragraph" w:styleId="707">
    <w:name w:val="标题"/>
    <w:basedOn w:val="664"/>
    <w:next w:val="664"/>
    <w:link w:val="708"/>
    <w:uiPriority w:val="10"/>
    <w:qFormat/>
    <w:pPr>
      <w:contextualSpacing/>
      <w:spacing w:before="300" w:after="200"/>
    </w:pPr>
    <w:rPr>
      <w:sz w:val="48"/>
      <w:szCs w:val="48"/>
    </w:rPr>
  </w:style>
  <w:style w:type="character" w:styleId="708">
    <w:name w:val="标题 Char"/>
    <w:next w:val="708"/>
    <w:link w:val="707"/>
    <w:uiPriority w:val="10"/>
    <w:qFormat/>
    <w:rPr>
      <w:sz w:val="48"/>
      <w:szCs w:val="48"/>
    </w:rPr>
  </w:style>
  <w:style w:type="table" w:styleId="709">
    <w:name w:val="网格型"/>
    <w:next w:val="709"/>
    <w:link w:val="664"/>
    <w:uiPriority w:val="59"/>
    <w:qFormat/>
    <w:tblPr/>
  </w:style>
  <w:style w:type="character" w:styleId="710">
    <w:name w:val="尾注引用"/>
    <w:next w:val="710"/>
    <w:link w:val="664"/>
    <w:uiPriority w:val="99"/>
    <w:unhideWhenUsed/>
    <w:qFormat/>
    <w:rPr>
      <w:vertAlign w:val="superscript"/>
    </w:rPr>
  </w:style>
  <w:style w:type="character" w:styleId="711">
    <w:name w:val="超链接"/>
    <w:next w:val="711"/>
    <w:link w:val="664"/>
    <w:uiPriority w:val="99"/>
    <w:unhideWhenUsed/>
    <w:qFormat/>
    <w:rPr>
      <w:color w:val="0000ff"/>
      <w:u w:val="single"/>
    </w:rPr>
  </w:style>
  <w:style w:type="character" w:styleId="712">
    <w:name w:val="脚注引用"/>
    <w:next w:val="712"/>
    <w:link w:val="664"/>
    <w:uiPriority w:val="99"/>
    <w:unhideWhenUsed/>
    <w:qFormat/>
    <w:rPr>
      <w:vertAlign w:val="superscript"/>
    </w:rPr>
  </w:style>
  <w:style w:type="paragraph" w:styleId="713">
    <w:name w:val="正文首行缩进 21"/>
    <w:basedOn w:val="714"/>
    <w:next w:val="664"/>
    <w:link w:val="664"/>
    <w:qFormat/>
    <w:pPr>
      <w:ind w:left="0" w:firstLine="420"/>
      <w:spacing w:after="0" w:line="360" w:lineRule="auto"/>
    </w:pPr>
    <w:rPr>
      <w:rFonts w:ascii="宋体" w:hAnsi="宋体"/>
      <w:szCs w:val="20"/>
    </w:rPr>
  </w:style>
  <w:style w:type="paragraph" w:styleId="714">
    <w:name w:val="正文文本缩进11"/>
    <w:basedOn w:val="664"/>
    <w:next w:val="715"/>
    <w:link w:val="664"/>
    <w:unhideWhenUsed/>
    <w:qFormat/>
    <w:pPr>
      <w:ind w:left="420"/>
      <w:spacing w:after="120"/>
    </w:pPr>
  </w:style>
  <w:style w:type="paragraph" w:styleId="715">
    <w:name w:val="寄信人地址1"/>
    <w:basedOn w:val="664"/>
    <w:next w:val="715"/>
    <w:link w:val="664"/>
    <w:qFormat/>
    <w:rPr>
      <w:rFonts w:ascii="Arial" w:hAnsi="Arial" w:cs="宋体"/>
    </w:rPr>
  </w:style>
  <w:style w:type="paragraph" w:styleId="716">
    <w:name w:val="List Paragraph"/>
    <w:basedOn w:val="664"/>
    <w:next w:val="716"/>
    <w:link w:val="664"/>
    <w:uiPriority w:val="34"/>
    <w:qFormat/>
    <w:pPr>
      <w:contextualSpacing/>
      <w:ind w:left="720"/>
    </w:pPr>
  </w:style>
  <w:style w:type="paragraph" w:styleId="717">
    <w:name w:val="No Spacing"/>
    <w:next w:val="717"/>
    <w:link w:val="664"/>
    <w:uiPriority w:val="1"/>
    <w:qFormat/>
    <w:rPr>
      <w:rFonts w:ascii="Times New Roman" w:hAnsi="Times New Roman" w:eastAsia="宋体" w:cs="Times New Roman"/>
      <w:lang w:val="en-US" w:eastAsia="zh-CN" w:bidi="ar-SA"/>
    </w:rPr>
  </w:style>
  <w:style w:type="paragraph" w:styleId="718">
    <w:name w:val="Quote"/>
    <w:basedOn w:val="664"/>
    <w:next w:val="664"/>
    <w:link w:val="719"/>
    <w:uiPriority w:val="29"/>
    <w:qFormat/>
    <w:pPr>
      <w:ind w:left="720" w:right="720"/>
    </w:pPr>
    <w:rPr>
      <w:i/>
    </w:rPr>
  </w:style>
  <w:style w:type="character" w:styleId="719">
    <w:name w:val="引用 Char"/>
    <w:next w:val="719"/>
    <w:link w:val="718"/>
    <w:uiPriority w:val="29"/>
    <w:qFormat/>
    <w:rPr>
      <w:i/>
    </w:rPr>
  </w:style>
  <w:style w:type="paragraph" w:styleId="720">
    <w:name w:val="Intense Quote"/>
    <w:basedOn w:val="664"/>
    <w:next w:val="664"/>
    <w:link w:val="7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明显引用 Char"/>
    <w:next w:val="721"/>
    <w:link w:val="720"/>
    <w:uiPriority w:val="30"/>
    <w:qFormat/>
    <w:rPr>
      <w:i/>
    </w:rPr>
  </w:style>
  <w:style w:type="character" w:styleId="722">
    <w:name w:val="Footer Char"/>
    <w:next w:val="722"/>
    <w:link w:val="664"/>
    <w:uiPriority w:val="99"/>
    <w:qFormat/>
  </w:style>
  <w:style w:type="table" w:styleId="723">
    <w:name w:val="Table Grid Light"/>
    <w:next w:val="723"/>
    <w:link w:val="664"/>
    <w:uiPriority w:val="59"/>
    <w:qFormat/>
    <w:tblPr/>
  </w:style>
  <w:style w:type="table" w:styleId="724">
    <w:name w:val="Plain Table 1"/>
    <w:next w:val="724"/>
    <w:link w:val="664"/>
    <w:uiPriority w:val="59"/>
    <w:qFormat/>
    <w:tblPr/>
  </w:style>
  <w:style w:type="table" w:styleId="725">
    <w:name w:val="Plain Table 2"/>
    <w:next w:val="725"/>
    <w:link w:val="664"/>
    <w:uiPriority w:val="59"/>
    <w:qFormat/>
    <w:tblPr/>
  </w:style>
  <w:style w:type="table" w:styleId="726">
    <w:name w:val="Plain Table 3"/>
    <w:next w:val="726"/>
    <w:link w:val="664"/>
    <w:uiPriority w:val="99"/>
    <w:qFormat/>
    <w:tblPr/>
  </w:style>
  <w:style w:type="table" w:styleId="727">
    <w:name w:val="Plain Table 4"/>
    <w:next w:val="727"/>
    <w:link w:val="664"/>
    <w:uiPriority w:val="99"/>
    <w:qFormat/>
    <w:tblPr/>
  </w:style>
  <w:style w:type="table" w:styleId="728">
    <w:name w:val="Plain Table 5"/>
    <w:next w:val="728"/>
    <w:link w:val="664"/>
    <w:uiPriority w:val="99"/>
    <w:qFormat/>
    <w:tblPr/>
  </w:style>
  <w:style w:type="table" w:styleId="729">
    <w:name w:val="Grid Table 1 Light"/>
    <w:next w:val="729"/>
    <w:link w:val="664"/>
    <w:uiPriority w:val="99"/>
    <w:qFormat/>
    <w:tblPr/>
  </w:style>
  <w:style w:type="table" w:styleId="730">
    <w:name w:val="Grid Table 1 Light - Accent 1"/>
    <w:next w:val="730"/>
    <w:link w:val="664"/>
    <w:uiPriority w:val="99"/>
    <w:qFormat/>
    <w:tblPr/>
  </w:style>
  <w:style w:type="table" w:styleId="731">
    <w:name w:val="Grid Table 1 Light - Accent 2"/>
    <w:next w:val="731"/>
    <w:link w:val="664"/>
    <w:uiPriority w:val="99"/>
    <w:qFormat/>
    <w:tblPr/>
  </w:style>
  <w:style w:type="table" w:styleId="732">
    <w:name w:val="Grid Table 1 Light - Accent 3"/>
    <w:next w:val="732"/>
    <w:link w:val="664"/>
    <w:uiPriority w:val="99"/>
    <w:qFormat/>
    <w:tblPr/>
  </w:style>
  <w:style w:type="table" w:styleId="733">
    <w:name w:val="Grid Table 1 Light - Accent 4"/>
    <w:next w:val="733"/>
    <w:link w:val="664"/>
    <w:uiPriority w:val="99"/>
    <w:qFormat/>
    <w:tblPr/>
  </w:style>
  <w:style w:type="table" w:styleId="734">
    <w:name w:val="Grid Table 1 Light - Accent 5"/>
    <w:next w:val="734"/>
    <w:link w:val="664"/>
    <w:uiPriority w:val="99"/>
    <w:qFormat/>
    <w:tblPr/>
  </w:style>
  <w:style w:type="table" w:styleId="735">
    <w:name w:val="Grid Table 1 Light - Accent 6"/>
    <w:next w:val="735"/>
    <w:link w:val="664"/>
    <w:uiPriority w:val="99"/>
    <w:qFormat/>
    <w:tblPr/>
  </w:style>
  <w:style w:type="table" w:styleId="736">
    <w:name w:val="Grid Table 2"/>
    <w:next w:val="736"/>
    <w:link w:val="664"/>
    <w:uiPriority w:val="99"/>
    <w:tblPr/>
  </w:style>
  <w:style w:type="table" w:styleId="737">
    <w:name w:val="Grid Table 2 - Accent 1"/>
    <w:next w:val="737"/>
    <w:link w:val="664"/>
    <w:uiPriority w:val="99"/>
    <w:tblPr/>
  </w:style>
  <w:style w:type="table" w:styleId="738">
    <w:name w:val="Grid Table 2 - Accent 2"/>
    <w:next w:val="738"/>
    <w:link w:val="664"/>
    <w:uiPriority w:val="99"/>
    <w:qFormat/>
    <w:tblPr/>
  </w:style>
  <w:style w:type="table" w:styleId="739">
    <w:name w:val="Grid Table 2 - Accent 3"/>
    <w:next w:val="739"/>
    <w:link w:val="664"/>
    <w:uiPriority w:val="99"/>
    <w:qFormat/>
    <w:tblPr/>
  </w:style>
  <w:style w:type="table" w:styleId="740">
    <w:name w:val="Grid Table 2 - Accent 4"/>
    <w:next w:val="740"/>
    <w:link w:val="664"/>
    <w:uiPriority w:val="99"/>
    <w:qFormat/>
    <w:tblPr/>
  </w:style>
  <w:style w:type="table" w:styleId="741">
    <w:name w:val="Grid Table 2 - Accent 5"/>
    <w:next w:val="741"/>
    <w:link w:val="664"/>
    <w:uiPriority w:val="99"/>
    <w:qFormat/>
    <w:tblPr/>
  </w:style>
  <w:style w:type="table" w:styleId="742">
    <w:name w:val="Grid Table 2 - Accent 6"/>
    <w:next w:val="742"/>
    <w:link w:val="664"/>
    <w:uiPriority w:val="99"/>
    <w:tblPr/>
  </w:style>
  <w:style w:type="table" w:styleId="743">
    <w:name w:val="Grid Table 3"/>
    <w:next w:val="743"/>
    <w:link w:val="664"/>
    <w:uiPriority w:val="99"/>
    <w:qFormat/>
    <w:tblPr/>
  </w:style>
  <w:style w:type="table" w:styleId="744">
    <w:name w:val="Grid Table 3 - Accent 1"/>
    <w:next w:val="744"/>
    <w:link w:val="664"/>
    <w:uiPriority w:val="99"/>
    <w:qFormat/>
    <w:tblPr/>
  </w:style>
  <w:style w:type="table" w:styleId="745">
    <w:name w:val="Grid Table 3 - Accent 2"/>
    <w:next w:val="745"/>
    <w:link w:val="664"/>
    <w:uiPriority w:val="99"/>
    <w:tblPr/>
  </w:style>
  <w:style w:type="table" w:styleId="746">
    <w:name w:val="Grid Table 3 - Accent 3"/>
    <w:next w:val="746"/>
    <w:link w:val="664"/>
    <w:uiPriority w:val="99"/>
    <w:qFormat/>
    <w:tblPr/>
  </w:style>
  <w:style w:type="table" w:styleId="747">
    <w:name w:val="Grid Table 3 - Accent 4"/>
    <w:next w:val="747"/>
    <w:link w:val="664"/>
    <w:uiPriority w:val="99"/>
    <w:qFormat/>
    <w:tblPr/>
  </w:style>
  <w:style w:type="table" w:styleId="748">
    <w:name w:val="Grid Table 3 - Accent 5"/>
    <w:next w:val="748"/>
    <w:link w:val="664"/>
    <w:uiPriority w:val="99"/>
    <w:qFormat/>
    <w:tblPr/>
  </w:style>
  <w:style w:type="table" w:styleId="749">
    <w:name w:val="Grid Table 3 - Accent 6"/>
    <w:next w:val="749"/>
    <w:link w:val="664"/>
    <w:uiPriority w:val="99"/>
    <w:qFormat/>
    <w:tblPr/>
  </w:style>
  <w:style w:type="table" w:styleId="750">
    <w:name w:val="Grid Table 4"/>
    <w:next w:val="750"/>
    <w:link w:val="664"/>
    <w:uiPriority w:val="59"/>
    <w:tblPr/>
  </w:style>
  <w:style w:type="table" w:styleId="751">
    <w:name w:val="Grid Table 4 - Accent 1"/>
    <w:next w:val="751"/>
    <w:link w:val="664"/>
    <w:uiPriority w:val="59"/>
    <w:qFormat/>
    <w:tblPr/>
  </w:style>
  <w:style w:type="table" w:styleId="752">
    <w:name w:val="Grid Table 4 - Accent 2"/>
    <w:next w:val="752"/>
    <w:link w:val="664"/>
    <w:uiPriority w:val="59"/>
    <w:qFormat/>
    <w:tblPr/>
  </w:style>
  <w:style w:type="table" w:styleId="753">
    <w:name w:val="Grid Table 4 - Accent 3"/>
    <w:next w:val="753"/>
    <w:link w:val="664"/>
    <w:uiPriority w:val="59"/>
    <w:qFormat/>
    <w:tblPr/>
  </w:style>
  <w:style w:type="table" w:styleId="754">
    <w:name w:val="Grid Table 4 - Accent 4"/>
    <w:next w:val="754"/>
    <w:link w:val="664"/>
    <w:uiPriority w:val="59"/>
    <w:qFormat/>
    <w:tblPr/>
  </w:style>
  <w:style w:type="table" w:styleId="755">
    <w:name w:val="Grid Table 4 - Accent 5"/>
    <w:next w:val="755"/>
    <w:link w:val="664"/>
    <w:uiPriority w:val="59"/>
    <w:qFormat/>
    <w:tblPr/>
  </w:style>
  <w:style w:type="table" w:styleId="756">
    <w:name w:val="Grid Table 4 - Accent 6"/>
    <w:next w:val="756"/>
    <w:link w:val="664"/>
    <w:uiPriority w:val="59"/>
    <w:qFormat/>
    <w:tblPr/>
  </w:style>
  <w:style w:type="table" w:styleId="757">
    <w:name w:val="Grid Table 5 Dark"/>
    <w:next w:val="757"/>
    <w:link w:val="664"/>
    <w:uiPriority w:val="99"/>
    <w:qFormat/>
    <w:tblPr/>
  </w:style>
  <w:style w:type="table" w:styleId="758">
    <w:name w:val="Grid Table 5 Dark- Accent 1"/>
    <w:next w:val="758"/>
    <w:link w:val="664"/>
    <w:uiPriority w:val="99"/>
    <w:qFormat/>
    <w:tblPr/>
  </w:style>
  <w:style w:type="table" w:styleId="759">
    <w:name w:val="Grid Table 5 Dark - Accent 2"/>
    <w:next w:val="759"/>
    <w:link w:val="664"/>
    <w:uiPriority w:val="99"/>
    <w:qFormat/>
    <w:tblPr/>
  </w:style>
  <w:style w:type="table" w:styleId="760">
    <w:name w:val="Grid Table 5 Dark - Accent 3"/>
    <w:next w:val="760"/>
    <w:link w:val="664"/>
    <w:uiPriority w:val="99"/>
    <w:qFormat/>
    <w:tblPr/>
  </w:style>
  <w:style w:type="table" w:styleId="761">
    <w:name w:val="Grid Table 5 Dark- Accent 4"/>
    <w:next w:val="761"/>
    <w:link w:val="664"/>
    <w:uiPriority w:val="99"/>
    <w:tblPr/>
  </w:style>
  <w:style w:type="table" w:styleId="762">
    <w:name w:val="Grid Table 5 Dark - Accent 5"/>
    <w:next w:val="762"/>
    <w:link w:val="664"/>
    <w:uiPriority w:val="99"/>
    <w:qFormat/>
    <w:tblPr/>
  </w:style>
  <w:style w:type="table" w:styleId="763">
    <w:name w:val="Grid Table 5 Dark - Accent 6"/>
    <w:next w:val="763"/>
    <w:link w:val="664"/>
    <w:uiPriority w:val="99"/>
    <w:qFormat/>
    <w:tblPr/>
  </w:style>
  <w:style w:type="table" w:styleId="764">
    <w:name w:val="Grid Table 6 Colorful"/>
    <w:next w:val="764"/>
    <w:link w:val="664"/>
    <w:uiPriority w:val="99"/>
    <w:qFormat/>
    <w:tblPr/>
  </w:style>
  <w:style w:type="table" w:styleId="765">
    <w:name w:val="Grid Table 6 Colorful - Accent 1"/>
    <w:next w:val="765"/>
    <w:link w:val="664"/>
    <w:uiPriority w:val="99"/>
    <w:tblPr/>
  </w:style>
  <w:style w:type="table" w:styleId="766">
    <w:name w:val="Grid Table 6 Colorful - Accent 2"/>
    <w:next w:val="766"/>
    <w:link w:val="664"/>
    <w:uiPriority w:val="99"/>
    <w:qFormat/>
    <w:tblPr/>
  </w:style>
  <w:style w:type="table" w:styleId="767">
    <w:name w:val="Grid Table 6 Colorful - Accent 3"/>
    <w:next w:val="767"/>
    <w:link w:val="664"/>
    <w:uiPriority w:val="99"/>
    <w:qFormat/>
    <w:tblPr/>
  </w:style>
  <w:style w:type="table" w:styleId="768">
    <w:name w:val="Grid Table 6 Colorful - Accent 4"/>
    <w:next w:val="768"/>
    <w:link w:val="664"/>
    <w:uiPriority w:val="99"/>
    <w:qFormat/>
    <w:tblPr/>
  </w:style>
  <w:style w:type="table" w:styleId="769">
    <w:name w:val="Grid Table 6 Colorful - Accent 5"/>
    <w:next w:val="769"/>
    <w:link w:val="664"/>
    <w:uiPriority w:val="99"/>
    <w:qFormat/>
    <w:tblPr/>
  </w:style>
  <w:style w:type="table" w:styleId="770">
    <w:name w:val="Grid Table 6 Colorful - Accent 6"/>
    <w:next w:val="770"/>
    <w:link w:val="664"/>
    <w:uiPriority w:val="99"/>
    <w:qFormat/>
    <w:tblPr/>
  </w:style>
  <w:style w:type="table" w:styleId="771">
    <w:name w:val="Grid Table 7 Colorful"/>
    <w:next w:val="771"/>
    <w:link w:val="664"/>
    <w:uiPriority w:val="99"/>
    <w:qFormat/>
    <w:tblPr/>
  </w:style>
  <w:style w:type="table" w:styleId="772">
    <w:name w:val="Grid Table 7 Colorful - Accent 1"/>
    <w:next w:val="772"/>
    <w:link w:val="664"/>
    <w:uiPriority w:val="99"/>
    <w:tblPr/>
  </w:style>
  <w:style w:type="table" w:styleId="773">
    <w:name w:val="Grid Table 7 Colorful - Accent 2"/>
    <w:next w:val="773"/>
    <w:link w:val="664"/>
    <w:uiPriority w:val="99"/>
    <w:tblPr/>
  </w:style>
  <w:style w:type="table" w:styleId="774">
    <w:name w:val="Grid Table 7 Colorful - Accent 3"/>
    <w:next w:val="774"/>
    <w:link w:val="664"/>
    <w:uiPriority w:val="99"/>
    <w:qFormat/>
    <w:tblPr/>
  </w:style>
  <w:style w:type="table" w:styleId="775">
    <w:name w:val="Grid Table 7 Colorful - Accent 4"/>
    <w:next w:val="775"/>
    <w:link w:val="664"/>
    <w:uiPriority w:val="99"/>
    <w:qFormat/>
    <w:tblPr/>
  </w:style>
  <w:style w:type="table" w:styleId="776">
    <w:name w:val="Grid Table 7 Colorful - Accent 5"/>
    <w:next w:val="776"/>
    <w:link w:val="664"/>
    <w:uiPriority w:val="99"/>
    <w:tblPr/>
  </w:style>
  <w:style w:type="table" w:styleId="777">
    <w:name w:val="Grid Table 7 Colorful - Accent 6"/>
    <w:next w:val="777"/>
    <w:link w:val="664"/>
    <w:uiPriority w:val="99"/>
    <w:tblPr/>
  </w:style>
  <w:style w:type="table" w:styleId="778">
    <w:name w:val="List Table 1 Light"/>
    <w:next w:val="778"/>
    <w:link w:val="664"/>
    <w:uiPriority w:val="99"/>
    <w:qFormat/>
    <w:tblPr/>
  </w:style>
  <w:style w:type="table" w:styleId="779">
    <w:name w:val="List Table 1 Light - Accent 1"/>
    <w:next w:val="779"/>
    <w:link w:val="664"/>
    <w:uiPriority w:val="99"/>
    <w:tblPr/>
  </w:style>
  <w:style w:type="table" w:styleId="780">
    <w:name w:val="List Table 1 Light - Accent 2"/>
    <w:next w:val="780"/>
    <w:link w:val="664"/>
    <w:uiPriority w:val="99"/>
    <w:qFormat/>
    <w:tblPr/>
  </w:style>
  <w:style w:type="table" w:styleId="781">
    <w:name w:val="List Table 1 Light - Accent 3"/>
    <w:next w:val="781"/>
    <w:link w:val="664"/>
    <w:uiPriority w:val="99"/>
    <w:qFormat/>
    <w:tblPr/>
  </w:style>
  <w:style w:type="table" w:styleId="782">
    <w:name w:val="List Table 1 Light - Accent 4"/>
    <w:next w:val="782"/>
    <w:link w:val="664"/>
    <w:uiPriority w:val="99"/>
    <w:qFormat/>
    <w:tblPr/>
  </w:style>
  <w:style w:type="table" w:styleId="783">
    <w:name w:val="List Table 1 Light - Accent 5"/>
    <w:next w:val="783"/>
    <w:link w:val="664"/>
    <w:uiPriority w:val="99"/>
    <w:tblPr/>
  </w:style>
  <w:style w:type="table" w:styleId="784">
    <w:name w:val="List Table 1 Light - Accent 6"/>
    <w:next w:val="784"/>
    <w:link w:val="664"/>
    <w:uiPriority w:val="99"/>
    <w:qFormat/>
    <w:tblPr/>
  </w:style>
  <w:style w:type="table" w:styleId="785">
    <w:name w:val="List Table 2"/>
    <w:next w:val="785"/>
    <w:link w:val="664"/>
    <w:uiPriority w:val="99"/>
    <w:qFormat/>
    <w:tblPr/>
  </w:style>
  <w:style w:type="table" w:styleId="786">
    <w:name w:val="List Table 2 - Accent 1"/>
    <w:next w:val="786"/>
    <w:link w:val="664"/>
    <w:uiPriority w:val="99"/>
    <w:tblPr/>
  </w:style>
  <w:style w:type="table" w:styleId="787">
    <w:name w:val="List Table 2 - Accent 2"/>
    <w:next w:val="787"/>
    <w:link w:val="664"/>
    <w:uiPriority w:val="99"/>
    <w:tblPr/>
  </w:style>
  <w:style w:type="table" w:styleId="788">
    <w:name w:val="List Table 2 - Accent 3"/>
    <w:next w:val="788"/>
    <w:link w:val="664"/>
    <w:uiPriority w:val="99"/>
    <w:tblPr/>
  </w:style>
  <w:style w:type="table" w:styleId="789">
    <w:name w:val="List Table 2 - Accent 4"/>
    <w:next w:val="789"/>
    <w:link w:val="664"/>
    <w:uiPriority w:val="99"/>
    <w:tblPr/>
  </w:style>
  <w:style w:type="table" w:styleId="790">
    <w:name w:val="List Table 2 - Accent 5"/>
    <w:next w:val="790"/>
    <w:link w:val="664"/>
    <w:uiPriority w:val="99"/>
    <w:tblPr/>
  </w:style>
  <w:style w:type="table" w:styleId="791">
    <w:name w:val="List Table 2 - Accent 6"/>
    <w:next w:val="791"/>
    <w:link w:val="664"/>
    <w:uiPriority w:val="99"/>
    <w:tblPr/>
  </w:style>
  <w:style w:type="table" w:styleId="792">
    <w:name w:val="List Table 3"/>
    <w:next w:val="792"/>
    <w:link w:val="664"/>
    <w:uiPriority w:val="99"/>
    <w:qFormat/>
    <w:tblPr/>
  </w:style>
  <w:style w:type="table" w:styleId="793">
    <w:name w:val="List Table 3 - Accent 1"/>
    <w:next w:val="793"/>
    <w:link w:val="664"/>
    <w:uiPriority w:val="99"/>
    <w:qFormat/>
    <w:tblPr/>
  </w:style>
  <w:style w:type="table" w:styleId="794">
    <w:name w:val="List Table 3 - Accent 2"/>
    <w:next w:val="794"/>
    <w:link w:val="664"/>
    <w:uiPriority w:val="99"/>
    <w:qFormat/>
    <w:tblPr/>
  </w:style>
  <w:style w:type="table" w:styleId="795">
    <w:name w:val="List Table 3 - Accent 3"/>
    <w:next w:val="795"/>
    <w:link w:val="664"/>
    <w:uiPriority w:val="99"/>
    <w:tblPr/>
  </w:style>
  <w:style w:type="table" w:styleId="796">
    <w:name w:val="List Table 3 - Accent 4"/>
    <w:next w:val="796"/>
    <w:link w:val="664"/>
    <w:uiPriority w:val="99"/>
    <w:tblPr/>
  </w:style>
  <w:style w:type="table" w:styleId="797">
    <w:name w:val="List Table 3 - Accent 5"/>
    <w:next w:val="797"/>
    <w:link w:val="664"/>
    <w:uiPriority w:val="99"/>
    <w:qFormat/>
    <w:tblPr/>
  </w:style>
  <w:style w:type="table" w:styleId="798">
    <w:name w:val="List Table 3 - Accent 6"/>
    <w:next w:val="798"/>
    <w:link w:val="664"/>
    <w:uiPriority w:val="99"/>
    <w:qFormat/>
    <w:tblPr/>
  </w:style>
  <w:style w:type="table" w:styleId="799">
    <w:name w:val="List Table 4"/>
    <w:next w:val="799"/>
    <w:link w:val="664"/>
    <w:uiPriority w:val="99"/>
    <w:qFormat/>
    <w:tblPr/>
  </w:style>
  <w:style w:type="table" w:styleId="800">
    <w:name w:val="List Table 4 - Accent 1"/>
    <w:next w:val="800"/>
    <w:link w:val="664"/>
    <w:uiPriority w:val="99"/>
    <w:tblPr/>
  </w:style>
  <w:style w:type="table" w:styleId="801">
    <w:name w:val="List Table 4 - Accent 2"/>
    <w:next w:val="801"/>
    <w:link w:val="664"/>
    <w:uiPriority w:val="99"/>
    <w:qFormat/>
    <w:tblPr/>
  </w:style>
  <w:style w:type="table" w:styleId="802">
    <w:name w:val="List Table 4 - Accent 3"/>
    <w:next w:val="802"/>
    <w:link w:val="664"/>
    <w:uiPriority w:val="99"/>
    <w:tblPr/>
  </w:style>
  <w:style w:type="table" w:styleId="803">
    <w:name w:val="List Table 4 - Accent 4"/>
    <w:next w:val="803"/>
    <w:link w:val="664"/>
    <w:uiPriority w:val="99"/>
    <w:qFormat/>
    <w:tblPr/>
  </w:style>
  <w:style w:type="table" w:styleId="804">
    <w:name w:val="List Table 4 - Accent 5"/>
    <w:next w:val="804"/>
    <w:link w:val="664"/>
    <w:uiPriority w:val="99"/>
    <w:qFormat/>
    <w:tblPr/>
  </w:style>
  <w:style w:type="table" w:styleId="805">
    <w:name w:val="List Table 4 - Accent 6"/>
    <w:next w:val="805"/>
    <w:link w:val="664"/>
    <w:uiPriority w:val="99"/>
    <w:qFormat/>
    <w:tblPr/>
  </w:style>
  <w:style w:type="table" w:styleId="806">
    <w:name w:val="List Table 5 Dark"/>
    <w:next w:val="806"/>
    <w:link w:val="664"/>
    <w:uiPriority w:val="99"/>
    <w:qFormat/>
    <w:tblPr/>
  </w:style>
  <w:style w:type="table" w:styleId="807">
    <w:name w:val="List Table 5 Dark - Accent 1"/>
    <w:next w:val="807"/>
    <w:link w:val="664"/>
    <w:uiPriority w:val="99"/>
    <w:tblPr/>
  </w:style>
  <w:style w:type="table" w:styleId="808">
    <w:name w:val="List Table 5 Dark - Accent 2"/>
    <w:next w:val="808"/>
    <w:link w:val="664"/>
    <w:uiPriority w:val="99"/>
    <w:qFormat/>
    <w:tblPr/>
  </w:style>
  <w:style w:type="table" w:styleId="809">
    <w:name w:val="List Table 5 Dark - Accent 3"/>
    <w:next w:val="809"/>
    <w:link w:val="664"/>
    <w:uiPriority w:val="99"/>
    <w:qFormat/>
    <w:tblPr/>
  </w:style>
  <w:style w:type="table" w:styleId="810">
    <w:name w:val="List Table 5 Dark - Accent 4"/>
    <w:next w:val="810"/>
    <w:link w:val="664"/>
    <w:uiPriority w:val="99"/>
    <w:qFormat/>
    <w:tblPr/>
  </w:style>
  <w:style w:type="table" w:styleId="811">
    <w:name w:val="List Table 5 Dark - Accent 5"/>
    <w:next w:val="811"/>
    <w:link w:val="664"/>
    <w:uiPriority w:val="99"/>
    <w:qFormat/>
    <w:tblPr/>
  </w:style>
  <w:style w:type="table" w:styleId="812">
    <w:name w:val="List Table 5 Dark - Accent 6"/>
    <w:next w:val="812"/>
    <w:link w:val="664"/>
    <w:uiPriority w:val="99"/>
    <w:qFormat/>
    <w:tblPr/>
  </w:style>
  <w:style w:type="table" w:styleId="813">
    <w:name w:val="List Table 6 Colorful"/>
    <w:next w:val="813"/>
    <w:link w:val="664"/>
    <w:uiPriority w:val="99"/>
    <w:qFormat/>
    <w:tblPr/>
  </w:style>
  <w:style w:type="table" w:styleId="814">
    <w:name w:val="List Table 6 Colorful - Accent 1"/>
    <w:next w:val="814"/>
    <w:link w:val="664"/>
    <w:uiPriority w:val="99"/>
    <w:qFormat/>
    <w:tblPr/>
  </w:style>
  <w:style w:type="table" w:styleId="815">
    <w:name w:val="List Table 6 Colorful - Accent 2"/>
    <w:next w:val="815"/>
    <w:link w:val="664"/>
    <w:uiPriority w:val="99"/>
    <w:qFormat/>
    <w:tblPr/>
  </w:style>
  <w:style w:type="table" w:styleId="816">
    <w:name w:val="List Table 6 Colorful - Accent 3"/>
    <w:next w:val="816"/>
    <w:link w:val="664"/>
    <w:uiPriority w:val="99"/>
    <w:qFormat/>
    <w:tblPr/>
  </w:style>
  <w:style w:type="table" w:styleId="817">
    <w:name w:val="List Table 6 Colorful - Accent 4"/>
    <w:next w:val="817"/>
    <w:link w:val="664"/>
    <w:uiPriority w:val="99"/>
    <w:qFormat/>
    <w:tblPr/>
  </w:style>
  <w:style w:type="table" w:styleId="818">
    <w:name w:val="List Table 6 Colorful - Accent 5"/>
    <w:next w:val="818"/>
    <w:link w:val="664"/>
    <w:uiPriority w:val="99"/>
    <w:qFormat/>
    <w:tblPr/>
  </w:style>
  <w:style w:type="table" w:styleId="819">
    <w:name w:val="List Table 6 Colorful - Accent 6"/>
    <w:next w:val="819"/>
    <w:link w:val="664"/>
    <w:uiPriority w:val="99"/>
    <w:tblPr/>
  </w:style>
  <w:style w:type="table" w:styleId="820">
    <w:name w:val="List Table 7 Colorful"/>
    <w:next w:val="820"/>
    <w:link w:val="664"/>
    <w:uiPriority w:val="99"/>
    <w:qFormat/>
    <w:tblPr/>
  </w:style>
  <w:style w:type="table" w:styleId="821">
    <w:name w:val="List Table 7 Colorful - Accent 1"/>
    <w:next w:val="821"/>
    <w:link w:val="664"/>
    <w:uiPriority w:val="99"/>
    <w:tblPr/>
  </w:style>
  <w:style w:type="table" w:styleId="822">
    <w:name w:val="List Table 7 Colorful - Accent 2"/>
    <w:next w:val="822"/>
    <w:link w:val="664"/>
    <w:uiPriority w:val="99"/>
    <w:tblPr/>
  </w:style>
  <w:style w:type="table" w:styleId="823">
    <w:name w:val="List Table 7 Colorful - Accent 3"/>
    <w:next w:val="823"/>
    <w:link w:val="664"/>
    <w:uiPriority w:val="99"/>
    <w:tblPr/>
  </w:style>
  <w:style w:type="table" w:styleId="824">
    <w:name w:val="List Table 7 Colorful - Accent 4"/>
    <w:next w:val="824"/>
    <w:link w:val="664"/>
    <w:uiPriority w:val="99"/>
    <w:tblPr/>
  </w:style>
  <w:style w:type="table" w:styleId="825">
    <w:name w:val="List Table 7 Colorful - Accent 5"/>
    <w:next w:val="825"/>
    <w:link w:val="664"/>
    <w:uiPriority w:val="99"/>
    <w:tblPr/>
  </w:style>
  <w:style w:type="table" w:styleId="826">
    <w:name w:val="List Table 7 Colorful - Accent 6"/>
    <w:next w:val="826"/>
    <w:link w:val="664"/>
    <w:uiPriority w:val="99"/>
    <w:tblPr/>
  </w:style>
  <w:style w:type="table" w:styleId="827">
    <w:name w:val="Lined - Accent"/>
    <w:next w:val="827"/>
    <w:link w:val="664"/>
    <w:uiPriority w:val="99"/>
    <w:qFormat/>
    <w:rPr>
      <w:color w:val="404040"/>
    </w:rPr>
    <w:tblPr/>
  </w:style>
  <w:style w:type="table" w:styleId="828">
    <w:name w:val="Lined - Accent 1"/>
    <w:next w:val="828"/>
    <w:link w:val="664"/>
    <w:uiPriority w:val="99"/>
    <w:qFormat/>
    <w:rPr>
      <w:color w:val="404040"/>
    </w:rPr>
    <w:tblPr/>
  </w:style>
  <w:style w:type="table" w:styleId="829">
    <w:name w:val="Lined - Accent 2"/>
    <w:next w:val="829"/>
    <w:link w:val="664"/>
    <w:uiPriority w:val="99"/>
    <w:rPr>
      <w:color w:val="404040"/>
    </w:rPr>
    <w:tblPr/>
  </w:style>
  <w:style w:type="table" w:styleId="830">
    <w:name w:val="Lined - Accent 3"/>
    <w:next w:val="830"/>
    <w:link w:val="664"/>
    <w:uiPriority w:val="99"/>
    <w:rPr>
      <w:color w:val="404040"/>
    </w:rPr>
    <w:tblPr/>
  </w:style>
  <w:style w:type="table" w:styleId="831">
    <w:name w:val="Lined - Accent 4"/>
    <w:next w:val="831"/>
    <w:link w:val="664"/>
    <w:uiPriority w:val="99"/>
    <w:rPr>
      <w:color w:val="404040"/>
    </w:rPr>
    <w:tblPr/>
  </w:style>
  <w:style w:type="table" w:styleId="832">
    <w:name w:val="Lined - Accent 5"/>
    <w:next w:val="832"/>
    <w:link w:val="664"/>
    <w:uiPriority w:val="99"/>
    <w:rPr>
      <w:color w:val="404040"/>
    </w:rPr>
    <w:tblPr/>
  </w:style>
  <w:style w:type="table" w:styleId="833">
    <w:name w:val="Lined - Accent 6"/>
    <w:next w:val="833"/>
    <w:link w:val="664"/>
    <w:uiPriority w:val="99"/>
    <w:rPr>
      <w:color w:val="404040"/>
    </w:rPr>
    <w:tblPr/>
  </w:style>
  <w:style w:type="table" w:styleId="834">
    <w:name w:val="Bordered &amp; Lined - Accent"/>
    <w:next w:val="834"/>
    <w:link w:val="664"/>
    <w:uiPriority w:val="99"/>
    <w:rPr>
      <w:color w:val="404040"/>
    </w:rPr>
    <w:tblPr/>
  </w:style>
  <w:style w:type="table" w:styleId="835">
    <w:name w:val="Bordered &amp; Lined - Accent 1"/>
    <w:next w:val="835"/>
    <w:link w:val="664"/>
    <w:uiPriority w:val="99"/>
    <w:rPr>
      <w:color w:val="404040"/>
    </w:rPr>
    <w:tblPr/>
  </w:style>
  <w:style w:type="table" w:styleId="836">
    <w:name w:val="Bordered &amp; Lined - Accent 2"/>
    <w:next w:val="836"/>
    <w:link w:val="664"/>
    <w:uiPriority w:val="99"/>
    <w:rPr>
      <w:color w:val="404040"/>
    </w:rPr>
    <w:tblPr/>
  </w:style>
  <w:style w:type="table" w:styleId="837">
    <w:name w:val="Bordered &amp; Lined - Accent 3"/>
    <w:next w:val="837"/>
    <w:link w:val="664"/>
    <w:uiPriority w:val="99"/>
    <w:rPr>
      <w:color w:val="404040"/>
    </w:rPr>
    <w:tblPr/>
  </w:style>
  <w:style w:type="table" w:styleId="838">
    <w:name w:val="Bordered &amp; Lined - Accent 4"/>
    <w:next w:val="838"/>
    <w:link w:val="664"/>
    <w:uiPriority w:val="99"/>
    <w:qFormat/>
    <w:rPr>
      <w:color w:val="404040"/>
    </w:rPr>
    <w:tblPr/>
  </w:style>
  <w:style w:type="table" w:styleId="839">
    <w:name w:val="Bordered &amp; Lined - Accent 5"/>
    <w:next w:val="839"/>
    <w:link w:val="664"/>
    <w:uiPriority w:val="99"/>
    <w:qFormat/>
    <w:rPr>
      <w:color w:val="404040"/>
    </w:rPr>
    <w:tblPr/>
  </w:style>
  <w:style w:type="table" w:styleId="840">
    <w:name w:val="Bordered &amp; Lined - Accent 6"/>
    <w:next w:val="840"/>
    <w:link w:val="664"/>
    <w:uiPriority w:val="99"/>
    <w:rPr>
      <w:color w:val="404040"/>
    </w:rPr>
    <w:tblPr/>
  </w:style>
  <w:style w:type="table" w:styleId="841">
    <w:name w:val="Bordered"/>
    <w:next w:val="841"/>
    <w:link w:val="664"/>
    <w:uiPriority w:val="99"/>
    <w:tblPr/>
  </w:style>
  <w:style w:type="table" w:styleId="842">
    <w:name w:val="Bordered - Accent 1"/>
    <w:next w:val="842"/>
    <w:link w:val="664"/>
    <w:uiPriority w:val="99"/>
    <w:tblPr/>
  </w:style>
  <w:style w:type="table" w:styleId="843">
    <w:name w:val="Bordered - Accent 2"/>
    <w:next w:val="843"/>
    <w:link w:val="664"/>
    <w:uiPriority w:val="99"/>
    <w:tblPr/>
  </w:style>
  <w:style w:type="table" w:styleId="844">
    <w:name w:val="Bordered - Accent 3"/>
    <w:next w:val="844"/>
    <w:link w:val="664"/>
    <w:uiPriority w:val="99"/>
    <w:qFormat/>
    <w:tblPr/>
  </w:style>
  <w:style w:type="table" w:styleId="845">
    <w:name w:val="Bordered - Accent 4"/>
    <w:next w:val="845"/>
    <w:link w:val="664"/>
    <w:uiPriority w:val="99"/>
    <w:qFormat/>
    <w:tblPr/>
  </w:style>
  <w:style w:type="table" w:styleId="846">
    <w:name w:val="Bordered - Accent 5"/>
    <w:next w:val="846"/>
    <w:link w:val="664"/>
    <w:uiPriority w:val="99"/>
    <w:tblPr/>
  </w:style>
  <w:style w:type="table" w:styleId="847">
    <w:name w:val="Bordered - Accent 6"/>
    <w:next w:val="847"/>
    <w:link w:val="664"/>
    <w:uiPriority w:val="99"/>
    <w:tblPr/>
  </w:style>
  <w:style w:type="paragraph" w:styleId="848">
    <w:name w:val="TOC 标题1"/>
    <w:next w:val="848"/>
    <w:link w:val="664"/>
    <w:uiPriority w:val="39"/>
    <w:unhideWhenUsed/>
    <w:qFormat/>
    <w:rPr>
      <w:rFonts w:ascii="Times New Roman" w:hAnsi="Times New Roman" w:eastAsia="宋体" w:cs="Times New Roman"/>
      <w:lang w:val="en-US" w:eastAsia="zh-CN" w:bidi="ar-SA"/>
    </w:rPr>
  </w:style>
  <w:style w:type="paragraph" w:styleId="849">
    <w:name w:val="标题 11"/>
    <w:basedOn w:val="664"/>
    <w:next w:val="664"/>
    <w:link w:val="850"/>
    <w:qFormat/>
    <w:pPr>
      <w:jc w:val="center"/>
      <w:keepNext/>
      <w:outlineLvl w:val="0"/>
    </w:pPr>
    <w:rPr>
      <w:rFonts w:ascii="楷体_GB2312" w:eastAsia="楷体_GB2312"/>
      <w:sz w:val="28"/>
      <w:szCs w:val="28"/>
    </w:rPr>
  </w:style>
  <w:style w:type="character" w:styleId="850">
    <w:name w:val="标题 1 Char"/>
    <w:next w:val="850"/>
    <w:link w:val="849"/>
    <w:rPr>
      <w:rFonts w:ascii="楷体_GB2312" w:hAnsi="Times New Roman" w:eastAsia="楷体_GB2312" w:cs="Times New Roman"/>
      <w:sz w:val="28"/>
      <w:szCs w:val="28"/>
    </w:rPr>
  </w:style>
  <w:style w:type="paragraph" w:styleId="851">
    <w:name w:val="标题 21"/>
    <w:basedOn w:val="664"/>
    <w:next w:val="853"/>
    <w:link w:val="852"/>
    <w:qFormat/>
    <w:pPr>
      <w:jc w:val="center"/>
      <w:keepLines/>
      <w:keepNext/>
      <w:spacing w:before="260" w:after="260" w:line="416" w:lineRule="auto"/>
      <w:outlineLvl w:val="1"/>
    </w:pPr>
    <w:rPr>
      <w:rFonts w:ascii="Arial" w:hAnsi="Arial" w:eastAsia="幼圆" w:cs="Arial"/>
      <w:b/>
      <w:bCs/>
      <w:sz w:val="44"/>
      <w:szCs w:val="44"/>
    </w:rPr>
  </w:style>
  <w:style w:type="character" w:styleId="852">
    <w:name w:val="标题 2 Char"/>
    <w:next w:val="852"/>
    <w:link w:val="851"/>
    <w:qFormat/>
    <w:rPr>
      <w:rFonts w:ascii="Arial" w:hAnsi="Arial" w:eastAsia="幼圆" w:cs="Arial"/>
      <w:b/>
      <w:bCs/>
      <w:sz w:val="44"/>
      <w:szCs w:val="44"/>
    </w:rPr>
  </w:style>
  <w:style w:type="paragraph" w:styleId="853">
    <w:name w:val="正文缩进1"/>
    <w:basedOn w:val="664"/>
    <w:next w:val="853"/>
    <w:link w:val="854"/>
    <w:qFormat/>
    <w:pPr>
      <w:ind w:firstLine="420"/>
    </w:pPr>
    <w:rPr>
      <w:szCs w:val="21"/>
    </w:rPr>
  </w:style>
  <w:style w:type="character" w:styleId="854">
    <w:name w:val="正文缩进 Char"/>
    <w:next w:val="854"/>
    <w:link w:val="853"/>
    <w:qFormat/>
    <w:rPr>
      <w:szCs w:val="21"/>
    </w:rPr>
  </w:style>
  <w:style w:type="paragraph" w:styleId="855">
    <w:name w:val="标题 31"/>
    <w:basedOn w:val="664"/>
    <w:next w:val="853"/>
    <w:link w:val="856"/>
    <w:qFormat/>
    <w:pPr>
      <w:keepLines/>
      <w:keepNext/>
      <w:spacing w:before="260" w:after="260" w:line="416" w:lineRule="auto"/>
      <w:outlineLvl w:val="2"/>
    </w:pPr>
    <w:rPr>
      <w:b/>
      <w:bCs/>
      <w:sz w:val="32"/>
      <w:szCs w:val="32"/>
    </w:rPr>
  </w:style>
  <w:style w:type="character" w:styleId="856">
    <w:name w:val="标题 3 Char"/>
    <w:next w:val="856"/>
    <w:link w:val="855"/>
    <w:qFormat/>
    <w:rPr>
      <w:rFonts w:ascii="Times New Roman" w:hAnsi="Times New Roman" w:eastAsia="宋体" w:cs="Times New Roman"/>
      <w:b/>
      <w:bCs/>
      <w:sz w:val="32"/>
      <w:szCs w:val="32"/>
    </w:rPr>
  </w:style>
  <w:style w:type="paragraph" w:styleId="857">
    <w:name w:val="标题 41"/>
    <w:basedOn w:val="664"/>
    <w:next w:val="853"/>
    <w:link w:val="858"/>
    <w:qFormat/>
    <w:pPr>
      <w:keepLines/>
      <w:keepNext/>
      <w:spacing w:before="280" w:after="290" w:line="376" w:lineRule="auto"/>
      <w:outlineLvl w:val="3"/>
    </w:pPr>
    <w:rPr>
      <w:rFonts w:ascii="Arial" w:hAnsi="Arial" w:eastAsia="黑体" w:cs="Arial"/>
      <w:b/>
      <w:bCs/>
      <w:sz w:val="28"/>
      <w:szCs w:val="28"/>
    </w:rPr>
  </w:style>
  <w:style w:type="character" w:styleId="858">
    <w:name w:val="标题 4 Char"/>
    <w:next w:val="858"/>
    <w:link w:val="857"/>
    <w:qFormat/>
    <w:rPr>
      <w:rFonts w:ascii="Arial" w:hAnsi="Arial" w:eastAsia="黑体" w:cs="Arial"/>
      <w:b/>
      <w:bCs/>
      <w:sz w:val="28"/>
      <w:szCs w:val="28"/>
    </w:rPr>
  </w:style>
  <w:style w:type="paragraph" w:styleId="859">
    <w:name w:val="标题 51"/>
    <w:basedOn w:val="664"/>
    <w:next w:val="853"/>
    <w:link w:val="860"/>
    <w:qFormat/>
    <w:pPr>
      <w:keepNext/>
      <w:outlineLvl w:val="4"/>
    </w:pPr>
    <w:rPr>
      <w:rFonts w:ascii="宋体"/>
      <w:color w:val="000000"/>
      <w:sz w:val="28"/>
      <w:szCs w:val="28"/>
    </w:rPr>
  </w:style>
  <w:style w:type="character" w:styleId="860">
    <w:name w:val="标题 5 Char"/>
    <w:next w:val="860"/>
    <w:link w:val="859"/>
    <w:qFormat/>
    <w:rPr>
      <w:rFonts w:ascii="宋体" w:hAnsi="Times New Roman" w:eastAsia="宋体" w:cs="Times New Roman"/>
      <w:color w:val="000000"/>
      <w:sz w:val="28"/>
      <w:szCs w:val="28"/>
    </w:rPr>
  </w:style>
  <w:style w:type="paragraph" w:styleId="861">
    <w:name w:val="标题 61"/>
    <w:basedOn w:val="664"/>
    <w:next w:val="664"/>
    <w:link w:val="862"/>
    <w:qFormat/>
    <w:pPr>
      <w:numPr>
        <w:ilvl w:val="5"/>
        <w:numId w:val="1"/>
      </w:numPr>
      <w:keepLines/>
      <w:keepNext/>
      <w:spacing w:before="240" w:after="64" w:line="320" w:lineRule="auto"/>
      <w:outlineLvl w:val="5"/>
    </w:pPr>
    <w:rPr>
      <w:rFonts w:ascii="Arial" w:hAnsi="Arial" w:eastAsia="黑体"/>
      <w:b/>
      <w:bCs/>
      <w:sz w:val="24"/>
      <w:szCs w:val="24"/>
    </w:rPr>
  </w:style>
  <w:style w:type="character" w:styleId="862">
    <w:name w:val="标题 6 Char"/>
    <w:next w:val="862"/>
    <w:link w:val="861"/>
    <w:qFormat/>
    <w:rPr>
      <w:rFonts w:ascii="Arial" w:hAnsi="Arial" w:eastAsia="黑体" w:cs="Times New Roman"/>
      <w:b/>
      <w:bCs/>
      <w:sz w:val="24"/>
      <w:szCs w:val="24"/>
    </w:rPr>
  </w:style>
  <w:style w:type="paragraph" w:styleId="863">
    <w:name w:val="标题 71"/>
    <w:basedOn w:val="664"/>
    <w:next w:val="664"/>
    <w:link w:val="864"/>
    <w:qFormat/>
    <w:pPr>
      <w:numPr>
        <w:ilvl w:val="6"/>
        <w:numId w:val="1"/>
      </w:numPr>
      <w:keepLines/>
      <w:keepNext/>
      <w:spacing w:before="240" w:after="64" w:line="320" w:lineRule="auto"/>
      <w:outlineLvl w:val="6"/>
    </w:pPr>
    <w:rPr>
      <w:b/>
      <w:bCs/>
      <w:sz w:val="24"/>
      <w:szCs w:val="24"/>
    </w:rPr>
  </w:style>
  <w:style w:type="character" w:styleId="864">
    <w:name w:val="标题 7 Char"/>
    <w:next w:val="864"/>
    <w:link w:val="863"/>
    <w:qFormat/>
    <w:rPr>
      <w:rFonts w:ascii="Times New Roman" w:hAnsi="Times New Roman" w:eastAsia="宋体" w:cs="Times New Roman"/>
      <w:b/>
      <w:bCs/>
      <w:sz w:val="24"/>
      <w:szCs w:val="24"/>
    </w:rPr>
  </w:style>
  <w:style w:type="paragraph" w:styleId="865">
    <w:name w:val="标题 81"/>
    <w:basedOn w:val="664"/>
    <w:next w:val="664"/>
    <w:link w:val="866"/>
    <w:qFormat/>
    <w:pPr>
      <w:numPr>
        <w:ilvl w:val="7"/>
        <w:numId w:val="1"/>
      </w:numPr>
      <w:keepLines/>
      <w:keepNext/>
      <w:spacing w:before="240" w:after="64" w:line="320" w:lineRule="auto"/>
      <w:outlineLvl w:val="7"/>
    </w:pPr>
    <w:rPr>
      <w:rFonts w:ascii="Arial" w:hAnsi="Arial" w:eastAsia="黑体"/>
      <w:sz w:val="24"/>
      <w:szCs w:val="24"/>
    </w:rPr>
  </w:style>
  <w:style w:type="character" w:styleId="866">
    <w:name w:val="标题 8 Char"/>
    <w:next w:val="866"/>
    <w:link w:val="865"/>
    <w:qFormat/>
    <w:rPr>
      <w:rFonts w:ascii="Arial" w:hAnsi="Arial" w:eastAsia="黑体" w:cs="Times New Roman"/>
      <w:sz w:val="24"/>
      <w:szCs w:val="24"/>
    </w:rPr>
  </w:style>
  <w:style w:type="paragraph" w:styleId="867">
    <w:name w:val="标题 91"/>
    <w:basedOn w:val="664"/>
    <w:next w:val="664"/>
    <w:link w:val="868"/>
    <w:qFormat/>
    <w:pPr>
      <w:numPr>
        <w:ilvl w:val="8"/>
        <w:numId w:val="1"/>
      </w:numPr>
      <w:keepLines/>
      <w:keepNext/>
      <w:spacing w:before="240" w:after="64" w:line="320" w:lineRule="auto"/>
      <w:outlineLvl w:val="8"/>
    </w:pPr>
    <w:rPr>
      <w:rFonts w:ascii="Arial" w:hAnsi="Arial" w:eastAsia="黑体"/>
      <w:szCs w:val="21"/>
    </w:rPr>
  </w:style>
  <w:style w:type="character" w:styleId="868">
    <w:name w:val="标题 9 Char"/>
    <w:next w:val="868"/>
    <w:link w:val="867"/>
    <w:qFormat/>
    <w:rPr>
      <w:rFonts w:ascii="Arial" w:hAnsi="Arial" w:eastAsia="黑体" w:cs="Times New Roman"/>
      <w:szCs w:val="21"/>
    </w:rPr>
  </w:style>
  <w:style w:type="character" w:styleId="869">
    <w:name w:val="默认段落字体1"/>
    <w:next w:val="869"/>
    <w:link w:val="664"/>
    <w:uiPriority w:val="1"/>
    <w:unhideWhenUsed/>
  </w:style>
  <w:style w:type="table" w:styleId="870">
    <w:name w:val="普通表格11"/>
    <w:next w:val="870"/>
    <w:link w:val="664"/>
    <w:uiPriority w:val="99"/>
    <w:unhideWhenUsed/>
    <w:qFormat/>
    <w:tblPr/>
  </w:style>
  <w:style w:type="paragraph" w:styleId="871">
    <w:name w:val="列表 31"/>
    <w:basedOn w:val="664"/>
    <w:next w:val="871"/>
    <w:link w:val="664"/>
    <w:pPr>
      <w:ind w:left="100" w:hanging="200"/>
    </w:pPr>
    <w:rPr>
      <w:szCs w:val="21"/>
    </w:rPr>
  </w:style>
  <w:style w:type="paragraph" w:styleId="872">
    <w:name w:val="目录 71"/>
    <w:basedOn w:val="664"/>
    <w:next w:val="664"/>
    <w:link w:val="664"/>
    <w:semiHidden/>
    <w:pPr>
      <w:ind w:left="1260"/>
      <w:jc w:val="left"/>
    </w:pPr>
    <w:rPr>
      <w:szCs w:val="21"/>
    </w:rPr>
  </w:style>
  <w:style w:type="paragraph" w:styleId="873">
    <w:name w:val="文档结构图1"/>
    <w:basedOn w:val="664"/>
    <w:next w:val="873"/>
    <w:link w:val="874"/>
    <w:semiHidden/>
    <w:pPr>
      <w:shd w:val="clear" w:color="auto" w:fill="000080"/>
    </w:pPr>
    <w:rPr>
      <w:szCs w:val="21"/>
    </w:rPr>
  </w:style>
  <w:style w:type="character" w:styleId="874">
    <w:name w:val="文档结构图 Char"/>
    <w:next w:val="874"/>
    <w:link w:val="873"/>
    <w:semiHidden/>
    <w:qFormat/>
    <w:rPr>
      <w:rFonts w:ascii="Times New Roman" w:hAnsi="Times New Roman" w:eastAsia="宋体" w:cs="Times New Roman"/>
      <w:szCs w:val="21"/>
      <w:shd w:val="clear" w:color="auto" w:fill="000080"/>
    </w:rPr>
  </w:style>
  <w:style w:type="paragraph" w:styleId="875">
    <w:name w:val="批注文字1"/>
    <w:basedOn w:val="664"/>
    <w:next w:val="875"/>
    <w:link w:val="876"/>
    <w:unhideWhenUsed/>
    <w:qFormat/>
    <w:pPr>
      <w:jc w:val="left"/>
    </w:pPr>
    <w:rPr>
      <w:szCs w:val="21"/>
    </w:rPr>
  </w:style>
  <w:style w:type="character" w:styleId="876">
    <w:name w:val="批注文字 Char"/>
    <w:next w:val="876"/>
    <w:link w:val="875"/>
    <w:qFormat/>
  </w:style>
  <w:style w:type="paragraph" w:styleId="877">
    <w:name w:val="正文文本 31"/>
    <w:basedOn w:val="664"/>
    <w:next w:val="877"/>
    <w:link w:val="878"/>
    <w:qFormat/>
    <w:rPr>
      <w:rFonts w:ascii="仿宋_GB2312" w:hAnsi="Arial" w:eastAsia="仿宋_GB2312"/>
      <w:sz w:val="32"/>
      <w:szCs w:val="32"/>
    </w:rPr>
  </w:style>
  <w:style w:type="character" w:styleId="878">
    <w:name w:val="正文文本 3 Char"/>
    <w:next w:val="878"/>
    <w:link w:val="877"/>
    <w:qFormat/>
    <w:rPr>
      <w:rFonts w:ascii="仿宋_GB2312" w:hAnsi="Arial" w:eastAsia="仿宋_GB2312" w:cs="Times New Roman"/>
      <w:sz w:val="32"/>
      <w:szCs w:val="32"/>
    </w:rPr>
  </w:style>
  <w:style w:type="paragraph" w:styleId="879">
    <w:name w:val="正文文本11"/>
    <w:basedOn w:val="664"/>
    <w:next w:val="879"/>
    <w:link w:val="880"/>
    <w:qFormat/>
    <w:rPr>
      <w:rFonts w:ascii="楷体_GB2312" w:hAnsi="Arial" w:eastAsia="楷体_GB2312"/>
      <w:sz w:val="28"/>
      <w:szCs w:val="28"/>
    </w:rPr>
  </w:style>
  <w:style w:type="character" w:styleId="880">
    <w:name w:val="正文文本 Char"/>
    <w:next w:val="880"/>
    <w:link w:val="879"/>
    <w:qFormat/>
    <w:rPr>
      <w:rFonts w:ascii="楷体_GB2312" w:hAnsi="Arial" w:eastAsia="楷体_GB2312" w:cs="Times New Roman"/>
      <w:sz w:val="28"/>
      <w:szCs w:val="28"/>
    </w:rPr>
  </w:style>
  <w:style w:type="paragraph" w:styleId="881">
    <w:name w:val="正文文本缩进12"/>
    <w:basedOn w:val="664"/>
    <w:next w:val="883"/>
    <w:link w:val="882"/>
    <w:unhideWhenUsed/>
    <w:qFormat/>
    <w:pPr>
      <w:ind w:left="420"/>
      <w:spacing w:after="120"/>
    </w:pPr>
  </w:style>
  <w:style w:type="character" w:styleId="882">
    <w:name w:val="正文文本缩进 Char"/>
    <w:next w:val="882"/>
    <w:link w:val="881"/>
    <w:uiPriority w:val="99"/>
    <w:semiHidden/>
    <w:qFormat/>
  </w:style>
  <w:style w:type="paragraph" w:styleId="883">
    <w:name w:val="寄信人地址2"/>
    <w:basedOn w:val="664"/>
    <w:next w:val="883"/>
    <w:link w:val="664"/>
    <w:qFormat/>
    <w:rPr>
      <w:rFonts w:ascii="Arial" w:hAnsi="Arial" w:cs="宋体"/>
    </w:rPr>
  </w:style>
  <w:style w:type="paragraph" w:styleId="884">
    <w:name w:val="列表 21"/>
    <w:basedOn w:val="664"/>
    <w:next w:val="884"/>
    <w:link w:val="664"/>
    <w:qFormat/>
    <w:pPr>
      <w:ind w:left="100" w:hanging="200"/>
    </w:pPr>
    <w:rPr>
      <w:szCs w:val="21"/>
    </w:rPr>
  </w:style>
  <w:style w:type="paragraph" w:styleId="885">
    <w:name w:val="索引 411"/>
    <w:basedOn w:val="664"/>
    <w:next w:val="664"/>
    <w:link w:val="664"/>
    <w:semiHidden/>
    <w:qFormat/>
    <w:pPr>
      <w:ind w:left="1260"/>
    </w:pPr>
    <w:rPr>
      <w:rFonts w:ascii="Calibri" w:hAnsi="Calibri" w:eastAsia="Calibri" w:cs="宋体"/>
      <w:sz w:val="20"/>
      <w:lang w:val="zh-CN"/>
    </w:rPr>
  </w:style>
  <w:style w:type="paragraph" w:styleId="886">
    <w:name w:val="目录 51"/>
    <w:basedOn w:val="664"/>
    <w:next w:val="664"/>
    <w:link w:val="664"/>
    <w:semiHidden/>
    <w:qFormat/>
    <w:pPr>
      <w:ind w:left="840"/>
      <w:jc w:val="left"/>
    </w:pPr>
    <w:rPr>
      <w:szCs w:val="21"/>
    </w:rPr>
  </w:style>
  <w:style w:type="paragraph" w:styleId="887">
    <w:name w:val="目录 31"/>
    <w:basedOn w:val="664"/>
    <w:next w:val="664"/>
    <w:link w:val="664"/>
    <w:semiHidden/>
    <w:qFormat/>
    <w:pPr>
      <w:ind w:left="420"/>
      <w:jc w:val="left"/>
    </w:pPr>
    <w:rPr>
      <w:i/>
      <w:iCs/>
      <w:szCs w:val="24"/>
    </w:rPr>
  </w:style>
  <w:style w:type="paragraph" w:styleId="888">
    <w:name w:val="纯文本11"/>
    <w:basedOn w:val="664"/>
    <w:next w:val="888"/>
    <w:link w:val="889"/>
    <w:qFormat/>
    <w:rPr>
      <w:rFonts w:ascii="宋体" w:hAnsi="Courier New" w:cs="Courier New"/>
      <w:szCs w:val="21"/>
    </w:rPr>
  </w:style>
  <w:style w:type="character" w:styleId="889">
    <w:name w:val="纯文本 Char"/>
    <w:next w:val="889"/>
    <w:link w:val="888"/>
    <w:qFormat/>
    <w:rPr>
      <w:rFonts w:ascii="宋体" w:hAnsi="Courier New" w:eastAsia="宋体" w:cs="Courier New"/>
      <w:szCs w:val="21"/>
    </w:rPr>
  </w:style>
  <w:style w:type="paragraph" w:styleId="890">
    <w:name w:val="目录 81"/>
    <w:basedOn w:val="664"/>
    <w:next w:val="664"/>
    <w:link w:val="664"/>
    <w:semiHidden/>
    <w:qFormat/>
    <w:pPr>
      <w:ind w:left="1470"/>
      <w:jc w:val="left"/>
    </w:pPr>
    <w:rPr>
      <w:szCs w:val="21"/>
    </w:rPr>
  </w:style>
  <w:style w:type="paragraph" w:styleId="891">
    <w:name w:val="日期1"/>
    <w:basedOn w:val="664"/>
    <w:next w:val="664"/>
    <w:link w:val="892"/>
    <w:qFormat/>
    <w:rPr>
      <w:sz w:val="24"/>
      <w:szCs w:val="24"/>
    </w:rPr>
  </w:style>
  <w:style w:type="character" w:styleId="892">
    <w:name w:val="日期 Char"/>
    <w:next w:val="892"/>
    <w:link w:val="891"/>
    <w:qFormat/>
    <w:rPr>
      <w:rFonts w:ascii="Times New Roman" w:hAnsi="Times New Roman" w:eastAsia="宋体" w:cs="Times New Roman"/>
      <w:sz w:val="24"/>
      <w:szCs w:val="24"/>
    </w:rPr>
  </w:style>
  <w:style w:type="paragraph" w:styleId="893">
    <w:name w:val="正文文本缩进 21"/>
    <w:basedOn w:val="664"/>
    <w:next w:val="893"/>
    <w:link w:val="894"/>
    <w:qFormat/>
    <w:pPr>
      <w:ind w:left="630" w:firstLine="645"/>
    </w:pPr>
    <w:rPr>
      <w:rFonts w:ascii="Arial" w:hAnsi="Arial" w:eastAsia="仿宋_GB2312" w:cs="Arial"/>
      <w:sz w:val="32"/>
      <w:szCs w:val="32"/>
    </w:rPr>
  </w:style>
  <w:style w:type="character" w:styleId="894">
    <w:name w:val="正文文本缩进 2 Char"/>
    <w:next w:val="894"/>
    <w:link w:val="893"/>
    <w:qFormat/>
    <w:rPr>
      <w:rFonts w:ascii="Arial" w:hAnsi="Arial" w:eastAsia="仿宋_GB2312" w:cs="Arial"/>
      <w:sz w:val="32"/>
      <w:szCs w:val="32"/>
    </w:rPr>
  </w:style>
  <w:style w:type="paragraph" w:styleId="895">
    <w:name w:val="批注框文本1"/>
    <w:basedOn w:val="664"/>
    <w:next w:val="895"/>
    <w:link w:val="896"/>
    <w:semiHidden/>
    <w:qFormat/>
    <w:rPr>
      <w:sz w:val="18"/>
      <w:szCs w:val="18"/>
    </w:rPr>
  </w:style>
  <w:style w:type="character" w:styleId="896">
    <w:name w:val="批注框文本 Char"/>
    <w:next w:val="896"/>
    <w:link w:val="895"/>
    <w:semiHidden/>
    <w:qFormat/>
    <w:rPr>
      <w:rFonts w:ascii="Times New Roman" w:hAnsi="Times New Roman" w:eastAsia="宋体" w:cs="Times New Roman"/>
      <w:sz w:val="18"/>
      <w:szCs w:val="18"/>
    </w:rPr>
  </w:style>
  <w:style w:type="paragraph" w:styleId="897">
    <w:name w:val="页脚1"/>
    <w:basedOn w:val="664"/>
    <w:next w:val="897"/>
    <w:link w:val="898"/>
    <w:qFormat/>
    <w:pPr>
      <w:jc w:val="left"/>
      <w:tabs>
        <w:tab w:val="center" w:pos="4153" w:leader="none"/>
        <w:tab w:val="right" w:pos="8306" w:leader="none"/>
      </w:tabs>
    </w:pPr>
    <w:rPr>
      <w:sz w:val="18"/>
      <w:szCs w:val="18"/>
    </w:rPr>
  </w:style>
  <w:style w:type="character" w:styleId="898">
    <w:name w:val="页脚 Char"/>
    <w:next w:val="898"/>
    <w:link w:val="897"/>
    <w:qFormat/>
    <w:rPr>
      <w:rFonts w:ascii="Times New Roman" w:hAnsi="Times New Roman" w:eastAsia="宋体" w:cs="Times New Roman"/>
      <w:sz w:val="18"/>
      <w:szCs w:val="18"/>
    </w:rPr>
  </w:style>
  <w:style w:type="paragraph" w:styleId="899">
    <w:name w:val="页眉1"/>
    <w:basedOn w:val="664"/>
    <w:next w:val="899"/>
    <w:link w:val="900"/>
    <w:qFormat/>
    <w:pPr>
      <w:jc w:val="center"/>
      <w:tabs>
        <w:tab w:val="center" w:pos="4153" w:leader="none"/>
        <w:tab w:val="right" w:pos="8306" w:leader="none"/>
      </w:tabs>
      <w:pBdr>
        <w:bottom w:val="single" w:color="000000" w:sz="6" w:space="1"/>
      </w:pBdr>
    </w:pPr>
    <w:rPr>
      <w:sz w:val="18"/>
      <w:szCs w:val="18"/>
    </w:rPr>
  </w:style>
  <w:style w:type="character" w:styleId="900">
    <w:name w:val="页眉 Char"/>
    <w:next w:val="900"/>
    <w:link w:val="899"/>
    <w:qFormat/>
    <w:rPr>
      <w:rFonts w:ascii="Times New Roman" w:hAnsi="Times New Roman" w:eastAsia="宋体" w:cs="Times New Roman"/>
      <w:sz w:val="18"/>
      <w:szCs w:val="18"/>
    </w:rPr>
  </w:style>
  <w:style w:type="paragraph" w:styleId="901">
    <w:name w:val="目录 11"/>
    <w:basedOn w:val="664"/>
    <w:next w:val="664"/>
    <w:link w:val="664"/>
    <w:semiHidden/>
    <w:qFormat/>
    <w:pPr>
      <w:jc w:val="left"/>
      <w:spacing w:before="120" w:after="120" w:line="400" w:lineRule="exact"/>
      <w:tabs>
        <w:tab w:val="right" w:pos="8720" w:leader="dot"/>
      </w:tabs>
    </w:pPr>
    <w:rPr>
      <w:rFonts w:ascii="宋体" w:hAnsi="宋体"/>
      <w:caps/>
      <w:sz w:val="24"/>
      <w:szCs w:val="24"/>
    </w:rPr>
  </w:style>
  <w:style w:type="paragraph" w:styleId="902">
    <w:name w:val="目录 41"/>
    <w:basedOn w:val="664"/>
    <w:next w:val="664"/>
    <w:link w:val="664"/>
    <w:semiHidden/>
    <w:qFormat/>
    <w:pPr>
      <w:ind w:left="630"/>
      <w:jc w:val="left"/>
    </w:pPr>
    <w:rPr>
      <w:szCs w:val="21"/>
    </w:rPr>
  </w:style>
  <w:style w:type="paragraph" w:styleId="903">
    <w:name w:val="列表1"/>
    <w:basedOn w:val="664"/>
    <w:next w:val="903"/>
    <w:link w:val="664"/>
    <w:qFormat/>
    <w:pPr>
      <w:ind w:left="200" w:hanging="200"/>
    </w:pPr>
    <w:rPr>
      <w:szCs w:val="21"/>
    </w:rPr>
  </w:style>
  <w:style w:type="paragraph" w:styleId="904">
    <w:name w:val="目录 61"/>
    <w:basedOn w:val="664"/>
    <w:next w:val="664"/>
    <w:link w:val="664"/>
    <w:semiHidden/>
    <w:qFormat/>
    <w:pPr>
      <w:ind w:left="1050"/>
      <w:jc w:val="left"/>
    </w:pPr>
    <w:rPr>
      <w:szCs w:val="21"/>
    </w:rPr>
  </w:style>
  <w:style w:type="paragraph" w:styleId="905">
    <w:name w:val="正文文本缩进 31"/>
    <w:basedOn w:val="664"/>
    <w:next w:val="905"/>
    <w:link w:val="906"/>
    <w:qFormat/>
    <w:pPr>
      <w:ind w:left="645" w:firstLine="645"/>
    </w:pPr>
    <w:rPr>
      <w:rFonts w:ascii="Arial" w:hAnsi="Arial" w:eastAsia="仿宋_GB2312" w:cs="Arial"/>
      <w:color w:val="ffff00"/>
      <w:sz w:val="32"/>
      <w:szCs w:val="32"/>
    </w:rPr>
  </w:style>
  <w:style w:type="character" w:styleId="906">
    <w:name w:val="正文文本缩进 3 Char"/>
    <w:next w:val="906"/>
    <w:link w:val="905"/>
    <w:qFormat/>
    <w:rPr>
      <w:rFonts w:ascii="Arial" w:hAnsi="Arial" w:eastAsia="仿宋_GB2312" w:cs="Arial"/>
      <w:color w:val="ffff00"/>
      <w:sz w:val="32"/>
      <w:szCs w:val="32"/>
    </w:rPr>
  </w:style>
  <w:style w:type="paragraph" w:styleId="907">
    <w:name w:val="图表目录1"/>
    <w:basedOn w:val="664"/>
    <w:next w:val="664"/>
    <w:link w:val="664"/>
    <w:semiHidden/>
    <w:qFormat/>
    <w:pPr>
      <w:ind w:left="840" w:hanging="420"/>
    </w:pPr>
    <w:rPr>
      <w:szCs w:val="21"/>
    </w:rPr>
  </w:style>
  <w:style w:type="paragraph" w:styleId="908">
    <w:name w:val="目录 21"/>
    <w:basedOn w:val="664"/>
    <w:next w:val="664"/>
    <w:link w:val="664"/>
    <w:semiHidden/>
    <w:qFormat/>
    <w:pPr>
      <w:ind w:left="210"/>
      <w:jc w:val="left"/>
    </w:pPr>
    <w:rPr>
      <w:smallCaps/>
      <w:szCs w:val="24"/>
    </w:rPr>
  </w:style>
  <w:style w:type="paragraph" w:styleId="909">
    <w:name w:val="目录 91"/>
    <w:basedOn w:val="664"/>
    <w:next w:val="664"/>
    <w:link w:val="664"/>
    <w:semiHidden/>
    <w:qFormat/>
    <w:pPr>
      <w:ind w:left="1680"/>
      <w:jc w:val="left"/>
    </w:pPr>
    <w:rPr>
      <w:szCs w:val="21"/>
    </w:rPr>
  </w:style>
  <w:style w:type="paragraph" w:styleId="910">
    <w:name w:val="正文文本 21"/>
    <w:basedOn w:val="664"/>
    <w:next w:val="910"/>
    <w:link w:val="911"/>
    <w:qFormat/>
    <w:pPr>
      <w:jc w:val="center"/>
      <w:widowControl/>
    </w:pPr>
    <w:rPr>
      <w:rFonts w:ascii="楷体_GB2312" w:eastAsia="楷体_GB2312"/>
      <w:sz w:val="28"/>
      <w:szCs w:val="28"/>
    </w:rPr>
  </w:style>
  <w:style w:type="character" w:styleId="911">
    <w:name w:val="正文文本 2 Char"/>
    <w:next w:val="911"/>
    <w:link w:val="910"/>
    <w:qFormat/>
    <w:rPr>
      <w:rFonts w:ascii="楷体_GB2312" w:hAnsi="Times New Roman" w:eastAsia="楷体_GB2312" w:cs="Times New Roman"/>
      <w:sz w:val="28"/>
      <w:szCs w:val="28"/>
    </w:rPr>
  </w:style>
  <w:style w:type="paragraph" w:styleId="912">
    <w:name w:val="普通(网站)1"/>
    <w:basedOn w:val="664"/>
    <w:next w:val="912"/>
    <w:link w:val="664"/>
    <w:uiPriority w:val="99"/>
    <w:qFormat/>
    <w:pPr>
      <w:jc w:val="left"/>
      <w:spacing w:before="100" w:beforeAutospacing="1" w:after="100" w:afterAutospacing="1"/>
      <w:widowControl/>
    </w:pPr>
    <w:rPr>
      <w:rFonts w:ascii="宋体" w:hAnsi="宋体" w:cs="宋体"/>
      <w:sz w:val="24"/>
      <w:szCs w:val="24"/>
    </w:rPr>
  </w:style>
  <w:style w:type="paragraph" w:styleId="913">
    <w:name w:val="索引 11"/>
    <w:basedOn w:val="664"/>
    <w:next w:val="664"/>
    <w:link w:val="664"/>
    <w:semiHidden/>
    <w:qFormat/>
    <w:pPr>
      <w:spacing w:line="240" w:lineRule="atLeast"/>
    </w:pPr>
    <w:rPr>
      <w:b/>
      <w:bCs/>
      <w:szCs w:val="21"/>
    </w:rPr>
  </w:style>
  <w:style w:type="paragraph" w:styleId="914">
    <w:name w:val="批注主题1"/>
    <w:basedOn w:val="875"/>
    <w:next w:val="875"/>
    <w:link w:val="915"/>
    <w:semiHidden/>
    <w:qFormat/>
    <w:rPr>
      <w:b/>
      <w:bCs/>
    </w:rPr>
  </w:style>
  <w:style w:type="character" w:styleId="915">
    <w:name w:val="批注主题 Char"/>
    <w:next w:val="915"/>
    <w:link w:val="914"/>
    <w:semiHidden/>
    <w:qFormat/>
    <w:rPr>
      <w:rFonts w:ascii="Times New Roman" w:hAnsi="Times New Roman" w:eastAsia="宋体" w:cs="Times New Roman"/>
      <w:b/>
      <w:bCs/>
      <w:szCs w:val="21"/>
    </w:rPr>
  </w:style>
  <w:style w:type="paragraph" w:styleId="916">
    <w:name w:val="正文首行缩进1"/>
    <w:basedOn w:val="664"/>
    <w:next w:val="916"/>
    <w:link w:val="917"/>
    <w:qFormat/>
    <w:pPr>
      <w:ind w:firstLine="200"/>
      <w:spacing w:line="360" w:lineRule="auto"/>
    </w:pPr>
    <w:rPr>
      <w:rFonts w:ascii="仿宋_GB2312" w:eastAsia="仿宋_GB2312"/>
      <w:sz w:val="30"/>
      <w:szCs w:val="30"/>
    </w:rPr>
  </w:style>
  <w:style w:type="character" w:styleId="917">
    <w:name w:val="正文首行缩进 Char"/>
    <w:next w:val="917"/>
    <w:link w:val="916"/>
    <w:qFormat/>
    <w:rPr>
      <w:rFonts w:ascii="仿宋_GB2312" w:hAnsi="Times New Roman" w:eastAsia="仿宋_GB2312" w:cs="Times New Roman"/>
      <w:sz w:val="30"/>
      <w:szCs w:val="30"/>
    </w:rPr>
  </w:style>
  <w:style w:type="paragraph" w:styleId="918">
    <w:name w:val="正文首行缩进 22"/>
    <w:basedOn w:val="881"/>
    <w:next w:val="664"/>
    <w:link w:val="919"/>
    <w:qFormat/>
    <w:pPr>
      <w:ind w:left="0" w:firstLine="420"/>
      <w:spacing w:after="0" w:line="360" w:lineRule="auto"/>
    </w:pPr>
    <w:rPr>
      <w:rFonts w:ascii="宋体" w:hAnsi="宋体"/>
      <w:szCs w:val="20"/>
    </w:rPr>
  </w:style>
  <w:style w:type="character" w:styleId="919">
    <w:name w:val="正文首行缩进 2 Char"/>
    <w:next w:val="919"/>
    <w:link w:val="918"/>
    <w:qFormat/>
    <w:rPr>
      <w:rFonts w:ascii="宋体" w:hAnsi="宋体" w:eastAsia="宋体" w:cs="Times New Roman"/>
      <w:szCs w:val="20"/>
    </w:rPr>
  </w:style>
  <w:style w:type="table" w:styleId="920">
    <w:name w:val="网格型11"/>
    <w:basedOn w:val="870"/>
    <w:next w:val="920"/>
    <w:link w:val="664"/>
    <w:qFormat/>
    <w:pPr>
      <w:jc w:val="both"/>
      <w:widowControl w:val="off"/>
    </w:pPr>
    <w:tblPr/>
  </w:style>
  <w:style w:type="character" w:styleId="921">
    <w:name w:val="要点1"/>
    <w:next w:val="921"/>
    <w:link w:val="664"/>
    <w:qFormat/>
    <w:rPr>
      <w:b/>
      <w:bCs/>
    </w:rPr>
  </w:style>
  <w:style w:type="character" w:styleId="922">
    <w:name w:val="页码1"/>
    <w:next w:val="922"/>
    <w:link w:val="664"/>
    <w:qFormat/>
  </w:style>
  <w:style w:type="character" w:styleId="923">
    <w:name w:val="已访问的超链接1"/>
    <w:next w:val="923"/>
    <w:link w:val="664"/>
    <w:qFormat/>
    <w:rPr>
      <w:color w:val="800080"/>
      <w:u w:val="single"/>
    </w:rPr>
  </w:style>
  <w:style w:type="character" w:styleId="924">
    <w:name w:val="强调1"/>
    <w:next w:val="924"/>
    <w:link w:val="664"/>
    <w:qFormat/>
    <w:rPr>
      <w:i/>
    </w:rPr>
  </w:style>
  <w:style w:type="character" w:styleId="925">
    <w:name w:val="超链接1"/>
    <w:next w:val="925"/>
    <w:link w:val="664"/>
    <w:qFormat/>
    <w:rPr>
      <w:color w:val="0000ff"/>
      <w:u w:val="single"/>
    </w:rPr>
  </w:style>
  <w:style w:type="character" w:styleId="926">
    <w:name w:val="批注引用1"/>
    <w:next w:val="926"/>
    <w:link w:val="664"/>
    <w:semiHidden/>
    <w:qFormat/>
    <w:rPr>
      <w:sz w:val="21"/>
      <w:szCs w:val="21"/>
    </w:rPr>
  </w:style>
  <w:style w:type="paragraph" w:styleId="927">
    <w:name w:val="索引 41"/>
    <w:basedOn w:val="664"/>
    <w:next w:val="664"/>
    <w:link w:val="664"/>
    <w:semiHidden/>
    <w:qFormat/>
    <w:pPr>
      <w:ind w:left="1260"/>
    </w:pPr>
    <w:rPr>
      <w:rFonts w:ascii="Calibri" w:hAnsi="Calibri" w:eastAsia="Calibri" w:cs="宋体"/>
      <w:sz w:val="20"/>
      <w:lang w:val="zh-CN"/>
    </w:rPr>
  </w:style>
  <w:style w:type="paragraph" w:styleId="928">
    <w:name w:val="正文文本缩进1"/>
    <w:basedOn w:val="664"/>
    <w:next w:val="929"/>
    <w:link w:val="664"/>
    <w:unhideWhenUsed/>
    <w:qFormat/>
    <w:pPr>
      <w:ind w:left="420"/>
      <w:spacing w:after="120"/>
    </w:pPr>
  </w:style>
  <w:style w:type="paragraph" w:styleId="929">
    <w:name w:val="正文文本首行缩进 2"/>
    <w:basedOn w:val="928"/>
    <w:next w:val="929"/>
    <w:link w:val="664"/>
    <w:qFormat/>
    <w:pPr>
      <w:ind w:left="0" w:firstLine="420"/>
      <w:spacing w:after="0" w:line="360" w:lineRule="auto"/>
    </w:pPr>
    <w:rPr>
      <w:rFonts w:ascii="宋体" w:hAnsi="宋体"/>
      <w:sz w:val="20"/>
      <w:szCs w:val="20"/>
      <w:lang w:eastAsia="en-US"/>
    </w:rPr>
  </w:style>
  <w:style w:type="character" w:styleId="930">
    <w:name w:val="font5 Char"/>
    <w:next w:val="930"/>
    <w:link w:val="664"/>
    <w:qFormat/>
    <w:rPr>
      <w:rFonts w:ascii="宋体" w:hAnsi="宋体" w:eastAsia="宋体"/>
      <w:sz w:val="28"/>
      <w:szCs w:val="28"/>
      <w:lang w:val="en-US" w:eastAsia="zh-CN" w:bidi="ar-SA"/>
    </w:rPr>
  </w:style>
  <w:style w:type="character" w:styleId="931">
    <w:name w:val="二级目录 Char"/>
    <w:next w:val="931"/>
    <w:link w:val="932"/>
    <w:qFormat/>
    <w:rPr>
      <w:b/>
      <w:sz w:val="30"/>
      <w:szCs w:val="28"/>
    </w:rPr>
  </w:style>
  <w:style w:type="paragraph" w:styleId="932">
    <w:name w:val="二级目录"/>
    <w:next w:val="664"/>
    <w:link w:val="931"/>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33">
    <w:name w:val="列出段落 Char"/>
    <w:next w:val="933"/>
    <w:link w:val="934"/>
    <w:qFormat/>
    <w:rPr>
      <w:rFonts w:ascii="Calibri" w:hAnsi="Calibri"/>
      <w:sz w:val="24"/>
      <w:szCs w:val="24"/>
      <w:lang w:eastAsia="en-US" w:bidi="en-US"/>
    </w:rPr>
  </w:style>
  <w:style w:type="paragraph" w:styleId="934">
    <w:name w:val="列出段落1"/>
    <w:basedOn w:val="664"/>
    <w:next w:val="934"/>
    <w:link w:val="933"/>
    <w:qFormat/>
    <w:pPr>
      <w:contextualSpacing/>
      <w:ind w:left="720"/>
      <w:jc w:val="left"/>
      <w:widowControl/>
    </w:pPr>
    <w:rPr>
      <w:rFonts w:ascii="Calibri" w:hAnsi="Calibri"/>
      <w:sz w:val="24"/>
      <w:szCs w:val="24"/>
      <w:lang w:eastAsia="en-US" w:bidi="en-US"/>
    </w:rPr>
  </w:style>
  <w:style w:type="paragraph" w:styleId="935">
    <w:name w:val="Body Text(ch)"/>
    <w:basedOn w:val="664"/>
    <w:next w:val="879"/>
    <w:link w:val="664"/>
    <w:qFormat/>
    <w:pPr>
      <w:spacing w:after="120"/>
    </w:pPr>
    <w:rPr>
      <w:rFonts w:ascii="宋体" w:hAnsi="Arial"/>
      <w:bCs/>
      <w:iCs/>
      <w:szCs w:val="24"/>
    </w:rPr>
  </w:style>
  <w:style w:type="paragraph" w:styleId="936">
    <w:name w:val="xl27"/>
    <w:basedOn w:val="664"/>
    <w:next w:val="936"/>
    <w:link w:val="6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7">
    <w:name w:val="xl26"/>
    <w:basedOn w:val="664"/>
    <w:next w:val="937"/>
    <w:link w:val="6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8">
    <w:name w:val="Char"/>
    <w:basedOn w:val="664"/>
    <w:next w:val="938"/>
    <w:link w:val="664"/>
    <w:qFormat/>
    <w:pPr>
      <w:ind w:firstLine="200"/>
      <w:tabs>
        <w:tab w:val="left" w:pos="360" w:leader="none"/>
      </w:tabs>
    </w:pPr>
    <w:rPr>
      <w:sz w:val="28"/>
      <w:szCs w:val="30"/>
    </w:rPr>
  </w:style>
  <w:style w:type="paragraph" w:styleId="939">
    <w:name w:val="Char1"/>
    <w:basedOn w:val="873"/>
    <w:next w:val="939"/>
    <w:link w:val="664"/>
    <w:qFormat/>
    <w:rPr>
      <w:rFonts w:ascii="Tahoma" w:hAnsi="Tahoma"/>
      <w:sz w:val="24"/>
      <w:szCs w:val="24"/>
    </w:rPr>
  </w:style>
  <w:style w:type="paragraph" w:styleId="940">
    <w:name w:val="普通正文"/>
    <w:basedOn w:val="664"/>
    <w:next w:val="940"/>
    <w:link w:val="664"/>
    <w:qFormat/>
    <w:pPr>
      <w:ind w:firstLine="480"/>
      <w:jc w:val="left"/>
      <w:spacing w:before="120" w:after="120" w:line="360" w:lineRule="auto"/>
    </w:pPr>
    <w:rPr>
      <w:rFonts w:ascii="Arial" w:hAnsi="Arial"/>
      <w:sz w:val="24"/>
      <w:szCs w:val="24"/>
    </w:rPr>
  </w:style>
  <w:style w:type="paragraph" w:styleId="941">
    <w:name w:val="table_lines"/>
    <w:basedOn w:val="664"/>
    <w:next w:val="941"/>
    <w:link w:val="664"/>
    <w:qFormat/>
    <w:pPr>
      <w:jc w:val="left"/>
      <w:widowControl/>
    </w:pPr>
    <w:rPr>
      <w:sz w:val="20"/>
      <w:szCs w:val="20"/>
      <w:lang w:val="de-DE" w:eastAsia="de-DE"/>
    </w:rPr>
  </w:style>
  <w:style w:type="paragraph" w:styleId="942">
    <w:name w:val="附录1"/>
    <w:next w:val="942"/>
    <w:link w:val="664"/>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43">
    <w:name w:val="font7"/>
    <w:basedOn w:val="664"/>
    <w:next w:val="943"/>
    <w:link w:val="664"/>
    <w:qFormat/>
    <w:pPr>
      <w:jc w:val="left"/>
      <w:spacing w:before="100" w:beforeAutospacing="1" w:after="100" w:afterAutospacing="1"/>
      <w:widowControl/>
    </w:pPr>
    <w:rPr>
      <w:rFonts w:hint="eastAsia" w:ascii="宋体" w:hAnsi="宋体"/>
      <w:sz w:val="18"/>
      <w:szCs w:val="18"/>
    </w:rPr>
  </w:style>
  <w:style w:type="paragraph" w:styleId="944">
    <w:name w:val="Char Char Char Char"/>
    <w:basedOn w:val="873"/>
    <w:next w:val="944"/>
    <w:link w:val="664"/>
    <w:qFormat/>
    <w:pPr>
      <w:spacing w:line="360" w:lineRule="auto"/>
    </w:pPr>
    <w:rPr>
      <w:rFonts w:ascii="Tahoma" w:hAnsi="Tahoma"/>
      <w:sz w:val="24"/>
      <w:szCs w:val="24"/>
    </w:rPr>
  </w:style>
  <w:style w:type="paragraph" w:styleId="945">
    <w:name w:val="列出段落2"/>
    <w:basedOn w:val="664"/>
    <w:next w:val="945"/>
    <w:link w:val="664"/>
    <w:uiPriority w:val="99"/>
    <w:qFormat/>
    <w:pPr>
      <w:contextualSpacing/>
      <w:ind w:left="720"/>
      <w:jc w:val="left"/>
      <w:widowControl/>
    </w:pPr>
    <w:rPr>
      <w:rFonts w:ascii="Calibri" w:hAnsi="Calibri"/>
      <w:sz w:val="24"/>
      <w:szCs w:val="24"/>
      <w:lang w:eastAsia="en-US" w:bidi="en-US"/>
    </w:rPr>
  </w:style>
  <w:style w:type="paragraph" w:styleId="946">
    <w:name w:val="4"/>
    <w:basedOn w:val="664"/>
    <w:next w:val="905"/>
    <w:link w:val="664"/>
    <w:qFormat/>
    <w:pPr>
      <w:ind w:firstLine="420"/>
      <w:spacing w:line="360" w:lineRule="auto"/>
    </w:pPr>
    <w:rPr>
      <w:color w:val="ff0000"/>
      <w:sz w:val="24"/>
      <w:szCs w:val="24"/>
    </w:rPr>
  </w:style>
  <w:style w:type="paragraph" w:styleId="947">
    <w:name w:val="普通 (Web)"/>
    <w:basedOn w:val="664"/>
    <w:next w:val="947"/>
    <w:link w:val="664"/>
    <w:qFormat/>
    <w:pPr>
      <w:jc w:val="left"/>
      <w:spacing w:before="100" w:beforeAutospacing="1" w:after="100" w:afterAutospacing="1"/>
      <w:widowControl/>
    </w:pPr>
    <w:rPr>
      <w:rFonts w:ascii="宋体" w:hAnsi="宋体"/>
      <w:sz w:val="24"/>
      <w:szCs w:val="24"/>
    </w:rPr>
  </w:style>
  <w:style w:type="paragraph" w:styleId="948">
    <w:name w:val="Char Char Char Char Char Char Char Char Char Char"/>
    <w:basedOn w:val="664"/>
    <w:next w:val="948"/>
    <w:link w:val="664"/>
    <w:qFormat/>
    <w:pPr>
      <w:spacing w:line="360" w:lineRule="auto"/>
    </w:pPr>
    <w:rPr>
      <w:sz w:val="24"/>
      <w:szCs w:val="20"/>
    </w:rPr>
  </w:style>
  <w:style w:type="paragraph" w:styleId="949">
    <w:name w:val="样式1"/>
    <w:basedOn w:val="664"/>
    <w:next w:val="949"/>
    <w:link w:val="664"/>
    <w:qFormat/>
    <w:pPr>
      <w:numPr>
        <w:ilvl w:val="0"/>
        <w:numId w:val="3"/>
      </w:numPr>
      <w:tabs>
        <w:tab w:val="left" w:pos="709" w:leader="none"/>
      </w:tabs>
    </w:pPr>
    <w:rPr>
      <w:rFonts w:ascii="宋体" w:hAnsi="宋体"/>
      <w:szCs w:val="21"/>
    </w:rPr>
  </w:style>
  <w:style w:type="paragraph" w:styleId="950">
    <w:name w:val="font6"/>
    <w:basedOn w:val="664"/>
    <w:next w:val="950"/>
    <w:link w:val="664"/>
    <w:qFormat/>
    <w:pPr>
      <w:jc w:val="left"/>
      <w:spacing w:before="100" w:beforeAutospacing="1" w:after="100" w:afterAutospacing="1"/>
      <w:widowControl/>
    </w:pPr>
    <w:rPr>
      <w:rFonts w:hint="eastAsia" w:ascii="宋体" w:hAnsi="宋体"/>
      <w:sz w:val="28"/>
      <w:szCs w:val="28"/>
      <w:u w:val="single"/>
    </w:rPr>
  </w:style>
  <w:style w:type="paragraph" w:styleId="951">
    <w:name w:val="xl25"/>
    <w:basedOn w:val="664"/>
    <w:next w:val="951"/>
    <w:link w:val="66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2">
    <w:name w:val="图标"/>
    <w:basedOn w:val="664"/>
    <w:next w:val="664"/>
    <w:link w:val="66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3">
    <w:name w:val="标题3"/>
    <w:basedOn w:val="664"/>
    <w:next w:val="664"/>
    <w:link w:val="664"/>
    <w:qFormat/>
    <w:pPr>
      <w:ind w:firstLine="624"/>
      <w:spacing w:line="590" w:lineRule="atLeast"/>
    </w:pPr>
    <w:rPr>
      <w:rFonts w:ascii="方正黑体_GBK" w:eastAsia="方正黑体_GBK"/>
      <w:sz w:val="32"/>
      <w:szCs w:val="32"/>
    </w:rPr>
  </w:style>
  <w:style w:type="paragraph" w:styleId="954">
    <w:name w:val="xl24"/>
    <w:basedOn w:val="664"/>
    <w:next w:val="954"/>
    <w:link w:val="6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name w:val="xl29"/>
    <w:basedOn w:val="664"/>
    <w:next w:val="955"/>
    <w:link w:val="66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6">
    <w:name w:val="Char Char Char Char Char Char Char Char"/>
    <w:basedOn w:val="664"/>
    <w:next w:val="956"/>
    <w:link w:val="664"/>
    <w:qFormat/>
    <w:pPr>
      <w:jc w:val="left"/>
      <w:spacing w:after="160" w:line="240" w:lineRule="exact"/>
      <w:widowControl/>
    </w:pPr>
    <w:rPr>
      <w:rFonts w:ascii="Verdana" w:hAnsi="Verdana"/>
      <w:sz w:val="20"/>
      <w:szCs w:val="20"/>
      <w:lang w:eastAsia="en-US"/>
    </w:rPr>
  </w:style>
  <w:style w:type="paragraph" w:styleId="957">
    <w:name w:val="xl28"/>
    <w:basedOn w:val="664"/>
    <w:next w:val="957"/>
    <w:link w:val="66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8">
    <w:name w:val="Char Char Char Char Char Char Char Char1"/>
    <w:basedOn w:val="664"/>
    <w:next w:val="958"/>
    <w:link w:val="664"/>
    <w:qFormat/>
    <w:pPr>
      <w:jc w:val="left"/>
      <w:spacing w:after="160" w:line="240" w:lineRule="exact"/>
      <w:widowControl/>
    </w:pPr>
    <w:rPr>
      <w:rFonts w:ascii="Verdana" w:hAnsi="Verdana"/>
      <w:sz w:val="20"/>
      <w:szCs w:val="20"/>
      <w:lang w:eastAsia="en-US"/>
    </w:rPr>
  </w:style>
  <w:style w:type="paragraph" w:styleId="959">
    <w:name w:val="xl30"/>
    <w:basedOn w:val="664"/>
    <w:next w:val="959"/>
    <w:link w:val="664"/>
    <w:qFormat/>
    <w:pPr>
      <w:jc w:val="center"/>
      <w:spacing w:before="100" w:beforeAutospacing="1" w:after="100" w:afterAutospacing="1"/>
      <w:widowControl/>
    </w:pPr>
    <w:rPr>
      <w:rFonts w:ascii="宋体" w:hAnsi="宋体"/>
      <w:b/>
      <w:bCs/>
      <w:sz w:val="36"/>
      <w:szCs w:val="36"/>
    </w:rPr>
  </w:style>
  <w:style w:type="paragraph" w:styleId="960">
    <w:name w:val="Char Char Char Char1"/>
    <w:basedOn w:val="873"/>
    <w:next w:val="960"/>
    <w:link w:val="664"/>
    <w:qFormat/>
    <w:pPr>
      <w:spacing w:line="360" w:lineRule="auto"/>
    </w:pPr>
    <w:rPr>
      <w:rFonts w:ascii="Tahoma" w:hAnsi="Tahoma"/>
      <w:sz w:val="24"/>
      <w:szCs w:val="24"/>
    </w:rPr>
  </w:style>
  <w:style w:type="paragraph" w:styleId="961">
    <w:name w:val="table_1stline"/>
    <w:basedOn w:val="664"/>
    <w:next w:val="961"/>
    <w:link w:val="664"/>
    <w:qFormat/>
    <w:pPr>
      <w:jc w:val="left"/>
      <w:spacing w:before="120"/>
      <w:widowControl/>
    </w:pPr>
    <w:rPr>
      <w:bCs/>
      <w:sz w:val="20"/>
      <w:szCs w:val="20"/>
      <w:lang w:val="de-DE" w:eastAsia="de-DE"/>
    </w:rPr>
  </w:style>
  <w:style w:type="paragraph" w:styleId="962">
    <w:name w:val="font5"/>
    <w:basedOn w:val="664"/>
    <w:next w:val="962"/>
    <w:link w:val="664"/>
    <w:qFormat/>
    <w:pPr>
      <w:jc w:val="left"/>
      <w:spacing w:before="100" w:beforeAutospacing="1" w:after="100" w:afterAutospacing="1"/>
      <w:widowControl/>
    </w:pPr>
    <w:rPr>
      <w:rFonts w:hint="eastAsia" w:ascii="宋体" w:hAnsi="宋体"/>
      <w:sz w:val="28"/>
      <w:szCs w:val="28"/>
    </w:rPr>
  </w:style>
  <w:style w:type="paragraph" w:styleId="963">
    <w:name w:val="标题1"/>
    <w:basedOn w:val="664"/>
    <w:next w:val="664"/>
    <w:link w:val="66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name w:val="_Style 112"/>
    <w:next w:val="964"/>
    <w:link w:val="664"/>
    <w:uiPriority w:val="99"/>
    <w:semiHidden/>
    <w:qFormat/>
    <w:rPr>
      <w:rFonts w:ascii="Times New Roman" w:hAnsi="Times New Roman" w:eastAsia="宋体" w:cs="Times New Roman"/>
      <w:sz w:val="21"/>
      <w:szCs w:val="21"/>
      <w:lang w:val="en-US" w:eastAsia="zh-CN" w:bidi="ar-SA"/>
    </w:rPr>
  </w:style>
  <w:style w:type="paragraph" w:styleId="965">
    <w:name w:val="无间隔1"/>
    <w:next w:val="965"/>
    <w:link w:val="664"/>
    <w:uiPriority w:val="99"/>
    <w:qFormat/>
    <w:pPr>
      <w:jc w:val="both"/>
      <w:widowControl w:val="off"/>
    </w:pPr>
    <w:rPr>
      <w:rFonts w:ascii="Times New Roman" w:hAnsi="Times New Roman" w:eastAsia="宋体" w:cs="Times New Roman"/>
      <w:sz w:val="21"/>
      <w:szCs w:val="21"/>
      <w:lang w:val="en-US" w:eastAsia="zh-CN" w:bidi="ar-SA"/>
    </w:rPr>
  </w:style>
  <w:style w:type="table" w:styleId="966">
    <w:name w:val="Table Normal"/>
    <w:next w:val="966"/>
    <w:link w:val="664"/>
    <w:qFormat/>
    <w:tblPr/>
  </w:style>
  <w:style w:type="paragraph" w:styleId="967">
    <w:name w:val="正文文本 211"/>
    <w:basedOn w:val="664"/>
    <w:next w:val="967"/>
    <w:link w:val="664"/>
    <w:uiPriority w:val="99"/>
    <w:qFormat/>
    <w:pPr>
      <w:jc w:val="center"/>
    </w:pPr>
    <w:rPr>
      <w:b/>
      <w:bCs/>
      <w:sz w:val="20"/>
      <w:szCs w:val="20"/>
    </w:rPr>
  </w:style>
  <w:style w:type="paragraph" w:styleId="968">
    <w:name w:val="正文文本1"/>
    <w:basedOn w:val="664"/>
    <w:next w:val="664"/>
    <w:link w:val="664"/>
    <w:semiHidden/>
    <w:qFormat/>
    <w:rPr>
      <w:rFonts w:ascii="Arial" w:hAnsi="Arial" w:eastAsia="Arial" w:cs="Arial"/>
      <w:szCs w:val="21"/>
      <w:lang w:eastAsia="en-US"/>
    </w:rPr>
  </w:style>
  <w:style w:type="paragraph" w:styleId="969">
    <w:name w:val="正文文本12"/>
    <w:basedOn w:val="664"/>
    <w:next w:val="969"/>
    <w:link w:val="664"/>
    <w:uiPriority w:val="1"/>
    <w:qFormat/>
    <w:pPr>
      <w:ind w:left="120"/>
    </w:pPr>
    <w:rPr>
      <w:rFonts w:ascii="宋体" w:hAnsi="宋体" w:cs="宋体"/>
      <w:szCs w:val="21"/>
      <w:lang w:val="zh-CN" w:bidi="zh-CN"/>
    </w:rPr>
  </w:style>
  <w:style w:type="paragraph" w:styleId="970">
    <w:name w:val="纯文本1"/>
    <w:basedOn w:val="664"/>
    <w:next w:val="970"/>
    <w:link w:val="664"/>
    <w:qFormat/>
    <w:rPr>
      <w:rFonts w:ascii="宋体" w:hAnsi="Courier New" w:cs="Courier New"/>
    </w:rPr>
  </w:style>
  <w:style w:type="table" w:styleId="971">
    <w:name w:val="网格型1"/>
    <w:basedOn w:val="972"/>
    <w:next w:val="971"/>
    <w:link w:val="664"/>
    <w:qFormat/>
    <w:pPr>
      <w:jc w:val="both"/>
      <w:widowControl w:val="off"/>
    </w:pPr>
    <w:tblPr/>
  </w:style>
  <w:style w:type="table" w:styleId="972">
    <w:name w:val="普通表格1"/>
    <w:next w:val="972"/>
    <w:link w:val="664"/>
    <w:uiPriority w:val="99"/>
    <w:unhideWhenUsed/>
    <w:qFormat/>
    <w:tblPr/>
  </w:style>
  <w:style w:type="character" w:styleId="973">
    <w:name w:val="15"/>
    <w:next w:val="973"/>
    <w:link w:val="664"/>
    <w:qFormat/>
    <w:rPr>
      <w:rFonts w:ascii="Times New Roman" w:hAnsi="Times New Roman" w:cs="Times New Roman"/>
    </w:rPr>
  </w:style>
  <w:style w:type="paragraph" w:styleId="974">
    <w:name w:val="正文首行缩进 211"/>
    <w:basedOn w:val="714"/>
    <w:next w:val="664"/>
    <w:link w:val="664"/>
    <w:qFormat/>
    <w:pPr>
      <w:ind w:left="0" w:firstLine="420"/>
      <w:spacing w:after="0" w:line="360" w:lineRule="auto"/>
    </w:pPr>
    <w:rPr>
      <w:rFonts w:ascii="宋体" w:hAnsi="宋体"/>
      <w:szCs w:val="20"/>
    </w:rPr>
  </w:style>
  <w:style w:type="paragraph" w:styleId="975">
    <w:name w:val="Table Paragraph"/>
    <w:basedOn w:val="664"/>
    <w:next w:val="975"/>
    <w:link w:val="664"/>
    <w:uiPriority w:val="1"/>
    <w:qFormat/>
    <w:pPr>
      <w:jc w:val="left"/>
    </w:pPr>
    <w:rPr>
      <w:rFonts w:ascii="宋体" w:hAnsi="宋体" w:cs="宋体"/>
      <w:sz w:val="22"/>
      <w:lang w:val="zh-CN" w:bidi="zh-CN"/>
    </w:rPr>
  </w:style>
  <w:style w:type="character" w:styleId="10533" w:default="1">
    <w:name w:val="Default Paragraph Font"/>
    <w:uiPriority w:val="1"/>
    <w:semiHidden/>
    <w:unhideWhenUsed/>
  </w:style>
  <w:style w:type="numbering" w:styleId="10534" w:default="1">
    <w:name w:val="No List"/>
    <w:uiPriority w:val="99"/>
    <w:semiHidden/>
    <w:unhideWhenUsed/>
  </w:style>
  <w:style w:type="table" w:styleId="105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温学梅</cp:lastModifiedBy>
  <cp:revision>3</cp:revision>
  <dcterms:created xsi:type="dcterms:W3CDTF">2023-03-27T07:28:00Z</dcterms:created>
  <dcterms:modified xsi:type="dcterms:W3CDTF">2026-06-08T01:53:57Z</dcterms:modified>
</cp:coreProperties>
</file>