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7"/>
        <w:spacing w:line="360" w:lineRule="auto"/>
        <w:rPr>
          <w:rStyle w:val="807"/>
          <w:rFonts w:hint="eastAsia" w:ascii="宋体" w:hAnsi="宋体" w:eastAsia="宋体" w:cs="宋体"/>
          <w:color w:val="auto"/>
          <w:sz w:val="72"/>
          <w:szCs w:val="72"/>
        </w:rPr>
      </w:pPr>
      <w:r>
        <w:rPr>
          <w:rFonts w:hint="eastAsia" w:ascii="宋体" w:hAnsi="宋体" w:eastAsia="宋体" w:cs="宋体"/>
          <w:color w:val="auto"/>
          <w:sz w:val="72"/>
          <w:szCs w:val="72"/>
        </w:rPr>
      </w:r>
      <w:r/>
    </w:p>
    <w:p>
      <w:pPr>
        <w:pStyle w:val="837"/>
        <w:spacing w:line="360" w:lineRule="auto"/>
        <w:rPr>
          <w:rStyle w:val="807"/>
          <w:rFonts w:hint="eastAsia" w:ascii="宋体" w:hAnsi="宋体" w:eastAsia="宋体" w:cs="宋体"/>
          <w:color w:val="auto"/>
          <w:sz w:val="72"/>
          <w:szCs w:val="72"/>
        </w:rPr>
      </w:pPr>
      <w:r>
        <w:rPr>
          <w:rStyle w:val="807"/>
          <w:rFonts w:hint="eastAsia" w:ascii="宋体" w:hAnsi="宋体" w:eastAsia="宋体" w:cs="宋体"/>
          <w:color w:val="auto"/>
          <w:sz w:val="72"/>
          <w:szCs w:val="72"/>
        </w:rPr>
        <w:t xml:space="preserve">苏州高新区政府采购</w:t>
      </w:r>
      <w:r/>
    </w:p>
    <w:p>
      <w:pPr>
        <w:pStyle w:val="837"/>
        <w:spacing w:line="360" w:lineRule="auto"/>
        <w:rPr>
          <w:rStyle w:val="807"/>
          <w:rFonts w:hint="eastAsia" w:ascii="宋体" w:hAnsi="宋体" w:eastAsia="宋体" w:cs="宋体"/>
          <w:color w:val="auto"/>
          <w:sz w:val="72"/>
          <w:szCs w:val="72"/>
        </w:rPr>
      </w:pPr>
      <w:r>
        <w:rPr>
          <w:rStyle w:val="807"/>
          <w:rFonts w:hint="eastAsia" w:ascii="宋体" w:hAnsi="宋体" w:eastAsia="宋体" w:cs="宋体"/>
          <w:color w:val="auto"/>
          <w:sz w:val="72"/>
          <w:szCs w:val="72"/>
        </w:rPr>
        <w:t xml:space="preserve">竞争性磋商采购文件</w:t>
      </w:r>
      <w:r/>
    </w:p>
    <w:p>
      <w:pPr>
        <w:pStyle w:val="837"/>
        <w:rPr>
          <w:rFonts w:hint="eastAsia" w:ascii="宋体" w:hAnsi="宋体" w:eastAsia="宋体" w:cs="宋体"/>
          <w:color w:val="auto"/>
        </w:rPr>
      </w:pPr>
      <w:r>
        <w:rPr>
          <w:rFonts w:hint="eastAsia" w:ascii="宋体" w:hAnsi="宋体" w:eastAsia="宋体" w:cs="宋体"/>
          <w:color w:val="auto"/>
        </w:rPr>
      </w:r>
      <w:r/>
    </w:p>
    <w:p>
      <w:pPr>
        <w:pStyle w:val="837"/>
        <w:rPr>
          <w:rFonts w:hint="eastAsia" w:ascii="宋体" w:hAnsi="宋体" w:eastAsia="宋体" w:cs="宋体"/>
          <w:color w:val="auto"/>
        </w:rPr>
      </w:pPr>
      <w:r>
        <w:rPr>
          <w:rFonts w:hint="eastAsia" w:ascii="宋体" w:hAnsi="宋体" w:eastAsia="宋体" w:cs="宋体"/>
          <w:color w:val="auto"/>
        </w:rPr>
      </w:r>
      <w:r/>
    </w:p>
    <w:tbl>
      <w:tblPr>
        <w:tblStyle w:val="6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980"/>
        <w:gridCol w:w="6087"/>
      </w:tblGrid>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项目编号：</w:t>
            </w:r>
            <w:r/>
          </w:p>
        </w:tc>
        <w:tc>
          <w:tcPr>
            <w:tcW w:w="6087" w:type="dxa"/>
            <w:vAlign w:val="center"/>
            <w:textDirection w:val="lrTb"/>
            <w:noWrap w:val="false"/>
          </w:tcPr>
          <w:p>
            <w:pPr>
              <w:jc w:val="left"/>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JSZC-320505-HXGW-C2026-0020</w:t>
            </w:r>
            <w:r/>
          </w:p>
        </w:tc>
      </w:tr>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项目名称：</w:t>
            </w:r>
            <w:r/>
          </w:p>
        </w:tc>
        <w:tc>
          <w:tcPr>
            <w:tcW w:w="6087" w:type="dxa"/>
            <w:vAlign w:val="center"/>
            <w:textDirection w:val="lrTb"/>
            <w:noWrap w:val="false"/>
          </w:tcPr>
          <w:p>
            <w:pPr>
              <w:jc w:val="left"/>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枫桥街道白马涧小学龙池校区操场改造</w:t>
            </w:r>
            <w:r/>
          </w:p>
        </w:tc>
      </w:tr>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采购单位：</w:t>
            </w:r>
            <w:r/>
          </w:p>
        </w:tc>
        <w:tc>
          <w:tcPr>
            <w:tcW w:w="6087" w:type="dxa"/>
            <w:vAlign w:val="center"/>
            <w:textDirection w:val="lrTb"/>
            <w:noWrap w:val="false"/>
          </w:tcPr>
          <w:p>
            <w:pPr>
              <w:jc w:val="left"/>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苏州高新区狮山商务创新区管理办公室</w:t>
            </w:r>
            <w:r/>
          </w:p>
        </w:tc>
      </w:tr>
      <w:tr>
        <w:trPr>
          <w:jc w:val="center"/>
          <w:trHeight w:val="964"/>
        </w:trPr>
        <w:tc>
          <w:tcPr>
            <w:tcW w:w="1980" w:type="dxa"/>
            <w:vAlign w:val="center"/>
            <w:textDirection w:val="lrTb"/>
            <w:noWrap w:val="false"/>
          </w:tcPr>
          <w:p>
            <w:pPr>
              <w:jc w:val="center"/>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项目类别：</w:t>
            </w:r>
            <w:r/>
          </w:p>
        </w:tc>
        <w:tc>
          <w:tcPr>
            <w:tcW w:w="6087" w:type="dxa"/>
            <w:vAlign w:val="center"/>
            <w:textDirection w:val="lrTb"/>
            <w:noWrap w:val="false"/>
          </w:tcPr>
          <w:p>
            <w:pPr>
              <w:jc w:val="left"/>
              <w:rPr>
                <w:rFonts w:hint="eastAsia" w:ascii="宋体" w:hAnsi="宋体" w:eastAsia="宋体" w:cs="宋体"/>
                <w:b/>
                <w:bCs/>
                <w:color w:val="auto"/>
                <w:sz w:val="32"/>
                <w:szCs w:val="32"/>
              </w:rPr>
            </w:pPr>
            <w:r>
              <w:rPr>
                <w:rFonts w:hint="eastAsia" w:ascii="宋体" w:hAnsi="宋体" w:eastAsia="宋体" w:cs="宋体"/>
                <w:b/>
                <w:bCs/>
                <w:color w:val="auto"/>
                <w:sz w:val="32"/>
                <w:szCs w:val="32"/>
              </w:rPr>
              <w:t xml:space="preserve">小额工程</w:t>
            </w:r>
            <w:r/>
          </w:p>
        </w:tc>
      </w:tr>
    </w:tbl>
    <w:p>
      <w:pPr>
        <w:pStyle w:val="837"/>
        <w:rPr>
          <w:rStyle w:val="807"/>
          <w:rFonts w:hint="eastAsia" w:ascii="宋体" w:hAnsi="宋体" w:eastAsia="宋体" w:cs="宋体"/>
          <w:color w:val="auto"/>
          <w:sz w:val="72"/>
          <w:szCs w:val="72"/>
        </w:rPr>
      </w:pPr>
      <w:r>
        <w:rPr>
          <w:rFonts w:hint="eastAsia" w:ascii="宋体" w:hAnsi="宋体" w:eastAsia="宋体" w:cs="宋体"/>
          <w:color w:val="auto"/>
          <w:sz w:val="72"/>
          <w:szCs w:val="72"/>
        </w:rPr>
      </w:r>
      <w:r/>
    </w:p>
    <w:p>
      <w:pPr>
        <w:pStyle w:val="837"/>
        <w:ind w:firstLine="1355"/>
        <w:jc w:val="left"/>
        <w:spacing w:line="360" w:lineRule="auto"/>
        <w:rPr>
          <w:rStyle w:val="807"/>
          <w:rFonts w:hint="eastAsia" w:ascii="宋体" w:hAnsi="宋体" w:eastAsia="宋体" w:cs="宋体"/>
          <w:color w:val="auto"/>
          <w:sz w:val="30"/>
          <w:szCs w:val="30"/>
        </w:rPr>
      </w:pPr>
      <w:r>
        <w:rPr>
          <w:rFonts w:hint="eastAsia" w:ascii="宋体" w:hAnsi="宋体" w:eastAsia="宋体" w:cs="宋体"/>
          <w:color w:val="auto"/>
          <w:sz w:val="30"/>
          <w:szCs w:val="30"/>
        </w:rPr>
      </w:r>
      <w:r/>
    </w:p>
    <w:p>
      <w:pPr>
        <w:pStyle w:val="837"/>
        <w:spacing w:line="360" w:lineRule="auto"/>
        <w:rPr>
          <w:rStyle w:val="807"/>
          <w:rFonts w:hint="eastAsia" w:ascii="宋体" w:hAnsi="宋体" w:eastAsia="宋体" w:cs="宋体"/>
          <w:color w:val="auto"/>
          <w:sz w:val="30"/>
          <w:szCs w:val="30"/>
        </w:rPr>
      </w:pPr>
      <w:r>
        <w:rPr>
          <w:rStyle w:val="807"/>
          <w:rFonts w:hint="eastAsia" w:ascii="宋体" w:hAnsi="宋体" w:eastAsia="宋体" w:cs="宋体"/>
          <w:color w:val="auto"/>
          <w:sz w:val="30"/>
          <w:szCs w:val="30"/>
        </w:rPr>
        <w:t xml:space="preserve">涵熙（苏州）工程顾问有限公司</w:t>
      </w:r>
      <w:r/>
    </w:p>
    <w:p>
      <w:pPr>
        <w:pStyle w:val="837"/>
        <w:rPr>
          <w:rStyle w:val="807"/>
          <w:rFonts w:hint="eastAsia" w:ascii="宋体" w:hAnsi="宋体" w:eastAsia="宋体" w:cs="宋体"/>
          <w:color w:val="auto"/>
        </w:rPr>
      </w:pPr>
      <w:r>
        <w:rPr>
          <w:rStyle w:val="807"/>
          <w:rFonts w:hint="eastAsia" w:ascii="宋体" w:hAnsi="宋体" w:eastAsia="宋体" w:cs="宋体"/>
          <w:color w:val="auto"/>
          <w:sz w:val="30"/>
          <w:szCs w:val="30"/>
        </w:rPr>
        <w:t xml:space="preserve">二〇二六年五月</w:t>
      </w:r>
      <w:r/>
    </w:p>
    <w:p>
      <w:pPr>
        <w:jc w:val="center"/>
        <w:spacing w:line="360" w:lineRule="auto"/>
        <w:rPr>
          <w:rFonts w:hint="eastAsia" w:ascii="宋体" w:hAnsi="宋体" w:eastAsia="宋体" w:cs="宋体"/>
          <w:color w:val="auto"/>
          <w:sz w:val="36"/>
          <w:szCs w:val="36"/>
          <w:u w:val="single"/>
        </w:rPr>
      </w:pPr>
      <w:r>
        <w:rPr>
          <w:rFonts w:hint="eastAsia" w:ascii="宋体" w:hAnsi="宋体" w:eastAsia="宋体" w:cs="宋体"/>
          <w:color w:val="auto"/>
          <w:sz w:val="36"/>
          <w:szCs w:val="36"/>
          <w:u w:val="single"/>
        </w:rPr>
      </w:r>
      <w:r/>
    </w:p>
    <w:p>
      <w:pPr>
        <w:jc w:val="left"/>
        <w:rPr>
          <w:rFonts w:hint="eastAsia" w:ascii="宋体" w:hAnsi="宋体" w:eastAsia="宋体" w:cs="宋体"/>
          <w:b/>
          <w:bCs/>
          <w:color w:val="auto"/>
          <w:sz w:val="44"/>
          <w:szCs w:val="44"/>
        </w:rPr>
      </w:pPr>
      <w:r>
        <w:rPr>
          <w:rFonts w:hint="eastAsia" w:ascii="宋体" w:hAnsi="宋体" w:eastAsia="宋体" w:cs="宋体"/>
          <w:b/>
          <w:bCs/>
          <w:color w:val="auto"/>
          <w:sz w:val="44"/>
          <w:szCs w:val="44"/>
        </w:rPr>
        <w:br w:type="page" w:clear="all"/>
      </w:r>
      <w:r/>
    </w:p>
    <w:p>
      <w:pPr>
        <w:jc w:val="center"/>
        <w:spacing w:line="480" w:lineRule="auto"/>
        <w:rPr>
          <w:rFonts w:hint="eastAsia" w:ascii="宋体" w:hAnsi="宋体" w:eastAsia="宋体" w:cs="宋体"/>
          <w:b/>
          <w:bCs/>
          <w:color w:val="auto"/>
          <w:sz w:val="28"/>
          <w:szCs w:val="28"/>
        </w:rPr>
      </w:pPr>
      <w:r>
        <w:rPr>
          <w:rFonts w:hint="eastAsia" w:ascii="宋体" w:hAnsi="宋体" w:eastAsia="宋体" w:cs="宋体"/>
          <w:b/>
          <w:bCs/>
          <w:color w:val="auto"/>
          <w:sz w:val="44"/>
          <w:szCs w:val="44"/>
        </w:rPr>
        <w:t xml:space="preserve">目    录</w:t>
      </w:r>
      <w:r/>
    </w:p>
    <w:p>
      <w:pPr>
        <w:pStyle w:val="696"/>
        <w:spacing w:line="480" w:lineRule="auto"/>
        <w:tabs>
          <w:tab w:val="right" w:pos="9366" w:leader="dot"/>
        </w:tabs>
        <w:rPr>
          <w:rFonts w:hint="eastAsia" w:ascii="宋体" w:hAnsi="宋体" w:eastAsia="宋体" w:cs="宋体"/>
          <w:sz w:val="28"/>
          <w:szCs w:val="28"/>
        </w:rPr>
      </w:pPr>
      <w:r>
        <w:rPr>
          <w:rFonts w:hint="eastAsia" w:ascii="宋体" w:hAnsi="宋体" w:eastAsia="宋体" w:cs="宋体"/>
          <w:b/>
          <w:bCs/>
          <w:color w:val="auto"/>
          <w:sz w:val="28"/>
          <w:szCs w:val="28"/>
        </w:rPr>
        <w:fldChar w:fldCharType="begin"/>
      </w:r>
      <w:r>
        <w:rPr>
          <w:rStyle w:val="807"/>
          <w:rFonts w:hint="eastAsia" w:ascii="宋体" w:hAnsi="宋体" w:eastAsia="宋体" w:cs="宋体"/>
          <w:b/>
          <w:bCs/>
          <w:color w:val="auto"/>
          <w:sz w:val="28"/>
          <w:szCs w:val="28"/>
        </w:rPr>
        <w:instrText xml:space="preserve">TOC \o "1-1" \h \u </w:instrText>
      </w:r>
      <w:r>
        <w:rPr>
          <w:rFonts w:hint="eastAsia" w:ascii="宋体" w:hAnsi="宋体" w:eastAsia="宋体" w:cs="宋体"/>
          <w:b/>
          <w:bCs/>
          <w:color w:val="auto"/>
          <w:sz w:val="28"/>
          <w:szCs w:val="28"/>
        </w:rPr>
        <w:fldChar w:fldCharType="separate"/>
      </w: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_Toc31026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 xml:space="preserve">第一章 磋商邀请函</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_Toc31026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r/>
    </w:p>
    <w:p>
      <w:pPr>
        <w:pStyle w:val="696"/>
        <w:spacing w:line="480" w:lineRule="auto"/>
        <w:tabs>
          <w:tab w:val="right" w:pos="9366" w:leader="dot"/>
        </w:tabs>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_Toc20179 </w:instrText>
      </w:r>
      <w:r>
        <w:rPr>
          <w:rFonts w:hint="eastAsia" w:ascii="宋体" w:hAnsi="宋体" w:eastAsia="宋体" w:cs="宋体"/>
          <w:bCs/>
          <w:sz w:val="28"/>
          <w:szCs w:val="28"/>
        </w:rPr>
        <w:fldChar w:fldCharType="separate"/>
      </w:r>
      <w:r>
        <w:rPr>
          <w:rFonts w:hint="eastAsia" w:ascii="宋体" w:hAnsi="宋体" w:eastAsia="宋体" w:cs="宋体"/>
          <w:sz w:val="28"/>
          <w:szCs w:val="28"/>
        </w:rPr>
        <w:t xml:space="preserve">第二章 磋商须知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_Toc20179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8</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r/>
    </w:p>
    <w:p>
      <w:pPr>
        <w:pStyle w:val="696"/>
        <w:spacing w:line="480" w:lineRule="auto"/>
        <w:tabs>
          <w:tab w:val="right" w:pos="9366" w:leader="dot"/>
        </w:tabs>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_Toc19682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 xml:space="preserve">第三章 磋商响应文件格式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_Toc19682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27</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r/>
    </w:p>
    <w:p>
      <w:pPr>
        <w:pStyle w:val="696"/>
        <w:spacing w:line="480" w:lineRule="auto"/>
        <w:tabs>
          <w:tab w:val="right" w:pos="9366" w:leader="dot"/>
        </w:tabs>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_Toc22994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 xml:space="preserve">第四章 采购内容</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_Toc22994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47</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r/>
    </w:p>
    <w:p>
      <w:pPr>
        <w:pStyle w:val="696"/>
        <w:spacing w:line="480" w:lineRule="auto"/>
        <w:tabs>
          <w:tab w:val="right" w:pos="9366" w:leader="dot"/>
        </w:tabs>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_Toc20949 </w:instrText>
      </w:r>
      <w:r>
        <w:rPr>
          <w:rFonts w:hint="eastAsia" w:ascii="宋体" w:hAnsi="宋体" w:eastAsia="宋体" w:cs="宋体"/>
          <w:bCs/>
          <w:sz w:val="28"/>
          <w:szCs w:val="28"/>
        </w:rPr>
        <w:fldChar w:fldCharType="separate"/>
      </w:r>
      <w:r>
        <w:rPr>
          <w:rFonts w:hint="eastAsia" w:ascii="宋体" w:hAnsi="宋体" w:eastAsia="宋体" w:cs="宋体"/>
          <w:sz w:val="28"/>
          <w:szCs w:val="28"/>
        </w:rPr>
        <w:t xml:space="preserve">第五章 合同主要条款</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_Toc20949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54</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r/>
    </w:p>
    <w:p>
      <w:pPr>
        <w:pStyle w:val="696"/>
        <w:spacing w:line="480" w:lineRule="auto"/>
        <w:tabs>
          <w:tab w:val="right" w:pos="9366" w:leader="dot"/>
        </w:tabs>
        <w:rPr>
          <w:rFonts w:hint="eastAsia" w:ascii="宋体" w:hAnsi="宋体" w:eastAsia="宋体" w:cs="宋体"/>
          <w:sz w:val="28"/>
          <w:szCs w:val="28"/>
        </w:rPr>
      </w:pPr>
      <w:r>
        <w:rPr>
          <w:rFonts w:hint="eastAsia" w:ascii="宋体" w:hAnsi="宋体" w:eastAsia="宋体" w:cs="宋体"/>
          <w:bCs/>
          <w:color w:val="auto"/>
          <w:sz w:val="28"/>
          <w:szCs w:val="28"/>
        </w:rPr>
        <w:fldChar w:fldCharType="begin"/>
      </w:r>
      <w:r>
        <w:rPr>
          <w:rFonts w:hint="eastAsia" w:ascii="宋体" w:hAnsi="宋体" w:eastAsia="宋体" w:cs="宋体"/>
          <w:bCs/>
          <w:sz w:val="28"/>
          <w:szCs w:val="28"/>
        </w:rPr>
        <w:instrText xml:space="preserve"> HYPERLINK \l _Toc12488 </w:instrText>
      </w:r>
      <w:r>
        <w:rPr>
          <w:rFonts w:hint="eastAsia" w:ascii="宋体" w:hAnsi="宋体" w:eastAsia="宋体" w:cs="宋体"/>
          <w:bCs/>
          <w:sz w:val="28"/>
          <w:szCs w:val="28"/>
        </w:rPr>
        <w:fldChar w:fldCharType="separate"/>
      </w:r>
      <w:r>
        <w:rPr>
          <w:rFonts w:hint="eastAsia" w:ascii="宋体" w:hAnsi="宋体" w:eastAsia="宋体" w:cs="宋体"/>
          <w:bCs/>
          <w:sz w:val="28"/>
          <w:szCs w:val="28"/>
        </w:rPr>
        <w:t xml:space="preserve">第六章 评审办法及评分标准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_Toc12488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66</w:t>
      </w:r>
      <w:r>
        <w:rPr>
          <w:rFonts w:hint="eastAsia" w:ascii="宋体" w:hAnsi="宋体" w:eastAsia="宋体" w:cs="宋体"/>
          <w:sz w:val="28"/>
          <w:szCs w:val="28"/>
        </w:rPr>
        <w:fldChar w:fldCharType="end"/>
      </w:r>
      <w:r>
        <w:rPr>
          <w:rFonts w:hint="eastAsia" w:ascii="宋体" w:hAnsi="宋体" w:eastAsia="宋体" w:cs="宋体"/>
          <w:bCs/>
          <w:color w:val="auto"/>
          <w:sz w:val="28"/>
          <w:szCs w:val="28"/>
        </w:rPr>
        <w:fldChar w:fldCharType="end"/>
      </w:r>
      <w:r/>
    </w:p>
    <w:p>
      <w:pPr>
        <w:pStyle w:val="837"/>
        <w:jc w:val="both"/>
        <w:spacing w:line="480" w:lineRule="auto"/>
        <w:rPr>
          <w:rFonts w:hint="eastAsia" w:ascii="宋体" w:hAnsi="宋体" w:eastAsia="宋体" w:cs="宋体"/>
          <w:color w:val="auto"/>
          <w:sz w:val="28"/>
          <w:szCs w:val="28"/>
        </w:rPr>
      </w:pPr>
      <w:r>
        <w:rPr>
          <w:rFonts w:hint="eastAsia" w:ascii="宋体" w:hAnsi="宋体" w:eastAsia="宋体" w:cs="宋体"/>
          <w:bCs/>
          <w:color w:val="auto"/>
          <w:sz w:val="28"/>
          <w:szCs w:val="28"/>
        </w:rPr>
        <w:fldChar w:fldCharType="end"/>
      </w:r>
      <w:r/>
    </w:p>
    <w:p>
      <w:pPr>
        <w:jc w:val="center"/>
        <w:rPr>
          <w:rFonts w:hint="eastAsia" w:ascii="宋体" w:hAnsi="宋体" w:eastAsia="宋体" w:cs="宋体"/>
          <w:color w:val="auto"/>
          <w:szCs w:val="21"/>
        </w:rPr>
      </w:pPr>
      <w:r>
        <w:rPr>
          <w:rFonts w:hint="eastAsia" w:ascii="宋体" w:hAnsi="宋体" w:eastAsia="宋体" w:cs="宋体"/>
          <w:color w:val="auto"/>
          <w:szCs w:val="21"/>
        </w:rPr>
        <w:br w:type="page" w:clear="all"/>
      </w:r>
      <w:bookmarkStart w:id="0" w:name="_Toc19501"/>
      <w:r/>
      <w:bookmarkStart w:id="1" w:name="_Toc30314"/>
      <w:r/>
      <w:r/>
    </w:p>
    <w:p>
      <w:pPr>
        <w:jc w:val="center"/>
        <w:spacing w:line="360" w:lineRule="auto"/>
        <w:rPr>
          <w:rFonts w:hint="eastAsia" w:ascii="宋体" w:hAnsi="宋体" w:eastAsia="宋体" w:cs="宋体"/>
          <w:color w:val="auto"/>
          <w:sz w:val="52"/>
          <w:szCs w:val="52"/>
        </w:rPr>
      </w:pPr>
      <w:r>
        <w:rPr>
          <w:rFonts w:hint="eastAsia" w:ascii="宋体" w:hAnsi="宋体" w:eastAsia="宋体" w:cs="宋体"/>
          <w:color w:val="auto"/>
          <w:sz w:val="52"/>
          <w:szCs w:val="52"/>
        </w:rPr>
      </w:r>
      <w:r/>
    </w:p>
    <w:p>
      <w:pPr>
        <w:jc w:val="center"/>
        <w:spacing w:line="360" w:lineRule="auto"/>
        <w:rPr>
          <w:rFonts w:hint="eastAsia" w:ascii="宋体" w:hAnsi="宋体" w:eastAsia="宋体" w:cs="宋体"/>
          <w:color w:val="auto"/>
          <w:sz w:val="52"/>
          <w:szCs w:val="52"/>
        </w:rPr>
      </w:pPr>
      <w:r>
        <w:rPr>
          <w:rFonts w:hint="eastAsia" w:ascii="宋体" w:hAnsi="宋体" w:eastAsia="宋体" w:cs="宋体"/>
          <w:color w:val="auto"/>
          <w:sz w:val="52"/>
          <w:szCs w:val="52"/>
        </w:rPr>
      </w:r>
      <w:r/>
    </w:p>
    <w:p>
      <w:pPr>
        <w:jc w:val="center"/>
        <w:spacing w:line="360" w:lineRule="auto"/>
        <w:rPr>
          <w:rFonts w:hint="eastAsia" w:ascii="宋体" w:hAnsi="宋体" w:eastAsia="宋体" w:cs="宋体"/>
          <w:color w:val="auto"/>
          <w:sz w:val="52"/>
          <w:szCs w:val="52"/>
        </w:rPr>
      </w:pPr>
      <w:r/>
      <w:bookmarkStart w:id="70" w:name="_GoBack"/>
      <w:r/>
      <w:bookmarkEnd w:id="70"/>
      <w:r/>
      <w:r/>
    </w:p>
    <w:p>
      <w:pPr>
        <w:jc w:val="center"/>
        <w:spacing w:line="360" w:lineRule="auto"/>
        <w:rPr>
          <w:rFonts w:hint="eastAsia" w:ascii="宋体" w:hAnsi="宋体" w:eastAsia="宋体" w:cs="宋体"/>
          <w:color w:val="auto"/>
          <w:sz w:val="52"/>
          <w:szCs w:val="52"/>
        </w:rPr>
      </w:pPr>
      <w:r>
        <w:rPr>
          <w:rFonts w:hint="eastAsia" w:ascii="宋体" w:hAnsi="宋体" w:eastAsia="宋体" w:cs="宋体"/>
          <w:color w:val="auto"/>
          <w:sz w:val="52"/>
          <w:szCs w:val="52"/>
        </w:rPr>
      </w:r>
      <w:r/>
    </w:p>
    <w:p>
      <w:pPr>
        <w:jc w:val="center"/>
        <w:spacing w:line="360" w:lineRule="auto"/>
        <w:rPr>
          <w:rFonts w:hint="eastAsia" w:ascii="宋体" w:hAnsi="宋体" w:eastAsia="宋体" w:cs="宋体"/>
          <w:color w:val="auto"/>
          <w:sz w:val="52"/>
          <w:szCs w:val="52"/>
        </w:rPr>
      </w:pPr>
      <w:r>
        <w:rPr>
          <w:rFonts w:hint="eastAsia" w:ascii="宋体" w:hAnsi="宋体" w:eastAsia="宋体" w:cs="宋体"/>
          <w:color w:val="auto"/>
          <w:sz w:val="52"/>
          <w:szCs w:val="52"/>
        </w:rPr>
      </w:r>
      <w:r/>
    </w:p>
    <w:p>
      <w:pPr>
        <w:spacing w:line="360" w:lineRule="auto"/>
        <w:rPr>
          <w:rFonts w:hint="eastAsia" w:ascii="宋体" w:hAnsi="宋体" w:eastAsia="宋体" w:cs="宋体"/>
          <w:color w:val="auto"/>
          <w:sz w:val="52"/>
          <w:szCs w:val="52"/>
        </w:rPr>
      </w:pPr>
      <w:r>
        <w:rPr>
          <w:rFonts w:hint="eastAsia" w:ascii="宋体" w:hAnsi="宋体" w:eastAsia="宋体" w:cs="宋体"/>
          <w:color w:val="auto"/>
          <w:sz w:val="52"/>
          <w:szCs w:val="52"/>
        </w:rPr>
      </w:r>
      <w:r/>
    </w:p>
    <w:p>
      <w:pPr>
        <w:jc w:val="center"/>
        <w:spacing w:line="360" w:lineRule="auto"/>
        <w:rPr>
          <w:rFonts w:hint="eastAsia" w:ascii="宋体" w:hAnsi="宋体" w:eastAsia="宋体" w:cs="宋体"/>
          <w:color w:val="auto"/>
          <w:sz w:val="52"/>
          <w:szCs w:val="52"/>
        </w:rPr>
        <w:outlineLvl w:val="0"/>
      </w:pPr>
      <w:r/>
      <w:bookmarkStart w:id="2" w:name="_Toc20160"/>
      <w:r/>
      <w:bookmarkStart w:id="3" w:name="_Toc27257"/>
      <w:r/>
      <w:bookmarkStart w:id="4" w:name="_Toc31026"/>
      <w:r>
        <w:rPr>
          <w:rFonts w:hint="eastAsia" w:ascii="宋体" w:hAnsi="宋体" w:eastAsia="宋体" w:cs="宋体"/>
          <w:b/>
          <w:bCs/>
          <w:color w:val="auto"/>
          <w:sz w:val="52"/>
          <w:szCs w:val="52"/>
        </w:rPr>
        <w:t xml:space="preserve">第一章 磋商邀请函</w:t>
      </w:r>
      <w:bookmarkEnd w:id="0"/>
      <w:r/>
      <w:bookmarkEnd w:id="1"/>
      <w:r/>
      <w:bookmarkEnd w:id="2"/>
      <w:r/>
      <w:bookmarkEnd w:id="3"/>
      <w:r/>
      <w:bookmarkEnd w:id="4"/>
      <w:r/>
      <w:r/>
    </w:p>
    <w:p>
      <w:pPr>
        <w:rPr>
          <w:rFonts w:hint="eastAsia" w:ascii="宋体" w:hAnsi="宋体" w:eastAsia="宋体" w:cs="宋体"/>
          <w:color w:val="auto"/>
          <w:sz w:val="24"/>
          <w:szCs w:val="24"/>
        </w:rPr>
      </w:pPr>
      <w:r>
        <w:rPr>
          <w:rFonts w:hint="eastAsia" w:ascii="宋体" w:hAnsi="宋体" w:eastAsia="宋体" w:cs="宋体"/>
          <w:color w:val="auto"/>
          <w:sz w:val="52"/>
        </w:rPr>
        <w:br w:type="page" w:clear="all"/>
      </w:r>
      <w:r/>
    </w:p>
    <w:p>
      <w:pPr>
        <w:ind w:firstLine="480"/>
        <w:spacing w:line="360" w:lineRule="auto"/>
        <w:rPr>
          <w:rFonts w:hint="eastAsia" w:ascii="宋体" w:hAnsi="宋体" w:eastAsia="宋体" w:cs="宋体"/>
          <w:color w:val="auto"/>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rPr>
        <w:t xml:space="preserve">项目概况</w:t>
      </w:r>
      <w:r/>
    </w:p>
    <w:p>
      <w:pPr>
        <w:ind w:firstLine="480"/>
        <w:spacing w:line="360" w:lineRule="auto"/>
        <w:rPr>
          <w:rFonts w:hint="eastAsia" w:ascii="宋体" w:hAnsi="宋体" w:eastAsia="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4"/>
          <w:szCs w:val="24"/>
        </w:rPr>
        <w:t xml:space="preserve">枫桥街道白马涧小学龙池校区操场改造JSZC-320505-HXGW-C2026-0020采购项目的潜在供应商应在江苏省政府采购一体化平台“苏采云”系统获取采购文件</w:t>
      </w:r>
      <w:r>
        <w:rPr>
          <w:rFonts w:hint="eastAsia" w:ascii="宋体" w:hAnsi="宋体" w:eastAsia="宋体" w:cs="宋体"/>
          <w:color w:val="auto"/>
          <w:sz w:val="24"/>
          <w:szCs w:val="24"/>
          <w:highlight w:val="none"/>
        </w:rPr>
        <w:t xml:space="preserve">，并于2026-</w:t>
      </w:r>
      <w:r>
        <w:rPr>
          <w:rFonts w:hint="eastAsia" w:ascii="宋体" w:hAnsi="宋体" w:eastAsia="宋体" w:cs="宋体"/>
          <w:color w:val="auto"/>
          <w:sz w:val="24"/>
          <w:szCs w:val="24"/>
          <w:highlight w:val="none"/>
        </w:rPr>
        <w:t xml:space="preserve">06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：30</w:t>
      </w:r>
      <w:r>
        <w:rPr>
          <w:rFonts w:hint="eastAsia" w:ascii="宋体" w:hAnsi="宋体" w:eastAsia="宋体" w:cs="宋体"/>
          <w:bCs/>
          <w:color w:val="auto"/>
          <w:sz w:val="24"/>
          <w:szCs w:val="24"/>
          <w:highlight w:val="none"/>
        </w:rPr>
        <w:t xml:space="preserve">（北京时间）前提交响应文件</w:t>
      </w:r>
      <w:r>
        <w:rPr>
          <w:rFonts w:hint="eastAsia" w:ascii="宋体" w:hAnsi="宋体" w:eastAsia="宋体" w:cs="宋体"/>
          <w:color w:val="auto"/>
          <w:sz w:val="24"/>
          <w:szCs w:val="24"/>
          <w:highlight w:val="none"/>
        </w:rPr>
        <w:t xml:space="preserve">。</w:t>
      </w:r>
      <w:r/>
    </w:p>
    <w:p>
      <w:pPr>
        <w:ind w:firstLine="482"/>
        <w:spacing w:line="360" w:lineRule="auto"/>
        <w:rPr>
          <w:rFonts w:hint="eastAsia" w:ascii="宋体" w:hAnsi="宋体" w:eastAsia="宋体" w:cs="宋体"/>
          <w:b/>
          <w:color w:val="auto"/>
          <w:sz w:val="24"/>
          <w:szCs w:val="24"/>
        </w:rPr>
      </w:pPr>
      <w:r/>
      <w:bookmarkStart w:id="5" w:name="_Toc35393790"/>
      <w:r/>
      <w:bookmarkStart w:id="6" w:name="_Toc35393621"/>
      <w:r/>
      <w:bookmarkStart w:id="7" w:name="_Hlk24379207"/>
      <w:r/>
      <w:bookmarkStart w:id="8" w:name="_Toc28359002"/>
      <w:r/>
      <w:bookmarkStart w:id="9" w:name="_Toc28359079"/>
      <w:r>
        <w:rPr>
          <w:rFonts w:hint="eastAsia" w:ascii="宋体" w:hAnsi="宋体" w:eastAsia="宋体" w:cs="宋体"/>
          <w:b/>
          <w:color w:val="auto"/>
          <w:sz w:val="24"/>
          <w:szCs w:val="24"/>
        </w:rPr>
        <w:t xml:space="preserve">一、项目基本情况</w:t>
      </w:r>
      <w:bookmarkEnd w:id="5"/>
      <w:r/>
      <w:bookmarkEnd w:id="6"/>
      <w:r/>
      <w:bookmarkEnd w:id="7"/>
      <w:r/>
      <w:bookmarkEnd w:id="8"/>
      <w:r/>
      <w:bookmarkEnd w:id="9"/>
      <w:r/>
      <w:r/>
    </w:p>
    <w:p>
      <w:pPr>
        <w:ind w:firstLine="480"/>
        <w:spacing w:line="360" w:lineRule="auto"/>
        <w:tabs>
          <w:tab w:val="left" w:pos="711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项目编号：JSZC-320505-HXGW-C2026-0020</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项目名称：枫桥街道白马涧小学龙池校区操场改造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采购方式：竞争性磋商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预算金额：234.495992万元</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最高限价（如有）：/。</w:t>
      </w:r>
      <w:r/>
    </w:p>
    <w:p>
      <w:pPr>
        <w:ind w:firstLine="480"/>
        <w:spacing w:line="360" w:lineRule="auto"/>
        <w:tabs>
          <w:tab w:val="left" w:pos="711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采购需求：</w:t>
      </w:r>
      <w:r>
        <w:rPr>
          <w:rFonts w:hint="eastAsia" w:ascii="宋体" w:hAnsi="宋体" w:eastAsia="宋体" w:cs="宋体"/>
          <w:color w:val="auto"/>
          <w:sz w:val="24"/>
        </w:rPr>
        <w:t xml:space="preserve">本项目主要涉及学校操场草坪改造，排水沟维修清理，塑胶跑道局部修复、新增塑胶场地等，</w:t>
      </w:r>
      <w:r>
        <w:rPr>
          <w:rFonts w:hint="eastAsia" w:ascii="宋体" w:hAnsi="宋体" w:eastAsia="宋体" w:cs="宋体"/>
          <w:color w:val="auto"/>
          <w:sz w:val="24"/>
          <w:szCs w:val="24"/>
        </w:rPr>
        <w:t xml:space="preserve">具体内容详见采购文件。</w:t>
      </w:r>
      <w:r/>
    </w:p>
    <w:p>
      <w:pPr>
        <w:ind w:firstLine="480"/>
        <w:spacing w:line="360" w:lineRule="auto"/>
        <w:tabs>
          <w:tab w:val="left" w:pos="711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rPr>
        <w:t xml:space="preserve">合同履行期</w:t>
      </w:r>
      <w:r>
        <w:rPr>
          <w:rFonts w:hint="eastAsia" w:ascii="宋体" w:hAnsi="宋体" w:eastAsia="宋体" w:cs="宋体"/>
          <w:color w:val="auto"/>
          <w:sz w:val="24"/>
          <w:szCs w:val="24"/>
          <w:highlight w:val="none"/>
        </w:rPr>
        <w:t xml:space="preserve">限：</w:t>
      </w:r>
      <w:r>
        <w:rPr>
          <w:rFonts w:hint="eastAsia" w:ascii="宋体" w:hAnsi="宋体" w:eastAsia="宋体" w:cs="宋体"/>
          <w:color w:val="auto"/>
          <w:sz w:val="24"/>
          <w:szCs w:val="24"/>
          <w:highlight w:val="none"/>
          <w:lang w:eastAsia="zh-CN"/>
        </w:rPr>
        <w:t xml:space="preserve">施工工期为50日历天</w:t>
      </w:r>
      <w:r>
        <w:rPr>
          <w:rFonts w:hint="eastAsia" w:ascii="宋体" w:hAnsi="宋体" w:eastAsia="宋体" w:cs="宋体"/>
          <w:color w:val="auto"/>
          <w:sz w:val="24"/>
          <w:szCs w:val="24"/>
          <w:highlight w:val="none"/>
        </w:rPr>
        <w:t xml:space="preserve">；合同履行期限为从签订合同之日起至质量保修期满止，具体进度安排根据采购人施工进度计划及要求执行。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本项目（是/否）接受联合体：否</w:t>
      </w:r>
      <w:r/>
    </w:p>
    <w:p>
      <w:pPr>
        <w:ind w:firstLine="482"/>
        <w:spacing w:line="360" w:lineRule="auto"/>
        <w:rPr>
          <w:rFonts w:hint="eastAsia" w:ascii="宋体" w:hAnsi="宋体" w:eastAsia="宋体" w:cs="宋体"/>
          <w:b/>
          <w:color w:val="auto"/>
          <w:sz w:val="24"/>
          <w:szCs w:val="24"/>
        </w:rPr>
      </w:pPr>
      <w:r/>
      <w:bookmarkStart w:id="10" w:name="_Toc35393630"/>
      <w:r/>
      <w:bookmarkStart w:id="11" w:name="_Toc28359013"/>
      <w:r/>
      <w:bookmarkStart w:id="12" w:name="_Toc35393799"/>
      <w:r/>
      <w:bookmarkStart w:id="13" w:name="_Toc28359090"/>
      <w:r>
        <w:rPr>
          <w:rFonts w:hint="eastAsia" w:ascii="宋体" w:hAnsi="宋体" w:eastAsia="宋体" w:cs="宋体"/>
          <w:b/>
          <w:color w:val="auto"/>
          <w:sz w:val="24"/>
          <w:szCs w:val="24"/>
        </w:rPr>
        <w:t xml:space="preserve">二、申请人的资格要求：</w:t>
      </w:r>
      <w:bookmarkEnd w:id="10"/>
      <w:r/>
      <w:bookmarkEnd w:id="11"/>
      <w:r/>
      <w:bookmarkEnd w:id="12"/>
      <w:r/>
      <w:bookmarkEnd w:id="13"/>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（一）满足《中华人民共和国政府采购法》第二十二条规定</w:t>
      </w:r>
      <w:bookmarkStart w:id="14" w:name="_Toc28359003"/>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1.具有独立承担民事责任的能力；</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2.具有良好的商业信誉和健全的财务会计制度；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3.具有履行合同所必需的设备和专业技术能力；</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4.有依法缴纳税收和社会保障资金的良好记录；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5.参加政府采购活动前三年内，在经营活动中没有重大违法记录；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6.法律、行政法规规定的其他条件</w:t>
      </w:r>
      <w:bookmarkEnd w:id="14"/>
      <w:r/>
      <w:bookmarkStart w:id="15" w:name="_Toc28359091"/>
      <w:r/>
      <w:bookmarkStart w:id="16" w:name="_Toc28359014"/>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bookmarkStart w:id="17" w:name="_Toc35393631"/>
      <w:r/>
      <w:bookmarkStart w:id="18" w:name="_Toc35393800"/>
      <w:r>
        <w:rPr>
          <w:rFonts w:hint="eastAsia" w:ascii="宋体" w:hAnsi="宋体" w:eastAsia="宋体" w:cs="宋体"/>
          <w:color w:val="auto"/>
          <w:sz w:val="24"/>
          <w:szCs w:val="24"/>
        </w:rPr>
        <w:t xml:space="preserve">（二）落实政府采购政策需满足的资格要求：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1.根据《政府采购促进中小企业发展管理办法》的相关规定，本项目专门面向中小企业采购，</w:t>
      </w:r>
      <w:r>
        <w:rPr>
          <w:rFonts w:hint="eastAsia" w:ascii="宋体" w:hAnsi="宋体" w:eastAsia="宋体" w:cs="宋体"/>
          <w:b/>
          <w:bCs/>
          <w:color w:val="auto"/>
          <w:sz w:val="24"/>
          <w:szCs w:val="24"/>
        </w:rPr>
        <w:t xml:space="preserve">所属行业为建筑业，</w:t>
      </w:r>
      <w:r>
        <w:rPr>
          <w:rFonts w:hint="eastAsia" w:ascii="宋体" w:hAnsi="宋体" w:eastAsia="宋体" w:cs="宋体"/>
          <w:color w:val="auto"/>
          <w:sz w:val="24"/>
          <w:szCs w:val="24"/>
        </w:rPr>
        <w:t xml:space="preserve">供应商应为中小微企业、监狱企业、残疾人福利性单位，应提供《中小企业声明函》或《残疾人福利性单位声明函》或省级以上监狱管理局、戒毒管理局（含新疆生产建设兵团）出具的属于监狱企业的证明文件。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（三）本项目的特定资格要求：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1.具有有效的市政公用工程施工总承包三级及以上资质，具备安全生产条件，并取得有效期内的安全生产许可证；</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2.拟选派项目负责人资质等级：市政工程专业二级及以上建造师和《建筑施工企业项目负责人安全生产考核合格证书》（B证），且必须满足下列条件：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（1）项目负责人不得同时在两个或者两个以上单位受聘或者执业（同时在两个及以上单位签订劳动合同或交纳社会保险或将本人执（职）业资格证书同时注册在两个及以上单位）。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项目负责人是非变更后无在建工程，或项目负责人是变更后无在建工程（必须原合同工期已满且变更备案之日已满6个月），或因非成交单位原因致使工程项目停工或因故不能按期开工、且已办理了项目负责人解锁手续，或项目负责人有在建工程，但该在建工程与本次工程属于同一工程项目、同一项目批文、同一施工地点分段发包或分期施工的情况且总的工程规模在项目负责人执业范围之内。</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3.未被“信用中国”网站列入失信被执行人、重大税收违法案件当事人名单、政府采购严重失信行为记录名单。</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三、获取采购文件</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时间：自磋商文件公告发布之日起5个工作日</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w:t>
      </w:r>
      <w:bookmarkStart w:id="19" w:name="OLE_LINK11"/>
      <w:r>
        <w:rPr>
          <w:rFonts w:hint="eastAsia" w:ascii="宋体" w:hAnsi="宋体" w:eastAsia="宋体" w:cs="宋体"/>
          <w:color w:val="auto"/>
          <w:sz w:val="24"/>
          <w:szCs w:val="24"/>
        </w:rPr>
        <w:t xml:space="preserve">江苏省政府采购一体化平台“苏采云”系统</w:t>
      </w:r>
      <w:bookmarkEnd w:id="19"/>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方式：“苏采云”系统线上获取</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售价：0.00元</w:t>
      </w:r>
      <w:r/>
    </w:p>
    <w:p>
      <w:pPr>
        <w:ind w:firstLine="482"/>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四、响应文件提交</w:t>
      </w:r>
      <w:r/>
    </w:p>
    <w:p>
      <w:pPr>
        <w:ind w:firstLine="48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截止时间：2026-</w:t>
      </w:r>
      <w:r>
        <w:rPr>
          <w:rFonts w:hint="eastAsia" w:ascii="宋体" w:hAnsi="宋体" w:eastAsia="宋体" w:cs="宋体"/>
          <w:color w:val="auto"/>
          <w:sz w:val="24"/>
          <w:szCs w:val="24"/>
          <w:highlight w:val="none"/>
        </w:rPr>
        <w:t xml:space="preserve">06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：30（北京时间）</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地点：江苏省政府采购一体化平台“苏采云”系统</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五、开启</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时间：2026-</w:t>
      </w:r>
      <w:r>
        <w:rPr>
          <w:rFonts w:hint="eastAsia" w:ascii="宋体" w:hAnsi="宋体" w:eastAsia="宋体" w:cs="宋体"/>
          <w:color w:val="auto"/>
          <w:sz w:val="24"/>
          <w:szCs w:val="24"/>
          <w:highlight w:val="none"/>
        </w:rPr>
        <w:t xml:space="preserve">06</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 xml:space="preserve">11</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rPr>
        <w:t xml:space="preserve">13</w:t>
      </w:r>
      <w:r>
        <w:rPr>
          <w:rFonts w:hint="eastAsia" w:ascii="宋体" w:hAnsi="宋体" w:eastAsia="宋体" w:cs="宋体"/>
          <w:color w:val="auto"/>
          <w:sz w:val="24"/>
          <w:szCs w:val="24"/>
          <w:highlight w:val="none"/>
        </w:rPr>
        <w:t xml:space="preserve">：30（北京时间）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地点：</w:t>
      </w:r>
      <w:bookmarkEnd w:id="15"/>
      <w:r/>
      <w:bookmarkEnd w:id="16"/>
      <w:r/>
      <w:bookmarkEnd w:id="17"/>
      <w:r/>
      <w:bookmarkEnd w:id="18"/>
      <w:r>
        <w:rPr>
          <w:rFonts w:hint="eastAsia" w:ascii="宋体" w:hAnsi="宋体" w:eastAsia="宋体" w:cs="宋体"/>
          <w:color w:val="auto"/>
          <w:sz w:val="24"/>
          <w:szCs w:val="24"/>
        </w:rPr>
        <w:t xml:space="preserve">苏州市市辖区政府采购不见面虚拟开标室</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六、公告期限</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自本公告发布之日起3个工作日。</w:t>
      </w:r>
      <w:r/>
    </w:p>
    <w:p>
      <w:pPr>
        <w:ind w:firstLine="482"/>
        <w:spacing w:line="360" w:lineRule="auto"/>
        <w:rPr>
          <w:rFonts w:hint="eastAsia" w:ascii="宋体" w:hAnsi="宋体" w:eastAsia="宋体" w:cs="宋体"/>
          <w:b/>
          <w:color w:val="auto"/>
          <w:sz w:val="24"/>
          <w:szCs w:val="24"/>
        </w:rPr>
      </w:pPr>
      <w:r/>
      <w:bookmarkStart w:id="20" w:name="_Toc35393635"/>
      <w:r/>
      <w:bookmarkStart w:id="21" w:name="_Toc35393804"/>
      <w:r>
        <w:rPr>
          <w:rFonts w:hint="eastAsia" w:ascii="宋体" w:hAnsi="宋体" w:eastAsia="宋体" w:cs="宋体"/>
          <w:b/>
          <w:bCs/>
          <w:color w:val="auto"/>
          <w:sz w:val="24"/>
          <w:szCs w:val="24"/>
        </w:rPr>
        <w:t xml:space="preserve">七</w:t>
      </w:r>
      <w:r>
        <w:rPr>
          <w:rFonts w:hint="eastAsia" w:ascii="宋体" w:hAnsi="宋体" w:eastAsia="宋体" w:cs="宋体"/>
          <w:b/>
          <w:color w:val="auto"/>
          <w:sz w:val="24"/>
          <w:szCs w:val="24"/>
        </w:rPr>
        <w:t xml:space="preserve">、其他补充事宜</w:t>
      </w:r>
      <w:bookmarkEnd w:id="20"/>
      <w:r/>
      <w:bookmarkEnd w:id="21"/>
      <w:r/>
      <w:r/>
    </w:p>
    <w:p>
      <w:pPr>
        <w:ind w:firstLine="480"/>
        <w:spacing w:line="360" w:lineRule="auto"/>
        <w:rPr>
          <w:rFonts w:hint="eastAsia" w:ascii="宋体" w:hAnsi="宋体" w:eastAsia="宋体" w:cs="宋体"/>
          <w:color w:val="auto"/>
          <w:sz w:val="24"/>
          <w:szCs w:val="24"/>
        </w:rPr>
      </w:pPr>
      <w:r/>
      <w:bookmarkStart w:id="22" w:name="_Toc28359018"/>
      <w:r/>
      <w:bookmarkStart w:id="23" w:name="_Toc35393805"/>
      <w:r/>
      <w:bookmarkStart w:id="24" w:name="_Toc28359095"/>
      <w:r/>
      <w:bookmarkStart w:id="25" w:name="_Toc35393636"/>
      <w:r>
        <w:rPr>
          <w:rFonts w:hint="eastAsia" w:ascii="宋体" w:hAnsi="宋体" w:eastAsia="宋体" w:cs="宋体"/>
          <w:color w:val="auto"/>
          <w:sz w:val="24"/>
          <w:szCs w:val="24"/>
        </w:rPr>
        <w:t xml:space="preserve">1、CA办理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供应商通过江苏省政府采购一体化平台“苏采云”系统（以下简称“苏采云”系统，网址：http://js</w:t>
      </w:r>
      <w:r>
        <w:rPr>
          <w:rFonts w:hint="eastAsia" w:ascii="宋体" w:hAnsi="宋体" w:eastAsia="宋体" w:cs="宋体"/>
          <w:color w:val="auto"/>
          <w:sz w:val="24"/>
          <w:szCs w:val="24"/>
        </w:rPr>
        <w:t xml:space="preserve">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-65727699。</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2、依法获取采购文件</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插入CA证书登陆“苏采云”系统后选择具体项目，点击“我要参与”并签章提交《供应商确认函》，确认参与后自行免费下载采购文件，提交《供应商确认函》日期视同为依法获取采购文件日期。供应商须打印、保留《供应商确认函》，质疑时《供应商确认函》与质疑函一并提交。未依照招标（采购）公告要求提交《供应商确认函》的供应商，视为未参与该项政府采购活动，不具备对该政府采购项目提出质疑的法定权利，但因供应商资格条件或获取招标（采购）文件时间设定不符合有关法律法规规定等原因使供应商权益受损的除外。</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更正（补充）公告及附件的获取：项目的招标（采购）文件的更正、补充（澄清）通知作为招标（采购）文件的组成部分，对响应单位起约束作用，投标（响应）供应商应及时关注、查询、下载政府采购信息发布媒体上发布的更正（补充）公告，同时在“苏采云”系统中下载更正（补充）资料。如有遗漏（包括但不限于文件未下载或下载不完整），可能无法解密投标（响应）文件，由此所造成的投标（响应）失败或损失由投标（响应）供应商自行负责。</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3、电子投标（响应）准备</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在“苏采云”系统中操作成功参与项目后，必须在“已参与项目”界面中下载电子招标（采购）文件并导入政府采购客户端工具后方可进行投标（响应）文件制作和提交（具体详见《苏采云系统供应商操作手册》，网址链接https：//czju.suzhou.gov.cn/zfcg/html/content/20231220161910031.shtml）。</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4、线上参加开标（开启）会方式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登录“苏采云”系统在平台首页点击“开标大厅”，进入江苏省政府采购一体化不见面开标（采购）大厅，在今日项目列表，点击项目，进入不见面开标系统。本项目为不见面开标项目，开标阶段供应商在【供应商解密】环节必须使用CA证书解密电子投标（响应）文件，如在系统规定的解密时间（投标/响应文件提交截止时间后30分钟）内未能完成解密的，视为放弃投标（响应）。</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供应商确保电脑、系统及其他设备（视频输入、输出设备等）无误，且开标直至项目结束始终保持系统在线状态，并按要求在规定时间内进行响应。在评审过程中系统如有特殊情况，工作人员会及时通过《供应商确认函》或法人授权委托书（如有）中留存的手机号与供应商联系。请供应商确保系统在线状态且该手机号开评标当日通讯畅通，否则导致的对供应商不利的后果由供应商自行承担。</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5、在系统操作过程中如有疑问，请按以下方式联系：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CA技术咨询服务电话：400-608-6099；</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电子签章技术咨询服务电话：025-83633811、025-83633812、15380932027、13675197356；</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“苏采云”平台技术咨询电话：</w:t>
      </w:r>
      <w:bookmarkStart w:id="26" w:name="_Hlk157939100"/>
      <w:r/>
      <w:bookmarkStart w:id="27" w:name="_Hlk155717243"/>
      <w:r>
        <w:rPr>
          <w:rFonts w:hint="eastAsia" w:ascii="宋体" w:hAnsi="宋体" w:eastAsia="宋体" w:cs="宋体"/>
          <w:color w:val="auto"/>
          <w:sz w:val="24"/>
          <w:szCs w:val="24"/>
        </w:rPr>
        <w:t xml:space="preserve">0519-86722802、13914088964</w:t>
      </w:r>
      <w:bookmarkEnd w:id="26"/>
      <w:r/>
      <w:bookmarkEnd w:id="27"/>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6、考虑到熟悉“苏采云”系统、办理CA证书都需要一定的时间，请提早准备以免耽误招（投）标采购活动。</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7、拒绝下述供应商参加本次采购活动：</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（2）为采购项目提供整体设计、规范编制或者项目管理、监理、检测等服务的供应商，不得再参加该采购项目的其他采购活动。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color w:val="auto"/>
          <w:sz w:val="24"/>
          <w:szCs w:val="24"/>
          <w:shd w:val="clear" w:color="auto" w:fill="ffffff"/>
          <w:lang w:bidi="ar"/>
        </w:rPr>
        <w:t xml:space="preserve">本次采购的有关信息（包括澄清、修改及成交等）将在中国政府采购网、江苏政府采购网、苏州市政府采购网上发布，敬请留意。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9、本项目获取采购文件截止日期之后下载的采购文件，视为非有效方式且不作为供应商权益受到损害的证明材料和依据。</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10、工程量清单等附件详见网盘，链接如下：</w:t>
      </w:r>
      <w:r/>
    </w:p>
    <w:p>
      <w:pPr>
        <w:ind w:firstLine="480"/>
        <w:spacing w:line="36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https://pan.baidu.com/s/1154yiutXlf4AidNV5xpvTg 提取码: HXGW</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、本项目不收取磋商保证金。</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shd w:val="clear" w:color="auto" w:fill="ffffff"/>
          <w:lang w:bidi="ar"/>
        </w:rPr>
        <w:t xml:space="preserve">如不同投标（响应）文件制作机器码一致，则投标（响应）无效。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、本项目支持政府采购合同信用融资。</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、苏州高新区政府采购监督电话：0512-68751331、0512-68751335。</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color w:val="auto"/>
          <w:sz w:val="24"/>
          <w:szCs w:val="24"/>
        </w:rPr>
        <w:t xml:space="preserve">八、凡对本次采购提出询问，请按以下方式联系。</w:t>
      </w:r>
      <w:bookmarkEnd w:id="22"/>
      <w:r/>
      <w:bookmarkEnd w:id="23"/>
      <w:r/>
      <w:bookmarkEnd w:id="24"/>
      <w:r/>
      <w:bookmarkEnd w:id="25"/>
      <w:r/>
      <w:r/>
    </w:p>
    <w:p>
      <w:pPr>
        <w:ind w:firstLine="480"/>
        <w:spacing w:line="360" w:lineRule="auto"/>
        <w:rPr>
          <w:rFonts w:hint="eastAsia" w:ascii="宋体" w:hAnsi="宋体" w:eastAsia="宋体" w:cs="宋体"/>
          <w:color w:val="auto"/>
          <w:sz w:val="24"/>
          <w:szCs w:val="24"/>
        </w:rPr>
      </w:pPr>
      <w:r/>
      <w:bookmarkStart w:id="28" w:name="_Toc35393806"/>
      <w:r/>
      <w:bookmarkStart w:id="29" w:name="_Toc28359019"/>
      <w:r/>
      <w:bookmarkStart w:id="30" w:name="_Toc35393637"/>
      <w:r/>
      <w:bookmarkStart w:id="31" w:name="_Toc28359096"/>
      <w:r>
        <w:rPr>
          <w:rFonts w:hint="eastAsia" w:ascii="宋体" w:hAnsi="宋体" w:eastAsia="宋体" w:cs="宋体"/>
          <w:color w:val="auto"/>
          <w:sz w:val="24"/>
          <w:szCs w:val="24"/>
        </w:rPr>
        <w:t xml:space="preserve">1.采购人信息</w:t>
      </w:r>
      <w:bookmarkEnd w:id="28"/>
      <w:r/>
      <w:bookmarkEnd w:id="29"/>
      <w:r/>
      <w:bookmarkEnd w:id="30"/>
      <w:r/>
      <w:bookmarkEnd w:id="31"/>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单位名称：苏州高新区狮山商务创新区管理办公室</w:t>
      </w:r>
      <w:r/>
    </w:p>
    <w:p>
      <w:pPr>
        <w:ind w:firstLine="480"/>
        <w:spacing w:line="360" w:lineRule="auto"/>
        <w:rPr>
          <w:rFonts w:hint="eastAsia" w:ascii="宋体" w:hAnsi="宋体" w:eastAsia="宋体" w:cs="宋体"/>
          <w:color w:val="auto"/>
          <w:sz w:val="24"/>
          <w:szCs w:val="24"/>
        </w:rPr>
      </w:pPr>
      <w:r/>
      <w:bookmarkStart w:id="32" w:name="_Toc35393807"/>
      <w:r/>
      <w:bookmarkStart w:id="33" w:name="_Toc28359020"/>
      <w:r/>
      <w:bookmarkStart w:id="34" w:name="_Toc28359097"/>
      <w:r/>
      <w:bookmarkStart w:id="35" w:name="_Toc35393638"/>
      <w:r>
        <w:rPr>
          <w:rFonts w:hint="eastAsia" w:ascii="宋体" w:hAnsi="宋体" w:eastAsia="宋体" w:cs="宋体"/>
          <w:color w:val="auto"/>
          <w:sz w:val="24"/>
          <w:szCs w:val="24"/>
        </w:rPr>
        <w:t xml:space="preserve">单位地址：苏州高新区金山东路10号</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联系人：杨静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联系电话：0512-68712991</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2.采购代理机构信息</w:t>
      </w:r>
      <w:bookmarkEnd w:id="32"/>
      <w:r/>
      <w:bookmarkEnd w:id="33"/>
      <w:r/>
      <w:bookmarkEnd w:id="34"/>
      <w:r/>
      <w:bookmarkEnd w:id="35"/>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单位名称：涵熙（苏州）工程顾问有限公司</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单位地址：苏州高新区汾湖路99号狮山总部经济中心7幢3层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联系人：邵赞瑜、张雯雯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联系电话：0512-69589240</w:t>
      </w:r>
      <w:r/>
    </w:p>
    <w:p>
      <w:pPr>
        <w:ind w:firstLine="480"/>
        <w:spacing w:line="360" w:lineRule="auto"/>
        <w:rPr>
          <w:rFonts w:hint="eastAsia" w:ascii="宋体" w:hAnsi="宋体" w:eastAsia="宋体" w:cs="宋体"/>
          <w:color w:val="auto"/>
          <w:sz w:val="24"/>
          <w:szCs w:val="24"/>
        </w:rPr>
      </w:pPr>
      <w:r/>
      <w:bookmarkStart w:id="36" w:name="_Toc28359021"/>
      <w:r/>
      <w:bookmarkStart w:id="37" w:name="_Toc35393808"/>
      <w:r/>
      <w:bookmarkStart w:id="38" w:name="_Toc28359098"/>
      <w:r/>
      <w:bookmarkStart w:id="39" w:name="_Toc35393639"/>
      <w:r>
        <w:rPr>
          <w:rFonts w:hint="eastAsia" w:ascii="宋体" w:hAnsi="宋体" w:eastAsia="宋体" w:cs="宋体"/>
          <w:color w:val="auto"/>
          <w:sz w:val="24"/>
          <w:szCs w:val="24"/>
        </w:rPr>
        <w:t xml:space="preserve">3.项目联系方式</w:t>
      </w:r>
      <w:bookmarkEnd w:id="36"/>
      <w:r/>
      <w:bookmarkEnd w:id="37"/>
      <w:r/>
      <w:bookmarkEnd w:id="38"/>
      <w:r/>
      <w:bookmarkEnd w:id="39"/>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项目联系人：邵赞瑜、张雯雯</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电话：0512-69589240</w:t>
      </w:r>
      <w:r/>
    </w:p>
    <w:p>
      <w:pPr>
        <w:rPr>
          <w:rFonts w:hint="eastAsia" w:ascii="宋体" w:hAnsi="宋体" w:eastAsia="宋体" w:cs="宋体"/>
          <w:color w:val="auto"/>
          <w:sz w:val="24"/>
          <w:szCs w:val="24"/>
        </w:rPr>
      </w:pPr>
      <w:r>
        <w:rPr>
          <w:rFonts w:hint="eastAsia" w:ascii="宋体" w:hAnsi="宋体" w:eastAsia="宋体" w:cs="宋体"/>
          <w:color w:val="auto"/>
          <w:sz w:val="24"/>
          <w:szCs w:val="24"/>
        </w:rPr>
        <w:br w:type="page" w:clear="all"/>
      </w:r>
      <w:r/>
    </w:p>
    <w:p>
      <w:pPr>
        <w:jc w:val="center"/>
        <w:spacing w:line="360" w:lineRule="auto"/>
        <w:tabs>
          <w:tab w:val="left" w:pos="8930" w:leader="none"/>
          <w:tab w:val="left" w:pos="9306" w:leader="none"/>
        </w:tabs>
        <w:rPr>
          <w:rStyle w:val="807"/>
          <w:rFonts w:hint="eastAsia" w:ascii="宋体" w:hAnsi="宋体" w:eastAsia="宋体" w:cs="宋体"/>
          <w:color w:val="auto"/>
          <w:sz w:val="52"/>
          <w:szCs w:val="52"/>
        </w:rPr>
        <w:outlineLvl w:val="0"/>
      </w:pPr>
      <w:r>
        <w:rPr>
          <w:rFonts w:hint="eastAsia" w:ascii="宋体" w:hAnsi="宋体" w:eastAsia="宋体" w:cs="宋体"/>
          <w:color w:val="auto"/>
          <w:sz w:val="52"/>
          <w:szCs w:val="52"/>
        </w:rPr>
      </w:r>
      <w:r/>
    </w:p>
    <w:p>
      <w:pPr>
        <w:jc w:val="center"/>
        <w:spacing w:line="360" w:lineRule="auto"/>
        <w:tabs>
          <w:tab w:val="left" w:pos="8930" w:leader="none"/>
          <w:tab w:val="left" w:pos="9306" w:leader="none"/>
        </w:tabs>
        <w:rPr>
          <w:rStyle w:val="807"/>
          <w:rFonts w:hint="eastAsia" w:ascii="宋体" w:hAnsi="宋体" w:eastAsia="宋体" w:cs="宋体"/>
          <w:color w:val="auto"/>
          <w:sz w:val="52"/>
          <w:szCs w:val="52"/>
        </w:rPr>
        <w:outlineLvl w:val="0"/>
      </w:pPr>
      <w:r>
        <w:rPr>
          <w:rFonts w:hint="eastAsia" w:ascii="宋体" w:hAnsi="宋体" w:eastAsia="宋体" w:cs="宋体"/>
          <w:color w:val="auto"/>
          <w:sz w:val="52"/>
          <w:szCs w:val="52"/>
        </w:rPr>
      </w:r>
      <w:r/>
    </w:p>
    <w:p>
      <w:pPr>
        <w:jc w:val="center"/>
        <w:spacing w:line="360" w:lineRule="auto"/>
        <w:tabs>
          <w:tab w:val="left" w:pos="8930" w:leader="none"/>
          <w:tab w:val="left" w:pos="9306" w:leader="none"/>
        </w:tabs>
        <w:rPr>
          <w:rStyle w:val="807"/>
          <w:rFonts w:hint="eastAsia" w:ascii="宋体" w:hAnsi="宋体" w:eastAsia="宋体" w:cs="宋体"/>
          <w:color w:val="auto"/>
          <w:sz w:val="52"/>
          <w:szCs w:val="52"/>
        </w:rPr>
        <w:outlineLvl w:val="0"/>
      </w:pPr>
      <w:r>
        <w:rPr>
          <w:rFonts w:hint="eastAsia" w:ascii="宋体" w:hAnsi="宋体" w:eastAsia="宋体" w:cs="宋体"/>
          <w:color w:val="auto"/>
          <w:sz w:val="52"/>
          <w:szCs w:val="52"/>
        </w:rPr>
      </w:r>
      <w:r/>
    </w:p>
    <w:p>
      <w:pPr>
        <w:jc w:val="center"/>
        <w:spacing w:line="360" w:lineRule="auto"/>
        <w:tabs>
          <w:tab w:val="left" w:pos="8930" w:leader="none"/>
          <w:tab w:val="left" w:pos="9306" w:leader="none"/>
        </w:tabs>
        <w:rPr>
          <w:rStyle w:val="807"/>
          <w:rFonts w:hint="eastAsia" w:ascii="宋体" w:hAnsi="宋体" w:eastAsia="宋体" w:cs="宋体"/>
          <w:color w:val="auto"/>
          <w:sz w:val="52"/>
          <w:szCs w:val="52"/>
        </w:rPr>
        <w:outlineLvl w:val="0"/>
      </w:pPr>
      <w:r>
        <w:rPr>
          <w:rFonts w:hint="eastAsia" w:ascii="宋体" w:hAnsi="宋体" w:eastAsia="宋体" w:cs="宋体"/>
          <w:color w:val="auto"/>
          <w:sz w:val="52"/>
          <w:szCs w:val="52"/>
        </w:rPr>
      </w:r>
      <w:r/>
    </w:p>
    <w:p>
      <w:pPr>
        <w:spacing w:line="360" w:lineRule="auto"/>
        <w:tabs>
          <w:tab w:val="left" w:pos="8930" w:leader="none"/>
          <w:tab w:val="left" w:pos="9306" w:leader="none"/>
        </w:tabs>
        <w:rPr>
          <w:rStyle w:val="807"/>
          <w:rFonts w:hint="eastAsia" w:ascii="宋体" w:hAnsi="宋体" w:eastAsia="宋体" w:cs="宋体"/>
          <w:color w:val="auto"/>
          <w:sz w:val="52"/>
          <w:szCs w:val="52"/>
        </w:rPr>
        <w:outlineLvl w:val="0"/>
      </w:pPr>
      <w:r>
        <w:rPr>
          <w:rFonts w:hint="eastAsia" w:ascii="宋体" w:hAnsi="宋体" w:eastAsia="宋体" w:cs="宋体"/>
          <w:color w:val="auto"/>
          <w:sz w:val="52"/>
          <w:szCs w:val="52"/>
        </w:rPr>
      </w:r>
      <w:r/>
    </w:p>
    <w:p>
      <w:pPr>
        <w:jc w:val="center"/>
        <w:spacing w:line="360" w:lineRule="auto"/>
        <w:tabs>
          <w:tab w:val="left" w:pos="8930" w:leader="none"/>
          <w:tab w:val="left" w:pos="9306" w:leader="none"/>
        </w:tabs>
        <w:rPr>
          <w:rStyle w:val="807"/>
          <w:rFonts w:hint="eastAsia" w:ascii="宋体" w:hAnsi="宋体" w:eastAsia="宋体" w:cs="宋体"/>
          <w:color w:val="auto"/>
          <w:sz w:val="52"/>
          <w:szCs w:val="52"/>
        </w:rPr>
        <w:outlineLvl w:val="0"/>
      </w:pPr>
      <w:r>
        <w:rPr>
          <w:rFonts w:hint="eastAsia" w:ascii="宋体" w:hAnsi="宋体" w:eastAsia="宋体" w:cs="宋体"/>
          <w:color w:val="auto"/>
          <w:sz w:val="52"/>
          <w:szCs w:val="52"/>
        </w:rPr>
      </w:r>
      <w:r/>
    </w:p>
    <w:p>
      <w:pPr>
        <w:jc w:val="center"/>
        <w:spacing w:line="360" w:lineRule="auto"/>
        <w:tabs>
          <w:tab w:val="left" w:pos="8930" w:leader="none"/>
          <w:tab w:val="left" w:pos="9306" w:leader="none"/>
        </w:tabs>
        <w:rPr>
          <w:rFonts w:hint="eastAsia" w:ascii="宋体" w:hAnsi="宋体" w:eastAsia="宋体" w:cs="宋体"/>
          <w:color w:val="auto"/>
          <w:sz w:val="52"/>
          <w:szCs w:val="52"/>
        </w:rPr>
        <w:outlineLvl w:val="0"/>
      </w:pPr>
      <w:r/>
      <w:bookmarkStart w:id="40" w:name="_Toc23510"/>
      <w:r/>
      <w:bookmarkStart w:id="41" w:name="_Toc9055"/>
      <w:r/>
      <w:bookmarkStart w:id="42" w:name="_Toc20179"/>
      <w:r>
        <w:rPr>
          <w:rStyle w:val="807"/>
          <w:rFonts w:hint="eastAsia" w:ascii="宋体" w:hAnsi="宋体" w:eastAsia="宋体" w:cs="宋体"/>
          <w:color w:val="auto"/>
          <w:sz w:val="52"/>
          <w:szCs w:val="52"/>
        </w:rPr>
        <w:t xml:space="preserve">第二章 磋商须知</w:t>
      </w:r>
      <w:bookmarkEnd w:id="40"/>
      <w:r/>
      <w:bookmarkEnd w:id="41"/>
      <w:r/>
      <w:bookmarkEnd w:id="42"/>
      <w:r/>
      <w:r/>
    </w:p>
    <w:p>
      <w:pPr>
        <w:spacing w:line="360" w:lineRule="auto"/>
        <w:rPr>
          <w:rFonts w:hint="eastAsia" w:ascii="宋体" w:hAnsi="宋体" w:eastAsia="宋体" w:cs="宋体"/>
          <w:color w:val="auto"/>
          <w:sz w:val="52"/>
          <w:szCs w:val="52"/>
        </w:rPr>
        <w:outlineLvl w:val="0"/>
      </w:pPr>
      <w:r>
        <w:rPr>
          <w:rFonts w:hint="eastAsia" w:ascii="宋体" w:hAnsi="宋体" w:eastAsia="宋体" w:cs="宋体"/>
          <w:color w:val="auto"/>
          <w:sz w:val="52"/>
          <w:szCs w:val="52"/>
        </w:rPr>
      </w:r>
      <w:r/>
    </w:p>
    <w:p>
      <w:pPr>
        <w:ind w:firstLine="422"/>
        <w:spacing w:line="360" w:lineRule="auto"/>
        <w:tabs>
          <w:tab w:val="left" w:pos="8930" w:leader="none"/>
          <w:tab w:val="left" w:pos="9306" w:leader="none"/>
        </w:tabs>
        <w:rPr>
          <w:rFonts w:hint="eastAsia" w:ascii="宋体" w:hAnsi="宋体" w:eastAsia="宋体" w:cs="宋体"/>
          <w:b/>
          <w:bCs/>
          <w:color w:val="auto"/>
          <w:sz w:val="24"/>
          <w:szCs w:val="24"/>
        </w:rPr>
      </w:pPr>
      <w:r>
        <w:rPr>
          <w:rFonts w:hint="eastAsia" w:ascii="宋体" w:hAnsi="宋体" w:eastAsia="宋体" w:cs="宋体"/>
          <w:b/>
          <w:bCs/>
          <w:color w:val="auto"/>
          <w:szCs w:val="21"/>
        </w:rPr>
        <w:br w:type="page" w:clear="all"/>
      </w:r>
      <w:r>
        <w:rPr>
          <w:rFonts w:hint="eastAsia" w:ascii="宋体" w:hAnsi="宋体" w:eastAsia="宋体" w:cs="宋体"/>
          <w:b/>
          <w:bCs/>
          <w:color w:val="auto"/>
          <w:sz w:val="24"/>
          <w:szCs w:val="24"/>
        </w:rPr>
        <w:t xml:space="preserve">1.说明</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1.1本采购文件仅适用于涵熙（苏州）工程顾问有限公司组织的采购活动。</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1.2本次采购活动及因本次采购产生的合同受中国法律制约和保护。</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1.3本采购文件的解释权属于涵熙（苏州）工程顾问有限公司。</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2.词语释义</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2.1采购单位：依法进行政府采购的国家机关、事业单位、团体组织。</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2.2采购代理机构：指依法接受采购人委托，从事货物、工程和服务等政府采购业务的采购代理机构。</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2.3供应商：响应磋商并且符合采购文件规定资格条件和参加磋商竞争的法人、其他组织或者自然人。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2.4响应：供应商根据采购单位发布的采购文件，编制磋商响应文件并按规定参与磋商的行为。</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2.5合同：采供双方根据采购文件、成交的磋商响应文件及成交通知书规定的内容签署的以书面形式达成的协议，包括所有的附件、附录和构成协议的所有文件。</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2.6甲方（采购方）：合同中明确规定的实际购买货物和服务的法人或其他组织和自然人。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2.7乙方（供应商）：合同中规定的向采购方提供货物和服务的法人或其他组织和自然人。</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2.8货物：系指供应商按采购文件规定，应向采购方提供的一切设备、备品、备件、工具、手册及其它有关技术资料和材料。</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2.9服务：系指本次采购文件规定供应商应承担的与提供货物和服务有关的辅助服务，比如运输、保险、安装、调试、提供技术援助、培训、配合措施、维修响应及合同中规定供应商应承担的其它义务。</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2.10知识产权：指专利权、商标权、著作权等无形财产专有权的统称。</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2.11天：日历天。</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2.12时间：除特别说明，均指北京时间。</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2.13交货地点：合同中明确约定的供应商提交的货物和服务最终到达地点。</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2.14合同价款：根据合同规定，供应商在正确履行合同义务后采购方应支付供应商的价款。</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2.15产地：货物开采、生长、生产、最终制造、加工或提供服务的来源地。</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2.16不可抗力：不能预见、不能避免并且不能克服的客观情况。</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2.17实质性响应：满足本次采购标的、数量、质量、价款或者报酬、履行期限、履行地点和方式、违约责任和解决争议方法等要求。</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2.18进口产品：指通过中国海关报关验放进入中国境内且产自境外的产品。</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2.19书面形式：指书面文字、合同书、信件和传真等可以有形地表现所载内容的形式。</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3.申请人的资格要求</w:t>
      </w:r>
      <w:r/>
    </w:p>
    <w:p>
      <w:pPr>
        <w:ind w:firstLine="480"/>
        <w:spacing w:line="360" w:lineRule="auto"/>
        <w:tabs>
          <w:tab w:val="left" w:pos="8930" w:leader="none"/>
          <w:tab w:val="left" w:pos="9306" w:leader="none"/>
        </w:tabs>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详见本项目采购文件第一章中的“申请人的资格要求”。</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4.供应商代表</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4.1供应商代表指全权代表供应商参加磋商采购活动并签署磋商响应文件的人，如果磋商供应商代表不是法人代表，须持有《法人代表授权委托书》（详见采购文件第三章统一格式）。</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5.磋商费用</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5.1无论磋商过程中的做法和结果如何，磋商供应商自行承担所有与参加磋商有关的全部费用。</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6.联合体响应</w:t>
      </w:r>
      <w:r/>
    </w:p>
    <w:p>
      <w:pPr>
        <w:ind w:firstLine="480"/>
        <w:spacing w:line="360" w:lineRule="auto"/>
        <w:rPr>
          <w:rFonts w:hint="eastAsia" w:ascii="宋体" w:hAnsi="宋体" w:eastAsia="宋体" w:cs="宋体"/>
          <w:color w:val="auto"/>
          <w:spacing w:val="-1"/>
          <w:sz w:val="24"/>
          <w:szCs w:val="24"/>
        </w:rPr>
      </w:pPr>
      <w:r>
        <w:rPr>
          <w:rFonts w:hint="eastAsia" w:ascii="宋体" w:hAnsi="宋体" w:eastAsia="宋体" w:cs="宋体"/>
          <w:color w:val="auto"/>
          <w:sz w:val="24"/>
          <w:szCs w:val="24"/>
        </w:rPr>
        <w:t xml:space="preserve">6.1本项目不接受联合体响应，采购文件中涉及联合体的相关条款均不适用。</w:t>
      </w:r>
      <w:r/>
    </w:p>
    <w:p>
      <w:pPr>
        <w:ind w:firstLine="480"/>
        <w:spacing w:line="360" w:lineRule="auto"/>
        <w:rPr>
          <w:rFonts w:hint="eastAsia" w:ascii="宋体" w:hAnsi="宋体" w:eastAsia="宋体" w:cs="宋体"/>
          <w:color w:val="auto"/>
          <w:sz w:val="24"/>
        </w:rPr>
      </w:pPr>
      <w:r>
        <w:rPr>
          <w:rFonts w:hint="eastAsia" w:ascii="宋体" w:hAnsi="宋体" w:eastAsia="宋体" w:cs="宋体"/>
          <w:color w:val="auto"/>
          <w:spacing w:val="-1"/>
          <w:sz w:val="24"/>
          <w:szCs w:val="24"/>
        </w:rPr>
        <w:t xml:space="preserve">6.2若</w:t>
      </w:r>
      <w:r>
        <w:rPr>
          <w:rFonts w:hint="eastAsia" w:ascii="宋体" w:hAnsi="宋体" w:eastAsia="宋体" w:cs="宋体"/>
          <w:color w:val="auto"/>
          <w:sz w:val="24"/>
        </w:rPr>
        <w:t xml:space="preserve">本项目采购公告规定接受联合体的，联合体除应符合上述资格要求外，还应遵守以下规定：</w:t>
      </w:r>
      <w:r/>
    </w:p>
    <w:p>
      <w:pPr>
        <w:ind w:firstLine="476"/>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（1）联合体各方应当向采购人提交联合体协议书，载明联合体各方承担的工作和义务，明确小微企业（残疾人福利性单位、监狱企业）的合同份额占合同总金额的比例（如涉及），否则响应无效。</w:t>
      </w:r>
      <w:r/>
    </w:p>
    <w:p>
      <w:pPr>
        <w:ind w:firstLine="476"/>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（2）联合体中有同类资质的供应商按照联合体分工承担相同工作的，应当按照资质等级较低的供应商确定资质等级。</w:t>
      </w:r>
      <w:r/>
    </w:p>
    <w:p>
      <w:pPr>
        <w:ind w:firstLine="476"/>
        <w:spacing w:line="360" w:lineRule="auto"/>
        <w:rPr>
          <w:rFonts w:hint="eastAsia" w:ascii="宋体" w:hAnsi="宋体" w:eastAsia="宋体" w:cs="宋体"/>
          <w:color w:val="auto"/>
          <w:spacing w:val="-1"/>
          <w:sz w:val="24"/>
          <w:szCs w:val="24"/>
        </w:rPr>
      </w:pPr>
      <w:r>
        <w:rPr>
          <w:rFonts w:hint="eastAsia" w:ascii="宋体" w:hAnsi="宋体" w:eastAsia="宋体" w:cs="宋体"/>
          <w:color w:val="auto"/>
          <w:spacing w:val="-1"/>
          <w:sz w:val="24"/>
          <w:szCs w:val="24"/>
        </w:rPr>
        <w:t xml:space="preserve">（3）联合体各方不得再单独参加或者与其他供应商组成联合体参加同一合同项下的政府采购活动，否则各相关响应均无效。</w:t>
      </w:r>
      <w:r/>
    </w:p>
    <w:p>
      <w:pPr>
        <w:ind w:firstLine="476"/>
        <w:spacing w:line="360" w:lineRule="auto"/>
        <w:rPr>
          <w:rFonts w:hint="eastAsia" w:ascii="宋体" w:hAnsi="宋体" w:eastAsia="宋体" w:cs="宋体"/>
          <w:b/>
          <w:bCs/>
          <w:color w:val="auto"/>
          <w:sz w:val="24"/>
          <w:szCs w:val="24"/>
        </w:rPr>
      </w:pPr>
      <w:r>
        <w:rPr>
          <w:rFonts w:hint="eastAsia" w:ascii="宋体" w:hAnsi="宋体" w:eastAsia="宋体" w:cs="宋体"/>
          <w:color w:val="auto"/>
          <w:spacing w:val="-1"/>
          <w:sz w:val="24"/>
          <w:szCs w:val="24"/>
        </w:rPr>
        <w:t xml:space="preserve">（4）联合体各方应当共同与采购人签订采购合同，就采购合同约定的事项对采购人承担连带责任。</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7.采购文件的澄清或修改</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7.1磋商供应商获取采购文件后，应认真审阅采购文件中所有的事项、格式、条款和规范要求等，若供应商的磋商响应文件没有按采购文件要求提交（上传）全部资料，或磋商响应文件没有对采购文件做出实质性响应，其风险由供应商自行承担，并根据有关条款规定，该响应有可能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7.2提交首次响应文件截止之日前，采购代理机构有权在出于实际需要的情况下，以“更正（补充）公告”的形式在原公告发布媒体上对已发出的采购文件进行必要的澄清或者修改。澄清或者修改的内容作为采购文件的组成部分，对所有供应商具有约束力。为保证供应商有足够时间修正响应文件，或出于其他合理原因，采购代理机构可依法顺延提交首次响应文件截止之日。</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7.3供应商应及时关注政府采购信息发布媒体上发布的更正（补充）公告，同时在“苏采云”系统中下载更正（补充）资料，如有遗漏（包括但不限于文件未下载或下载不完整），可能无法解密投标（响应）文件，由此所造成的投标（响应）失败或损失由供应商自行负责。</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7.4采购文件及其补充文件未按规定的方式获得的，采购代理机构对采购文件及其补遗的真实性、完整性不承担任何责任。</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8.采购文件提疑</w:t>
      </w:r>
      <w:r/>
    </w:p>
    <w:p>
      <w:pPr>
        <w:ind w:firstLine="480"/>
        <w:spacing w:line="360" w:lineRule="auto"/>
        <w:tabs>
          <w:tab w:val="left" w:pos="8930" w:leader="none"/>
          <w:tab w:val="left" w:pos="9306"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8.1询问：</w:t>
      </w:r>
      <w:r>
        <w:rPr>
          <w:rFonts w:hint="eastAsia" w:ascii="宋体" w:hAnsi="宋体" w:eastAsia="宋体" w:cs="宋体"/>
          <w:color w:val="auto"/>
          <w:sz w:val="24"/>
          <w:szCs w:val="24"/>
        </w:rPr>
        <w:t xml:space="preserve">供应商在收到采购文件后，若有问题需要询问，应于下载采购文件后，</w:t>
      </w:r>
      <w:r>
        <w:rPr>
          <w:rFonts w:hint="eastAsia" w:ascii="宋体" w:hAnsi="宋体" w:eastAsia="宋体" w:cs="宋体"/>
          <w:color w:val="auto"/>
          <w:sz w:val="24"/>
          <w:szCs w:val="24"/>
          <w:shd w:val="clear" w:color="auto" w:fill="ffffff"/>
        </w:rPr>
        <w:t xml:space="preserve">通过公告中的联系方式及时提出，采购人或采购代理机构将予以解答，但答复内容不得涉及商业秘密。</w:t>
      </w:r>
      <w:r/>
    </w:p>
    <w:p>
      <w:pPr>
        <w:ind w:firstLine="480"/>
        <w:spacing w:line="360" w:lineRule="auto"/>
        <w:tabs>
          <w:tab w:val="left" w:pos="8930" w:leader="none"/>
          <w:tab w:val="left" w:pos="9306"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8.2质疑：</w:t>
      </w:r>
      <w:r/>
    </w:p>
    <w:p>
      <w:pPr>
        <w:ind w:firstLine="480"/>
        <w:spacing w:line="360" w:lineRule="auto"/>
        <w:tabs>
          <w:tab w:val="left" w:pos="8930" w:leader="none"/>
          <w:tab w:val="left" w:pos="9306"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8.2.1供应商认为采购文件、采购过程或中标、成交结果使自己的权益受到损害的，可以在知道或者应知其权益受到损害之日起7个工作日内，以书面形式向采购人、采购代理机构提出质疑。采购代理机构应当在收到供应商书面质疑后7个工作日内作出答复，但不说明来源，并以书面形式通知质疑供应商和与质疑事项有关的供应商，但答复的内容不得涉及商业秘密。</w:t>
      </w:r>
      <w:r/>
    </w:p>
    <w:p>
      <w:pPr>
        <w:ind w:firstLine="480"/>
        <w:spacing w:line="360" w:lineRule="auto"/>
        <w:tabs>
          <w:tab w:val="left" w:pos="8930" w:leader="none"/>
          <w:tab w:val="left" w:pos="9306"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8.2.2根据《政府采购质疑和投诉办法》（财政部第94号令）第十一条规定，提出质疑的供应商应当是参与所质疑项目采购活动的供应商。因此凡对采购文件提出质疑的供应商，必须是依法获取采购文件，</w:t>
      </w:r>
      <w:r>
        <w:rPr>
          <w:rFonts w:hint="eastAsia" w:ascii="宋体" w:hAnsi="宋体" w:eastAsia="宋体" w:cs="宋体"/>
          <w:color w:val="auto"/>
          <w:sz w:val="24"/>
          <w:szCs w:val="24"/>
        </w:rPr>
        <w:t xml:space="preserve">请将合法获取采购文件的证明材料（即</w:t>
      </w:r>
      <w:r>
        <w:rPr>
          <w:rFonts w:hint="eastAsia" w:ascii="宋体" w:hAnsi="宋体" w:eastAsia="宋体" w:cs="宋体"/>
          <w:b/>
          <w:color w:val="auto"/>
          <w:sz w:val="24"/>
          <w:szCs w:val="24"/>
        </w:rPr>
        <w:t xml:space="preserve">《投标供应商确认函》</w:t>
      </w:r>
      <w:r>
        <w:rPr>
          <w:rFonts w:hint="eastAsia" w:ascii="宋体" w:hAnsi="宋体" w:eastAsia="宋体" w:cs="宋体"/>
          <w:color w:val="auto"/>
          <w:sz w:val="24"/>
          <w:szCs w:val="24"/>
        </w:rPr>
        <w:t xml:space="preserve">）与质疑函一起递交，否则不予受理。</w:t>
      </w:r>
      <w:r/>
    </w:p>
    <w:p>
      <w:pPr>
        <w:ind w:firstLine="480"/>
        <w:spacing w:line="360" w:lineRule="auto"/>
        <w:tabs>
          <w:tab w:val="left" w:pos="8930" w:leader="none"/>
          <w:tab w:val="left" w:pos="9306"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8.2.3本次采购文件要求供应商在法定质疑期内一次性提出针对同一采购程序环节的质疑。</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8.2.</w:t>
      </w:r>
      <w:r>
        <w:rPr>
          <w:rFonts w:hint="eastAsia" w:ascii="宋体" w:hAnsi="宋体" w:eastAsia="宋体" w:cs="宋体"/>
          <w:color w:val="auto"/>
          <w:sz w:val="24"/>
          <w:szCs w:val="24"/>
        </w:rPr>
        <w:t xml:space="preserve">4供应商提出质疑应当提交质疑函和必要的证明材料。质疑函应当包括下列内容：</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8.2.</w:t>
      </w:r>
      <w:r>
        <w:rPr>
          <w:rFonts w:hint="eastAsia" w:ascii="宋体" w:hAnsi="宋体" w:eastAsia="宋体" w:cs="宋体"/>
          <w:color w:val="auto"/>
          <w:sz w:val="24"/>
          <w:szCs w:val="24"/>
        </w:rPr>
        <w:t xml:space="preserve">4.1供应商的姓名或者名称（以营业执照副本复印件为准）、地址、邮编、联系人及联系电话；</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bCs/>
          <w:color w:val="auto"/>
          <w:sz w:val="24"/>
          <w:szCs w:val="24"/>
        </w:rPr>
        <w:t xml:space="preserve">2.</w:t>
      </w:r>
      <w:r>
        <w:rPr>
          <w:rFonts w:hint="eastAsia" w:ascii="宋体" w:hAnsi="宋体" w:eastAsia="宋体" w:cs="宋体"/>
          <w:color w:val="auto"/>
          <w:sz w:val="24"/>
          <w:szCs w:val="24"/>
        </w:rPr>
        <w:t xml:space="preserve">4.2质疑项目的名称、编号；</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bCs/>
          <w:color w:val="auto"/>
          <w:sz w:val="24"/>
          <w:szCs w:val="24"/>
        </w:rPr>
        <w:t xml:space="preserve">2.</w:t>
      </w:r>
      <w:r>
        <w:rPr>
          <w:rFonts w:hint="eastAsia" w:ascii="宋体" w:hAnsi="宋体" w:eastAsia="宋体" w:cs="宋体"/>
          <w:color w:val="auto"/>
          <w:sz w:val="24"/>
          <w:szCs w:val="24"/>
        </w:rPr>
        <w:t xml:space="preserve">4.3具体、明确的质疑事项和与质疑事项相关的请求；</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bCs/>
          <w:color w:val="auto"/>
          <w:sz w:val="24"/>
          <w:szCs w:val="24"/>
        </w:rPr>
        <w:t xml:space="preserve">2.</w:t>
      </w:r>
      <w:r>
        <w:rPr>
          <w:rFonts w:hint="eastAsia" w:ascii="宋体" w:hAnsi="宋体" w:eastAsia="宋体" w:cs="宋体"/>
          <w:color w:val="auto"/>
          <w:sz w:val="24"/>
          <w:szCs w:val="24"/>
        </w:rPr>
        <w:t xml:space="preserve">4.4事实依据；</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bCs/>
          <w:color w:val="auto"/>
          <w:sz w:val="24"/>
          <w:szCs w:val="24"/>
        </w:rPr>
        <w:t xml:space="preserve">2.</w:t>
      </w:r>
      <w:r>
        <w:rPr>
          <w:rFonts w:hint="eastAsia" w:ascii="宋体" w:hAnsi="宋体" w:eastAsia="宋体" w:cs="宋体"/>
          <w:color w:val="auto"/>
          <w:sz w:val="24"/>
          <w:szCs w:val="24"/>
        </w:rPr>
        <w:t xml:space="preserve">4.5必要的法律依据；</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bCs/>
          <w:color w:val="auto"/>
          <w:sz w:val="24"/>
          <w:szCs w:val="24"/>
        </w:rPr>
        <w:t xml:space="preserve">2.</w:t>
      </w:r>
      <w:r>
        <w:rPr>
          <w:rFonts w:hint="eastAsia" w:ascii="宋体" w:hAnsi="宋体" w:eastAsia="宋体" w:cs="宋体"/>
          <w:color w:val="auto"/>
          <w:sz w:val="24"/>
          <w:szCs w:val="24"/>
        </w:rPr>
        <w:t xml:space="preserve">4.6提出质疑的日期；</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bCs/>
          <w:color w:val="auto"/>
          <w:sz w:val="24"/>
          <w:szCs w:val="24"/>
        </w:rPr>
        <w:t xml:space="preserve">2.</w:t>
      </w:r>
      <w:r>
        <w:rPr>
          <w:rFonts w:hint="eastAsia" w:ascii="宋体" w:hAnsi="宋体" w:eastAsia="宋体" w:cs="宋体"/>
          <w:color w:val="auto"/>
          <w:sz w:val="24"/>
          <w:szCs w:val="24"/>
        </w:rPr>
        <w:t xml:space="preserve">4.7</w:t>
      </w:r>
      <w:r>
        <w:rPr>
          <w:rFonts w:hint="eastAsia" w:ascii="宋体" w:hAnsi="宋体" w:eastAsia="宋体" w:cs="宋体"/>
          <w:bCs/>
          <w:color w:val="auto"/>
          <w:sz w:val="24"/>
          <w:szCs w:val="24"/>
        </w:rPr>
        <w:t xml:space="preserve">供应商参加投标确认函</w:t>
      </w:r>
      <w:r>
        <w:rPr>
          <w:rFonts w:hint="eastAsia" w:ascii="宋体" w:hAnsi="宋体" w:eastAsia="宋体" w:cs="宋体"/>
          <w:color w:val="auto"/>
          <w:sz w:val="24"/>
          <w:szCs w:val="24"/>
        </w:rPr>
        <w:t xml:space="preserve">。</w:t>
      </w:r>
      <w:r/>
    </w:p>
    <w:p>
      <w:pPr>
        <w:ind w:firstLine="480"/>
        <w:spacing w:line="360" w:lineRule="auto"/>
        <w:tabs>
          <w:tab w:val="left" w:pos="8930" w:leader="none"/>
          <w:tab w:val="left" w:pos="9306" w:leader="none"/>
        </w:tabs>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rPr>
          <w:rFonts w:hint="eastAsia" w:ascii="宋体" w:hAnsi="宋体" w:eastAsia="宋体" w:cs="宋体"/>
          <w:bCs/>
          <w:color w:val="auto"/>
          <w:sz w:val="24"/>
          <w:szCs w:val="24"/>
        </w:rPr>
        <w:t xml:space="preserve">2.</w:t>
      </w:r>
      <w:r>
        <w:rPr>
          <w:rFonts w:hint="eastAsia" w:ascii="宋体" w:hAnsi="宋体" w:eastAsia="宋体" w:cs="宋体"/>
          <w:color w:val="auto"/>
          <w:sz w:val="24"/>
          <w:szCs w:val="24"/>
        </w:rPr>
        <w:t xml:space="preserve">4.8接收质疑函的方式：书面形式（当场送达或邮寄方式）。</w:t>
      </w:r>
      <w:r/>
    </w:p>
    <w:p>
      <w:pPr>
        <w:ind w:firstLine="480"/>
        <w:spacing w:line="360" w:lineRule="auto"/>
        <w:tabs>
          <w:tab w:val="left" w:pos="8930" w:leader="none"/>
          <w:tab w:val="left" w:pos="9306"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联系方式详见采购公告。</w:t>
      </w:r>
      <w:r/>
    </w:p>
    <w:p>
      <w:pPr>
        <w:pStyle w:val="681"/>
        <w:ind w:left="0" w:firstLine="482"/>
        <w:spacing w:line="360" w:lineRule="auto"/>
        <w:rPr>
          <w:rFonts w:hint="eastAsia" w:ascii="宋体" w:hAnsi="宋体" w:eastAsia="宋体" w:cs="宋体"/>
          <w:b/>
          <w:color w:val="auto"/>
          <w:sz w:val="24"/>
          <w:szCs w:val="24"/>
        </w:rPr>
      </w:pPr>
      <w:r/>
      <w:bookmarkStart w:id="43" w:name="_Toc31942"/>
      <w:r>
        <w:rPr>
          <w:rFonts w:hint="eastAsia" w:ascii="宋体" w:hAnsi="宋体" w:eastAsia="宋体" w:cs="宋体"/>
          <w:b/>
          <w:color w:val="auto"/>
          <w:sz w:val="24"/>
          <w:szCs w:val="24"/>
        </w:rPr>
        <w:t xml:space="preserve">9.现场踏勘及</w:t>
      </w:r>
      <w:r>
        <w:rPr>
          <w:rFonts w:hint="eastAsia" w:ascii="宋体" w:hAnsi="宋体" w:eastAsia="宋体" w:cs="宋体"/>
          <w:b/>
          <w:color w:val="auto"/>
          <w:sz w:val="24"/>
          <w:szCs w:val="24"/>
          <w:shd w:val="clear" w:color="auto" w:fill="ffffff"/>
        </w:rPr>
        <w:t xml:space="preserve">集中现场考察</w:t>
      </w:r>
      <w:r/>
    </w:p>
    <w:p>
      <w:pPr>
        <w:pStyle w:val="681"/>
        <w:ind w:left="0"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9.1</w:t>
      </w:r>
      <w:bookmarkEnd w:id="43"/>
      <w:r>
        <w:rPr>
          <w:rFonts w:hint="eastAsia" w:ascii="宋体" w:hAnsi="宋体" w:eastAsia="宋体" w:cs="宋体"/>
          <w:b/>
          <w:color w:val="auto"/>
          <w:sz w:val="24"/>
          <w:szCs w:val="24"/>
        </w:rPr>
        <w:t xml:space="preserve">现场踏勘</w:t>
      </w:r>
      <w:r/>
    </w:p>
    <w:p>
      <w:pPr>
        <w:pStyle w:val="681"/>
        <w:ind w:left="0"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9.1.1本项目不组织统一</w:t>
      </w:r>
      <w:r>
        <w:rPr>
          <w:rFonts w:hint="eastAsia" w:ascii="宋体" w:hAnsi="宋体" w:eastAsia="宋体" w:cs="宋体"/>
          <w:b/>
          <w:color w:val="auto"/>
          <w:sz w:val="24"/>
          <w:szCs w:val="24"/>
        </w:rPr>
        <w:t xml:space="preserve">现场踏勘</w:t>
      </w:r>
      <w:r>
        <w:rPr>
          <w:rFonts w:hint="eastAsia" w:ascii="宋体" w:hAnsi="宋体" w:eastAsia="宋体" w:cs="宋体"/>
          <w:b/>
          <w:bCs/>
          <w:color w:val="auto"/>
          <w:sz w:val="24"/>
          <w:szCs w:val="24"/>
        </w:rPr>
        <w:t xml:space="preserve">。</w:t>
      </w:r>
      <w:r/>
    </w:p>
    <w:p>
      <w:pPr>
        <w:pStyle w:val="681"/>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9.1.2</w:t>
      </w:r>
      <w:r>
        <w:rPr>
          <w:rFonts w:hint="eastAsia" w:ascii="宋体" w:hAnsi="宋体" w:eastAsia="宋体" w:cs="宋体"/>
          <w:color w:val="auto"/>
          <w:sz w:val="24"/>
          <w:szCs w:val="24"/>
          <w:shd w:val="clear" w:color="auto" w:fill="ffffff"/>
        </w:rPr>
        <w:t xml:space="preserve">供应商可自行对有关现场和周围环境进行踏勘，以获取编制投标（响应）文件和签署合同所需的信息，踏勘现场所发生的费用由供应商自己承担，采购人不对因此造成的任何后果承担责任。</w:t>
      </w:r>
      <w:r/>
    </w:p>
    <w:p>
      <w:pPr>
        <w:pStyle w:val="681"/>
        <w:ind w:left="0"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9.2</w:t>
      </w:r>
      <w:r>
        <w:rPr>
          <w:rFonts w:hint="eastAsia" w:ascii="宋体" w:hAnsi="宋体" w:eastAsia="宋体" w:cs="宋体"/>
          <w:b/>
          <w:color w:val="auto"/>
          <w:sz w:val="24"/>
          <w:szCs w:val="24"/>
          <w:shd w:val="clear" w:color="auto" w:fill="ffffff"/>
        </w:rPr>
        <w:t xml:space="preserve">集中现场考察</w:t>
      </w:r>
      <w:r/>
    </w:p>
    <w:p>
      <w:pPr>
        <w:ind w:firstLine="480"/>
        <w:spacing w:line="360" w:lineRule="auto"/>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本项目按以下第</w:t>
      </w:r>
      <w:r>
        <w:rPr>
          <w:rFonts w:hint="eastAsia" w:ascii="宋体" w:hAnsi="宋体" w:eastAsia="宋体" w:cs="宋体"/>
          <w:color w:val="auto"/>
          <w:sz w:val="24"/>
          <w:szCs w:val="24"/>
          <w:u w:val="single"/>
        </w:rPr>
        <w:t xml:space="preserve">①</w:t>
      </w:r>
      <w:r>
        <w:rPr>
          <w:rFonts w:hint="eastAsia" w:ascii="宋体" w:hAnsi="宋体" w:eastAsia="宋体" w:cs="宋体"/>
          <w:color w:val="auto"/>
          <w:sz w:val="24"/>
          <w:szCs w:val="24"/>
        </w:rPr>
        <w:t xml:space="preserve">种方式组织集中现场考察：</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①采购人不组织集中现场考察；</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②采购人组织集中现场考察，请供应商持在“苏采云”系统中下载本项目采购文件的</w:t>
      </w:r>
      <w:r>
        <w:rPr>
          <w:rFonts w:hint="eastAsia" w:ascii="宋体" w:hAnsi="宋体" w:eastAsia="宋体" w:cs="宋体"/>
          <w:b/>
          <w:color w:val="auto"/>
          <w:sz w:val="24"/>
          <w:szCs w:val="24"/>
        </w:rPr>
        <w:t xml:space="preserve">《投标供应商确认函》</w:t>
      </w:r>
      <w:r>
        <w:rPr>
          <w:rFonts w:hint="eastAsia" w:ascii="宋体" w:hAnsi="宋体" w:eastAsia="宋体" w:cs="宋体"/>
          <w:color w:val="auto"/>
          <w:sz w:val="24"/>
          <w:szCs w:val="24"/>
        </w:rPr>
        <w:t xml:space="preserve">，按以下时间地点参加集中现场考察：</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集合时间：</w:t>
      </w:r>
      <w:r>
        <w:rPr>
          <w:rFonts w:hint="eastAsia" w:ascii="宋体" w:hAnsi="宋体" w:eastAsia="宋体" w:cs="宋体"/>
          <w:color w:val="auto"/>
          <w:sz w:val="24"/>
          <w:szCs w:val="24"/>
          <w:u w:val="single"/>
        </w:rPr>
        <w:t xml:space="preserve">/年/月/日/时/分（北京时间）</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集合地点：</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；联系电话：</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rPr>
        <w:t xml:space="preserve">。</w:t>
      </w:r>
      <w:r/>
    </w:p>
    <w:p>
      <w:pPr>
        <w:pStyle w:val="681"/>
        <w:ind w:left="0" w:firstLine="482"/>
        <w:spacing w:line="360" w:lineRule="auto"/>
        <w:rPr>
          <w:rFonts w:hint="eastAsia" w:ascii="宋体" w:hAnsi="宋体" w:eastAsia="宋体" w:cs="宋体"/>
          <w:color w:val="auto"/>
          <w:sz w:val="24"/>
          <w:szCs w:val="24"/>
        </w:rPr>
      </w:pPr>
      <w:r>
        <w:rPr>
          <w:rFonts w:hint="eastAsia" w:ascii="宋体" w:hAnsi="宋体" w:eastAsia="宋体" w:cs="宋体"/>
          <w:b/>
          <w:color w:val="auto"/>
          <w:sz w:val="24"/>
          <w:szCs w:val="24"/>
        </w:rPr>
        <w:t xml:space="preserve">请供应商安排好行程，不得迟到。未提供《投标供应商确认函》或迟到者，恕不接待。</w:t>
      </w:r>
      <w:r/>
    </w:p>
    <w:p>
      <w:pPr>
        <w:pStyle w:val="681"/>
        <w:ind w:left="0"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9.2.1根据自身投标（响应）需要，供应商可对项目相关情况进行考察，以获取编制投标（响应）文件和签署合同所需的信息。考察现场所发生的费用由供应商自己承担。</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9.2.2采购人或采购代理机构向供应商提供的有关本项目的资料和数据，是采购人或采购代理机构现有的并认为能使供应商可利用的资料。采购人或采购代理机构对供应商由此而做出的推论、理解和结论概不负责。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9.2.3经采购人允许，供应商可为考察目的进入采购人的项目现场，但供应商不得因此使采购人承担有关的责任和蒙受损失。供应商应承担考察现场的责任和风险。</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9.2.4供应商应在现场考察时，熟悉现场及本项目的背景概况等情况，以获得一切可能影响其投标（响应）的直接资料。供应商中标（成交）后，不得以不完全了解情况为理由而向采购人或采购代理机构提出任何索赔的要求，对此采购人或采购代理机构不承担任何责任并将不作任何答复与考虑。</w:t>
      </w:r>
      <w:r/>
    </w:p>
    <w:p>
      <w:pPr>
        <w:ind w:firstLine="480"/>
        <w:spacing w:line="360" w:lineRule="auto"/>
        <w:tabs>
          <w:tab w:val="left" w:pos="8930" w:leader="none"/>
          <w:tab w:val="left" w:pos="9306" w:leader="none"/>
        </w:tabs>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9.2.5由于未进行现场考察造成的任何问题由供应商自行承担。</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10.提示与要求</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10.1磋商供应商应仔细阅读采购文件的所有内容，按采购文件的要求提供（上传）响应文件，并保证所提供的全部资料的真实性，以使其对采购文件作出实质性响应，否则，其磋商响应文件可能被拒绝。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10.2无论是否递交（上传）磋商响应文件，供应商都应将采购文件及以后的所有通知、文件等视为保密文件。</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11.响应文件计量单位和使用文字</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11.1响应文件中所使用的计量单位，除采购文件中有特殊要求外，均应使用中华人民共和国法定计量单位。</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11.2响应文件应使用中文编制，响应文件中必须使用其他文字的，必须附有中文译本。对于未附有中文译本和中文译本不准确的响应文件可能引起的对供应商不利的后果，</w:t>
      </w:r>
      <w:r>
        <w:rPr>
          <w:rFonts w:hint="eastAsia" w:ascii="宋体" w:hAnsi="宋体" w:eastAsia="宋体" w:cs="宋体"/>
          <w:color w:val="auto"/>
          <w:sz w:val="24"/>
          <w:szCs w:val="24"/>
          <w:shd w:val="clear" w:color="auto" w:fill="ffffff"/>
        </w:rPr>
        <w:t xml:space="preserve">采购人或采购代理机构概不负责</w:t>
      </w:r>
      <w:r>
        <w:rPr>
          <w:rFonts w:hint="eastAsia" w:ascii="宋体" w:hAnsi="宋体" w:eastAsia="宋体" w:cs="宋体"/>
          <w:color w:val="auto"/>
          <w:sz w:val="24"/>
          <w:szCs w:val="24"/>
        </w:rPr>
        <w:t xml:space="preserve">。</w:t>
      </w:r>
      <w:r/>
    </w:p>
    <w:p>
      <w:pPr>
        <w:ind w:firstLine="482"/>
        <w:spacing w:line="360" w:lineRule="auto"/>
        <w:tabs>
          <w:tab w:val="left" w:pos="753"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12.响应文件组成（部分格式见第三章）</w:t>
      </w:r>
      <w:r/>
    </w:p>
    <w:p>
      <w:pPr>
        <w:ind w:firstLine="482"/>
        <w:spacing w:line="360" w:lineRule="auto"/>
        <w:tabs>
          <w:tab w:val="left" w:pos="753"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12.1响应文件报价部分：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12.1.1封面；</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12.1.2开标一览表（第一次报价），具体按照“苏采云”系统要求填报；</w:t>
      </w:r>
      <w:r/>
    </w:p>
    <w:p>
      <w:pPr>
        <w:ind w:firstLine="480"/>
        <w:spacing w:line="360" w:lineRule="auto"/>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12.1.3工程量清单报价表（格式见第三章）；</w:t>
      </w:r>
      <w:r/>
    </w:p>
    <w:p>
      <w:pPr>
        <w:ind w:firstLine="482"/>
        <w:spacing w:line="360" w:lineRule="auto"/>
        <w:tabs>
          <w:tab w:val="left" w:pos="0" w:leader="none"/>
        </w:tabs>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12.2资格审查响应文件</w:t>
      </w:r>
      <w:r>
        <w:rPr>
          <w:rFonts w:hint="eastAsia" w:ascii="宋体" w:hAnsi="宋体" w:eastAsia="宋体" w:cs="宋体"/>
          <w:b/>
          <w:color w:val="auto"/>
          <w:sz w:val="24"/>
          <w:szCs w:val="24"/>
        </w:rPr>
        <w:t xml:space="preserve">：</w:t>
      </w:r>
      <w:r/>
    </w:p>
    <w:tbl>
      <w:tblPr>
        <w:tblStyle w:val="678"/>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7"/>
        <w:gridCol w:w="4174"/>
        <w:gridCol w:w="4496"/>
      </w:tblGrid>
      <w:tr>
        <w:trPr>
          <w:trHeight w:val="567"/>
        </w:trPr>
        <w:tc>
          <w:tcPr>
            <w:tcW w:w="362" w:type="pct"/>
            <w:vAlign w:val="center"/>
            <w:textDirection w:val="lrTb"/>
            <w:noWrap w:val="false"/>
          </w:tcPr>
          <w:p>
            <w:pPr>
              <w:pStyle w:val="685"/>
              <w:jc w:val="center"/>
              <w:spacing w:after="0"/>
              <w:rPr>
                <w:rFonts w:hint="eastAsia" w:ascii="宋体" w:hAnsi="宋体" w:eastAsia="宋体" w:cs="宋体"/>
                <w:b/>
                <w:bCs/>
                <w:color w:val="auto"/>
                <w:szCs w:val="21"/>
              </w:rPr>
            </w:pPr>
            <w:r>
              <w:rPr>
                <w:rFonts w:hint="eastAsia" w:ascii="宋体" w:hAnsi="宋体" w:eastAsia="宋体" w:cs="宋体"/>
                <w:b/>
                <w:bCs/>
                <w:color w:val="auto"/>
                <w:szCs w:val="21"/>
              </w:rPr>
              <w:t xml:space="preserve">序号</w:t>
            </w:r>
            <w:r/>
          </w:p>
        </w:tc>
        <w:tc>
          <w:tcPr>
            <w:tcW w:w="2233" w:type="pct"/>
            <w:vAlign w:val="center"/>
            <w:textDirection w:val="lrTb"/>
            <w:noWrap w:val="false"/>
          </w:tcPr>
          <w:p>
            <w:pPr>
              <w:pStyle w:val="685"/>
              <w:jc w:val="center"/>
              <w:spacing w:after="0"/>
              <w:rPr>
                <w:rFonts w:hint="eastAsia" w:ascii="宋体" w:hAnsi="宋体" w:eastAsia="宋体" w:cs="宋体"/>
                <w:b/>
                <w:bCs/>
                <w:color w:val="auto"/>
                <w:szCs w:val="21"/>
              </w:rPr>
            </w:pPr>
            <w:r>
              <w:rPr>
                <w:rFonts w:hint="eastAsia" w:ascii="宋体" w:hAnsi="宋体" w:eastAsia="宋体" w:cs="宋体"/>
                <w:b/>
                <w:bCs/>
                <w:color w:val="auto"/>
                <w:szCs w:val="21"/>
              </w:rPr>
              <w:t xml:space="preserve">评审项</w:t>
            </w:r>
            <w:r/>
          </w:p>
        </w:tc>
        <w:tc>
          <w:tcPr>
            <w:tcW w:w="2403" w:type="pct"/>
            <w:vAlign w:val="center"/>
            <w:textDirection w:val="lrTb"/>
            <w:noWrap w:val="false"/>
          </w:tcPr>
          <w:p>
            <w:pPr>
              <w:pStyle w:val="685"/>
              <w:jc w:val="center"/>
              <w:spacing w:after="0"/>
              <w:rPr>
                <w:rFonts w:hint="eastAsia" w:ascii="宋体" w:hAnsi="宋体" w:eastAsia="宋体" w:cs="宋体"/>
                <w:b/>
                <w:bCs/>
                <w:color w:val="auto"/>
                <w:szCs w:val="21"/>
              </w:rPr>
            </w:pPr>
            <w:r>
              <w:rPr>
                <w:rFonts w:hint="eastAsia" w:ascii="宋体" w:hAnsi="宋体" w:eastAsia="宋体" w:cs="宋体"/>
                <w:b/>
                <w:bCs/>
                <w:color w:val="auto"/>
                <w:szCs w:val="21"/>
              </w:rPr>
              <w:t xml:space="preserve">评审要求</w:t>
            </w:r>
            <w:r/>
          </w:p>
        </w:tc>
      </w:tr>
      <w:tr>
        <w:trPr>
          <w:trHeight w:val="567"/>
        </w:trPr>
        <w:tc>
          <w:tcPr>
            <w:gridSpan w:val="3"/>
            <w:tcW w:w="5000" w:type="pct"/>
            <w:vAlign w:val="center"/>
            <w:textDirection w:val="lrTb"/>
            <w:noWrap w:val="false"/>
          </w:tcPr>
          <w:p>
            <w:pPr>
              <w:pStyle w:val="685"/>
              <w:jc w:val="center"/>
              <w:spacing w:after="0"/>
              <w:rPr>
                <w:rFonts w:hint="eastAsia" w:ascii="宋体" w:hAnsi="宋体" w:eastAsia="宋体" w:cs="宋体"/>
                <w:b/>
                <w:bCs/>
                <w:color w:val="auto"/>
                <w:szCs w:val="21"/>
              </w:rPr>
            </w:pPr>
            <w:r>
              <w:rPr>
                <w:rFonts w:hint="eastAsia" w:ascii="宋体" w:hAnsi="宋体" w:eastAsia="宋体" w:cs="宋体"/>
                <w:b/>
                <w:bCs/>
                <w:color w:val="auto"/>
                <w:szCs w:val="21"/>
              </w:rPr>
              <w:t xml:space="preserve">一、基本资格条件</w:t>
            </w:r>
            <w:r/>
          </w:p>
        </w:tc>
      </w:tr>
      <w:tr>
        <w:trPr>
          <w:trHeight w:val="567"/>
        </w:trPr>
        <w:tc>
          <w:tcPr>
            <w:tcW w:w="362" w:type="pct"/>
            <w:vAlign w:val="center"/>
            <w:textDirection w:val="lrTb"/>
            <w:noWrap w:val="false"/>
          </w:tcPr>
          <w:p>
            <w:pPr>
              <w:pStyle w:val="685"/>
              <w:jc w:val="center"/>
              <w:spacing w:after="0"/>
              <w:rPr>
                <w:rFonts w:hint="eastAsia" w:ascii="宋体" w:hAnsi="宋体" w:eastAsia="宋体" w:cs="宋体"/>
                <w:color w:val="auto"/>
                <w:szCs w:val="21"/>
              </w:rPr>
            </w:pPr>
            <w:r>
              <w:rPr>
                <w:rFonts w:hint="eastAsia" w:ascii="宋体" w:hAnsi="宋体" w:eastAsia="宋体" w:cs="宋体"/>
                <w:color w:val="auto"/>
                <w:szCs w:val="21"/>
                <w:shd w:val="clear" w:color="auto" w:fill="ffffff"/>
              </w:rPr>
              <w:t xml:space="preserve">1</w:t>
            </w:r>
            <w:r/>
          </w:p>
        </w:tc>
        <w:tc>
          <w:tcPr>
            <w:tcW w:w="2233"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具有独立承担民事责任的能力</w:t>
            </w:r>
            <w:r/>
          </w:p>
        </w:tc>
        <w:tc>
          <w:tcPr>
            <w:tcW w:w="2403"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供应商提供包括法人或者其他组织的营业执照等证明文件，自然人的</w:t>
            </w:r>
            <w:r>
              <w:rPr>
                <w:rFonts w:hint="eastAsia" w:ascii="宋体" w:hAnsi="宋体" w:eastAsia="宋体" w:cs="宋体"/>
                <w:color w:val="auto"/>
                <w:szCs w:val="21"/>
                <w:lang w:eastAsia="zh"/>
              </w:rPr>
              <w:t xml:space="preserve">提供</w:t>
            </w:r>
            <w:r>
              <w:rPr>
                <w:rFonts w:hint="eastAsia" w:ascii="宋体" w:hAnsi="宋体" w:eastAsia="宋体" w:cs="宋体"/>
                <w:color w:val="auto"/>
                <w:szCs w:val="21"/>
              </w:rPr>
              <w:t xml:space="preserve">身份证明。</w:t>
            </w:r>
            <w:r/>
          </w:p>
        </w:tc>
      </w:tr>
      <w:tr>
        <w:trPr>
          <w:trHeight w:val="567"/>
        </w:trPr>
        <w:tc>
          <w:tcPr>
            <w:tcW w:w="362" w:type="pct"/>
            <w:vAlign w:val="center"/>
            <w:textDirection w:val="lrTb"/>
            <w:noWrap w:val="false"/>
          </w:tcPr>
          <w:p>
            <w:pPr>
              <w:pStyle w:val="685"/>
              <w:jc w:val="center"/>
              <w:spacing w:after="0"/>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W w:w="2233"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具有良好的商业信誉和健全的财务会计制度</w:t>
            </w:r>
            <w:r/>
          </w:p>
        </w:tc>
        <w:tc>
          <w:tcPr>
            <w:tcW w:w="2403"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供应商为法人的，应提供最近一期经审计的财务报告，或基本开户银行出具的银行资信证明，或财政部门认可的政府采购专业担保机构出具的投标担保函；部分其他组织、自然人，若没有财务报告，可以提供银行出具的资信证明。</w:t>
            </w:r>
            <w:r/>
          </w:p>
        </w:tc>
      </w:tr>
      <w:tr>
        <w:trPr>
          <w:trHeight w:val="567"/>
        </w:trPr>
        <w:tc>
          <w:tcPr>
            <w:tcW w:w="362" w:type="pct"/>
            <w:vAlign w:val="center"/>
            <w:textDirection w:val="lrTb"/>
            <w:noWrap w:val="false"/>
          </w:tcPr>
          <w:p>
            <w:pPr>
              <w:pStyle w:val="685"/>
              <w:jc w:val="center"/>
              <w:spacing w:after="0"/>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W w:w="2233"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具有履行合同所必需的设备和专业技术能力</w:t>
            </w:r>
            <w:r/>
          </w:p>
        </w:tc>
        <w:tc>
          <w:tcPr>
            <w:tcW w:w="2403"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供应商提供设备清单、相关技术人员的职称证书和用工合同或提供</w:t>
            </w:r>
            <w:r>
              <w:rPr>
                <w:rFonts w:hint="eastAsia" w:ascii="宋体" w:hAnsi="宋体" w:eastAsia="宋体" w:cs="宋体"/>
                <w:color w:val="auto"/>
                <w:szCs w:val="21"/>
                <w:shd w:val="clear" w:color="auto" w:fill="ffffff"/>
              </w:rPr>
              <w:t xml:space="preserve">具有履行合同所必需的设备和专业技术能力的承诺书（格式自拟）。</w:t>
            </w:r>
            <w:r/>
          </w:p>
        </w:tc>
      </w:tr>
      <w:tr>
        <w:trPr>
          <w:trHeight w:val="567"/>
        </w:trPr>
        <w:tc>
          <w:tcPr>
            <w:tcW w:w="362" w:type="pct"/>
            <w:vAlign w:val="center"/>
            <w:textDirection w:val="lrTb"/>
            <w:noWrap w:val="false"/>
          </w:tcPr>
          <w:p>
            <w:pPr>
              <w:pStyle w:val="685"/>
              <w:jc w:val="center"/>
              <w:spacing w:after="0"/>
              <w:rPr>
                <w:rFonts w:hint="eastAsia" w:ascii="宋体" w:hAnsi="宋体" w:eastAsia="宋体" w:cs="宋体"/>
                <w:color w:val="auto"/>
                <w:szCs w:val="21"/>
              </w:rPr>
            </w:pPr>
            <w:r>
              <w:rPr>
                <w:rFonts w:hint="eastAsia" w:ascii="宋体" w:hAnsi="宋体" w:eastAsia="宋体" w:cs="宋体"/>
                <w:color w:val="auto"/>
                <w:szCs w:val="21"/>
              </w:rPr>
              <w:t xml:space="preserve">4</w:t>
            </w:r>
            <w:r/>
          </w:p>
        </w:tc>
        <w:tc>
          <w:tcPr>
            <w:tcW w:w="2233"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有依法缴纳税收和社会保障资金的良好记录</w:t>
            </w:r>
            <w:r/>
          </w:p>
        </w:tc>
        <w:tc>
          <w:tcPr>
            <w:tcW w:w="2403" w:type="pct"/>
            <w:vAlign w:val="center"/>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rPr>
              <w:t xml:space="preserve">供应商提供参加本次政府采购活动前一段时间内依法缴纳税收和社会保险的凭据；依法免税或不需要缴纳社会保障资金的供应商，应提供相应文件证明其依法免税或不需要缴纳社会保障资金。</w:t>
            </w:r>
            <w:r/>
          </w:p>
        </w:tc>
      </w:tr>
      <w:tr>
        <w:trPr>
          <w:trHeight w:val="567"/>
        </w:trPr>
        <w:tc>
          <w:tcPr>
            <w:tcW w:w="362" w:type="pct"/>
            <w:vAlign w:val="center"/>
            <w:textDirection w:val="lrTb"/>
            <w:noWrap w:val="false"/>
          </w:tcPr>
          <w:p>
            <w:pPr>
              <w:pStyle w:val="685"/>
              <w:jc w:val="center"/>
              <w:spacing w:after="0"/>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 xml:space="preserve">5</w:t>
            </w:r>
            <w:r/>
          </w:p>
        </w:tc>
        <w:tc>
          <w:tcPr>
            <w:tcW w:w="2233"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参加政府采购活动前三年内，在经营活动中没有重大违法记录</w:t>
            </w:r>
            <w:r/>
          </w:p>
        </w:tc>
        <w:tc>
          <w:tcPr>
            <w:tcW w:w="2403"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供应商提供参加政府采购活动前三年内在经营活动中没有重大违法记录的书面声明。</w:t>
            </w:r>
            <w:r/>
          </w:p>
        </w:tc>
      </w:tr>
      <w:tr>
        <w:trPr>
          <w:trHeight w:val="567"/>
        </w:trPr>
        <w:tc>
          <w:tcPr>
            <w:tcW w:w="362" w:type="pct"/>
            <w:vAlign w:val="center"/>
            <w:textDirection w:val="lrTb"/>
            <w:noWrap w:val="false"/>
          </w:tcPr>
          <w:p>
            <w:pPr>
              <w:pStyle w:val="685"/>
              <w:jc w:val="center"/>
              <w:spacing w:after="0"/>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 xml:space="preserve">6</w:t>
            </w:r>
            <w:r/>
          </w:p>
        </w:tc>
        <w:tc>
          <w:tcPr>
            <w:tcW w:w="2233"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法律、行政法规规定的其他条件</w:t>
            </w:r>
            <w:r/>
          </w:p>
        </w:tc>
        <w:tc>
          <w:tcPr>
            <w:tcW w:w="2403"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符合法律、行政法规规定的其他条件的证明材料或书面声明。</w:t>
            </w:r>
            <w:r/>
          </w:p>
        </w:tc>
      </w:tr>
      <w:tr>
        <w:trPr>
          <w:trHeight w:val="567"/>
        </w:trPr>
        <w:tc>
          <w:tcPr>
            <w:gridSpan w:val="3"/>
            <w:tcW w:w="5000" w:type="pct"/>
            <w:vAlign w:val="center"/>
            <w:textDirection w:val="lrTb"/>
            <w:noWrap w:val="false"/>
          </w:tcPr>
          <w:p>
            <w:pPr>
              <w:pStyle w:val="685"/>
              <w:jc w:val="center"/>
              <w:spacing w:after="0"/>
              <w:rPr>
                <w:rFonts w:hint="eastAsia" w:ascii="宋体" w:hAnsi="宋体" w:eastAsia="宋体" w:cs="宋体"/>
                <w:color w:val="auto"/>
                <w:szCs w:val="21"/>
                <w:shd w:val="clear" w:color="auto" w:fill="ffffff"/>
              </w:rPr>
            </w:pPr>
            <w:r>
              <w:rPr>
                <w:rFonts w:hint="eastAsia" w:ascii="宋体" w:hAnsi="宋体" w:eastAsia="宋体" w:cs="宋体"/>
                <w:b/>
                <w:color w:val="auto"/>
                <w:szCs w:val="21"/>
              </w:rPr>
              <w:t xml:space="preserve">二、落实政府采购政策需满足的资格要求</w:t>
            </w:r>
            <w:r/>
          </w:p>
        </w:tc>
      </w:tr>
      <w:tr>
        <w:trPr>
          <w:trHeight w:val="567"/>
        </w:trPr>
        <w:tc>
          <w:tcPr>
            <w:tcW w:w="362" w:type="pct"/>
            <w:vAlign w:val="center"/>
            <w:textDirection w:val="lrTb"/>
            <w:noWrap w:val="false"/>
          </w:tcPr>
          <w:p>
            <w:pPr>
              <w:pStyle w:val="685"/>
              <w:jc w:val="center"/>
              <w:spacing w:after="0"/>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 xml:space="preserve">1</w:t>
            </w:r>
            <w:r/>
          </w:p>
        </w:tc>
        <w:tc>
          <w:tcPr>
            <w:tcW w:w="2233" w:type="pct"/>
            <w:vAlign w:val="center"/>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rPr>
              <w:t xml:space="preserve">根据《政府采购促进中小企业发展管理办法》的相关规定，本项目专门面向中小企业采购，所属行业为建筑业，供应商应为中小微企业、监狱企业、残疾人福利性单位</w:t>
            </w:r>
            <w:r/>
          </w:p>
        </w:tc>
        <w:tc>
          <w:tcPr>
            <w:tcW w:w="2403" w:type="pct"/>
            <w:vAlign w:val="center"/>
            <w:textDirection w:val="lrTb"/>
            <w:noWrap w:val="false"/>
          </w:tcPr>
          <w:p>
            <w:pPr>
              <w:pStyle w:val="685"/>
              <w:jc w:val="left"/>
              <w:spacing w:after="0"/>
              <w:rPr>
                <w:rFonts w:hint="eastAsia" w:ascii="宋体" w:hAnsi="宋体" w:eastAsia="宋体" w:cs="宋体"/>
                <w:color w:val="auto"/>
                <w:szCs w:val="21"/>
                <w:shd w:val="clear" w:color="auto" w:fill="ffffff"/>
              </w:rPr>
            </w:pPr>
            <w:r>
              <w:rPr>
                <w:rFonts w:hint="eastAsia" w:ascii="宋体" w:hAnsi="宋体" w:eastAsia="宋体" w:cs="宋体"/>
                <w:color w:val="auto"/>
                <w:szCs w:val="21"/>
              </w:rPr>
              <w:t xml:space="preserve">供应商</w:t>
            </w:r>
            <w:r>
              <w:rPr>
                <w:rFonts w:hint="eastAsia" w:ascii="宋体" w:hAnsi="宋体" w:eastAsia="宋体" w:cs="宋体"/>
                <w:color w:val="auto"/>
                <w:szCs w:val="21"/>
                <w:shd w:val="clear" w:color="auto" w:fill="ffffff"/>
              </w:rPr>
              <w:t xml:space="preserve">提供《中小企业声明函》或《残疾人福利性单位声明函》或省级以上监狱管理局、戒毒管理局（含新疆生产建设兵团）出具的属于监狱企业的证明文件。</w:t>
            </w:r>
            <w:r/>
          </w:p>
          <w:p>
            <w:pPr>
              <w:pStyle w:val="685"/>
              <w:jc w:val="left"/>
              <w:spacing w:after="0"/>
              <w:rPr>
                <w:rFonts w:hint="eastAsia" w:ascii="宋体" w:hAnsi="宋体" w:eastAsia="宋体" w:cs="宋体"/>
                <w:color w:val="auto"/>
                <w:szCs w:val="21"/>
                <w:shd w:val="clear" w:color="auto" w:fill="ffffff"/>
              </w:rPr>
            </w:pPr>
            <w:r>
              <w:rPr>
                <w:rFonts w:hint="eastAsia" w:ascii="宋体" w:hAnsi="宋体" w:eastAsia="宋体" w:cs="宋体"/>
                <w:color w:val="auto"/>
                <w:szCs w:val="21"/>
              </w:rPr>
              <w:t xml:space="preserve">注：若供应商提供的以上材料为虚假声明则视同提供虚假材料，按《政府采购法》相关规定处理并报请政府监管部门给予行政处罚</w:t>
            </w:r>
            <w:r>
              <w:rPr>
                <w:rFonts w:hint="eastAsia" w:ascii="宋体" w:hAnsi="宋体" w:eastAsia="宋体" w:cs="宋体"/>
                <w:color w:val="auto"/>
                <w:sz w:val="24"/>
              </w:rPr>
              <w:t xml:space="preserve">。</w:t>
            </w:r>
            <w:r/>
          </w:p>
        </w:tc>
      </w:tr>
      <w:tr>
        <w:trPr>
          <w:trHeight w:val="567"/>
        </w:trPr>
        <w:tc>
          <w:tcPr>
            <w:gridSpan w:val="3"/>
            <w:tcW w:w="5000" w:type="pct"/>
            <w:vAlign w:val="center"/>
            <w:textDirection w:val="lrTb"/>
            <w:noWrap w:val="false"/>
          </w:tcPr>
          <w:p>
            <w:pPr>
              <w:pStyle w:val="685"/>
              <w:jc w:val="center"/>
              <w:spacing w:after="0"/>
              <w:rPr>
                <w:rFonts w:hint="eastAsia" w:ascii="宋体" w:hAnsi="宋体" w:eastAsia="宋体" w:cs="宋体"/>
                <w:color w:val="auto"/>
                <w:szCs w:val="21"/>
              </w:rPr>
            </w:pPr>
            <w:r>
              <w:rPr>
                <w:rFonts w:hint="eastAsia" w:ascii="宋体" w:hAnsi="宋体" w:eastAsia="宋体" w:cs="宋体"/>
                <w:b/>
                <w:bCs/>
                <w:color w:val="auto"/>
                <w:sz w:val="22"/>
                <w:szCs w:val="22"/>
                <w:shd w:val="clear" w:color="auto" w:fill="ffffff"/>
              </w:rPr>
              <w:t xml:space="preserve">三、本项目的特定资格要求</w:t>
            </w:r>
            <w:r/>
          </w:p>
        </w:tc>
      </w:tr>
      <w:tr>
        <w:trPr>
          <w:trHeight w:val="567"/>
        </w:trPr>
        <w:tc>
          <w:tcPr>
            <w:tcW w:w="362" w:type="pct"/>
            <w:vAlign w:val="center"/>
            <w:textDirection w:val="lrTb"/>
            <w:noWrap w:val="false"/>
          </w:tcPr>
          <w:p>
            <w:pPr>
              <w:pStyle w:val="685"/>
              <w:jc w:val="center"/>
              <w:spacing w:after="0"/>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 xml:space="preserve">1</w:t>
            </w:r>
            <w:r/>
          </w:p>
        </w:tc>
        <w:tc>
          <w:tcPr>
            <w:tcW w:w="2233"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具有有效的市政公用工程施工总承包三级及以上资质，具备安全生产条件，并取得有效期内的安全生产许可证</w:t>
            </w:r>
            <w:r/>
          </w:p>
        </w:tc>
        <w:tc>
          <w:tcPr>
            <w:tcW w:w="2403" w:type="pct"/>
            <w:vAlign w:val="center"/>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rPr>
              <w:t xml:space="preserve">供应商提供有效的市政公用工程施工总承包三级及以上资质证书和《安全生产许可证》扫描件。</w:t>
            </w:r>
            <w:r/>
          </w:p>
        </w:tc>
      </w:tr>
      <w:tr>
        <w:trPr>
          <w:trHeight w:val="567"/>
        </w:trPr>
        <w:tc>
          <w:tcPr>
            <w:tcW w:w="362" w:type="pct"/>
            <w:vAlign w:val="center"/>
            <w:textDirection w:val="lrTb"/>
            <w:noWrap w:val="false"/>
          </w:tcPr>
          <w:p>
            <w:pPr>
              <w:pStyle w:val="685"/>
              <w:jc w:val="center"/>
              <w:spacing w:after="0"/>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 xml:space="preserve">2</w:t>
            </w:r>
            <w:r/>
          </w:p>
        </w:tc>
        <w:tc>
          <w:tcPr>
            <w:tcW w:w="2233"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拟选派项目负责人资质等级：市政工程专业二级及以上建造师和《建筑施工企业项目负责人安全生产考核合格证书》（B证），且必须满足下列条件：</w:t>
            </w:r>
            <w:r/>
          </w:p>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（1）项目负责人不得同时在两个或者两个以上单位受聘或者执业（同时在两个及以上单位签订劳动合同或交纳社会保险或将本人执（职）业资格证书同时注册在两个及以上单位）。</w:t>
            </w:r>
            <w:r/>
          </w:p>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2）项目负责人是非变更后无在建工程，或项目负责人是变更后无在建工程（必须原合同工期已满且变更备案之日已满6个月），或因非成交单位原因致使工程项目停工或因故不能按期开工、且已办理了项目负责人解锁手续，或项目负责人有在建工程，但该在建工程与本次工程属于同一工程项目、同一项目批文、同一施工地点分段发包或分期施工的情况且总的工程规模在项目负责人执业范围之内。</w:t>
            </w:r>
            <w:r/>
          </w:p>
        </w:tc>
        <w:tc>
          <w:tcPr>
            <w:tcW w:w="2403" w:type="pct"/>
            <w:vAlign w:val="center"/>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rPr>
              <w:t xml:space="preserve">供应商提供项目负责人的市政工程专业二级及以上建造师证书和《建筑施工企业项目负责人安全生产考核合格证书》（B证）；以及《项目负责人无在建工程承诺书》。</w:t>
            </w:r>
            <w:r/>
          </w:p>
        </w:tc>
      </w:tr>
      <w:tr>
        <w:trPr>
          <w:trHeight w:val="567"/>
        </w:trPr>
        <w:tc>
          <w:tcPr>
            <w:tcW w:w="362" w:type="pct"/>
            <w:vAlign w:val="center"/>
            <w:textDirection w:val="lrTb"/>
            <w:noWrap w:val="false"/>
          </w:tcPr>
          <w:p>
            <w:pPr>
              <w:pStyle w:val="685"/>
              <w:jc w:val="center"/>
              <w:spacing w:after="0"/>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 xml:space="preserve">3</w:t>
            </w:r>
            <w:r/>
          </w:p>
        </w:tc>
        <w:tc>
          <w:tcPr>
            <w:tcW w:w="2233"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未被“信用中国”网站（www.creditchina.gov.cn）列入失信被执行人、重大税收违法案件当事人名单、政府采购严重失信行为记录名单</w:t>
            </w:r>
            <w:r/>
          </w:p>
        </w:tc>
        <w:tc>
          <w:tcPr>
            <w:tcW w:w="2403" w:type="pct"/>
            <w:vAlign w:val="center"/>
            <w:textDirection w:val="lrTb"/>
            <w:noWrap w:val="false"/>
          </w:tcPr>
          <w:p>
            <w:pPr>
              <w:jc w:val="left"/>
              <w:rPr>
                <w:rFonts w:hint="eastAsia" w:ascii="宋体" w:hAnsi="宋体" w:eastAsia="宋体" w:cs="宋体"/>
                <w:color w:val="auto"/>
                <w:szCs w:val="21"/>
              </w:rPr>
            </w:pPr>
            <w:r>
              <w:rPr>
                <w:rFonts w:hint="eastAsia" w:ascii="宋体" w:hAnsi="宋体" w:eastAsia="宋体" w:cs="宋体"/>
                <w:color w:val="auto"/>
                <w:szCs w:val="21"/>
              </w:rPr>
              <w:t xml:space="preserve">供应商提供网站下载的信用报告或网页查询截图。</w:t>
            </w:r>
            <w:r/>
          </w:p>
          <w:p>
            <w:pPr>
              <w:jc w:val="left"/>
              <w:rPr>
                <w:rFonts w:hint="eastAsia" w:ascii="宋体" w:hAnsi="宋体" w:eastAsia="宋体" w:cs="宋体"/>
                <w:color w:val="auto"/>
                <w:szCs w:val="21"/>
              </w:rPr>
            </w:pPr>
            <w:r>
              <w:rPr>
                <w:rFonts w:hint="eastAsia" w:ascii="宋体" w:hAnsi="宋体" w:eastAsia="宋体" w:cs="宋体"/>
                <w:color w:val="auto"/>
                <w:szCs w:val="21"/>
              </w:rPr>
              <w:t xml:space="preserve">采购代理机构按照采购文件第二章“信用查询”要求执行。</w:t>
            </w:r>
            <w:r/>
          </w:p>
        </w:tc>
      </w:tr>
    </w:tbl>
    <w:p>
      <w:pPr>
        <w:ind w:firstLine="482"/>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以上资格审查的要求和必须提供的材料是对供应商资格审查、质疑身份认定的依据。所有</w:t>
      </w:r>
      <w:r>
        <w:rPr>
          <w:rFonts w:hint="eastAsia" w:ascii="宋体" w:hAnsi="宋体" w:eastAsia="宋体" w:cs="宋体"/>
          <w:b/>
          <w:color w:val="auto"/>
          <w:sz w:val="24"/>
          <w:szCs w:val="24"/>
        </w:rPr>
        <w:t xml:space="preserve">必须清晰可辨，供应商必须提供并盖章。</w:t>
      </w:r>
      <w:r>
        <w:rPr>
          <w:rFonts w:hint="eastAsia" w:ascii="宋体" w:hAnsi="宋体" w:eastAsia="宋体" w:cs="宋体"/>
          <w:b/>
          <w:color w:val="auto"/>
          <w:sz w:val="24"/>
          <w:szCs w:val="24"/>
          <w:u w:val="single"/>
        </w:rPr>
        <w:t xml:space="preserve">未按要求提供材料的，投标（响应）无效。</w:t>
      </w:r>
      <w:r/>
    </w:p>
    <w:p>
      <w:pPr>
        <w:pStyle w:val="764"/>
        <w:ind w:firstLine="482"/>
        <w:spacing w:after="0" w:line="360" w:lineRule="auto"/>
        <w:rPr>
          <w:rFonts w:hint="eastAsia" w:ascii="宋体" w:hAnsi="宋体" w:eastAsia="宋体" w:cs="宋体"/>
          <w:color w:val="auto"/>
          <w:sz w:val="24"/>
        </w:rPr>
      </w:pPr>
      <w:r>
        <w:rPr>
          <w:rFonts w:hint="eastAsia" w:ascii="宋体" w:hAnsi="宋体" w:eastAsia="宋体" w:cs="宋体"/>
          <w:b/>
          <w:color w:val="auto"/>
          <w:sz w:val="24"/>
        </w:rPr>
        <w:t xml:space="preserve">12.3符合性审查响应文件</w:t>
      </w:r>
      <w:r/>
    </w:p>
    <w:tbl>
      <w:tblPr>
        <w:tblStyle w:val="678"/>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6"/>
        <w:gridCol w:w="4158"/>
        <w:gridCol w:w="4485"/>
      </w:tblGrid>
      <w:tr>
        <w:trPr>
          <w:trHeight w:val="567"/>
        </w:trPr>
        <w:tc>
          <w:tcPr>
            <w:tcW w:w="373" w:type="pct"/>
            <w:vAlign w:val="center"/>
            <w:textDirection w:val="lrTb"/>
            <w:noWrap w:val="false"/>
          </w:tcPr>
          <w:p>
            <w:pPr>
              <w:pStyle w:val="685"/>
              <w:jc w:val="center"/>
              <w:spacing w:after="0"/>
              <w:rPr>
                <w:rFonts w:hint="eastAsia" w:ascii="宋体" w:hAnsi="宋体" w:eastAsia="宋体" w:cs="宋体"/>
                <w:b/>
                <w:bCs/>
                <w:color w:val="auto"/>
                <w:szCs w:val="21"/>
              </w:rPr>
            </w:pPr>
            <w:r>
              <w:rPr>
                <w:rFonts w:hint="eastAsia" w:ascii="宋体" w:hAnsi="宋体" w:eastAsia="宋体" w:cs="宋体"/>
                <w:b/>
                <w:bCs/>
                <w:color w:val="auto"/>
                <w:szCs w:val="21"/>
              </w:rPr>
              <w:t xml:space="preserve">序号</w:t>
            </w:r>
            <w:r/>
          </w:p>
        </w:tc>
        <w:tc>
          <w:tcPr>
            <w:tcW w:w="2226" w:type="pct"/>
            <w:vAlign w:val="center"/>
            <w:textDirection w:val="lrTb"/>
            <w:noWrap w:val="false"/>
          </w:tcPr>
          <w:p>
            <w:pPr>
              <w:pStyle w:val="685"/>
              <w:jc w:val="center"/>
              <w:spacing w:after="0"/>
              <w:rPr>
                <w:rFonts w:hint="eastAsia" w:ascii="宋体" w:hAnsi="宋体" w:eastAsia="宋体" w:cs="宋体"/>
                <w:b/>
                <w:bCs/>
                <w:color w:val="auto"/>
                <w:szCs w:val="21"/>
              </w:rPr>
            </w:pPr>
            <w:r>
              <w:rPr>
                <w:rFonts w:hint="eastAsia" w:ascii="宋体" w:hAnsi="宋体" w:eastAsia="宋体" w:cs="宋体"/>
                <w:b/>
                <w:color w:val="auto"/>
                <w:szCs w:val="21"/>
              </w:rPr>
              <w:t xml:space="preserve">评审项</w:t>
            </w:r>
            <w:r/>
          </w:p>
        </w:tc>
        <w:tc>
          <w:tcPr>
            <w:tcW w:w="2399" w:type="pct"/>
            <w:vAlign w:val="center"/>
            <w:textDirection w:val="lrTb"/>
            <w:noWrap w:val="false"/>
          </w:tcPr>
          <w:p>
            <w:pPr>
              <w:pStyle w:val="685"/>
              <w:jc w:val="center"/>
              <w:spacing w:after="0"/>
              <w:rPr>
                <w:rFonts w:hint="eastAsia" w:ascii="宋体" w:hAnsi="宋体" w:eastAsia="宋体" w:cs="宋体"/>
                <w:b/>
                <w:color w:val="auto"/>
                <w:szCs w:val="21"/>
              </w:rPr>
            </w:pPr>
            <w:r>
              <w:rPr>
                <w:rFonts w:hint="eastAsia" w:ascii="宋体" w:hAnsi="宋体" w:eastAsia="宋体" w:cs="宋体"/>
                <w:b/>
                <w:color w:val="auto"/>
                <w:szCs w:val="21"/>
              </w:rPr>
              <w:t xml:space="preserve">评审要求</w:t>
            </w:r>
            <w:r/>
          </w:p>
        </w:tc>
      </w:tr>
      <w:tr>
        <w:trPr>
          <w:trHeight w:val="567"/>
        </w:trPr>
        <w:tc>
          <w:tcPr>
            <w:gridSpan w:val="3"/>
            <w:tcW w:w="5000" w:type="pct"/>
            <w:vAlign w:val="center"/>
            <w:textDirection w:val="lrTb"/>
            <w:noWrap w:val="false"/>
          </w:tcPr>
          <w:p>
            <w:pPr>
              <w:pStyle w:val="685"/>
              <w:jc w:val="center"/>
              <w:spacing w:after="0"/>
              <w:rPr>
                <w:rFonts w:hint="eastAsia" w:ascii="宋体" w:hAnsi="宋体" w:eastAsia="宋体" w:cs="宋体"/>
                <w:b/>
                <w:color w:val="auto"/>
                <w:szCs w:val="21"/>
              </w:rPr>
            </w:pPr>
            <w:r>
              <w:rPr>
                <w:rFonts w:hint="eastAsia" w:ascii="宋体" w:hAnsi="宋体" w:eastAsia="宋体" w:cs="宋体"/>
                <w:b/>
                <w:color w:val="auto"/>
                <w:szCs w:val="21"/>
              </w:rPr>
              <w:t xml:space="preserve">一、报价要求</w:t>
            </w:r>
            <w:r/>
          </w:p>
        </w:tc>
      </w:tr>
      <w:tr>
        <w:trPr>
          <w:trHeight w:val="567"/>
        </w:trPr>
        <w:tc>
          <w:tcPr>
            <w:tcW w:w="373" w:type="pct"/>
            <w:vAlign w:val="center"/>
            <w:textDirection w:val="lrTb"/>
            <w:noWrap w:val="false"/>
          </w:tcPr>
          <w:p>
            <w:pPr>
              <w:pStyle w:val="685"/>
              <w:jc w:val="center"/>
              <w:spacing w:after="0"/>
              <w:rPr>
                <w:rFonts w:hint="eastAsia" w:ascii="宋体" w:hAnsi="宋体" w:eastAsia="宋体" w:cs="宋体"/>
                <w:color w:val="auto"/>
                <w:szCs w:val="21"/>
              </w:rPr>
            </w:pPr>
            <w:r>
              <w:rPr>
                <w:rFonts w:hint="eastAsia" w:ascii="宋体" w:hAnsi="宋体" w:eastAsia="宋体" w:cs="宋体"/>
                <w:color w:val="auto"/>
                <w:szCs w:val="21"/>
              </w:rPr>
              <w:t xml:space="preserve">1</w:t>
            </w:r>
            <w:r/>
          </w:p>
        </w:tc>
        <w:tc>
          <w:tcPr>
            <w:tcW w:w="2226"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报价符合性审查</w:t>
            </w:r>
            <w:r/>
          </w:p>
        </w:tc>
        <w:tc>
          <w:tcPr>
            <w:tcW w:w="2399"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出现下列情形之一的，供应商可在响应文件中提供项目具体成本测算等与报价合理性相关的书面说明及必要的证明材料，包括但不限于原材料成本、人工成本、制造费用等：</w:t>
            </w:r>
            <w:r/>
          </w:p>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①投标（响应）报价低于全部通过符合性审查供应商投标（响应）报价平均值50%的，即投标（响应）报价&lt;全部通过符合性审查供应商投标（响应）报价平均值×50%；</w:t>
            </w:r>
            <w:r/>
          </w:p>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②投标（响应）报价低于通过符合性审查的次低报价供应商投标（响应）报价50%的，即投标（响应）报价&lt;通过符合性审查的次低报价供应商投标（响应）报价×50%；</w:t>
            </w:r>
            <w:r/>
          </w:p>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③投标（响应）报价低于采购项目最高限价45%的，即投标（响应）报价&lt;采购项目最高限价×45%。</w:t>
            </w:r>
            <w:r/>
          </w:p>
        </w:tc>
      </w:tr>
      <w:tr>
        <w:trPr>
          <w:trHeight w:val="567"/>
        </w:trPr>
        <w:tc>
          <w:tcPr>
            <w:gridSpan w:val="3"/>
            <w:tcW w:w="5000" w:type="pct"/>
            <w:vAlign w:val="center"/>
            <w:textDirection w:val="lrTb"/>
            <w:noWrap w:val="false"/>
          </w:tcPr>
          <w:p>
            <w:pPr>
              <w:pStyle w:val="685"/>
              <w:jc w:val="center"/>
              <w:spacing w:after="0"/>
              <w:rPr>
                <w:rFonts w:hint="eastAsia" w:ascii="宋体" w:hAnsi="宋体" w:eastAsia="宋体" w:cs="宋体"/>
                <w:color w:val="auto"/>
                <w:szCs w:val="21"/>
              </w:rPr>
            </w:pPr>
            <w:r>
              <w:rPr>
                <w:rFonts w:hint="eastAsia" w:ascii="宋体" w:hAnsi="宋体" w:eastAsia="宋体" w:cs="宋体"/>
                <w:b/>
                <w:color w:val="auto"/>
                <w:szCs w:val="21"/>
              </w:rPr>
              <w:t xml:space="preserve">二、商务要求</w:t>
            </w:r>
            <w:r/>
          </w:p>
        </w:tc>
      </w:tr>
      <w:tr>
        <w:trPr>
          <w:trHeight w:val="567"/>
        </w:trPr>
        <w:tc>
          <w:tcPr>
            <w:tcW w:w="373" w:type="pct"/>
            <w:vAlign w:val="center"/>
            <w:textDirection w:val="lrTb"/>
            <w:noWrap w:val="false"/>
          </w:tcPr>
          <w:p>
            <w:pPr>
              <w:pStyle w:val="685"/>
              <w:jc w:val="center"/>
              <w:spacing w:after="0"/>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 xml:space="preserve">1</w:t>
            </w:r>
            <w:r/>
          </w:p>
        </w:tc>
        <w:tc>
          <w:tcPr>
            <w:tcW w:w="2226" w:type="pct"/>
            <w:vAlign w:val="center"/>
            <w:textDirection w:val="lrTb"/>
            <w:noWrap w:val="false"/>
          </w:tcPr>
          <w:p>
            <w:pPr>
              <w:pStyle w:val="685"/>
              <w:jc w:val="left"/>
              <w:spacing w:after="0"/>
              <w:rPr>
                <w:rFonts w:hint="eastAsia" w:ascii="宋体" w:hAnsi="宋体" w:eastAsia="宋体" w:cs="宋体"/>
                <w:b/>
                <w:color w:val="auto"/>
                <w:szCs w:val="21"/>
              </w:rPr>
            </w:pPr>
            <w:r>
              <w:rPr>
                <w:rFonts w:hint="eastAsia" w:ascii="宋体" w:hAnsi="宋体" w:eastAsia="宋体" w:cs="宋体"/>
                <w:color w:val="auto"/>
                <w:szCs w:val="21"/>
              </w:rPr>
              <w:t xml:space="preserve">磋商响应函</w:t>
            </w:r>
            <w:r/>
          </w:p>
        </w:tc>
        <w:tc>
          <w:tcPr>
            <w:tcW w:w="2399"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格式见第三章</w:t>
            </w:r>
            <w:r/>
          </w:p>
        </w:tc>
      </w:tr>
      <w:tr>
        <w:trPr>
          <w:trHeight w:val="567"/>
        </w:trPr>
        <w:tc>
          <w:tcPr>
            <w:tcW w:w="373" w:type="pct"/>
            <w:vAlign w:val="center"/>
            <w:textDirection w:val="lrTb"/>
            <w:noWrap w:val="false"/>
          </w:tcPr>
          <w:p>
            <w:pPr>
              <w:pStyle w:val="685"/>
              <w:jc w:val="center"/>
              <w:spacing w:after="0"/>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 xml:space="preserve">2</w:t>
            </w:r>
            <w:r/>
          </w:p>
        </w:tc>
        <w:tc>
          <w:tcPr>
            <w:tcW w:w="2226" w:type="pct"/>
            <w:vAlign w:val="center"/>
            <w:textDirection w:val="lrTb"/>
            <w:noWrap w:val="false"/>
          </w:tcPr>
          <w:p>
            <w:pPr>
              <w:pStyle w:val="685"/>
              <w:jc w:val="left"/>
              <w:spacing w:after="0"/>
              <w:rPr>
                <w:rFonts w:hint="eastAsia" w:ascii="宋体" w:hAnsi="宋体" w:eastAsia="宋体" w:cs="宋体"/>
                <w:b/>
                <w:color w:val="auto"/>
                <w:szCs w:val="21"/>
              </w:rPr>
            </w:pPr>
            <w:r>
              <w:rPr>
                <w:rFonts w:hint="eastAsia" w:ascii="宋体" w:hAnsi="宋体" w:eastAsia="宋体" w:cs="宋体"/>
                <w:color w:val="auto"/>
                <w:szCs w:val="21"/>
              </w:rPr>
              <w:t xml:space="preserve">供应商法定代表人身份证扫描件</w:t>
            </w:r>
            <w:r/>
          </w:p>
        </w:tc>
        <w:tc>
          <w:tcPr>
            <w:tcW w:w="2399"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r>
            <w:r/>
          </w:p>
        </w:tc>
      </w:tr>
      <w:tr>
        <w:trPr>
          <w:trHeight w:val="567"/>
        </w:trPr>
        <w:tc>
          <w:tcPr>
            <w:tcW w:w="373" w:type="pct"/>
            <w:vAlign w:val="center"/>
            <w:textDirection w:val="lrTb"/>
            <w:noWrap w:val="false"/>
          </w:tcPr>
          <w:p>
            <w:pPr>
              <w:pStyle w:val="685"/>
              <w:jc w:val="center"/>
              <w:spacing w:after="0"/>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 xml:space="preserve">3</w:t>
            </w:r>
            <w:r/>
          </w:p>
        </w:tc>
        <w:tc>
          <w:tcPr>
            <w:tcW w:w="2226" w:type="pct"/>
            <w:vAlign w:val="center"/>
            <w:textDirection w:val="lrTb"/>
            <w:noWrap w:val="false"/>
          </w:tcPr>
          <w:p>
            <w:pPr>
              <w:pStyle w:val="685"/>
              <w:jc w:val="left"/>
              <w:spacing w:after="0"/>
              <w:rPr>
                <w:rFonts w:hint="eastAsia" w:ascii="宋体" w:hAnsi="宋体" w:eastAsia="宋体" w:cs="宋体"/>
                <w:b/>
                <w:color w:val="auto"/>
                <w:szCs w:val="21"/>
              </w:rPr>
            </w:pPr>
            <w:r>
              <w:rPr>
                <w:rFonts w:hint="eastAsia" w:ascii="宋体" w:hAnsi="宋体" w:eastAsia="宋体" w:cs="宋体"/>
                <w:color w:val="auto"/>
                <w:szCs w:val="21"/>
              </w:rPr>
              <w:t xml:space="preserve">法定代表人授权委托书、供应商代理人身份证扫描件及供应商为其缴纳的近一个月社保证明（如有授权）</w:t>
            </w:r>
            <w:r/>
          </w:p>
        </w:tc>
        <w:tc>
          <w:tcPr>
            <w:tcW w:w="2399"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授权委托书格式见第三章</w:t>
            </w:r>
            <w:r/>
          </w:p>
        </w:tc>
      </w:tr>
      <w:tr>
        <w:trPr>
          <w:trHeight w:val="567"/>
        </w:trPr>
        <w:tc>
          <w:tcPr>
            <w:tcW w:w="373" w:type="pct"/>
            <w:vAlign w:val="center"/>
            <w:textDirection w:val="lrTb"/>
            <w:noWrap w:val="false"/>
          </w:tcPr>
          <w:p>
            <w:pPr>
              <w:pStyle w:val="685"/>
              <w:jc w:val="center"/>
              <w:spacing w:after="0"/>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 xml:space="preserve">4</w:t>
            </w:r>
            <w:r/>
          </w:p>
        </w:tc>
        <w:tc>
          <w:tcPr>
            <w:tcW w:w="2226" w:type="pct"/>
            <w:vAlign w:val="center"/>
            <w:textDirection w:val="lrTb"/>
            <w:noWrap w:val="false"/>
          </w:tcPr>
          <w:p>
            <w:pPr>
              <w:pStyle w:val="685"/>
              <w:jc w:val="left"/>
              <w:spacing w:after="0"/>
              <w:rPr>
                <w:rFonts w:hint="eastAsia" w:ascii="宋体" w:hAnsi="宋体" w:eastAsia="宋体" w:cs="宋体"/>
                <w:b/>
                <w:color w:val="auto"/>
                <w:szCs w:val="21"/>
              </w:rPr>
            </w:pPr>
            <w:r>
              <w:rPr>
                <w:rFonts w:hint="eastAsia" w:ascii="宋体" w:hAnsi="宋体" w:eastAsia="宋体" w:cs="宋体"/>
                <w:color w:val="auto"/>
                <w:szCs w:val="21"/>
              </w:rPr>
              <w:t xml:space="preserve">供应商基本情况表</w:t>
            </w:r>
            <w:r/>
          </w:p>
        </w:tc>
        <w:tc>
          <w:tcPr>
            <w:tcW w:w="2399"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格式见第三章</w:t>
            </w:r>
            <w:r/>
          </w:p>
        </w:tc>
      </w:tr>
      <w:tr>
        <w:trPr>
          <w:trHeight w:val="567"/>
        </w:trPr>
        <w:tc>
          <w:tcPr>
            <w:tcW w:w="373" w:type="pct"/>
            <w:vAlign w:val="center"/>
            <w:textDirection w:val="lrTb"/>
            <w:noWrap w:val="false"/>
          </w:tcPr>
          <w:p>
            <w:pPr>
              <w:pStyle w:val="685"/>
              <w:jc w:val="center"/>
              <w:spacing w:after="0"/>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 xml:space="preserve">5</w:t>
            </w:r>
            <w:r/>
          </w:p>
        </w:tc>
        <w:tc>
          <w:tcPr>
            <w:tcW w:w="2226"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关于资格文件的声明函</w:t>
            </w:r>
            <w:r/>
          </w:p>
        </w:tc>
        <w:tc>
          <w:tcPr>
            <w:tcW w:w="2399"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格式见第三章</w:t>
            </w:r>
            <w:r/>
          </w:p>
        </w:tc>
      </w:tr>
      <w:tr>
        <w:trPr>
          <w:trHeight w:val="567"/>
        </w:trPr>
        <w:tc>
          <w:tcPr>
            <w:tcW w:w="373" w:type="pct"/>
            <w:vAlign w:val="center"/>
            <w:textDirection w:val="lrTb"/>
            <w:noWrap w:val="false"/>
          </w:tcPr>
          <w:p>
            <w:pPr>
              <w:pStyle w:val="685"/>
              <w:jc w:val="center"/>
              <w:spacing w:after="0"/>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 xml:space="preserve">6</w:t>
            </w:r>
            <w:r/>
          </w:p>
        </w:tc>
        <w:tc>
          <w:tcPr>
            <w:tcW w:w="2226" w:type="pct"/>
            <w:vAlign w:val="center"/>
            <w:textDirection w:val="lrTb"/>
            <w:noWrap w:val="false"/>
          </w:tcPr>
          <w:p>
            <w:pPr>
              <w:pStyle w:val="685"/>
              <w:jc w:val="left"/>
              <w:spacing w:after="0"/>
              <w:rPr>
                <w:rFonts w:hint="eastAsia" w:ascii="宋体" w:hAnsi="宋体" w:eastAsia="宋体" w:cs="宋体"/>
                <w:b/>
                <w:color w:val="auto"/>
                <w:szCs w:val="21"/>
              </w:rPr>
            </w:pPr>
            <w:r>
              <w:rPr>
                <w:rFonts w:hint="eastAsia" w:ascii="宋体" w:hAnsi="宋体" w:eastAsia="宋体" w:cs="宋体"/>
                <w:color w:val="auto"/>
                <w:szCs w:val="21"/>
              </w:rPr>
              <w:t xml:space="preserve">供应商与其他单位存在直接控股、管理关系情况表</w:t>
            </w:r>
            <w:r/>
          </w:p>
        </w:tc>
        <w:tc>
          <w:tcPr>
            <w:tcW w:w="2399"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格式见第三章</w:t>
            </w:r>
            <w:r/>
          </w:p>
        </w:tc>
      </w:tr>
      <w:tr>
        <w:trPr>
          <w:trHeight w:val="567"/>
        </w:trPr>
        <w:tc>
          <w:tcPr>
            <w:tcW w:w="373" w:type="pct"/>
            <w:vAlign w:val="center"/>
            <w:textDirection w:val="lrTb"/>
            <w:noWrap w:val="false"/>
          </w:tcPr>
          <w:p>
            <w:pPr>
              <w:pStyle w:val="685"/>
              <w:jc w:val="center"/>
              <w:spacing w:after="0"/>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 xml:space="preserve">7</w:t>
            </w:r>
            <w:r/>
          </w:p>
        </w:tc>
        <w:tc>
          <w:tcPr>
            <w:tcW w:w="2226"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商务要求偏离表</w:t>
            </w:r>
            <w:r/>
          </w:p>
        </w:tc>
        <w:tc>
          <w:tcPr>
            <w:tcW w:w="2399"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格式见第三章</w:t>
            </w:r>
            <w:r/>
          </w:p>
        </w:tc>
      </w:tr>
      <w:tr>
        <w:trPr>
          <w:trHeight w:val="567"/>
        </w:trPr>
        <w:tc>
          <w:tcPr>
            <w:tcW w:w="373" w:type="pct"/>
            <w:vAlign w:val="center"/>
            <w:textDirection w:val="lrTb"/>
            <w:noWrap w:val="false"/>
          </w:tcPr>
          <w:p>
            <w:pPr>
              <w:pStyle w:val="685"/>
              <w:jc w:val="center"/>
              <w:spacing w:after="0"/>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 xml:space="preserve">8</w:t>
            </w:r>
            <w:r/>
          </w:p>
        </w:tc>
        <w:tc>
          <w:tcPr>
            <w:tcW w:w="2226"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拟投入本项目人员配备一览表（提供</w:t>
            </w:r>
            <w:r>
              <w:rPr>
                <w:rFonts w:hint="eastAsia" w:ascii="宋体" w:hAnsi="宋体" w:eastAsia="宋体" w:cs="宋体"/>
                <w:b w:val="0"/>
                <w:bCs w:val="0"/>
                <w:color w:val="auto"/>
                <w:sz w:val="21"/>
                <w:szCs w:val="21"/>
                <w:lang w:val="en-US" w:eastAsia="zh-CN"/>
              </w:rPr>
              <w:t xml:space="preserve">供应商</w:t>
            </w:r>
            <w:r>
              <w:rPr>
                <w:rFonts w:hint="eastAsia" w:ascii="宋体" w:hAnsi="宋体" w:eastAsia="宋体" w:cs="宋体"/>
                <w:b w:val="0"/>
                <w:bCs w:val="0"/>
                <w:color w:val="auto"/>
                <w:sz w:val="21"/>
                <w:szCs w:val="21"/>
              </w:rPr>
              <w:t xml:space="preserve">为其缴纳的最新一期社保证明</w:t>
            </w:r>
            <w:r>
              <w:rPr>
                <w:rFonts w:hint="eastAsia" w:ascii="宋体" w:hAnsi="宋体" w:eastAsia="宋体" w:cs="宋体"/>
                <w:color w:val="auto"/>
                <w:szCs w:val="21"/>
              </w:rPr>
              <w:t xml:space="preserve">）</w:t>
            </w:r>
            <w:r/>
          </w:p>
        </w:tc>
        <w:tc>
          <w:tcPr>
            <w:tcW w:w="2399"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格式见第三章</w:t>
            </w:r>
            <w:r/>
          </w:p>
        </w:tc>
      </w:tr>
      <w:tr>
        <w:trPr>
          <w:trHeight w:val="567"/>
        </w:trPr>
        <w:tc>
          <w:tcPr>
            <w:tcW w:w="373" w:type="pct"/>
            <w:vAlign w:val="center"/>
            <w:textDirection w:val="lrTb"/>
            <w:noWrap w:val="false"/>
          </w:tcPr>
          <w:p>
            <w:pPr>
              <w:pStyle w:val="685"/>
              <w:jc w:val="center"/>
              <w:spacing w:after="0"/>
              <w:rPr>
                <w:rFonts w:hint="eastAsia" w:ascii="宋体" w:hAnsi="宋体" w:eastAsia="宋体" w:cs="宋体"/>
                <w:color w:val="auto"/>
                <w:szCs w:val="21"/>
                <w:shd w:val="clear" w:color="auto" w:fill="ffffff"/>
              </w:rPr>
            </w:pPr>
            <w:r>
              <w:rPr>
                <w:rFonts w:hint="eastAsia" w:ascii="宋体" w:hAnsi="宋体" w:eastAsia="宋体" w:cs="宋体"/>
                <w:color w:val="auto"/>
                <w:szCs w:val="21"/>
                <w:shd w:val="clear" w:color="auto" w:fill="ffffff"/>
              </w:rPr>
              <w:t xml:space="preserve">9</w:t>
            </w:r>
            <w:r/>
          </w:p>
        </w:tc>
        <w:tc>
          <w:tcPr>
            <w:tcW w:w="2226"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投标（响应）保证承诺书</w:t>
            </w:r>
            <w:r/>
          </w:p>
        </w:tc>
        <w:tc>
          <w:tcPr>
            <w:tcW w:w="2399"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格式见第三章</w:t>
            </w:r>
            <w:r/>
          </w:p>
        </w:tc>
      </w:tr>
      <w:tr>
        <w:trPr>
          <w:trHeight w:val="567"/>
        </w:trPr>
        <w:tc>
          <w:tcPr>
            <w:gridSpan w:val="3"/>
            <w:tcW w:w="5000" w:type="pct"/>
            <w:vAlign w:val="center"/>
            <w:textDirection w:val="lrTb"/>
            <w:noWrap w:val="false"/>
          </w:tcPr>
          <w:p>
            <w:pPr>
              <w:pStyle w:val="685"/>
              <w:jc w:val="center"/>
              <w:spacing w:after="0"/>
              <w:rPr>
                <w:rFonts w:hint="eastAsia" w:ascii="宋体" w:hAnsi="宋体" w:eastAsia="宋体" w:cs="宋体"/>
                <w:color w:val="auto"/>
                <w:szCs w:val="21"/>
              </w:rPr>
            </w:pPr>
            <w:r>
              <w:rPr>
                <w:rFonts w:hint="eastAsia" w:ascii="宋体" w:hAnsi="宋体" w:eastAsia="宋体" w:cs="宋体"/>
                <w:b/>
                <w:color w:val="auto"/>
                <w:szCs w:val="21"/>
              </w:rPr>
              <w:t xml:space="preserve">三、技术要求</w:t>
            </w:r>
            <w:r/>
          </w:p>
        </w:tc>
      </w:tr>
      <w:tr>
        <w:trPr>
          <w:trHeight w:val="567"/>
        </w:trPr>
        <w:tc>
          <w:tcPr>
            <w:tcW w:w="373" w:type="pct"/>
            <w:vAlign w:val="center"/>
            <w:textDirection w:val="lrTb"/>
            <w:noWrap w:val="false"/>
          </w:tcPr>
          <w:p>
            <w:pPr>
              <w:pStyle w:val="685"/>
              <w:jc w:val="center"/>
              <w:spacing w:after="0"/>
              <w:rPr>
                <w:rFonts w:hint="eastAsia" w:ascii="宋体" w:hAnsi="宋体" w:eastAsia="宋体" w:cs="宋体"/>
                <w:color w:val="auto"/>
                <w:szCs w:val="21"/>
              </w:rPr>
            </w:pPr>
            <w:r>
              <w:rPr>
                <w:rFonts w:hint="eastAsia" w:ascii="宋体" w:hAnsi="宋体" w:eastAsia="宋体" w:cs="宋体"/>
                <w:color w:val="auto"/>
                <w:szCs w:val="21"/>
              </w:rPr>
              <w:t xml:space="preserve">1</w:t>
            </w:r>
            <w:r/>
          </w:p>
        </w:tc>
        <w:tc>
          <w:tcPr>
            <w:tcW w:w="2226"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技术或服务要求偏离表</w:t>
            </w:r>
            <w:r/>
          </w:p>
        </w:tc>
        <w:tc>
          <w:tcPr>
            <w:tcW w:w="2399"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格式见第三章</w:t>
            </w:r>
            <w:r/>
          </w:p>
        </w:tc>
      </w:tr>
      <w:tr>
        <w:trPr>
          <w:trHeight w:val="567"/>
        </w:trPr>
        <w:tc>
          <w:tcPr>
            <w:tcW w:w="373" w:type="pct"/>
            <w:vAlign w:val="center"/>
            <w:textDirection w:val="lrTb"/>
            <w:noWrap w:val="false"/>
          </w:tcPr>
          <w:p>
            <w:pPr>
              <w:pStyle w:val="685"/>
              <w:jc w:val="center"/>
              <w:spacing w:after="0"/>
              <w:rPr>
                <w:rFonts w:hint="eastAsia" w:ascii="宋体" w:hAnsi="宋体" w:eastAsia="宋体" w:cs="宋体"/>
                <w:color w:val="auto"/>
                <w:szCs w:val="21"/>
              </w:rPr>
            </w:pPr>
            <w:r>
              <w:rPr>
                <w:rFonts w:hint="eastAsia" w:ascii="宋体" w:hAnsi="宋体" w:eastAsia="宋体" w:cs="宋体"/>
                <w:color w:val="auto"/>
                <w:szCs w:val="21"/>
              </w:rPr>
              <w:t xml:space="preserve">2</w:t>
            </w:r>
            <w:r/>
          </w:p>
        </w:tc>
        <w:tc>
          <w:tcPr>
            <w:tcW w:w="2226" w:type="pct"/>
            <w:vAlign w:val="center"/>
            <w:textDirection w:val="lrTb"/>
            <w:noWrap w:val="false"/>
          </w:tcPr>
          <w:p>
            <w:pPr>
              <w:pStyle w:val="685"/>
              <w:spacing w:after="0"/>
              <w:rPr>
                <w:rFonts w:hint="eastAsia" w:ascii="宋体" w:hAnsi="宋体" w:eastAsia="宋体" w:cs="宋体"/>
                <w:color w:val="auto"/>
                <w:szCs w:val="21"/>
              </w:rPr>
            </w:pPr>
            <w:r>
              <w:rPr>
                <w:rFonts w:hint="eastAsia" w:ascii="宋体" w:hAnsi="宋体" w:eastAsia="宋体" w:cs="宋体"/>
                <w:color w:val="auto"/>
                <w:szCs w:val="21"/>
              </w:rPr>
              <w:t xml:space="preserve">拟投入本项目专业设备清单</w:t>
            </w:r>
            <w:r/>
          </w:p>
        </w:tc>
        <w:tc>
          <w:tcPr>
            <w:tcW w:w="2399" w:type="pct"/>
            <w:vAlign w:val="center"/>
            <w:textDirection w:val="lrTb"/>
            <w:noWrap w:val="false"/>
          </w:tcPr>
          <w:p>
            <w:pPr>
              <w:pStyle w:val="685"/>
              <w:spacing w:after="0"/>
              <w:rPr>
                <w:rFonts w:hint="eastAsia" w:ascii="宋体" w:hAnsi="宋体" w:eastAsia="宋体" w:cs="宋体"/>
                <w:color w:val="auto"/>
                <w:szCs w:val="21"/>
              </w:rPr>
            </w:pPr>
            <w:r>
              <w:rPr>
                <w:rFonts w:hint="eastAsia" w:ascii="宋体" w:hAnsi="宋体" w:eastAsia="宋体" w:cs="宋体"/>
                <w:color w:val="auto"/>
                <w:szCs w:val="21"/>
              </w:rPr>
              <w:t xml:space="preserve">格式见第三章</w:t>
            </w:r>
            <w:r/>
          </w:p>
        </w:tc>
      </w:tr>
      <w:tr>
        <w:trPr>
          <w:trHeight w:val="567"/>
        </w:trPr>
        <w:tc>
          <w:tcPr>
            <w:tcW w:w="373" w:type="pct"/>
            <w:vAlign w:val="center"/>
            <w:textDirection w:val="lrTb"/>
            <w:noWrap w:val="false"/>
          </w:tcPr>
          <w:p>
            <w:pPr>
              <w:pStyle w:val="685"/>
              <w:jc w:val="center"/>
              <w:spacing w:after="0"/>
              <w:rPr>
                <w:rFonts w:hint="eastAsia" w:ascii="宋体" w:hAnsi="宋体" w:eastAsia="宋体" w:cs="宋体"/>
                <w:color w:val="auto"/>
                <w:szCs w:val="21"/>
              </w:rPr>
            </w:pPr>
            <w:r>
              <w:rPr>
                <w:rFonts w:hint="eastAsia" w:ascii="宋体" w:hAnsi="宋体" w:eastAsia="宋体" w:cs="宋体"/>
                <w:color w:val="auto"/>
                <w:szCs w:val="21"/>
              </w:rPr>
              <w:t xml:space="preserve">3</w:t>
            </w:r>
            <w:r/>
          </w:p>
        </w:tc>
        <w:tc>
          <w:tcPr>
            <w:tcW w:w="2226" w:type="pct"/>
            <w:vAlign w:val="center"/>
            <w:textDirection w:val="lrTb"/>
            <w:noWrap w:val="false"/>
          </w:tcPr>
          <w:p>
            <w:pPr>
              <w:pStyle w:val="685"/>
              <w:jc w:val="left"/>
              <w:spacing w:after="0"/>
              <w:rPr>
                <w:rFonts w:hint="eastAsia" w:ascii="宋体" w:hAnsi="宋体" w:eastAsia="宋体" w:cs="宋体"/>
                <w:color w:val="auto"/>
                <w:szCs w:val="21"/>
              </w:rPr>
            </w:pPr>
            <w:r>
              <w:rPr>
                <w:rFonts w:hint="eastAsia" w:ascii="宋体" w:hAnsi="宋体" w:eastAsia="宋体" w:cs="宋体"/>
                <w:color w:val="auto"/>
                <w:szCs w:val="21"/>
              </w:rPr>
              <w:t xml:space="preserve">采购需求中所涉及的或供应商认为需加以说明或证明的其他有关符合性证明材料、证明（如有）</w:t>
            </w:r>
            <w:r/>
          </w:p>
        </w:tc>
        <w:tc>
          <w:tcPr>
            <w:tcW w:w="2399" w:type="pct"/>
            <w:vAlign w:val="center"/>
            <w:textDirection w:val="lrTb"/>
            <w:noWrap w:val="false"/>
          </w:tcPr>
          <w:p>
            <w:pPr>
              <w:pStyle w:val="685"/>
              <w:spacing w:after="0"/>
              <w:rPr>
                <w:rFonts w:hint="eastAsia" w:ascii="宋体" w:hAnsi="宋体" w:eastAsia="宋体" w:cs="宋体"/>
                <w:color w:val="auto"/>
                <w:szCs w:val="21"/>
              </w:rPr>
            </w:pPr>
            <w:r>
              <w:rPr>
                <w:rFonts w:hint="eastAsia" w:ascii="宋体" w:hAnsi="宋体" w:eastAsia="宋体" w:cs="宋体"/>
                <w:color w:val="auto"/>
                <w:szCs w:val="21"/>
              </w:rPr>
              <w:t xml:space="preserve">格式自拟</w:t>
            </w:r>
            <w:r/>
          </w:p>
        </w:tc>
      </w:tr>
    </w:tbl>
    <w:p>
      <w:pPr>
        <w:pStyle w:val="838"/>
        <w:ind w:left="0" w:firstLine="482"/>
        <w:rPr>
          <w:rFonts w:hint="eastAsia" w:ascii="宋体" w:hAnsi="宋体" w:eastAsia="宋体" w:cs="宋体"/>
          <w:b/>
          <w:color w:val="auto"/>
          <w:sz w:val="24"/>
          <w:szCs w:val="24"/>
          <w:u w:val="single"/>
        </w:rPr>
      </w:pPr>
      <w:r/>
      <w:bookmarkStart w:id="44" w:name="_Hlk193373720"/>
      <w:r>
        <w:rPr>
          <w:rFonts w:hint="eastAsia" w:ascii="宋体" w:hAnsi="宋体" w:eastAsia="宋体" w:cs="宋体"/>
          <w:b/>
          <w:color w:val="auto"/>
          <w:sz w:val="24"/>
          <w:szCs w:val="24"/>
          <w:u w:val="single"/>
        </w:rPr>
        <w:t xml:space="preserve">以上为符合性审查的要求和必须提供的材料，未按要求提供的投标（响应）无效。</w:t>
      </w:r>
      <w:bookmarkEnd w:id="44"/>
      <w:r/>
      <w:r/>
    </w:p>
    <w:p>
      <w:pPr>
        <w:pStyle w:val="838"/>
        <w:ind w:left="0" w:firstLine="482"/>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12.4综合评审文件（评分要点及技术要求）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12.4.1技术部分（评分要点及技术要求）；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12.4.2评分标准中所涉及的其他材料等；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12.4.3其他需供应商对本次响应的详细说明。</w:t>
      </w:r>
      <w:r/>
    </w:p>
    <w:p>
      <w:pPr>
        <w:pStyle w:val="838"/>
        <w:ind w:left="0" w:firstLine="482"/>
        <w:rPr>
          <w:rFonts w:hint="eastAsia" w:ascii="宋体" w:hAnsi="宋体" w:eastAsia="宋体" w:cs="宋体"/>
          <w:bCs/>
          <w:color w:val="auto"/>
          <w:sz w:val="24"/>
          <w:szCs w:val="24"/>
        </w:rPr>
      </w:pPr>
      <w:r>
        <w:rPr>
          <w:rFonts w:hint="eastAsia" w:ascii="宋体" w:hAnsi="宋体" w:eastAsia="宋体" w:cs="宋体"/>
          <w:b/>
          <w:color w:val="auto"/>
          <w:sz w:val="24"/>
          <w:szCs w:val="24"/>
        </w:rPr>
        <w:t xml:space="preserve">12.5企业报价折扣证明：</w:t>
      </w:r>
      <w:r>
        <w:rPr>
          <w:rFonts w:hint="eastAsia" w:ascii="宋体" w:hAnsi="宋体" w:eastAsia="宋体" w:cs="宋体"/>
          <w:color w:val="auto"/>
          <w:sz w:val="24"/>
          <w:szCs w:val="24"/>
        </w:rPr>
        <w:t xml:space="preserve">本项目专门面向中小企业采购，</w:t>
      </w:r>
      <w:r>
        <w:rPr>
          <w:rFonts w:hint="eastAsia" w:ascii="宋体" w:hAnsi="宋体" w:eastAsia="宋体" w:cs="宋体"/>
          <w:b/>
          <w:bCs/>
          <w:color w:val="auto"/>
          <w:sz w:val="24"/>
          <w:szCs w:val="24"/>
        </w:rPr>
        <w:t xml:space="preserve">所属行业为建筑业，</w:t>
      </w:r>
      <w:r>
        <w:rPr>
          <w:rFonts w:hint="eastAsia" w:ascii="宋体" w:hAnsi="宋体" w:eastAsia="宋体" w:cs="宋体"/>
          <w:color w:val="auto"/>
          <w:sz w:val="24"/>
          <w:szCs w:val="24"/>
        </w:rPr>
        <w:t xml:space="preserve">供应商应为中小微企业、监狱企业、残疾人福利性单位，应提供《中小企业声明函》或残疾人福利性单位声明函或省级以上监狱管理局、戒毒管理局（含新疆生产建设兵团）出具的属于监狱企业的证明文件。</w:t>
      </w:r>
      <w:r/>
    </w:p>
    <w:p>
      <w:pPr>
        <w:ind w:firstLine="482"/>
        <w:spacing w:line="360" w:lineRule="auto"/>
        <w:tabs>
          <w:tab w:val="left" w:pos="0"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注：响应文件由上述条款规定的内容共同组成。响应单位必须提交上述12.1-12.3、12.5款规定的资料。否则，响应文件将因资格条件不符或未实质性响应采购文件而被拒绝。</w:t>
      </w:r>
      <w:r/>
    </w:p>
    <w:p>
      <w:pPr>
        <w:ind w:firstLine="48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传资料过小或模糊不清等无法辨认的都视为该资料未提供。</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供应商按上述要求提交相关资料。供应商必须保证全部资料的真实性，如有虚假或对采购文件所要求说明的情况故意隐瞒或虚报，视为未实质性响应采购文件，为无效响应。已成交的将取消成交资格，并按《中华人民共和国政府采购法》第七十七条“提供虚假材料谋取中标、成交”相关处理办法处理。</w:t>
      </w:r>
      <w:r/>
    </w:p>
    <w:p>
      <w:pPr>
        <w:ind w:firstLine="482"/>
        <w:spacing w:line="360" w:lineRule="auto"/>
        <w:tabs>
          <w:tab w:val="left" w:pos="8930" w:leader="none"/>
          <w:tab w:val="left" w:pos="9306"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13.报价（编制）要求的说明</w:t>
      </w:r>
      <w:r/>
    </w:p>
    <w:p>
      <w:pPr>
        <w:ind w:firstLine="480"/>
        <w:spacing w:line="360" w:lineRule="auto"/>
        <w:tabs>
          <w:tab w:val="left" w:pos="75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13.1除非合同中另有规定，响应报价涵盖在服务期内完成服务内容所需要的一切费用，包括完成该项目所需的全部人工费、材料费、机械使用费、管理费、利润、工程风险、规费、税金，以及所需的深化设计、施工准备、施工过程、保修期等所需的供货、运输、运杂保险、装卸、备品、备件、损耗、安装、调试、</w:t>
      </w:r>
      <w:r>
        <w:rPr>
          <w:rFonts w:hint="eastAsia" w:ascii="宋体" w:hAnsi="宋体" w:eastAsia="宋体" w:cs="宋体"/>
          <w:color w:val="auto"/>
          <w:sz w:val="24"/>
          <w:szCs w:val="24"/>
          <w:highlight w:val="none"/>
          <w:lang w:eastAsia="zh-CN"/>
        </w:rPr>
        <w:t xml:space="preserve">人员培训、检测费、</w:t>
      </w:r>
      <w:r>
        <w:rPr>
          <w:rFonts w:hint="eastAsia" w:ascii="宋体" w:hAnsi="宋体" w:eastAsia="宋体" w:cs="宋体"/>
          <w:color w:val="auto"/>
          <w:sz w:val="24"/>
          <w:szCs w:val="24"/>
          <w:highlight w:val="none"/>
        </w:rPr>
        <w:t xml:space="preserve">售后服务、专利技术等一切费用。采购方无需再支付其他任何</w:t>
      </w:r>
      <w:r>
        <w:rPr>
          <w:rFonts w:hint="eastAsia" w:ascii="宋体" w:hAnsi="宋体" w:eastAsia="宋体" w:cs="宋体"/>
          <w:color w:val="auto"/>
          <w:spacing w:val="1"/>
          <w:sz w:val="24"/>
          <w:szCs w:val="24"/>
          <w:highlight w:val="none"/>
        </w:rPr>
        <w:t xml:space="preserve">费用。</w:t>
      </w:r>
      <w:r>
        <w:rPr>
          <w:rFonts w:hint="eastAsia" w:ascii="宋体" w:hAnsi="宋体" w:eastAsia="宋体" w:cs="宋体"/>
          <w:color w:val="auto"/>
          <w:sz w:val="24"/>
          <w:szCs w:val="24"/>
          <w:highlight w:val="none"/>
        </w:rPr>
        <w:t xml:space="preserve">磋商二次报价为最终报价。</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13.2磋商供应商应对采购文件内所要采购的全部内容进行报</w:t>
      </w:r>
      <w:r>
        <w:rPr>
          <w:rFonts w:hint="eastAsia" w:ascii="宋体" w:hAnsi="宋体" w:eastAsia="宋体" w:cs="宋体"/>
          <w:color w:val="auto"/>
          <w:sz w:val="24"/>
          <w:szCs w:val="24"/>
        </w:rPr>
        <w:t xml:space="preserve">价，仅对部分内容报价的，其响应文件将被拒绝。但如果采购文件要求分标段响应的，则供应商可以选择只投其中一个或几个标段，也可以投全部标段，但各标段应分别计算填写单价和总价。本次采购不分标段。</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13.3一项内容只允许一个报价，采购单位不接受任何有选择性的报价。</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13.4响应文件报价中的单价和总价全部采用人民币表示，除非合同的特殊条款另有规定。</w:t>
      </w:r>
      <w:r/>
    </w:p>
    <w:p>
      <w:pPr>
        <w:ind w:firstLine="482"/>
        <w:spacing w:line="360" w:lineRule="auto"/>
        <w:tabs>
          <w:tab w:val="left" w:pos="8930" w:leader="none"/>
          <w:tab w:val="left" w:pos="9306"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14.保证金</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根据《关于做好政府采购支持企业发展有关事项的通知》（苏财购【2020】52号）相关规定，本项目无须缴纳磋商保证金。</w:t>
      </w:r>
      <w:r/>
    </w:p>
    <w:p>
      <w:pPr>
        <w:ind w:firstLine="482"/>
        <w:spacing w:line="360" w:lineRule="auto"/>
        <w:tabs>
          <w:tab w:val="left" w:pos="8930" w:leader="none"/>
          <w:tab w:val="left" w:pos="9306"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15.响应文件的有效期</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15.1自响应文件递交（上传）截止之日起</w:t>
      </w:r>
      <w:r>
        <w:rPr>
          <w:rFonts w:hint="eastAsia" w:ascii="宋体" w:hAnsi="宋体" w:eastAsia="宋体" w:cs="宋体"/>
          <w:color w:val="auto"/>
          <w:sz w:val="24"/>
          <w:szCs w:val="24"/>
          <w:u w:val="single"/>
        </w:rPr>
        <w:t xml:space="preserve">90</w:t>
      </w:r>
      <w:r>
        <w:rPr>
          <w:rFonts w:hint="eastAsia" w:ascii="宋体" w:hAnsi="宋体" w:eastAsia="宋体" w:cs="宋体"/>
          <w:color w:val="auto"/>
          <w:sz w:val="24"/>
          <w:szCs w:val="24"/>
        </w:rPr>
        <w:t xml:space="preserve">天内，响应文件应保持有效。有效期短于该规定期限的响应，将被拒绝。</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15.2在特殊情况下，采购单位可与供应商协商延长响应文件的有效期。这种要求和答复都应以书面形式进行。同意延长有效期的供应商不能修改响应文件。拒绝接受延期要求的，其响应将被拒绝。</w:t>
      </w:r>
      <w:r/>
    </w:p>
    <w:p>
      <w:pPr>
        <w:ind w:firstLine="482"/>
        <w:spacing w:line="360" w:lineRule="auto"/>
        <w:tabs>
          <w:tab w:val="left" w:pos="8930" w:leader="none"/>
          <w:tab w:val="left" w:pos="9306"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16.截止时间</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16.1响应文件必须在递交（上传）截止时间前上传系统。</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16.2采购单位推迟磋商截止时间时，应以网上公告形式，通知所有供应商。在这种情况下，采购单位和供应商的权利和义务将受到新的截止期的约束。</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16.3在递交（上传）截止时间以后递交（上传）的磋商响应文件，采购单位将拒绝接收。</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bookmarkStart w:id="45" w:name="_Hlk193374938"/>
      <w:r>
        <w:rPr>
          <w:rFonts w:hint="eastAsia" w:ascii="宋体" w:hAnsi="宋体" w:eastAsia="宋体" w:cs="宋体"/>
          <w:color w:val="auto"/>
          <w:sz w:val="24"/>
          <w:szCs w:val="24"/>
        </w:rPr>
        <w:t xml:space="preserve">16.4在投标（响应）截止时间止，采购人或采购代理机构收到的某标段投标（响应）文件少于三份，采购人或采购代理机构有权宣布该标段本次采购失败。</w:t>
      </w:r>
      <w:bookmarkEnd w:id="45"/>
      <w:r/>
      <w:r/>
    </w:p>
    <w:p>
      <w:pPr>
        <w:ind w:firstLine="482"/>
        <w:spacing w:line="360" w:lineRule="auto"/>
        <w:tabs>
          <w:tab w:val="left" w:pos="8930" w:leader="none"/>
          <w:tab w:val="left" w:pos="9306"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17.</w:t>
      </w:r>
      <w:r>
        <w:rPr>
          <w:rFonts w:hint="eastAsia" w:ascii="宋体" w:hAnsi="宋体" w:eastAsia="宋体" w:cs="宋体"/>
          <w:b/>
          <w:bCs/>
          <w:color w:val="auto"/>
          <w:sz w:val="24"/>
          <w:szCs w:val="24"/>
        </w:rPr>
        <w:t xml:space="preserve">电子投标（响应）文件的编制与提交</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17.1电子投标（响应）文件制作：本项目为网上采购项目，请供应商插入CA证书登陆“苏采云”系统下载客户端（参与项目页面可下载客户端及客户端使用说明），在客户端编制电子投标（响应）文件并进行CA加密。操作步骤详见“苏采云”系统页面提示和《操作手册》。</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17.3</w:t>
      </w:r>
      <w:r>
        <w:rPr>
          <w:rFonts w:hint="eastAsia" w:ascii="宋体" w:hAnsi="宋体" w:eastAsia="宋体" w:cs="宋体"/>
          <w:b/>
          <w:bCs/>
          <w:color w:val="auto"/>
          <w:sz w:val="24"/>
          <w:szCs w:val="24"/>
        </w:rPr>
        <w:t xml:space="preserve">响应文件未按照采购文件要求加盖CA电子公章的，响应无效</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17.4联合体响应：如招标(采购)公告中允许联合体响应，联合体的投标(响应)文件制作上传操作如下：</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第一步：在投标(响应)文件中上传联合体响应协议书。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第二步：在投标(响应)文件中，由联合体中的牵头人制作响应文件。</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17.5响应文件开启、评标（评审）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17.5.1线上参加（观看）开标（开启）会方式：登录“苏采云”系统，点击“开标大厅”，选择对应项目，点击进入不见面开标系统。</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17.5.2响应文件开启时，供应商应当按照《操作手册》规定，在“苏采云”系统规定的时间内对响应文件进行解密。等待开标流程进入“解锁环境”，点击“点击立即解密”进行标书解密，解锁完成后及时关注开标大厅，等待后续多次报价、答疑澄清等提示，否则导致的对供应商不利的后果由供应商自行承担。</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17.5.3</w:t>
      </w:r>
      <w:r>
        <w:rPr>
          <w:rFonts w:hint="eastAsia" w:ascii="宋体" w:hAnsi="宋体" w:eastAsia="宋体" w:cs="宋体"/>
          <w:b/>
          <w:bCs/>
          <w:color w:val="auto"/>
          <w:sz w:val="24"/>
          <w:szCs w:val="24"/>
        </w:rPr>
        <w:t xml:space="preserve">供应商在“苏采云”系统规定的时间内未成功解密电子响应文件的，响应无效</w:t>
      </w:r>
      <w:r>
        <w:rPr>
          <w:rFonts w:hint="eastAsia" w:ascii="宋体" w:hAnsi="宋体" w:eastAsia="宋体" w:cs="宋体"/>
          <w:color w:val="auto"/>
          <w:sz w:val="24"/>
          <w:szCs w:val="24"/>
        </w:rPr>
        <w:t xml:space="preserve">。</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17.6响应文件的修改和撤回</w:t>
      </w:r>
      <w:r/>
    </w:p>
    <w:p>
      <w:pPr>
        <w:ind w:firstLine="48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 xml:space="preserve">17.6.1供应商在提交投标(响应)文件截止时间前，可以对所递交的投标(响应)文件进行补充、修改或者撤回，具体操作方法见《操作手册》。提交投标(响应)文件截止时间后供应商不得撤回投标(响应)文件。供应商撤回投标（响应）文件，则认为其不再参与本项目采购活动。</w:t>
      </w:r>
      <w:r/>
    </w:p>
    <w:p>
      <w:pPr>
        <w:ind w:firstLine="482"/>
        <w:spacing w:line="360" w:lineRule="auto"/>
        <w:tabs>
          <w:tab w:val="left" w:pos="753"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18.磋商程序说明</w:t>
      </w:r>
      <w:r/>
    </w:p>
    <w:p>
      <w:pPr>
        <w:pStyle w:val="765"/>
        <w:ind w:firstLine="480"/>
        <w:jc w:val="both"/>
        <w:spacing w:line="360" w:lineRule="auto"/>
        <w:tabs>
          <w:tab w:val="left" w:pos="0" w:leader="none"/>
        </w:tabs>
        <w:rPr>
          <w:rFonts w:hint="eastAsia" w:ascii="宋体" w:hAnsi="宋体" w:eastAsia="宋体" w:cs="宋体"/>
          <w:color w:val="auto"/>
          <w:szCs w:val="24"/>
        </w:rPr>
      </w:pPr>
      <w:r>
        <w:rPr>
          <w:rFonts w:hint="eastAsia" w:ascii="宋体" w:hAnsi="宋体" w:eastAsia="宋体" w:cs="宋体"/>
          <w:color w:val="auto"/>
          <w:szCs w:val="24"/>
        </w:rPr>
        <w:t xml:space="preserve">18.1采购代理机构按本须知规定的时间、地点主持磋商采购活动。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18.2供应商通过“苏采云”系统在线参与磋商活动。供应商应当按照《苏采云系统供应商操作手册》规定在“苏采云”系统规定的时间内对响应文件进行解密。在响应文件网上递交截止时间止成功解密的磋商供应商少于三家，则本次采购失败。</w:t>
      </w:r>
      <w:r/>
    </w:p>
    <w:p>
      <w:pPr>
        <w:pStyle w:val="765"/>
        <w:ind w:firstLine="480"/>
        <w:jc w:val="both"/>
        <w:spacing w:line="360" w:lineRule="auto"/>
        <w:tabs>
          <w:tab w:val="left" w:pos="0" w:leader="none"/>
        </w:tabs>
        <w:rPr>
          <w:rFonts w:hint="eastAsia" w:ascii="宋体" w:hAnsi="宋体" w:eastAsia="宋体" w:cs="宋体"/>
          <w:color w:val="auto"/>
          <w:szCs w:val="24"/>
        </w:rPr>
      </w:pPr>
      <w:r>
        <w:rPr>
          <w:rFonts w:hint="eastAsia" w:ascii="宋体" w:hAnsi="宋体" w:eastAsia="宋体" w:cs="宋体"/>
          <w:color w:val="auto"/>
          <w:szCs w:val="24"/>
        </w:rPr>
        <w:t xml:space="preserve">18.3由磋商小组审查供应商解密的响应文件。</w:t>
      </w:r>
      <w:r/>
    </w:p>
    <w:p>
      <w:pPr>
        <w:pStyle w:val="765"/>
        <w:ind w:firstLine="480"/>
        <w:jc w:val="both"/>
        <w:spacing w:line="360" w:lineRule="auto"/>
        <w:tabs>
          <w:tab w:val="left" w:pos="0" w:leader="none"/>
        </w:tabs>
        <w:rPr>
          <w:rFonts w:hint="eastAsia" w:ascii="宋体" w:hAnsi="宋体" w:eastAsia="宋体" w:cs="宋体"/>
          <w:color w:val="auto"/>
          <w:szCs w:val="24"/>
        </w:rPr>
      </w:pPr>
      <w:r>
        <w:rPr>
          <w:rFonts w:hint="eastAsia" w:ascii="宋体" w:hAnsi="宋体" w:eastAsia="宋体" w:cs="宋体"/>
          <w:color w:val="auto"/>
          <w:szCs w:val="24"/>
        </w:rPr>
        <w:t xml:space="preserve">18.4资格审查</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18.4.1采购项目开标结束后，由磋商小组按采购文件的资格条件进行资格性审查，未通过资格性审查的响应无效。</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18.4.2根据政府采购法及相关法规，以及《关于印发苏州市市级政府采购信用记录查询和使用工作试行办法的通知》（苏财购（2017）11号）、《层转《财政部关于〈中华人民共和国政府采购法实施条例〉第十九条第一款“较大数额罚款”具体适用问题的意见》的通知》（苏财购〔2022〕4号）规定，将对供应商进行信用查询。凡经确认不符合政府采购相关法律法规规定的，将拒绝其参与政府采购活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查询时间：响应文件递交截止时间。</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查询渠道：“苏采云”。</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陆到来源网站页面进行复核并打印，作为证据留存。</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信用记录使用规则：</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文件处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（一）政府采购严重违法记录，即供应商被全国各级财政部门列入“政府采购严重违法失信行为记录名单”，且在处罚有效期内的。</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（二）财政部门与法院、工商、税务等部门联合惩戒的失信信息，包括：</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（1）被列入失信被执行人名单；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（2）被列入重大税收违法案件当事人名单；</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如是接受联合体的项目，两个以上的自然人、法人或者其他组织组成一个联合体，以一个供应商的身份共同参加政府采购活动的，联合体成员任一成员存在失信信息的，视同联合体存在失信信息。</w:t>
      </w:r>
      <w:r/>
    </w:p>
    <w:p>
      <w:pPr>
        <w:pStyle w:val="765"/>
        <w:ind w:firstLine="480"/>
        <w:jc w:val="both"/>
        <w:spacing w:line="360" w:lineRule="auto"/>
        <w:tabs>
          <w:tab w:val="left" w:pos="0" w:leader="none"/>
        </w:tabs>
        <w:rPr>
          <w:rFonts w:hint="eastAsia" w:ascii="宋体" w:hAnsi="宋体" w:eastAsia="宋体" w:cs="宋体"/>
          <w:color w:val="auto"/>
          <w:szCs w:val="24"/>
        </w:rPr>
      </w:pPr>
      <w:r>
        <w:rPr>
          <w:rFonts w:hint="eastAsia" w:ascii="宋体" w:hAnsi="宋体" w:eastAsia="宋体" w:cs="宋体"/>
          <w:color w:val="auto"/>
          <w:szCs w:val="24"/>
        </w:rPr>
        <w:t xml:space="preserve">18.5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765"/>
        <w:ind w:firstLine="480"/>
        <w:jc w:val="both"/>
        <w:spacing w:line="360" w:lineRule="auto"/>
        <w:tabs>
          <w:tab w:val="left" w:pos="0" w:leader="none"/>
        </w:tabs>
        <w:rPr>
          <w:rFonts w:hint="eastAsia" w:ascii="宋体" w:hAnsi="宋体" w:eastAsia="宋体" w:cs="宋体"/>
          <w:color w:val="auto"/>
          <w:szCs w:val="24"/>
        </w:rPr>
      </w:pPr>
      <w:r>
        <w:rPr>
          <w:rFonts w:hint="eastAsia" w:ascii="宋体" w:hAnsi="宋体" w:eastAsia="宋体" w:cs="宋体"/>
          <w:color w:val="auto"/>
          <w:szCs w:val="24"/>
        </w:rPr>
        <w:t xml:space="preserve">18.6磋商小组要求供应商澄清、说明或者更正响应文件时，应当要求供应商点击答疑澄清按钮，进入询标回复界面，供应商点击【响应】按钮，进行询问响应，填写询问响应内容后，进行询问响应函签章，内容校验后提交。供应商的澄清、说明或者更正应当由其单位加盖电子公章。</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w:t>
      </w:r>
      <w:r>
        <w:rPr>
          <w:rFonts w:hint="eastAsia" w:ascii="宋体" w:hAnsi="宋体" w:eastAsia="宋体" w:cs="宋体"/>
          <w:b/>
          <w:color w:val="auto"/>
          <w:sz w:val="24"/>
          <w:szCs w:val="24"/>
        </w:rPr>
        <w:t xml:space="preserve">如因供应商自身原因未在规定时间内提交澄清确认资料的，导致的不利后果由供应商自行承担。</w:t>
      </w:r>
      <w:r/>
    </w:p>
    <w:p>
      <w:pPr>
        <w:pStyle w:val="765"/>
        <w:ind w:firstLine="480"/>
        <w:jc w:val="both"/>
        <w:spacing w:line="360" w:lineRule="auto"/>
        <w:tabs>
          <w:tab w:val="left" w:pos="0" w:leader="none"/>
        </w:tabs>
        <w:rPr>
          <w:rFonts w:hint="eastAsia" w:ascii="宋体" w:hAnsi="宋体" w:eastAsia="宋体" w:cs="宋体"/>
          <w:color w:val="auto"/>
          <w:szCs w:val="24"/>
        </w:rPr>
      </w:pPr>
      <w:r>
        <w:rPr>
          <w:rFonts w:hint="eastAsia" w:ascii="宋体" w:hAnsi="宋体" w:eastAsia="宋体" w:cs="宋体"/>
          <w:color w:val="auto"/>
          <w:szCs w:val="24"/>
        </w:rPr>
        <w:t xml:space="preserve">18.7对于通过资格审查和符合性审查的供应商，磋商小组所有成员集中与单一供应商分别进行磋商，并给予所有参加磋商的供应商平等的磋商机会。</w:t>
      </w:r>
      <w:r>
        <w:rPr>
          <w:rFonts w:hint="eastAsia" w:ascii="宋体" w:hAnsi="宋体" w:eastAsia="宋体" w:cs="宋体"/>
          <w:b/>
          <w:bCs/>
          <w:color w:val="auto"/>
          <w:szCs w:val="24"/>
        </w:rPr>
        <w:t xml:space="preserve">磋商小组通过“苏采云”系统向供应商发布“磋商函”，供应商应当按照要求在“苏采云”系统提交“磋商响应函”并加盖CA电子公章。</w:t>
      </w:r>
      <w:r/>
    </w:p>
    <w:p>
      <w:pPr>
        <w:pStyle w:val="765"/>
        <w:ind w:firstLine="480"/>
        <w:jc w:val="both"/>
        <w:spacing w:line="360" w:lineRule="auto"/>
        <w:tabs>
          <w:tab w:val="left" w:pos="0" w:leader="none"/>
        </w:tabs>
        <w:rPr>
          <w:rFonts w:hint="eastAsia" w:ascii="宋体" w:hAnsi="宋体" w:eastAsia="宋体" w:cs="宋体"/>
          <w:color w:val="auto"/>
          <w:szCs w:val="24"/>
        </w:rPr>
      </w:pPr>
      <w:r>
        <w:rPr>
          <w:rFonts w:hint="eastAsia" w:ascii="宋体" w:hAnsi="宋体" w:eastAsia="宋体" w:cs="宋体"/>
          <w:color w:val="auto"/>
          <w:szCs w:val="24"/>
        </w:rPr>
        <w:t xml:space="preserve">18.8在磋商过程中，磋商小组可以根据采购文件和磋商情况实质性变动采购需求中的技术、服务要求以及合同草案条款。对采购文件作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765"/>
        <w:ind w:firstLine="480"/>
        <w:jc w:val="both"/>
        <w:spacing w:line="360" w:lineRule="auto"/>
        <w:tabs>
          <w:tab w:val="left" w:pos="0" w:leader="none"/>
        </w:tabs>
        <w:rPr>
          <w:rFonts w:hint="eastAsia" w:ascii="宋体" w:hAnsi="宋体" w:eastAsia="宋体" w:cs="宋体"/>
          <w:color w:val="auto"/>
          <w:szCs w:val="24"/>
        </w:rPr>
      </w:pPr>
      <w:r>
        <w:rPr>
          <w:rFonts w:hint="eastAsia" w:ascii="宋体" w:hAnsi="宋体" w:eastAsia="宋体" w:cs="宋体"/>
          <w:color w:val="auto"/>
          <w:szCs w:val="24"/>
        </w:rPr>
        <w:t xml:space="preserve">18.9供应商应当按照采购文件的变动情况和磋商小组的要求，及时关注【评审】环节并等待澄清及回复。</w:t>
      </w:r>
      <w:r/>
    </w:p>
    <w:p>
      <w:pPr>
        <w:pStyle w:val="765"/>
        <w:ind w:firstLine="480"/>
        <w:jc w:val="both"/>
        <w:spacing w:line="360" w:lineRule="auto"/>
        <w:tabs>
          <w:tab w:val="left" w:pos="0" w:leader="none"/>
        </w:tabs>
        <w:rPr>
          <w:rFonts w:hint="eastAsia" w:ascii="宋体" w:hAnsi="宋体" w:eastAsia="宋体" w:cs="宋体"/>
          <w:color w:val="auto"/>
          <w:szCs w:val="24"/>
        </w:rPr>
      </w:pPr>
      <w:r>
        <w:rPr>
          <w:rFonts w:hint="eastAsia" w:ascii="宋体" w:hAnsi="宋体" w:eastAsia="宋体" w:cs="宋体"/>
          <w:color w:val="auto"/>
          <w:szCs w:val="24"/>
        </w:rPr>
        <w:t xml:space="preserve">18.10磋商结束后，</w:t>
      </w:r>
      <w:r>
        <w:rPr>
          <w:rFonts w:hint="eastAsia" w:ascii="宋体" w:hAnsi="宋体" w:eastAsia="宋体" w:cs="宋体"/>
          <w:b/>
          <w:bCs/>
          <w:color w:val="auto"/>
          <w:szCs w:val="24"/>
        </w:rPr>
        <w:t xml:space="preserve">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auto"/>
          <w:szCs w:val="24"/>
        </w:rPr>
        <w:t xml:space="preserve">。因供应商自身原因导致线上报价失败的后果由供应商自行承担。</w:t>
      </w:r>
      <w:r>
        <w:rPr>
          <w:rStyle w:val="746"/>
          <w:rFonts w:hint="eastAsia" w:ascii="宋体" w:hAnsi="宋体" w:eastAsia="宋体" w:cs="宋体"/>
          <w:color w:val="auto"/>
          <w:szCs w:val="24"/>
        </w:rPr>
        <w:t xml:space="preserve">提交最后报价的供应商不得少于3家。</w:t>
      </w:r>
      <w:r/>
    </w:p>
    <w:p>
      <w:pPr>
        <w:ind w:firstLine="480"/>
        <w:jc w:val="left"/>
        <w:spacing w:line="360" w:lineRule="auto"/>
        <w:tabs>
          <w:tab w:val="left" w:pos="287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18.11根据《关于推动解决政府采购异常低价问题的通知》（财库〔2026〕2号）规定，政府采购异常低价审查：</w:t>
      </w:r>
      <w:r/>
    </w:p>
    <w:p>
      <w:pPr>
        <w:ind w:firstLine="480"/>
        <w:jc w:val="left"/>
        <w:spacing w:line="360" w:lineRule="auto"/>
        <w:tabs>
          <w:tab w:val="left" w:pos="287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（1）政府采购评审中出现下列情形之一的，评审委员会应当启动异常低价投标（响应）审查程序：</w:t>
      </w:r>
      <w:r/>
    </w:p>
    <w:p>
      <w:pPr>
        <w:ind w:firstLine="480"/>
        <w:jc w:val="left"/>
        <w:spacing w:line="360" w:lineRule="auto"/>
        <w:tabs>
          <w:tab w:val="left" w:pos="287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①投标（响应）报价低于全部通过符合性审查供应商投标（响应）报价平均值50%的，即投标（响应）报价&lt;全部通过符合性审查供应商投标（响应）报价平均值×50%；</w:t>
      </w:r>
      <w:r/>
    </w:p>
    <w:p>
      <w:pPr>
        <w:ind w:firstLine="480"/>
        <w:jc w:val="left"/>
        <w:spacing w:line="360" w:lineRule="auto"/>
        <w:tabs>
          <w:tab w:val="left" w:pos="287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②投标（响应）报价低于通过符合性审查的次低报价供应商投标（响应）报价50%的，即投标（响应）报价&lt;通过符合性审查的次低报价供应商投标（响应）报价×50%；</w:t>
      </w:r>
      <w:r/>
    </w:p>
    <w:p>
      <w:pPr>
        <w:ind w:firstLine="480"/>
        <w:jc w:val="left"/>
        <w:spacing w:line="360" w:lineRule="auto"/>
        <w:tabs>
          <w:tab w:val="left" w:pos="2870" w:leader="none"/>
        </w:tabs>
        <w:rPr>
          <w:rFonts w:hint="eastAsia" w:ascii="宋体" w:hAnsi="宋体" w:eastAsia="宋体" w:cs="宋体"/>
          <w:color w:val="auto"/>
        </w:rPr>
      </w:pPr>
      <w:r>
        <w:rPr>
          <w:rFonts w:hint="eastAsia" w:ascii="宋体" w:hAnsi="宋体" w:eastAsia="宋体" w:cs="宋体"/>
          <w:color w:val="auto"/>
          <w:sz w:val="24"/>
          <w:szCs w:val="24"/>
        </w:rPr>
        <w:t xml:space="preserve">③投标（响应）报价低于采购项目最高限价45%的，即投标（响应）报价&lt;采购项目最高限价×45%；</w:t>
      </w:r>
      <w:r/>
    </w:p>
    <w:p>
      <w:pPr>
        <w:ind w:firstLine="480"/>
        <w:jc w:val="left"/>
        <w:spacing w:line="360" w:lineRule="auto"/>
        <w:tabs>
          <w:tab w:val="left" w:pos="287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④评审委员会基于专业判断，认为供应商报价过低，有可能影响产品质量或者不能诚信履约的其他情形。</w:t>
      </w:r>
      <w:r/>
    </w:p>
    <w:p>
      <w:pPr>
        <w:ind w:firstLine="480"/>
        <w:jc w:val="left"/>
        <w:spacing w:line="360" w:lineRule="auto"/>
        <w:tabs>
          <w:tab w:val="left" w:pos="287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left"/>
        <w:spacing w:line="360" w:lineRule="auto"/>
        <w:tabs>
          <w:tab w:val="left" w:pos="287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65"/>
        <w:ind w:firstLine="480"/>
        <w:jc w:val="both"/>
        <w:spacing w:line="360" w:lineRule="auto"/>
        <w:tabs>
          <w:tab w:val="left" w:pos="0" w:leader="none"/>
        </w:tabs>
        <w:rPr>
          <w:rFonts w:hint="eastAsia" w:ascii="宋体" w:hAnsi="宋体" w:eastAsia="宋体" w:cs="宋体"/>
          <w:color w:val="auto"/>
          <w:szCs w:val="24"/>
        </w:rPr>
      </w:pPr>
      <w:r>
        <w:rPr>
          <w:rFonts w:hint="eastAsia" w:ascii="宋体" w:hAnsi="宋体" w:eastAsia="宋体" w:cs="宋体"/>
          <w:color w:val="auto"/>
          <w:szCs w:val="24"/>
        </w:rPr>
        <w:t xml:space="preserve">18.12经磋商确定最终采购需求和提交最后报价的供应商后，由磋商小组采用综合评分法进行评分。</w:t>
      </w:r>
      <w:r/>
    </w:p>
    <w:p>
      <w:pPr>
        <w:pStyle w:val="765"/>
        <w:ind w:firstLine="480"/>
        <w:jc w:val="both"/>
        <w:spacing w:line="360" w:lineRule="auto"/>
        <w:tabs>
          <w:tab w:val="left" w:pos="0" w:leader="none"/>
        </w:tabs>
        <w:rPr>
          <w:rFonts w:hint="eastAsia" w:ascii="宋体" w:hAnsi="宋体" w:eastAsia="宋体" w:cs="宋体"/>
          <w:color w:val="auto"/>
          <w:szCs w:val="24"/>
        </w:rPr>
      </w:pPr>
      <w:r>
        <w:rPr>
          <w:rFonts w:hint="eastAsia" w:ascii="宋体" w:hAnsi="宋体" w:eastAsia="宋体" w:cs="宋体"/>
          <w:color w:val="auto"/>
          <w:szCs w:val="24"/>
        </w:rPr>
        <w:t xml:space="preserve">18.13磋商小组根据磋商成交原则确定成交供应商，并将结果通知所有参加磋商的供应商。</w:t>
      </w:r>
      <w:r/>
    </w:p>
    <w:p>
      <w:pPr>
        <w:pStyle w:val="765"/>
        <w:ind w:firstLine="480"/>
        <w:jc w:val="both"/>
        <w:spacing w:line="360" w:lineRule="auto"/>
        <w:tabs>
          <w:tab w:val="left" w:pos="0" w:leader="none"/>
        </w:tabs>
        <w:rPr>
          <w:rFonts w:hint="eastAsia" w:ascii="宋体" w:hAnsi="宋体" w:eastAsia="宋体" w:cs="宋体"/>
          <w:color w:val="auto"/>
          <w:szCs w:val="24"/>
        </w:rPr>
      </w:pPr>
      <w:r>
        <w:rPr>
          <w:rFonts w:hint="eastAsia" w:ascii="宋体" w:hAnsi="宋体" w:eastAsia="宋体" w:cs="宋体"/>
          <w:color w:val="auto"/>
          <w:szCs w:val="24"/>
        </w:rPr>
        <w:t xml:space="preserve">18.14如磋商过程中出现本采购文件未尽事宜，由磋商小组根据政府采购有关法律、法规讨论决定。</w:t>
      </w:r>
      <w:r/>
    </w:p>
    <w:p>
      <w:pPr>
        <w:ind w:firstLine="482"/>
        <w:spacing w:line="360" w:lineRule="auto"/>
        <w:widowControl/>
        <w:rPr>
          <w:rFonts w:hint="eastAsia" w:ascii="宋体" w:hAnsi="宋体" w:eastAsia="宋体" w:cs="宋体"/>
          <w:color w:val="auto"/>
          <w:sz w:val="24"/>
          <w:szCs w:val="24"/>
          <w:lang w:val="zh-CN"/>
        </w:rPr>
      </w:pPr>
      <w:r>
        <w:rPr>
          <w:rFonts w:hint="eastAsia" w:ascii="宋体" w:hAnsi="宋体" w:eastAsia="宋体" w:cs="宋体"/>
          <w:b/>
          <w:bCs/>
          <w:color w:val="auto"/>
          <w:sz w:val="24"/>
          <w:szCs w:val="24"/>
        </w:rPr>
        <w:t xml:space="preserve">注：如不同投标（响应）文件制作机器码一致，则投标（响应）无效。</w:t>
      </w:r>
      <w:r/>
    </w:p>
    <w:p>
      <w:pPr>
        <w:ind w:firstLine="482"/>
        <w:spacing w:line="360" w:lineRule="auto"/>
        <w:tabs>
          <w:tab w:val="left" w:pos="753"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18.15本项目采用线上二次报价：</w:t>
      </w:r>
      <w:r/>
    </w:p>
    <w:p>
      <w:pPr>
        <w:ind w:firstLine="480"/>
        <w:spacing w:line="360" w:lineRule="auto"/>
        <w:tabs>
          <w:tab w:val="left" w:pos="753"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登录苏采云系统，评审组长发起最后报价，开标大厅会显示“立即报价”界面，点击【确认报价】提交流程至签</w:t>
      </w:r>
      <w:r>
        <w:rPr>
          <w:rFonts w:hint="eastAsia" w:ascii="宋体" w:hAnsi="宋体" w:eastAsia="宋体" w:cs="宋体"/>
          <w:bCs/>
          <w:color w:val="auto"/>
          <w:sz w:val="24"/>
          <w:szCs w:val="24"/>
        </w:rPr>
        <w:t xml:space="preserve">章环节，供应商点击签章按钮，签章完成后可进行提交。</w:t>
      </w:r>
      <w:r>
        <w:rPr>
          <w:rFonts w:hint="eastAsia" w:ascii="宋体" w:hAnsi="宋体" w:eastAsia="宋体" w:cs="宋体"/>
          <w:b/>
          <w:color w:val="auto"/>
          <w:sz w:val="24"/>
          <w:szCs w:val="24"/>
        </w:rPr>
        <w:t xml:space="preserve">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回，请供应商慎重提交）</w:t>
      </w:r>
      <w:r>
        <w:rPr>
          <w:rFonts w:hint="eastAsia" w:ascii="宋体" w:hAnsi="宋体" w:eastAsia="宋体" w:cs="宋体"/>
          <w:color w:val="auto"/>
          <w:sz w:val="24"/>
          <w:szCs w:val="24"/>
        </w:rPr>
        <w:t xml:space="preserve">。</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进入项目评审流程后，建议各供应商法定代表人或授权委托人始终保持通讯顺畅，时</w:t>
      </w:r>
      <w:r>
        <w:rPr>
          <w:rFonts w:hint="eastAsia" w:ascii="宋体" w:hAnsi="宋体" w:eastAsia="宋体" w:cs="宋体"/>
          <w:b/>
          <w:color w:val="auto"/>
          <w:sz w:val="24"/>
          <w:szCs w:val="24"/>
        </w:rPr>
        <w:t xml:space="preserve">刻关注不见面开标大厅，不离开不见面开标大厅。</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供应商应提前熟悉线上报价操作方法：若评审组长发起最后报价，不见面开标大厅会显示“立即报价”界面，具体操作方式见《操作手册》。发生异常情况后，综合现场各种情况，代理机构也可使用其它应急方案并统一通知到所有参与最后报价的供应商。请供应商确保手机号开评标当日通讯畅通，否则导致的对供应商不利的后果由供应商自行承担。关于二次报价的具体操作流程，各供应商请详细阅读《操作手册》。</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18.16以上磋商活动所涉及的系统操作，以“苏采云”系统最新要求为准。</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19.磋商小组</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19.1采购代理机构负责组织评审工作；磋商小组由相关专家及采购人代表组成，负责具体评审事务，并独立履行法律、法规规定的职责。</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19.2采购人员及相关人员与参加采购活动的供应商存在下列利害关系之一的，应当回避：</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（一）参加采购活动前三年内，与供应商存在劳动关系，或者担任过供应商的董事、监事，或者是供应商的控股股东或实际控制人；</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（二）与供应商的法定代表人或者负责人有夫妻、直系血亲、三代以内旁系血亲或者近姻亲关系；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（三）与供应商有其他可能影响政府采购活动公平、公正进行的关系。</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采购人员及相关人员发现本人与参加采购活动的供应商有利害关系的，应当主动提出回避。采购人或者采购代理机构发现磋商小组与参加采购活动的供应商有利害关系的，应当要求其回避。</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19.3评审专家应当遵守评审工作纪律，不得泄露评审文件、评审情况和评审中获悉的商业秘密。磋商小组在评审过程中发现供应商有行贿、提供虚假材料或者串通等违法行为的，应当及时向财政部门报告。政府采购评审专家在评审过程中受到非法干预的，应当及时向财政、监察等部门举报。</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19.4磋商小组成员应当按照客观、公正、审慎的原则，根据采购文件规定的评审程序、评审方法和评审标准进行独立评审。</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20.项目的终止</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20.1出现下列情形之一的，将终止竞争性磋商采购活动：</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20.1.1因情况变化，不再符合规定的竞争性磋商采购方式适用情形的；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20.1.2出现影响采购公正的违法、违规行为的；</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20.1.3在采购过程中符合要求的供应商或者报价未超过采购预算或最高限价（如有）的供应商不足3家的；</w:t>
      </w:r>
      <w:r/>
    </w:p>
    <w:p>
      <w:pPr>
        <w:ind w:firstLine="480"/>
        <w:spacing w:line="360" w:lineRule="auto"/>
        <w:tabs>
          <w:tab w:val="left" w:pos="753" w:leader="none"/>
        </w:tabs>
        <w:rPr>
          <w:rFonts w:hint="eastAsia" w:ascii="宋体" w:hAnsi="宋体" w:eastAsia="宋体" w:cs="宋体"/>
          <w:color w:val="auto"/>
          <w:sz w:val="24"/>
          <w:szCs w:val="24"/>
        </w:rPr>
      </w:pPr>
      <w:r>
        <w:rPr>
          <w:rFonts w:hint="eastAsia" w:ascii="宋体" w:hAnsi="宋体" w:eastAsia="宋体" w:cs="宋体"/>
          <w:bCs/>
          <w:color w:val="auto"/>
          <w:sz w:val="24"/>
          <w:szCs w:val="24"/>
        </w:rPr>
        <w:t xml:space="preserve">20.1.4在采购活动中因重大变故，采购任务取消的。</w:t>
      </w:r>
      <w:r/>
    </w:p>
    <w:p>
      <w:pPr>
        <w:ind w:firstLine="482"/>
        <w:spacing w:line="360" w:lineRule="auto"/>
        <w:tabs>
          <w:tab w:val="left" w:pos="8930" w:leader="none"/>
          <w:tab w:val="left" w:pos="9306"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21.评审内容的保密</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21.1磋商开始后，直到宣布授予成交单位合同为止，凡属于审查、澄清、评价和比较磋商响应文件的所有资料，有关授予合同的信息都不应向磋商供应商或与评审无关的其他人泄露。</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21.2在磋商响应文件的审查、澄清、评价和比较以及授予合同的过程中，磋商供应商对采购单位和磋商小组施加影响的任何行为，都将取消其成交资格。</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21.3在评审期间，采购人或采购代理机构将通过指定联络人与磋商供应商进行联系。</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22.磋商说明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22.1不符合供应商资格要求的响应文件将被拒绝；</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22.2响应文件签署不符合要求的，响应文件将被拒绝；</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22.3任意一次磋商报价超过采购预算的，不能成交；</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22.4不实质性响应采购文件的不能成交；</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22.5</w:t>
      </w:r>
      <w:r>
        <w:rPr>
          <w:rFonts w:hint="eastAsia" w:ascii="宋体" w:hAnsi="宋体" w:eastAsia="宋体" w:cs="宋体"/>
          <w:bCs/>
          <w:color w:val="auto"/>
          <w:sz w:val="24"/>
          <w:szCs w:val="24"/>
        </w:rPr>
        <w:t xml:space="preserve">在采购过程中符合要求的供应商或者报价未超过采购预算或最高限价（如有）的供应商不足3家的；</w:t>
      </w:r>
      <w:r/>
    </w:p>
    <w:p>
      <w:pPr>
        <w:ind w:firstLine="480"/>
        <w:spacing w:line="360" w:lineRule="auto"/>
        <w:tabs>
          <w:tab w:val="left" w:pos="8930" w:leader="none"/>
          <w:tab w:val="left" w:pos="9306" w:leader="none"/>
        </w:tabs>
        <w:rPr>
          <w:rFonts w:hint="eastAsia" w:ascii="宋体" w:hAnsi="宋体" w:eastAsia="宋体" w:cs="宋体"/>
          <w:b/>
          <w:color w:val="auto"/>
          <w:sz w:val="24"/>
          <w:szCs w:val="24"/>
        </w:rPr>
      </w:pPr>
      <w:r>
        <w:rPr>
          <w:rFonts w:hint="eastAsia" w:ascii="宋体" w:hAnsi="宋体" w:eastAsia="宋体" w:cs="宋体"/>
          <w:color w:val="auto"/>
          <w:sz w:val="24"/>
          <w:szCs w:val="24"/>
        </w:rPr>
        <w:t xml:space="preserve">22.6供应商根据磋商情况进行承诺说明并填写承诺函、填写最后报价（未填写单价的，最终合同单价按最后报价比第一次报价同比例下（上）浮）。</w:t>
      </w:r>
      <w:r/>
    </w:p>
    <w:p>
      <w:pPr>
        <w:ind w:firstLine="482"/>
        <w:spacing w:line="360" w:lineRule="auto"/>
        <w:tabs>
          <w:tab w:val="left" w:pos="8930" w:leader="none"/>
          <w:tab w:val="left" w:pos="9306"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23.成交单位的确认</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23.1磋商小组根据磋商供应商资格审查情况，对其响应文件进行评价和比较，按照评审办法和标准进行评审，并按采购单位的委托向采购单位推荐成交候选单位。</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23.2</w:t>
      </w:r>
      <w:r>
        <w:rPr>
          <w:rFonts w:hint="eastAsia" w:ascii="宋体" w:hAnsi="宋体" w:eastAsia="宋体" w:cs="宋体"/>
          <w:color w:val="auto"/>
          <w:sz w:val="24"/>
          <w:szCs w:val="24"/>
        </w:rPr>
        <w:t xml:space="preserve">经磋商小组评审并确定成交单位后，采购单位将在规定的时间内将成交结果在相关媒体上予以公告。各参加磋商供应商如对公告结果有异议，应在成交结果公告期满后七个工作日内，以书面形式向采购单位提出质疑，同时该质疑应由磋商供应商法定代表人或参加磋商的代理人签署。采购单位将在收到经磋商供应商法定代表人或参加响应供应商的代理人签署的书面质疑后七个工作日内，对质疑内容作出答复。如磋商供应商未在成交结果公告期满后七个工作日内向磋商采购单位提出质疑或质疑未经磋商供应商法定代表人或参加磋商的代理人签署，采购单位有权对该质疑不予答复。</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23.3</w:t>
      </w:r>
      <w:r>
        <w:rPr>
          <w:rFonts w:hint="eastAsia" w:ascii="宋体" w:hAnsi="宋体" w:eastAsia="宋体" w:cs="宋体"/>
          <w:bCs/>
          <w:color w:val="auto"/>
          <w:sz w:val="24"/>
          <w:szCs w:val="24"/>
        </w:rPr>
        <w:t xml:space="preserve">由采购人授权磋商小组在候选供应商名单中直接确定成交供应商。</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23.4如因质疑或投诉改变成交结果的，则采购人可以按照评审报告推荐的成交候选人名单排序，确定下一候选人为成交人或者重新开展政府采购活动。</w:t>
      </w:r>
      <w:r/>
    </w:p>
    <w:p>
      <w:pPr>
        <w:ind w:firstLine="482"/>
        <w:spacing w:line="360" w:lineRule="auto"/>
        <w:tabs>
          <w:tab w:val="left" w:pos="8930" w:leader="none"/>
          <w:tab w:val="left" w:pos="9306"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24.合同授予标准</w:t>
      </w:r>
      <w:r/>
    </w:p>
    <w:p>
      <w:pPr>
        <w:ind w:firstLine="480"/>
        <w:spacing w:line="360" w:lineRule="auto"/>
        <w:tabs>
          <w:tab w:val="left" w:pos="8930" w:leader="none"/>
          <w:tab w:val="left" w:pos="9306" w:leader="none"/>
        </w:tabs>
        <w:rPr>
          <w:rFonts w:hint="eastAsia" w:ascii="宋体" w:hAnsi="宋体" w:eastAsia="宋体" w:cs="宋体"/>
          <w:b/>
          <w:color w:val="auto"/>
          <w:sz w:val="24"/>
          <w:szCs w:val="24"/>
        </w:rPr>
      </w:pPr>
      <w:r>
        <w:rPr>
          <w:rFonts w:hint="eastAsia" w:ascii="宋体" w:hAnsi="宋体" w:eastAsia="宋体" w:cs="宋体"/>
          <w:color w:val="auto"/>
          <w:sz w:val="24"/>
          <w:szCs w:val="24"/>
        </w:rPr>
        <w:t xml:space="preserve">24.1采购单位将把合同授予磋商响应文件实质上响应采购文件要求和按本须知规定评选出的供应商。确定为成交的供应商必须具备实施本合同的能力和资源。</w:t>
      </w:r>
      <w:r/>
    </w:p>
    <w:p>
      <w:pPr>
        <w:ind w:firstLine="482"/>
        <w:spacing w:line="360" w:lineRule="auto"/>
        <w:tabs>
          <w:tab w:val="left" w:pos="8930" w:leader="none"/>
          <w:tab w:val="left" w:pos="9306"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25.成交通知书</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25.1采购人或采购代理机构根据相关规定发布成交公告，成交公告发出的同时应当向成交供应商发出《成交通知书》</w:t>
      </w:r>
      <w:bookmarkStart w:id="46" w:name="_Hlk132385577"/>
      <w:r/>
      <w:bookmarkStart w:id="47" w:name="_Hlk132389804"/>
      <w:r/>
      <w:bookmarkStart w:id="48" w:name="_Hlk132385599"/>
      <w:r>
        <w:rPr>
          <w:rFonts w:hint="eastAsia" w:ascii="宋体" w:hAnsi="宋体" w:eastAsia="宋体" w:cs="宋体"/>
          <w:color w:val="auto"/>
          <w:sz w:val="24"/>
          <w:szCs w:val="24"/>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46"/>
      <w:r/>
      <w:bookmarkEnd w:id="47"/>
      <w:r/>
      <w:bookmarkEnd w:id="48"/>
      <w:r>
        <w:rPr>
          <w:rFonts w:hint="eastAsia" w:ascii="宋体" w:hAnsi="宋体" w:eastAsia="宋体" w:cs="宋体"/>
          <w:color w:val="auto"/>
          <w:sz w:val="24"/>
          <w:szCs w:val="24"/>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25.2成交通知书发出后，采购人不得违法改变成交结果，成交供应商无正当理由不得放弃成交。</w:t>
      </w:r>
      <w:r/>
    </w:p>
    <w:p>
      <w:pPr>
        <w:ind w:firstLine="482"/>
        <w:spacing w:line="360" w:lineRule="auto"/>
        <w:tabs>
          <w:tab w:val="left" w:pos="8930" w:leader="none"/>
          <w:tab w:val="left" w:pos="9306"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26.代理服务费</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26.1本项目</w:t>
      </w:r>
      <w:r>
        <w:rPr>
          <w:rFonts w:hint="eastAsia" w:ascii="宋体" w:hAnsi="宋体" w:eastAsia="宋体" w:cs="宋体"/>
          <w:color w:val="auto"/>
          <w:sz w:val="24"/>
          <w:szCs w:val="24"/>
          <w:lang w:val="zh-CN"/>
        </w:rPr>
        <w:t xml:space="preserve">以项目预算金额作为代理服务费的计算基数，按照以下差额定率累进法计算确定政府采购代理服务费金额：</w:t>
      </w:r>
      <w:r/>
    </w:p>
    <w:p>
      <w:pPr>
        <w:ind w:firstLine="48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预算金额：100万元以下部分按预算金额的1.5%收取；</w:t>
      </w:r>
      <w:r/>
    </w:p>
    <w:p>
      <w:pPr>
        <w:ind w:firstLine="48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预算金额：100万元（含）~500万元以下部分按预算金额的1.1%收取；</w:t>
      </w:r>
      <w:r/>
    </w:p>
    <w:p>
      <w:pPr>
        <w:ind w:firstLine="48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预算金额：500万元（含）~1000万元以下部分按预算金额的0.8%收取；</w:t>
      </w:r>
      <w:r/>
    </w:p>
    <w:p>
      <w:pPr>
        <w:ind w:firstLine="48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预算金额：1000万元（含）~5000万元以下部分按预算金额的0.5%收取；</w:t>
      </w:r>
      <w:r/>
    </w:p>
    <w:p>
      <w:pPr>
        <w:ind w:firstLine="48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预算金额：5000万元（含）以上部分按预算金额的0.25%收取。</w:t>
      </w:r>
      <w:r/>
    </w:p>
    <w:p>
      <w:pPr>
        <w:ind w:firstLine="48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本项目代理服务费</w:t>
      </w:r>
      <w:r>
        <w:rPr>
          <w:rFonts w:hint="eastAsia" w:ascii="宋体" w:hAnsi="宋体" w:eastAsia="宋体" w:cs="宋体"/>
          <w:b/>
          <w:bCs/>
          <w:color w:val="auto"/>
          <w:sz w:val="24"/>
          <w:szCs w:val="24"/>
          <w:highlight w:val="none"/>
        </w:rPr>
        <w:t xml:space="preserve">合计为人民币贰万玖仟柒佰玖拾肆元整（￥29794.00），含税。由采购人支付</w:t>
      </w:r>
      <w:r>
        <w:rPr>
          <w:rFonts w:hint="eastAsia" w:ascii="宋体" w:hAnsi="宋体" w:eastAsia="宋体" w:cs="宋体"/>
          <w:b/>
          <w:bCs/>
          <w:color w:val="auto"/>
          <w:sz w:val="24"/>
          <w:szCs w:val="24"/>
          <w:highlight w:val="none"/>
          <w:lang w:val="zh-CN"/>
        </w:rPr>
        <w:t xml:space="preserve">。</w:t>
      </w:r>
      <w:r/>
    </w:p>
    <w:p>
      <w:pPr>
        <w:ind w:firstLine="482"/>
        <w:spacing w:line="360" w:lineRule="auto"/>
        <w:tabs>
          <w:tab w:val="left" w:pos="8930" w:leader="none"/>
          <w:tab w:val="left" w:pos="9306"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27.履约保证金（本项目不收取履约保证金，采购文件中涉及的条款均不适用）</w:t>
      </w:r>
      <w:r/>
    </w:p>
    <w:p>
      <w:pPr>
        <w:ind w:firstLine="480"/>
        <w:spacing w:line="360" w:lineRule="auto"/>
        <w:tabs>
          <w:tab w:val="left" w:pos="8930" w:leader="none"/>
          <w:tab w:val="left" w:pos="9306"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27.1履约保证金，具体要求根据合同执行。</w:t>
      </w:r>
      <w:r/>
    </w:p>
    <w:p>
      <w:pPr>
        <w:ind w:firstLine="480"/>
        <w:spacing w:line="360" w:lineRule="auto"/>
        <w:tabs>
          <w:tab w:val="left" w:pos="8930" w:leader="none"/>
          <w:tab w:val="left" w:pos="9306"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27.2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下载“政府采购电子履约保函（保险）操作手册”。</w:t>
      </w:r>
      <w:r/>
    </w:p>
    <w:p>
      <w:pPr>
        <w:ind w:firstLine="480"/>
        <w:spacing w:line="360" w:lineRule="auto"/>
        <w:tabs>
          <w:tab w:val="left" w:pos="8930" w:leader="none"/>
          <w:tab w:val="left" w:pos="9306"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27.3提供银行履约保函的，此保函开具银行范围须是苏州市级分行，且内容须满足甲方的格式的要求。履约担保期限为自本合同生效之日起至采购人向中标（成交）单位颁发竣工证书之日止，如果中标（成交）单位无法获得一份不带具体截止日期的履约保函，履约保函中应当有“变更工程竣工日期的，保证期间按照变更后的竣工日期做相应调整”或类似约定的条款，或由中标（成交）单位负责自费延长履约保函有效期，延长次数不限，直至采购人向中标（成交）单位颁发竣工证书之日止。</w:t>
      </w:r>
      <w:r/>
    </w:p>
    <w:p>
      <w:pPr>
        <w:ind w:firstLine="480"/>
        <w:spacing w:line="360" w:lineRule="auto"/>
        <w:tabs>
          <w:tab w:val="left" w:pos="8930" w:leader="none"/>
          <w:tab w:val="left" w:pos="9306"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27.4在中标（成交）通知书发出的十五天内，中标（成交）单位应当以支票、汇票、本票或者金融机构、担保机构出具的保函等非现金形式提交履约保证金。</w:t>
      </w:r>
      <w:r/>
    </w:p>
    <w:p>
      <w:pPr>
        <w:ind w:firstLine="480"/>
        <w:spacing w:line="360" w:lineRule="auto"/>
        <w:tabs>
          <w:tab w:val="left" w:pos="8930" w:leader="none"/>
          <w:tab w:val="left" w:pos="9306"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27.5中标（成交）单位无故拖延或拒不提交履约保证金的，视为拒绝与采购人签订合同，采购人可以按照评审报告推荐的中标（成交）候选人名单排序，确定下一候选人为中标（成交）单位或者重新开展政府采购活动。</w:t>
      </w:r>
      <w:r/>
    </w:p>
    <w:p>
      <w:pPr>
        <w:ind w:firstLine="480"/>
        <w:spacing w:line="360" w:lineRule="auto"/>
        <w:tabs>
          <w:tab w:val="left" w:pos="8930" w:leader="none"/>
          <w:tab w:val="left" w:pos="9306" w:leader="none"/>
        </w:tabs>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27.6履约保证金（无息）在服务期满且服务缺陷更正并验收合格后的15个工作日内，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tabs>
          <w:tab w:val="left" w:pos="8930" w:leader="none"/>
          <w:tab w:val="left" w:pos="9306"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28.未尽事宜</w:t>
      </w:r>
      <w:r/>
    </w:p>
    <w:p>
      <w:pPr>
        <w:ind w:firstLine="480"/>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按《中华人民共和国政府采购法》及其他有关的法律法规的规定执行。</w:t>
      </w:r>
      <w:r/>
    </w:p>
    <w:p>
      <w:pPr>
        <w:jc w:val="center"/>
        <w:spacing w:line="360" w:lineRule="auto"/>
        <w:tabs>
          <w:tab w:val="left" w:pos="8930" w:leader="none"/>
          <w:tab w:val="left" w:pos="9306" w:leader="none"/>
        </w:tabs>
        <w:rPr>
          <w:rFonts w:hint="eastAsia" w:ascii="宋体" w:hAnsi="宋体" w:eastAsia="宋体" w:cs="宋体"/>
          <w:color w:val="auto"/>
          <w:szCs w:val="21"/>
        </w:rPr>
        <w:outlineLvl w:val="0"/>
      </w:pPr>
      <w:r>
        <w:rPr>
          <w:rFonts w:hint="eastAsia" w:ascii="宋体" w:hAnsi="宋体" w:eastAsia="宋体" w:cs="宋体"/>
          <w:color w:val="auto"/>
          <w:szCs w:val="21"/>
        </w:rPr>
        <w:br w:type="page" w:clear="all"/>
      </w:r>
      <w:r/>
    </w:p>
    <w:p>
      <w:pPr>
        <w:jc w:val="center"/>
        <w:spacing w:line="360" w:lineRule="auto"/>
        <w:tabs>
          <w:tab w:val="left" w:pos="8930" w:leader="none"/>
          <w:tab w:val="left" w:pos="9306" w:leader="none"/>
        </w:tabs>
        <w:rPr>
          <w:rFonts w:hint="eastAsia" w:ascii="宋体" w:hAnsi="宋体" w:eastAsia="宋体" w:cs="宋体"/>
          <w:color w:val="auto"/>
          <w:szCs w:val="21"/>
        </w:rPr>
        <w:outlineLvl w:val="0"/>
      </w:pPr>
      <w:r>
        <w:rPr>
          <w:rFonts w:hint="eastAsia" w:ascii="宋体" w:hAnsi="宋体" w:eastAsia="宋体" w:cs="宋体"/>
          <w:color w:val="auto"/>
          <w:szCs w:val="21"/>
        </w:rPr>
      </w:r>
      <w:r/>
    </w:p>
    <w:p>
      <w:pPr>
        <w:jc w:val="center"/>
        <w:spacing w:line="360" w:lineRule="auto"/>
        <w:tabs>
          <w:tab w:val="left" w:pos="8930" w:leader="none"/>
          <w:tab w:val="left" w:pos="9306" w:leader="none"/>
        </w:tabs>
        <w:rPr>
          <w:rFonts w:hint="eastAsia" w:ascii="宋体" w:hAnsi="宋体" w:eastAsia="宋体" w:cs="宋体"/>
          <w:color w:val="auto"/>
          <w:szCs w:val="21"/>
        </w:rPr>
        <w:outlineLvl w:val="0"/>
      </w:pPr>
      <w:r>
        <w:rPr>
          <w:rFonts w:hint="eastAsia" w:ascii="宋体" w:hAnsi="宋体" w:eastAsia="宋体" w:cs="宋体"/>
          <w:color w:val="auto"/>
          <w:szCs w:val="21"/>
        </w:rPr>
      </w:r>
      <w:r/>
    </w:p>
    <w:p>
      <w:pPr>
        <w:jc w:val="center"/>
        <w:spacing w:line="360" w:lineRule="auto"/>
        <w:tabs>
          <w:tab w:val="left" w:pos="8930" w:leader="none"/>
          <w:tab w:val="left" w:pos="9306" w:leader="none"/>
        </w:tabs>
        <w:rPr>
          <w:rFonts w:hint="eastAsia" w:ascii="宋体" w:hAnsi="宋体" w:eastAsia="宋体" w:cs="宋体"/>
          <w:color w:val="auto"/>
          <w:szCs w:val="21"/>
        </w:rPr>
        <w:outlineLvl w:val="0"/>
      </w:pPr>
      <w:r>
        <w:rPr>
          <w:rFonts w:hint="eastAsia" w:ascii="宋体" w:hAnsi="宋体" w:eastAsia="宋体" w:cs="宋体"/>
          <w:color w:val="auto"/>
          <w:szCs w:val="21"/>
        </w:rPr>
      </w:r>
      <w:r/>
    </w:p>
    <w:p>
      <w:pPr>
        <w:jc w:val="center"/>
        <w:spacing w:line="360" w:lineRule="auto"/>
        <w:tabs>
          <w:tab w:val="left" w:pos="8930" w:leader="none"/>
          <w:tab w:val="left" w:pos="9306" w:leader="none"/>
        </w:tabs>
        <w:rPr>
          <w:rFonts w:hint="eastAsia" w:ascii="宋体" w:hAnsi="宋体" w:eastAsia="宋体" w:cs="宋体"/>
          <w:color w:val="auto"/>
          <w:szCs w:val="21"/>
        </w:rPr>
        <w:outlineLvl w:val="0"/>
      </w:pPr>
      <w:r>
        <w:rPr>
          <w:rFonts w:hint="eastAsia" w:ascii="宋体" w:hAnsi="宋体" w:eastAsia="宋体" w:cs="宋体"/>
          <w:color w:val="auto"/>
          <w:szCs w:val="21"/>
        </w:rPr>
      </w:r>
      <w:r/>
    </w:p>
    <w:p>
      <w:pPr>
        <w:jc w:val="center"/>
        <w:spacing w:line="360" w:lineRule="auto"/>
        <w:tabs>
          <w:tab w:val="left" w:pos="8930" w:leader="none"/>
          <w:tab w:val="left" w:pos="9306" w:leader="none"/>
        </w:tabs>
        <w:rPr>
          <w:rFonts w:hint="eastAsia" w:ascii="宋体" w:hAnsi="宋体" w:eastAsia="宋体" w:cs="宋体"/>
          <w:color w:val="auto"/>
          <w:szCs w:val="21"/>
        </w:rPr>
        <w:outlineLvl w:val="0"/>
      </w:pPr>
      <w:r>
        <w:rPr>
          <w:rFonts w:hint="eastAsia" w:ascii="宋体" w:hAnsi="宋体" w:eastAsia="宋体" w:cs="宋体"/>
          <w:color w:val="auto"/>
          <w:szCs w:val="21"/>
        </w:rPr>
      </w:r>
      <w:r/>
    </w:p>
    <w:p>
      <w:pPr>
        <w:jc w:val="center"/>
        <w:spacing w:line="360" w:lineRule="auto"/>
        <w:tabs>
          <w:tab w:val="left" w:pos="8930" w:leader="none"/>
          <w:tab w:val="left" w:pos="9306" w:leader="none"/>
        </w:tabs>
        <w:rPr>
          <w:rFonts w:hint="eastAsia" w:ascii="宋体" w:hAnsi="宋体" w:eastAsia="宋体" w:cs="宋体"/>
          <w:color w:val="auto"/>
          <w:szCs w:val="21"/>
        </w:rPr>
        <w:outlineLvl w:val="0"/>
      </w:pPr>
      <w:r>
        <w:rPr>
          <w:rFonts w:hint="eastAsia" w:ascii="宋体" w:hAnsi="宋体" w:eastAsia="宋体" w:cs="宋体"/>
          <w:color w:val="auto"/>
          <w:szCs w:val="21"/>
        </w:rPr>
      </w:r>
      <w:r/>
    </w:p>
    <w:p>
      <w:pPr>
        <w:jc w:val="center"/>
        <w:spacing w:line="360" w:lineRule="auto"/>
        <w:tabs>
          <w:tab w:val="left" w:pos="8930" w:leader="none"/>
          <w:tab w:val="left" w:pos="9306" w:leader="none"/>
        </w:tabs>
        <w:rPr>
          <w:rFonts w:hint="eastAsia" w:ascii="宋体" w:hAnsi="宋体" w:eastAsia="宋体" w:cs="宋体"/>
          <w:color w:val="auto"/>
          <w:szCs w:val="21"/>
        </w:rPr>
        <w:outlineLvl w:val="0"/>
      </w:pPr>
      <w:r>
        <w:rPr>
          <w:rFonts w:hint="eastAsia" w:ascii="宋体" w:hAnsi="宋体" w:eastAsia="宋体" w:cs="宋体"/>
          <w:color w:val="auto"/>
          <w:szCs w:val="21"/>
        </w:rPr>
      </w:r>
      <w:r/>
    </w:p>
    <w:p>
      <w:pPr>
        <w:jc w:val="center"/>
        <w:spacing w:line="360" w:lineRule="auto"/>
        <w:tabs>
          <w:tab w:val="left" w:pos="8930" w:leader="none"/>
          <w:tab w:val="left" w:pos="9306" w:leader="none"/>
        </w:tabs>
        <w:rPr>
          <w:rFonts w:hint="eastAsia" w:ascii="宋体" w:hAnsi="宋体" w:eastAsia="宋体" w:cs="宋体"/>
          <w:color w:val="auto"/>
          <w:szCs w:val="21"/>
        </w:rPr>
        <w:outlineLvl w:val="0"/>
      </w:pPr>
      <w:r>
        <w:rPr>
          <w:rFonts w:hint="eastAsia" w:ascii="宋体" w:hAnsi="宋体" w:eastAsia="宋体" w:cs="宋体"/>
          <w:color w:val="auto"/>
          <w:szCs w:val="21"/>
        </w:rPr>
      </w:r>
      <w:r/>
    </w:p>
    <w:p>
      <w:pPr>
        <w:jc w:val="center"/>
        <w:spacing w:line="360" w:lineRule="auto"/>
        <w:tabs>
          <w:tab w:val="left" w:pos="8930" w:leader="none"/>
          <w:tab w:val="left" w:pos="9306" w:leader="none"/>
        </w:tabs>
        <w:rPr>
          <w:rFonts w:hint="eastAsia" w:ascii="宋体" w:hAnsi="宋体" w:eastAsia="宋体" w:cs="宋体"/>
          <w:color w:val="auto"/>
          <w:szCs w:val="21"/>
        </w:rPr>
        <w:outlineLvl w:val="0"/>
      </w:pPr>
      <w:r>
        <w:rPr>
          <w:rFonts w:hint="eastAsia" w:ascii="宋体" w:hAnsi="宋体" w:eastAsia="宋体" w:cs="宋体"/>
          <w:color w:val="auto"/>
          <w:szCs w:val="21"/>
        </w:rPr>
      </w:r>
      <w:r/>
    </w:p>
    <w:p>
      <w:pPr>
        <w:jc w:val="center"/>
        <w:spacing w:line="360" w:lineRule="auto"/>
        <w:tabs>
          <w:tab w:val="left" w:pos="8930" w:leader="none"/>
          <w:tab w:val="left" w:pos="9306" w:leader="none"/>
        </w:tabs>
        <w:rPr>
          <w:rFonts w:hint="eastAsia" w:ascii="宋体" w:hAnsi="宋体" w:eastAsia="宋体" w:cs="宋体"/>
          <w:color w:val="auto"/>
        </w:rPr>
        <w:outlineLvl w:val="0"/>
      </w:pPr>
      <w:r/>
      <w:bookmarkStart w:id="49" w:name="_Toc31428"/>
      <w:r/>
      <w:bookmarkStart w:id="50" w:name="_Toc21472"/>
      <w:r/>
      <w:bookmarkStart w:id="51" w:name="_Toc19682"/>
      <w:r>
        <w:rPr>
          <w:rFonts w:hint="eastAsia" w:ascii="宋体" w:hAnsi="宋体" w:eastAsia="宋体" w:cs="宋体"/>
          <w:b/>
          <w:bCs/>
          <w:color w:val="auto"/>
          <w:sz w:val="52"/>
          <w:szCs w:val="52"/>
        </w:rPr>
        <w:t xml:space="preserve">第三章 磋商响应文件格式</w:t>
      </w:r>
      <w:bookmarkEnd w:id="49"/>
      <w:r/>
      <w:bookmarkEnd w:id="50"/>
      <w:r/>
      <w:bookmarkEnd w:id="51"/>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p>
      <w:pPr>
        <w:ind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对本章所有的格式，磋商供应商可根据自身情况进行补充和修改，但补充和修改不得造成与本格式内容有实质性的违背。</w:t>
      </w:r>
      <w:r/>
    </w:p>
    <w:p>
      <w:pPr>
        <w:jc w:val="left"/>
        <w:spacing w:line="360" w:lineRule="auto"/>
        <w:rPr>
          <w:rFonts w:hint="eastAsia" w:ascii="宋体" w:hAnsi="宋体" w:eastAsia="宋体" w:cs="宋体"/>
          <w:b/>
          <w:color w:val="auto"/>
          <w:szCs w:val="21"/>
        </w:rPr>
      </w:pPr>
      <w:r>
        <w:rPr>
          <w:rFonts w:hint="eastAsia" w:ascii="宋体" w:hAnsi="宋体" w:eastAsia="宋体" w:cs="宋体"/>
          <w:b/>
          <w:color w:val="auto"/>
          <w:szCs w:val="21"/>
        </w:rPr>
      </w:r>
      <w:r/>
    </w:p>
    <w:p>
      <w:pPr>
        <w:jc w:val="left"/>
        <w:spacing w:line="360" w:lineRule="auto"/>
        <w:rPr>
          <w:rFonts w:hint="eastAsia" w:ascii="宋体" w:hAnsi="宋体" w:eastAsia="宋体" w:cs="宋体"/>
          <w:b/>
          <w:bCs/>
          <w:color w:val="auto"/>
          <w:sz w:val="24"/>
          <w:szCs w:val="24"/>
        </w:rPr>
        <w:outlineLvl w:val="1"/>
      </w:pPr>
      <w:r>
        <w:rPr>
          <w:rFonts w:hint="eastAsia" w:ascii="宋体" w:hAnsi="宋体" w:eastAsia="宋体" w:cs="宋体"/>
          <w:color w:val="auto"/>
          <w:szCs w:val="21"/>
        </w:rPr>
        <w:br w:type="page" w:clear="all"/>
      </w:r>
      <w:r>
        <w:rPr>
          <w:rFonts w:hint="eastAsia" w:ascii="宋体" w:hAnsi="宋体" w:eastAsia="宋体" w:cs="宋体"/>
          <w:b/>
          <w:bCs/>
          <w:color w:val="auto"/>
          <w:sz w:val="24"/>
          <w:szCs w:val="24"/>
        </w:rPr>
        <w:t xml:space="preserve">1、（供应商）法定代表人授权委托书</w:t>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360" w:lineRule="auto"/>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授权委托书</w:t>
      </w:r>
      <w:r/>
    </w:p>
    <w:p>
      <w:pPr>
        <w:ind w:firstLine="420"/>
        <w:jc w:val="left"/>
        <w:spacing w:line="360" w:lineRule="auto"/>
        <w:rPr>
          <w:rFonts w:hint="eastAsia" w:ascii="宋体" w:hAnsi="宋体" w:eastAsia="宋体" w:cs="宋体"/>
          <w:color w:val="auto"/>
          <w:sz w:val="24"/>
          <w:szCs w:val="24"/>
        </w:rPr>
        <w:outlineLvl w:val="1"/>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本授权委托书声明：我</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（姓名）系</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（供应商名称）的法定代表人，现授权委托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（单位名称）的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（姓名）为我公司代理人，以本公司的名义参加涵熙（苏州）工程顾问有限公司组织实施的编号为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的磋商邀请活动。代理人在磋商活动过程中所签署的一切文件和处理与这有关的一切事务，我公司均予以承认并承担相应的法律后果。</w:t>
      </w:r>
      <w:r/>
    </w:p>
    <w:p>
      <w:pPr>
        <w:ind w:firstLine="480"/>
        <w:spacing w:line="360" w:lineRule="auto"/>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代理人在授权委托书有效期内签署的所有文件不因授权委托的撤销而失效，除非本公司提前3个工作日向贵公司或者采购人提交撤销授权委托的书面通知，本授权委托书自磋商活动开始至合同履行完毕止。</w:t>
      </w:r>
      <w:r/>
    </w:p>
    <w:p>
      <w:pPr>
        <w:ind w:firstLine="480"/>
        <w:spacing w:line="360" w:lineRule="auto"/>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代理人无转委托权。特此委托。</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p>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ind w:firstLine="42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Cs w:val="24"/>
        </w:rPr>
      </w:pPr>
      <w:r>
        <w:rPr>
          <w:rFonts w:hint="eastAsia" w:ascii="宋体" w:hAnsi="宋体" w:eastAsia="宋体" w:cs="宋体"/>
          <w:color w:val="auto"/>
          <w:szCs w:val="24"/>
        </w:rPr>
      </w:r>
      <w:r/>
    </w:p>
    <w:p>
      <w:pPr>
        <w:ind w:firstLine="480"/>
        <w:jc w:val="left"/>
        <w:spacing w:line="300" w:lineRule="auto"/>
        <w:rPr>
          <w:rFonts w:hint="eastAsia" w:ascii="宋体" w:hAnsi="宋体" w:eastAsia="宋体" w:cs="宋体"/>
          <w:b/>
          <w:bCs/>
          <w:color w:val="auto"/>
          <w:sz w:val="24"/>
          <w:szCs w:val="24"/>
        </w:rPr>
        <w:outlineLvl w:val="1"/>
      </w:pPr>
      <w:r>
        <w:rPr>
          <w:rFonts w:hint="eastAsia" w:ascii="宋体" w:hAnsi="宋体" w:eastAsia="宋体" w:cs="宋体"/>
          <w:color w:val="auto"/>
          <w:sz w:val="24"/>
          <w:szCs w:val="24"/>
        </w:rPr>
        <w:br w:type="page" w:clear="all"/>
      </w:r>
      <w:r>
        <w:rPr>
          <w:rFonts w:hint="eastAsia" w:ascii="宋体" w:hAnsi="宋体" w:eastAsia="宋体" w:cs="宋体"/>
          <w:b/>
          <w:bCs/>
          <w:color w:val="auto"/>
          <w:sz w:val="24"/>
          <w:szCs w:val="24"/>
        </w:rPr>
        <w:t xml:space="preserve">2、磋商响应函</w:t>
      </w:r>
      <w:r/>
    </w:p>
    <w:p>
      <w:pPr>
        <w:ind w:firstLine="482"/>
        <w:jc w:val="center"/>
        <w:spacing w:line="300" w:lineRule="auto"/>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磋商响应函</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涵熙（苏州）工程顾问有限公司</w:t>
      </w:r>
      <w:r>
        <w:rPr>
          <w:rFonts w:hint="eastAsia" w:ascii="宋体" w:hAnsi="宋体" w:eastAsia="宋体" w:cs="宋体"/>
          <w:color w:val="auto"/>
          <w:spacing w:val="-6"/>
          <w:sz w:val="24"/>
          <w:szCs w:val="24"/>
        </w:rPr>
        <w:t xml:space="preserve">：</w:t>
      </w:r>
      <w:r/>
    </w:p>
    <w:p>
      <w:pPr>
        <w:ind w:firstLine="476"/>
        <w:spacing w:line="360" w:lineRule="auto"/>
        <w:rPr>
          <w:rFonts w:hint="eastAsia" w:ascii="宋体" w:hAnsi="宋体" w:eastAsia="宋体" w:cs="宋体"/>
          <w:color w:val="auto"/>
          <w:sz w:val="24"/>
          <w:szCs w:val="24"/>
        </w:rPr>
      </w:pPr>
      <w:r>
        <w:rPr>
          <w:rFonts w:hint="eastAsia" w:ascii="宋体" w:hAnsi="宋体" w:eastAsia="宋体" w:cs="宋体"/>
          <w:color w:val="auto"/>
          <w:spacing w:val="-1"/>
          <w:sz w:val="24"/>
          <w:szCs w:val="24"/>
        </w:rPr>
        <w:t xml:space="preserve">我方已仔</w:t>
      </w:r>
      <w:r>
        <w:rPr>
          <w:rFonts w:hint="eastAsia" w:ascii="宋体" w:hAnsi="宋体" w:eastAsia="宋体" w:cs="宋体"/>
          <w:color w:val="auto"/>
          <w:sz w:val="24"/>
          <w:szCs w:val="24"/>
        </w:rPr>
        <w:t xml:space="preserve">细研究了</w:t>
      </w:r>
      <w:r>
        <w:rPr>
          <w:rFonts w:hint="eastAsia" w:ascii="宋体" w:hAnsi="宋体" w:eastAsia="宋体" w:cs="宋体"/>
          <w:color w:val="auto"/>
          <w:sz w:val="24"/>
          <w:szCs w:val="24"/>
          <w:u w:val="single"/>
          <w:lang w:val="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项目的磋商文件，决定参加本次采购活动，并向贵公司承诺：</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我们愿意按照采购文件的一切要求，提供完成该项目的全部内容，我们的报价包括完成该项目所需的全部人工费、材料费、机械使用费、管理费、利润、工程风险、规费、税金，以及所需的深化设计、施工准备、施工过程、保修期等所需的供货、运输、运杂保险、装卸、备品、备件、损耗、安装、调试、</w:t>
      </w:r>
      <w:r>
        <w:rPr>
          <w:rFonts w:hint="eastAsia" w:ascii="宋体" w:hAnsi="宋体" w:eastAsia="宋体" w:cs="宋体"/>
          <w:color w:val="auto"/>
          <w:sz w:val="24"/>
          <w:szCs w:val="24"/>
          <w:lang w:eastAsia="zh-CN"/>
        </w:rPr>
        <w:t xml:space="preserve">人员培训、检测费、</w:t>
      </w:r>
      <w:r>
        <w:rPr>
          <w:rFonts w:hint="eastAsia" w:ascii="宋体" w:hAnsi="宋体" w:eastAsia="宋体" w:cs="宋体"/>
          <w:color w:val="auto"/>
          <w:sz w:val="24"/>
          <w:szCs w:val="24"/>
        </w:rPr>
        <w:t xml:space="preserve">售后服务、专利技术等一切费用。此外，除非合同条款中另有规定，否则，我方报价在合同实施期间不因市场因素、政策规定变更因素等任何因素调整。</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2、如果我们的磋商响应文件被接受，我们将严格履行采购文件中规定的每一项要求，按期、按质、按量履行合同的义务。</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3、我们已详细审查全部采购文件，包括更正公告(如有)。我们完全理解并同意放弃对这方面有不明及误解的权力。</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4、我们同意按采购文件中的规定，本磋商响应文件的有效期限为响应文件提交截止之日起90天。如果我们在开标后规定的有效期内撤回，我们愿承担一切责任。</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5、我们愿意提供采购人在采购文件中要求的所有资料。</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6、我们愿意遵守采购文件中所列的收费标准。</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7、我们承诺该磋商响应文件在磋商开始后的全过程中保持有效，不做任何更改和变动。我方同意被确定成交后，若不履行响应文件的内容要求和各项承诺及义务，即被视为违约，我方成交资格将被取消。</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8、我们承诺我公司符合采购文件中“合格磋商供应商的一般条件和特殊条件”的要求，若与真实情况不符，本公司愿意承担由此而产生的一切后果。</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9、我们声明：我们在参加本次政府采购活动前3年内在经营活动中没有重大违法记录。</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10、综合说明：</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（1）伴随服务及配合措施；</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（2）要求甲方提供的配合；</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（3）对采购文件有不同意见的偏离说明；</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（4）其它说明。</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12、所有有关磋商响应文件的函电，请按下列地址联系：</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                             联系人：</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邮政编码：</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                         电子邮箱：</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银行账号：</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银行开户行：</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数字人民币开户行（如有）：</w:t>
      </w:r>
      <w:r/>
    </w:p>
    <w:p>
      <w:pPr>
        <w:pStyle w:val="822"/>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数字人民币账户（数币钱包ID）：</w:t>
      </w:r>
      <w:r/>
    </w:p>
    <w:p>
      <w:pPr>
        <w:pStyle w:val="82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jc w:val="left"/>
        <w:spacing w:line="360" w:lineRule="auto"/>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3、开标一览表（第一次报价，具体按“苏采云”系统填报）</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707"/>
        <w:rPr>
          <w:rFonts w:hint="eastAsia" w:ascii="宋体" w:hAnsi="宋体" w:eastAsia="宋体" w:cs="宋体"/>
          <w:b/>
          <w:color w:val="auto"/>
          <w:szCs w:val="21"/>
        </w:rPr>
      </w:pPr>
      <w:r>
        <w:rPr>
          <w:rFonts w:hint="eastAsia" w:ascii="宋体" w:hAnsi="宋体" w:eastAsia="宋体" w:cs="宋体"/>
          <w:b/>
          <w:color w:val="auto"/>
          <w:szCs w:val="21"/>
        </w:rPr>
      </w:r>
      <w:r/>
    </w:p>
    <w:p>
      <w:pPr>
        <w:pStyle w:val="681"/>
        <w:rPr>
          <w:rFonts w:hint="eastAsia" w:ascii="宋体" w:hAnsi="宋体" w:eastAsia="宋体" w:cs="宋体"/>
          <w:b/>
          <w:color w:val="auto"/>
          <w:szCs w:val="21"/>
        </w:rPr>
      </w:pPr>
      <w:r>
        <w:rPr>
          <w:rFonts w:hint="eastAsia" w:ascii="宋体" w:hAnsi="宋体" w:eastAsia="宋体" w:cs="宋体"/>
          <w:b/>
          <w:color w:val="auto"/>
          <w:szCs w:val="21"/>
        </w:rPr>
      </w:r>
      <w:r/>
    </w:p>
    <w:p>
      <w:pPr>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Cs w:val="21"/>
        </w:rPr>
        <w:br w:type="page" w:clear="all"/>
      </w:r>
      <w:r>
        <w:rPr>
          <w:rFonts w:hint="eastAsia" w:ascii="宋体" w:hAnsi="宋体" w:eastAsia="宋体" w:cs="宋体"/>
          <w:b/>
          <w:bCs/>
          <w:color w:val="auto"/>
          <w:sz w:val="24"/>
          <w:szCs w:val="24"/>
        </w:rPr>
        <w:t xml:space="preserve">4、工程量清单报价表</w:t>
      </w:r>
      <w:r>
        <w:rPr>
          <w:rFonts w:hint="eastAsia" w:ascii="宋体" w:hAnsi="宋体" w:eastAsia="宋体" w:cs="宋体"/>
          <w:b/>
          <w:bCs/>
          <w:color w:val="auto"/>
          <w:sz w:val="24"/>
          <w:szCs w:val="24"/>
          <w:lang w:bidi="ar"/>
        </w:rPr>
        <w:t xml:space="preserve">（工程量清单自行下载）</w:t>
      </w:r>
      <w:r/>
    </w:p>
    <w:p>
      <w:pPr>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r>
      <w:r/>
    </w:p>
    <w:p>
      <w:pPr>
        <w:pStyle w:val="836"/>
        <w:ind w:left="0"/>
        <w:rPr>
          <w:rFonts w:hint="eastAsia" w:ascii="宋体" w:hAnsi="宋体" w:eastAsia="宋体" w:cs="宋体"/>
          <w:color w:val="auto"/>
          <w:szCs w:val="21"/>
        </w:rPr>
      </w:pPr>
      <w:r>
        <w:rPr>
          <w:rFonts w:hint="eastAsia" w:ascii="宋体" w:hAnsi="宋体" w:eastAsia="宋体" w:cs="宋体"/>
          <w:color w:val="auto"/>
        </w:rPr>
        <w:t xml:space="preserve">注：合计金额应与开标一览表总报价金额一致；否则，以开标一览表为准。</w:t>
      </w:r>
      <w:r/>
    </w:p>
    <w:p>
      <w:pPr>
        <w:pStyle w:val="836"/>
        <w:rPr>
          <w:rFonts w:hint="eastAsia" w:ascii="宋体" w:hAnsi="宋体" w:eastAsia="宋体" w:cs="宋体"/>
          <w:color w:val="auto"/>
          <w:szCs w:val="21"/>
        </w:rPr>
      </w:pPr>
      <w:r>
        <w:rPr>
          <w:rFonts w:hint="eastAsia" w:ascii="宋体" w:hAnsi="宋体" w:eastAsia="宋体" w:cs="宋体"/>
          <w:color w:val="auto"/>
          <w:szCs w:val="21"/>
        </w:rPr>
      </w:r>
      <w:r/>
    </w:p>
    <w:p>
      <w:pPr>
        <w:pStyle w:val="836"/>
        <w:rPr>
          <w:rFonts w:hint="eastAsia" w:ascii="宋体" w:hAnsi="宋体" w:eastAsia="宋体" w:cs="宋体"/>
          <w:color w:val="auto"/>
          <w:szCs w:val="21"/>
        </w:rPr>
      </w:pPr>
      <w:r>
        <w:rPr>
          <w:rFonts w:hint="eastAsia" w:ascii="宋体" w:hAnsi="宋体" w:eastAsia="宋体" w:cs="宋体"/>
          <w:color w:val="auto"/>
          <w:szCs w:val="21"/>
        </w:rPr>
      </w:r>
      <w:r/>
    </w:p>
    <w:p>
      <w:pPr>
        <w:ind w:right="105" w:firstLine="210"/>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pStyle w:val="821"/>
        <w:ind w:firstLine="480"/>
        <w:jc w:val="right"/>
        <w:spacing w:line="360" w:lineRule="auto"/>
        <w:rPr>
          <w:rFonts w:hint="eastAsia" w:ascii="宋体" w:hAnsi="宋体" w:eastAsia="宋体" w:cs="宋体"/>
          <w:b/>
          <w:color w:val="auto"/>
          <w:sz w:val="24"/>
        </w:rPr>
      </w:pPr>
      <w:r>
        <w:rPr>
          <w:rFonts w:hint="eastAsia" w:ascii="宋体" w:hAnsi="宋体" w:eastAsia="宋体" w:cs="宋体"/>
          <w:color w:val="auto"/>
          <w:sz w:val="24"/>
          <w:szCs w:val="24"/>
        </w:rPr>
        <w:t xml:space="preserve">日期：  年  月  日</w:t>
      </w:r>
      <w:r/>
    </w:p>
    <w:p>
      <w:pPr>
        <w:spacing w:line="400" w:lineRule="exact"/>
        <w:rPr>
          <w:rFonts w:hint="eastAsia" w:ascii="宋体" w:hAnsi="宋体" w:eastAsia="宋体" w:cs="宋体"/>
          <w:b/>
          <w:bCs/>
          <w:color w:val="auto"/>
          <w:szCs w:val="21"/>
        </w:rPr>
      </w:pPr>
      <w:r>
        <w:rPr>
          <w:rFonts w:hint="eastAsia" w:ascii="宋体" w:hAnsi="宋体" w:eastAsia="宋体" w:cs="宋体"/>
          <w:b/>
          <w:bCs/>
          <w:color w:val="auto"/>
          <w:szCs w:val="21"/>
        </w:rPr>
      </w:r>
      <w:r/>
    </w:p>
    <w:p>
      <w:pPr>
        <w:spacing w:line="400" w:lineRule="exact"/>
        <w:rPr>
          <w:rFonts w:hint="eastAsia" w:ascii="宋体" w:hAnsi="宋体" w:eastAsia="宋体" w:cs="宋体"/>
          <w:b/>
          <w:bCs/>
          <w:color w:val="auto"/>
          <w:szCs w:val="21"/>
        </w:rPr>
      </w:pPr>
      <w:r>
        <w:rPr>
          <w:rFonts w:hint="eastAsia" w:ascii="宋体" w:hAnsi="宋体" w:eastAsia="宋体" w:cs="宋体"/>
          <w:b/>
          <w:bCs/>
          <w:color w:val="auto"/>
          <w:szCs w:val="21"/>
        </w:rPr>
      </w:r>
      <w:r/>
    </w:p>
    <w:p>
      <w:pPr>
        <w:spacing w:line="400" w:lineRule="exact"/>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679"/>
        <w:rPr>
          <w:rFonts w:hint="eastAsia" w:ascii="宋体" w:hAnsi="宋体" w:eastAsia="宋体" w:cs="宋体"/>
          <w:b/>
          <w:bCs/>
          <w:color w:val="auto"/>
          <w:szCs w:val="21"/>
        </w:rPr>
      </w:pPr>
      <w:r>
        <w:rPr>
          <w:rFonts w:hint="eastAsia" w:ascii="宋体" w:hAnsi="宋体" w:eastAsia="宋体" w:cs="宋体"/>
          <w:b/>
          <w:bCs/>
          <w:color w:val="auto"/>
          <w:szCs w:val="21"/>
        </w:rPr>
      </w:r>
      <w:r/>
    </w:p>
    <w:p>
      <w:pPr>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679"/>
        <w:rPr>
          <w:rFonts w:hint="eastAsia" w:ascii="宋体" w:hAnsi="宋体" w:eastAsia="宋体" w:cs="宋体"/>
          <w:color w:val="auto"/>
        </w:rPr>
      </w:pPr>
      <w:r>
        <w:rPr>
          <w:rFonts w:hint="eastAsia" w:ascii="宋体" w:hAnsi="宋体" w:eastAsia="宋体" w:cs="宋体"/>
          <w:color w:val="auto"/>
        </w:rPr>
      </w:r>
      <w:r/>
    </w:p>
    <w:p>
      <w:pPr>
        <w:spacing w:line="400" w:lineRule="exact"/>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679"/>
        <w:rPr>
          <w:rFonts w:hint="eastAsia" w:ascii="宋体" w:hAnsi="宋体" w:eastAsia="宋体" w:cs="宋体"/>
          <w:b/>
          <w:bCs/>
          <w:color w:val="auto"/>
          <w:szCs w:val="21"/>
        </w:rPr>
      </w:pPr>
      <w:r>
        <w:rPr>
          <w:rFonts w:hint="eastAsia" w:ascii="宋体" w:hAnsi="宋体" w:eastAsia="宋体" w:cs="宋体"/>
          <w:b/>
          <w:bCs/>
          <w:color w:val="auto"/>
          <w:szCs w:val="21"/>
        </w:rPr>
      </w:r>
      <w:r/>
    </w:p>
    <w:p>
      <w:pPr>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679"/>
        <w:rPr>
          <w:rFonts w:hint="eastAsia" w:ascii="宋体" w:hAnsi="宋体" w:eastAsia="宋体" w:cs="宋体"/>
          <w:b/>
          <w:bCs/>
          <w:color w:val="auto"/>
          <w:szCs w:val="21"/>
        </w:rPr>
      </w:pPr>
      <w:r>
        <w:rPr>
          <w:rFonts w:hint="eastAsia" w:ascii="宋体" w:hAnsi="宋体" w:eastAsia="宋体" w:cs="宋体"/>
          <w:b/>
          <w:bCs/>
          <w:color w:val="auto"/>
          <w:szCs w:val="21"/>
        </w:rPr>
      </w:r>
      <w:r/>
    </w:p>
    <w:p>
      <w:pPr>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679"/>
        <w:rPr>
          <w:rFonts w:hint="eastAsia" w:ascii="宋体" w:hAnsi="宋体" w:eastAsia="宋体" w:cs="宋体"/>
          <w:b/>
          <w:bCs/>
          <w:color w:val="auto"/>
          <w:szCs w:val="21"/>
        </w:rPr>
      </w:pPr>
      <w:r>
        <w:rPr>
          <w:rFonts w:hint="eastAsia" w:ascii="宋体" w:hAnsi="宋体" w:eastAsia="宋体" w:cs="宋体"/>
          <w:b/>
          <w:bCs/>
          <w:color w:val="auto"/>
          <w:szCs w:val="21"/>
        </w:rPr>
      </w:r>
      <w:r/>
    </w:p>
    <w:p>
      <w:pPr>
        <w:rPr>
          <w:rFonts w:hint="eastAsia" w:ascii="宋体" w:hAnsi="宋体" w:eastAsia="宋体" w:cs="宋体"/>
          <w:b/>
          <w:bCs/>
          <w:color w:val="auto"/>
          <w:szCs w:val="21"/>
        </w:rPr>
      </w:pPr>
      <w:r>
        <w:rPr>
          <w:rFonts w:hint="eastAsia" w:ascii="宋体" w:hAnsi="宋体" w:eastAsia="宋体" w:cs="宋体"/>
          <w:b/>
          <w:bCs/>
          <w:color w:val="auto"/>
          <w:szCs w:val="21"/>
        </w:rPr>
      </w:r>
      <w:r/>
    </w:p>
    <w:p>
      <w:pPr>
        <w:pStyle w:val="679"/>
        <w:rPr>
          <w:rFonts w:hint="eastAsia" w:ascii="宋体" w:hAnsi="宋体" w:eastAsia="宋体" w:cs="宋体"/>
          <w:b/>
          <w:bCs/>
          <w:color w:val="auto"/>
          <w:szCs w:val="21"/>
        </w:rPr>
      </w:pPr>
      <w:r>
        <w:rPr>
          <w:rFonts w:hint="eastAsia" w:ascii="宋体" w:hAnsi="宋体" w:eastAsia="宋体" w:cs="宋体"/>
          <w:b/>
          <w:bCs/>
          <w:color w:val="auto"/>
          <w:szCs w:val="21"/>
        </w:rPr>
      </w:r>
      <w:r/>
    </w:p>
    <w:p>
      <w:pPr>
        <w:rPr>
          <w:rFonts w:hint="eastAsia" w:ascii="宋体" w:hAnsi="宋体" w:eastAsia="宋体" w:cs="宋体"/>
          <w:color w:val="auto"/>
        </w:rPr>
      </w:pPr>
      <w:r>
        <w:rPr>
          <w:rFonts w:hint="eastAsia" w:ascii="宋体" w:hAnsi="宋体" w:eastAsia="宋体" w:cs="宋体"/>
          <w:color w:val="auto"/>
        </w:rPr>
      </w:r>
      <w:r/>
    </w:p>
    <w:p>
      <w:pPr>
        <w:jc w:val="left"/>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Cs w:val="21"/>
        </w:rPr>
        <w:br w:type="page" w:clear="all"/>
      </w:r>
      <w:r>
        <w:rPr>
          <w:rFonts w:hint="eastAsia" w:ascii="宋体" w:hAnsi="宋体" w:eastAsia="宋体" w:cs="宋体"/>
          <w:b/>
          <w:bCs/>
          <w:color w:val="auto"/>
          <w:sz w:val="24"/>
          <w:szCs w:val="24"/>
        </w:rPr>
        <w:t xml:space="preserve">5、关于资格文件的声明函</w:t>
      </w:r>
      <w:r/>
    </w:p>
    <w:p>
      <w:pPr>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360" w:lineRule="auto"/>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关于资格文件的声明函</w:t>
      </w:r>
      <w:r/>
    </w:p>
    <w:p>
      <w:pPr>
        <w:jc w:val="left"/>
        <w:spacing w:line="360" w:lineRule="auto"/>
        <w:rPr>
          <w:rFonts w:hint="eastAsia" w:ascii="宋体" w:hAnsi="宋体" w:eastAsia="宋体" w:cs="宋体"/>
          <w:color w:val="auto"/>
          <w:sz w:val="24"/>
          <w:szCs w:val="24"/>
        </w:rPr>
        <w:outlineLvl w:val="1"/>
      </w:pPr>
      <w:r>
        <w:rPr>
          <w:rFonts w:hint="eastAsia" w:ascii="宋体" w:hAnsi="宋体" w:eastAsia="宋体" w:cs="宋体"/>
          <w:color w:val="auto"/>
          <w:sz w:val="24"/>
          <w:szCs w:val="24"/>
          <w:u w:val="single"/>
        </w:rPr>
        <w:t xml:space="preserve">涵熙（苏州）工程顾问有限公司</w:t>
      </w:r>
      <w:r>
        <w:rPr>
          <w:rFonts w:hint="eastAsia" w:ascii="宋体" w:hAnsi="宋体" w:eastAsia="宋体" w:cs="宋体"/>
          <w:color w:val="auto"/>
          <w:sz w:val="24"/>
          <w:szCs w:val="24"/>
        </w:rPr>
        <w:t xml:space="preserve">：</w:t>
      </w:r>
      <w:r/>
    </w:p>
    <w:p>
      <w:pPr>
        <w:ind w:firstLine="420"/>
        <w:jc w:val="left"/>
        <w:spacing w:line="360" w:lineRule="auto"/>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本公司愿就由贵公司组织实施的编号为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的磋商活动进行商务磋商。本公司所提交的商务、技术及报价文件中所有关于磋商资格的文件、证明和陈述均是真实的、准确的。若与真实情况不符，本公司愿意承担由此而产生的一切后果。</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jc w:val="left"/>
        <w:spacing w:line="360" w:lineRule="auto"/>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6、供应商基本情况表</w:t>
      </w:r>
      <w:r/>
    </w:p>
    <w:p>
      <w:pPr>
        <w:jc w:val="center"/>
        <w:spacing w:line="360" w:lineRule="auto"/>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供应商基本情况表</w:t>
      </w:r>
      <w:r/>
    </w:p>
    <w:p>
      <w:p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r>
      <w:r/>
    </w:p>
    <w:tbl>
      <w:tblPr>
        <w:tblStyle w:val="6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68"/>
        <w:gridCol w:w="1950"/>
        <w:gridCol w:w="1417"/>
        <w:gridCol w:w="1518"/>
        <w:gridCol w:w="1120"/>
      </w:tblGrid>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法定代表人</w:t>
            </w:r>
            <w:r/>
          </w:p>
        </w:tc>
        <w:tc>
          <w:tcPr>
            <w:tcW w:w="1950"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17"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成立日期</w:t>
            </w:r>
            <w:r/>
          </w:p>
        </w:tc>
        <w:tc>
          <w:tcPr>
            <w:gridSpan w:val="2"/>
            <w:tcW w:w="2638"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企业地址</w:t>
            </w:r>
            <w:r/>
          </w:p>
        </w:tc>
        <w:tc>
          <w:tcPr>
            <w:tcW w:w="1950"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417"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注册资本</w:t>
            </w:r>
            <w:r/>
          </w:p>
        </w:tc>
        <w:tc>
          <w:tcPr>
            <w:gridSpan w:val="2"/>
            <w:tcW w:w="2638" w:type="dxa"/>
            <w:vAlign w:val="center"/>
            <w:textDirection w:val="lrTb"/>
            <w:noWrap w:val="false"/>
          </w:tcPr>
          <w:p>
            <w:pPr>
              <w:jc w:val="righ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万元</w:t>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经营范围</w:t>
            </w:r>
            <w:r/>
          </w:p>
        </w:tc>
        <w:tc>
          <w:tcPr>
            <w:gridSpan w:val="4"/>
            <w:tcW w:w="6005"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职工人数</w:t>
            </w:r>
            <w:r/>
          </w:p>
        </w:tc>
        <w:tc>
          <w:tcPr>
            <w:tcW w:w="1950"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gridSpan w:val="2"/>
            <w:tcW w:w="2935"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其中：有中高级以上职称的人数</w:t>
            </w:r>
            <w:r/>
          </w:p>
        </w:tc>
        <w:tc>
          <w:tcPr>
            <w:tcW w:w="1120"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资产总计</w:t>
            </w:r>
            <w:r/>
          </w:p>
        </w:tc>
        <w:tc>
          <w:tcPr>
            <w:tcW w:w="1950" w:type="dxa"/>
            <w:vAlign w:val="center"/>
            <w:textDirection w:val="lrTb"/>
            <w:noWrap w:val="false"/>
          </w:tcPr>
          <w:p>
            <w:pPr>
              <w:jc w:val="righ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万元</w:t>
            </w:r>
            <w:r/>
          </w:p>
        </w:tc>
        <w:tc>
          <w:tcPr>
            <w:tcW w:w="1417"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净资产</w:t>
            </w:r>
            <w:r/>
          </w:p>
        </w:tc>
        <w:tc>
          <w:tcPr>
            <w:gridSpan w:val="2"/>
            <w:tcW w:w="2638" w:type="dxa"/>
            <w:vAlign w:val="center"/>
            <w:textDirection w:val="lrTb"/>
            <w:noWrap w:val="false"/>
          </w:tcPr>
          <w:p>
            <w:pPr>
              <w:jc w:val="center"/>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           万元</w:t>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股东权益</w:t>
            </w:r>
            <w:r/>
          </w:p>
        </w:tc>
        <w:tc>
          <w:tcPr>
            <w:tcW w:w="1950" w:type="dxa"/>
            <w:vAlign w:val="center"/>
            <w:textDirection w:val="lrTb"/>
            <w:noWrap w:val="false"/>
          </w:tcPr>
          <w:p>
            <w:pPr>
              <w:jc w:val="righ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万元</w:t>
            </w:r>
            <w:r/>
          </w:p>
        </w:tc>
        <w:tc>
          <w:tcPr>
            <w:tcW w:w="1417"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销售收入</w:t>
            </w:r>
            <w:r/>
          </w:p>
        </w:tc>
        <w:tc>
          <w:tcPr>
            <w:gridSpan w:val="2"/>
            <w:tcW w:w="263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2025年       万元</w:t>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实现利润</w:t>
            </w:r>
            <w:r/>
          </w:p>
        </w:tc>
        <w:tc>
          <w:tcPr>
            <w:gridSpan w:val="4"/>
            <w:tcW w:w="6005"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2025年    万元</w:t>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经营面积</w:t>
            </w:r>
            <w:r/>
          </w:p>
        </w:tc>
        <w:tc>
          <w:tcPr>
            <w:tcW w:w="1950" w:type="dxa"/>
            <w:vAlign w:val="center"/>
            <w:textDirection w:val="lrTb"/>
            <w:noWrap w:val="false"/>
          </w:tcPr>
          <w:p>
            <w:pPr>
              <w:jc w:val="righ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平方米</w:t>
            </w:r>
            <w:r/>
          </w:p>
        </w:tc>
        <w:tc>
          <w:tcPr>
            <w:tcW w:w="1417"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其中：</w:t>
            </w:r>
            <w:r/>
          </w:p>
        </w:tc>
        <w:tc>
          <w:tcPr>
            <w:gridSpan w:val="2"/>
            <w:tcW w:w="263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自有面积     平方米</w:t>
            </w:r>
            <w:r/>
          </w:p>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承租面积     平方米</w:t>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单位简历及内设机构情况</w:t>
            </w:r>
            <w:r/>
          </w:p>
        </w:tc>
        <w:tc>
          <w:tcPr>
            <w:gridSpan w:val="4"/>
            <w:tcW w:w="6005"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567"/>
        </w:trPr>
        <w:tc>
          <w:tcPr>
            <w:tcW w:w="346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单位优势及特长</w:t>
            </w:r>
            <w:r/>
          </w:p>
        </w:tc>
        <w:tc>
          <w:tcPr>
            <w:gridSpan w:val="4"/>
            <w:tcW w:w="6005"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762"/>
        </w:trPr>
        <w:tc>
          <w:tcPr>
            <w:tcW w:w="346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近三年来完成或正在履行的重大合同情况</w:t>
            </w:r>
            <w:r/>
          </w:p>
        </w:tc>
        <w:tc>
          <w:tcPr>
            <w:gridSpan w:val="4"/>
            <w:tcW w:w="6005"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762"/>
        </w:trPr>
        <w:tc>
          <w:tcPr>
            <w:tcW w:w="346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最近2年内在经营过程中受到何种奖励或处分</w:t>
            </w:r>
            <w:r/>
          </w:p>
        </w:tc>
        <w:tc>
          <w:tcPr>
            <w:gridSpan w:val="4"/>
            <w:tcW w:w="6005"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（包括财政、工商、税务、物价、技监部门稽查情况和结果）</w:t>
            </w:r>
            <w:r/>
          </w:p>
        </w:tc>
      </w:tr>
      <w:tr>
        <w:trPr>
          <w:cantSplit/>
          <w:jc w:val="center"/>
          <w:trHeight w:val="1092"/>
        </w:trPr>
        <w:tc>
          <w:tcPr>
            <w:tcW w:w="346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最近3年内有无因售假、售劣或是其他原因被消费者投诉或起诉的情况及说明</w:t>
            </w:r>
            <w:r/>
          </w:p>
        </w:tc>
        <w:tc>
          <w:tcPr>
            <w:gridSpan w:val="4"/>
            <w:tcW w:w="6005"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（包括解决方式和结果）</w:t>
            </w:r>
            <w:r/>
          </w:p>
        </w:tc>
      </w:tr>
      <w:tr>
        <w:trPr>
          <w:cantSplit/>
          <w:jc w:val="center"/>
          <w:trHeight w:val="1073"/>
        </w:trPr>
        <w:tc>
          <w:tcPr>
            <w:tcW w:w="346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最近3年内主要负责人有无经济犯罪被司法机关追究的情意及说明</w:t>
            </w:r>
            <w:r/>
          </w:p>
        </w:tc>
        <w:tc>
          <w:tcPr>
            <w:gridSpan w:val="4"/>
            <w:tcW w:w="6005"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635"/>
        </w:trPr>
        <w:tc>
          <w:tcPr>
            <w:tcW w:w="346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获得技术认证的工程师及简介</w:t>
            </w:r>
            <w:r/>
          </w:p>
        </w:tc>
        <w:tc>
          <w:tcPr>
            <w:gridSpan w:val="4"/>
            <w:tcW w:w="6005"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700"/>
        </w:trPr>
        <w:tc>
          <w:tcPr>
            <w:tcW w:w="3468" w:type="dxa"/>
            <w:vAlign w:val="center"/>
            <w:textDirection w:val="lrTb"/>
            <w:noWrap w:val="false"/>
          </w:tcPr>
          <w:p>
            <w:pPr>
              <w:jc w:val="lef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其他需要说明的情况</w:t>
            </w:r>
            <w:r/>
          </w:p>
        </w:tc>
        <w:tc>
          <w:tcPr>
            <w:gridSpan w:val="4"/>
            <w:tcW w:w="6005"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clear="all"/>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7、供应商与其他单位存在直接控股、管理关系情况表</w:t>
      </w:r>
      <w:r/>
    </w:p>
    <w:p>
      <w:pPr>
        <w:pStyle w:val="685"/>
        <w:jc w:val="left"/>
        <w:rPr>
          <w:rFonts w:hint="eastAsia" w:ascii="宋体" w:hAnsi="宋体" w:eastAsia="宋体" w:cs="宋体"/>
          <w:color w:val="auto"/>
          <w:sz w:val="24"/>
        </w:rPr>
      </w:pPr>
      <w:r>
        <w:rPr>
          <w:rFonts w:hint="eastAsia" w:ascii="宋体" w:hAnsi="宋体" w:eastAsia="宋体" w:cs="宋体"/>
          <w:color w:val="auto"/>
          <w:sz w:val="24"/>
        </w:rPr>
      </w:r>
      <w:r/>
    </w:p>
    <w:p>
      <w:pPr>
        <w:jc w:val="center"/>
        <w:spacing w:line="30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供应商与其他单位存在直接控股、管理关系情况表</w:t>
      </w:r>
      <w:r/>
    </w:p>
    <w:p>
      <w:pPr>
        <w:pStyle w:val="685"/>
        <w:rPr>
          <w:rFonts w:hint="eastAsia" w:ascii="宋体" w:hAnsi="宋体" w:eastAsia="宋体" w:cs="宋体"/>
          <w:color w:val="auto"/>
          <w:sz w:val="24"/>
        </w:rPr>
      </w:pPr>
      <w:r>
        <w:rPr>
          <w:rFonts w:hint="eastAsia" w:ascii="宋体" w:hAnsi="宋体" w:eastAsia="宋体" w:cs="宋体"/>
          <w:color w:val="auto"/>
          <w:sz w:val="24"/>
        </w:rPr>
      </w:r>
      <w:r/>
    </w:p>
    <w:tbl>
      <w:tblPr>
        <w:tblStyle w:val="6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4"/>
        <w:gridCol w:w="1653"/>
        <w:gridCol w:w="1653"/>
        <w:gridCol w:w="1823"/>
        <w:gridCol w:w="664"/>
        <w:gridCol w:w="1653"/>
        <w:gridCol w:w="1138"/>
      </w:tblGrid>
      <w:tr>
        <w:trPr>
          <w:jc w:val="center"/>
          <w:trHeight w:val="766"/>
        </w:trPr>
        <w:tc>
          <w:tcPr>
            <w:gridSpan w:val="4"/>
            <w:tcW w:w="579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与</w:t>
            </w:r>
            <w:r>
              <w:rPr>
                <w:rFonts w:hint="eastAsia" w:ascii="宋体" w:hAnsi="宋体" w:eastAsia="宋体" w:cs="宋体"/>
                <w:b/>
                <w:color w:val="auto"/>
                <w:sz w:val="24"/>
                <w:szCs w:val="24"/>
              </w:rPr>
              <w:t xml:space="preserve">供应商</w:t>
            </w:r>
            <w:r>
              <w:rPr>
                <w:rFonts w:hint="eastAsia" w:ascii="宋体" w:hAnsi="宋体" w:eastAsia="宋体" w:cs="宋体"/>
                <w:b/>
                <w:color w:val="auto"/>
                <w:sz w:val="24"/>
                <w:szCs w:val="24"/>
                <w:shd w:val="clear" w:color="auto" w:fill="ffffff"/>
              </w:rPr>
              <w:t xml:space="preserve">存在直接股权关系</w:t>
            </w:r>
            <w:r/>
          </w:p>
        </w:tc>
        <w:tc>
          <w:tcPr>
            <w:gridSpan w:val="3"/>
            <w:tcW w:w="3455"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与</w:t>
            </w:r>
            <w:r>
              <w:rPr>
                <w:rFonts w:hint="eastAsia" w:ascii="宋体" w:hAnsi="宋体" w:eastAsia="宋体" w:cs="宋体"/>
                <w:b/>
                <w:color w:val="auto"/>
                <w:sz w:val="24"/>
                <w:szCs w:val="24"/>
              </w:rPr>
              <w:t xml:space="preserve">供应商</w:t>
            </w:r>
            <w:r>
              <w:rPr>
                <w:rFonts w:hint="eastAsia" w:ascii="宋体" w:hAnsi="宋体" w:eastAsia="宋体" w:cs="宋体"/>
                <w:b/>
                <w:color w:val="auto"/>
                <w:sz w:val="24"/>
                <w:szCs w:val="24"/>
                <w:shd w:val="clear" w:color="auto" w:fill="ffffff"/>
              </w:rPr>
              <w:t xml:space="preserve">存在直接管理关系</w:t>
            </w:r>
            <w:r/>
          </w:p>
        </w:tc>
      </w:tr>
      <w:tr>
        <w:trPr>
          <w:jc w:val="center"/>
          <w:trHeight w:val="768"/>
        </w:trPr>
        <w:tc>
          <w:tcPr>
            <w:tcW w:w="664"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单位名称</w:t>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是否为大型企业</w:t>
            </w:r>
            <w:r/>
          </w:p>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（填写“是”或 “否”）</w:t>
            </w:r>
            <w:r/>
          </w:p>
        </w:tc>
        <w:tc>
          <w:tcPr>
            <w:tcW w:w="1653" w:type="dxa"/>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是否直接控股</w:t>
            </w:r>
            <w:r/>
          </w:p>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（填写“是”或 “否”）</w:t>
            </w:r>
            <w:r/>
          </w:p>
        </w:tc>
        <w:tc>
          <w:tcPr>
            <w:tcW w:w="182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直接控股关系情况说明（持股比例等）</w:t>
            </w:r>
            <w:r/>
          </w:p>
        </w:tc>
        <w:tc>
          <w:tcPr>
            <w:tcW w:w="664"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单位名称</w:t>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是否为大型企业</w:t>
            </w:r>
            <w:r/>
          </w:p>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（填写“是”或 “否”）</w:t>
            </w:r>
            <w:r/>
          </w:p>
        </w:tc>
        <w:tc>
          <w:tcPr>
            <w:tcW w:w="1138"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直接管理关系情况说明</w:t>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r>
      <w:tr>
        <w:trPr>
          <w:jc w:val="center"/>
          <w:trHeight w:val="850"/>
        </w:trPr>
        <w:tc>
          <w:tcPr>
            <w:tcW w:w="664"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82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664"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653"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c>
          <w:tcPr>
            <w:tcW w:w="1138" w:type="dxa"/>
            <w:vAlign w:val="center"/>
            <w:textDirection w:val="lrTb"/>
            <w:noWrap w:val="false"/>
          </w:tcPr>
          <w:p>
            <w:pPr>
              <w:jc w:val="center"/>
              <w:widowControl/>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r>
            <w:r/>
          </w:p>
        </w:tc>
      </w:tr>
    </w:tbl>
    <w:p>
      <w:pPr>
        <w:ind w:firstLine="482"/>
        <w:rPr>
          <w:rFonts w:hint="eastAsia" w:ascii="宋体" w:hAnsi="宋体" w:eastAsia="宋体" w:cs="宋体"/>
          <w:b/>
          <w:color w:val="auto"/>
          <w:sz w:val="24"/>
          <w:szCs w:val="24"/>
          <w:shd w:val="clear" w:color="auto" w:fill="ffffff"/>
        </w:rPr>
      </w:pPr>
      <w:r>
        <w:rPr>
          <w:rFonts w:hint="eastAsia" w:ascii="宋体" w:hAnsi="宋体" w:eastAsia="宋体" w:cs="宋体"/>
          <w:b/>
          <w:color w:val="auto"/>
          <w:sz w:val="24"/>
          <w:szCs w:val="24"/>
          <w:shd w:val="clear" w:color="auto" w:fill="ffffff"/>
        </w:rPr>
        <w:t xml:space="preserve">注1：本表仅需填写与</w:t>
      </w:r>
      <w:r>
        <w:rPr>
          <w:rFonts w:hint="eastAsia" w:ascii="宋体" w:hAnsi="宋体" w:eastAsia="宋体" w:cs="宋体"/>
          <w:b/>
          <w:color w:val="auto"/>
          <w:sz w:val="24"/>
          <w:szCs w:val="24"/>
        </w:rPr>
        <w:t xml:space="preserve">供应商</w:t>
      </w:r>
      <w:r>
        <w:rPr>
          <w:rFonts w:hint="eastAsia" w:ascii="宋体" w:hAnsi="宋体" w:eastAsia="宋体" w:cs="宋体"/>
          <w:b/>
          <w:color w:val="auto"/>
          <w:sz w:val="24"/>
          <w:szCs w:val="24"/>
          <w:shd w:val="clear" w:color="auto" w:fill="ffffff"/>
        </w:rPr>
        <w:t xml:space="preserve">存在直接股权、管理关系的企业情况。</w:t>
      </w:r>
      <w:r>
        <w:rPr>
          <w:rFonts w:hint="eastAsia" w:ascii="宋体" w:hAnsi="宋体" w:eastAsia="宋体" w:cs="宋体"/>
          <w:b/>
          <w:color w:val="auto"/>
          <w:sz w:val="24"/>
          <w:szCs w:val="24"/>
        </w:rPr>
        <w:t xml:space="preserve">供应商</w:t>
      </w:r>
      <w:r>
        <w:rPr>
          <w:rFonts w:hint="eastAsia" w:ascii="宋体" w:hAnsi="宋体" w:eastAsia="宋体" w:cs="宋体"/>
          <w:b/>
          <w:color w:val="auto"/>
          <w:sz w:val="24"/>
          <w:szCs w:val="24"/>
          <w:shd w:val="clear" w:color="auto" w:fill="ffffff"/>
        </w:rPr>
        <w:t xml:space="preserve">应按上表要求据实填写，如填写“无”或不填写，均视为</w:t>
      </w:r>
      <w:r>
        <w:rPr>
          <w:rFonts w:hint="eastAsia" w:ascii="宋体" w:hAnsi="宋体" w:eastAsia="宋体" w:cs="宋体"/>
          <w:b/>
          <w:color w:val="auto"/>
          <w:sz w:val="24"/>
          <w:szCs w:val="24"/>
        </w:rPr>
        <w:t xml:space="preserve">供应商</w:t>
      </w:r>
      <w:r>
        <w:rPr>
          <w:rFonts w:hint="eastAsia" w:ascii="宋体" w:hAnsi="宋体" w:eastAsia="宋体" w:cs="宋体"/>
          <w:b/>
          <w:color w:val="auto"/>
          <w:sz w:val="24"/>
          <w:szCs w:val="24"/>
          <w:shd w:val="clear" w:color="auto" w:fill="ffffff"/>
        </w:rPr>
        <w:t xml:space="preserve">声明不存在有关情形。</w:t>
      </w:r>
      <w:r/>
    </w:p>
    <w:p>
      <w:pPr>
        <w:ind w:firstLine="482"/>
        <w:rPr>
          <w:rFonts w:hint="eastAsia" w:ascii="宋体" w:hAnsi="宋体" w:eastAsia="宋体" w:cs="宋体"/>
          <w:b/>
          <w:bCs/>
          <w:color w:val="auto"/>
          <w:sz w:val="24"/>
          <w:szCs w:val="24"/>
        </w:rPr>
      </w:pPr>
      <w:r>
        <w:rPr>
          <w:rFonts w:hint="eastAsia" w:ascii="宋体" w:hAnsi="宋体" w:eastAsia="宋体" w:cs="宋体"/>
          <w:b/>
          <w:color w:val="auto"/>
          <w:sz w:val="24"/>
          <w:szCs w:val="24"/>
          <w:shd w:val="clear" w:color="auto" w:fill="ffffff"/>
        </w:rPr>
        <w:t xml:space="preserve">注2：其中“直接控股”是指</w:t>
      </w:r>
      <w:r>
        <w:rPr>
          <w:rFonts w:hint="eastAsia" w:ascii="宋体" w:hAnsi="宋体" w:eastAsia="宋体" w:cs="宋体"/>
          <w:b/>
          <w:color w:val="auto"/>
          <w:sz w:val="24"/>
          <w:szCs w:val="24"/>
        </w:rPr>
        <w:t xml:space="preserve">供应商</w:t>
      </w:r>
      <w:r>
        <w:rPr>
          <w:rFonts w:hint="eastAsia" w:ascii="宋体" w:hAnsi="宋体" w:eastAsia="宋体" w:cs="宋体"/>
          <w:b/>
          <w:color w:val="auto"/>
          <w:sz w:val="24"/>
          <w:szCs w:val="24"/>
          <w:shd w:val="clear" w:color="auto" w:fill="ffffff"/>
        </w:rPr>
        <w:t xml:space="preserve">与大型企业之间存在直接投资并控股（非普通持股）的关系。</w:t>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clear="all"/>
      </w:r>
      <w:r/>
    </w:p>
    <w:p>
      <w:pP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8、商务条款偏离表</w:t>
      </w:r>
      <w:r/>
    </w:p>
    <w:p>
      <w:pPr>
        <w:jc w:val="left"/>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商务条款偏离表</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678"/>
        <w:tblW w:w="0" w:type="auto"/>
        <w:jc w:val="center"/>
        <w:tblLayout w:type="fixed"/>
        <w:tblCellMar>
          <w:left w:w="0" w:type="dxa"/>
          <w:top w:w="0" w:type="dxa"/>
          <w:right w:w="0" w:type="dxa"/>
          <w:bottom w:w="0" w:type="dxa"/>
        </w:tblCellMar>
        <w:tblLook w:val="04A0" w:firstRow="1" w:lastRow="0" w:firstColumn="1" w:lastColumn="0" w:noHBand="0" w:noVBand="1"/>
      </w:tblPr>
      <w:tblGrid>
        <w:gridCol w:w="958"/>
        <w:gridCol w:w="2212"/>
        <w:gridCol w:w="2652"/>
        <w:gridCol w:w="2675"/>
        <w:gridCol w:w="1085"/>
      </w:tblGrid>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磋商文件条目号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磋商文件的商务条款</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响应文件的商务条款</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567"/>
        </w:trPr>
        <w:tc>
          <w:tcPr>
            <w:tcBorders>
              <w:top w:val="single" w:color="000000" w:sz="4" w:space="0"/>
              <w:left w:val="single" w:color="000000" w:sz="4" w:space="0"/>
              <w:bottom w:val="single" w:color="000000" w:sz="4" w:space="0"/>
              <w:right w:val="single" w:color="000000" w:sz="4" w:space="0"/>
            </w:tcBorders>
            <w:tcMar>
              <w:left w:w="108" w:type="dxa"/>
              <w:right w:w="108" w:type="dxa"/>
            </w:tcMar>
            <w:tcW w:w="95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21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52"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267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08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pStyle w:val="679"/>
        <w:ind w:firstLine="420"/>
        <w:rPr>
          <w:rFonts w:hint="eastAsia" w:ascii="宋体" w:hAnsi="宋体" w:eastAsia="宋体" w:cs="宋体"/>
          <w:color w:val="auto"/>
          <w:szCs w:val="21"/>
        </w:rPr>
      </w:pPr>
      <w:r>
        <w:rPr>
          <w:rFonts w:hint="eastAsia" w:ascii="宋体" w:hAnsi="宋体" w:eastAsia="宋体" w:cs="宋体"/>
          <w:color w:val="auto"/>
          <w:szCs w:val="21"/>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供应商的磋商文件（除服务要求部分）与磋商文件规定的有偏离的，应在此表中说明。未在上表中说明的，如在响应文件其他内容中已有文字说明的，则以已有文字说明为准，否则，将被认为完全响应磋商文件的规定。但该表不作为供应商对所响应服务关于商务条款等详细描述和说明的替代。</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pStyle w:val="821"/>
        <w:ind w:firstLine="480"/>
        <w:jc w:val="right"/>
        <w:spacing w:line="360" w:lineRule="auto"/>
        <w:rPr>
          <w:rFonts w:hint="eastAsia" w:ascii="宋体" w:hAnsi="宋体" w:eastAsia="宋体" w:cs="宋体"/>
          <w:b/>
          <w:color w:val="auto"/>
          <w:sz w:val="24"/>
        </w:rPr>
      </w:pPr>
      <w:r>
        <w:rPr>
          <w:rFonts w:hint="eastAsia" w:ascii="宋体" w:hAnsi="宋体" w:eastAsia="宋体" w:cs="宋体"/>
          <w:color w:val="auto"/>
          <w:sz w:val="24"/>
          <w:szCs w:val="24"/>
        </w:rPr>
        <w:t xml:space="preserve">日期：  年  月  日</w:t>
      </w:r>
      <w:r/>
    </w:p>
    <w:p>
      <w:pPr>
        <w:ind w:firstLine="420"/>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20"/>
        <w:jc w:val="left"/>
        <w:spacing w:line="360" w:lineRule="auto"/>
        <w:rPr>
          <w:rFonts w:hint="eastAsia" w:ascii="宋体" w:hAnsi="宋体" w:eastAsia="宋体" w:cs="宋体"/>
          <w:color w:val="auto"/>
          <w:szCs w:val="21"/>
          <w:lang w:val="zh-CN"/>
        </w:rPr>
      </w:pPr>
      <w:r>
        <w:rPr>
          <w:rFonts w:hint="eastAsia" w:ascii="宋体" w:hAnsi="宋体" w:eastAsia="宋体" w:cs="宋体"/>
          <w:color w:val="auto"/>
          <w:szCs w:val="21"/>
          <w:lang w:val="zh-CN"/>
        </w:rPr>
      </w:r>
      <w:r/>
    </w:p>
    <w:p>
      <w:pPr>
        <w:rPr>
          <w:rFonts w:hint="eastAsia" w:ascii="宋体" w:hAnsi="宋体" w:eastAsia="宋体" w:cs="宋体"/>
          <w:b/>
          <w:bCs/>
          <w:color w:val="auto"/>
          <w:sz w:val="24"/>
          <w:szCs w:val="24"/>
        </w:rPr>
      </w:pPr>
      <w:r>
        <w:rPr>
          <w:rFonts w:hint="eastAsia" w:ascii="宋体" w:hAnsi="宋体" w:eastAsia="宋体" w:cs="宋体"/>
          <w:b/>
          <w:bCs/>
          <w:color w:val="auto"/>
          <w:sz w:val="24"/>
          <w:szCs w:val="24"/>
        </w:rPr>
        <w:br w:type="page" w:clear="all"/>
      </w:r>
      <w:r/>
    </w:p>
    <w:p>
      <w:pPr>
        <w:spacing w:line="400" w:lineRule="exact"/>
        <w:rPr>
          <w:rFonts w:hint="eastAsia" w:ascii="宋体" w:hAnsi="宋体" w:eastAsia="宋体" w:cs="宋体"/>
          <w:b/>
          <w:color w:val="auto"/>
          <w:sz w:val="24"/>
          <w:szCs w:val="24"/>
        </w:rPr>
      </w:pPr>
      <w:r>
        <w:rPr>
          <w:rFonts w:hint="eastAsia" w:ascii="宋体" w:hAnsi="宋体" w:eastAsia="宋体" w:cs="宋体"/>
          <w:b/>
          <w:bCs/>
          <w:color w:val="auto"/>
          <w:sz w:val="24"/>
          <w:szCs w:val="24"/>
        </w:rPr>
        <w:t xml:space="preserve">9、技术或服务要求偏离表</w:t>
      </w:r>
      <w:r/>
    </w:p>
    <w:p>
      <w:pPr>
        <w:jc w:val="center"/>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技术或服务要求偏离表</w:t>
      </w:r>
      <w:r/>
    </w:p>
    <w:p>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678"/>
        <w:tblW w:w="0" w:type="auto"/>
        <w:tblInd w:w="0" w:type="dxa"/>
        <w:tblLayout w:type="fixed"/>
        <w:tblCellMar>
          <w:left w:w="0" w:type="dxa"/>
          <w:top w:w="0" w:type="dxa"/>
          <w:right w:w="0" w:type="dxa"/>
          <w:bottom w:w="0" w:type="dxa"/>
        </w:tblCellMar>
        <w:tblLook w:val="04A0" w:firstRow="1" w:lastRow="0" w:firstColumn="1" w:lastColumn="0" w:noHBand="0" w:noVBand="1"/>
      </w:tblPr>
      <w:tblGrid>
        <w:gridCol w:w="630"/>
        <w:gridCol w:w="1494"/>
        <w:gridCol w:w="1988"/>
        <w:gridCol w:w="1988"/>
        <w:gridCol w:w="1501"/>
        <w:gridCol w:w="1379"/>
      </w:tblGrid>
      <w:tr>
        <w:trPr>
          <w:trHeight w:val="1127"/>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服务内容</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采购要求</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响应要求</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偏离/响应</w:t>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说明</w:t>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25"/>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trHeight w:val="739"/>
        </w:trPr>
        <w:tc>
          <w:tcPr>
            <w:tcBorders>
              <w:top w:val="single" w:color="000000" w:sz="4" w:space="0"/>
              <w:left w:val="single" w:color="000000" w:sz="4" w:space="0"/>
              <w:bottom w:val="single" w:color="000000" w:sz="4" w:space="0"/>
              <w:right w:val="single" w:color="000000" w:sz="4" w:space="0"/>
            </w:tcBorders>
            <w:tcMar>
              <w:left w:w="108" w:type="dxa"/>
              <w:right w:w="108" w:type="dxa"/>
            </w:tcMar>
            <w:tcW w:w="630"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494"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988"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501"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Mar>
              <w:left w:w="108" w:type="dxa"/>
              <w:right w:w="108" w:type="dxa"/>
            </w:tcMar>
            <w:tcW w:w="1379" w:type="dxa"/>
            <w:vAlign w:val="center"/>
            <w:textDirection w:val="lrTb"/>
            <w:noWrap w:val="false"/>
          </w:tcPr>
          <w:p>
            <w:pPr>
              <w:jc w:val="cente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注：1、供应商应对照磋商文件服务/技术要求等要求，所响应服务/技术与磋商文件的规定有偏离的，应在此表中申明与服务/技术要求条文的偏差和例外。</w:t>
      </w:r>
      <w:r/>
    </w:p>
    <w:p>
      <w:pPr>
        <w:ind w:firstLine="480"/>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未在上表中说明的，如在响应文件其他内容中已有文字说明的，则以已有文字说明为准，否则，将被认为完全响应磋商文件的规定。但该表不作为供应商对所响应服务/技术关于服务/技术要求等详细描述和说明的替代。</w:t>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pStyle w:val="821"/>
        <w:ind w:firstLine="480"/>
        <w:jc w:val="right"/>
        <w:spacing w:line="360" w:lineRule="auto"/>
        <w:rPr>
          <w:rFonts w:hint="eastAsia" w:ascii="宋体" w:hAnsi="宋体" w:eastAsia="宋体" w:cs="宋体"/>
          <w:b/>
          <w:color w:val="auto"/>
          <w:sz w:val="24"/>
        </w:rPr>
      </w:pPr>
      <w:r>
        <w:rPr>
          <w:rFonts w:hint="eastAsia" w:ascii="宋体" w:hAnsi="宋体" w:eastAsia="宋体" w:cs="宋体"/>
          <w:color w:val="auto"/>
          <w:sz w:val="24"/>
          <w:szCs w:val="24"/>
        </w:rPr>
        <w:t xml:space="preserve">日期：  年  月  日</w:t>
      </w:r>
      <w:r/>
    </w:p>
    <w:p>
      <w:pPr>
        <w:ind w:firstLine="420"/>
        <w:jc w:val="left"/>
        <w:spacing w:line="360" w:lineRule="auto"/>
        <w:rPr>
          <w:rFonts w:hint="eastAsia" w:ascii="宋体" w:hAnsi="宋体" w:eastAsia="宋体" w:cs="宋体"/>
          <w:color w:val="auto"/>
          <w:szCs w:val="21"/>
          <w:lang w:val="zh-CN"/>
        </w:rPr>
      </w:pPr>
      <w:r>
        <w:rPr>
          <w:rFonts w:hint="eastAsia" w:ascii="宋体" w:hAnsi="宋体" w:eastAsia="宋体" w:cs="宋体"/>
          <w:color w:val="auto"/>
          <w:szCs w:val="21"/>
        </w:rPr>
        <w:br w:type="page" w:clear="all"/>
      </w:r>
      <w:r/>
    </w:p>
    <w:p>
      <w:pP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10、投入本项目人员配备一览表</w:t>
      </w:r>
      <w:r/>
    </w:p>
    <w:p>
      <w:pPr>
        <w:ind w:left="825"/>
        <w:jc w:val="center"/>
        <w:spacing w:before="218" w:line="219" w:lineRule="auto"/>
        <w:rPr>
          <w:rFonts w:hint="eastAsia" w:ascii="宋体" w:hAnsi="宋体" w:eastAsia="宋体" w:cs="宋体"/>
          <w:b/>
          <w:color w:val="auto"/>
          <w:spacing w:val="-1"/>
          <w:sz w:val="24"/>
          <w:szCs w:val="24"/>
        </w:rPr>
      </w:pPr>
      <w:r>
        <w:rPr>
          <w:rFonts w:hint="eastAsia" w:ascii="宋体" w:hAnsi="宋体" w:eastAsia="宋体" w:cs="宋体"/>
          <w:b/>
          <w:color w:val="auto"/>
          <w:spacing w:val="-1"/>
          <w:sz w:val="24"/>
          <w:szCs w:val="24"/>
        </w:rPr>
        <w:t xml:space="preserve">投入本项目人员配备一览表</w:t>
      </w:r>
      <w:r/>
    </w:p>
    <w:p>
      <w:pPr>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208"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bl>
      <w:tblPr>
        <w:tblStyle w:val="678"/>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05"/>
        <w:gridCol w:w="987"/>
        <w:gridCol w:w="936"/>
        <w:gridCol w:w="729"/>
        <w:gridCol w:w="631"/>
        <w:gridCol w:w="756"/>
        <w:gridCol w:w="818"/>
        <w:gridCol w:w="1106"/>
        <w:gridCol w:w="1237"/>
        <w:gridCol w:w="889"/>
      </w:tblGrid>
      <w:tr>
        <w:trPr>
          <w:jc w:val="center"/>
          <w:trHeight w:val="891"/>
        </w:trPr>
        <w:tc>
          <w:tcPr>
            <w:tcW w:w="6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序</w:t>
            </w:r>
            <w:r>
              <w:rPr>
                <w:rFonts w:hint="eastAsia" w:ascii="宋体" w:hAnsi="宋体" w:eastAsia="宋体" w:cs="宋体"/>
                <w:color w:val="auto"/>
                <w:spacing w:val="-1"/>
                <w:sz w:val="24"/>
                <w:szCs w:val="24"/>
              </w:rPr>
              <w:t xml:space="preserve">号</w:t>
            </w:r>
            <w:r/>
          </w:p>
        </w:tc>
        <w:tc>
          <w:tcPr>
            <w:tcW w:w="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pacing w:val="-8"/>
                <w:sz w:val="24"/>
                <w:szCs w:val="24"/>
              </w:rPr>
              <w:t xml:space="preserve">岗</w:t>
            </w:r>
            <w:r>
              <w:rPr>
                <w:rFonts w:hint="eastAsia" w:ascii="宋体" w:hAnsi="宋体" w:eastAsia="宋体" w:cs="宋体"/>
                <w:color w:val="auto"/>
                <w:spacing w:val="-7"/>
                <w:sz w:val="24"/>
                <w:szCs w:val="24"/>
              </w:rPr>
              <w:t xml:space="preserve">位</w:t>
            </w:r>
            <w:r/>
          </w:p>
        </w:tc>
        <w:tc>
          <w:tcPr>
            <w:tcW w:w="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姓</w:t>
            </w:r>
            <w:r>
              <w:rPr>
                <w:rFonts w:hint="eastAsia" w:ascii="宋体" w:hAnsi="宋体" w:eastAsia="宋体" w:cs="宋体"/>
                <w:color w:val="auto"/>
                <w:spacing w:val="-1"/>
                <w:sz w:val="24"/>
                <w:szCs w:val="24"/>
              </w:rPr>
              <w:t xml:space="preserve">名</w:t>
            </w:r>
            <w:r/>
          </w:p>
        </w:tc>
        <w:tc>
          <w:tcPr>
            <w:tcW w:w="72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性</w:t>
            </w:r>
            <w:r>
              <w:rPr>
                <w:rFonts w:hint="eastAsia" w:ascii="宋体" w:hAnsi="宋体" w:eastAsia="宋体" w:cs="宋体"/>
                <w:color w:val="auto"/>
                <w:spacing w:val="-1"/>
                <w:sz w:val="24"/>
                <w:szCs w:val="24"/>
              </w:rPr>
              <w:t xml:space="preserve">别</w:t>
            </w:r>
            <w:r/>
          </w:p>
        </w:tc>
        <w:tc>
          <w:tcPr>
            <w:tcW w:w="63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年龄</w:t>
            </w:r>
            <w:r/>
          </w:p>
        </w:tc>
        <w:tc>
          <w:tcPr>
            <w:tcW w:w="7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pacing w:val="-4"/>
                <w:sz w:val="24"/>
                <w:szCs w:val="24"/>
              </w:rPr>
              <w:t xml:space="preserve">学</w:t>
            </w:r>
            <w:r>
              <w:rPr>
                <w:rFonts w:hint="eastAsia" w:ascii="宋体" w:hAnsi="宋体" w:eastAsia="宋体" w:cs="宋体"/>
                <w:color w:val="auto"/>
                <w:spacing w:val="-2"/>
                <w:sz w:val="24"/>
                <w:szCs w:val="24"/>
              </w:rPr>
              <w:t xml:space="preserve">历</w:t>
            </w:r>
            <w:r/>
          </w:p>
        </w:tc>
        <w:tc>
          <w:tcPr>
            <w:tcW w:w="8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专业</w:t>
            </w:r>
            <w:r/>
          </w:p>
        </w:tc>
        <w:tc>
          <w:tcPr>
            <w:tcW w:w="110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证</w:t>
            </w:r>
            <w:r>
              <w:rPr>
                <w:rFonts w:hint="eastAsia" w:ascii="宋体" w:hAnsi="宋体" w:eastAsia="宋体" w:cs="宋体"/>
                <w:color w:val="auto"/>
                <w:spacing w:val="-1"/>
                <w:sz w:val="24"/>
                <w:szCs w:val="24"/>
              </w:rPr>
              <w:t xml:space="preserve">书情况</w:t>
            </w:r>
            <w:r/>
          </w:p>
        </w:tc>
        <w:tc>
          <w:tcPr>
            <w:tcW w:w="123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pacing w:val="-2"/>
                <w:sz w:val="24"/>
                <w:szCs w:val="24"/>
              </w:rPr>
              <w:t xml:space="preserve">从事本</w:t>
            </w:r>
            <w:r>
              <w:rPr>
                <w:rFonts w:hint="eastAsia" w:ascii="宋体" w:hAnsi="宋体" w:eastAsia="宋体" w:cs="宋体"/>
                <w:color w:val="auto"/>
                <w:spacing w:val="-1"/>
                <w:sz w:val="24"/>
                <w:szCs w:val="24"/>
              </w:rPr>
              <w:t xml:space="preserve">工作</w:t>
            </w:r>
            <w:r>
              <w:rPr>
                <w:rFonts w:hint="eastAsia" w:ascii="宋体" w:hAnsi="宋体" w:eastAsia="宋体" w:cs="宋体"/>
                <w:color w:val="auto"/>
                <w:spacing w:val="-4"/>
                <w:sz w:val="24"/>
                <w:szCs w:val="24"/>
              </w:rPr>
              <w:t xml:space="preserve">时间</w:t>
            </w:r>
            <w:r/>
          </w:p>
        </w:tc>
        <w:tc>
          <w:tcPr>
            <w:tcW w:w="88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pacing w:val="-3"/>
                <w:sz w:val="24"/>
                <w:szCs w:val="24"/>
              </w:rPr>
              <w:t xml:space="preserve">备</w:t>
            </w:r>
            <w:r>
              <w:rPr>
                <w:rFonts w:hint="eastAsia" w:ascii="宋体" w:hAnsi="宋体" w:eastAsia="宋体" w:cs="宋体"/>
                <w:color w:val="auto"/>
                <w:spacing w:val="-2"/>
                <w:sz w:val="24"/>
                <w:szCs w:val="24"/>
              </w:rPr>
              <w:t xml:space="preserve">注</w:t>
            </w:r>
            <w:r/>
          </w:p>
        </w:tc>
      </w:tr>
      <w:tr>
        <w:trPr>
          <w:jc w:val="center"/>
          <w:trHeight w:val="428"/>
        </w:trPr>
        <w:tc>
          <w:tcPr>
            <w:tcW w:w="6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8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30"/>
        </w:trPr>
        <w:tc>
          <w:tcPr>
            <w:tcW w:w="6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8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23"/>
        </w:trPr>
        <w:tc>
          <w:tcPr>
            <w:tcW w:w="6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8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46"/>
        </w:trPr>
        <w:tc>
          <w:tcPr>
            <w:tcW w:w="6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8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35"/>
        </w:trPr>
        <w:tc>
          <w:tcPr>
            <w:tcW w:w="6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8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42"/>
        </w:trPr>
        <w:tc>
          <w:tcPr>
            <w:tcW w:w="6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8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33"/>
        </w:trPr>
        <w:tc>
          <w:tcPr>
            <w:tcW w:w="6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8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40"/>
        </w:trPr>
        <w:tc>
          <w:tcPr>
            <w:tcW w:w="6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8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46"/>
        </w:trPr>
        <w:tc>
          <w:tcPr>
            <w:tcW w:w="6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8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37"/>
        </w:trPr>
        <w:tc>
          <w:tcPr>
            <w:tcW w:w="6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8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46"/>
        </w:trPr>
        <w:tc>
          <w:tcPr>
            <w:tcW w:w="6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8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36"/>
        </w:trPr>
        <w:tc>
          <w:tcPr>
            <w:tcW w:w="6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8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42"/>
        </w:trPr>
        <w:tc>
          <w:tcPr>
            <w:tcW w:w="6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8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33"/>
        </w:trPr>
        <w:tc>
          <w:tcPr>
            <w:tcW w:w="6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8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604"/>
        </w:trPr>
        <w:tc>
          <w:tcPr>
            <w:tcW w:w="605"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pacing w:val="84"/>
                <w:sz w:val="24"/>
                <w:szCs w:val="24"/>
              </w:rPr>
              <w:t xml:space="preserve">…</w:t>
            </w:r>
            <w:r/>
          </w:p>
        </w:tc>
        <w:tc>
          <w:tcPr>
            <w:tcW w:w="98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93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2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631"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75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0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3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89"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spacing w:line="262"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pStyle w:val="821"/>
        <w:ind w:firstLine="480"/>
        <w:jc w:val="right"/>
        <w:spacing w:line="360" w:lineRule="auto"/>
        <w:rPr>
          <w:rFonts w:hint="eastAsia" w:ascii="宋体" w:hAnsi="宋体" w:eastAsia="宋体" w:cs="宋体"/>
          <w:b/>
          <w:color w:val="auto"/>
          <w:sz w:val="24"/>
        </w:rPr>
      </w:pPr>
      <w:r>
        <w:rPr>
          <w:rFonts w:hint="eastAsia" w:ascii="宋体" w:hAnsi="宋体" w:eastAsia="宋体" w:cs="宋体"/>
          <w:color w:val="auto"/>
          <w:sz w:val="24"/>
          <w:szCs w:val="24"/>
        </w:rPr>
        <w:t xml:space="preserve">日期：  年  月  日</w:t>
      </w:r>
      <w:r/>
    </w:p>
    <w:p>
      <w:pPr>
        <w:jc w:val="left"/>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jc w:val="left"/>
        <w:rPr>
          <w:rFonts w:hint="eastAsia" w:ascii="宋体" w:hAnsi="宋体" w:eastAsia="宋体" w:cs="宋体"/>
          <w:b/>
          <w:color w:val="auto"/>
          <w:sz w:val="24"/>
        </w:rPr>
      </w:pPr>
      <w:r>
        <w:rPr>
          <w:rFonts w:hint="eastAsia" w:ascii="宋体" w:hAnsi="宋体" w:eastAsia="宋体" w:cs="宋体"/>
          <w:color w:val="auto"/>
          <w:szCs w:val="21"/>
          <w:lang w:val="zh-CN"/>
        </w:rPr>
        <w:br w:type="page" w:clear="all"/>
      </w:r>
      <w:r>
        <w:rPr>
          <w:rFonts w:hint="eastAsia" w:ascii="宋体" w:hAnsi="宋体" w:eastAsia="宋体" w:cs="宋体"/>
          <w:b/>
          <w:color w:val="auto"/>
          <w:sz w:val="24"/>
        </w:rPr>
        <w:t xml:space="preserve">11、针对本项目的实施方案</w:t>
      </w:r>
      <w:r/>
    </w:p>
    <w:p>
      <w:pPr>
        <w:jc w:val="center"/>
        <w:spacing w:before="25" w:after="25" w:line="360" w:lineRule="auto"/>
        <w:rPr>
          <w:rFonts w:hint="eastAsia" w:ascii="宋体" w:hAnsi="宋体" w:eastAsia="宋体" w:cs="宋体"/>
          <w:b/>
          <w:bCs/>
          <w:color w:val="auto"/>
          <w:sz w:val="24"/>
        </w:rPr>
      </w:pPr>
      <w:r>
        <w:rPr>
          <w:rFonts w:hint="eastAsia" w:ascii="宋体" w:hAnsi="宋体" w:eastAsia="宋体" w:cs="宋体"/>
          <w:b/>
          <w:bCs/>
          <w:color w:val="auto"/>
          <w:sz w:val="24"/>
        </w:rPr>
      </w:r>
      <w:r/>
    </w:p>
    <w:p>
      <w:pPr>
        <w:jc w:val="center"/>
        <w:spacing w:before="25" w:after="25" w:line="360" w:lineRule="auto"/>
        <w:rPr>
          <w:rFonts w:hint="eastAsia" w:ascii="宋体" w:hAnsi="宋体" w:eastAsia="宋体" w:cs="宋体"/>
          <w:b/>
          <w:bCs/>
          <w:color w:val="auto"/>
          <w:sz w:val="24"/>
        </w:rPr>
      </w:pPr>
      <w:r>
        <w:rPr>
          <w:rFonts w:hint="eastAsia" w:ascii="宋体" w:hAnsi="宋体" w:eastAsia="宋体" w:cs="宋体"/>
          <w:b/>
          <w:bCs/>
          <w:color w:val="auto"/>
          <w:sz w:val="24"/>
        </w:rPr>
        <w:t xml:space="preserve">针对本项目的实施方案</w:t>
      </w:r>
      <w:r/>
    </w:p>
    <w:tbl>
      <w:tblPr>
        <w:tblStyle w:val="678"/>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076"/>
        </w:trPr>
        <w:tc>
          <w:tcPr>
            <w:tcBorders>
              <w:top w:val="single" w:color="auto" w:sz="4" w:space="0"/>
              <w:left w:val="single" w:color="auto" w:sz="4" w:space="0"/>
              <w:bottom w:val="single" w:color="auto" w:sz="4" w:space="0"/>
              <w:right w:val="single" w:color="auto" w:sz="4" w:space="0"/>
            </w:tcBorders>
            <w:tcW w:w="9648" w:type="dxa"/>
            <w:textDirection w:val="lrTb"/>
            <w:noWrap w:val="false"/>
          </w:tcPr>
          <w:p>
            <w:pPr>
              <w:pStyle w:val="681"/>
              <w:ind w:firstLine="0"/>
              <w:rPr>
                <w:rFonts w:hint="eastAsia" w:ascii="宋体" w:hAnsi="宋体" w:eastAsia="宋体" w:cs="宋体"/>
                <w:color w:val="auto"/>
              </w:rPr>
            </w:pPr>
            <w:r>
              <w:rPr>
                <w:rFonts w:hint="eastAsia" w:ascii="宋体" w:hAnsi="宋体" w:eastAsia="宋体" w:cs="宋体"/>
                <w:bCs/>
                <w:color w:val="auto"/>
                <w:sz w:val="24"/>
                <w:szCs w:val="24"/>
              </w:rPr>
              <w:t xml:space="preserve">提示：</w:t>
            </w:r>
            <w:r>
              <w:rPr>
                <w:rFonts w:hint="eastAsia" w:ascii="宋体" w:hAnsi="宋体" w:eastAsia="宋体" w:cs="宋体"/>
                <w:color w:val="auto"/>
                <w:sz w:val="24"/>
                <w:szCs w:val="24"/>
              </w:rPr>
              <w:t xml:space="preserve">供应商应根据本次项目要求，对所响应的服务方案进行详细的说明与描述。</w:t>
            </w:r>
            <w:r/>
          </w:p>
        </w:tc>
      </w:tr>
      <w:tr>
        <w:trPr>
          <w:trHeight w:val="9418"/>
        </w:trPr>
        <w:tc>
          <w:tcPr>
            <w:tcBorders>
              <w:top w:val="single" w:color="auto" w:sz="4" w:space="0"/>
              <w:left w:val="single" w:color="auto" w:sz="4" w:space="0"/>
              <w:bottom w:val="single" w:color="auto" w:sz="4" w:space="0"/>
              <w:right w:val="single" w:color="auto" w:sz="4" w:space="0"/>
            </w:tcBorders>
            <w:tcW w:w="9648" w:type="dxa"/>
            <w:vAlign w:val="bottom"/>
            <w:textDirection w:val="lrTb"/>
            <w:noWrap w:val="false"/>
          </w:tcPr>
          <w:p>
            <w:pPr>
              <w:ind w:firstLine="210"/>
              <w:jc w:val="center"/>
              <w:tabs>
                <w:tab w:val="left" w:pos="1320" w:leader="none"/>
              </w:tabs>
              <w:rPr>
                <w:rFonts w:hint="eastAsia" w:ascii="宋体" w:hAnsi="宋体" w:eastAsia="宋体" w:cs="宋体"/>
                <w:color w:val="auto"/>
                <w:u w:val="single"/>
              </w:rPr>
            </w:pPr>
            <w:r>
              <w:rPr>
                <w:rFonts w:hint="eastAsia" w:ascii="宋体" w:hAnsi="宋体" w:eastAsia="宋体" w:cs="宋体"/>
                <w:color w:val="auto"/>
                <w:u w:val="single"/>
              </w:rPr>
            </w:r>
            <w:r/>
          </w:p>
        </w:tc>
      </w:tr>
    </w:tbl>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pStyle w:val="821"/>
        <w:ind w:firstLine="480"/>
        <w:jc w:val="right"/>
        <w:spacing w:line="360" w:lineRule="auto"/>
        <w:rPr>
          <w:rFonts w:hint="eastAsia" w:ascii="宋体" w:hAnsi="宋体" w:eastAsia="宋体" w:cs="宋体"/>
          <w:b/>
          <w:color w:val="auto"/>
          <w:sz w:val="24"/>
        </w:rPr>
      </w:pPr>
      <w:r>
        <w:rPr>
          <w:rFonts w:hint="eastAsia" w:ascii="宋体" w:hAnsi="宋体" w:eastAsia="宋体" w:cs="宋体"/>
          <w:color w:val="auto"/>
          <w:sz w:val="24"/>
          <w:szCs w:val="24"/>
        </w:rPr>
        <w:t xml:space="preserve">日期：  年  月  日</w:t>
      </w:r>
      <w:r/>
    </w:p>
    <w:p>
      <w:pPr>
        <w:jc w:val="left"/>
        <w:rPr>
          <w:rFonts w:hint="eastAsia" w:ascii="宋体" w:hAnsi="宋体" w:eastAsia="宋体" w:cs="宋体"/>
          <w:b/>
          <w:color w:val="auto"/>
          <w:sz w:val="24"/>
        </w:rPr>
      </w:pPr>
      <w:r>
        <w:rPr>
          <w:rFonts w:hint="eastAsia" w:ascii="宋体" w:hAnsi="宋体" w:eastAsia="宋体" w:cs="宋体"/>
          <w:color w:val="auto"/>
          <w:szCs w:val="21"/>
          <w:lang w:val="zh-CN"/>
        </w:rPr>
        <w:br w:type="page" w:clear="all"/>
      </w:r>
      <w:r>
        <w:rPr>
          <w:rFonts w:hint="eastAsia" w:ascii="宋体" w:hAnsi="宋体" w:eastAsia="宋体" w:cs="宋体"/>
          <w:b/>
          <w:color w:val="auto"/>
          <w:sz w:val="24"/>
        </w:rPr>
        <w:t xml:space="preserve">12、拟投入本项目专业设备清单</w:t>
      </w:r>
      <w:r/>
    </w:p>
    <w:p>
      <w:pPr>
        <w:ind w:firstLine="422"/>
        <w:jc w:val="center"/>
        <w:spacing w:line="360" w:lineRule="auto"/>
        <w:rPr>
          <w:rFonts w:hint="eastAsia" w:ascii="宋体" w:hAnsi="宋体" w:eastAsia="宋体" w:cs="宋体"/>
          <w:b/>
          <w:bCs/>
          <w:color w:val="auto"/>
        </w:rPr>
      </w:pPr>
      <w:r>
        <w:rPr>
          <w:rFonts w:hint="eastAsia" w:ascii="宋体" w:hAnsi="宋体" w:eastAsia="宋体" w:cs="宋体"/>
          <w:b/>
          <w:bCs/>
          <w:color w:val="auto"/>
        </w:rPr>
      </w:r>
      <w:r/>
    </w:p>
    <w:p>
      <w:pPr>
        <w:ind w:firstLine="482"/>
        <w:jc w:val="center"/>
        <w:spacing w:line="360" w:lineRule="auto"/>
        <w:rPr>
          <w:rFonts w:hint="eastAsia" w:ascii="宋体" w:hAnsi="宋体" w:eastAsia="宋体" w:cs="宋体"/>
          <w:color w:val="auto"/>
          <w:sz w:val="24"/>
          <w:szCs w:val="24"/>
        </w:rPr>
      </w:pPr>
      <w:r>
        <w:rPr>
          <w:rFonts w:hint="eastAsia" w:ascii="宋体" w:hAnsi="宋体" w:eastAsia="宋体" w:cs="宋体"/>
          <w:b/>
          <w:bCs/>
          <w:color w:val="auto"/>
          <w:sz w:val="24"/>
          <w:szCs w:val="24"/>
        </w:rPr>
        <w:t xml:space="preserve">拟投入本项目专业设备清单</w:t>
      </w:r>
      <w:r/>
    </w:p>
    <w:p>
      <w:pPr>
        <w:ind w:firstLine="40"/>
        <w:spacing w:line="360" w:lineRule="auto"/>
        <w:rPr>
          <w:rFonts w:hint="eastAsia" w:ascii="宋体" w:hAnsi="宋体" w:eastAsia="宋体" w:cs="宋体"/>
          <w:color w:val="auto"/>
          <w:sz w:val="2"/>
        </w:rPr>
      </w:pPr>
      <w:r>
        <w:rPr>
          <w:rFonts w:hint="eastAsia" w:ascii="宋体" w:hAnsi="宋体" w:eastAsia="宋体" w:cs="宋体"/>
          <w:color w:val="auto"/>
          <w:sz w:val="2"/>
        </w:rPr>
      </w:r>
      <w:r/>
    </w:p>
    <w:tbl>
      <w:tblPr>
        <w:tblStyle w:val="678"/>
        <w:tblW w:w="10096"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840"/>
        <w:gridCol w:w="1066"/>
        <w:gridCol w:w="2234"/>
        <w:gridCol w:w="1966"/>
        <w:gridCol w:w="1144"/>
        <w:gridCol w:w="1205"/>
        <w:gridCol w:w="818"/>
        <w:gridCol w:w="823"/>
      </w:tblGrid>
      <w:tr>
        <w:trPr>
          <w:jc w:val="center"/>
          <w:trHeight w:val="644"/>
        </w:trPr>
        <w:tc>
          <w:tcPr>
            <w:tcW w:w="840"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名称</w:t>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品牌规格（如有）</w:t>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生产厂家（如有）</w:t>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w:t>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w:t>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数量</w:t>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jc w:val="center"/>
          <w:trHeight w:val="443"/>
        </w:trPr>
        <w:tc>
          <w:tcPr>
            <w:tcW w:w="840"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381"/>
        </w:trPr>
        <w:tc>
          <w:tcPr>
            <w:tcW w:w="840"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05"/>
        </w:trPr>
        <w:tc>
          <w:tcPr>
            <w:tcW w:w="840"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62"/>
        </w:trPr>
        <w:tc>
          <w:tcPr>
            <w:tcW w:w="840"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02"/>
        </w:trPr>
        <w:tc>
          <w:tcPr>
            <w:tcW w:w="840"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jc w:val="center"/>
          <w:trHeight w:val="470"/>
        </w:trPr>
        <w:tc>
          <w:tcPr>
            <w:tcW w:w="840"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106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23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966"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144"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05"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18"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823" w:type="dxa"/>
            <w:vAlign w:val="center"/>
            <w:textDirection w:val="lrTb"/>
            <w:noWrap w:val="false"/>
          </w:tcPr>
          <w:p>
            <w:pPr>
              <w:jc w:val="cente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pStyle w:val="821"/>
        <w:ind w:firstLine="480"/>
        <w:jc w:val="right"/>
        <w:spacing w:line="360" w:lineRule="auto"/>
        <w:rPr>
          <w:rFonts w:hint="eastAsia" w:ascii="宋体" w:hAnsi="宋体" w:eastAsia="宋体" w:cs="宋体"/>
          <w:b/>
          <w:color w:val="auto"/>
          <w:sz w:val="24"/>
        </w:rPr>
      </w:pPr>
      <w:r>
        <w:rPr>
          <w:rFonts w:hint="eastAsia" w:ascii="宋体" w:hAnsi="宋体" w:eastAsia="宋体" w:cs="宋体"/>
          <w:color w:val="auto"/>
          <w:sz w:val="24"/>
          <w:szCs w:val="24"/>
        </w:rPr>
        <w:t xml:space="preserve">日期：  年  月  日</w:t>
      </w:r>
      <w:r/>
    </w:p>
    <w:p>
      <w:pPr>
        <w:spacing w:line="360" w:lineRule="auto"/>
        <w:rPr>
          <w:rFonts w:hint="eastAsia" w:ascii="宋体" w:hAnsi="宋体" w:eastAsia="宋体" w:cs="宋体"/>
          <w:b/>
          <w:bCs/>
          <w:color w:val="auto"/>
          <w:sz w:val="24"/>
          <w:szCs w:val="24"/>
          <w:lang w:val="zh-CN"/>
        </w:rPr>
      </w:pPr>
      <w:r>
        <w:rPr>
          <w:rFonts w:hint="eastAsia" w:ascii="宋体" w:hAnsi="宋体" w:eastAsia="宋体" w:cs="宋体"/>
          <w:b/>
          <w:bCs/>
          <w:color w:val="auto"/>
          <w:sz w:val="24"/>
          <w:szCs w:val="24"/>
        </w:rPr>
        <w:br w:type="page" w:clear="all"/>
      </w:r>
      <w:r>
        <w:rPr>
          <w:rFonts w:hint="eastAsia" w:ascii="宋体" w:hAnsi="宋体" w:eastAsia="宋体" w:cs="宋体"/>
          <w:b/>
          <w:bCs/>
          <w:color w:val="auto"/>
          <w:sz w:val="24"/>
          <w:szCs w:val="24"/>
        </w:rPr>
        <w:t xml:space="preserve">13</w:t>
      </w:r>
      <w:r>
        <w:rPr>
          <w:rFonts w:hint="eastAsia" w:ascii="宋体" w:hAnsi="宋体" w:eastAsia="宋体" w:cs="宋体"/>
          <w:b/>
          <w:bCs/>
          <w:color w:val="auto"/>
          <w:sz w:val="24"/>
          <w:szCs w:val="24"/>
          <w:lang w:val="zh-CN"/>
        </w:rPr>
        <w:t xml:space="preserve">、</w:t>
      </w:r>
      <w:r>
        <w:rPr>
          <w:rFonts w:hint="eastAsia" w:ascii="宋体" w:hAnsi="宋体" w:eastAsia="宋体" w:cs="宋体"/>
          <w:b/>
          <w:bCs/>
          <w:color w:val="auto"/>
          <w:sz w:val="24"/>
          <w:szCs w:val="24"/>
        </w:rPr>
        <w:t xml:space="preserve">类似</w:t>
      </w:r>
      <w:r>
        <w:rPr>
          <w:rFonts w:hint="eastAsia" w:ascii="宋体" w:hAnsi="宋体" w:eastAsia="宋体" w:cs="宋体"/>
          <w:b/>
          <w:color w:val="auto"/>
          <w:spacing w:val="-1"/>
          <w:sz w:val="24"/>
          <w:szCs w:val="24"/>
        </w:rPr>
        <w:t xml:space="preserve">业绩一览表</w:t>
      </w:r>
      <w:r/>
    </w:p>
    <w:p>
      <w:pPr>
        <w:spacing w:line="360" w:lineRule="auto"/>
        <w:tabs>
          <w:tab w:val="left" w:pos="8930" w:leader="none"/>
          <w:tab w:val="left" w:pos="9306"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
          <w:color w:val="auto"/>
          <w:spacing w:val="-1"/>
          <w:sz w:val="24"/>
          <w:szCs w:val="24"/>
        </w:rPr>
        <w:t xml:space="preserve">类似业绩一览表</w:t>
      </w:r>
      <w:r/>
    </w:p>
    <w:p>
      <w:pPr>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bl>
      <w:tblPr>
        <w:tblStyle w:val="67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584"/>
        <w:gridCol w:w="1676"/>
        <w:gridCol w:w="2188"/>
        <w:gridCol w:w="1676"/>
        <w:gridCol w:w="1257"/>
        <w:gridCol w:w="1275"/>
      </w:tblGrid>
      <w:tr>
        <w:trPr>
          <w:cantSplit/>
          <w:jc w:val="center"/>
          <w:trHeight w:val="800"/>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序号</w:t>
            </w:r>
            <w:r/>
          </w:p>
        </w:tc>
        <w:tc>
          <w:tcPr>
            <w:tcW w:w="1676" w:type="dxa"/>
            <w:vAlign w:val="center"/>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p>
        </w:tc>
        <w:tc>
          <w:tcPr>
            <w:tcW w:w="2188" w:type="dxa"/>
            <w:vAlign w:val="center"/>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合同金额</w:t>
            </w:r>
            <w:r/>
          </w:p>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（万元）</w:t>
            </w:r>
            <w:r/>
          </w:p>
        </w:tc>
        <w:tc>
          <w:tcPr>
            <w:tcW w:w="1676" w:type="dxa"/>
            <w:vAlign w:val="center"/>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合同履行</w:t>
            </w:r>
            <w:r/>
          </w:p>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开始日期</w:t>
            </w:r>
            <w:r/>
          </w:p>
        </w:tc>
        <w:tc>
          <w:tcPr>
            <w:tcW w:w="1257" w:type="dxa"/>
            <w:vAlign w:val="center"/>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合同履行</w:t>
            </w:r>
            <w:r/>
          </w:p>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结束日期</w:t>
            </w:r>
            <w:r/>
          </w:p>
        </w:tc>
        <w:tc>
          <w:tcPr>
            <w:tcW w:w="1275" w:type="dxa"/>
            <w:vAlign w:val="center"/>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w:t>
            </w:r>
            <w:r/>
          </w:p>
        </w:tc>
      </w:tr>
      <w:tr>
        <w:trPr>
          <w:cantSplit/>
          <w:jc w:val="center"/>
          <w:trHeight w:val="820"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820"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820"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820"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r>
        <w:trPr>
          <w:cantSplit/>
          <w:jc w:val="center"/>
          <w:trHeight w:val="836" w:hRule="exact"/>
        </w:trPr>
        <w:tc>
          <w:tcPr>
            <w:tcW w:w="584" w:type="dxa"/>
            <w:vAlign w:val="center"/>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2188"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676"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57"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c>
          <w:tcPr>
            <w:tcW w:w="1275" w:type="dxa"/>
            <w:vAlign w:val="center"/>
            <w:textDirection w:val="lrTb"/>
            <w:noWrap w:val="false"/>
          </w:tcPr>
          <w:p>
            <w:pPr>
              <w:ind w:left="420"/>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r>
            <w:r/>
          </w:p>
        </w:tc>
      </w:tr>
    </w:tbl>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注：具体要求详见评分标准。</w:t>
      </w:r>
      <w:r/>
    </w:p>
    <w:p>
      <w:pPr>
        <w:ind w:right="105" w:firstLine="480"/>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right="105" w:firstLine="480"/>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righ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jc w:val="right"/>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年  月  日</w:t>
      </w:r>
      <w:r/>
    </w:p>
    <w:p>
      <w:pPr>
        <w:rPr>
          <w:rStyle w:val="807"/>
          <w:rFonts w:hint="eastAsia" w:ascii="宋体" w:hAnsi="宋体" w:eastAsia="宋体" w:cs="宋体"/>
          <w:color w:val="auto"/>
          <w:sz w:val="32"/>
          <w:szCs w:val="32"/>
        </w:rPr>
      </w:pPr>
      <w:r>
        <w:rPr>
          <w:rFonts w:hint="eastAsia" w:ascii="宋体" w:hAnsi="宋体" w:eastAsia="宋体" w:cs="宋体"/>
          <w:color w:val="auto"/>
          <w:sz w:val="32"/>
          <w:szCs w:val="32"/>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685"/>
        <w:rPr>
          <w:rFonts w:hint="eastAsia" w:ascii="宋体" w:hAnsi="宋体" w:eastAsia="宋体" w:cs="宋体"/>
          <w:color w:val="auto"/>
          <w:sz w:val="24"/>
        </w:rPr>
      </w:pPr>
      <w:r>
        <w:rPr>
          <w:rFonts w:hint="eastAsia" w:ascii="宋体" w:hAnsi="宋体" w:eastAsia="宋体" w:cs="宋体"/>
          <w:color w:val="auto"/>
          <w:sz w:val="24"/>
        </w:rPr>
      </w:r>
      <w:r/>
    </w:p>
    <w:p>
      <w:pPr>
        <w:pStyle w:val="685"/>
        <w:rPr>
          <w:rFonts w:hint="eastAsia" w:ascii="宋体" w:hAnsi="宋体" w:eastAsia="宋体" w:cs="宋体"/>
          <w:color w:val="auto"/>
          <w:sz w:val="24"/>
        </w:rPr>
      </w:pPr>
      <w:r>
        <w:rPr>
          <w:rFonts w:hint="eastAsia" w:ascii="宋体" w:hAnsi="宋体" w:eastAsia="宋体" w:cs="宋体"/>
          <w:color w:val="auto"/>
          <w:sz w:val="24"/>
        </w:rPr>
      </w:r>
      <w:r/>
    </w:p>
    <w:p>
      <w:pPr>
        <w:spacing w:line="360" w:lineRule="auto"/>
        <w:rPr>
          <w:rFonts w:hint="eastAsia" w:ascii="宋体" w:hAnsi="宋体" w:eastAsia="宋体" w:cs="宋体"/>
          <w:b/>
          <w:color w:val="auto"/>
          <w:szCs w:val="21"/>
        </w:rPr>
      </w:pPr>
      <w:r>
        <w:rPr>
          <w:rFonts w:hint="eastAsia" w:ascii="宋体" w:hAnsi="宋体" w:eastAsia="宋体" w:cs="宋体"/>
          <w:b/>
          <w:color w:val="auto"/>
          <w:szCs w:val="21"/>
        </w:rPr>
      </w:r>
      <w:r/>
    </w:p>
    <w:p>
      <w:pPr>
        <w:jc w:val="left"/>
        <w:spacing w:line="360" w:lineRule="auto"/>
        <w:rPr>
          <w:rFonts w:hint="eastAsia" w:ascii="宋体" w:hAnsi="宋体" w:eastAsia="宋体" w:cs="宋体"/>
          <w:color w:val="auto"/>
          <w:szCs w:val="21"/>
        </w:rPr>
      </w:pPr>
      <w:r>
        <w:rPr>
          <w:rFonts w:hint="eastAsia" w:ascii="宋体" w:hAnsi="宋体" w:eastAsia="宋体" w:cs="宋体"/>
          <w:b/>
          <w:color w:val="auto"/>
          <w:szCs w:val="21"/>
        </w:rPr>
        <w:br w:type="page" w:clear="all"/>
      </w:r>
      <w:r/>
    </w:p>
    <w:p>
      <w:pPr>
        <w:jc w:val="left"/>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14、中小企业声明函</w:t>
      </w:r>
      <w:r/>
    </w:p>
    <w:p>
      <w:pPr>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jc w:val="center"/>
        <w:spacing w:line="360" w:lineRule="auto"/>
        <w:tabs>
          <w:tab w:val="left" w:pos="8930" w:leader="none"/>
          <w:tab w:val="left" w:pos="9306" w:leader="none"/>
        </w:tabs>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中小企业声明函（工程、服务）</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本公司（联合体）郑重声明，根据《政府采购促进中小企业发展管理办法》（财库﹝2020﹞46 号）的规定，本公司（联合体）参加</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（单位名称）的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 </w:t>
      </w:r>
      <w:r/>
    </w:p>
    <w:p>
      <w:pPr>
        <w:numPr>
          <w:ilvl w:val="0"/>
          <w:numId w:val="1"/>
        </w:numPr>
        <w:ind w:firstLine="420"/>
        <w:jc w:val="left"/>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（标的名称），属于</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u w:val="single"/>
        </w:rPr>
        <w:t xml:space="preserve">建筑业</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（采购文件中明确的所属行业）；承建（承接）企业为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（企业名称），从业人员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（中型企业、小型企业、微型企业）； </w:t>
      </w:r>
      <w:r/>
    </w:p>
    <w:p>
      <w:pPr>
        <w:numPr>
          <w:ilvl w:val="0"/>
          <w:numId w:val="1"/>
        </w:numPr>
        <w:ind w:firstLine="420"/>
        <w:jc w:val="left"/>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（标的名称），属于</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（采购文件中明确的所属行业）；承建（承接）企业为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（企业名称），从业人员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万元，属于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（中型企业、 小型企业、微型企业）；</w:t>
      </w:r>
      <w:r/>
    </w:p>
    <w:p>
      <w:pPr>
        <w:jc w:val="left"/>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 …… </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以上企业，不属于大企业的分支机构，不存在控股股东为大企业的情形，也不存在与大企业的负责人为同一人的情形。</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本企业对上述声明内容的真实性负责。如有虚假，将依法承担相应责任。 </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5670"/>
        <w:jc w:val="left"/>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企业名称（盖章）：</w:t>
      </w:r>
      <w:r/>
    </w:p>
    <w:p>
      <w:pPr>
        <w:ind w:firstLine="5670"/>
        <w:jc w:val="left"/>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日 期：</w:t>
      </w:r>
      <w:r/>
    </w:p>
    <w:p>
      <w:pPr>
        <w:pStyle w:val="689"/>
        <w:ind w:firstLine="420"/>
        <w:rPr>
          <w:rFonts w:hint="eastAsia" w:ascii="宋体" w:hAnsi="宋体" w:eastAsia="宋体" w:cs="宋体"/>
          <w:color w:val="auto"/>
          <w:szCs w:val="21"/>
        </w:rPr>
      </w:pPr>
      <w:r>
        <w:rPr>
          <w:rFonts w:hint="eastAsia" w:ascii="宋体" w:hAnsi="宋体" w:eastAsia="宋体" w:cs="宋体"/>
          <w:color w:val="auto"/>
          <w:szCs w:val="21"/>
        </w:rPr>
        <w:t xml:space="preserve">备注：</w:t>
      </w:r>
      <w:r/>
    </w:p>
    <w:p>
      <w:pPr>
        <w:pStyle w:val="689"/>
        <w:ind w:firstLine="420"/>
        <w:rPr>
          <w:rFonts w:hint="eastAsia" w:ascii="宋体" w:hAnsi="宋体" w:eastAsia="宋体" w:cs="宋体"/>
          <w:color w:val="auto"/>
          <w:szCs w:val="21"/>
        </w:rPr>
      </w:pPr>
      <w:r>
        <w:rPr>
          <w:rFonts w:hint="eastAsia" w:ascii="宋体" w:hAnsi="宋体" w:eastAsia="宋体" w:cs="宋体"/>
          <w:color w:val="auto"/>
          <w:szCs w:val="21"/>
        </w:rPr>
        <w:t xml:space="preserve">1、从业人员、营业收入、资产总额填报上一年度数据，无上一年度数据的新成立企业可不填报。</w:t>
      </w:r>
      <w:r/>
    </w:p>
    <w:p>
      <w:pPr>
        <w:pStyle w:val="689"/>
        <w:ind w:firstLine="420"/>
        <w:rPr>
          <w:rFonts w:hint="eastAsia" w:ascii="宋体" w:hAnsi="宋体" w:eastAsia="宋体" w:cs="宋体"/>
          <w:color w:val="auto"/>
          <w:szCs w:val="21"/>
        </w:rPr>
      </w:pPr>
      <w:r>
        <w:rPr>
          <w:rFonts w:hint="eastAsia" w:ascii="宋体" w:hAnsi="宋体" w:eastAsia="宋体" w:cs="宋体"/>
          <w:color w:val="auto"/>
          <w:szCs w:val="21"/>
        </w:rPr>
        <w:t xml:space="preserve">2、在服务采购项目中，服务由中小企业承接，即提供服务的人员为中小企业依照《中华人民共和国劳动合同法》订立劳动合同的从业人员。</w:t>
      </w:r>
      <w:r/>
    </w:p>
    <w:p>
      <w:pPr>
        <w:pStyle w:val="689"/>
        <w:ind w:firstLine="420"/>
        <w:rPr>
          <w:rFonts w:hint="eastAsia" w:ascii="宋体" w:hAnsi="宋体" w:eastAsia="宋体" w:cs="宋体"/>
          <w:color w:val="auto"/>
          <w:szCs w:val="21"/>
        </w:rPr>
      </w:pPr>
      <w:r>
        <w:rPr>
          <w:rFonts w:hint="eastAsia" w:ascii="宋体" w:hAnsi="宋体" w:eastAsia="宋体" w:cs="宋体"/>
          <w:color w:val="auto"/>
          <w:szCs w:val="21"/>
        </w:rPr>
        <w:t xml:space="preserve">3、《中小企业声明函》中所填的行业应与本采购标的对应的中小企业划分标准所属行业一致，不一致的不可享受相应政策优惠。本采购标的对应的中小企业划分标准所属行业，以采购文件规定为准。</w:t>
      </w:r>
      <w:r/>
    </w:p>
    <w:p>
      <w:pPr>
        <w:pStyle w:val="689"/>
        <w:ind w:firstLine="420"/>
        <w:rPr>
          <w:rFonts w:hint="eastAsia" w:ascii="宋体" w:hAnsi="宋体" w:eastAsia="宋体" w:cs="宋体"/>
          <w:color w:val="auto"/>
          <w:szCs w:val="21"/>
        </w:rPr>
      </w:pPr>
      <w:r>
        <w:rPr>
          <w:rFonts w:hint="eastAsia" w:ascii="宋体" w:hAnsi="宋体" w:eastAsia="宋体" w:cs="宋体"/>
          <w:color w:val="auto"/>
          <w:szCs w:val="21"/>
        </w:rPr>
        <w:t xml:space="preserve">4、如未对（中型企业、小型企业、微型企业）进行勾选，视同非小微企业，不可享受相应扶持政策。</w:t>
      </w:r>
      <w:r/>
    </w:p>
    <w:p>
      <w:pPr>
        <w:ind w:firstLine="420"/>
        <w:rPr>
          <w:rFonts w:hint="eastAsia" w:ascii="宋体" w:hAnsi="宋体" w:eastAsia="宋体" w:cs="宋体"/>
          <w:color w:val="auto"/>
          <w:szCs w:val="21"/>
          <w:lang w:val="zh-CN"/>
        </w:rPr>
      </w:pPr>
      <w:r>
        <w:rPr>
          <w:rFonts w:hint="eastAsia" w:ascii="宋体" w:hAnsi="宋体" w:eastAsia="宋体" w:cs="宋体"/>
          <w:color w:val="auto"/>
          <w:szCs w:val="21"/>
        </w:rPr>
        <w:t xml:space="preserve">5、</w:t>
      </w:r>
      <w:r>
        <w:rPr>
          <w:rFonts w:hint="eastAsia" w:ascii="宋体" w:hAnsi="宋体" w:eastAsia="宋体" w:cs="宋体"/>
          <w:color w:val="auto"/>
          <w:szCs w:val="21"/>
          <w:lang w:val="zh-CN"/>
        </w:rPr>
        <w:t xml:space="preserve">若供应商提供的“中小企业声明函”内容不实的，属于提供虚假材料谋取中标、成交，依照《中华人民共和国政府采购法》等国家有关规定追究相应责任。</w:t>
      </w:r>
      <w:r/>
    </w:p>
    <w:p>
      <w:pPr>
        <w:ind w:firstLine="420"/>
        <w:rPr>
          <w:rFonts w:hint="eastAsia" w:ascii="宋体" w:hAnsi="宋体" w:eastAsia="宋体" w:cs="宋体"/>
          <w:color w:val="auto"/>
          <w:szCs w:val="21"/>
          <w:lang w:val="zh-CN"/>
        </w:rPr>
      </w:pPr>
      <w:r>
        <w:rPr>
          <w:rFonts w:hint="eastAsia" w:ascii="宋体" w:hAnsi="宋体" w:eastAsia="宋体" w:cs="宋体"/>
          <w:color w:val="auto"/>
          <w:szCs w:val="21"/>
        </w:rPr>
        <w:t xml:space="preserve">6、</w:t>
      </w:r>
      <w:r>
        <w:rPr>
          <w:rFonts w:hint="eastAsia" w:ascii="宋体" w:hAnsi="宋体" w:eastAsia="宋体" w:cs="宋体"/>
          <w:color w:val="auto"/>
          <w:szCs w:val="21"/>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52" w:name="_Hlk72923453"/>
      <w:r>
        <w:rPr>
          <w:rFonts w:hint="eastAsia" w:ascii="宋体" w:hAnsi="宋体" w:eastAsia="宋体" w:cs="宋体"/>
          <w:color w:val="auto"/>
          <w:szCs w:val="21"/>
          <w:lang w:val="zh-CN"/>
        </w:rPr>
        <w:t xml:space="preserve">符合中小企业划分标准的个体工商户，在政府采购活动中视同中小企业</w:t>
      </w:r>
      <w:bookmarkEnd w:id="52"/>
      <w:r>
        <w:rPr>
          <w:rFonts w:hint="eastAsia" w:ascii="宋体" w:hAnsi="宋体" w:eastAsia="宋体" w:cs="宋体"/>
          <w:color w:val="auto"/>
          <w:szCs w:val="21"/>
          <w:lang w:val="zh-CN"/>
        </w:rPr>
        <w:t xml:space="preserve">。</w:t>
      </w:r>
      <w:r/>
    </w:p>
    <w:p>
      <w:pPr>
        <w:pStyle w:val="689"/>
        <w:ind w:firstLine="420"/>
        <w:rPr>
          <w:rFonts w:hint="eastAsia" w:ascii="宋体" w:hAnsi="宋体" w:eastAsia="宋体" w:cs="宋体"/>
          <w:color w:val="auto"/>
          <w:szCs w:val="21"/>
          <w:lang w:val="zh-CN"/>
        </w:rPr>
      </w:pPr>
      <w:r/>
      <w:bookmarkStart w:id="53" w:name="_Hlk94450593"/>
      <w:r>
        <w:rPr>
          <w:rFonts w:hint="eastAsia" w:ascii="宋体" w:hAnsi="宋体" w:eastAsia="宋体" w:cs="宋体"/>
          <w:color w:val="auto"/>
          <w:szCs w:val="21"/>
        </w:rPr>
        <w:t xml:space="preserve">7、响应</w:t>
      </w:r>
      <w:r>
        <w:rPr>
          <w:rFonts w:hint="eastAsia" w:ascii="宋体" w:hAnsi="宋体" w:eastAsia="宋体" w:cs="宋体"/>
          <w:color w:val="auto"/>
          <w:szCs w:val="21"/>
          <w:lang w:val="zh-CN"/>
        </w:rPr>
        <w:t xml:space="preserve">文件中的电子签章视为供应商对本声明进行了签署盖章并承担相应责任</w:t>
      </w:r>
      <w:bookmarkEnd w:id="53"/>
      <w:r>
        <w:rPr>
          <w:rFonts w:hint="eastAsia" w:ascii="宋体" w:hAnsi="宋体" w:eastAsia="宋体" w:cs="宋体"/>
          <w:color w:val="auto"/>
          <w:szCs w:val="21"/>
          <w:lang w:val="zh-CN"/>
        </w:rPr>
        <w:t xml:space="preserve">。</w:t>
      </w:r>
      <w:r/>
    </w:p>
    <w:p>
      <w:pPr>
        <w:pStyle w:val="689"/>
        <w:ind w:firstLine="420"/>
        <w:rPr>
          <w:rFonts w:hint="eastAsia" w:ascii="宋体" w:hAnsi="宋体" w:eastAsia="宋体" w:cs="宋体"/>
          <w:color w:val="auto"/>
          <w:szCs w:val="21"/>
        </w:rPr>
      </w:pPr>
      <w:r>
        <w:rPr>
          <w:rFonts w:hint="eastAsia" w:ascii="宋体" w:hAnsi="宋体" w:eastAsia="宋体" w:cs="宋体"/>
          <w:color w:val="auto"/>
          <w:szCs w:val="21"/>
        </w:rPr>
        <w:t xml:space="preserve">8、成交单位为中小企业的，《中小企业声明函》将随成交结果同时公告。</w:t>
      </w:r>
      <w:r/>
    </w:p>
    <w:p>
      <w:pPr>
        <w:pStyle w:val="862"/>
        <w:ind w:left="0"/>
        <w:rPr>
          <w:rFonts w:hint="eastAsia" w:ascii="宋体" w:hAnsi="宋体" w:eastAsia="宋体" w:cs="宋体"/>
          <w:color w:val="auto"/>
          <w:szCs w:val="21"/>
        </w:rPr>
      </w:pPr>
      <w:r>
        <w:rPr>
          <w:rFonts w:hint="eastAsia" w:ascii="宋体" w:hAnsi="宋体" w:eastAsia="宋体" w:cs="宋体"/>
          <w:color w:val="auto"/>
          <w:szCs w:val="21"/>
        </w:rPr>
      </w:r>
      <w:r/>
    </w:p>
    <w:p>
      <w:pPr>
        <w:jc w:val="left"/>
        <w:spacing w:line="240" w:lineRule="atLeas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附：中小企业划型标准规定</w:t>
      </w:r>
      <w:r/>
    </w:p>
    <w:p>
      <w:pPr>
        <w:jc w:val="left"/>
        <w:spacing w:line="24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（一）农、林、牧、渔业。</w:t>
      </w:r>
      <w:r>
        <w:rPr>
          <w:rFonts w:hint="eastAsia" w:ascii="宋体" w:hAnsi="宋体" w:eastAsia="宋体" w:cs="宋体"/>
          <w:color w:val="auto"/>
          <w:sz w:val="24"/>
          <w:szCs w:val="24"/>
        </w:rPr>
        <w:t xml:space="preserve">营业收入20000万元以下的为中小微型企业。其中，营业收入500万元及以上的为中型企业，营业收入50万元及以上的为小型企业，营业收入50万元以下的为微型企业。</w:t>
      </w:r>
      <w:r/>
    </w:p>
    <w:p>
      <w:pPr>
        <w:jc w:val="left"/>
        <w:spacing w:line="24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（二）工业。</w:t>
      </w:r>
      <w:r>
        <w:rPr>
          <w:rFonts w:hint="eastAsia" w:ascii="宋体" w:hAnsi="宋体" w:eastAsia="宋体" w:cs="宋体"/>
          <w:color w:val="auto"/>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jc w:val="left"/>
        <w:spacing w:line="24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（三）建筑业。</w:t>
      </w:r>
      <w:r>
        <w:rPr>
          <w:rFonts w:hint="eastAsia" w:ascii="宋体" w:hAnsi="宋体" w:eastAsia="宋体" w:cs="宋体"/>
          <w:color w:val="auto"/>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jc w:val="left"/>
        <w:spacing w:line="24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（四）批发业。</w:t>
      </w:r>
      <w:r>
        <w:rPr>
          <w:rFonts w:hint="eastAsia" w:ascii="宋体" w:hAnsi="宋体" w:eastAsia="宋体" w:cs="宋体"/>
          <w:color w:val="auto"/>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jc w:val="left"/>
        <w:spacing w:line="24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（五）零售业。</w:t>
      </w:r>
      <w:r>
        <w:rPr>
          <w:rFonts w:hint="eastAsia" w:ascii="宋体" w:hAnsi="宋体" w:eastAsia="宋体" w:cs="宋体"/>
          <w:color w:val="auto"/>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（六）交通运输业。</w:t>
      </w:r>
      <w:r>
        <w:rPr>
          <w:rFonts w:hint="eastAsia" w:ascii="宋体" w:hAnsi="宋体" w:eastAsia="宋体" w:cs="宋体"/>
          <w:color w:val="auto"/>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jc w:val="left"/>
        <w:spacing w:line="24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（七）仓储业。</w:t>
      </w:r>
      <w:r>
        <w:rPr>
          <w:rFonts w:hint="eastAsia" w:ascii="宋体" w:hAnsi="宋体" w:eastAsia="宋体" w:cs="宋体"/>
          <w:color w:val="auto"/>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（八）邮政业。</w:t>
      </w:r>
      <w:r>
        <w:rPr>
          <w:rFonts w:hint="eastAsia" w:ascii="宋体" w:hAnsi="宋体" w:eastAsia="宋体" w:cs="宋体"/>
          <w:color w:val="auto"/>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jc w:val="left"/>
        <w:spacing w:line="24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（九）住宿业。</w:t>
      </w:r>
      <w:r>
        <w:rPr>
          <w:rFonts w:hint="eastAsia" w:ascii="宋体" w:hAnsi="宋体" w:eastAsia="宋体" w:cs="宋体"/>
          <w:color w:val="auto"/>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（十）餐饮业。</w:t>
      </w:r>
      <w:r>
        <w:rPr>
          <w:rFonts w:hint="eastAsia" w:ascii="宋体" w:hAnsi="宋体" w:eastAsia="宋体" w:cs="宋体"/>
          <w:color w:val="auto"/>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（十一）信息传输业。</w:t>
      </w:r>
      <w:r>
        <w:rPr>
          <w:rFonts w:hint="eastAsia" w:ascii="宋体" w:hAnsi="宋体" w:eastAsia="宋体" w:cs="宋体"/>
          <w:color w:val="auto"/>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jc w:val="left"/>
        <w:spacing w:line="24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（十二）软件和信息技术服务业。</w:t>
      </w:r>
      <w:r>
        <w:rPr>
          <w:rFonts w:hint="eastAsia" w:ascii="宋体" w:hAnsi="宋体" w:eastAsia="宋体" w:cs="宋体"/>
          <w:color w:val="auto"/>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jc w:val="left"/>
        <w:spacing w:line="24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（十三）房地产开发经营。</w:t>
      </w:r>
      <w:r>
        <w:rPr>
          <w:rFonts w:hint="eastAsia" w:ascii="宋体" w:hAnsi="宋体" w:eastAsia="宋体" w:cs="宋体"/>
          <w:color w:val="auto"/>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jc w:val="left"/>
        <w:spacing w:line="24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（十四）物业管理。</w:t>
      </w:r>
      <w:r>
        <w:rPr>
          <w:rFonts w:hint="eastAsia" w:ascii="宋体" w:hAnsi="宋体" w:eastAsia="宋体" w:cs="宋体"/>
          <w:color w:val="auto"/>
          <w:sz w:val="24"/>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jc w:val="left"/>
        <w:spacing w:line="24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（十五）租赁和商务服务业。</w:t>
      </w:r>
      <w:r>
        <w:rPr>
          <w:rFonts w:hint="eastAsia" w:ascii="宋体" w:hAnsi="宋体" w:eastAsia="宋体" w:cs="宋体"/>
          <w:color w:val="auto"/>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jc w:val="left"/>
        <w:spacing w:line="240" w:lineRule="atLeast"/>
        <w:rPr>
          <w:rFonts w:hint="eastAsia" w:ascii="宋体" w:hAnsi="宋体" w:eastAsia="宋体" w:cs="宋体"/>
          <w:color w:val="auto"/>
          <w:sz w:val="24"/>
          <w:szCs w:val="24"/>
        </w:rPr>
      </w:pPr>
      <w:r>
        <w:rPr>
          <w:rFonts w:hint="eastAsia" w:ascii="宋体" w:hAnsi="宋体" w:eastAsia="宋体" w:cs="宋体"/>
          <w:b/>
          <w:color w:val="auto"/>
          <w:sz w:val="24"/>
          <w:szCs w:val="24"/>
        </w:rPr>
        <w:t xml:space="preserve">（十六）其他未列明行业。</w:t>
      </w:r>
      <w:r>
        <w:rPr>
          <w:rFonts w:hint="eastAsia" w:ascii="宋体" w:hAnsi="宋体" w:eastAsia="宋体" w:cs="宋体"/>
          <w:color w:val="auto"/>
          <w:sz w:val="24"/>
          <w:szCs w:val="24"/>
        </w:rPr>
        <w:t xml:space="preserve">从业人员300人以下的为中小微型企业。其中，从业人员100人及以上的为中型企业；从业人员10人及以上的为小型企业；从业人员10人以下的为微型企业。</w:t>
      </w:r>
      <w:r/>
    </w:p>
    <w:p>
      <w:pPr>
        <w:rPr>
          <w:rFonts w:hint="eastAsia" w:ascii="宋体" w:hAnsi="宋体" w:eastAsia="宋体" w:cs="宋体"/>
          <w:b/>
          <w:bCs/>
          <w:color w:val="auto"/>
          <w:szCs w:val="21"/>
        </w:rPr>
      </w:pPr>
      <w:r>
        <w:rPr>
          <w:rFonts w:hint="eastAsia" w:ascii="宋体" w:hAnsi="宋体" w:eastAsia="宋体" w:cs="宋体"/>
          <w:b/>
          <w:bCs/>
          <w:color w:val="auto"/>
          <w:szCs w:val="21"/>
        </w:rPr>
        <w:br w:type="page" w:clear="all"/>
      </w:r>
      <w:r/>
    </w:p>
    <w:p>
      <w:pPr>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15、残疾人福利性单位声明函</w:t>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残疾人福利性单位声明函</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本单位郑重声明，根据《财政部 民政部 中国残疾人联合会关于促进残疾人就业政府采购政策的通知》（财库〔2017〕141号）的规定，本单位为符合条件的残疾人福利性单位，且本单位参加【       】单位的</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本单位对上述声明的真实性负责。如有虚假，将依法承担相应责任。</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单位名称（盖章）：</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b/>
          <w:bCs/>
          <w:color w:val="auto"/>
          <w:sz w:val="24"/>
          <w:szCs w:val="24"/>
        </w:rPr>
      </w:pPr>
      <w:r>
        <w:rPr>
          <w:rFonts w:hint="eastAsia" w:ascii="宋体" w:hAnsi="宋体" w:eastAsia="宋体" w:cs="宋体"/>
          <w:color w:val="auto"/>
          <w:szCs w:val="21"/>
        </w:rPr>
        <w:br w:type="page" w:clear="all"/>
      </w:r>
      <w:r>
        <w:rPr>
          <w:rFonts w:hint="eastAsia" w:ascii="宋体" w:hAnsi="宋体" w:eastAsia="宋体" w:cs="宋体"/>
          <w:b/>
          <w:bCs/>
          <w:color w:val="auto"/>
          <w:sz w:val="24"/>
          <w:szCs w:val="24"/>
        </w:rPr>
        <w:t xml:space="preserve">16、投标（响应）保证承诺书</w:t>
      </w:r>
      <w:r/>
    </w:p>
    <w:p>
      <w:pPr>
        <w:jc w:val="center"/>
        <w:spacing w:line="360" w:lineRule="auto"/>
        <w:tabs>
          <w:tab w:val="left" w:pos="8930" w:leader="none"/>
          <w:tab w:val="left" w:pos="9306"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投标（响应）保证承诺书</w:t>
      </w:r>
      <w:r/>
    </w:p>
    <w:p>
      <w:pPr>
        <w:jc w:val="left"/>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致：涵熙（苏州）工程顾问有限公司</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我（单位/本人，以下统称我单位）自愿参加</w:t>
      </w:r>
      <w:r>
        <w:rPr>
          <w:rFonts w:hint="eastAsia" w:ascii="宋体" w:hAnsi="宋体" w:eastAsia="宋体" w:cs="宋体"/>
          <w:color w:val="auto"/>
          <w:sz w:val="24"/>
          <w:szCs w:val="24"/>
          <w:u w:val="single"/>
        </w:rPr>
        <w:t xml:space="preserve">（项目名称和采购编号）</w:t>
      </w:r>
      <w:r>
        <w:rPr>
          <w:rFonts w:hint="eastAsia" w:ascii="宋体" w:hAnsi="宋体" w:eastAsia="宋体" w:cs="宋体"/>
          <w:color w:val="auto"/>
          <w:sz w:val="24"/>
          <w:szCs w:val="24"/>
        </w:rPr>
        <w:t xml:space="preserve">的投标（响应），并做出如下承诺：</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一、除不可抗力外，我单位如果发生以下行为，将在行为发生的10个工作日内，向贵方</w:t>
      </w:r>
      <w:r>
        <w:rPr>
          <w:rFonts w:hint="eastAsia" w:ascii="宋体" w:hAnsi="宋体" w:eastAsia="宋体" w:cs="宋体"/>
          <w:color w:val="auto"/>
          <w:sz w:val="24"/>
          <w:szCs w:val="24"/>
          <w:u w:val="single"/>
        </w:rPr>
        <w:t xml:space="preserve">（或采购人）</w:t>
      </w:r>
      <w:r>
        <w:rPr>
          <w:rFonts w:hint="eastAsia" w:ascii="宋体" w:hAnsi="宋体" w:eastAsia="宋体" w:cs="宋体"/>
          <w:color w:val="auto"/>
          <w:sz w:val="24"/>
          <w:szCs w:val="24"/>
        </w:rPr>
        <w:t xml:space="preserve">支付本采购文件公布的预算金额（或最高限价）的2%作为违约赔偿金（数量不确定的单价采购须约定具体金额）。</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1、自投标（响应）截止时间至本项目发布中标（成交）公告为止，撤销投标（响应）；</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2、中标（成交）后不依法与采购人签订合同；</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3、中标（成交）后不按本采购文件规定向贵方缴纳采购代理费。</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二、我单位知晓上述行为的法律后果，承认本承诺书作为贵方</w:t>
      </w:r>
      <w:r>
        <w:rPr>
          <w:rFonts w:hint="eastAsia" w:ascii="宋体" w:hAnsi="宋体" w:eastAsia="宋体" w:cs="宋体"/>
          <w:color w:val="auto"/>
          <w:sz w:val="24"/>
          <w:szCs w:val="24"/>
          <w:u w:val="single"/>
        </w:rPr>
        <w:t xml:space="preserve">（或采购人）</w:t>
      </w:r>
      <w:r>
        <w:rPr>
          <w:rFonts w:hint="eastAsia" w:ascii="宋体" w:hAnsi="宋体" w:eastAsia="宋体" w:cs="宋体"/>
          <w:color w:val="auto"/>
          <w:sz w:val="24"/>
          <w:szCs w:val="24"/>
        </w:rPr>
        <w:t xml:space="preserve">要求我单位履行违约赔偿义务的依据作用。</w:t>
      </w:r>
      <w:r/>
    </w:p>
    <w:p>
      <w:pPr>
        <w:ind w:firstLine="420"/>
        <w:jc w:val="left"/>
        <w:spacing w:line="360" w:lineRule="auto"/>
        <w:tabs>
          <w:tab w:val="left" w:pos="8930" w:leader="none"/>
          <w:tab w:val="left" w:pos="9306" w:leader="none"/>
        </w:tabs>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供应商名称：（加盖CA电子公章）</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电话：</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传真：</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电子邮件：</w:t>
      </w:r>
      <w:r/>
    </w:p>
    <w:p>
      <w:pPr>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邮编：</w:t>
      </w:r>
      <w:r/>
    </w:p>
    <w:p>
      <w:pPr>
        <w:jc w:val="left"/>
        <w:spacing w:line="360" w:lineRule="auto"/>
        <w:rPr>
          <w:rFonts w:hint="eastAsia" w:ascii="宋体" w:hAnsi="宋体" w:eastAsia="宋体" w:cs="宋体"/>
          <w:color w:val="auto"/>
          <w:szCs w:val="21"/>
        </w:rPr>
      </w:pPr>
      <w:r>
        <w:rPr>
          <w:rFonts w:hint="eastAsia" w:ascii="宋体" w:hAnsi="宋体" w:eastAsia="宋体" w:cs="宋体"/>
          <w:color w:val="auto"/>
          <w:sz w:val="24"/>
          <w:szCs w:val="24"/>
        </w:rPr>
        <w:t xml:space="preserve">日期：</w:t>
      </w:r>
      <w:r/>
    </w:p>
    <w:p>
      <w:pPr>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spacing w:line="360" w:lineRule="auto"/>
        <w:rPr>
          <w:rFonts w:hint="eastAsia" w:ascii="宋体" w:hAnsi="宋体" w:eastAsia="宋体" w:cs="宋体"/>
          <w:color w:val="auto"/>
          <w:szCs w:val="21"/>
        </w:rPr>
      </w:pPr>
      <w:r>
        <w:rPr>
          <w:rFonts w:hint="eastAsia" w:ascii="宋体" w:hAnsi="宋体" w:eastAsia="宋体" w:cs="宋体"/>
          <w:color w:val="auto"/>
          <w:szCs w:val="21"/>
        </w:rPr>
      </w:r>
      <w:r/>
    </w:p>
    <w:p>
      <w:pPr>
        <w:jc w:val="right"/>
        <w:rPr>
          <w:rFonts w:hint="eastAsia" w:ascii="宋体" w:hAnsi="宋体" w:eastAsia="宋体" w:cs="宋体"/>
          <w:color w:val="auto"/>
          <w:sz w:val="24"/>
          <w:szCs w:val="24"/>
        </w:rPr>
      </w:pPr>
      <w:r>
        <w:rPr>
          <w:rStyle w:val="807"/>
          <w:rFonts w:hint="eastAsia" w:ascii="宋体" w:hAnsi="宋体" w:eastAsia="宋体" w:cs="宋体"/>
          <w:color w:val="auto"/>
          <w:sz w:val="48"/>
          <w:szCs w:val="48"/>
        </w:rPr>
        <w:br w:type="page" w:clear="all"/>
      </w:r>
      <w:r/>
    </w:p>
    <w:p>
      <w:pPr>
        <w:jc w:val="center"/>
        <w:rPr>
          <w:rStyle w:val="807"/>
          <w:rFonts w:hint="eastAsia" w:ascii="宋体" w:hAnsi="宋体" w:eastAsia="宋体" w:cs="宋体"/>
          <w:color w:val="auto"/>
          <w:sz w:val="48"/>
          <w:szCs w:val="48"/>
        </w:rPr>
      </w:pPr>
      <w:r>
        <w:rPr>
          <w:rFonts w:hint="eastAsia" w:ascii="宋体" w:hAnsi="宋体" w:eastAsia="宋体" w:cs="宋体"/>
          <w:color w:val="auto"/>
          <w:sz w:val="48"/>
          <w:szCs w:val="48"/>
        </w:rPr>
      </w:r>
      <w:r/>
    </w:p>
    <w:p>
      <w:pPr>
        <w:jc w:val="center"/>
        <w:rPr>
          <w:rStyle w:val="807"/>
          <w:rFonts w:hint="eastAsia" w:ascii="宋体" w:hAnsi="宋体" w:eastAsia="宋体" w:cs="宋体"/>
          <w:color w:val="auto"/>
          <w:sz w:val="48"/>
          <w:szCs w:val="48"/>
        </w:rPr>
      </w:pPr>
      <w:r>
        <w:rPr>
          <w:rFonts w:hint="eastAsia" w:ascii="宋体" w:hAnsi="宋体" w:eastAsia="宋体" w:cs="宋体"/>
          <w:color w:val="auto"/>
          <w:sz w:val="48"/>
          <w:szCs w:val="48"/>
        </w:rPr>
      </w:r>
      <w:r/>
    </w:p>
    <w:p>
      <w:pPr>
        <w:jc w:val="center"/>
        <w:rPr>
          <w:rStyle w:val="807"/>
          <w:rFonts w:hint="eastAsia" w:ascii="宋体" w:hAnsi="宋体" w:eastAsia="宋体" w:cs="宋体"/>
          <w:color w:val="auto"/>
          <w:sz w:val="48"/>
          <w:szCs w:val="48"/>
        </w:rPr>
      </w:pPr>
      <w:r>
        <w:rPr>
          <w:rFonts w:hint="eastAsia" w:ascii="宋体" w:hAnsi="宋体" w:eastAsia="宋体" w:cs="宋体"/>
          <w:color w:val="auto"/>
          <w:sz w:val="48"/>
          <w:szCs w:val="48"/>
        </w:rPr>
      </w:r>
      <w:r/>
    </w:p>
    <w:p>
      <w:pPr>
        <w:jc w:val="center"/>
        <w:rPr>
          <w:rStyle w:val="807"/>
          <w:rFonts w:hint="eastAsia" w:ascii="宋体" w:hAnsi="宋体" w:eastAsia="宋体" w:cs="宋体"/>
          <w:color w:val="auto"/>
          <w:sz w:val="48"/>
          <w:szCs w:val="48"/>
        </w:rPr>
      </w:pPr>
      <w:r>
        <w:rPr>
          <w:rFonts w:hint="eastAsia" w:ascii="宋体" w:hAnsi="宋体" w:eastAsia="宋体" w:cs="宋体"/>
          <w:color w:val="auto"/>
          <w:sz w:val="48"/>
          <w:szCs w:val="48"/>
        </w:rPr>
      </w:r>
      <w:r/>
    </w:p>
    <w:p>
      <w:pPr>
        <w:jc w:val="center"/>
        <w:rPr>
          <w:rStyle w:val="807"/>
          <w:rFonts w:hint="eastAsia" w:ascii="宋体" w:hAnsi="宋体" w:eastAsia="宋体" w:cs="宋体"/>
          <w:color w:val="auto"/>
          <w:sz w:val="48"/>
          <w:szCs w:val="48"/>
        </w:rPr>
      </w:pPr>
      <w:r>
        <w:rPr>
          <w:rFonts w:hint="eastAsia" w:ascii="宋体" w:hAnsi="宋体" w:eastAsia="宋体" w:cs="宋体"/>
          <w:color w:val="auto"/>
          <w:sz w:val="48"/>
          <w:szCs w:val="48"/>
        </w:rPr>
      </w:r>
      <w:r/>
    </w:p>
    <w:p>
      <w:pPr>
        <w:jc w:val="center"/>
        <w:rPr>
          <w:rStyle w:val="807"/>
          <w:rFonts w:hint="eastAsia" w:ascii="宋体" w:hAnsi="宋体" w:eastAsia="宋体" w:cs="宋体"/>
          <w:color w:val="auto"/>
          <w:sz w:val="48"/>
          <w:szCs w:val="48"/>
        </w:rPr>
      </w:pPr>
      <w:r>
        <w:rPr>
          <w:rFonts w:hint="eastAsia" w:ascii="宋体" w:hAnsi="宋体" w:eastAsia="宋体" w:cs="宋体"/>
          <w:color w:val="auto"/>
          <w:sz w:val="48"/>
          <w:szCs w:val="48"/>
        </w:rPr>
      </w:r>
      <w:r/>
    </w:p>
    <w:p>
      <w:pPr>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r>
      <w:r/>
    </w:p>
    <w:p>
      <w:pPr>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r>
      <w:r/>
    </w:p>
    <w:p>
      <w:pPr>
        <w:jc w:val="center"/>
        <w:rPr>
          <w:rFonts w:hint="eastAsia" w:ascii="宋体" w:hAnsi="宋体" w:eastAsia="宋体" w:cs="宋体"/>
          <w:b/>
          <w:bCs/>
          <w:color w:val="auto"/>
          <w:sz w:val="52"/>
          <w:szCs w:val="52"/>
        </w:rPr>
      </w:pPr>
      <w:r>
        <w:rPr>
          <w:rFonts w:hint="eastAsia" w:ascii="宋体" w:hAnsi="宋体" w:eastAsia="宋体" w:cs="宋体"/>
          <w:b/>
          <w:bCs/>
          <w:color w:val="auto"/>
          <w:sz w:val="52"/>
          <w:szCs w:val="52"/>
        </w:rPr>
      </w:r>
      <w:r/>
    </w:p>
    <w:p>
      <w:pPr>
        <w:jc w:val="center"/>
        <w:rPr>
          <w:rFonts w:hint="eastAsia" w:ascii="宋体" w:hAnsi="宋体" w:eastAsia="宋体" w:cs="宋体"/>
          <w:b/>
          <w:bCs/>
          <w:color w:val="auto"/>
          <w:sz w:val="52"/>
          <w:szCs w:val="52"/>
        </w:rPr>
        <w:outlineLvl w:val="0"/>
      </w:pPr>
      <w:r/>
      <w:bookmarkStart w:id="54" w:name="_Toc22994"/>
      <w:r>
        <w:rPr>
          <w:rFonts w:hint="eastAsia" w:ascii="宋体" w:hAnsi="宋体" w:eastAsia="宋体" w:cs="宋体"/>
          <w:b/>
          <w:bCs/>
          <w:color w:val="auto"/>
          <w:sz w:val="52"/>
          <w:szCs w:val="52"/>
        </w:rPr>
        <w:t xml:space="preserve">第四章 采购内容</w:t>
      </w:r>
      <w:bookmarkEnd w:id="54"/>
      <w:r/>
      <w:r/>
    </w:p>
    <w:p>
      <w:pPr>
        <w:jc w:val="center"/>
        <w:spacing w:line="360" w:lineRule="auto"/>
        <w:rPr>
          <w:rStyle w:val="807"/>
          <w:rFonts w:hint="eastAsia" w:ascii="宋体" w:hAnsi="宋体" w:eastAsia="宋体" w:cs="宋体"/>
          <w:b/>
          <w:bCs/>
          <w:color w:val="auto"/>
          <w:sz w:val="32"/>
          <w:szCs w:val="32"/>
        </w:rPr>
      </w:pPr>
      <w:r>
        <w:rPr>
          <w:rStyle w:val="807"/>
          <w:rFonts w:hint="eastAsia" w:ascii="宋体" w:hAnsi="宋体" w:eastAsia="宋体" w:cs="宋体"/>
          <w:color w:val="auto"/>
          <w:sz w:val="48"/>
          <w:szCs w:val="48"/>
        </w:rPr>
        <w:br w:type="page" w:clear="all"/>
      </w:r>
      <w:r>
        <w:rPr>
          <w:rStyle w:val="807"/>
          <w:rFonts w:hint="eastAsia" w:ascii="宋体" w:hAnsi="宋体" w:eastAsia="宋体" w:cs="宋体"/>
          <w:b/>
          <w:bCs/>
          <w:color w:val="auto"/>
          <w:sz w:val="32"/>
          <w:szCs w:val="32"/>
        </w:rPr>
        <w:t xml:space="preserve">采购内容</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涵熙（苏州）工程顾问有限公司受苏州高新区狮山商务创新区管理办公室的委托，就其所需的枫桥街道白马涧小学龙池校区操场改造采用竞争性磋商方式进行采购，欢迎有资格的供应商前来参加本次磋商采购活动。</w:t>
      </w:r>
      <w:r/>
    </w:p>
    <w:p>
      <w:pPr>
        <w:ind w:firstLine="482"/>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一、采购需求：</w:t>
      </w:r>
      <w:r/>
    </w:p>
    <w:p>
      <w:pPr>
        <w:ind w:firstLine="482"/>
        <w:spacing w:line="360" w:lineRule="auto"/>
        <w:widowControl/>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（一）采购内容：</w:t>
      </w:r>
      <w:r/>
    </w:p>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1、本工程为苏州高新区狮山商务创新区管理办公室的枫桥街道白马涧小学龙池校区操场改造。主要涉及学校操场草坪改造，排水沟维修清理，塑胶跑道局部修复、新增塑胶场地等。</w:t>
      </w:r>
      <w:r/>
    </w:p>
    <w:p>
      <w:pPr>
        <w:ind w:firstLine="480"/>
        <w:spacing w:line="360" w:lineRule="auto"/>
        <w:widowControl/>
        <w:rPr>
          <w:rFonts w:hint="eastAsia" w:ascii="宋体" w:hAnsi="宋体" w:eastAsia="宋体" w:cs="宋体"/>
          <w:color w:val="auto"/>
          <w:sz w:val="24"/>
        </w:rPr>
      </w:pPr>
      <w:r>
        <w:rPr>
          <w:rFonts w:hint="eastAsia" w:ascii="宋体" w:hAnsi="宋体" w:eastAsia="宋体" w:cs="宋体"/>
          <w:color w:val="auto"/>
          <w:sz w:val="24"/>
        </w:rPr>
        <w:t xml:space="preserve">2、项目地点：苏州市高新区枫桥街道白马涧小学龙池校区内。</w:t>
      </w:r>
      <w:r/>
    </w:p>
    <w:p>
      <w:pPr>
        <w:ind w:firstLine="482"/>
        <w:spacing w:line="360" w:lineRule="auto"/>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（二）项目要求：</w:t>
      </w:r>
      <w:r/>
    </w:p>
    <w:p>
      <w:pPr>
        <w:ind w:firstLine="48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为保障项目现场施工安全、进度及全过程管理正常运行，本项目应组织成立施工项目组，项目组人员配置符合国家及行业相关规定。供应商须配备项目负责人1名，项目整体拟投入现场作业及管理人员总人数不少于5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【注：响应文件中须提供上述人员名单</w:t>
      </w:r>
      <w:r>
        <w:rPr>
          <w:rFonts w:hint="eastAsia" w:ascii="宋体" w:hAnsi="宋体" w:eastAsia="宋体" w:cs="宋体"/>
          <w:b/>
          <w:bCs/>
          <w:color w:val="auto"/>
          <w:sz w:val="24"/>
          <w:szCs w:val="24"/>
          <w:highlight w:val="none"/>
          <w:lang w:val="en-US" w:eastAsia="zh-CN"/>
        </w:rPr>
        <w:t xml:space="preserve">及供应商</w:t>
      </w:r>
      <w:r>
        <w:rPr>
          <w:rFonts w:hint="eastAsia" w:ascii="宋体" w:hAnsi="宋体" w:eastAsia="宋体" w:cs="宋体"/>
          <w:b/>
          <w:bCs/>
          <w:color w:val="auto"/>
          <w:sz w:val="24"/>
          <w:szCs w:val="24"/>
          <w:highlight w:val="none"/>
        </w:rPr>
        <w:t xml:space="preserve">为其缴纳的最新一期社保证明</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否则</w:t>
      </w:r>
      <w:r>
        <w:rPr>
          <w:rFonts w:hint="eastAsia" w:ascii="宋体" w:hAnsi="宋体" w:eastAsia="宋体" w:cs="宋体"/>
          <w:b/>
          <w:bCs/>
          <w:color w:val="auto"/>
          <w:sz w:val="24"/>
          <w:szCs w:val="24"/>
          <w:highlight w:val="none"/>
        </w:rPr>
        <w:t xml:space="preserve">视为未实质性响应采购需求。】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2、承包方式：包工包料。</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3、施工要求：</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（1）施工质量应符合现行国家技术、施工及验收规范和规程，如有对施工工艺的特殊要求，按图纸及国家有关规定执行。</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（2）质量要求：合格。</w:t>
      </w:r>
      <w:r/>
    </w:p>
    <w:p>
      <w:pPr>
        <w:ind w:firstLine="480"/>
        <w:spacing w:line="360" w:lineRule="auto"/>
        <w:tabs>
          <w:tab w:val="left" w:pos="1134"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（3）施工人员需服从采购方安全管理。</w:t>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（三）项目条件：</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1、本工程项目按照现行法律、法规和部门规章，通过磋商方式选定承包人。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2、现场条件：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2.1施工现场平整情况：</w:t>
      </w:r>
      <w:r>
        <w:rPr>
          <w:rFonts w:hint="eastAsia" w:ascii="宋体" w:hAnsi="宋体" w:eastAsia="宋体" w:cs="宋体"/>
          <w:color w:val="auto"/>
          <w:sz w:val="24"/>
          <w:szCs w:val="24"/>
          <w:highlight w:val="none"/>
          <w:u w:val="single"/>
        </w:rPr>
        <w:t xml:space="preserve">现有原状。</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2.2场内外道路：</w:t>
      </w:r>
      <w:r>
        <w:rPr>
          <w:rFonts w:hint="eastAsia" w:ascii="宋体" w:hAnsi="宋体" w:eastAsia="宋体" w:cs="宋体"/>
          <w:color w:val="auto"/>
          <w:sz w:val="24"/>
          <w:szCs w:val="24"/>
          <w:highlight w:val="none"/>
          <w:u w:val="single"/>
        </w:rPr>
        <w:t xml:space="preserve">已到位。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2.3施工用电：</w:t>
      </w:r>
      <w:r>
        <w:rPr>
          <w:rFonts w:hint="eastAsia" w:ascii="宋体" w:hAnsi="宋体" w:eastAsia="宋体" w:cs="宋体"/>
          <w:color w:val="auto"/>
          <w:sz w:val="24"/>
          <w:szCs w:val="24"/>
          <w:highlight w:val="none"/>
          <w:u w:val="single"/>
        </w:rPr>
        <w:t xml:space="preserve">已到位。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3、发包范围：</w:t>
      </w:r>
      <w:r>
        <w:rPr>
          <w:rFonts w:hint="eastAsia" w:ascii="宋体" w:hAnsi="宋体" w:eastAsia="宋体" w:cs="宋体"/>
          <w:color w:val="auto"/>
          <w:sz w:val="24"/>
          <w:szCs w:val="24"/>
          <w:highlight w:val="none"/>
          <w:u w:val="single"/>
        </w:rPr>
        <w:t xml:space="preserve">枫桥街道白马涧小学龙池校区操场改造</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4、工期要求：</w:t>
      </w:r>
      <w:r>
        <w:rPr>
          <w:rFonts w:hint="eastAsia" w:ascii="宋体" w:hAnsi="宋体" w:eastAsia="宋体" w:cs="宋体"/>
          <w:color w:val="auto"/>
          <w:sz w:val="24"/>
          <w:szCs w:val="24"/>
          <w:highlight w:val="none"/>
          <w:lang w:eastAsia="zh-CN"/>
        </w:rPr>
        <w:t xml:space="preserve">施工工期为50日历天</w:t>
      </w:r>
      <w:r>
        <w:rPr>
          <w:rFonts w:hint="eastAsia" w:ascii="宋体" w:hAnsi="宋体" w:eastAsia="宋体" w:cs="宋体"/>
          <w:color w:val="auto"/>
          <w:sz w:val="24"/>
          <w:szCs w:val="24"/>
          <w:highlight w:val="none"/>
        </w:rPr>
        <w:t xml:space="preserve">；合同履行期限为从签订合同之日起至质量保修期满止，具体进度安排根据采购人施工进度计划及要求执行。</w:t>
      </w:r>
      <w:r/>
    </w:p>
    <w:p>
      <w:pPr>
        <w:ind w:firstLine="482"/>
        <w:spacing w:line="360" w:lineRule="auto"/>
        <w:tabs>
          <w:tab w:val="left" w:pos="1134"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（四）报价要求：</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1、计价方式：本工程项目采用下列第</w:t>
      </w:r>
      <w:r>
        <w:rPr>
          <w:rFonts w:hint="eastAsia" w:ascii="宋体" w:hAnsi="宋体" w:eastAsia="宋体" w:cs="宋体"/>
          <w:color w:val="auto"/>
          <w:sz w:val="24"/>
          <w:szCs w:val="24"/>
          <w:u w:val="single"/>
        </w:rPr>
        <w:t xml:space="preserve">（1）</w:t>
      </w:r>
      <w:r>
        <w:rPr>
          <w:rFonts w:hint="eastAsia" w:ascii="宋体" w:hAnsi="宋体" w:eastAsia="宋体" w:cs="宋体"/>
          <w:color w:val="auto"/>
          <w:sz w:val="24"/>
          <w:szCs w:val="24"/>
        </w:rPr>
        <w:t xml:space="preserve">种计价方式。</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（1）工程量清单计价方式</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（2）计价表计价方式</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2、报价方式：本工程项目采用下列第</w:t>
      </w:r>
      <w:r>
        <w:rPr>
          <w:rFonts w:hint="eastAsia" w:ascii="宋体" w:hAnsi="宋体" w:eastAsia="宋体" w:cs="宋体"/>
          <w:color w:val="auto"/>
          <w:sz w:val="24"/>
          <w:szCs w:val="24"/>
          <w:u w:val="single"/>
        </w:rPr>
        <w:t xml:space="preserve">（2）</w:t>
      </w:r>
      <w:r>
        <w:rPr>
          <w:rFonts w:hint="eastAsia" w:ascii="宋体" w:hAnsi="宋体" w:eastAsia="宋体" w:cs="宋体"/>
          <w:color w:val="auto"/>
          <w:sz w:val="24"/>
          <w:szCs w:val="24"/>
        </w:rPr>
        <w:t xml:space="preserve">种报价方式。</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（1）固定总价报价。竞争报价人应充分考虑施工期间各类建材市场价格变化，政策性调整的风险，一旦经评审确定成交单位，报价不作调整。</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固定单价报价。供应商应充分考虑施工期间各类建材的市场风险和国家政策性调整风险系数，具体按照国家和苏州市相关文件执行。本工程的具体结算方式在合同条款中约定。执行固定单价报价的基本规定：</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①供应商报价时，必须按统一的工程量清单报</w:t>
      </w:r>
      <w:r>
        <w:rPr>
          <w:rFonts w:hint="eastAsia" w:ascii="宋体" w:hAnsi="宋体" w:eastAsia="宋体" w:cs="宋体"/>
          <w:color w:val="auto"/>
          <w:sz w:val="24"/>
          <w:szCs w:val="24"/>
        </w:rPr>
        <w:t xml:space="preserve">价。成交后，本工程中工程量清单项目的综合单价按预算单价下浮之后的综合单价执行【成交下浮率＝（预算价-成交价）/[预算价-暂列金额*（1+规费费率）*（1+税费费率）-专业暂估价*（1+规费费率）*（1+税费费率）-材料暂估价包括采购方供材料费*（1+安全文明施工措施费率）*（1+规费费率）*（1+税费费率）]】。由于工程量清单的工程数量有误或者设计变更、现场签证等引起的工程量增减，其增加部分的工程量或者减少后剩余部分的工程量的综合单价由成交单位提出，经采购方确认后，作为支付进度款的依据。最终价格以评审为准。</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②在采购文件中已明确的各项施工措施费，均包含在合同总价中。其他在采购文件和答疑中未提及、未明确部分的施工措施费项目，根据合同的规定执行。</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3、计价时，不可竞争费用均按规定计算，不得让利或随意调整计算标准，否则报价无效。</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4、计价格式中列明的所有需要填报的单价和合价，供应商均需填报，未填报的单价和合价，视为此项费用已包含在工程量清单的其他单价和合价中。</w:t>
      </w:r>
      <w:r/>
    </w:p>
    <w:p>
      <w:pPr>
        <w:ind w:firstLine="482"/>
        <w:spacing w:line="360" w:lineRule="auto"/>
        <w:tabs>
          <w:tab w:val="left" w:pos="1134"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（五）履约验收要求：</w:t>
      </w:r>
      <w:r/>
    </w:p>
    <w:p>
      <w:pPr>
        <w:ind w:firstLine="480"/>
        <w:spacing w:line="360" w:lineRule="auto"/>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1、项目完成后将由采购人、相关管理部门等进行验收。</w:t>
      </w:r>
      <w:r/>
    </w:p>
    <w:p>
      <w:pPr>
        <w:ind w:firstLine="480"/>
        <w:spacing w:line="360" w:lineRule="auto"/>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2、验收标准：符合国家现行规范、行业标准以及省、市、苏州高新区相关审核要求、采购文件及相关附件、技术条件及成交单位承诺的其它指标。</w:t>
      </w:r>
      <w:r/>
    </w:p>
    <w:p>
      <w:pPr>
        <w:ind w:firstLine="480"/>
        <w:spacing w:line="360" w:lineRule="auto"/>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3、验收时间：根据采购人进度安排确定。</w:t>
      </w:r>
      <w:r/>
    </w:p>
    <w:p>
      <w:pPr>
        <w:ind w:firstLine="480"/>
        <w:spacing w:line="360" w:lineRule="auto"/>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如成交单位未能按时完成项目内容或验收不合格、相关要求不合格、达不到采购文件要求或响应文件中所承诺的标准，成交单位将无偿采取补救措施，以达到质量要求且不得影响最终项目时间进程。否则采购人有权拒绝付款，并上报有关部门进行失信登记，成交单位须承担相关损失及违约责任。</w:t>
      </w:r>
      <w:r/>
    </w:p>
    <w:p>
      <w:pPr>
        <w:ind w:firstLine="480"/>
        <w:spacing w:line="360" w:lineRule="auto"/>
        <w:tabs>
          <w:tab w:val="left" w:pos="0"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5、本项目将根据政府采购法及相关法规，以及《江苏省政府采购履约验收管理办法》的规定，对供应商进行履约验收。</w:t>
      </w:r>
      <w:r/>
    </w:p>
    <w:p>
      <w:pPr>
        <w:ind w:firstLine="482"/>
        <w:spacing w:line="360" w:lineRule="auto"/>
        <w:tabs>
          <w:tab w:val="left" w:pos="1134"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二、综合说明：</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1、供应商提供的服务至少能够达到以上要求，并对所提供的全部资料的真实性承担法律责任。</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2、供应商必须说明其是否响应采购文件中提出的全部服务内容与要求，如果以其中某些条款不响应，应在文件中逐条列出，未列出的视同响应。</w:t>
      </w:r>
      <w:r/>
    </w:p>
    <w:p>
      <w:pPr>
        <w:ind w:firstLine="480"/>
        <w:spacing w:line="360" w:lineRule="auto"/>
        <w:tabs>
          <w:tab w:val="left" w:pos="1134" w:leader="none"/>
        </w:tabs>
        <w:rPr>
          <w:rFonts w:hint="eastAsia" w:ascii="宋体" w:hAnsi="宋体" w:eastAsia="宋体" w:cs="宋体"/>
          <w:color w:val="auto"/>
          <w:spacing w:val="1"/>
          <w:sz w:val="24"/>
          <w:szCs w:val="24"/>
        </w:rPr>
      </w:pPr>
      <w:r>
        <w:rPr>
          <w:rFonts w:hint="eastAsia" w:ascii="宋体" w:hAnsi="宋体" w:eastAsia="宋体" w:cs="宋体"/>
          <w:color w:val="auto"/>
          <w:sz w:val="24"/>
          <w:szCs w:val="24"/>
        </w:rPr>
        <w:t xml:space="preserve">3、报价包括完成该项目所需的全部人工费、材料费、机械使用费、管理费、利润、工程风险、规费、税金，以及所需的深化设计、施工准备、施工过程、保修期等所需的供货、运输、运杂保险、装卸、备品、备件、损耗、安装、调试、</w:t>
      </w:r>
      <w:r>
        <w:rPr>
          <w:rFonts w:hint="eastAsia" w:ascii="宋体" w:hAnsi="宋体" w:eastAsia="宋体" w:cs="宋体"/>
          <w:color w:val="auto"/>
          <w:sz w:val="24"/>
          <w:szCs w:val="24"/>
          <w:lang w:eastAsia="zh-CN"/>
        </w:rPr>
        <w:t xml:space="preserve">人员培训、检测费、</w:t>
      </w:r>
      <w:r>
        <w:rPr>
          <w:rFonts w:hint="eastAsia" w:ascii="宋体" w:hAnsi="宋体" w:eastAsia="宋体" w:cs="宋体"/>
          <w:color w:val="auto"/>
          <w:sz w:val="24"/>
          <w:szCs w:val="24"/>
        </w:rPr>
        <w:t xml:space="preserve">售后服务、专利技术等一切费用。采购方无需再支付其他任何</w:t>
      </w:r>
      <w:r>
        <w:rPr>
          <w:rFonts w:hint="eastAsia" w:ascii="宋体" w:hAnsi="宋体" w:eastAsia="宋体" w:cs="宋体"/>
          <w:color w:val="auto"/>
          <w:spacing w:val="1"/>
          <w:sz w:val="24"/>
          <w:szCs w:val="24"/>
        </w:rPr>
        <w:t xml:space="preserve">费用。除非合同条款中另有规定，否则，前述报价在合同实施期间不因市场因素、政策规定变更因素等任何因素调整。</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4、工程施工期间涉及的安全责任由成交单位全部负责，因此产生的相关安全费用一律由成交单位承担。工程施工期间，非因采购方原因导致在施工场地及其毗邻地带造成的采购方、施工人员及任何第三者人身伤亡和财产损失均由成交单位承担赔偿责任。若由此给采购方造成任何损害或损失的，包括但不限于相关政府部门的罚款、采购方支付给第三方的赔偿金等，成交单位对此亦承担全部赔偿责任。</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5、工程质量必须达到合格，凡非因采购方责任，经验收达不到合格要求，必须返工到合格并承担因返工引起的一切经济损失。</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6、伴随服务：</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成交单位除应履行按期按量交付合格的工程及设备、材料的义务之外，还应提供下列服务：</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（1）设备的现场安装、启动、调试、监督（如需安装调试的话）。</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（2）除合同另有约定之外，伴随服务的费用均已含在合同价款中，采购方不再另行支付。</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7、成交单位应当办理有关施工现场交通、环卫、施工噪声等管理手续，相关费用由成交单位负责。</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8、工程未交付之前，成交单位应自始至终对成品进行保护，防止损坏或丢失。</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9、项目保密要求：成交单位负责对采购方所提供资料的保密，成交单位及成交单位工作人员需遵守采购方的保密规定，不以任何形式将收集的所有资料、数据等泄露、传播。否则采购方有权追究成交单位相关法律责任。</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10、成交单位需严格按采购文件规定的要求完成项目的全部工作内容，成交单位应严格遵守合同约定。项目在实施及完成以后，如采购方有需要成交单位配合的服务，成交单位须予以配合，协助采购方完善项目内容。</w:t>
      </w:r>
      <w:r/>
    </w:p>
    <w:p>
      <w:pPr>
        <w:ind w:firstLine="480"/>
        <w:spacing w:line="360" w:lineRule="auto"/>
        <w:tabs>
          <w:tab w:val="left" w:pos="1134"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11、知识产权：成交单位应保证所提供服务涉及的知识产权是合法取得，并享有完整的知识产权，不会因为采购方的使用而被责令停止使用、追偿或要求赔偿损失，如出现此情况，一切经济和法律责任均由成交单位承担。成交单位应保证采购方免除且成交单位承担由于采购方在其本国使用该项目或项目任何一部分时而引起第三方提出的侵犯专利权、商标权或工业设计权的起诉、索赔或行政程序等以及采购方为此而产生的损失、费用和支出（包括律师费）。</w:t>
      </w:r>
      <w:r/>
    </w:p>
    <w:p>
      <w:pPr>
        <w:ind w:firstLine="482"/>
        <w:spacing w:line="360" w:lineRule="auto"/>
        <w:tabs>
          <w:tab w:val="left" w:pos="420"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三、政府采购政策：</w:t>
      </w:r>
      <w:r/>
    </w:p>
    <w:p>
      <w:pPr>
        <w:ind w:firstLine="482"/>
        <w:spacing w:line="360" w:lineRule="auto"/>
        <w:tabs>
          <w:tab w:val="left" w:pos="567"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（一）中小企业相关政策</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在货物采购项目中，货物由小型或微型企业制造，即货物由小型或微型企业生产且使用该小型或微型企业商号或者注册商标的，其报价在评审时给予20%的扣除，用扣除后的价格参与价格评审。在货物采购项目中，供应商提供的货物既有小型或微型企业制造货物，也有中型或大型企业制造货物的，不享受本办法规定的小微企业价格扶持政策。</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2、在服务采购项目中，服务由小型或微型企业承接，即提供服务的人员为小型或微型企业依照《中华人民共和国民法典》订立劳动合同的从业人员，其报价给予20%的扣除，用扣除后的价格参与价格评审。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3、在小额工程采购项目中，服务由小型或微型企业承接，即提供服务的人员为小型或微型企业依照《中华人民共和国民法典》订立劳动合同的从业人员，其报价给予5%的扣除，用扣除后的价格参与价格评审。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大中型企业与小微企业组成联合体或者大中型企业向小微企业分包的，原则上给予6%（工程项目为2%）的优惠比例，用扣除后的价格参与价格评审。以联合体形式参加政府采购活动，联合体各方均为中小企业的，联合体视同中小企业。其中，联合体各方均为小微企业的，联合体视同小微企业。</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5、符合中小企业划分标准的个体工商户，在政府采购活动中视同中小企业。</w:t>
      </w:r>
      <w:r/>
    </w:p>
    <w:p>
      <w:pPr>
        <w:ind w:firstLine="48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auto"/>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《中小企业声明函》中所填的行业应与本采购标的对应的中小企业划分标准所属行业一致，未提交声明函或所提交的声明函中行业与本采购标的对应的中小企业划分标准所属行业不一致的，不享受相关政策。</w:t>
      </w:r>
      <w:r/>
    </w:p>
    <w:p>
      <w:pPr>
        <w:ind w:firstLine="480"/>
        <w:spacing w:line="360" w:lineRule="auto"/>
        <w:tabs>
          <w:tab w:val="left" w:pos="420" w:leader="none"/>
          <w:tab w:val="left" w:pos="1260" w:leader="none"/>
          <w:tab w:val="left" w:pos="1440" w:leader="none"/>
        </w:tabs>
        <w:rPr>
          <w:rFonts w:hint="eastAsia" w:ascii="宋体" w:hAnsi="宋体" w:eastAsia="宋体" w:cs="宋体"/>
          <w:b/>
          <w:color w:val="auto"/>
          <w:sz w:val="24"/>
          <w:szCs w:val="24"/>
        </w:rPr>
      </w:pPr>
      <w:r>
        <w:rPr>
          <w:rFonts w:hint="eastAsia" w:ascii="宋体" w:hAnsi="宋体" w:eastAsia="宋体" w:cs="宋体"/>
          <w:color w:val="auto"/>
          <w:sz w:val="24"/>
          <w:szCs w:val="24"/>
        </w:rPr>
        <w:t xml:space="preserve">7、根据《政府采购促进中小企业发展管理办法》（财库〔2020〕46号）及《中小企业划型标准规定》（工信部联企业〔2011〕300号），</w:t>
      </w:r>
      <w:r>
        <w:rPr>
          <w:rFonts w:hint="eastAsia" w:ascii="宋体" w:hAnsi="宋体" w:eastAsia="宋体" w:cs="宋体"/>
          <w:b/>
          <w:color w:val="auto"/>
          <w:sz w:val="24"/>
          <w:szCs w:val="24"/>
        </w:rPr>
        <w:t xml:space="preserve">本采购标的对应的中小企业划分标准所属行业为：建筑业。</w:t>
      </w:r>
      <w:r/>
    </w:p>
    <w:p>
      <w:pPr>
        <w:ind w:firstLine="480"/>
        <w:spacing w:line="360" w:lineRule="auto"/>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8、残疾人福利性单位：</w:t>
      </w:r>
      <w:r/>
    </w:p>
    <w:p>
      <w:pPr>
        <w:ind w:firstLine="480"/>
        <w:spacing w:line="360" w:lineRule="auto"/>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80"/>
        <w:spacing w:line="360" w:lineRule="auto"/>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9、监狱企业：</w:t>
      </w:r>
      <w:r/>
    </w:p>
    <w:p>
      <w:pPr>
        <w:ind w:firstLine="480"/>
        <w:spacing w:line="360" w:lineRule="auto"/>
        <w:tabs>
          <w:tab w:val="left" w:pos="567" w:leader="none"/>
        </w:tabs>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firstLine="482"/>
        <w:spacing w:line="360" w:lineRule="auto"/>
        <w:tabs>
          <w:tab w:val="left" w:pos="567"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10、若为专门面向中小企业采购的项目或者采购包，不再执行价格评审优惠的扶持政策。</w:t>
      </w:r>
      <w:r/>
    </w:p>
    <w:p>
      <w:pPr>
        <w:ind w:firstLine="482"/>
        <w:spacing w:line="360" w:lineRule="auto"/>
        <w:tabs>
          <w:tab w:val="left" w:pos="567" w:leader="none"/>
        </w:tabs>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（二）节能产品和环境标志产品、绿色采购</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根据《关于调整优化节能产品、环境标志产品政府采购执行机制的通知》（财库〔2019〕9号）、《关于贯彻执行绿色采购、促进残疾人就业和支持监狱企业发展有关政策的通知》（苏财购〔2019〕10号）的规定：</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若本次采购的产品属于财政部、国家发展改革委、生态环境部、市场监管总局等部门发布的节能产品、环境标志产品政府强制采购品目清单的，供应商须在响应文件中提供响应产品由认证机构出具的、处于有效期之内的节能产品、环境标志产品认证证书，未提供或提供不全的将视响应文件为未实质性响应采购要求。</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若本次采购的产品属于财政部、国家发展改革委、生态环境部、市场监管总局等部门发布的节能产品、环境标志产品政府优先采购品目清单的，供应商在响应文件中提供响应产品由认证机构出具的、处于有效期之内的节能产品、环境标志产品认证证书，在综合得分和报价相同的情况下，提供所投产品的节能产品、环境标志产品认证证书数量最多的，优先中标（成交）。</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（三）政府采购中实施本国产品标准及相关政策</w:t>
      </w:r>
      <w:r/>
    </w:p>
    <w:p>
      <w:pPr>
        <w:ind w:firstLine="480"/>
        <w:spacing w:line="360" w:lineRule="auto"/>
        <w:rPr>
          <w:rFonts w:hint="eastAsia" w:ascii="宋体" w:hAnsi="宋体" w:eastAsia="宋体" w:cs="宋体"/>
          <w:color w:val="auto"/>
          <w:sz w:val="24"/>
          <w:szCs w:val="24"/>
          <w:shd w:val="clear" w:color="auto" w:fill="ffffff"/>
        </w:rPr>
      </w:pPr>
      <w:r>
        <w:rPr>
          <w:rFonts w:hint="eastAsia" w:ascii="宋体" w:hAnsi="宋体" w:eastAsia="宋体" w:cs="宋体"/>
          <w:color w:val="auto"/>
          <w:sz w:val="24"/>
          <w:szCs w:val="24"/>
        </w:rPr>
        <w:t xml:space="preserve">1、</w:t>
      </w:r>
      <w:r>
        <w:rPr>
          <w:rFonts w:hint="eastAsia" w:ascii="宋体" w:hAnsi="宋体" w:eastAsia="宋体" w:cs="宋体"/>
          <w:color w:val="auto"/>
          <w:sz w:val="24"/>
          <w:szCs w:val="24"/>
          <w:shd w:val="clear" w:color="auto" w:fill="ffffff"/>
        </w:rPr>
        <w:t xml:space="preserve">本国产品标准适用于货物，包括政府采购货物项目和服务项目中涉及的货物。</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2"/>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四、凡涉及采购文件的补充说明和修改，均以苏州市政府采购网发布的文件为准。</w:t>
      </w:r>
      <w:r/>
    </w:p>
    <w:p>
      <w:pPr>
        <w:pStyle w:val="820"/>
        <w:jc w:val="center"/>
        <w:keepLines w:val="0"/>
        <w:keepNext w:val="0"/>
        <w:spacing w:line="579" w:lineRule="auto"/>
        <w:rPr>
          <w:rFonts w:hint="eastAsia" w:ascii="宋体" w:hAnsi="宋体" w:eastAsia="宋体" w:cs="宋体"/>
          <w:bCs/>
          <w:color w:val="auto"/>
          <w:szCs w:val="21"/>
        </w:rPr>
        <w:outlineLvl w:val="0"/>
      </w:pPr>
      <w:r>
        <w:rPr>
          <w:rFonts w:hint="eastAsia" w:ascii="宋体" w:hAnsi="宋体" w:eastAsia="宋体" w:cs="宋体"/>
          <w:bCs/>
          <w:color w:val="auto"/>
          <w:szCs w:val="21"/>
        </w:rPr>
        <w:br w:type="page" w:clear="all"/>
      </w:r>
      <w:bookmarkStart w:id="55" w:name="_Toc49246288"/>
      <w:r/>
      <w:bookmarkStart w:id="56" w:name="_Toc17350"/>
      <w:r/>
      <w:r/>
    </w:p>
    <w:p>
      <w:pPr>
        <w:pStyle w:val="820"/>
        <w:jc w:val="center"/>
        <w:keepLines w:val="0"/>
        <w:keepNext w:val="0"/>
        <w:spacing w:line="579" w:lineRule="auto"/>
        <w:rPr>
          <w:rFonts w:hint="eastAsia" w:ascii="宋体" w:hAnsi="宋体" w:eastAsia="宋体" w:cs="宋体"/>
          <w:bCs/>
          <w:color w:val="auto"/>
          <w:szCs w:val="21"/>
        </w:rPr>
        <w:outlineLvl w:val="0"/>
      </w:pPr>
      <w:r>
        <w:rPr>
          <w:rFonts w:hint="eastAsia" w:ascii="宋体" w:hAnsi="宋体" w:eastAsia="宋体" w:cs="宋体"/>
          <w:bCs/>
          <w:color w:val="auto"/>
          <w:szCs w:val="21"/>
        </w:rPr>
      </w:r>
      <w:r/>
    </w:p>
    <w:p>
      <w:pPr>
        <w:pStyle w:val="820"/>
        <w:jc w:val="center"/>
        <w:keepLines w:val="0"/>
        <w:keepNext w:val="0"/>
        <w:spacing w:line="579" w:lineRule="auto"/>
        <w:rPr>
          <w:rFonts w:hint="eastAsia" w:ascii="宋体" w:hAnsi="宋体" w:eastAsia="宋体" w:cs="宋体"/>
          <w:bCs/>
          <w:color w:val="auto"/>
          <w:szCs w:val="21"/>
        </w:rPr>
        <w:outlineLvl w:val="0"/>
      </w:pPr>
      <w:r>
        <w:rPr>
          <w:rFonts w:hint="eastAsia" w:ascii="宋体" w:hAnsi="宋体" w:eastAsia="宋体" w:cs="宋体"/>
          <w:bCs/>
          <w:color w:val="auto"/>
          <w:szCs w:val="21"/>
        </w:rPr>
      </w:r>
      <w:r/>
    </w:p>
    <w:p>
      <w:pPr>
        <w:rPr>
          <w:rFonts w:hint="eastAsia" w:ascii="宋体" w:hAnsi="宋体" w:eastAsia="宋体" w:cs="宋体"/>
          <w:bCs/>
          <w:color w:val="auto"/>
          <w:szCs w:val="21"/>
        </w:rPr>
      </w:pPr>
      <w:r>
        <w:rPr>
          <w:rFonts w:hint="eastAsia" w:ascii="宋体" w:hAnsi="宋体" w:eastAsia="宋体" w:cs="宋体"/>
          <w:bCs/>
          <w:color w:val="auto"/>
          <w:szCs w:val="21"/>
        </w:rPr>
      </w:r>
      <w:r/>
    </w:p>
    <w:p>
      <w:pPr>
        <w:pStyle w:val="679"/>
        <w:rPr>
          <w:rFonts w:hint="eastAsia" w:ascii="宋体" w:hAnsi="宋体" w:eastAsia="宋体" w:cs="宋体"/>
          <w:bCs/>
          <w:color w:val="auto"/>
          <w:szCs w:val="21"/>
        </w:rPr>
      </w:pPr>
      <w:r>
        <w:rPr>
          <w:rFonts w:hint="eastAsia" w:ascii="宋体" w:hAnsi="宋体" w:eastAsia="宋体" w:cs="宋体"/>
          <w:bCs/>
          <w:color w:val="auto"/>
          <w:szCs w:val="21"/>
        </w:rPr>
      </w:r>
      <w:r/>
    </w:p>
    <w:p>
      <w:pPr>
        <w:rPr>
          <w:rFonts w:hint="eastAsia" w:ascii="宋体" w:hAnsi="宋体" w:eastAsia="宋体" w:cs="宋体"/>
          <w:bCs/>
          <w:color w:val="auto"/>
          <w:szCs w:val="21"/>
        </w:rPr>
      </w:pPr>
      <w:r>
        <w:rPr>
          <w:rFonts w:hint="eastAsia" w:ascii="宋体" w:hAnsi="宋体" w:eastAsia="宋体" w:cs="宋体"/>
          <w:bCs/>
          <w:color w:val="auto"/>
          <w:szCs w:val="21"/>
        </w:rPr>
      </w:r>
      <w:r/>
    </w:p>
    <w:p>
      <w:pPr>
        <w:pStyle w:val="679"/>
        <w:rPr>
          <w:rFonts w:hint="eastAsia" w:ascii="宋体" w:hAnsi="宋体" w:eastAsia="宋体" w:cs="宋体"/>
          <w:bCs/>
          <w:color w:val="auto"/>
          <w:szCs w:val="21"/>
        </w:rPr>
      </w:pPr>
      <w:r>
        <w:rPr>
          <w:rFonts w:hint="eastAsia" w:ascii="宋体" w:hAnsi="宋体" w:eastAsia="宋体" w:cs="宋体"/>
          <w:bCs/>
          <w:color w:val="auto"/>
          <w:szCs w:val="21"/>
        </w:rPr>
      </w:r>
      <w:r/>
    </w:p>
    <w:p>
      <w:pPr>
        <w:rPr>
          <w:rFonts w:hint="eastAsia" w:ascii="宋体" w:hAnsi="宋体" w:eastAsia="宋体" w:cs="宋体"/>
          <w:bCs/>
          <w:color w:val="auto"/>
          <w:szCs w:val="21"/>
        </w:rPr>
      </w:pPr>
      <w:r>
        <w:rPr>
          <w:rFonts w:hint="eastAsia" w:ascii="宋体" w:hAnsi="宋体" w:eastAsia="宋体" w:cs="宋体"/>
          <w:bCs/>
          <w:color w:val="auto"/>
          <w:szCs w:val="21"/>
        </w:rPr>
      </w:r>
      <w:r/>
    </w:p>
    <w:p>
      <w:pPr>
        <w:pStyle w:val="679"/>
        <w:rPr>
          <w:rFonts w:hint="eastAsia" w:ascii="宋体" w:hAnsi="宋体" w:eastAsia="宋体" w:cs="宋体"/>
          <w:bCs/>
          <w:color w:val="auto"/>
          <w:szCs w:val="21"/>
        </w:rPr>
      </w:pPr>
      <w:r>
        <w:rPr>
          <w:rFonts w:hint="eastAsia" w:ascii="宋体" w:hAnsi="宋体" w:eastAsia="宋体" w:cs="宋体"/>
          <w:bCs/>
          <w:color w:val="auto"/>
          <w:szCs w:val="21"/>
        </w:rPr>
      </w:r>
      <w:r/>
    </w:p>
    <w:p>
      <w:pPr>
        <w:rPr>
          <w:rFonts w:hint="eastAsia" w:ascii="宋体" w:hAnsi="宋体" w:eastAsia="宋体" w:cs="宋体"/>
          <w:bCs/>
          <w:color w:val="auto"/>
          <w:szCs w:val="21"/>
        </w:rPr>
      </w:pPr>
      <w:r>
        <w:rPr>
          <w:rFonts w:hint="eastAsia" w:ascii="宋体" w:hAnsi="宋体" w:eastAsia="宋体" w:cs="宋体"/>
          <w:bCs/>
          <w:color w:val="auto"/>
          <w:szCs w:val="21"/>
        </w:rPr>
      </w:r>
      <w:r/>
    </w:p>
    <w:p>
      <w:pPr>
        <w:pStyle w:val="679"/>
        <w:rPr>
          <w:rFonts w:hint="eastAsia" w:ascii="宋体" w:hAnsi="宋体" w:eastAsia="宋体" w:cs="宋体"/>
          <w:bCs/>
          <w:color w:val="auto"/>
          <w:szCs w:val="21"/>
        </w:rPr>
      </w:pPr>
      <w:r>
        <w:rPr>
          <w:rFonts w:hint="eastAsia" w:ascii="宋体" w:hAnsi="宋体" w:eastAsia="宋体" w:cs="宋体"/>
          <w:bCs/>
          <w:color w:val="auto"/>
          <w:szCs w:val="21"/>
        </w:rPr>
      </w:r>
      <w:r/>
    </w:p>
    <w:p>
      <w:pPr>
        <w:rPr>
          <w:rFonts w:hint="eastAsia" w:ascii="宋体" w:hAnsi="宋体" w:eastAsia="宋体" w:cs="宋体"/>
          <w:bCs/>
          <w:color w:val="auto"/>
          <w:szCs w:val="21"/>
        </w:rPr>
      </w:pPr>
      <w:r>
        <w:rPr>
          <w:rFonts w:hint="eastAsia" w:ascii="宋体" w:hAnsi="宋体" w:eastAsia="宋体" w:cs="宋体"/>
          <w:bCs/>
          <w:color w:val="auto"/>
          <w:szCs w:val="21"/>
        </w:rPr>
      </w:r>
      <w:r/>
    </w:p>
    <w:p>
      <w:pPr>
        <w:pStyle w:val="679"/>
        <w:rPr>
          <w:rFonts w:hint="eastAsia" w:ascii="宋体" w:hAnsi="宋体" w:eastAsia="宋体" w:cs="宋体"/>
          <w:color w:val="auto"/>
        </w:rPr>
      </w:pPr>
      <w:r>
        <w:rPr>
          <w:rFonts w:hint="eastAsia" w:ascii="宋体" w:hAnsi="宋体" w:eastAsia="宋体" w:cs="宋体"/>
          <w:color w:val="auto"/>
        </w:rPr>
      </w:r>
      <w:r/>
    </w:p>
    <w:p>
      <w:pPr>
        <w:pStyle w:val="820"/>
        <w:jc w:val="center"/>
        <w:keepLines w:val="0"/>
        <w:keepNext w:val="0"/>
        <w:spacing w:line="579" w:lineRule="auto"/>
        <w:rPr>
          <w:rStyle w:val="746"/>
          <w:rFonts w:hint="eastAsia" w:ascii="宋体" w:hAnsi="宋体" w:eastAsia="宋体" w:cs="宋体"/>
          <w:color w:val="auto"/>
          <w:sz w:val="52"/>
        </w:rPr>
        <w:outlineLvl w:val="0"/>
      </w:pPr>
      <w:r/>
      <w:bookmarkStart w:id="57" w:name="_Toc11037"/>
      <w:r/>
      <w:bookmarkStart w:id="58" w:name="_Toc10798"/>
      <w:r/>
      <w:bookmarkStart w:id="59" w:name="_Toc20949"/>
      <w:r>
        <w:rPr>
          <w:rStyle w:val="746"/>
          <w:rFonts w:hint="eastAsia" w:ascii="宋体" w:hAnsi="宋体" w:eastAsia="宋体" w:cs="宋体"/>
          <w:color w:val="auto"/>
          <w:sz w:val="52"/>
        </w:rPr>
        <w:t xml:space="preserve">第五章 合同主要条款</w:t>
      </w:r>
      <w:bookmarkEnd w:id="55"/>
      <w:r/>
      <w:bookmarkEnd w:id="56"/>
      <w:r/>
      <w:bookmarkEnd w:id="57"/>
      <w:r/>
      <w:bookmarkEnd w:id="58"/>
      <w:r/>
      <w:bookmarkEnd w:id="59"/>
      <w:r/>
      <w:r/>
    </w:p>
    <w:p>
      <w:pPr>
        <w:jc w:val="center"/>
        <w:spacing w:line="360" w:lineRule="auto"/>
        <w:tabs>
          <w:tab w:val="left" w:pos="8930" w:leader="none"/>
          <w:tab w:val="left" w:pos="9306" w:leader="none"/>
        </w:tabs>
        <w:rPr>
          <w:rStyle w:val="807"/>
          <w:rFonts w:hint="eastAsia" w:ascii="宋体" w:hAnsi="宋体" w:eastAsia="宋体" w:cs="宋体"/>
          <w:b/>
          <w:bCs/>
          <w:color w:val="auto"/>
          <w:sz w:val="24"/>
          <w:szCs w:val="24"/>
        </w:rPr>
      </w:pPr>
      <w:r>
        <w:rPr>
          <w:rFonts w:hint="eastAsia" w:ascii="宋体" w:hAnsi="宋体" w:eastAsia="宋体" w:cs="宋体"/>
          <w:b/>
          <w:bCs/>
          <w:color w:val="auto"/>
          <w:szCs w:val="21"/>
        </w:rPr>
        <w:br w:type="page" w:clear="all"/>
      </w:r>
      <w:r>
        <w:rPr>
          <w:rFonts w:hint="eastAsia" w:ascii="宋体" w:hAnsi="宋体" w:eastAsia="宋体" w:cs="宋体"/>
          <w:b/>
          <w:color w:val="auto"/>
          <w:sz w:val="30"/>
          <w:szCs w:val="30"/>
        </w:rPr>
        <w:t xml:space="preserve">合同主要条款</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甲方（发包方）：</w:t>
      </w:r>
      <w:r>
        <w:rPr>
          <w:rFonts w:hint="eastAsia" w:ascii="宋体" w:hAnsi="宋体" w:eastAsia="宋体" w:cs="宋体"/>
          <w:b w:val="0"/>
          <w:bCs w:val="0"/>
          <w:color w:val="auto"/>
          <w:sz w:val="24"/>
          <w:szCs w:val="24"/>
        </w:rPr>
        <w:t xml:space="preserve">苏州高新区狮山商务创新区管理办公室</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乙方（承包方）：</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联系方式：</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根据采购编号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号采购文件及成交通知书，甲乙双方根据《中华人民共和国民法典》、《中华人民共和国政府采购法》及有关法律、法规的规定，遵循平等自愿、公平和诚实信用的原则，就</w:t>
      </w:r>
      <w:r>
        <w:rPr>
          <w:rFonts w:hint="eastAsia" w:ascii="宋体" w:hAnsi="宋体" w:eastAsia="宋体" w:cs="宋体"/>
          <w:bCs/>
          <w:color w:val="auto"/>
          <w:sz w:val="24"/>
          <w:szCs w:val="24"/>
          <w:u w:val="single"/>
        </w:rPr>
        <w:t xml:space="preserve">                        </w:t>
      </w:r>
      <w:r>
        <w:rPr>
          <w:rFonts w:hint="eastAsia" w:ascii="宋体" w:hAnsi="宋体" w:eastAsia="宋体" w:cs="宋体"/>
          <w:color w:val="auto"/>
          <w:sz w:val="24"/>
          <w:szCs w:val="24"/>
        </w:rPr>
        <w:t xml:space="preserve">有关事项协商一致，共同达成如下协议：</w:t>
      </w:r>
      <w:r/>
    </w:p>
    <w:p>
      <w:pPr>
        <w:jc w:val="left"/>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一、工程概况：</w:t>
      </w:r>
      <w:r/>
    </w:p>
    <w:p>
      <w:pPr>
        <w:ind w:firstLine="480"/>
        <w:jc w:val="left"/>
        <w:spacing w:line="360" w:lineRule="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rPr>
        <w:t xml:space="preserve">1、工程名称：</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2、工程地点：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3、工程内容：</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4、工程承包范围：</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u w:val="single"/>
        </w:rPr>
      </w:pPr>
      <w:r>
        <w:rPr>
          <w:rFonts w:hint="eastAsia" w:ascii="宋体" w:hAnsi="宋体" w:eastAsia="宋体" w:cs="宋体"/>
          <w:bCs/>
          <w:color w:val="auto"/>
          <w:sz w:val="24"/>
          <w:szCs w:val="24"/>
        </w:rPr>
        <w:t xml:space="preserve">5、承包方式：</w:t>
      </w:r>
      <w:r>
        <w:rPr>
          <w:rFonts w:hint="eastAsia" w:ascii="宋体" w:hAnsi="宋体" w:eastAsia="宋体" w:cs="宋体"/>
          <w:bCs/>
          <w:color w:val="auto"/>
          <w:sz w:val="24"/>
          <w:szCs w:val="24"/>
          <w:u w:val="single"/>
        </w:rPr>
        <w:t xml:space="preserve">包工包料</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6、资金来源：</w:t>
      </w:r>
      <w:r>
        <w:rPr>
          <w:rFonts w:hint="eastAsia" w:ascii="宋体" w:hAnsi="宋体" w:eastAsia="宋体" w:cs="宋体"/>
          <w:bCs/>
          <w:color w:val="auto"/>
          <w:sz w:val="24"/>
          <w:szCs w:val="24"/>
          <w:u w:val="single"/>
        </w:rPr>
        <w:t xml:space="preserve">财政资金</w:t>
      </w:r>
      <w:r>
        <w:rPr>
          <w:rFonts w:hint="eastAsia" w:ascii="宋体" w:hAnsi="宋体" w:eastAsia="宋体" w:cs="宋体"/>
          <w:bCs/>
          <w:color w:val="auto"/>
          <w:sz w:val="24"/>
          <w:szCs w:val="24"/>
        </w:rPr>
        <w:t xml:space="preserve">。</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二、合同工期：</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1、计划开工日期：</w:t>
      </w:r>
      <w:r>
        <w:rPr>
          <w:rFonts w:hint="eastAsia" w:ascii="宋体" w:hAnsi="宋体" w:eastAsia="宋体" w:cs="宋体"/>
          <w:bCs/>
          <w:color w:val="auto"/>
          <w:sz w:val="24"/>
          <w:szCs w:val="24"/>
          <w:u w:val="single"/>
        </w:rPr>
        <w:t xml:space="preserve">     年    月     日</w:t>
      </w:r>
      <w:r>
        <w:rPr>
          <w:rFonts w:hint="eastAsia" w:ascii="宋体" w:hAnsi="宋体" w:eastAsia="宋体" w:cs="宋体"/>
          <w:bCs/>
          <w:color w:val="auto"/>
          <w:sz w:val="24"/>
          <w:szCs w:val="24"/>
        </w:rPr>
        <w:t xml:space="preserve">。</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2、计划竣工日期：</w:t>
      </w:r>
      <w:r>
        <w:rPr>
          <w:rFonts w:hint="eastAsia" w:ascii="宋体" w:hAnsi="宋体" w:eastAsia="宋体" w:cs="宋体"/>
          <w:bCs/>
          <w:color w:val="auto"/>
          <w:sz w:val="24"/>
          <w:szCs w:val="24"/>
          <w:u w:val="single"/>
        </w:rPr>
        <w:t xml:space="preserve">     年    月     日</w:t>
      </w:r>
      <w:r>
        <w:rPr>
          <w:rFonts w:hint="eastAsia" w:ascii="宋体" w:hAnsi="宋体" w:eastAsia="宋体" w:cs="宋体"/>
          <w:bCs/>
          <w:color w:val="auto"/>
          <w:sz w:val="24"/>
          <w:szCs w:val="24"/>
        </w:rPr>
        <w:t xml:space="preserve">。</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3、工期总日历天数：</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天。</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4、工期总日历天数与根据前述计划开竣工日期计算的工期天数不一致的，以工期总日历天数为准。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三、签约合同价与合同价格形式：</w:t>
      </w:r>
      <w:r/>
    </w:p>
    <w:p>
      <w:pPr>
        <w:ind w:right="-161"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1、签约合同价：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；工程量清单附后。</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2、合同价格形式：固定综合单价。本工程中工程量清单项目的综合单价按预算单价下浮之后的综合单价执行（成交下浮率为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四、工程付款：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1、付款说明：</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进度款按合同内已完成合格工程量的60%支付，工程验收合格并中介一审结束付至审定价的80%。中介一审价不满200万的工程，审计结束并质保期满付清余款。中介一审价满200万的工程，需进行中介二审，中介二审结束付至二审价的90%。如遇审计部门抽审，抽审结束并质保期满按抽审价付清余款。如无抽审，中介二审结束满一年并质保期满付清余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2、材料、机械等要素的市场价格波动产生的差价不调整。</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3、采购人因工程变更需调整工程内容的，如有增加费用，增加部分不得超过原合同采购金额的百分之十。工程变更手续按照《苏州高新区狮山商务创新区建设工程变更管理办法》相关内容执行。</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五、标准和规范：</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color w:val="auto"/>
          <w:sz w:val="24"/>
          <w:szCs w:val="24"/>
        </w:rPr>
        <w:t xml:space="preserve">1、适用于工程的标准规范包括：现行施工标准规范以及质量验收标准。</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2、发包人提供国外标准、规范的名称：</w:t>
      </w:r>
      <w:r>
        <w:rPr>
          <w:rFonts w:hint="eastAsia" w:ascii="宋体" w:hAnsi="宋体" w:eastAsia="宋体" w:cs="宋体"/>
          <w:bCs/>
          <w:color w:val="auto"/>
          <w:sz w:val="24"/>
          <w:szCs w:val="24"/>
          <w:u w:val="single"/>
        </w:rPr>
        <w:t xml:space="preserve"> /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发包人提供国外标准、规范的份数：</w:t>
      </w:r>
      <w:r>
        <w:rPr>
          <w:rFonts w:hint="eastAsia" w:ascii="宋体" w:hAnsi="宋体" w:eastAsia="宋体" w:cs="宋体"/>
          <w:bCs/>
          <w:color w:val="auto"/>
          <w:sz w:val="24"/>
          <w:szCs w:val="24"/>
          <w:u w:val="single"/>
        </w:rPr>
        <w:t xml:space="preserve"> /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发包人提供国外标准、规范的名称：</w:t>
      </w:r>
      <w:r>
        <w:rPr>
          <w:rFonts w:hint="eastAsia" w:ascii="宋体" w:hAnsi="宋体" w:eastAsia="宋体" w:cs="宋体"/>
          <w:bCs/>
          <w:color w:val="auto"/>
          <w:sz w:val="24"/>
          <w:szCs w:val="24"/>
          <w:u w:val="single"/>
        </w:rPr>
        <w:t xml:space="preserve"> /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3、其他技术标准和要求：</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（1）所有材料进场时，须在发包人、使用单位、监理单位、承包人共同见证下，对主要原材料现场取样，送至发包人指定的具有国家检测认证的检测机构检测。检测项目及标准不得低于 GB 36246-2018《中小学合成材料面层运动场地》 等现行国标。检测费用含在施工合同价内。检测合格后方可投入使用。未经检测或检测不合格的材料，承包人应立即无条件退场，并承担由此产生的复检费用及工期延误等损失。</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（2）工程完工、验收前，须在发包人、使用单位、监理单位、承包人共同见证下，对塑胶跑道和人造草坪的成品现场取样，送至发包人指定的具有国家检测认证的检测机构检测。检测项目及标准不得低于 GB 36246-2018《中小学合成材料面层运动场地》 等现行国标。检测费用含在施工合同价内。检测结果合格是工程竣工验收和交付的前提。若任一检测项目不合格，可申请再次检测，检测费由承包人承担。若仍有不合格，承包人须自费拆除、重做，并承担由此产生的复检费用及工期延误等损失。</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六、双方工作：</w:t>
      </w:r>
      <w:r/>
    </w:p>
    <w:p>
      <w:pPr>
        <w:ind w:right="-161"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1、甲方工作</w:t>
      </w:r>
      <w:r/>
    </w:p>
    <w:p>
      <w:pPr>
        <w:ind w:right="-161"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（1）开工前</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天，向乙方提供经确认的施工图纸或作法说明</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份，并向乙方进行现场交底；向乙方提供施工所需的水、电（费用乙方自理），并说明使用注意事项；办理施工所涉及的各种申请、批件等手续。</w:t>
      </w:r>
      <w:r/>
    </w:p>
    <w:p>
      <w:pPr>
        <w:ind w:right="-161"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（2）指派</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为甲方驻工地代表，负责合同履行。对工程质量、进度进行监督检查，办理验收、变更、登记手续和其他事宜。</w:t>
      </w:r>
      <w:r/>
    </w:p>
    <w:p>
      <w:pPr>
        <w:ind w:right="-161"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（3）如确实需要拆改原建筑物结构或设备管线，负责到有关部门办理相应审批手续。</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2、乙方工作</w:t>
      </w:r>
      <w:r/>
    </w:p>
    <w:p>
      <w:pPr>
        <w:ind w:right="-161"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（1）参加甲方组织的施工图纸或作法说明的现场交底，拟定施工方案和进度计划，交甲方审定。</w:t>
      </w:r>
      <w:r/>
    </w:p>
    <w:p>
      <w:pPr>
        <w:ind w:right="-161"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（2）指派</w:t>
      </w:r>
      <w:r>
        <w:rPr>
          <w:rFonts w:hint="eastAsia" w:ascii="宋体" w:hAnsi="宋体" w:eastAsia="宋体" w:cs="宋体"/>
          <w:b/>
          <w:bCs/>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为乙方驻工地代表（项目负责人），证书编号</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u w:val="single"/>
        </w:rPr>
        <w:t xml:space="preserve">          </w:t>
      </w:r>
      <w:r>
        <w:rPr>
          <w:rFonts w:hint="eastAsia" w:ascii="宋体" w:hAnsi="宋体" w:eastAsia="宋体" w:cs="宋体"/>
          <w:color w:val="auto"/>
          <w:sz w:val="24"/>
          <w:szCs w:val="24"/>
        </w:rPr>
        <w:t xml:space="preserve">，负责合同履行。按要求组织施工，保质、保量、按期完成施工任务，解决由乙方负责的各项事宜，施工人员需服从甲方安全管理。</w:t>
      </w:r>
      <w:r/>
    </w:p>
    <w:p>
      <w:pPr>
        <w:ind w:right="-161"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（3）严格执行现行的施工规范、操作规程、安全规定、环境保护规定。严格按照图纸或作法说明进行施工，做好各项质量检查记录。参加竣工验收，编制工程结算。</w:t>
      </w:r>
      <w:r/>
    </w:p>
    <w:p>
      <w:pPr>
        <w:ind w:right="-161"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遵守国家或地方政府及有关部门对施工现场管理的规定，妥善保护好施工现场周围建筑物、设备管线、古树名木不受损坏。做好施工现场保卫和垃圾消纳等工作，自理好由于施工带来的扰民问题及与周围单位（住户）的关系。</w:t>
      </w:r>
      <w:r/>
    </w:p>
    <w:p>
      <w:pPr>
        <w:ind w:right="-161"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（5）施工中未经甲方同意或有关部门批准，不得随意拆改原建筑物结构及各种设备管线。</w:t>
      </w:r>
      <w:r/>
    </w:p>
    <w:p>
      <w:pPr>
        <w:ind w:right="-161"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（6）工程竣工未移交甲方之前，负责对现场的一切设施和工程成品进行保护。</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工程施工期间应遵守安全生产的有关管理规定，严格按照安全标准组织日常施工、维护、保养工作，采取必要的安全防护措施，消除隐患，由于乙方原因造成的施工安全生产事故由乙方全部负责，工程施工期间涉及安全所产生的相关费用一律由乙方承担。</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（8）乙方应当办理有关施工现场交通、环卫、施工噪声等管理手续，若发生费用由乙方负责。</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（9）协调有关部门做好现场保卫、消防、垃圾自理等工作，并承担相应费用。</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七、承包人：</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1、承包人的一般义务</w:t>
      </w:r>
      <w:r/>
    </w:p>
    <w:p>
      <w:pPr>
        <w:ind w:firstLine="480"/>
        <w:jc w:val="left"/>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（1）承包人提交的竣工资料的内容：</w:t>
      </w:r>
      <w:r>
        <w:rPr>
          <w:rFonts w:hint="eastAsia" w:ascii="宋体" w:hAnsi="宋体" w:eastAsia="宋体" w:cs="宋体"/>
          <w:color w:val="auto"/>
          <w:sz w:val="24"/>
          <w:szCs w:val="24"/>
          <w:u w:val="single"/>
        </w:rPr>
        <w:t xml:space="preserve">提供符合苏州市建设工程档案归档规范要求及苏州市城建档案馆要求的竣工图纸、现场照片及资料。</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（2）承包人需要提交的竣工资料套数：</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（3）承包人提交的竣工资料的费用承担：</w:t>
      </w:r>
      <w:r>
        <w:rPr>
          <w:rFonts w:hint="eastAsia" w:ascii="宋体" w:hAnsi="宋体" w:eastAsia="宋体" w:cs="宋体"/>
          <w:color w:val="auto"/>
          <w:sz w:val="24"/>
          <w:szCs w:val="24"/>
          <w:u w:val="single"/>
        </w:rPr>
        <w:t xml:space="preserve">   承包人承担   </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（4）承包人提交的竣工资料移交时间：</w:t>
      </w:r>
      <w:r>
        <w:rPr>
          <w:rFonts w:hint="eastAsia" w:ascii="宋体" w:hAnsi="宋体" w:eastAsia="宋体" w:cs="宋体"/>
          <w:color w:val="auto"/>
          <w:sz w:val="24"/>
          <w:szCs w:val="24"/>
          <w:u w:val="single"/>
        </w:rPr>
        <w:t xml:space="preserve">竣工验收合格后   日内   </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（5）承包人应履行的其他义务：</w:t>
      </w:r>
      <w:r>
        <w:rPr>
          <w:rFonts w:hint="eastAsia" w:ascii="宋体" w:hAnsi="宋体" w:eastAsia="宋体" w:cs="宋体"/>
          <w:color w:val="auto"/>
          <w:sz w:val="24"/>
          <w:szCs w:val="24"/>
          <w:u w:val="single"/>
        </w:rPr>
        <w:t xml:space="preserve">（1）承担施工安全保卫工作及非夜间施工照明的责任和要求：按建设工程安全施工规范、苏州市颁布的有关安全及施工保护规定执行。根据工程需要，应提供并维修施工使用的照明、看守、围栏、标示和警卫等。如承包人未履行上述义务造成发包人或第三方的工程、财产和人身伤害，由承包人承担全部责任及所发生的所有费用。（2）需承包人办理的有关施工场地交通、环卫和施工噪音管理等手续：按苏州市颁布的有关建设工程施工现场交通、环卫、防</w:t>
      </w:r>
      <w:r>
        <w:rPr>
          <w:rFonts w:hint="eastAsia" w:ascii="宋体" w:hAnsi="宋体" w:eastAsia="宋体" w:cs="宋体"/>
          <w:color w:val="auto"/>
          <w:sz w:val="24"/>
          <w:szCs w:val="24"/>
          <w:u w:val="single"/>
        </w:rPr>
        <w:t xml:space="preserve">噪音等方面的管理规定办理并承担相应费用。以书面形式通知发包人。（3）已完工程成品保护的特殊要求及费用承担：已竣工工程未交付发包人前，承包人负责保护，保护期间发生损坏，承包人自费予以修复。己完成的工程在未及时使用前，承包人应负责保护，如施工需要而发生的损坏，发生的费用由承包人承担。（4）施工场地周围地下管线和邻近建筑物、构筑物（含文物保护建筑）、古树名木的保护要求及费用承担：在施工期间负责施工场地周围地下管线和邻近建筑物、构筑物（含文物保护建筑）、古树名木进行保护，费用由承包人承担。（5）施工场地清洁卫生的要</w:t>
      </w:r>
      <w:r>
        <w:rPr>
          <w:rFonts w:hint="eastAsia" w:ascii="宋体" w:hAnsi="宋体" w:eastAsia="宋体" w:cs="宋体"/>
          <w:color w:val="auto"/>
          <w:sz w:val="24"/>
          <w:szCs w:val="24"/>
          <w:u w:val="single"/>
        </w:rPr>
        <w:t xml:space="preserve">求：施工期间按创建文明工地及环卫行政主管部门的要求执行，施工后做到工完场清。（6）双方约定承包人应做的其他工作：承包人劳动用工、社会和设备保险必须由承包人按照法律规定及时、足额支付和缴纳；向发包人提供保险依据;如果在施工中发生工伤事故，其处理和赔偿由承包人按照法律规定解决。如施工当中造成地面开裂和地面冒泥浆等施工责任事故，承包人负责协调处理，所发生费用由承包人承担。承包人还应负责解决施工过程中的噪音、扬尘、污染物排放等环境污染问题。因污染环境造成的投诉、索赔、罚款，承包人负责协调处理，所发生费用由承包人承担</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（6）</w:t>
      </w:r>
      <w:r>
        <w:rPr>
          <w:rFonts w:hint="eastAsia" w:ascii="宋体" w:hAnsi="宋体" w:eastAsia="宋体" w:cs="宋体"/>
          <w:bCs/>
          <w:color w:val="auto"/>
          <w:sz w:val="24"/>
          <w:szCs w:val="24"/>
        </w:rPr>
        <w:t xml:space="preserve">承包人</w:t>
      </w:r>
      <w:r>
        <w:rPr>
          <w:rFonts w:hint="eastAsia" w:ascii="宋体" w:hAnsi="宋体" w:eastAsia="宋体" w:cs="宋体"/>
          <w:bCs/>
          <w:color w:val="auto"/>
          <w:sz w:val="24"/>
          <w:szCs w:val="24"/>
        </w:rPr>
        <w:t xml:space="preserve">按代建公司结算送审要求在竣工验收合格之日起56天内提交合格的结算资料，延迟一天罚款2000元。</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2、项目经理</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（1）承包人对项目经理的授权范围如下：</w:t>
      </w:r>
      <w:r>
        <w:rPr>
          <w:rFonts w:hint="eastAsia" w:ascii="宋体" w:hAnsi="宋体" w:eastAsia="宋体" w:cs="宋体"/>
          <w:color w:val="auto"/>
          <w:sz w:val="24"/>
          <w:szCs w:val="24"/>
          <w:u w:val="single"/>
        </w:rPr>
        <w:t xml:space="preserve">项目经理为承包人在该项目上的代表人。</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（2）关于项目经理要求：</w:t>
      </w:r>
      <w:r/>
    </w:p>
    <w:p>
      <w:pPr>
        <w:ind w:firstLine="480"/>
        <w:jc w:val="left"/>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项目经理未经批准，擅自离开施工现场的违约责任：</w:t>
      </w:r>
      <w:r>
        <w:rPr>
          <w:rFonts w:hint="eastAsia" w:ascii="宋体" w:hAnsi="宋体" w:eastAsia="宋体" w:cs="宋体"/>
          <w:color w:val="auto"/>
          <w:sz w:val="24"/>
          <w:szCs w:val="24"/>
          <w:u w:val="single"/>
        </w:rPr>
        <w:t xml:space="preserve">每次</w:t>
      </w:r>
      <w:r>
        <w:rPr>
          <w:rFonts w:hint="eastAsia" w:ascii="宋体" w:hAnsi="宋体" w:eastAsia="宋体" w:cs="宋体"/>
          <w:color w:val="auto"/>
          <w:sz w:val="24"/>
          <w:szCs w:val="24"/>
          <w:u w:val="single"/>
        </w:rPr>
        <w:t xml:space="preserve">处以1000元罚款，且承包人承担上述违约给发包人造成的一切损失。</w:t>
      </w:r>
      <w:r/>
    </w:p>
    <w:p>
      <w:pPr>
        <w:ind w:firstLine="480"/>
        <w:jc w:val="left"/>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承包人擅自更换项目经理的违约责任：</w:t>
      </w:r>
      <w:r>
        <w:rPr>
          <w:rFonts w:hint="eastAsia" w:ascii="宋体" w:hAnsi="宋体" w:eastAsia="宋体" w:cs="宋体"/>
          <w:color w:val="auto"/>
          <w:sz w:val="24"/>
          <w:szCs w:val="24"/>
          <w:u w:val="single"/>
        </w:rPr>
        <w:t xml:space="preserve">未事先征得发包人同意，承包人擅自更换项目经理或实际到岗人员与技术标中承诺的人员不一致的，视为承包人非法转包，承包人应向发包人支付合同价10%的违约金、解除合同并上报上级主管部门处理。发包人有权根据工程实施情况，要求承包人立即更换不称职的以上人员，并向承包人支付贰万元/次的违约金。</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承包人无正当理由拒绝更换项目经理的违约责任：</w:t>
      </w:r>
      <w:bookmarkStart w:id="60" w:name="EBc3f245630dbb4574a4e5950c4f24ac0b"/>
      <w:r>
        <w:rPr>
          <w:rFonts w:hint="eastAsia" w:ascii="宋体" w:hAnsi="宋体" w:eastAsia="宋体" w:cs="宋体"/>
          <w:color w:val="auto"/>
          <w:sz w:val="24"/>
          <w:szCs w:val="24"/>
          <w:u w:val="single"/>
        </w:rPr>
        <w:t xml:space="preserve">按项目经理未到场处理，1000元/天</w:t>
      </w:r>
      <w:bookmarkEnd w:id="60"/>
      <w:r>
        <w:rPr>
          <w:rFonts w:hint="eastAsia" w:ascii="宋体" w:hAnsi="宋体" w:eastAsia="宋体" w:cs="宋体"/>
          <w:color w:val="auto"/>
          <w:sz w:val="24"/>
          <w:szCs w:val="24"/>
          <w:u w:val="single"/>
        </w:rPr>
        <w:t xml:space="preserve">/人。</w:t>
      </w:r>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3、承包人人员</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（1）承包人提交项目管理机构及施工现场管理人员安排报告的期限：</w:t>
      </w:r>
      <w:r>
        <w:rPr>
          <w:rFonts w:hint="eastAsia" w:ascii="宋体" w:hAnsi="宋体" w:eastAsia="宋体" w:cs="宋体"/>
          <w:color w:val="auto"/>
          <w:sz w:val="24"/>
          <w:szCs w:val="24"/>
          <w:u w:val="single"/>
        </w:rPr>
        <w:t xml:space="preserve">正式开工之前7日。</w:t>
      </w:r>
      <w:r/>
    </w:p>
    <w:p>
      <w:pPr>
        <w:ind w:firstLine="480"/>
        <w:jc w:val="left"/>
        <w:spacing w:line="360" w:lineRule="auto"/>
        <w:rPr>
          <w:rFonts w:hint="eastAsia" w:ascii="宋体" w:hAnsi="宋体" w:eastAsia="宋体" w:cs="宋体"/>
          <w:color w:val="auto"/>
          <w:sz w:val="24"/>
          <w:szCs w:val="24"/>
        </w:rPr>
      </w:pPr>
      <w:r/>
      <w:bookmarkStart w:id="61" w:name="_Hlk23947810"/>
      <w:r>
        <w:rPr>
          <w:rFonts w:hint="eastAsia" w:ascii="宋体" w:hAnsi="宋体" w:eastAsia="宋体" w:cs="宋体"/>
          <w:color w:val="auto"/>
          <w:sz w:val="24"/>
          <w:szCs w:val="24"/>
        </w:rPr>
        <w:t xml:space="preserve">（2）承包人无正当理由拒绝撤换主要施工管理人员的违约责任：</w:t>
      </w:r>
      <w:r>
        <w:rPr>
          <w:rFonts w:hint="eastAsia" w:ascii="宋体" w:hAnsi="宋体" w:eastAsia="宋体" w:cs="宋体"/>
          <w:color w:val="auto"/>
          <w:sz w:val="24"/>
          <w:szCs w:val="24"/>
          <w:u w:val="single"/>
        </w:rPr>
        <w:t xml:space="preserve">按项目人员未到场处理，1000元/天/人</w:t>
      </w:r>
      <w:r>
        <w:rPr>
          <w:rFonts w:hint="eastAsia" w:ascii="宋体" w:hAnsi="宋体" w:eastAsia="宋体" w:cs="宋体"/>
          <w:color w:val="auto"/>
          <w:sz w:val="24"/>
          <w:szCs w:val="24"/>
        </w:rPr>
        <w:t xml:space="preserve">。</w:t>
      </w:r>
      <w:bookmarkEnd w:id="61"/>
      <w:r/>
      <w:r/>
    </w:p>
    <w:p>
      <w:pPr>
        <w:ind w:firstLine="480"/>
        <w:jc w:val="left"/>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（3）承包人主要施工管理人员离开施工现场的批准要求：</w:t>
      </w:r>
      <w:r>
        <w:rPr>
          <w:rFonts w:hint="eastAsia" w:ascii="宋体" w:hAnsi="宋体" w:eastAsia="宋体" w:cs="宋体"/>
          <w:color w:val="auto"/>
          <w:sz w:val="24"/>
          <w:szCs w:val="24"/>
          <w:u w:val="single"/>
        </w:rPr>
        <w:t xml:space="preserve">同项目经理相关规定。</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（4）承包人擅自更换主要施工管理人员的违约责任：</w:t>
      </w:r>
      <w:r>
        <w:rPr>
          <w:rFonts w:hint="eastAsia" w:ascii="宋体" w:hAnsi="宋体" w:eastAsia="宋体" w:cs="宋体"/>
          <w:color w:val="auto"/>
          <w:sz w:val="24"/>
          <w:szCs w:val="24"/>
          <w:u w:val="single"/>
        </w:rPr>
        <w:t xml:space="preserve">未事先征得发包人同意，承包人擅自更换技术标中承诺的主要管理人员或实际到岗人员与技术标中承诺的人员不一致的，视为承包人非法转包，向发包人支付合同价 10 %的违约金、解除合同并上报上级主管部门处理。发包人有权根据工程实施情况，要求承包人立即更换不称职的以上人员，并向发包人支付贰万元/次的违约金 </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eastAsia="宋体" w:cs="宋体"/>
          <w:color w:val="auto"/>
          <w:sz w:val="24"/>
          <w:szCs w:val="24"/>
        </w:rPr>
      </w:pPr>
      <w:r/>
      <w:bookmarkStart w:id="62" w:name="_Hlk23947968"/>
      <w:r/>
      <w:bookmarkStart w:id="63" w:name="_Hlk23947981"/>
      <w:r>
        <w:rPr>
          <w:rFonts w:hint="eastAsia" w:ascii="宋体" w:hAnsi="宋体" w:eastAsia="宋体" w:cs="宋体"/>
          <w:color w:val="auto"/>
          <w:sz w:val="24"/>
          <w:szCs w:val="24"/>
        </w:rPr>
        <w:t xml:space="preserve">（5）承包人主要施工管理人员擅自离开施工现场的违约责任：</w:t>
      </w:r>
      <w:bookmarkEnd w:id="62"/>
      <w:r>
        <w:rPr>
          <w:rFonts w:hint="eastAsia" w:ascii="宋体" w:hAnsi="宋体" w:eastAsia="宋体" w:cs="宋体"/>
          <w:color w:val="auto"/>
          <w:sz w:val="24"/>
          <w:szCs w:val="24"/>
          <w:u w:val="single"/>
        </w:rPr>
        <w:t xml:space="preserve">按项目人员未到场处理，1000元/天/人。</w:t>
      </w:r>
      <w:bookmarkEnd w:id="63"/>
      <w:r/>
    </w:p>
    <w:p>
      <w:pPr>
        <w:ind w:firstLine="480"/>
        <w:jc w:val="left"/>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八、保修：</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1、保修责任</w:t>
      </w:r>
      <w:r/>
    </w:p>
    <w:p>
      <w:pPr>
        <w:ind w:firstLine="480"/>
        <w:jc w:val="left"/>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工程保修期为：</w:t>
      </w:r>
      <w:r>
        <w:rPr>
          <w:rFonts w:hint="eastAsia" w:ascii="宋体" w:hAnsi="宋体" w:eastAsia="宋体" w:cs="宋体"/>
          <w:color w:val="auto"/>
          <w:sz w:val="24"/>
          <w:szCs w:val="24"/>
          <w:u w:val="single"/>
        </w:rPr>
        <w:t xml:space="preserve">本工程的保</w:t>
      </w:r>
      <w:r>
        <w:rPr>
          <w:rFonts w:hint="eastAsia" w:ascii="宋体" w:hAnsi="宋体" w:eastAsia="宋体" w:cs="宋体"/>
          <w:color w:val="auto"/>
          <w:sz w:val="24"/>
          <w:szCs w:val="24"/>
          <w:highlight w:val="none"/>
          <w:u w:val="single"/>
        </w:rPr>
        <w:t xml:space="preserve">修期为 5 年，自工程竣</w:t>
      </w:r>
      <w:r>
        <w:rPr>
          <w:rFonts w:hint="eastAsia" w:ascii="宋体" w:hAnsi="宋体" w:eastAsia="宋体" w:cs="宋体"/>
          <w:color w:val="auto"/>
          <w:sz w:val="24"/>
          <w:szCs w:val="24"/>
          <w:u w:val="single"/>
        </w:rPr>
        <w:t xml:space="preserve">工验收合格之日起算。（保修期届满前，乙方须对工程进行全面检查，使本工程达到合同所要求的条件及甲方认为合格的程度）。</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2、修复通知</w:t>
      </w:r>
      <w:r/>
    </w:p>
    <w:p>
      <w:pPr>
        <w:ind w:firstLine="480"/>
        <w:jc w:val="left"/>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承包人收到保修通知并到达工程现场的合理时间：</w:t>
      </w:r>
      <w:r>
        <w:rPr>
          <w:rFonts w:hint="eastAsia" w:ascii="宋体" w:hAnsi="宋体" w:eastAsia="宋体" w:cs="宋体"/>
          <w:color w:val="auto"/>
          <w:sz w:val="24"/>
          <w:szCs w:val="24"/>
          <w:u w:val="single"/>
        </w:rPr>
        <w:t xml:space="preserve">在保修期内乙方应对工程质量问题承担保修责任，承包人应在接到甲方电话或书面通知后24小时内赶到现场维修。如承包人未能在约定期限内派人保修的，或自接到保修通知之日起2日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p>
    <w:p>
      <w:pPr>
        <w:ind w:right="-161"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九、有关安全生产和防火的约定：</w:t>
      </w:r>
      <w:r/>
    </w:p>
    <w:p>
      <w:pPr>
        <w:ind w:right="-161"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1、乙方施工过程中须按照国家及行业现行的安全生产施工规范实施，工程施工期间涉及安全由乙方全部负责，涉及安全所产生的相关费用一律由乙方承担。</w:t>
      </w:r>
      <w:r/>
    </w:p>
    <w:p>
      <w:pPr>
        <w:ind w:right="-161"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2、乙方在施工期间应严格遵守《中华人民共和国建筑法》、《中华人民共和国安全生产法》、《中华人民共和国消防条例》、《建设工程质量管理条例》和其它相关的法规、规范。</w:t>
      </w:r>
      <w:r/>
    </w:p>
    <w:p>
      <w:pPr>
        <w:ind w:right="-161"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3、由于甲方确认的图纸或作法说明，违反有关法规、消防条例和防火设计规范，导致发生安全或火灾事故，甲方或图纸设计单位应承担由此产生的一切经济损失。</w:t>
      </w:r>
      <w:r/>
    </w:p>
    <w:p>
      <w:pPr>
        <w:ind w:right="-161"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4、由于乙方在施工生产过程中违反有关法规、消防条例，导致发生安全或火灾事故，乙方应承担由此引发的一切经济损失。</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十、合同文件构成：</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1、下列文件为本合同不可分割部分：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（1）本合同书；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（2）合同书签署后各方以书面形式确认的补充协议、会议纪要等；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（3）成交通知书；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（4）竞争性磋商文件及其附件；</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（5）乙方中标的响应文件；</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（6）乙方在招投标过程中所作的其他承诺、声明、书面澄清等；</w:t>
      </w:r>
      <w:r/>
    </w:p>
    <w:p>
      <w:pPr>
        <w:ind w:firstLine="60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(7)图纸；</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（8）已标价工程量清单或预算书</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（9）其他合同技术附件。</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任何一份单独文件具有或可能具有相反或不同的描述、理解或释义，或全部合同组成文件关于质量、价格等条款内容存在分歧、歧义或冲突时，按照采购合同、成交通知书、磋商文件及补充通知、乙方响应文件、乙方的承诺声明等的顺序进行解释。</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2、在合同订立及履行过程中形成的与合同有关的文件均构成合同文件组成部分。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3、上述各项合同文件包括合同当事人就该项合同文件所作出的补充和修改，属于同一类内容的文件，应以最新签署的为准。专用合同条款及其附件须经合同当事人签字或盖章。</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十一、承诺：</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1、发包人承诺按照法律规定履行项目审批手续、筹集工程建设资金并按照合同约定的期限和方式支付合同价款。</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2、承包人承诺按照法律规定及合同约定组织完成工程施工，确保工程质量和安全，不进行转包及违法分包，并在缺陷责任期及保修期内承担相应的工程维修责任。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3、发包人和承包人通过招投标形式签订合同的，双方理解并承诺不再就同一工程另行签订与合同实质性内容相背离的协议。</w:t>
      </w:r>
      <w:r/>
    </w:p>
    <w:p>
      <w:pPr>
        <w:ind w:right="-161"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十二、争议或纠纷处理：</w:t>
      </w:r>
      <w:r/>
    </w:p>
    <w:p>
      <w:pPr>
        <w:ind w:right="-161"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1、本合同在履行期间，双方发生争议时，在不影响工程进度的前提下，双方可采取协商解决或请有关部门进行调解。</w:t>
      </w:r>
      <w:r/>
    </w:p>
    <w:p>
      <w:pPr>
        <w:ind w:firstLine="48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 xml:space="preserve">2、当事人不愿通过协商、调解解决或者协商调解不成的，本合同在执行中发生的争议双方同意由</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仲裁委员会仲裁（当事人不在本合同约定仲裁机构，事后又没有达成书面仲裁协议的，可向工程所在地人民法院起诉）</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十三、履约保证金：</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本项目不收取履约保证金。</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十四、合同生效：</w:t>
      </w:r>
      <w:r/>
    </w:p>
    <w:p>
      <w:pPr>
        <w:ind w:firstLine="480"/>
        <w:spacing w:line="360" w:lineRule="auto"/>
        <w:rPr>
          <w:rFonts w:hint="eastAsia" w:ascii="宋体" w:hAnsi="宋体" w:eastAsia="宋体" w:cs="宋体"/>
          <w:color w:val="auto"/>
          <w:sz w:val="24"/>
          <w:szCs w:val="24"/>
          <w:highlight w:val="white"/>
        </w:rPr>
      </w:pPr>
      <w:r/>
      <w:bookmarkStart w:id="64" w:name="_Toc26932"/>
      <w:r>
        <w:rPr>
          <w:rFonts w:hint="eastAsia" w:ascii="宋体" w:hAnsi="宋体" w:eastAsia="宋体" w:cs="宋体"/>
          <w:color w:val="auto"/>
          <w:sz w:val="24"/>
          <w:szCs w:val="24"/>
        </w:rPr>
        <w:t xml:space="preserve">本合同经双方法定（授权）代表人签字（或盖章）并加盖单位公章（合同章）后生效，生效合同须送至采购代理机构，由采购代理机构向财政部门申请完成备案工作。</w:t>
      </w:r>
      <w:bookmarkEnd w:id="64"/>
      <w:r/>
      <w:r/>
    </w:p>
    <w:p>
      <w:pPr>
        <w:ind w:firstLine="48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十五、合同份数及其他：</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1、本合同一式</w:t>
      </w:r>
      <w:r>
        <w:rPr>
          <w:rFonts w:hint="eastAsia" w:ascii="宋体" w:hAnsi="宋体" w:eastAsia="宋体" w:cs="宋体"/>
          <w:bCs/>
          <w:color w:val="auto"/>
          <w:sz w:val="24"/>
          <w:szCs w:val="24"/>
          <w:u w:val="single"/>
        </w:rPr>
        <w:t xml:space="preserve"> 6 </w:t>
      </w:r>
      <w:r>
        <w:rPr>
          <w:rFonts w:hint="eastAsia" w:ascii="宋体" w:hAnsi="宋体" w:eastAsia="宋体" w:cs="宋体"/>
          <w:bCs/>
          <w:color w:val="auto"/>
          <w:sz w:val="24"/>
          <w:szCs w:val="24"/>
        </w:rPr>
        <w:t xml:space="preserve">份，甲方</w:t>
      </w:r>
      <w:r>
        <w:rPr>
          <w:rFonts w:hint="eastAsia" w:ascii="宋体" w:hAnsi="宋体" w:eastAsia="宋体" w:cs="宋体"/>
          <w:bCs/>
          <w:color w:val="auto"/>
          <w:sz w:val="24"/>
          <w:szCs w:val="24"/>
          <w:u w:val="single"/>
        </w:rPr>
        <w:t xml:space="preserve">2 </w:t>
      </w:r>
      <w:r>
        <w:rPr>
          <w:rFonts w:hint="eastAsia" w:ascii="宋体" w:hAnsi="宋体" w:eastAsia="宋体" w:cs="宋体"/>
          <w:bCs/>
          <w:color w:val="auto"/>
          <w:sz w:val="24"/>
          <w:szCs w:val="24"/>
        </w:rPr>
        <w:t xml:space="preserve">份、乙方</w:t>
      </w:r>
      <w:r>
        <w:rPr>
          <w:rFonts w:hint="eastAsia" w:ascii="宋体" w:hAnsi="宋体" w:eastAsia="宋体" w:cs="宋体"/>
          <w:bCs/>
          <w:color w:val="auto"/>
          <w:sz w:val="24"/>
          <w:szCs w:val="24"/>
          <w:u w:val="single"/>
        </w:rPr>
        <w:t xml:space="preserve"> 2 </w:t>
      </w:r>
      <w:r>
        <w:rPr>
          <w:rFonts w:hint="eastAsia" w:ascii="宋体" w:hAnsi="宋体" w:eastAsia="宋体" w:cs="宋体"/>
          <w:bCs/>
          <w:color w:val="auto"/>
          <w:sz w:val="24"/>
          <w:szCs w:val="24"/>
        </w:rPr>
        <w:t xml:space="preserve">份，政府采购管理部门及采购代理机构各执</w:t>
      </w:r>
      <w:r>
        <w:rPr>
          <w:rFonts w:hint="eastAsia" w:ascii="宋体" w:hAnsi="宋体" w:eastAsia="宋体" w:cs="宋体"/>
          <w:bCs/>
          <w:color w:val="auto"/>
          <w:sz w:val="24"/>
          <w:szCs w:val="24"/>
          <w:u w:val="single"/>
        </w:rPr>
        <w:t xml:space="preserve"> 1 </w:t>
      </w:r>
      <w:r>
        <w:rPr>
          <w:rFonts w:hint="eastAsia" w:ascii="宋体" w:hAnsi="宋体" w:eastAsia="宋体" w:cs="宋体"/>
          <w:bCs/>
          <w:color w:val="auto"/>
          <w:sz w:val="24"/>
          <w:szCs w:val="24"/>
        </w:rPr>
        <w:t xml:space="preserve">份，</w:t>
      </w:r>
      <w:r>
        <w:rPr>
          <w:rFonts w:hint="eastAsia" w:ascii="宋体" w:hAnsi="宋体" w:eastAsia="宋体" w:cs="宋体"/>
          <w:color w:val="auto"/>
          <w:sz w:val="24"/>
          <w:szCs w:val="24"/>
        </w:rPr>
        <w:t xml:space="preserve">具备同等法律效力</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2、合同未尽事宜，合同当事人另行签订补充协议，补充协议是合同的组成部分。</w:t>
      </w:r>
      <w:r/>
    </w:p>
    <w:tbl>
      <w:tblPr>
        <w:tblStyle w:val="678"/>
        <w:tblW w:w="0" w:type="auto"/>
        <w:jc w:val="center"/>
        <w:tblLayout w:type="fixed"/>
        <w:tblCellMar>
          <w:left w:w="0" w:type="dxa"/>
          <w:top w:w="0" w:type="dxa"/>
          <w:right w:w="0" w:type="dxa"/>
          <w:bottom w:w="0" w:type="dxa"/>
        </w:tblCellMar>
        <w:tblLook w:val="04A0" w:firstRow="1" w:lastRow="0" w:firstColumn="1" w:lastColumn="0" w:noHBand="0" w:noVBand="1"/>
      </w:tblPr>
      <w:tblGrid>
        <w:gridCol w:w="4679"/>
        <w:gridCol w:w="4620"/>
      </w:tblGrid>
      <w:tr>
        <w:trPr>
          <w:jc w:val="center"/>
        </w:trPr>
        <w:tc>
          <w:tcPr>
            <w:tcMar>
              <w:left w:w="108" w:type="dxa"/>
              <w:top w:w="0" w:type="dxa"/>
              <w:right w:w="108" w:type="dxa"/>
              <w:bottom w:w="0" w:type="dxa"/>
            </w:tcMar>
            <w:tcW w:w="4679"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发包人：(公章)</w:t>
            </w:r>
            <w:r/>
          </w:p>
        </w:tc>
        <w:tc>
          <w:tcPr>
            <w:tcMar>
              <w:left w:w="108" w:type="dxa"/>
              <w:top w:w="0" w:type="dxa"/>
              <w:right w:w="108" w:type="dxa"/>
              <w:bottom w:w="0" w:type="dxa"/>
            </w:tcMar>
            <w:tcW w:w="4620"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承包人:（公章) </w:t>
            </w:r>
            <w:r/>
          </w:p>
        </w:tc>
      </w:tr>
      <w:tr>
        <w:trPr>
          <w:jc w:val="center"/>
        </w:trPr>
        <w:tc>
          <w:tcPr>
            <w:tcMar>
              <w:left w:w="108" w:type="dxa"/>
              <w:top w:w="0" w:type="dxa"/>
              <w:right w:w="108" w:type="dxa"/>
              <w:bottom w:w="0" w:type="dxa"/>
            </w:tcMar>
            <w:tcW w:w="4679"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法定代表人或其委托代理人：(签字)</w:t>
            </w:r>
            <w:r/>
          </w:p>
        </w:tc>
        <w:tc>
          <w:tcPr>
            <w:tcMar>
              <w:left w:w="108" w:type="dxa"/>
              <w:top w:w="0" w:type="dxa"/>
              <w:right w:w="108" w:type="dxa"/>
              <w:bottom w:w="0" w:type="dxa"/>
            </w:tcMar>
            <w:tcW w:w="4620"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法定代表人或其委托代理人：(签字)</w:t>
            </w:r>
            <w:r/>
          </w:p>
        </w:tc>
      </w:tr>
      <w:tr>
        <w:trPr>
          <w:jc w:val="center"/>
        </w:trPr>
        <w:tc>
          <w:tcPr>
            <w:tcMar>
              <w:left w:w="108" w:type="dxa"/>
              <w:top w:w="0" w:type="dxa"/>
              <w:right w:w="108" w:type="dxa"/>
              <w:bottom w:w="0" w:type="dxa"/>
            </w:tcMar>
            <w:tcW w:w="4679"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组织机构代码：</w:t>
            </w:r>
            <w:r/>
          </w:p>
        </w:tc>
        <w:tc>
          <w:tcPr>
            <w:tcMar>
              <w:left w:w="108" w:type="dxa"/>
              <w:top w:w="0" w:type="dxa"/>
              <w:right w:w="108" w:type="dxa"/>
              <w:bottom w:w="0" w:type="dxa"/>
            </w:tcMar>
            <w:tcW w:w="4620"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组织机构代码：</w:t>
            </w:r>
            <w:r/>
          </w:p>
        </w:tc>
      </w:tr>
      <w:tr>
        <w:trPr>
          <w:jc w:val="center"/>
        </w:trPr>
        <w:tc>
          <w:tcPr>
            <w:tcMar>
              <w:left w:w="108" w:type="dxa"/>
              <w:top w:w="0" w:type="dxa"/>
              <w:right w:w="108" w:type="dxa"/>
              <w:bottom w:w="0" w:type="dxa"/>
            </w:tcMar>
            <w:tcW w:w="4679"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tc>
        <w:tc>
          <w:tcPr>
            <w:tcMar>
              <w:left w:w="108" w:type="dxa"/>
              <w:top w:w="0" w:type="dxa"/>
              <w:right w:w="108" w:type="dxa"/>
              <w:bottom w:w="0" w:type="dxa"/>
            </w:tcMar>
            <w:tcW w:w="4620"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    址：</w:t>
            </w:r>
            <w:r/>
          </w:p>
        </w:tc>
      </w:tr>
      <w:tr>
        <w:trPr>
          <w:jc w:val="center"/>
        </w:trPr>
        <w:tc>
          <w:tcPr>
            <w:tcMar>
              <w:left w:w="108" w:type="dxa"/>
              <w:top w:w="0" w:type="dxa"/>
              <w:right w:w="108" w:type="dxa"/>
              <w:bottom w:w="0" w:type="dxa"/>
            </w:tcMar>
            <w:tcW w:w="4679"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邮政编码：</w:t>
            </w:r>
            <w:r/>
          </w:p>
        </w:tc>
        <w:tc>
          <w:tcPr>
            <w:tcMar>
              <w:left w:w="108" w:type="dxa"/>
              <w:top w:w="0" w:type="dxa"/>
              <w:right w:w="108" w:type="dxa"/>
              <w:bottom w:w="0" w:type="dxa"/>
            </w:tcMar>
            <w:tcW w:w="4620"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邮政编码：</w:t>
            </w:r>
            <w:r/>
          </w:p>
        </w:tc>
      </w:tr>
      <w:tr>
        <w:trPr>
          <w:jc w:val="center"/>
        </w:trPr>
        <w:tc>
          <w:tcPr>
            <w:tcMar>
              <w:left w:w="108" w:type="dxa"/>
              <w:top w:w="0" w:type="dxa"/>
              <w:right w:w="108" w:type="dxa"/>
              <w:bottom w:w="0" w:type="dxa"/>
            </w:tcMar>
            <w:tcW w:w="4679"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w:t>
            </w:r>
            <w:r/>
          </w:p>
        </w:tc>
        <w:tc>
          <w:tcPr>
            <w:tcMar>
              <w:left w:w="108" w:type="dxa"/>
              <w:top w:w="0" w:type="dxa"/>
              <w:right w:w="108" w:type="dxa"/>
              <w:bottom w:w="0" w:type="dxa"/>
            </w:tcMar>
            <w:tcW w:w="4620"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 </w:t>
            </w:r>
            <w:r/>
          </w:p>
        </w:tc>
      </w:tr>
      <w:tr>
        <w:trPr>
          <w:jc w:val="center"/>
        </w:trPr>
        <w:tc>
          <w:tcPr>
            <w:tcMar>
              <w:left w:w="108" w:type="dxa"/>
              <w:top w:w="0" w:type="dxa"/>
              <w:right w:w="108" w:type="dxa"/>
              <w:bottom w:w="0" w:type="dxa"/>
            </w:tcMar>
            <w:tcW w:w="4679"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w:t>
            </w:r>
            <w:r/>
          </w:p>
        </w:tc>
        <w:tc>
          <w:tcPr>
            <w:tcMar>
              <w:left w:w="108" w:type="dxa"/>
              <w:top w:w="0" w:type="dxa"/>
              <w:right w:w="108" w:type="dxa"/>
              <w:bottom w:w="0" w:type="dxa"/>
            </w:tcMar>
            <w:tcW w:w="4620"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委托代理人：</w:t>
            </w:r>
            <w:r/>
          </w:p>
        </w:tc>
      </w:tr>
      <w:tr>
        <w:trPr>
          <w:jc w:val="center"/>
        </w:trPr>
        <w:tc>
          <w:tcPr>
            <w:tcMar>
              <w:left w:w="108" w:type="dxa"/>
              <w:top w:w="0" w:type="dxa"/>
              <w:right w:w="108" w:type="dxa"/>
              <w:bottom w:w="0" w:type="dxa"/>
            </w:tcMar>
            <w:tcW w:w="4679"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w:t>
            </w:r>
            <w:r/>
          </w:p>
        </w:tc>
        <w:tc>
          <w:tcPr>
            <w:tcMar>
              <w:left w:w="108" w:type="dxa"/>
              <w:top w:w="0" w:type="dxa"/>
              <w:right w:w="108" w:type="dxa"/>
              <w:bottom w:w="0" w:type="dxa"/>
            </w:tcMar>
            <w:tcW w:w="4620"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    话：</w:t>
            </w:r>
            <w:r/>
          </w:p>
        </w:tc>
      </w:tr>
      <w:tr>
        <w:trPr>
          <w:jc w:val="center"/>
        </w:trPr>
        <w:tc>
          <w:tcPr>
            <w:tcMar>
              <w:left w:w="108" w:type="dxa"/>
              <w:top w:w="0" w:type="dxa"/>
              <w:right w:w="108" w:type="dxa"/>
              <w:bottom w:w="0" w:type="dxa"/>
            </w:tcMar>
            <w:tcW w:w="4679"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    真：</w:t>
            </w:r>
            <w:r/>
          </w:p>
        </w:tc>
        <w:tc>
          <w:tcPr>
            <w:tcMar>
              <w:left w:w="108" w:type="dxa"/>
              <w:top w:w="0" w:type="dxa"/>
              <w:right w:w="108" w:type="dxa"/>
              <w:bottom w:w="0" w:type="dxa"/>
            </w:tcMar>
            <w:tcW w:w="4620"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传    真：</w:t>
            </w:r>
            <w:r/>
          </w:p>
        </w:tc>
      </w:tr>
      <w:tr>
        <w:trPr>
          <w:jc w:val="center"/>
        </w:trPr>
        <w:tc>
          <w:tcPr>
            <w:tcMar>
              <w:left w:w="108" w:type="dxa"/>
              <w:top w:w="0" w:type="dxa"/>
              <w:right w:w="108" w:type="dxa"/>
              <w:bottom w:w="0" w:type="dxa"/>
            </w:tcMar>
            <w:tcW w:w="4679"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电子信箱：</w:t>
            </w:r>
            <w:r/>
          </w:p>
        </w:tc>
        <w:tc>
          <w:tcPr>
            <w:tcMar>
              <w:left w:w="108" w:type="dxa"/>
              <w:top w:w="0" w:type="dxa"/>
              <w:right w:w="108" w:type="dxa"/>
              <w:bottom w:w="0" w:type="dxa"/>
            </w:tcMar>
            <w:tcW w:w="4620"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电子信箱：</w:t>
            </w:r>
            <w:r/>
          </w:p>
        </w:tc>
      </w:tr>
      <w:tr>
        <w:trPr>
          <w:jc w:val="center"/>
        </w:trPr>
        <w:tc>
          <w:tcPr>
            <w:tcMar>
              <w:left w:w="108" w:type="dxa"/>
              <w:top w:w="0" w:type="dxa"/>
              <w:right w:w="108" w:type="dxa"/>
              <w:bottom w:w="0" w:type="dxa"/>
            </w:tcMar>
            <w:tcW w:w="4679"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w:t>
            </w:r>
            <w:r/>
          </w:p>
        </w:tc>
        <w:tc>
          <w:tcPr>
            <w:tcMar>
              <w:left w:w="108" w:type="dxa"/>
              <w:top w:w="0" w:type="dxa"/>
              <w:right w:w="108" w:type="dxa"/>
              <w:bottom w:w="0" w:type="dxa"/>
            </w:tcMar>
            <w:tcW w:w="4620"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 </w:t>
            </w:r>
            <w:r/>
          </w:p>
        </w:tc>
      </w:tr>
      <w:tr>
        <w:trPr>
          <w:jc w:val="center"/>
        </w:trPr>
        <w:tc>
          <w:tcPr>
            <w:tcMar>
              <w:left w:w="108" w:type="dxa"/>
              <w:top w:w="0" w:type="dxa"/>
              <w:right w:w="108" w:type="dxa"/>
              <w:bottom w:w="0" w:type="dxa"/>
            </w:tcMar>
            <w:tcW w:w="4679"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账    号：</w:t>
            </w:r>
            <w:r/>
          </w:p>
        </w:tc>
        <w:tc>
          <w:tcPr>
            <w:tcMar>
              <w:left w:w="108" w:type="dxa"/>
              <w:top w:w="0" w:type="dxa"/>
              <w:right w:w="108" w:type="dxa"/>
              <w:bottom w:w="0" w:type="dxa"/>
            </w:tcMar>
            <w:tcW w:w="4620" w:type="dxa"/>
            <w:vAlign w:val="top"/>
            <w:textDirection w:val="lrTb"/>
            <w:noWrap w:val="false"/>
          </w:tcPr>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账    号：</w:t>
            </w:r>
            <w:r/>
          </w:p>
        </w:tc>
      </w:tr>
    </w:tbl>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jc w:val="cente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br w:type="page" w:clear="all"/>
      </w:r>
      <w:r>
        <w:rPr>
          <w:rFonts w:hint="eastAsia" w:ascii="宋体" w:hAnsi="宋体" w:eastAsia="宋体" w:cs="宋体"/>
          <w:color w:val="auto"/>
          <w:sz w:val="24"/>
          <w:szCs w:val="24"/>
          <w:highlight w:val="white"/>
        </w:rPr>
        <w:t xml:space="preserve">建设工程廉政责任书</w:t>
      </w:r>
      <w:r/>
    </w:p>
    <w:p>
      <w:pPr>
        <w:ind w:firstLine="42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white"/>
        </w:rPr>
        <w:t xml:space="preserve">发包人：</w:t>
      </w:r>
      <w:r>
        <w:rPr>
          <w:rFonts w:hint="eastAsia" w:ascii="宋体" w:hAnsi="宋体" w:eastAsia="宋体" w:cs="宋体"/>
          <w:color w:val="auto"/>
          <w:sz w:val="24"/>
          <w:szCs w:val="24"/>
          <w:highlight w:val="white"/>
          <w:u w:val="single"/>
        </w:rPr>
        <w:t xml:space="preserve">苏州高新区狮山商务创新区管理办公室</w:t>
      </w:r>
      <w:r/>
    </w:p>
    <w:p>
      <w:pPr>
        <w:ind w:firstLine="420"/>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承包人：</w:t>
      </w:r>
      <w:r>
        <w:rPr>
          <w:rFonts w:hint="eastAsia" w:ascii="宋体" w:hAnsi="宋体" w:eastAsia="宋体" w:cs="宋体"/>
          <w:color w:val="auto"/>
          <w:sz w:val="24"/>
          <w:szCs w:val="24"/>
          <w:highlight w:val="white"/>
          <w:u w:val="single"/>
        </w:rPr>
        <w:t xml:space="preserve">                               </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一、双方的责任</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1.1应严格遵守国家关于建设工程的有关法律、法规，相关政策，以及廉政建设的各项规定。</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1.2严格执行建设工程合同文件，自觉按合同办事。</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1.3各项活动必须坚持公开、公平、公正、诚信、透明的原则(除法律法规另有规定者外)，不得为获取不正当的利益，损害国家、集体和对方利益，不得违反建设工程管理的规章制度。</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1.4发现对方在业务活动中有违规、违纪、违法行为的，应及时提醒对方，情节严重的，应向其上级主管部门或纪检监察、司法等有关机关举报。</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二、发包人责任</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发包人的领导和从事该建设工程项目的工作人员，在工程建设的事前、事中、事后应遵守以下规定：</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2.1不得向承包人和相关单位索要或接受回扣、礼金、有价证券、贵重物品和好处费、感谢费等。</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2.2不得在承包人和相关单位报销任何应由发包人或个人支付的费用。</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2.3不得要求、暗示或接受承包人和相关单位为个人装修住房、婚丧嫁娶、配偶子女的工作安排以及出国(境)、旅游等提供方便。</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2.4不得参加有可能影响公正执行公务的承包人和相关单位的宴请、健身、娱乐等活动。</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2.5不得向承包人和相关单位介绍或为配偶、子女、亲属参与同发包人工程建设管理合同有关的业务活动；不得以任何理由要求承包人和相关单位使用某种产品、材料和设备。</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三、承包人责任</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3.1不得以任何理由向发包人及其工作人员索要、接受或赠送礼金、有价证券、贵重物品及回扣、好处费、感谢费等。</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3.2不得以任何理由为发包人和相关单位报销应由对方或个人支付的费用。</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3.3不得接受或暗示为发包人、相关单位或个人装修住房、婚丧嫁娶、配偶子女的工作安排以及出国(境)、旅游等提供方便。</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3.4不得以任何理由为发包人、相关单位或个人组织有可能影响公正执行公务的宴请、健身、娱乐等活动。</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四、违约责任</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4.3本责任书作为建设工程合同的组成部分，与建设工程合同具有同等法律效力。经双方签署后立即生效。</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五、责任书有效期</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本责任书的有效期为双方签署之日起至该工程项目竣工验收合格时止。</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六、责任书份数</w:t>
      </w:r>
      <w:r/>
    </w:p>
    <w:p>
      <w:pPr>
        <w:ind w:firstLine="420"/>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本责任书一式二份，发包人承包人各执一份，具有同等效力。</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发包人：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(公章)     承包人：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(公章)</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white"/>
        </w:rPr>
        <w:t xml:space="preserve">法定地址：</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法定地址：</w:t>
      </w:r>
      <w:r>
        <w:rPr>
          <w:rFonts w:hint="eastAsia" w:ascii="宋体" w:hAnsi="宋体" w:eastAsia="宋体" w:cs="宋体"/>
          <w:color w:val="auto"/>
          <w:sz w:val="24"/>
          <w:szCs w:val="24"/>
          <w:highlight w:val="white"/>
          <w:u w:val="single"/>
        </w:rPr>
        <w:t xml:space="preserve">                 </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法定代表人或其                       法定代表人或其</w:t>
      </w:r>
      <w:r/>
    </w:p>
    <w:p>
      <w:pPr>
        <w:spacing w:line="360" w:lineRule="auto"/>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t xml:space="preserve">委托代理人：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(签字)    委托代理人：</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(签字)</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white"/>
        </w:rPr>
        <w:t xml:space="preserve">电话：</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电话：</w:t>
      </w:r>
      <w:r>
        <w:rPr>
          <w:rFonts w:hint="eastAsia" w:ascii="宋体" w:hAnsi="宋体" w:eastAsia="宋体" w:cs="宋体"/>
          <w:color w:val="auto"/>
          <w:sz w:val="24"/>
          <w:szCs w:val="24"/>
          <w:highlight w:val="white"/>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white"/>
        </w:rPr>
        <w:t xml:space="preserve">传真：</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传真：</w:t>
      </w:r>
      <w:r>
        <w:rPr>
          <w:rFonts w:hint="eastAsia" w:ascii="宋体" w:hAnsi="宋体" w:eastAsia="宋体" w:cs="宋体"/>
          <w:color w:val="auto"/>
          <w:sz w:val="24"/>
          <w:szCs w:val="24"/>
          <w:highlight w:val="white"/>
          <w:u w:val="single"/>
        </w:rPr>
        <w:t xml:space="preserve">                      </w:t>
      </w:r>
      <w:r/>
    </w:p>
    <w:p>
      <w:pPr>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电子邮箱：</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电子邮箱：</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white"/>
        </w:rPr>
        <w:t xml:space="preserve">开户银行：</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开户银行：</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white"/>
        </w:rPr>
        <w:t xml:space="preserve">帐号：</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帐号：</w:t>
      </w:r>
      <w:r>
        <w:rPr>
          <w:rFonts w:hint="eastAsia" w:ascii="宋体" w:hAnsi="宋体" w:eastAsia="宋体" w:cs="宋体"/>
          <w:color w:val="auto"/>
          <w:sz w:val="24"/>
          <w:szCs w:val="24"/>
          <w:u w:val="single"/>
        </w:rPr>
        <w:t xml:space="preserve">                         </w:t>
      </w:r>
      <w:r/>
    </w:p>
    <w:p>
      <w:pPr>
        <w:spacing w:line="360" w:lineRule="auto"/>
        <w:rPr>
          <w:rFonts w:hint="eastAsia" w:ascii="宋体" w:hAnsi="宋体" w:eastAsia="宋体" w:cs="宋体"/>
          <w:color w:val="auto"/>
          <w:sz w:val="24"/>
          <w:szCs w:val="24"/>
          <w:highlight w:val="white"/>
          <w:u w:val="single"/>
        </w:rPr>
      </w:pPr>
      <w:r>
        <w:rPr>
          <w:rFonts w:hint="eastAsia" w:ascii="宋体" w:hAnsi="宋体" w:eastAsia="宋体" w:cs="宋体"/>
          <w:color w:val="auto"/>
          <w:sz w:val="24"/>
          <w:szCs w:val="24"/>
          <w:highlight w:val="white"/>
        </w:rPr>
        <w:t xml:space="preserve">邮政编码：</w:t>
      </w:r>
      <w:r>
        <w:rPr>
          <w:rFonts w:hint="eastAsia" w:ascii="宋体" w:hAnsi="宋体" w:eastAsia="宋体" w:cs="宋体"/>
          <w:color w:val="auto"/>
          <w:sz w:val="24"/>
          <w:szCs w:val="24"/>
          <w:highlight w:val="white"/>
          <w:u w:val="single"/>
        </w:rPr>
        <w:t xml:space="preserve">                   </w:t>
      </w:r>
      <w:r>
        <w:rPr>
          <w:rFonts w:hint="eastAsia" w:ascii="宋体" w:hAnsi="宋体" w:eastAsia="宋体" w:cs="宋体"/>
          <w:color w:val="auto"/>
          <w:sz w:val="24"/>
          <w:szCs w:val="24"/>
          <w:highlight w:val="white"/>
        </w:rPr>
        <w:t xml:space="preserve">          邮政编码：</w:t>
      </w:r>
      <w:r>
        <w:rPr>
          <w:rFonts w:hint="eastAsia" w:ascii="宋体" w:hAnsi="宋体" w:eastAsia="宋体" w:cs="宋体"/>
          <w:color w:val="auto"/>
          <w:sz w:val="24"/>
          <w:szCs w:val="24"/>
          <w:highlight w:val="white"/>
          <w:u w:val="single"/>
        </w:rPr>
        <w:t xml:space="preserve">                     </w:t>
      </w:r>
      <w:r/>
    </w:p>
    <w:p>
      <w:pPr>
        <w:ind w:firstLine="1104"/>
        <w:spacing w:line="360" w:lineRule="auto"/>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附件：</w:t>
      </w:r>
      <w:r/>
    </w:p>
    <w:p>
      <w:pPr>
        <w:jc w:val="center"/>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lang w:bidi="ar"/>
        </w:rPr>
        <w:t xml:space="preserve">政府采购合同信用融资政策告知函</w:t>
      </w:r>
      <w:r/>
    </w:p>
    <w:p>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各政府采购供应商：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欢迎贵公司参加苏州市政府采购活动！</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bidi="ar"/>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left"/>
        <w:rPr>
          <w:rFonts w:hint="eastAsia" w:ascii="宋体" w:hAnsi="宋体" w:eastAsia="宋体" w:cs="宋体"/>
          <w:b/>
          <w:bCs/>
          <w:color w:val="auto"/>
          <w:sz w:val="52"/>
          <w:szCs w:val="52"/>
        </w:rPr>
      </w:pPr>
      <w:r>
        <w:rPr>
          <w:rFonts w:hint="eastAsia" w:ascii="宋体" w:hAnsi="宋体" w:eastAsia="宋体" w:cs="宋体"/>
          <w:b/>
          <w:bCs/>
          <w:color w:val="auto"/>
          <w:szCs w:val="21"/>
        </w:rPr>
        <w:br w:type="page" w:clear="all"/>
      </w:r>
      <w:r/>
    </w:p>
    <w:p>
      <w:pPr>
        <w:ind w:firstLine="1044"/>
        <w:spacing w:line="360" w:lineRule="auto"/>
        <w:tabs>
          <w:tab w:val="left" w:pos="8930" w:leader="none"/>
          <w:tab w:val="left" w:pos="9306" w:leader="none"/>
        </w:tabs>
        <w:rPr>
          <w:rFonts w:hint="eastAsia" w:ascii="宋体" w:hAnsi="宋体" w:eastAsia="宋体" w:cs="宋体"/>
          <w:b/>
          <w:bCs/>
          <w:color w:val="auto"/>
          <w:sz w:val="52"/>
          <w:szCs w:val="52"/>
        </w:rPr>
      </w:pPr>
      <w:r>
        <w:rPr>
          <w:rFonts w:hint="eastAsia" w:ascii="宋体" w:hAnsi="宋体" w:eastAsia="宋体" w:cs="宋体"/>
          <w:b/>
          <w:bCs/>
          <w:color w:val="auto"/>
          <w:sz w:val="52"/>
          <w:szCs w:val="52"/>
        </w:rPr>
      </w:r>
      <w:r/>
    </w:p>
    <w:p>
      <w:pPr>
        <w:ind w:firstLine="1044"/>
        <w:spacing w:line="360" w:lineRule="auto"/>
        <w:tabs>
          <w:tab w:val="left" w:pos="8930" w:leader="none"/>
          <w:tab w:val="left" w:pos="9306" w:leader="none"/>
        </w:tabs>
        <w:rPr>
          <w:rFonts w:hint="eastAsia" w:ascii="宋体" w:hAnsi="宋体" w:eastAsia="宋体" w:cs="宋体"/>
          <w:b/>
          <w:bCs/>
          <w:color w:val="auto"/>
          <w:sz w:val="52"/>
          <w:szCs w:val="52"/>
        </w:rPr>
      </w:pPr>
      <w:r>
        <w:rPr>
          <w:rFonts w:hint="eastAsia" w:ascii="宋体" w:hAnsi="宋体" w:eastAsia="宋体" w:cs="宋体"/>
          <w:b/>
          <w:bCs/>
          <w:color w:val="auto"/>
          <w:sz w:val="52"/>
          <w:szCs w:val="52"/>
        </w:rPr>
      </w:r>
      <w:r/>
    </w:p>
    <w:p>
      <w:pPr>
        <w:ind w:firstLine="1044"/>
        <w:spacing w:line="360" w:lineRule="auto"/>
        <w:tabs>
          <w:tab w:val="left" w:pos="8930" w:leader="none"/>
          <w:tab w:val="left" w:pos="9306" w:leader="none"/>
        </w:tabs>
        <w:rPr>
          <w:rFonts w:hint="eastAsia" w:ascii="宋体" w:hAnsi="宋体" w:eastAsia="宋体" w:cs="宋体"/>
          <w:b/>
          <w:bCs/>
          <w:color w:val="auto"/>
          <w:sz w:val="52"/>
          <w:szCs w:val="52"/>
        </w:rPr>
      </w:pPr>
      <w:r>
        <w:rPr>
          <w:rFonts w:hint="eastAsia" w:ascii="宋体" w:hAnsi="宋体" w:eastAsia="宋体" w:cs="宋体"/>
          <w:b/>
          <w:bCs/>
          <w:color w:val="auto"/>
          <w:sz w:val="52"/>
          <w:szCs w:val="52"/>
        </w:rPr>
      </w:r>
      <w:r/>
    </w:p>
    <w:p>
      <w:pPr>
        <w:ind w:firstLine="1044"/>
        <w:spacing w:line="360" w:lineRule="auto"/>
        <w:tabs>
          <w:tab w:val="left" w:pos="8930" w:leader="none"/>
          <w:tab w:val="left" w:pos="9306" w:leader="none"/>
        </w:tabs>
        <w:rPr>
          <w:rFonts w:hint="eastAsia" w:ascii="宋体" w:hAnsi="宋体" w:eastAsia="宋体" w:cs="宋体"/>
          <w:b/>
          <w:bCs/>
          <w:color w:val="auto"/>
          <w:sz w:val="52"/>
          <w:szCs w:val="52"/>
        </w:rPr>
      </w:pPr>
      <w:r>
        <w:rPr>
          <w:rFonts w:hint="eastAsia" w:ascii="宋体" w:hAnsi="宋体" w:eastAsia="宋体" w:cs="宋体"/>
          <w:b/>
          <w:bCs/>
          <w:color w:val="auto"/>
          <w:sz w:val="52"/>
          <w:szCs w:val="52"/>
        </w:rPr>
      </w:r>
      <w:r/>
    </w:p>
    <w:p>
      <w:pPr>
        <w:pStyle w:val="679"/>
        <w:rPr>
          <w:rFonts w:hint="eastAsia" w:ascii="宋体" w:hAnsi="宋体" w:eastAsia="宋体" w:cs="宋体"/>
          <w:b/>
          <w:bCs/>
          <w:color w:val="auto"/>
          <w:sz w:val="52"/>
          <w:szCs w:val="52"/>
        </w:rPr>
      </w:pPr>
      <w:r>
        <w:rPr>
          <w:rFonts w:hint="eastAsia" w:ascii="宋体" w:hAnsi="宋体" w:eastAsia="宋体" w:cs="宋体"/>
          <w:b/>
          <w:bCs/>
          <w:color w:val="auto"/>
          <w:sz w:val="52"/>
          <w:szCs w:val="52"/>
        </w:rPr>
      </w:r>
      <w:r/>
    </w:p>
    <w:p>
      <w:pPr>
        <w:pStyle w:val="679"/>
        <w:ind w:firstLine="0"/>
        <w:rPr>
          <w:rFonts w:hint="eastAsia" w:ascii="宋体" w:hAnsi="宋体" w:eastAsia="宋体" w:cs="宋体"/>
          <w:b/>
          <w:bCs/>
          <w:color w:val="auto"/>
          <w:sz w:val="52"/>
          <w:szCs w:val="52"/>
        </w:rPr>
      </w:pPr>
      <w:r>
        <w:rPr>
          <w:rFonts w:hint="eastAsia" w:ascii="宋体" w:hAnsi="宋体" w:eastAsia="宋体" w:cs="宋体"/>
          <w:b/>
          <w:bCs/>
          <w:color w:val="auto"/>
          <w:sz w:val="52"/>
          <w:szCs w:val="52"/>
        </w:rPr>
      </w:r>
      <w:r/>
    </w:p>
    <w:p>
      <w:pPr>
        <w:rPr>
          <w:rFonts w:hint="eastAsia" w:ascii="宋体" w:hAnsi="宋体" w:eastAsia="宋体" w:cs="宋体"/>
          <w:b/>
          <w:bCs/>
          <w:color w:val="auto"/>
          <w:sz w:val="52"/>
          <w:szCs w:val="52"/>
        </w:rPr>
      </w:pPr>
      <w:r>
        <w:rPr>
          <w:rFonts w:hint="eastAsia" w:ascii="宋体" w:hAnsi="宋体" w:eastAsia="宋体" w:cs="宋体"/>
          <w:b/>
          <w:bCs/>
          <w:color w:val="auto"/>
          <w:sz w:val="52"/>
          <w:szCs w:val="52"/>
        </w:rPr>
      </w:r>
      <w:r/>
    </w:p>
    <w:p>
      <w:pPr>
        <w:pStyle w:val="679"/>
        <w:rPr>
          <w:rFonts w:hint="eastAsia" w:ascii="宋体" w:hAnsi="宋体" w:eastAsia="宋体" w:cs="宋体"/>
          <w:color w:val="auto"/>
        </w:rPr>
      </w:pPr>
      <w:r>
        <w:rPr>
          <w:rFonts w:hint="eastAsia" w:ascii="宋体" w:hAnsi="宋体" w:eastAsia="宋体" w:cs="宋体"/>
          <w:color w:val="auto"/>
        </w:rPr>
      </w:r>
      <w:r/>
    </w:p>
    <w:p>
      <w:pPr>
        <w:jc w:val="center"/>
        <w:spacing w:line="360" w:lineRule="auto"/>
        <w:tabs>
          <w:tab w:val="left" w:pos="8930" w:leader="none"/>
          <w:tab w:val="left" w:pos="9306" w:leader="none"/>
        </w:tabs>
        <w:rPr>
          <w:rFonts w:hint="eastAsia" w:ascii="宋体" w:hAnsi="宋体" w:eastAsia="宋体" w:cs="宋体"/>
          <w:b/>
          <w:bCs/>
          <w:color w:val="auto"/>
          <w:sz w:val="52"/>
          <w:szCs w:val="52"/>
        </w:rPr>
        <w:outlineLvl w:val="0"/>
      </w:pPr>
      <w:r/>
      <w:bookmarkStart w:id="65" w:name="_Toc22276"/>
      <w:r/>
      <w:bookmarkStart w:id="66" w:name="_Toc19"/>
      <w:r/>
      <w:bookmarkStart w:id="67" w:name="_Toc12488"/>
      <w:r>
        <w:rPr>
          <w:rFonts w:hint="eastAsia" w:ascii="宋体" w:hAnsi="宋体" w:eastAsia="宋体" w:cs="宋体"/>
          <w:b/>
          <w:bCs/>
          <w:color w:val="auto"/>
          <w:sz w:val="52"/>
          <w:szCs w:val="52"/>
        </w:rPr>
        <w:t xml:space="preserve">第六章 评审办法及评分标准</w:t>
      </w:r>
      <w:bookmarkEnd w:id="65"/>
      <w:r/>
      <w:bookmarkEnd w:id="66"/>
      <w:r/>
      <w:bookmarkEnd w:id="67"/>
      <w:r/>
      <w:r/>
    </w:p>
    <w:p>
      <w:pPr>
        <w:ind w:firstLine="422"/>
        <w:spacing w:line="360" w:lineRule="auto"/>
        <w:tabs>
          <w:tab w:val="left" w:pos="8930" w:leader="none"/>
          <w:tab w:val="left" w:pos="9306" w:leader="none"/>
        </w:tabs>
        <w:rPr>
          <w:rFonts w:hint="eastAsia" w:ascii="宋体" w:hAnsi="宋体" w:eastAsia="宋体" w:cs="宋体"/>
          <w:b/>
          <w:color w:val="auto"/>
          <w:sz w:val="24"/>
          <w:szCs w:val="24"/>
        </w:rPr>
      </w:pPr>
      <w:r>
        <w:rPr>
          <w:rFonts w:hint="eastAsia" w:ascii="宋体" w:hAnsi="宋体" w:eastAsia="宋体" w:cs="宋体"/>
          <w:b/>
          <w:bCs/>
          <w:color w:val="auto"/>
          <w:szCs w:val="21"/>
        </w:rPr>
        <w:br w:type="page" w:clear="all"/>
      </w:r>
      <w:r>
        <w:rPr>
          <w:rFonts w:hint="eastAsia" w:ascii="宋体" w:hAnsi="宋体" w:eastAsia="宋体" w:cs="宋体"/>
          <w:b/>
          <w:color w:val="auto"/>
          <w:sz w:val="24"/>
          <w:szCs w:val="24"/>
        </w:rPr>
        <w:t xml:space="preserve">一、评审方法：</w:t>
      </w:r>
      <w:r/>
    </w:p>
    <w:p>
      <w:pPr>
        <w:ind w:firstLine="480"/>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rPr>
        <w:t xml:space="preserve">1、本次评审采用综合评分法，</w:t>
      </w:r>
      <w:r>
        <w:rPr>
          <w:rFonts w:hint="eastAsia" w:ascii="宋体" w:hAnsi="宋体" w:eastAsia="宋体" w:cs="宋体"/>
          <w:color w:val="auto"/>
          <w:sz w:val="24"/>
          <w:szCs w:val="24"/>
          <w:lang w:val="zh-CN"/>
        </w:rPr>
        <w:t xml:space="preserve">即在响应文件满足采购文件全部实质性要求且按评审因素的量化指标评审得分最高的供应商为成交候选供应商。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评审小组按照磋商文件中规定的评审标准和各项因素进行综合评审，按照评审得分由高到低顺序推荐3名成交候选供应商。评审得分相同的，按照最后报价由低到高的顺序推荐。评审得分且最后报价相同的，按照技术指标优劣顺序推荐。</w:t>
      </w:r>
      <w:r>
        <w:rPr>
          <w:rFonts w:hint="eastAsia" w:ascii="宋体" w:hAnsi="宋体" w:eastAsia="宋体" w:cs="宋体"/>
          <w:color w:val="auto"/>
          <w:sz w:val="24"/>
          <w:szCs w:val="24"/>
          <w:lang w:val="zh-CN"/>
        </w:rPr>
        <w:t xml:space="preserve">采购人书面授权磋商小组直接确定</w:t>
      </w:r>
      <w:r>
        <w:rPr>
          <w:rFonts w:hint="eastAsia" w:ascii="宋体" w:hAnsi="宋体" w:eastAsia="宋体" w:cs="宋体"/>
          <w:color w:val="auto"/>
          <w:sz w:val="24"/>
          <w:szCs w:val="24"/>
        </w:rPr>
        <w:t xml:space="preserve">成交候选供应商中的第一名作为成交供应商。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评审时，评审小组各成员应当独立对每个有效响应文件进行评价、打分，然后汇总每个供应商每项评分因素的得分。将磋商小组各成员对响应文件的评审评分按算术平均法汇总，计算出每个供应商的得分（保留小数点后两位）。报价得分按文件规定的计算公式直接计算取得，技术得分和价格标得分相加即为供应商的总得分。</w:t>
      </w:r>
      <w:r/>
    </w:p>
    <w:p>
      <w:pPr>
        <w:ind w:firstLine="482"/>
        <w:spacing w:line="360" w:lineRule="auto"/>
        <w:widowControl/>
        <w:rPr>
          <w:rFonts w:hint="eastAsia" w:ascii="宋体" w:hAnsi="宋体" w:eastAsia="宋体" w:cs="宋体"/>
          <w:color w:val="auto"/>
          <w:sz w:val="24"/>
          <w:szCs w:val="24"/>
        </w:rPr>
      </w:pPr>
      <w:r>
        <w:rPr>
          <w:rFonts w:hint="eastAsia" w:ascii="宋体" w:hAnsi="宋体" w:eastAsia="宋体" w:cs="宋体"/>
          <w:b/>
          <w:color w:val="auto"/>
          <w:sz w:val="24"/>
          <w:szCs w:val="24"/>
        </w:rPr>
        <w:t xml:space="preserve">二、评分标准：</w:t>
      </w:r>
      <w:r/>
    </w:p>
    <w:p>
      <w:pPr>
        <w:ind w:firstLine="482"/>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（一）价格分：10分</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第一步：磋商报价低于或等于财政预算价格及最高限价（如有）的，为有效磋商报价。高于财政预算及最高限价（如有）的磋商报价文件为未实质性响应文件，不参与评审。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第二步：在所有有效磋商报价中满足采购文件要求，且磋商价格最低的磋商报价为评审基准价，其价格分为10分，其他磋商供应商的价格分按照下列公式计算（计算结果四舍五入保留两位小数）：</w:t>
      </w:r>
      <w:r/>
    </w:p>
    <w:p>
      <w:pPr>
        <w:ind w:firstLine="480"/>
        <w:spacing w:line="360" w:lineRule="auto"/>
        <w:rPr>
          <w:rFonts w:hint="eastAsia" w:ascii="宋体" w:hAnsi="宋体" w:eastAsia="宋体" w:cs="宋体"/>
          <w:b/>
          <w:color w:val="auto"/>
          <w:sz w:val="24"/>
          <w:szCs w:val="24"/>
        </w:rPr>
      </w:pPr>
      <w:r>
        <w:rPr>
          <w:rFonts w:hint="eastAsia" w:ascii="宋体" w:hAnsi="宋体" w:eastAsia="宋体" w:cs="宋体"/>
          <w:color w:val="auto"/>
          <w:sz w:val="24"/>
          <w:szCs w:val="24"/>
        </w:rPr>
        <w:t xml:space="preserve">磋商报价得分＝（评标基准价/磋商报价）×10%×100。</w:t>
      </w:r>
      <w:r/>
    </w:p>
    <w:p>
      <w:pPr>
        <w:ind w:firstLine="482"/>
        <w:jc w:val="lef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（二）</w:t>
      </w:r>
      <w:r>
        <w:rPr>
          <w:rFonts w:hint="eastAsia" w:ascii="宋体" w:hAnsi="宋体" w:eastAsia="宋体" w:cs="宋体"/>
          <w:b/>
          <w:bCs/>
          <w:color w:val="auto"/>
          <w:sz w:val="24"/>
        </w:rPr>
        <w:t xml:space="preserve">施工</w:t>
      </w:r>
      <w:r>
        <w:rPr>
          <w:rFonts w:hint="eastAsia" w:ascii="宋体" w:hAnsi="宋体" w:eastAsia="宋体" w:cs="宋体"/>
          <w:b/>
          <w:bCs/>
          <w:color w:val="auto"/>
          <w:sz w:val="24"/>
          <w:lang w:val="en-US" w:eastAsia="zh-CN"/>
        </w:rPr>
        <w:t xml:space="preserve">组织设计</w:t>
      </w:r>
      <w:r>
        <w:rPr>
          <w:rFonts w:hint="eastAsia" w:ascii="宋体" w:hAnsi="宋体" w:eastAsia="宋体" w:cs="宋体"/>
          <w:b/>
          <w:bCs/>
          <w:color w:val="auto"/>
          <w:sz w:val="24"/>
          <w:szCs w:val="24"/>
        </w:rPr>
        <w:t xml:space="preserve">：6</w:t>
      </w:r>
      <w:r>
        <w:rPr>
          <w:rFonts w:hint="eastAsia" w:ascii="宋体" w:hAnsi="宋体" w:eastAsia="宋体" w:cs="宋体"/>
          <w:b/>
          <w:bCs/>
          <w:color w:val="auto"/>
          <w:sz w:val="24"/>
          <w:szCs w:val="24"/>
          <w:lang w:val="en-US" w:eastAsia="zh-CN"/>
        </w:rPr>
        <w:t xml:space="preserve">0</w:t>
      </w:r>
      <w:r>
        <w:rPr>
          <w:rFonts w:hint="eastAsia" w:ascii="宋体" w:hAnsi="宋体" w:eastAsia="宋体" w:cs="宋体"/>
          <w:b/>
          <w:bCs/>
          <w:color w:val="auto"/>
          <w:sz w:val="24"/>
          <w:szCs w:val="24"/>
        </w:rPr>
        <w:t xml:space="preserve">分</w:t>
      </w:r>
      <w:r/>
    </w:p>
    <w:tbl>
      <w:tblPr>
        <w:tblStyle w:val="6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96"/>
        <w:gridCol w:w="2067"/>
        <w:gridCol w:w="666"/>
        <w:gridCol w:w="5986"/>
      </w:tblGrid>
      <w:tr>
        <w:trPr>
          <w:jc w:val="center"/>
          <w:trHeight w:val="57"/>
        </w:trPr>
        <w:tc>
          <w:tcPr>
            <w:tcW w:w="596"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2067"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评审因素</w:t>
            </w:r>
            <w:r/>
          </w:p>
        </w:tc>
        <w:tc>
          <w:tcPr>
            <w:tcW w:w="666"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分值</w:t>
            </w:r>
            <w:r/>
          </w:p>
        </w:tc>
        <w:tc>
          <w:tcPr>
            <w:tcW w:w="5986"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评分标准</w:t>
            </w:r>
            <w:r/>
          </w:p>
        </w:tc>
      </w:tr>
      <w:tr>
        <w:trPr>
          <w:jc w:val="center"/>
          <w:trHeight w:val="90"/>
        </w:trPr>
        <w:tc>
          <w:tcPr>
            <w:tcW w:w="5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206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总体概述</w:t>
            </w:r>
            <w:r/>
          </w:p>
        </w:tc>
        <w:tc>
          <w:tcPr>
            <w:tcW w:w="666"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w:t>
            </w:r>
            <w:r/>
          </w:p>
        </w:tc>
        <w:tc>
          <w:tcPr>
            <w:tcW w:w="5986" w:type="dxa"/>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工程概述、总体安排及施工部署等健全、合理、规范、高效。概述描述最完整、清晰明了，总体安排科学合理，临时设施位置选择合适，现场布置合理，可实施性强的得6分；概述描述较完整、较清晰明了，总体安排较科学合理，临时设施位置选择较合适，现场布置较合理，可实施性较强的得4分；概述描述较简单、较清晰，总体安排不够合理，临时设施位置选择较合适，现场布置较复杂，可实施性较差的得2分；内容简单提及的得1分；没有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206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施工进度计划和各阶段进度的保证措施</w:t>
            </w:r>
            <w:r/>
          </w:p>
        </w:tc>
        <w:tc>
          <w:tcPr>
            <w:tcW w:w="666"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w:t>
            </w:r>
            <w:r/>
          </w:p>
        </w:tc>
        <w:tc>
          <w:tcPr>
            <w:tcW w:w="5986" w:type="dxa"/>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关于本工程施工进度计划的描述，以及为完成该计划所制定措施比较。施工进度安排合理、进度控制保证措施到位、可实施性强的得6分；施工进度安排较合理、进度控制保证措施较到位、可实施性较强的得4分；施工进度安排基本合理、进度控制保证措施基本到位但有缺陷、可实施性较差的得2分；内容简单提及的得1分；没有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206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各分部分项工程的施工方案及保证措施</w:t>
            </w:r>
            <w:r/>
          </w:p>
        </w:tc>
        <w:tc>
          <w:tcPr>
            <w:tcW w:w="666"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w:t>
            </w:r>
            <w:r/>
          </w:p>
        </w:tc>
        <w:tc>
          <w:tcPr>
            <w:tcW w:w="5986"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该工程分部分项工程的施工方案、具体施工技术措施比较。工程分部分项工程的施工方案、具体施工技术措施科学合理、实施性强、规范、高效的得6分；工程分部分项工程的施工方案、具体施工技术措施较合理、实施性较强、较规范、较高效的得4分；工程分部分项工程的施工方案、具体施工技术措施基本合理、实施性较差、或有缺陷的得2分；内容简单提及的得1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没有描述的不得分。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4</w:t>
            </w:r>
            <w:r/>
          </w:p>
        </w:tc>
        <w:tc>
          <w:tcPr>
            <w:tcW w:w="206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安全文明施工及环境保护措施</w:t>
            </w:r>
            <w:r/>
          </w:p>
        </w:tc>
        <w:tc>
          <w:tcPr>
            <w:tcW w:w="666"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w:t>
            </w:r>
            <w:r/>
          </w:p>
        </w:tc>
        <w:tc>
          <w:tcPr>
            <w:tcW w:w="5986" w:type="dxa"/>
            <w:vAlign w:val="center"/>
            <w:textDirection w:val="lrTb"/>
            <w:noWrap w:val="false"/>
          </w:tcPr>
          <w:p>
            <w:pPr>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安全文明生产组织机构健全，各项施工规章制度完善，施工现场扬尘污染防治措施及环境保护方面的措施比较。制度、措施完善、科学、合理，可实施性强，内容描述详细的得6分；制度、措施较完善、较科学、较合理，可实施性较强，内容描述较详细的得4分；制度、措施较简单、基本合理，可实施性较差，内容描述较简单或有缺陷的得2分；内容简单提及的得1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没有描述的不得分。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5</w:t>
            </w:r>
            <w:r/>
          </w:p>
        </w:tc>
        <w:tc>
          <w:tcPr>
            <w:tcW w:w="2067"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劳动力、材料、机械设备投入</w:t>
            </w:r>
            <w:r/>
          </w:p>
        </w:tc>
        <w:tc>
          <w:tcPr>
            <w:tcW w:w="666" w:type="dxa"/>
            <w:vAlign w:val="center"/>
            <w:textDirection w:val="lrTb"/>
            <w:noWrap w:val="false"/>
          </w:tcPr>
          <w:p>
            <w:pPr>
              <w:jc w:val="center"/>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 xml:space="preserve">6</w:t>
            </w:r>
            <w:r/>
          </w:p>
        </w:tc>
        <w:tc>
          <w:tcPr>
            <w:tcW w:w="5986" w:type="dxa"/>
            <w:vAlign w:val="center"/>
            <w:textDirection w:val="lrTb"/>
            <w:noWrap w:val="false"/>
          </w:tcPr>
          <w:p>
            <w:p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劳动力、材料、机械设备配置合理，与进度计划吻合、可实施性强的得6分；劳动力、材料、机械设备配置较合理，与进度计划较吻合、有微小缺陷、可实施性较强的得4分；劳动力、材料、机械设备配置有较多不合理之处，与进度计划不太吻合、可实施性较差的得2分；内容简单提及的得1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没有描述的不得分。</w:t>
            </w:r>
            <w:r/>
          </w:p>
        </w:tc>
      </w:tr>
      <w:tr>
        <w:trPr>
          <w:jc w:val="center"/>
          <w:trHeight w:val="1129"/>
        </w:trPr>
        <w:tc>
          <w:tcPr>
            <w:tcW w:w="5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6</w:t>
            </w:r>
            <w:r/>
          </w:p>
        </w:tc>
        <w:tc>
          <w:tcPr>
            <w:tcW w:w="2067" w:type="dxa"/>
            <w:vAlign w:val="center"/>
            <w:textDirection w:val="lrTb"/>
            <w:noWrap w:val="false"/>
          </w:tcPr>
          <w:p>
            <w:pPr>
              <w:jc w:val="center"/>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质量保证措施</w:t>
            </w:r>
            <w:r/>
          </w:p>
        </w:tc>
        <w:tc>
          <w:tcPr>
            <w:tcW w:w="666" w:type="dxa"/>
            <w:vAlign w:val="center"/>
            <w:textDirection w:val="lrTb"/>
            <w:noWrap w:val="false"/>
          </w:tcPr>
          <w:p>
            <w:pPr>
              <w:jc w:val="center"/>
              <w:widowControl/>
              <w:rPr>
                <w:rFonts w:hint="eastAsia" w:ascii="宋体" w:hAnsi="宋体" w:eastAsia="宋体" w:cs="宋体"/>
                <w:color w:val="auto"/>
                <w:sz w:val="24"/>
                <w:szCs w:val="24"/>
                <w:lang w:eastAsia="zh-CN" w:bidi="ar"/>
              </w:rPr>
            </w:pPr>
            <w:r>
              <w:rPr>
                <w:rFonts w:hint="eastAsia" w:ascii="宋体" w:hAnsi="宋体" w:eastAsia="宋体" w:cs="宋体"/>
                <w:color w:val="auto"/>
                <w:sz w:val="24"/>
                <w:szCs w:val="24"/>
                <w:lang w:val="en-US" w:eastAsia="zh-CN" w:bidi="ar"/>
              </w:rPr>
              <w:t xml:space="preserve">6</w:t>
            </w:r>
            <w:r/>
          </w:p>
        </w:tc>
        <w:tc>
          <w:tcPr>
            <w:tcW w:w="5986" w:type="dxa"/>
            <w:vAlign w:val="center"/>
            <w:textDirection w:val="lrTb"/>
            <w:noWrap w:val="false"/>
          </w:tcPr>
          <w:p>
            <w:p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方案内容科学完善、合理全面、可实施性强、实施便捷的得6分；方案内容较完善、较合理、可实施性较强、实施较便捷的得4分；方案不够完整、基本合理、但有缺陷的得2分；内容简单提及的得1分；没有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7</w:t>
            </w:r>
            <w:r/>
          </w:p>
        </w:tc>
        <w:tc>
          <w:tcPr>
            <w:tcW w:w="206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季节性施工方案</w:t>
            </w:r>
            <w:r/>
          </w:p>
        </w:tc>
        <w:tc>
          <w:tcPr>
            <w:tcW w:w="666"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6</w:t>
            </w:r>
            <w:r/>
          </w:p>
        </w:tc>
        <w:tc>
          <w:tcPr>
            <w:tcW w:w="5986" w:type="dxa"/>
            <w:vAlign w:val="center"/>
            <w:textDirection w:val="lrTb"/>
            <w:noWrap w:val="false"/>
          </w:tcPr>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夏季高温、雨季施工措施科学合理、规范、高效，具有可操作性强，内容描述详细的得6分；可操作性尚可，内容描述较详细的得4分；可操作性一般，内容描述一般的得2分；可操作性差，内容描述特少的得1分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没有描述的不得分。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8</w:t>
            </w:r>
            <w:r/>
          </w:p>
        </w:tc>
        <w:tc>
          <w:tcPr>
            <w:tcW w:w="206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成品保护和工程保修工作的管理措施和承诺比较</w:t>
            </w:r>
            <w:r/>
          </w:p>
        </w:tc>
        <w:tc>
          <w:tcPr>
            <w:tcW w:w="6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6</w:t>
            </w:r>
            <w:r/>
          </w:p>
        </w:tc>
        <w:tc>
          <w:tcPr>
            <w:tcW w:w="5986" w:type="dxa"/>
            <w:vAlign w:val="center"/>
            <w:textDirection w:val="lrTb"/>
            <w:noWrap w:val="false"/>
          </w:tcPr>
          <w:p>
            <w:p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措施和承诺科学合理、规范、高效，具有可操作性强，内容描述详细的得6分；可操作性尚可，内容描述较详细的得4分；可操作性一般，内容描述一般的得2分；可操作性差，内容描述特少的得1分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没有描述的不得分。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9</w:t>
            </w:r>
            <w:r/>
          </w:p>
        </w:tc>
        <w:tc>
          <w:tcPr>
            <w:tcW w:w="206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应急救援预案以及抵抗风险比较</w:t>
            </w:r>
            <w:r/>
          </w:p>
        </w:tc>
        <w:tc>
          <w:tcPr>
            <w:tcW w:w="666"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5986" w:type="dxa"/>
            <w:vAlign w:val="center"/>
            <w:textDirection w:val="lrTb"/>
            <w:noWrap w:val="false"/>
          </w:tcPr>
          <w:p>
            <w:p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施工区域内可能存在的危险应急响应预案科学合理、规范、高效，具有可操作性强，内容描述详细的得6分；可操作性尚可，内容描述较简单的得4分；可操作性差，内容描述特少的得2分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没有描述的不得分。</w:t>
            </w:r>
            <w:r/>
          </w:p>
        </w:tc>
      </w:tr>
      <w:tr>
        <w:trPr>
          <w:jc w:val="center"/>
          <w:trHeight w:val="57"/>
        </w:trPr>
        <w:tc>
          <w:tcPr>
            <w:tcW w:w="596"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10</w:t>
            </w:r>
            <w:r/>
          </w:p>
        </w:tc>
        <w:tc>
          <w:tcPr>
            <w:tcW w:w="2067"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后期维护保修方案</w:t>
            </w:r>
            <w:r/>
          </w:p>
        </w:tc>
        <w:tc>
          <w:tcPr>
            <w:tcW w:w="666"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5986" w:type="dxa"/>
            <w:vAlign w:val="center"/>
            <w:textDirection w:val="lrTb"/>
            <w:noWrap w:val="false"/>
          </w:tcPr>
          <w:p>
            <w:pPr>
              <w:jc w:val="left"/>
              <w:widowControl/>
              <w:rPr>
                <w:rFonts w:hint="eastAsia" w:ascii="宋体" w:hAnsi="宋体" w:eastAsia="宋体" w:cs="宋体"/>
                <w:color w:val="auto"/>
                <w:sz w:val="24"/>
                <w:szCs w:val="24"/>
                <w:lang w:bidi="ar"/>
              </w:rPr>
            </w:pPr>
            <w:r>
              <w:rPr>
                <w:rFonts w:hint="eastAsia" w:ascii="宋体" w:hAnsi="宋体" w:eastAsia="宋体" w:cs="宋体"/>
                <w:color w:val="auto"/>
                <w:sz w:val="24"/>
                <w:szCs w:val="24"/>
              </w:rPr>
              <w:t xml:space="preserve">方案程序规范、高效，具有可操作性强，内容描述详细的得6分；可操作性尚可，内容描述较简单的得4分；可操作性差，内容描述特少的得2分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没有描述的不得分。</w:t>
            </w:r>
            <w:r/>
          </w:p>
        </w:tc>
      </w:tr>
    </w:tbl>
    <w:p>
      <w:pPr>
        <w:ind w:firstLine="482"/>
        <w:jc w:val="left"/>
        <w:keepNex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（三）</w:t>
      </w:r>
      <w:r>
        <w:rPr>
          <w:rFonts w:hint="eastAsia" w:ascii="宋体" w:hAnsi="宋体" w:eastAsia="宋体" w:cs="宋体"/>
          <w:b/>
          <w:bCs/>
          <w:color w:val="auto"/>
          <w:sz w:val="24"/>
          <w:szCs w:val="24"/>
          <w:lang w:val="en-US" w:eastAsia="zh-CN"/>
        </w:rPr>
        <w:t xml:space="preserve">项目组人员配备</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15</w:t>
      </w:r>
      <w:r>
        <w:rPr>
          <w:rFonts w:hint="eastAsia" w:ascii="宋体" w:hAnsi="宋体" w:eastAsia="宋体" w:cs="宋体"/>
          <w:b/>
          <w:bCs/>
          <w:color w:val="auto"/>
          <w:sz w:val="24"/>
          <w:szCs w:val="24"/>
        </w:rPr>
        <w:t xml:space="preserve">分</w:t>
      </w:r>
      <w:r/>
    </w:p>
    <w:tbl>
      <w:tblPr>
        <w:tblStyle w:val="6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883"/>
        <w:gridCol w:w="817"/>
        <w:gridCol w:w="5964"/>
      </w:tblGrid>
      <w:tr>
        <w:trPr>
          <w:jc w:val="center"/>
          <w:trHeight w:val="57"/>
        </w:trPr>
        <w:tc>
          <w:tcPr>
            <w:tcW w:w="666"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883"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评审因素</w:t>
            </w:r>
            <w:r/>
          </w:p>
        </w:tc>
        <w:tc>
          <w:tcPr>
            <w:tcW w:w="817"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分值</w:t>
            </w:r>
            <w:r/>
          </w:p>
        </w:tc>
        <w:tc>
          <w:tcPr>
            <w:tcW w:w="5964"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评分标准</w:t>
            </w:r>
            <w:r/>
          </w:p>
        </w:tc>
      </w:tr>
      <w:tr>
        <w:trPr>
          <w:jc w:val="center"/>
          <w:trHeight w:val="57"/>
        </w:trPr>
        <w:tc>
          <w:tcPr>
            <w:tcW w:w="6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883"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项目负责人</w:t>
            </w:r>
            <w:r>
              <w:rPr>
                <w:rFonts w:hint="eastAsia" w:ascii="宋体" w:hAnsi="宋体" w:eastAsia="宋体" w:cs="宋体"/>
                <w:color w:val="auto"/>
                <w:sz w:val="24"/>
                <w:szCs w:val="24"/>
              </w:rPr>
              <w:t xml:space="preserve">职称证</w:t>
            </w:r>
            <w:r/>
          </w:p>
        </w:tc>
        <w:tc>
          <w:tcPr>
            <w:tcW w:w="817"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p>
        </w:tc>
        <w:tc>
          <w:tcPr>
            <w:tcW w:w="5964" w:type="dxa"/>
            <w:vAlign w:val="center"/>
            <w:textDirection w:val="lrTb"/>
            <w:noWrap w:val="false"/>
          </w:tcPr>
          <w:p>
            <w:pPr>
              <w:jc w:val="left"/>
              <w:widowControl/>
              <w:rPr>
                <w:rFonts w:hint="eastAsia" w:ascii="宋体" w:hAnsi="宋体" w:eastAsia="宋体" w:cs="宋体"/>
                <w:color w:val="auto"/>
                <w:sz w:val="24"/>
                <w:szCs w:val="24"/>
              </w:rPr>
            </w:pPr>
            <w:r/>
            <w:bookmarkStart w:id="68" w:name="OLE_LINK3"/>
            <w:r>
              <w:rPr>
                <w:rFonts w:hint="eastAsia" w:ascii="宋体" w:hAnsi="宋体" w:eastAsia="宋体" w:cs="宋体"/>
                <w:bCs w:val="0"/>
                <w:color w:val="auto"/>
                <w:sz w:val="24"/>
                <w:szCs w:val="24"/>
              </w:rPr>
              <w:t xml:space="preserve">拟投入本项目的项目</w:t>
            </w:r>
            <w:r>
              <w:rPr>
                <w:rFonts w:hint="eastAsia" w:ascii="宋体" w:hAnsi="宋体" w:eastAsia="宋体" w:cs="宋体"/>
                <w:bCs w:val="0"/>
                <w:color w:val="auto"/>
                <w:sz w:val="24"/>
                <w:szCs w:val="24"/>
                <w:lang w:val="en-US" w:eastAsia="zh-CN"/>
              </w:rPr>
              <w:t xml:space="preserve">负责人</w:t>
            </w:r>
            <w:r>
              <w:rPr>
                <w:rFonts w:hint="eastAsia" w:ascii="宋体" w:hAnsi="宋体" w:eastAsia="宋体" w:cs="宋体"/>
                <w:bCs w:val="0"/>
                <w:color w:val="auto"/>
                <w:sz w:val="24"/>
                <w:szCs w:val="24"/>
              </w:rPr>
              <w:t xml:space="preserve">具备建设工程类高级职称的得5分，具备中级职称的得3分，本项最高得5分</w:t>
            </w:r>
            <w:r>
              <w:rPr>
                <w:rFonts w:hint="eastAsia" w:ascii="宋体" w:hAnsi="宋体" w:eastAsia="宋体" w:cs="宋体"/>
                <w:color w:val="auto"/>
                <w:sz w:val="24"/>
                <w:szCs w:val="24"/>
              </w:rPr>
              <w:t xml:space="preserve">。</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注：</w:t>
            </w:r>
            <w:r>
              <w:rPr>
                <w:rFonts w:hint="eastAsia" w:ascii="宋体" w:hAnsi="宋体" w:eastAsia="宋体" w:cs="宋体"/>
                <w:color w:val="auto"/>
                <w:sz w:val="24"/>
                <w:szCs w:val="24"/>
              </w:rPr>
              <w:t xml:space="preserve">响应文件中提供人员职称证书</w:t>
            </w:r>
            <w:r>
              <w:rPr>
                <w:rFonts w:hint="eastAsia" w:ascii="宋体" w:hAnsi="宋体" w:eastAsia="宋体" w:cs="宋体"/>
                <w:b/>
                <w:bCs/>
                <w:color w:val="auto"/>
                <w:sz w:val="24"/>
                <w:szCs w:val="24"/>
              </w:rPr>
              <w:t xml:space="preserve">及</w:t>
            </w: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为其缴纳的最新一期社保证明</w:t>
            </w:r>
            <w:r>
              <w:rPr>
                <w:rFonts w:hint="eastAsia" w:ascii="宋体" w:hAnsi="宋体" w:eastAsia="宋体" w:cs="宋体"/>
                <w:color w:val="auto"/>
                <w:sz w:val="24"/>
                <w:szCs w:val="24"/>
                <w:lang w:eastAsia="zh-CN"/>
              </w:rPr>
              <w:t xml:space="preserve">，</w:t>
            </w:r>
            <w:r>
              <w:rPr>
                <w:rFonts w:hint="eastAsia" w:ascii="宋体" w:hAnsi="宋体" w:eastAsia="宋体" w:cs="宋体"/>
                <w:b w:val="0"/>
                <w:bCs w:val="0"/>
                <w:color w:val="auto"/>
                <w:sz w:val="24"/>
                <w:szCs w:val="24"/>
                <w:highlight w:val="none"/>
              </w:rPr>
              <w:t xml:space="preserve">否则不得分</w:t>
            </w:r>
            <w:r>
              <w:rPr>
                <w:rFonts w:hint="eastAsia" w:ascii="宋体" w:hAnsi="宋体" w:eastAsia="宋体" w:cs="宋体"/>
                <w:color w:val="auto"/>
                <w:sz w:val="24"/>
                <w:szCs w:val="24"/>
                <w:lang w:eastAsia="zh-CN"/>
              </w:rPr>
              <w:t xml:space="preserve">。</w:t>
            </w:r>
            <w:bookmarkEnd w:id="68"/>
            <w:r/>
            <w:r/>
          </w:p>
        </w:tc>
      </w:tr>
      <w:tr>
        <w:trPr>
          <w:jc w:val="center"/>
          <w:trHeight w:val="57"/>
        </w:trPr>
        <w:tc>
          <w:tcPr>
            <w:tcW w:w="6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883"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项目组人员（</w:t>
            </w:r>
            <w:r>
              <w:rPr>
                <w:rFonts w:hint="eastAsia" w:ascii="宋体" w:hAnsi="宋体" w:eastAsia="宋体" w:cs="宋体"/>
                <w:color w:val="auto"/>
                <w:sz w:val="24"/>
                <w:szCs w:val="24"/>
              </w:rPr>
              <w:t xml:space="preserve">不含项目</w:t>
            </w:r>
            <w:r>
              <w:rPr>
                <w:rFonts w:hint="eastAsia" w:ascii="宋体" w:hAnsi="宋体" w:eastAsia="宋体" w:cs="宋体"/>
                <w:color w:val="auto"/>
                <w:sz w:val="24"/>
                <w:szCs w:val="24"/>
                <w:lang w:val="en-US" w:eastAsia="zh-CN"/>
              </w:rPr>
              <w:t xml:space="preserve">负责人）岗位证明</w:t>
            </w:r>
            <w:r/>
          </w:p>
        </w:tc>
        <w:tc>
          <w:tcPr>
            <w:tcW w:w="817"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5</w:t>
            </w:r>
            <w:r/>
          </w:p>
        </w:tc>
        <w:tc>
          <w:tcPr>
            <w:tcW w:w="5964" w:type="dxa"/>
            <w:vAlign w:val="center"/>
            <w:textDirection w:val="lrTb"/>
            <w:noWrap w:val="false"/>
          </w:tcPr>
          <w:p>
            <w:pPr>
              <w:jc w:val="left"/>
              <w:widowControl/>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拟投入本项目的</w:t>
            </w:r>
            <w:r>
              <w:rPr>
                <w:rFonts w:hint="eastAsia" w:ascii="宋体" w:hAnsi="宋体" w:eastAsia="宋体" w:cs="宋体"/>
                <w:color w:val="auto"/>
                <w:sz w:val="24"/>
                <w:szCs w:val="24"/>
                <w:lang w:val="en-US" w:eastAsia="zh-CN"/>
              </w:rPr>
              <w:t xml:space="preserve">项目组人员</w:t>
            </w:r>
            <w:r>
              <w:rPr>
                <w:rFonts w:hint="eastAsia" w:ascii="宋体" w:hAnsi="宋体" w:eastAsia="宋体" w:cs="宋体"/>
                <w:color w:val="auto"/>
                <w:sz w:val="24"/>
                <w:szCs w:val="24"/>
              </w:rPr>
              <w:t xml:space="preserve">中（不含项目</w:t>
            </w:r>
            <w:r>
              <w:rPr>
                <w:rFonts w:hint="eastAsia" w:ascii="宋体" w:hAnsi="宋体" w:eastAsia="宋体" w:cs="宋体"/>
                <w:color w:val="auto"/>
                <w:sz w:val="24"/>
                <w:szCs w:val="24"/>
                <w:lang w:val="en-US" w:eastAsia="zh-CN"/>
              </w:rPr>
              <w:t xml:space="preserve">负责人</w:t>
            </w:r>
            <w:r>
              <w:rPr>
                <w:rFonts w:hint="eastAsia" w:ascii="宋体" w:hAnsi="宋体" w:eastAsia="宋体" w:cs="宋体"/>
                <w:color w:val="auto"/>
                <w:sz w:val="24"/>
                <w:szCs w:val="24"/>
              </w:rPr>
              <w:t xml:space="preserve">）具备施工员、安全员、质量员、材料员、资料员的，配备齐全的得5分，少一人扣1分</w:t>
            </w:r>
            <w:r>
              <w:rPr>
                <w:rFonts w:hint="eastAsia" w:ascii="宋体" w:hAnsi="宋体" w:eastAsia="宋体" w:cs="宋体"/>
                <w:color w:val="auto"/>
                <w:sz w:val="24"/>
                <w:szCs w:val="24"/>
                <w:lang w:eastAsia="zh-CN"/>
              </w:rPr>
              <w:t xml:space="preserve">。</w:t>
            </w:r>
            <w:r/>
          </w:p>
          <w:p>
            <w:pPr>
              <w:jc w:val="left"/>
              <w:widowControl/>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注：响应文件中</w:t>
            </w:r>
            <w:r>
              <w:rPr>
                <w:rFonts w:hint="eastAsia" w:ascii="宋体" w:hAnsi="宋体" w:eastAsia="宋体" w:cs="宋体"/>
                <w:color w:val="auto"/>
                <w:sz w:val="24"/>
                <w:szCs w:val="24"/>
              </w:rPr>
              <w:t xml:space="preserve">提供以上人员相应岗位证明材料，包括但不限于岗位证、培训合格证或企业任命书等</w:t>
            </w:r>
            <w:r>
              <w:rPr>
                <w:rFonts w:hint="eastAsia" w:ascii="宋体" w:hAnsi="宋体" w:eastAsia="宋体" w:cs="宋体"/>
                <w:b/>
                <w:bCs/>
                <w:color w:val="auto"/>
                <w:sz w:val="24"/>
                <w:szCs w:val="24"/>
                <w:lang w:val="en-US" w:eastAsia="zh-CN"/>
              </w:rPr>
              <w:t xml:space="preserve">及</w:t>
            </w: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为其缴纳的最新一期社保证明</w:t>
            </w:r>
            <w:r>
              <w:rPr>
                <w:rFonts w:hint="eastAsia" w:ascii="宋体" w:hAnsi="宋体" w:eastAsia="宋体" w:cs="宋体"/>
                <w:color w:val="auto"/>
                <w:sz w:val="24"/>
                <w:szCs w:val="24"/>
                <w:lang w:eastAsia="zh-CN"/>
              </w:rPr>
              <w:t xml:space="preserve">，</w:t>
            </w:r>
            <w:r>
              <w:rPr>
                <w:rFonts w:hint="eastAsia" w:ascii="宋体" w:hAnsi="宋体" w:eastAsia="宋体" w:cs="宋体"/>
                <w:b w:val="0"/>
                <w:bCs w:val="0"/>
                <w:color w:val="auto"/>
                <w:sz w:val="24"/>
                <w:szCs w:val="24"/>
                <w:highlight w:val="none"/>
              </w:rPr>
              <w:t xml:space="preserve">否则不得分</w:t>
            </w:r>
            <w:r>
              <w:rPr>
                <w:rFonts w:hint="eastAsia" w:ascii="宋体" w:hAnsi="宋体" w:eastAsia="宋体" w:cs="宋体"/>
                <w:color w:val="auto"/>
                <w:sz w:val="24"/>
                <w:szCs w:val="24"/>
                <w:lang w:eastAsia="zh-CN"/>
              </w:rPr>
              <w:t xml:space="preserve">。</w:t>
            </w:r>
            <w:r/>
          </w:p>
        </w:tc>
      </w:tr>
      <w:tr>
        <w:trPr>
          <w:jc w:val="center"/>
          <w:trHeight w:val="57"/>
        </w:trPr>
        <w:tc>
          <w:tcPr>
            <w:tcW w:w="6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p>
        </w:tc>
        <w:tc>
          <w:tcPr>
            <w:tcW w:w="1883"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项目组人员（</w:t>
            </w:r>
            <w:r>
              <w:rPr>
                <w:rFonts w:hint="eastAsia" w:ascii="宋体" w:hAnsi="宋体" w:eastAsia="宋体" w:cs="宋体"/>
                <w:color w:val="auto"/>
                <w:sz w:val="24"/>
                <w:szCs w:val="24"/>
              </w:rPr>
              <w:t xml:space="preserve">不含项目</w:t>
            </w:r>
            <w:r>
              <w:rPr>
                <w:rFonts w:hint="eastAsia" w:ascii="宋体" w:hAnsi="宋体" w:eastAsia="宋体" w:cs="宋体"/>
                <w:color w:val="auto"/>
                <w:sz w:val="24"/>
                <w:szCs w:val="24"/>
                <w:lang w:val="en-US" w:eastAsia="zh-CN"/>
              </w:rPr>
              <w:t xml:space="preserve">负责人）职称证</w:t>
            </w:r>
            <w:r/>
          </w:p>
        </w:tc>
        <w:tc>
          <w:tcPr>
            <w:tcW w:w="817"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5</w:t>
            </w:r>
            <w:r/>
          </w:p>
        </w:tc>
        <w:tc>
          <w:tcPr>
            <w:tcW w:w="5964" w:type="dxa"/>
            <w:vAlign w:val="center"/>
            <w:textDirection w:val="lrTb"/>
            <w:noWrap w:val="false"/>
          </w:tcPr>
          <w:p>
            <w:pPr>
              <w:pStyle w:val="684"/>
              <w:rPr>
                <w:rFonts w:hint="eastAsia" w:ascii="宋体" w:hAnsi="宋体" w:eastAsia="宋体" w:cs="宋体"/>
                <w:color w:val="auto"/>
                <w:sz w:val="24"/>
                <w:szCs w:val="24"/>
              </w:rPr>
            </w:pPr>
            <w:r>
              <w:rPr>
                <w:rFonts w:hint="eastAsia" w:ascii="宋体" w:hAnsi="宋体" w:eastAsia="宋体" w:cs="宋体"/>
                <w:color w:val="auto"/>
                <w:sz w:val="24"/>
                <w:szCs w:val="24"/>
              </w:rPr>
              <w:t xml:space="preserve">拟投入本项目的</w:t>
            </w:r>
            <w:r>
              <w:rPr>
                <w:rFonts w:hint="eastAsia" w:ascii="宋体" w:hAnsi="宋体" w:eastAsia="宋体" w:cs="宋体"/>
                <w:color w:val="auto"/>
                <w:sz w:val="24"/>
                <w:szCs w:val="24"/>
                <w:lang w:val="en-US" w:eastAsia="zh-CN"/>
              </w:rPr>
              <w:t xml:space="preserve">项目组人员</w:t>
            </w:r>
            <w:r>
              <w:rPr>
                <w:rFonts w:hint="eastAsia" w:ascii="宋体" w:hAnsi="宋体" w:eastAsia="宋体" w:cs="宋体"/>
                <w:color w:val="auto"/>
                <w:sz w:val="24"/>
                <w:szCs w:val="24"/>
              </w:rPr>
              <w:t xml:space="preserve">中（不含项目</w:t>
            </w:r>
            <w:r>
              <w:rPr>
                <w:rFonts w:hint="eastAsia" w:ascii="宋体" w:hAnsi="宋体" w:eastAsia="宋体" w:cs="宋体"/>
                <w:color w:val="auto"/>
                <w:sz w:val="24"/>
                <w:szCs w:val="24"/>
                <w:lang w:val="en-US" w:eastAsia="zh-CN"/>
              </w:rPr>
              <w:t xml:space="preserve">负责人</w:t>
            </w:r>
            <w:r>
              <w:rPr>
                <w:rFonts w:hint="eastAsia" w:ascii="宋体" w:hAnsi="宋体" w:eastAsia="宋体" w:cs="宋体"/>
                <w:color w:val="auto"/>
                <w:sz w:val="24"/>
                <w:szCs w:val="24"/>
              </w:rPr>
              <w:t xml:space="preserve">）具有建设工程类中级及以上职称，每有一个得1分；具有初级职称的，每有一个得0.5分，限评5人，本项最高得5分。同一人员按等级高的计分。</w:t>
            </w:r>
            <w:r/>
          </w:p>
          <w:p>
            <w:pPr>
              <w:pStyle w:val="684"/>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注：响应文件中</w:t>
            </w:r>
            <w:r>
              <w:rPr>
                <w:rFonts w:hint="eastAsia" w:ascii="宋体" w:hAnsi="宋体" w:eastAsia="宋体" w:cs="宋体"/>
                <w:color w:val="auto"/>
                <w:sz w:val="24"/>
                <w:szCs w:val="24"/>
              </w:rPr>
              <w:t xml:space="preserve">提供人员职称证书</w:t>
            </w:r>
            <w:r>
              <w:rPr>
                <w:rFonts w:hint="eastAsia" w:ascii="宋体" w:hAnsi="宋体" w:eastAsia="宋体" w:cs="宋体"/>
                <w:b/>
                <w:bCs/>
                <w:color w:val="auto"/>
                <w:sz w:val="24"/>
                <w:szCs w:val="24"/>
                <w:lang w:val="en-US" w:eastAsia="zh-CN"/>
              </w:rPr>
              <w:t xml:space="preserve">及</w:t>
            </w: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为其缴纳的最新一期社保证明</w:t>
            </w:r>
            <w:r>
              <w:rPr>
                <w:rFonts w:hint="eastAsia" w:ascii="宋体" w:hAnsi="宋体" w:eastAsia="宋体" w:cs="宋体"/>
                <w:color w:val="auto"/>
                <w:sz w:val="24"/>
                <w:szCs w:val="24"/>
                <w:lang w:eastAsia="zh-CN"/>
              </w:rPr>
              <w:t xml:space="preserve">，</w:t>
            </w:r>
            <w:r>
              <w:rPr>
                <w:rFonts w:hint="eastAsia" w:ascii="宋体" w:hAnsi="宋体" w:eastAsia="宋体" w:cs="宋体"/>
                <w:b w:val="0"/>
                <w:bCs w:val="0"/>
                <w:color w:val="auto"/>
                <w:sz w:val="24"/>
                <w:szCs w:val="24"/>
                <w:highlight w:val="none"/>
              </w:rPr>
              <w:t xml:space="preserve">否则不得分</w:t>
            </w:r>
            <w:r>
              <w:rPr>
                <w:rFonts w:hint="eastAsia" w:ascii="宋体" w:hAnsi="宋体" w:eastAsia="宋体" w:cs="宋体"/>
                <w:color w:val="auto"/>
                <w:sz w:val="24"/>
                <w:szCs w:val="24"/>
                <w:lang w:eastAsia="zh-CN"/>
              </w:rPr>
              <w:t xml:space="preserve">。</w:t>
            </w:r>
            <w:r/>
          </w:p>
        </w:tc>
      </w:tr>
    </w:tbl>
    <w:p>
      <w:pPr>
        <w:ind w:firstLine="482"/>
        <w:jc w:val="left"/>
        <w:keepNext/>
        <w:spacing w:line="360" w:lineRule="auto"/>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四</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供应商综合实力</w:t>
      </w:r>
      <w:r>
        <w:rPr>
          <w:rFonts w:hint="eastAsia" w:ascii="宋体" w:hAnsi="宋体" w:eastAsia="宋体" w:cs="宋体"/>
          <w:b/>
          <w:bCs/>
          <w:color w:val="auto"/>
          <w:sz w:val="24"/>
          <w:szCs w:val="24"/>
        </w:rPr>
        <w:t xml:space="preserve">：</w:t>
      </w:r>
      <w:r>
        <w:rPr>
          <w:rFonts w:hint="eastAsia" w:ascii="宋体" w:hAnsi="宋体" w:eastAsia="宋体" w:cs="宋体"/>
          <w:b/>
          <w:bCs/>
          <w:color w:val="auto"/>
          <w:sz w:val="24"/>
          <w:szCs w:val="24"/>
          <w:lang w:val="en-US" w:eastAsia="zh-CN"/>
        </w:rPr>
        <w:t xml:space="preserve">15</w:t>
      </w:r>
      <w:r>
        <w:rPr>
          <w:rFonts w:hint="eastAsia" w:ascii="宋体" w:hAnsi="宋体" w:eastAsia="宋体" w:cs="宋体"/>
          <w:b/>
          <w:bCs/>
          <w:color w:val="auto"/>
          <w:sz w:val="24"/>
          <w:szCs w:val="24"/>
        </w:rPr>
        <w:t xml:space="preserve">分</w:t>
      </w:r>
      <w:r/>
    </w:p>
    <w:tbl>
      <w:tblPr>
        <w:tblStyle w:val="6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6"/>
        <w:gridCol w:w="1883"/>
        <w:gridCol w:w="817"/>
        <w:gridCol w:w="5964"/>
      </w:tblGrid>
      <w:tr>
        <w:trPr>
          <w:jc w:val="center"/>
          <w:trHeight w:val="57"/>
        </w:trPr>
        <w:tc>
          <w:tcPr>
            <w:tcW w:w="666"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序号</w:t>
            </w:r>
            <w:r/>
          </w:p>
        </w:tc>
        <w:tc>
          <w:tcPr>
            <w:tcW w:w="1883"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评审因素</w:t>
            </w:r>
            <w:r/>
          </w:p>
        </w:tc>
        <w:tc>
          <w:tcPr>
            <w:tcW w:w="817"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分值</w:t>
            </w:r>
            <w:r/>
          </w:p>
        </w:tc>
        <w:tc>
          <w:tcPr>
            <w:tcW w:w="5964" w:type="dxa"/>
            <w:vAlign w:val="center"/>
            <w:textDirection w:val="lrTb"/>
            <w:noWrap w:val="false"/>
          </w:tcPr>
          <w:p>
            <w:pPr>
              <w:jc w:val="center"/>
              <w:rPr>
                <w:rFonts w:hint="eastAsia" w:ascii="宋体" w:hAnsi="宋体" w:eastAsia="宋体" w:cs="宋体"/>
                <w:b/>
                <w:bCs/>
                <w:color w:val="auto"/>
                <w:sz w:val="24"/>
                <w:szCs w:val="24"/>
              </w:rPr>
            </w:pPr>
            <w:r>
              <w:rPr>
                <w:rFonts w:hint="eastAsia" w:ascii="宋体" w:hAnsi="宋体" w:eastAsia="宋体" w:cs="宋体"/>
                <w:b/>
                <w:bCs/>
                <w:color w:val="auto"/>
                <w:sz w:val="24"/>
                <w:szCs w:val="24"/>
              </w:rPr>
              <w:t xml:space="preserve">评分标准</w:t>
            </w:r>
            <w:r/>
          </w:p>
        </w:tc>
      </w:tr>
      <w:tr>
        <w:trPr>
          <w:jc w:val="center"/>
          <w:trHeight w:val="57"/>
        </w:trPr>
        <w:tc>
          <w:tcPr>
            <w:tcW w:w="6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1883"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认证证书</w:t>
            </w:r>
            <w:r/>
          </w:p>
        </w:tc>
        <w:tc>
          <w:tcPr>
            <w:tcW w:w="817" w:type="dxa"/>
            <w:vAlign w:val="center"/>
            <w:textDirection w:val="lrTb"/>
            <w:noWrap w:val="false"/>
          </w:tcPr>
          <w:p>
            <w:pPr>
              <w:jc w:val="center"/>
              <w:rPr>
                <w:rFonts w:hint="eastAsia" w:ascii="宋体" w:hAnsi="宋体" w:eastAsia="宋体" w:cs="宋体"/>
                <w:color w:val="auto"/>
                <w:sz w:val="24"/>
                <w:szCs w:val="24"/>
                <w:lang w:eastAsia="zh-CN"/>
              </w:rPr>
            </w:pPr>
            <w:r>
              <w:rPr>
                <w:rFonts w:hint="eastAsia" w:ascii="宋体" w:hAnsi="宋体" w:eastAsia="宋体" w:cs="宋体"/>
                <w:color w:val="auto"/>
                <w:sz w:val="24"/>
                <w:szCs w:val="24"/>
                <w:lang w:val="en-US" w:eastAsia="zh-CN"/>
              </w:rPr>
              <w:t xml:space="preserve">9</w:t>
            </w:r>
            <w:r/>
          </w:p>
        </w:tc>
        <w:tc>
          <w:tcPr>
            <w:tcW w:w="5964" w:type="dxa"/>
            <w:vAlign w:val="center"/>
            <w:textDirection w:val="lrTb"/>
            <w:noWrap w:val="false"/>
          </w:tcPr>
          <w:p>
            <w:pPr>
              <w:jc w:val="left"/>
              <w:rPr>
                <w:rFonts w:hint="eastAsia" w:ascii="宋体" w:hAnsi="宋体" w:eastAsia="宋体" w:cs="宋体"/>
                <w:color w:val="auto"/>
                <w:sz w:val="24"/>
              </w:rPr>
            </w:pPr>
            <w:r>
              <w:rPr>
                <w:rFonts w:hint="eastAsia" w:ascii="宋体" w:hAnsi="宋体" w:eastAsia="宋体" w:cs="宋体"/>
                <w:color w:val="auto"/>
                <w:sz w:val="24"/>
              </w:rPr>
              <w:t xml:space="preserve">供应商具有有效的质量管理体系认证证书、环境管理体系认证证书、职业健康安全管理体系认证证书的，每个得3分，最高9分。</w:t>
            </w:r>
            <w:r/>
          </w:p>
          <w:p>
            <w:pPr>
              <w:jc w:val="left"/>
              <w:rPr>
                <w:rFonts w:hint="eastAsia" w:ascii="宋体" w:hAnsi="宋体" w:eastAsia="宋体" w:cs="宋体"/>
                <w:color w:val="auto"/>
                <w:sz w:val="24"/>
                <w:szCs w:val="24"/>
              </w:rPr>
            </w:pPr>
            <w:r>
              <w:rPr>
                <w:rFonts w:hint="eastAsia" w:ascii="宋体" w:hAnsi="宋体" w:eastAsia="宋体" w:cs="宋体"/>
                <w:color w:val="auto"/>
                <w:sz w:val="24"/>
                <w:lang w:val="en-US" w:eastAsia="zh-CN"/>
              </w:rPr>
              <w:t xml:space="preserve">注：</w:t>
            </w:r>
            <w:r>
              <w:rPr>
                <w:rFonts w:hint="eastAsia" w:ascii="宋体" w:hAnsi="宋体" w:eastAsia="宋体" w:cs="宋体"/>
                <w:b w:val="0"/>
                <w:bCs w:val="0"/>
                <w:color w:val="auto"/>
                <w:sz w:val="24"/>
                <w:szCs w:val="24"/>
                <w:highlight w:val="none"/>
                <w:lang w:val="en-US" w:eastAsia="zh-CN"/>
              </w:rPr>
              <w:t xml:space="preserve">响应文件中</w:t>
            </w:r>
            <w:r>
              <w:rPr>
                <w:rFonts w:hint="eastAsia" w:ascii="宋体" w:hAnsi="宋体" w:eastAsia="宋体" w:cs="宋体"/>
                <w:b w:val="0"/>
                <w:bCs w:val="0"/>
                <w:color w:val="auto"/>
                <w:sz w:val="24"/>
                <w:szCs w:val="24"/>
                <w:highlight w:val="none"/>
              </w:rPr>
              <w:t xml:space="preserve">提供证书，未提供或提供材料模糊不清无法辨认的不予计分。</w:t>
            </w:r>
            <w:r/>
          </w:p>
        </w:tc>
      </w:tr>
      <w:tr>
        <w:trPr>
          <w:jc w:val="center"/>
          <w:trHeight w:val="57"/>
        </w:trPr>
        <w:tc>
          <w:tcPr>
            <w:tcW w:w="666" w:type="dxa"/>
            <w:vAlign w:val="center"/>
            <w:textDirection w:val="lrTb"/>
            <w:noWrap w:val="false"/>
          </w:tcPr>
          <w:p>
            <w:pPr>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2</w:t>
            </w:r>
            <w:r/>
          </w:p>
        </w:tc>
        <w:tc>
          <w:tcPr>
            <w:tcW w:w="1883"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企业业绩</w:t>
            </w:r>
            <w:r/>
          </w:p>
        </w:tc>
        <w:tc>
          <w:tcPr>
            <w:tcW w:w="817" w:type="dxa"/>
            <w:vAlign w:val="center"/>
            <w:textDirection w:val="lrTb"/>
            <w:noWrap w:val="false"/>
          </w:tcPr>
          <w:p>
            <w:pPr>
              <w:jc w:val="center"/>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w:t>
            </w:r>
            <w:r/>
          </w:p>
        </w:tc>
        <w:tc>
          <w:tcPr>
            <w:tcW w:w="5964" w:type="dxa"/>
            <w:vAlign w:val="center"/>
            <w:textDirection w:val="lrTb"/>
            <w:noWrap w:val="false"/>
          </w:tcPr>
          <w:p>
            <w:pPr>
              <w:jc w:val="left"/>
              <w:rPr>
                <w:rFonts w:hint="eastAsia" w:ascii="宋体" w:hAnsi="宋体" w:eastAsia="宋体" w:cs="宋体"/>
                <w:color w:val="auto"/>
                <w:sz w:val="24"/>
              </w:rPr>
            </w:pPr>
            <w:r/>
            <w:bookmarkStart w:id="69" w:name="OLE_LINK2"/>
            <w:r>
              <w:rPr>
                <w:rFonts w:hint="eastAsia" w:ascii="宋体" w:hAnsi="宋体" w:eastAsia="宋体" w:cs="宋体"/>
                <w:color w:val="auto"/>
                <w:sz w:val="24"/>
              </w:rPr>
              <w:t xml:space="preserve">供应商提供自2023年1月1日（时间以竣工验收日期为准）至今承担过类似市政项目业绩案例的，每个得3分，最高6分。</w:t>
            </w:r>
            <w:r/>
          </w:p>
          <w:p>
            <w:pPr>
              <w:jc w:val="lef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注：响应文件中</w:t>
            </w:r>
            <w:r>
              <w:rPr>
                <w:rFonts w:hint="eastAsia" w:ascii="宋体" w:hAnsi="宋体" w:eastAsia="宋体" w:cs="宋体"/>
                <w:color w:val="auto"/>
                <w:sz w:val="24"/>
              </w:rPr>
              <w:t xml:space="preserve">提供中标通知书（适用于招标项</w:t>
            </w:r>
            <w:r/>
          </w:p>
          <w:p>
            <w:pPr>
              <w:jc w:val="left"/>
              <w:rPr>
                <w:rFonts w:hint="eastAsia" w:ascii="宋体" w:hAnsi="宋体" w:eastAsia="宋体" w:cs="宋体"/>
                <w:color w:val="auto"/>
                <w:sz w:val="24"/>
                <w:szCs w:val="24"/>
              </w:rPr>
            </w:pPr>
            <w:r>
              <w:rPr>
                <w:rFonts w:hint="eastAsia" w:ascii="宋体" w:hAnsi="宋体" w:eastAsia="宋体" w:cs="宋体"/>
                <w:color w:val="auto"/>
                <w:sz w:val="24"/>
              </w:rPr>
              <w:t xml:space="preserve">目），施工合同、竣工验收证明等材料</w:t>
            </w:r>
            <w:r>
              <w:rPr>
                <w:rFonts w:hint="eastAsia" w:ascii="宋体" w:hAnsi="宋体" w:eastAsia="宋体" w:cs="宋体"/>
                <w:color w:val="auto"/>
                <w:sz w:val="24"/>
                <w:lang w:eastAsia="zh-CN"/>
              </w:rPr>
              <w:t xml:space="preserve">，</w:t>
            </w:r>
            <w:r>
              <w:rPr>
                <w:rFonts w:hint="eastAsia" w:ascii="宋体" w:hAnsi="宋体" w:eastAsia="宋体" w:cs="宋体"/>
                <w:b w:val="0"/>
                <w:bCs w:val="0"/>
                <w:color w:val="auto"/>
                <w:sz w:val="24"/>
                <w:szCs w:val="24"/>
                <w:highlight w:val="none"/>
              </w:rPr>
              <w:t xml:space="preserve">未提供或提供材料</w:t>
            </w:r>
            <w:r>
              <w:rPr>
                <w:rFonts w:hint="eastAsia" w:ascii="宋体" w:hAnsi="宋体" w:eastAsia="宋体" w:cs="宋体"/>
                <w:b w:val="0"/>
                <w:bCs w:val="0"/>
                <w:color w:val="auto"/>
                <w:sz w:val="24"/>
                <w:szCs w:val="24"/>
                <w:highlight w:val="none"/>
                <w:lang w:val="en-US" w:eastAsia="zh-CN"/>
              </w:rPr>
              <w:t xml:space="preserve">不全</w:t>
            </w:r>
            <w:r>
              <w:rPr>
                <w:rFonts w:hint="eastAsia" w:ascii="宋体" w:hAnsi="宋体" w:eastAsia="宋体" w:cs="宋体"/>
                <w:b w:val="0"/>
                <w:bCs w:val="0"/>
                <w:color w:val="auto"/>
                <w:sz w:val="24"/>
                <w:szCs w:val="24"/>
                <w:highlight w:val="none"/>
              </w:rPr>
              <w:t xml:space="preserve">的不予计分。</w:t>
            </w:r>
            <w:bookmarkEnd w:id="69"/>
            <w:r/>
            <w:r/>
          </w:p>
        </w:tc>
      </w:tr>
    </w:tbl>
    <w:p>
      <w:pPr>
        <w:pStyle w:val="704"/>
        <w:ind w:left="0" w:right="0" w:firstLine="482"/>
        <w:jc w:val="both"/>
        <w:keepLines w:val="0"/>
        <w:keepNext w:val="0"/>
        <w:spacing w:before="0" w:beforeAutospacing="0" w:after="0" w:afterAutospacing="0" w:line="360" w:lineRule="auto"/>
        <w:widowControl w:val="off"/>
        <w:tabs>
          <w:tab w:val="left" w:pos="567" w:leader="none"/>
        </w:tabs>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备注：1、本项目所有评分项均以网上上传扫描件为准。供应商应保证其上传的扫描件真实有效，否则后果自行负责；</w:t>
      </w:r>
      <w:r/>
    </w:p>
    <w:p>
      <w:pPr>
        <w:pStyle w:val="704"/>
        <w:ind w:left="0" w:firstLine="482"/>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2、上述评分标准中评分项，响应文件中供应商均应提供相关资料并作出相应说明供评委评判，未提供的该评分项不得分；</w:t>
      </w:r>
      <w:r/>
    </w:p>
    <w:p>
      <w:pPr>
        <w:pStyle w:val="704"/>
        <w:ind w:left="0" w:firstLine="482"/>
        <w:keepLines w:val="0"/>
        <w:keepNext w:val="0"/>
        <w:spacing w:before="0" w:beforeAutospacing="0" w:after="0" w:afterAutospacing="0" w:line="360" w:lineRule="auto"/>
        <w:widowControl w:val="off"/>
        <w:rPr>
          <w:rFonts w:hint="eastAsia" w:ascii="宋体" w:hAnsi="宋体" w:eastAsia="宋体" w:cs="宋体"/>
          <w:color w:val="auto"/>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4"/>
        </w:rPr>
        <w:t xml:space="preserve">3、所有人员必须是本单位在职人员（有注册要求的须注册在本单位），否则相应评分项不予计分。</w:t>
      </w:r>
      <w:r/>
    </w:p>
    <w:p>
      <w:pPr>
        <w:ind w:firstLine="369"/>
        <w:jc w:val="right"/>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r>
      <w:r/>
    </w:p>
    <w:p>
      <w:pPr>
        <w:ind w:firstLine="369"/>
        <w:jc w:val="right"/>
        <w:spacing w:line="40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（全文完）</w:t>
      </w:r>
      <w:r/>
    </w:p>
    <w:p>
      <w:pPr>
        <w:rPr>
          <w:rFonts w:hint="eastAsia" w:ascii="宋体" w:hAnsi="宋体" w:eastAsia="宋体" w:cs="宋体"/>
          <w:color w:val="auto"/>
        </w:rPr>
      </w:pPr>
      <w:r>
        <w:rPr>
          <w:rFonts w:hint="eastAsia" w:ascii="宋体" w:hAnsi="宋体" w:eastAsia="宋体" w:cs="宋体"/>
          <w:color w:val="auto"/>
        </w:rPr>
      </w:r>
      <w:r/>
    </w:p>
    <w:sectPr>
      <w:footerReference w:type="default" r:id="rId9"/>
      <w:footerReference w:type="first" r:id="rId10"/>
      <w:footnotePr/>
      <w:endnotePr/>
      <w:type w:val="nextPage"/>
      <w:pgSz w:w="11906" w:h="16838" w:orient="portrait"/>
      <w:pgMar w:top="1327" w:right="1270" w:bottom="1327" w:left="1270" w:header="851" w:footer="99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方正仿宋简体">
    <w:panose1 w:val="020B0503020202020204"/>
  </w:font>
  <w:font w:name="Tahoma">
    <w:panose1 w:val="020B0604030504040204"/>
  </w:font>
  <w:font w:name="楷体_GB2312">
    <w:panose1 w:val="02010609060101010101"/>
  </w:font>
  <w:font w:name="仿宋_GB2312">
    <w:panose1 w:val="02010609060101010101"/>
  </w:font>
  <w:font w:name="黑体">
    <w:panose1 w:val="02010609060101010101"/>
  </w:font>
  <w:font w:name="Calibri">
    <w:panose1 w:val="020F0502020204030204"/>
  </w:font>
  <w:font w:name="Courier New">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54355" cy="1651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54355" cy="1651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43.6pt;height:13.0pt;mso-wrap-distance-left:9.0pt;mso-wrap-distance-top:0.0pt;mso-wrap-distance-right:9.0pt;mso-wrap-distance-bottom:0.0pt;v-text-anchor:top;visibility:visible;" filled="f" stroked="f" strokeweight="0.50pt">
              <v:textbox inset="0,0,0,0">
                <w:txbxContent>
                  <w:p>
                    <w:pPr>
                      <w:pStyle w:val="693"/>
                    </w:pPr>
                    <w:r>
                      <w:t xml:space="preserve">第 </w:t>
                    </w:r>
                    <w:r>
                      <w:fldChar w:fldCharType="begin"/>
                    </w:r>
                    <w:r>
                      <w:instrText xml:space="preserve"> PAGE  \* MERGEFORMAT </w:instrText>
                    </w:r>
                    <w:r>
                      <w:fldChar w:fldCharType="separate"/>
                    </w:r>
                    <w:r>
                      <w:t xml:space="preserve">1</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93"/>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69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68"/>
    <w:next w:val="668"/>
    <w:link w:val="782"/>
    <w:uiPriority w:val="9"/>
    <w:qFormat/>
    <w:pPr>
      <w:keepLines/>
      <w:keepNext/>
      <w:spacing w:before="480" w:after="200"/>
      <w:outlineLvl w:val="0"/>
    </w:pPr>
    <w:rPr>
      <w:rFonts w:ascii="Arial" w:hAnsi="Arial" w:eastAsia="Arial" w:cs="Arial"/>
      <w:sz w:val="40"/>
      <w:szCs w:val="40"/>
    </w:rPr>
  </w:style>
  <w:style w:type="table" w:styleId="49">
    <w:name w:val="Plain Table 1"/>
    <w:basedOn w:val="6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668" w:default="1">
    <w:name w:val="Normal"/>
    <w:next w:val="679"/>
    <w:uiPriority w:val="0"/>
    <w:qFormat/>
    <w:pPr>
      <w:jc w:val="both"/>
      <w:widowControl w:val="off"/>
    </w:pPr>
    <w:rPr>
      <w:rFonts w:ascii="Times New Roman" w:hAnsi="Times New Roman" w:eastAsia="宋体" w:cs="Times New Roman"/>
      <w:sz w:val="21"/>
      <w:szCs w:val="22"/>
      <w:lang w:val="en-US" w:eastAsia="zh-CN" w:bidi="ar-SA"/>
    </w:rPr>
  </w:style>
  <w:style w:type="paragraph" w:styleId="669">
    <w:name w:val="Heading 2"/>
    <w:basedOn w:val="668"/>
    <w:next w:val="668"/>
    <w:uiPriority w:val="0"/>
    <w:qFormat/>
    <w:pPr>
      <w:jc w:val="center"/>
      <w:keepNext/>
      <w:outlineLvl w:val="1"/>
    </w:pPr>
    <w:rPr>
      <w:rFonts w:ascii="宋体" w:hAnsi="宋体"/>
      <w:b/>
      <w:bCs/>
      <w:sz w:val="28"/>
      <w:szCs w:val="28"/>
    </w:rPr>
  </w:style>
  <w:style w:type="paragraph" w:styleId="670">
    <w:name w:val="Heading 3"/>
    <w:basedOn w:val="668"/>
    <w:next w:val="668"/>
    <w:uiPriority w:val="9"/>
    <w:unhideWhenUsed/>
    <w:qFormat/>
    <w:pPr>
      <w:keepLines/>
      <w:keepNext/>
      <w:spacing w:before="320" w:after="200"/>
      <w:outlineLvl w:val="2"/>
    </w:pPr>
    <w:rPr>
      <w:rFonts w:ascii="Arial" w:hAnsi="Arial" w:eastAsia="Arial" w:cs="Arial"/>
      <w:sz w:val="30"/>
      <w:szCs w:val="30"/>
    </w:rPr>
  </w:style>
  <w:style w:type="paragraph" w:styleId="671">
    <w:name w:val="Heading 4"/>
    <w:basedOn w:val="668"/>
    <w:next w:val="668"/>
    <w:uiPriority w:val="9"/>
    <w:unhideWhenUsed/>
    <w:qFormat/>
    <w:pPr>
      <w:keepLines/>
      <w:keepNext/>
      <w:spacing w:before="320" w:after="200"/>
      <w:outlineLvl w:val="3"/>
    </w:pPr>
    <w:rPr>
      <w:rFonts w:ascii="Arial" w:hAnsi="Arial" w:eastAsia="Arial" w:cs="Arial"/>
      <w:b/>
      <w:bCs/>
      <w:sz w:val="26"/>
      <w:szCs w:val="26"/>
    </w:rPr>
  </w:style>
  <w:style w:type="paragraph" w:styleId="672">
    <w:name w:val="Heading 5"/>
    <w:basedOn w:val="668"/>
    <w:next w:val="668"/>
    <w:uiPriority w:val="9"/>
    <w:unhideWhenUsed/>
    <w:qFormat/>
    <w:pPr>
      <w:keepLines/>
      <w:keepNext/>
      <w:spacing w:before="320" w:after="200"/>
      <w:outlineLvl w:val="4"/>
    </w:pPr>
    <w:rPr>
      <w:rFonts w:ascii="Arial" w:hAnsi="Arial" w:eastAsia="Arial" w:cs="Arial"/>
      <w:b/>
      <w:bCs/>
      <w:sz w:val="24"/>
      <w:szCs w:val="24"/>
    </w:rPr>
  </w:style>
  <w:style w:type="paragraph" w:styleId="673">
    <w:name w:val="Heading 6"/>
    <w:basedOn w:val="668"/>
    <w:next w:val="668"/>
    <w:uiPriority w:val="9"/>
    <w:unhideWhenUsed/>
    <w:qFormat/>
    <w:pPr>
      <w:keepLines/>
      <w:keepNext/>
      <w:spacing w:before="320" w:after="200"/>
      <w:outlineLvl w:val="5"/>
    </w:pPr>
    <w:rPr>
      <w:rFonts w:ascii="Arial" w:hAnsi="Arial" w:eastAsia="Arial" w:cs="Arial"/>
      <w:b/>
      <w:bCs/>
      <w:sz w:val="22"/>
    </w:rPr>
  </w:style>
  <w:style w:type="paragraph" w:styleId="674">
    <w:name w:val="Heading 7"/>
    <w:basedOn w:val="668"/>
    <w:next w:val="668"/>
    <w:uiPriority w:val="9"/>
    <w:unhideWhenUsed/>
    <w:qFormat/>
    <w:pPr>
      <w:keepLines/>
      <w:keepNext/>
      <w:spacing w:before="320" w:after="200"/>
      <w:outlineLvl w:val="6"/>
    </w:pPr>
    <w:rPr>
      <w:rFonts w:ascii="Arial" w:hAnsi="Arial" w:eastAsia="Arial" w:cs="Arial"/>
      <w:b/>
      <w:bCs/>
      <w:i/>
      <w:iCs/>
      <w:sz w:val="22"/>
    </w:rPr>
  </w:style>
  <w:style w:type="paragraph" w:styleId="675">
    <w:name w:val="Heading 8"/>
    <w:basedOn w:val="668"/>
    <w:next w:val="668"/>
    <w:uiPriority w:val="9"/>
    <w:unhideWhenUsed/>
    <w:qFormat/>
    <w:pPr>
      <w:keepLines/>
      <w:keepNext/>
      <w:spacing w:before="320" w:after="200"/>
      <w:outlineLvl w:val="7"/>
    </w:pPr>
    <w:rPr>
      <w:rFonts w:ascii="Arial" w:hAnsi="Arial" w:eastAsia="Arial" w:cs="Arial"/>
      <w:i/>
      <w:iCs/>
      <w:sz w:val="22"/>
    </w:rPr>
  </w:style>
  <w:style w:type="paragraph" w:styleId="676">
    <w:name w:val="Heading 9"/>
    <w:basedOn w:val="668"/>
    <w:next w:val="668"/>
    <w:uiPriority w:val="9"/>
    <w:unhideWhenUsed/>
    <w:qFormat/>
    <w:pPr>
      <w:keepLines/>
      <w:keepNext/>
      <w:spacing w:before="320" w:after="200"/>
      <w:outlineLvl w:val="8"/>
    </w:pPr>
    <w:rPr>
      <w:rFonts w:ascii="Arial" w:hAnsi="Arial" w:eastAsia="Arial" w:cs="Arial"/>
      <w:i/>
      <w:iCs/>
      <w:szCs w:val="21"/>
    </w:rPr>
  </w:style>
  <w:style w:type="character" w:styleId="677" w:default="1">
    <w:name w:val="Default Paragraph Font"/>
    <w:uiPriority w:val="1"/>
    <w:semiHidden/>
    <w:unhideWhenUsed/>
    <w:qFormat/>
  </w:style>
  <w:style w:type="table" w:styleId="678" w:default="1">
    <w:name w:val="Normal Table"/>
    <w:uiPriority w:val="99"/>
    <w:semiHidden/>
    <w:unhideWhenUsed/>
    <w:qFormat/>
    <w:tblPr>
      <w:tblCellMar>
        <w:left w:w="108" w:type="dxa"/>
        <w:top w:w="0" w:type="dxa"/>
        <w:right w:w="108" w:type="dxa"/>
        <w:bottom w:w="0" w:type="dxa"/>
      </w:tblCellMar>
    </w:tblPr>
  </w:style>
  <w:style w:type="paragraph" w:styleId="679" w:customStyle="1">
    <w:name w:val="段"/>
    <w:next w:val="668"/>
    <w:uiPriority w:val="0"/>
    <w:qFormat/>
    <w:pPr>
      <w:ind w:firstLine="200"/>
      <w:jc w:val="both"/>
    </w:pPr>
    <w:rPr>
      <w:rFonts w:ascii="宋体" w:hAnsi="Times New Roman" w:eastAsia="宋体" w:cs="Times New Roman"/>
      <w:sz w:val="21"/>
      <w:lang w:val="en-US" w:eastAsia="zh-CN" w:bidi="ar-SA"/>
    </w:rPr>
  </w:style>
  <w:style w:type="paragraph" w:styleId="680">
    <w:name w:val="toc 7"/>
    <w:basedOn w:val="668"/>
    <w:next w:val="668"/>
    <w:uiPriority w:val="39"/>
    <w:unhideWhenUsed/>
    <w:qFormat/>
    <w:pPr>
      <w:ind w:left="1701"/>
      <w:spacing w:after="57"/>
    </w:pPr>
  </w:style>
  <w:style w:type="paragraph" w:styleId="681">
    <w:name w:val="Normal Indent"/>
    <w:basedOn w:val="668"/>
    <w:next w:val="668"/>
    <w:uiPriority w:val="0"/>
    <w:qFormat/>
    <w:pPr>
      <w:ind w:left="420" w:firstLine="4772"/>
    </w:pPr>
  </w:style>
  <w:style w:type="paragraph" w:styleId="682">
    <w:name w:val="Caption"/>
    <w:basedOn w:val="668"/>
    <w:next w:val="66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83">
    <w:name w:val="Document Map"/>
    <w:basedOn w:val="668"/>
    <w:uiPriority w:val="0"/>
    <w:qFormat/>
    <w:pPr>
      <w:shd w:val="clear" w:color="auto" w:fill="000080"/>
    </w:pPr>
  </w:style>
  <w:style w:type="paragraph" w:styleId="684">
    <w:name w:val="annotation text"/>
    <w:basedOn w:val="668"/>
    <w:link w:val="736"/>
    <w:uiPriority w:val="99"/>
    <w:unhideWhenUsed/>
    <w:qFormat/>
    <w:pPr>
      <w:jc w:val="left"/>
    </w:pPr>
  </w:style>
  <w:style w:type="paragraph" w:styleId="685">
    <w:name w:val="Body Text"/>
    <w:basedOn w:val="668"/>
    <w:uiPriority w:val="0"/>
    <w:qFormat/>
    <w:pPr>
      <w:spacing w:after="120"/>
    </w:pPr>
    <w:rPr>
      <w:szCs w:val="24"/>
    </w:rPr>
  </w:style>
  <w:style w:type="paragraph" w:styleId="686">
    <w:name w:val="Body Text Indent"/>
    <w:basedOn w:val="668"/>
    <w:uiPriority w:val="0"/>
    <w:qFormat/>
    <w:pPr>
      <w:ind w:left="420" w:firstLine="1188"/>
      <w:spacing w:line="360" w:lineRule="exact"/>
    </w:pPr>
    <w:rPr>
      <w:szCs w:val="24"/>
    </w:rPr>
  </w:style>
  <w:style w:type="paragraph" w:styleId="687">
    <w:name w:val="toc 5"/>
    <w:basedOn w:val="668"/>
    <w:next w:val="668"/>
    <w:uiPriority w:val="39"/>
    <w:unhideWhenUsed/>
    <w:qFormat/>
    <w:pPr>
      <w:ind w:left="1134"/>
      <w:spacing w:after="57"/>
    </w:pPr>
  </w:style>
  <w:style w:type="paragraph" w:styleId="688">
    <w:name w:val="toc 3"/>
    <w:basedOn w:val="668"/>
    <w:next w:val="668"/>
    <w:uiPriority w:val="39"/>
    <w:unhideWhenUsed/>
    <w:qFormat/>
    <w:pPr>
      <w:ind w:left="567"/>
      <w:spacing w:after="57"/>
    </w:pPr>
  </w:style>
  <w:style w:type="paragraph" w:styleId="689">
    <w:name w:val="Plain Text"/>
    <w:basedOn w:val="668"/>
    <w:uiPriority w:val="0"/>
    <w:qFormat/>
    <w:rPr>
      <w:rFonts w:ascii="宋体" w:hAnsi="Courier New"/>
      <w:szCs w:val="20"/>
    </w:rPr>
  </w:style>
  <w:style w:type="paragraph" w:styleId="690">
    <w:name w:val="toc 8"/>
    <w:basedOn w:val="668"/>
    <w:next w:val="668"/>
    <w:uiPriority w:val="39"/>
    <w:unhideWhenUsed/>
    <w:qFormat/>
    <w:pPr>
      <w:ind w:left="1984"/>
      <w:spacing w:after="57"/>
    </w:pPr>
  </w:style>
  <w:style w:type="paragraph" w:styleId="691">
    <w:name w:val="endnote text"/>
    <w:basedOn w:val="668"/>
    <w:link w:val="737"/>
    <w:uiPriority w:val="99"/>
    <w:unhideWhenUsed/>
    <w:qFormat/>
    <w:rPr>
      <w:sz w:val="20"/>
    </w:rPr>
  </w:style>
  <w:style w:type="paragraph" w:styleId="692">
    <w:name w:val="Balloon Text"/>
    <w:basedOn w:val="668"/>
    <w:link w:val="738"/>
    <w:uiPriority w:val="99"/>
    <w:unhideWhenUsed/>
    <w:qFormat/>
    <w:rPr>
      <w:sz w:val="18"/>
      <w:szCs w:val="18"/>
    </w:rPr>
  </w:style>
  <w:style w:type="paragraph" w:styleId="693">
    <w:name w:val="Footer"/>
    <w:basedOn w:val="668"/>
    <w:uiPriority w:val="99"/>
    <w:unhideWhenUsed/>
    <w:qFormat/>
    <w:pPr>
      <w:jc w:val="left"/>
      <w:tabs>
        <w:tab w:val="center" w:pos="4153" w:leader="none"/>
        <w:tab w:val="right" w:pos="8306" w:leader="none"/>
      </w:tabs>
    </w:pPr>
    <w:rPr>
      <w:sz w:val="18"/>
    </w:rPr>
  </w:style>
  <w:style w:type="paragraph" w:styleId="694">
    <w:name w:val="envelope return"/>
    <w:basedOn w:val="668"/>
    <w:uiPriority w:val="0"/>
    <w:qFormat/>
    <w:rPr>
      <w:sz w:val="26"/>
      <w:szCs w:val="24"/>
    </w:rPr>
  </w:style>
  <w:style w:type="paragraph" w:styleId="695">
    <w:name w:val="Header"/>
    <w:basedOn w:val="668"/>
    <w:uiPriority w:val="99"/>
    <w:unhideWhenUsed/>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96">
    <w:name w:val="toc 1"/>
    <w:basedOn w:val="668"/>
    <w:next w:val="668"/>
    <w:uiPriority w:val="39"/>
    <w:unhideWhenUsed/>
    <w:qFormat/>
    <w:pPr>
      <w:spacing w:after="57"/>
    </w:pPr>
  </w:style>
  <w:style w:type="paragraph" w:styleId="697">
    <w:name w:val="toc 4"/>
    <w:basedOn w:val="668"/>
    <w:next w:val="668"/>
    <w:uiPriority w:val="39"/>
    <w:unhideWhenUsed/>
    <w:qFormat/>
    <w:pPr>
      <w:ind w:left="850"/>
      <w:spacing w:after="57"/>
    </w:pPr>
  </w:style>
  <w:style w:type="paragraph" w:styleId="698">
    <w:name w:val="Subtitle"/>
    <w:basedOn w:val="668"/>
    <w:next w:val="668"/>
    <w:link w:val="739"/>
    <w:uiPriority w:val="11"/>
    <w:qFormat/>
    <w:pPr>
      <w:spacing w:before="200" w:after="200"/>
    </w:pPr>
    <w:rPr>
      <w:sz w:val="24"/>
      <w:szCs w:val="24"/>
    </w:rPr>
  </w:style>
  <w:style w:type="paragraph" w:styleId="699">
    <w:name w:val="footnote text"/>
    <w:basedOn w:val="668"/>
    <w:link w:val="740"/>
    <w:uiPriority w:val="99"/>
    <w:unhideWhenUsed/>
    <w:qFormat/>
    <w:pPr>
      <w:spacing w:after="40"/>
    </w:pPr>
    <w:rPr>
      <w:sz w:val="18"/>
    </w:rPr>
  </w:style>
  <w:style w:type="paragraph" w:styleId="700">
    <w:name w:val="toc 6"/>
    <w:basedOn w:val="668"/>
    <w:next w:val="668"/>
    <w:uiPriority w:val="39"/>
    <w:unhideWhenUsed/>
    <w:qFormat/>
    <w:pPr>
      <w:ind w:left="1417"/>
      <w:spacing w:after="57"/>
    </w:pPr>
  </w:style>
  <w:style w:type="paragraph" w:styleId="701">
    <w:name w:val="table of figures"/>
    <w:basedOn w:val="668"/>
    <w:next w:val="668"/>
    <w:uiPriority w:val="99"/>
    <w:unhideWhenUsed/>
    <w:qFormat/>
  </w:style>
  <w:style w:type="paragraph" w:styleId="702">
    <w:name w:val="toc 2"/>
    <w:basedOn w:val="668"/>
    <w:next w:val="668"/>
    <w:uiPriority w:val="39"/>
    <w:unhideWhenUsed/>
    <w:qFormat/>
    <w:pPr>
      <w:ind w:left="283"/>
      <w:spacing w:after="57"/>
    </w:pPr>
  </w:style>
  <w:style w:type="paragraph" w:styleId="703">
    <w:name w:val="toc 9"/>
    <w:basedOn w:val="668"/>
    <w:next w:val="668"/>
    <w:uiPriority w:val="39"/>
    <w:unhideWhenUsed/>
    <w:qFormat/>
    <w:pPr>
      <w:ind w:left="2268"/>
      <w:spacing w:after="57"/>
    </w:pPr>
  </w:style>
  <w:style w:type="paragraph" w:styleId="704">
    <w:name w:val="Normal (Web)"/>
    <w:basedOn w:val="668"/>
    <w:uiPriority w:val="99"/>
    <w:qFormat/>
    <w:pPr>
      <w:jc w:val="left"/>
      <w:spacing w:before="100" w:beforeAutospacing="1" w:after="100" w:afterAutospacing="1"/>
      <w:widowControl/>
    </w:pPr>
    <w:rPr>
      <w:rFonts w:ascii="宋体" w:hAnsi="宋体" w:cs="宋体"/>
      <w:sz w:val="24"/>
    </w:rPr>
  </w:style>
  <w:style w:type="paragraph" w:styleId="705">
    <w:name w:val="Title"/>
    <w:basedOn w:val="668"/>
    <w:next w:val="668"/>
    <w:link w:val="741"/>
    <w:uiPriority w:val="10"/>
    <w:qFormat/>
    <w:pPr>
      <w:contextualSpacing/>
      <w:spacing w:before="300" w:after="200"/>
    </w:pPr>
    <w:rPr>
      <w:sz w:val="48"/>
      <w:szCs w:val="48"/>
    </w:rPr>
  </w:style>
  <w:style w:type="paragraph" w:styleId="706">
    <w:name w:val="annotation subject"/>
    <w:basedOn w:val="684"/>
    <w:next w:val="684"/>
    <w:link w:val="742"/>
    <w:uiPriority w:val="99"/>
    <w:unhideWhenUsed/>
    <w:qFormat/>
    <w:rPr>
      <w:b/>
      <w:bCs/>
    </w:rPr>
  </w:style>
  <w:style w:type="paragraph" w:styleId="707">
    <w:name w:val="Body Text First Indent 2"/>
    <w:basedOn w:val="686"/>
    <w:next w:val="681"/>
    <w:uiPriority w:val="0"/>
    <w:qFormat/>
    <w:pPr>
      <w:ind w:left="200" w:firstLine="420"/>
      <w:spacing w:after="120"/>
    </w:pPr>
    <w:rPr>
      <w:rFonts w:ascii="Calibri" w:hAnsi="Calibri"/>
    </w:rPr>
  </w:style>
  <w:style w:type="table" w:styleId="70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09">
    <w:name w:val="Strong"/>
    <w:basedOn w:val="677"/>
    <w:uiPriority w:val="22"/>
    <w:qFormat/>
    <w:rPr>
      <w:b/>
    </w:rPr>
  </w:style>
  <w:style w:type="character" w:styleId="710">
    <w:name w:val="endnote reference"/>
    <w:uiPriority w:val="99"/>
    <w:unhideWhenUsed/>
    <w:qFormat/>
    <w:rPr>
      <w:vertAlign w:val="superscript"/>
    </w:rPr>
  </w:style>
  <w:style w:type="character" w:styleId="711">
    <w:name w:val="FollowedHyperlink"/>
    <w:uiPriority w:val="99"/>
    <w:unhideWhenUsed/>
    <w:qFormat/>
    <w:rPr>
      <w:color w:val="333333"/>
      <w:u w:val="none"/>
    </w:rPr>
  </w:style>
  <w:style w:type="character" w:styleId="712">
    <w:name w:val="Emphasis"/>
    <w:uiPriority w:val="20"/>
    <w:qFormat/>
  </w:style>
  <w:style w:type="character" w:styleId="713">
    <w:name w:val="Hyperlink"/>
    <w:uiPriority w:val="99"/>
    <w:unhideWhenUsed/>
    <w:qFormat/>
    <w:rPr>
      <w:color w:val="333333"/>
      <w:u w:val="none"/>
    </w:rPr>
  </w:style>
  <w:style w:type="character" w:styleId="714">
    <w:name w:val="annotation reference"/>
    <w:uiPriority w:val="99"/>
    <w:unhideWhenUsed/>
    <w:qFormat/>
    <w:rPr>
      <w:sz w:val="21"/>
      <w:szCs w:val="21"/>
    </w:rPr>
  </w:style>
  <w:style w:type="character" w:styleId="715">
    <w:name w:val="footnote reference"/>
    <w:uiPriority w:val="99"/>
    <w:unhideWhenUsed/>
    <w:qFormat/>
    <w:rPr>
      <w:vertAlign w:val="superscript"/>
    </w:rPr>
  </w:style>
  <w:style w:type="table" w:styleId="716" w:customStyle="1">
    <w:name w:val="无格式表格 11"/>
    <w:basedOn w:val="678"/>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黑体" w:hAnsi="黑体"/>
        <w:b/>
        <w:color w:val="404040"/>
        <w:sz w:val="22"/>
      </w:rPr>
    </w:tblStylePr>
    <w:tblStylePr w:type="firstRow">
      <w:rPr>
        <w:rFonts w:ascii="黑体" w:hAnsi="黑体"/>
        <w:b/>
        <w:color w:val="404040"/>
        <w:sz w:val="22"/>
      </w:rPr>
    </w:tblStylePr>
    <w:tblStylePr w:type="lastCol">
      <w:rPr>
        <w:rFonts w:ascii="黑体" w:hAnsi="黑体"/>
        <w:b/>
        <w:color w:val="404040"/>
        <w:sz w:val="22"/>
      </w:rPr>
    </w:tblStylePr>
    <w:tblStylePr w:type="lastRow">
      <w:rPr>
        <w:rFonts w:ascii="黑体" w:hAnsi="黑体"/>
        <w:b/>
        <w:color w:val="404040"/>
        <w:sz w:val="22"/>
      </w:rPr>
    </w:tblStylePr>
  </w:style>
  <w:style w:type="table" w:styleId="717" w:customStyle="1">
    <w:name w:val="无格式表格 21"/>
    <w:basedOn w:val="678"/>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黑体" w:hAnsi="黑体"/>
        <w:b/>
        <w:color w:val="404040"/>
        <w:sz w:val="22"/>
      </w:rPr>
    </w:tblStylePr>
    <w:tblStylePr w:type="firstRow">
      <w:rPr>
        <w:rFonts w:ascii="黑体" w:hAnsi="黑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blStylePr>
  </w:style>
  <w:style w:type="table" w:styleId="718" w:customStyle="1">
    <w:name w:val="无格式表格 31"/>
    <w:basedOn w:val="678"/>
    <w:uiPriority w:val="99"/>
    <w:qFormat/>
    <w:tblPr>
      <w:tblCellMar>
        <w:left w:w="0" w:type="dxa"/>
        <w:right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719" w:customStyle="1">
    <w:name w:val="无格式表格 41"/>
    <w:basedOn w:val="678"/>
    <w:uiPriority w:val="99"/>
    <w:qFormat/>
    <w:tblPr>
      <w:tblCellMar>
        <w:left w:w="0" w:type="dxa"/>
        <w:right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customStyle="1">
    <w:name w:val="无格式表格 51"/>
    <w:basedOn w:val="678"/>
    <w:uiPriority w:val="99"/>
    <w:qFormat/>
    <w:tblPr>
      <w:tblCellMar>
        <w:left w:w="0" w:type="dxa"/>
        <w:right w:w="0" w:type="dxa"/>
      </w:tblCellMar>
    </w:tblPr>
    <w:tblStylePr w:type="band1Horz">
      <w:rPr>
        <w:rFonts w:ascii="黑体" w:hAnsi="黑体"/>
        <w:color w:val="404040"/>
        <w:sz w:val="22"/>
      </w:rPr>
      <w:tcPr>
        <w:shd w:val="clear" w:color="f1f1f1" w:fill="f1f1f1"/>
      </w:tcPr>
    </w:tblStylePr>
    <w:tblStylePr w:type="band1Vert">
      <w:rPr>
        <w:rFonts w:ascii="黑体" w:hAnsi="黑体"/>
        <w:color w:val="404040"/>
        <w:sz w:val="22"/>
      </w:rPr>
      <w:tcPr>
        <w:shd w:val="clear" w:color="f1f1f1" w:fill="f1f1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1" w:customStyle="1">
    <w:name w:val="网格表 1 浅色1"/>
    <w:basedOn w:val="678"/>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CellMar>
        <w:left w:w="0" w:type="dxa"/>
        <w:right w:w="0" w:type="dxa"/>
      </w:tblCellMar>
    </w:tblPr>
    <w:tblStylePr w:type="band1Horz">
      <w:rPr>
        <w:rFonts w:ascii="黑体" w:hAnsi="黑体"/>
        <w:color w:val="404040"/>
        <w:sz w:val="22"/>
      </w:rPr>
      <w:tcPr>
        <w:tcBorders>
          <w:top w:val="single" w:color="979797" w:sz="4" w:space="0"/>
          <w:left w:val="single" w:color="979797" w:sz="4" w:space="0"/>
          <w:bottom w:val="single" w:color="979797" w:sz="4" w:space="0"/>
          <w:right w:val="single" w:color="979797"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722" w:customStyle="1">
    <w:name w:val="网格表 21"/>
    <w:basedOn w:val="678"/>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single" w:color="696969"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3" w:customStyle="1">
    <w:name w:val="网格表 31"/>
    <w:basedOn w:val="678"/>
    <w:uiPriority w:val="99"/>
    <w:qFormat/>
    <w:tblPr>
      <w:tblBorders>
        <w:bottom w:val="single" w:color="696969" w:sz="4" w:space="0"/>
        <w:insideH w:val="single" w:color="696969" w:sz="4" w:space="0"/>
        <w:insideV w:val="single" w:color="696969" w:sz="4" w:space="0"/>
      </w:tblBorders>
      <w:tblCellMar>
        <w:left w:w="0" w:type="dxa"/>
        <w:right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4" w:customStyle="1">
    <w:name w:val="网格表 41"/>
    <w:basedOn w:val="678"/>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CellMar>
        <w:left w:w="0" w:type="dxa"/>
        <w:right w:w="0" w:type="dxa"/>
      </w:tblCellMar>
    </w:tblPr>
    <w:tblStylePr w:type="band1Horz">
      <w:rPr>
        <w:rFonts w:ascii="黑体" w:hAnsi="黑体"/>
        <w:color w:val="404040"/>
        <w:sz w:val="22"/>
      </w:rPr>
      <w:tcPr>
        <w:shd w:val="clear" w:color="cacaca" w:fill="cacaca"/>
      </w:tcPr>
    </w:tblStylePr>
    <w:tblStylePr w:type="band1Vert">
      <w:rPr>
        <w:rFonts w:ascii="黑体" w:hAnsi="黑体"/>
        <w:color w:val="404040"/>
        <w:sz w:val="22"/>
      </w:rPr>
      <w:tcPr>
        <w:shd w:val="clear" w:color="cacaca" w:fill="cacaca"/>
      </w:tcPr>
    </w:tblStylePr>
    <w:tblStylePr w:type="firstCol">
      <w:rPr>
        <w:b/>
        <w:color w:val="404040"/>
      </w:rPr>
    </w:tblStylePr>
    <w:tblStylePr w:type="firstRow">
      <w:rPr>
        <w:rFonts w:ascii="黑体" w:hAnsi="黑体"/>
        <w:b/>
        <w:color w:val="ffffff"/>
        <w:sz w:val="22"/>
      </w:rPr>
      <w:tcPr>
        <w:shd w:val="clear" w:color="000000"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5" w:customStyle="1">
    <w:name w:val="网格表 5 深色1"/>
    <w:basedOn w:val="67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98989" w:fill="898989"/>
      </w:tcPr>
    </w:tblStylePr>
    <w:tblStylePr w:type="band1Vert">
      <w:tcPr>
        <w:shd w:val="clear" w:color="898989" w:fill="898989"/>
      </w:tcPr>
    </w:tblStylePr>
    <w:tblStylePr w:type="firstCol">
      <w:rPr>
        <w:rFonts w:ascii="黑体" w:hAnsi="黑体"/>
        <w:b/>
        <w:color w:val="ffffff"/>
        <w:sz w:val="22"/>
      </w:rPr>
      <w:tcPr>
        <w:shd w:val="clear" w:color="000000" w:fill="000000"/>
      </w:tcPr>
    </w:tblStylePr>
    <w:tblStylePr w:type="firstRow">
      <w:rPr>
        <w:rFonts w:ascii="黑体" w:hAnsi="黑体"/>
        <w:b/>
        <w:color w:val="ffffff"/>
        <w:sz w:val="22"/>
      </w:rPr>
      <w:tcPr>
        <w:shd w:val="clear" w:color="000000" w:fill="000000"/>
      </w:tcPr>
    </w:tblStylePr>
    <w:tblStylePr w:type="lastCol">
      <w:rPr>
        <w:rFonts w:ascii="黑体" w:hAnsi="黑体"/>
        <w:b/>
        <w:color w:val="ffffff"/>
        <w:sz w:val="22"/>
      </w:rPr>
      <w:tcPr>
        <w:shd w:val="clear" w:color="000000" w:fill="000000"/>
      </w:tcPr>
    </w:tblStylePr>
    <w:tblStylePr w:type="lastRow">
      <w:rPr>
        <w:rFonts w:ascii="黑体" w:hAnsi="黑体"/>
        <w:b/>
        <w:color w:val="ffffff"/>
        <w:sz w:val="22"/>
      </w:rPr>
      <w:tcPr>
        <w:shd w:val="clear" w:color="000000" w:fill="000000"/>
        <w:tcBorders>
          <w:top w:val="single" w:color="FFFFFF"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6" w:customStyle="1">
    <w:name w:val="网格表 6 彩色1"/>
    <w:basedOn w:val="678"/>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黑体" w:hAnsi="黑体"/>
        <w:color w:val="808080"/>
        <w:sz w:val="22"/>
      </w:rPr>
      <w:tcPr>
        <w:shd w:val="clear" w:color="cacaca" w:fill="cacaca"/>
      </w:tcPr>
    </w:tblStylePr>
    <w:tblStylePr w:type="band1Vert">
      <w:tcPr>
        <w:shd w:val="clear" w:color="cacaca" w:fill="cacaca"/>
      </w:tcPr>
    </w:tblStylePr>
    <w:tblStylePr w:type="band2Horz">
      <w:rPr>
        <w:rFonts w:ascii="黑体" w:hAnsi="黑体"/>
        <w:color w:val="808080"/>
        <w:sz w:val="22"/>
      </w:rPr>
    </w:tblStylePr>
    <w:tblStylePr w:type="firstCol">
      <w:rPr>
        <w:b/>
        <w:color w:val="808080"/>
      </w:rPr>
    </w:tblStylePr>
    <w:tblStylePr w:type="firstRow">
      <w:rPr>
        <w:b/>
        <w:color w:val="808080"/>
      </w:rPr>
      <w:tcPr>
        <w:tcBorders>
          <w:top w:val="none" w:color="000000" w:sz="4" w:space="0"/>
          <w:left w:val="single" w:color="7E7E7E" w:sz="12" w:space="0"/>
          <w:bottom w:val="none" w:color="000000" w:sz="4" w:space="0"/>
          <w:right w:val="none" w:color="000000" w:sz="4" w:space="0"/>
          <w:insideH w:val="none" w:color="000000" w:sz="4" w:space="0"/>
          <w:insideV w:val="none" w:color="000000" w:sz="4" w:space="0"/>
        </w:tcBorders>
      </w:tcPr>
    </w:tblStylePr>
    <w:tblStylePr w:type="lastCol">
      <w:rPr>
        <w:b/>
        <w:color w:val="808080"/>
      </w:rPr>
    </w:tblStylePr>
    <w:tblStylePr w:type="lastRow">
      <w:rPr>
        <w:b/>
        <w:color w:val="808080"/>
      </w:rPr>
    </w:tblStylePr>
  </w:style>
  <w:style w:type="table" w:styleId="727" w:customStyle="1">
    <w:name w:val="网格表 7 彩色1"/>
    <w:basedOn w:val="678"/>
    <w:uiPriority w:val="99"/>
    <w:qFormat/>
    <w:tblPr>
      <w:tblBorders>
        <w:bottom w:val="single" w:color="7E7E7E" w:sz="4" w:space="0"/>
        <w:right w:val="single" w:color="7E7E7E" w:sz="4" w:space="0"/>
        <w:insideH w:val="single" w:color="7E7E7E" w:sz="4" w:space="0"/>
        <w:insideV w:val="single" w:color="7E7E7E" w:sz="4" w:space="0"/>
      </w:tblBorders>
      <w:tblCellMar>
        <w:left w:w="0" w:type="dxa"/>
        <w:right w:w="0" w:type="dxa"/>
      </w:tblCellMar>
    </w:tblPr>
    <w:tblStylePr w:type="band1Horz">
      <w:rPr>
        <w:rFonts w:ascii="黑体" w:hAnsi="黑体"/>
        <w:color w:val="808080"/>
        <w:sz w:val="22"/>
      </w:rPr>
      <w:tcPr>
        <w:shd w:val="clear" w:color="f1f1f1" w:fill="f1f1f1"/>
      </w:tcPr>
    </w:tblStylePr>
    <w:tblStylePr w:type="band1Vert">
      <w:tcPr>
        <w:shd w:val="clear" w:color="f1f1f1" w:fill="f1f1f1"/>
      </w:tcPr>
    </w:tblStylePr>
    <w:tblStylePr w:type="band2Horz">
      <w:rPr>
        <w:rFonts w:ascii="黑体" w:hAnsi="黑体"/>
        <w:color w:val="808080"/>
        <w:sz w:val="22"/>
      </w:rPr>
    </w:tblStylePr>
    <w:tblStylePr w:type="firstCol">
      <w:rPr>
        <w:rFonts w:ascii="黑体" w:hAnsi="黑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黑体" w:hAnsi="黑体"/>
        <w:b/>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黑体" w:hAnsi="黑体"/>
        <w:b/>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8" w:customStyle="1">
    <w:name w:val="清单表 1 浅色1"/>
    <w:basedOn w:val="678"/>
    <w:uiPriority w:val="99"/>
    <w:qFormat/>
    <w:tblPr>
      <w:tblCellMar>
        <w:left w:w="0" w:type="dxa"/>
        <w:right w:w="0" w:type="dxa"/>
      </w:tblCellMar>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29" w:customStyle="1">
    <w:name w:val="清单表 21"/>
    <w:basedOn w:val="678"/>
    <w:uiPriority w:val="99"/>
    <w:qFormat/>
    <w:tblPr>
      <w:tblBorders>
        <w:top w:val="single" w:color="6E6E6E" w:sz="4" w:space="0"/>
        <w:bottom w:val="single" w:color="6E6E6E" w:sz="4" w:space="0"/>
        <w:insideH w:val="single" w:color="6E6E6E" w:sz="4" w:space="0"/>
      </w:tblBorders>
      <w:tblCellMar>
        <w:left w:w="0" w:type="dxa"/>
        <w:right w:w="0" w:type="dxa"/>
      </w:tblCellMar>
    </w:tblPr>
    <w:tblStylePr w:type="band1Horz">
      <w:rPr>
        <w:rFonts w:ascii="黑体" w:hAnsi="黑体"/>
        <w:color w:val="404040"/>
        <w:sz w:val="22"/>
      </w:rPr>
      <w:tcPr>
        <w:shd w:val="clear" w:color="bebebe" w:fill="bebebe"/>
      </w:tcPr>
    </w:tblStylePr>
    <w:tblStylePr w:type="band1Vert">
      <w:rPr>
        <w:rFonts w:ascii="黑体" w:hAnsi="黑体"/>
        <w:color w:val="404040"/>
        <w:sz w:val="22"/>
      </w:rPr>
      <w:tcPr>
        <w:shd w:val="clear" w:color="bebebe" w:fill="bebebe"/>
      </w:tcPr>
    </w:tblStylePr>
    <w:tblStylePr w:type="firstCol">
      <w:rPr>
        <w:rFonts w:ascii="黑体" w:hAnsi="黑体"/>
        <w:b/>
        <w:color w:val="404040"/>
        <w:sz w:val="22"/>
      </w:rPr>
    </w:tblStylePr>
    <w:tblStylePr w:type="firstRow">
      <w:rPr>
        <w:rFonts w:ascii="黑体" w:hAnsi="黑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6E6E6E" w:sz="4" w:space="0"/>
          <w:left w:val="single" w:color="6E6E6E" w:sz="4" w:space="0"/>
          <w:bottom w:val="none" w:color="000000" w:sz="4" w:space="0"/>
          <w:right w:val="none" w:color="000000" w:sz="4" w:space="0"/>
          <w:insideH w:val="none" w:color="000000" w:sz="4" w:space="0"/>
          <w:insideV w:val="none" w:color="000000" w:sz="4" w:space="0"/>
        </w:tcBorders>
      </w:tcPr>
    </w:tblStylePr>
  </w:style>
  <w:style w:type="table" w:styleId="730" w:customStyle="1">
    <w:name w:val="清单表 31"/>
    <w:basedOn w:val="67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黑体" w:hAnsi="黑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000000" w:fill="000000"/>
      </w:tcPr>
    </w:tblStylePr>
    <w:tblStylePr w:type="lastCol">
      <w:rPr>
        <w:b/>
        <w:color w:val="404040"/>
      </w:rPr>
    </w:tblStylePr>
    <w:tblStylePr w:type="lastRow">
      <w:rPr>
        <w:b/>
        <w:color w:val="404040"/>
      </w:rPr>
    </w:tblStylePr>
  </w:style>
  <w:style w:type="table" w:styleId="731" w:customStyle="1">
    <w:name w:val="清单表 41"/>
    <w:basedOn w:val="67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黑体" w:hAnsi="黑体"/>
        <w:color w:val="404040"/>
        <w:sz w:val="22"/>
      </w:rPr>
      <w:tcPr>
        <w:shd w:val="clear" w:color="bebebe" w:fill="bebebe"/>
      </w:tcPr>
    </w:tblStylePr>
    <w:tblStylePr w:type="band1Vert">
      <w:rPr>
        <w:rFonts w:ascii="黑体" w:hAnsi="黑体"/>
        <w:color w:val="404040"/>
        <w:sz w:val="22"/>
      </w:rPr>
      <w:tcPr>
        <w:shd w:val="clear" w:color="bebebe" w:fill="bebebe"/>
      </w:tcPr>
    </w:tblStylePr>
    <w:tblStylePr w:type="firstCol">
      <w:rPr>
        <w:b/>
        <w:color w:val="404040"/>
      </w:rPr>
    </w:tblStylePr>
    <w:tblStylePr w:type="firstRow">
      <w:rPr>
        <w:rFonts w:ascii="黑体" w:hAnsi="黑体"/>
        <w:b/>
        <w:color w:val="ffffff"/>
        <w:sz w:val="22"/>
      </w:rPr>
      <w:tcPr>
        <w:shd w:val="clear" w:color="000000" w:fill="000000"/>
      </w:tcPr>
    </w:tblStylePr>
    <w:tblStylePr w:type="lastCol">
      <w:rPr>
        <w:b/>
        <w:color w:val="404040"/>
      </w:rPr>
    </w:tblStylePr>
    <w:tblStylePr w:type="lastRow">
      <w:rPr>
        <w:b/>
        <w:color w:val="404040"/>
      </w:rPr>
    </w:tblStylePr>
  </w:style>
  <w:style w:type="table" w:styleId="732" w:customStyle="1">
    <w:name w:val="清单表 5 深色1"/>
    <w:basedOn w:val="678"/>
    <w:uiPriority w:val="99"/>
    <w:qFormat/>
    <w:tblPr>
      <w:tblBorders>
        <w:top w:val="single" w:color="7E7E7E" w:sz="32" w:space="0"/>
        <w:left w:val="single" w:color="7E7E7E" w:sz="32" w:space="0"/>
        <w:bottom w:val="single" w:color="7E7E7E" w:sz="32" w:space="0"/>
        <w:right w:val="single" w:color="7E7E7E" w:sz="32" w:space="0"/>
      </w:tblBorders>
      <w:tblCellMar>
        <w:left w:w="0" w:type="dxa"/>
        <w:right w:w="0" w:type="dxa"/>
      </w:tblCellMar>
    </w:tblPr>
    <w:tblStylePr w:type="band1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1Vert">
      <w:tcPr>
        <w:shd w:val="clear" w:color="7e7e7e" w:fill="7e7e7e"/>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band2Horz">
      <w:tcPr>
        <w:shd w:val="clear" w:color="7e7e7e" w:fill="7e7e7e"/>
        <w:tcBorders>
          <w:top w:val="single" w:color="FFFFFF" w:sz="4" w:space="0"/>
          <w:left w:val="single" w:color="FFFFFF"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FFFFFF" w:sz="4" w:space="0"/>
          <w:right w:val="single" w:color="FFFFFF"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none" w:color="000000" w:sz="4" w:space="0"/>
          <w:bottom w:val="single" w:color="7E7E7E" w:sz="32" w:space="0"/>
          <w:right w:val="single" w:color="FFFFFF" w:sz="4" w:space="0"/>
          <w:insideH w:val="none" w:color="000000" w:sz="4" w:space="0"/>
          <w:insideV w:val="none" w:color="000000" w:sz="4" w:space="0"/>
        </w:tcBorders>
      </w:tcPr>
    </w:tblStylePr>
    <w:tblStylePr w:type="firstRow">
      <w:rPr>
        <w:rFonts w:ascii="黑体" w:hAnsi="黑体"/>
        <w:b/>
        <w:color w:val="ffffff"/>
        <w:sz w:val="22"/>
      </w:rPr>
      <w:tcPr>
        <w:shd w:val="clear" w:color="7e7e7e" w:fill="7e7e7e"/>
        <w:tcBorders>
          <w:top w:val="single" w:color="7E7E7E" w:sz="32" w:space="0"/>
          <w:left w:val="single" w:color="FFFFFF"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FFFFFF" w:sz="4" w:space="0"/>
          <w:right w:val="single" w:color="7E7E7E" w:sz="32" w:space="0"/>
          <w:insideH w:val="none" w:color="000000" w:sz="4" w:space="0"/>
          <w:insideV w:val="none" w:color="000000" w:sz="4" w:space="0"/>
        </w:tcBorders>
      </w:tcPr>
    </w:tblStylePr>
    <w:tblStylePr w:type="lastRow">
      <w:rPr>
        <w:rFonts w:ascii="黑体" w:hAnsi="黑体"/>
        <w:b/>
        <w:color w:val="ffffff"/>
        <w:sz w:val="22"/>
      </w:rPr>
    </w:tblStylePr>
  </w:style>
  <w:style w:type="table" w:styleId="733" w:customStyle="1">
    <w:name w:val="清单表 6 彩色1"/>
    <w:basedOn w:val="678"/>
    <w:uiPriority w:val="99"/>
    <w:qFormat/>
    <w:tblPr>
      <w:tblBorders>
        <w:top w:val="single" w:color="7E7E7E" w:sz="4" w:space="0"/>
        <w:bottom w:val="single" w:color="7E7E7E" w:sz="4" w:space="0"/>
      </w:tblBorders>
      <w:tblCellMar>
        <w:left w:w="0" w:type="dxa"/>
        <w:right w:w="0" w:type="dxa"/>
      </w:tblCellMar>
    </w:tblPr>
    <w:tblStylePr w:type="band1Horz">
      <w:rPr>
        <w:rFonts w:ascii="黑体" w:hAnsi="黑体"/>
        <w:color w:val="000000"/>
        <w:sz w:val="22"/>
      </w:rPr>
      <w:tcPr>
        <w:shd w:val="clear" w:color="bebebe" w:fill="bebebe"/>
      </w:tcPr>
    </w:tblStylePr>
    <w:tblStylePr w:type="band1Vert">
      <w:tcPr>
        <w:shd w:val="clear" w:color="bebebe" w:fill="bebebe"/>
      </w:tcPr>
    </w:tblStylePr>
    <w:tblStylePr w:type="band2Horz">
      <w:rPr>
        <w:rFonts w:ascii="黑体" w:hAnsi="黑体"/>
        <w:color w:val="000000"/>
        <w:sz w:val="22"/>
      </w:rPr>
    </w:tblStylePr>
    <w:tblStylePr w:type="firstCol">
      <w:rPr>
        <w:b/>
        <w:color w:val="000000"/>
      </w:rPr>
    </w:tblStylePr>
    <w:tblStylePr w:type="firstRow">
      <w:rPr>
        <w:b/>
        <w:color w:val="000000"/>
      </w:rPr>
      <w:tcPr>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734" w:customStyle="1">
    <w:name w:val="清单表 7 彩色1"/>
    <w:basedOn w:val="678"/>
    <w:uiPriority w:val="99"/>
    <w:qFormat/>
    <w:tblPr>
      <w:tblBorders>
        <w:right w:val="single" w:color="7E7E7E" w:sz="4" w:space="0"/>
      </w:tblBorders>
      <w:tblCellMar>
        <w:left w:w="0" w:type="dxa"/>
        <w:right w:w="0" w:type="dxa"/>
      </w:tblCellMar>
    </w:tblPr>
    <w:tblStylePr w:type="band1Horz">
      <w:rPr>
        <w:rFonts w:ascii="黑体" w:hAnsi="黑体"/>
        <w:color w:val="808080"/>
        <w:sz w:val="22"/>
      </w:rPr>
      <w:tcPr>
        <w:shd w:val="clear" w:color="bebebe" w:fill="bebebe"/>
      </w:tcPr>
    </w:tblStylePr>
    <w:tblStylePr w:type="band1Vert">
      <w:tcPr>
        <w:shd w:val="clear" w:color="bebebe" w:fill="bebebe"/>
      </w:tcPr>
    </w:tblStylePr>
    <w:tblStylePr w:type="band2Horz">
      <w:rPr>
        <w:rFonts w:ascii="黑体" w:hAnsi="黑体"/>
        <w:color w:val="808080"/>
        <w:sz w:val="22"/>
      </w:rPr>
    </w:tblStylePr>
    <w:tblStylePr w:type="firstCol">
      <w:rPr>
        <w:rFonts w:ascii="黑体" w:hAnsi="黑体"/>
        <w:i/>
        <w:color w:val="808080"/>
        <w:sz w:val="22"/>
      </w:rPr>
      <w:pPr>
        <w:jc w:val="right"/>
      </w:pPr>
      <w:tcPr>
        <w:shd w:val="clear" w:color="ffffff" w:fill="auto"/>
        <w:tcBorders>
          <w:top w:val="none" w:color="000000" w:sz="4" w:space="0"/>
          <w:left w:val="none" w:color="000000" w:sz="4" w:space="0"/>
          <w:bottom w:val="none" w:color="000000" w:sz="4" w:space="0"/>
          <w:right w:val="single" w:color="7E7E7E" w:sz="4" w:space="0"/>
          <w:insideH w:val="none" w:color="000000" w:sz="4" w:space="0"/>
          <w:insideV w:val="none" w:color="000000" w:sz="4" w:space="0"/>
        </w:tcBorders>
      </w:tcPr>
    </w:tblStylePr>
    <w:tblStylePr w:type="firstRow">
      <w:rPr>
        <w:rFonts w:ascii="黑体" w:hAnsi="黑体"/>
        <w:i/>
        <w:color w:val="808080"/>
        <w:sz w:val="22"/>
      </w:rPr>
      <w:tcPr>
        <w:shd w:val="clear" w:color="ffffff" w:fill="ffffff"/>
        <w:tcBorders>
          <w:top w:val="none" w:color="000000" w:sz="4" w:space="0"/>
          <w:left w:val="single" w:color="7E7E7E"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i/>
        <w:color w:val="808080"/>
        <w:sz w:val="22"/>
      </w:rPr>
      <w:tcPr>
        <w:shd w:val="clear" w:color="ffffff" w:fill="auto"/>
        <w:tcBorders>
          <w:top w:val="none" w:color="000000" w:sz="4" w:space="0"/>
          <w:left w:val="none" w:color="000000" w:sz="4" w:space="0"/>
          <w:bottom w:val="single" w:color="7E7E7E" w:sz="4" w:space="0"/>
          <w:right w:val="none" w:color="000000" w:sz="4" w:space="0"/>
          <w:insideH w:val="none" w:color="000000" w:sz="4" w:space="0"/>
          <w:insideV w:val="none" w:color="000000" w:sz="4" w:space="0"/>
        </w:tcBorders>
      </w:tcPr>
    </w:tblStylePr>
    <w:tblStylePr w:type="lastRow">
      <w:rPr>
        <w:rFonts w:ascii="黑体" w:hAnsi="黑体"/>
        <w:i/>
        <w:color w:val="808080"/>
        <w:sz w:val="22"/>
      </w:rPr>
      <w:tcPr>
        <w:shd w:val="clear" w:color="ffffff" w:fill="ffffff"/>
        <w:tcBorders>
          <w:top w:val="single" w:color="7E7E7E" w:sz="4" w:space="0"/>
          <w:left w:val="none" w:color="000000" w:sz="4" w:space="0"/>
          <w:bottom w:val="none" w:color="000000" w:sz="4" w:space="0"/>
          <w:right w:val="none" w:color="000000" w:sz="4" w:space="0"/>
          <w:insideH w:val="none" w:color="000000" w:sz="4" w:space="0"/>
          <w:insideV w:val="none" w:color="000000" w:sz="4" w:space="0"/>
        </w:tcBorders>
      </w:tcPr>
    </w:tblStylePr>
  </w:style>
  <w:style w:type="paragraph" w:styleId="735" w:customStyle="1">
    <w:name w:val="TOC 标题1"/>
    <w:uiPriority w:val="39"/>
    <w:unhideWhenUsed/>
    <w:qFormat/>
    <w:rPr>
      <w:rFonts w:ascii="Times New Roman" w:hAnsi="Times New Roman" w:eastAsia="宋体" w:cs="Times New Roman"/>
      <w:lang w:val="en-US" w:eastAsia="zh-CN" w:bidi="ar-SA"/>
    </w:rPr>
  </w:style>
  <w:style w:type="character" w:styleId="736" w:customStyle="1">
    <w:name w:val="批注文字 字符1"/>
    <w:link w:val="684"/>
    <w:uiPriority w:val="99"/>
    <w:semiHidden/>
    <w:qFormat/>
    <w:rPr>
      <w:sz w:val="21"/>
      <w:szCs w:val="22"/>
    </w:rPr>
  </w:style>
  <w:style w:type="character" w:styleId="737" w:customStyle="1">
    <w:name w:val="尾注文本 字符"/>
    <w:link w:val="691"/>
    <w:uiPriority w:val="99"/>
    <w:qFormat/>
    <w:rPr>
      <w:sz w:val="20"/>
    </w:rPr>
  </w:style>
  <w:style w:type="character" w:styleId="738" w:customStyle="1">
    <w:name w:val="批注框文本 字符"/>
    <w:link w:val="692"/>
    <w:uiPriority w:val="99"/>
    <w:semiHidden/>
    <w:qFormat/>
    <w:rPr>
      <w:sz w:val="18"/>
      <w:szCs w:val="18"/>
    </w:rPr>
  </w:style>
  <w:style w:type="character" w:styleId="739" w:customStyle="1">
    <w:name w:val="副标题 字符"/>
    <w:link w:val="698"/>
    <w:uiPriority w:val="11"/>
    <w:qFormat/>
    <w:rPr>
      <w:sz w:val="24"/>
      <w:szCs w:val="24"/>
    </w:rPr>
  </w:style>
  <w:style w:type="character" w:styleId="740" w:customStyle="1">
    <w:name w:val="脚注文本 字符"/>
    <w:link w:val="699"/>
    <w:uiPriority w:val="99"/>
    <w:qFormat/>
    <w:rPr>
      <w:sz w:val="18"/>
    </w:rPr>
  </w:style>
  <w:style w:type="character" w:styleId="741" w:customStyle="1">
    <w:name w:val="标题 字符"/>
    <w:link w:val="705"/>
    <w:uiPriority w:val="10"/>
    <w:qFormat/>
    <w:rPr>
      <w:sz w:val="48"/>
      <w:szCs w:val="48"/>
    </w:rPr>
  </w:style>
  <w:style w:type="character" w:styleId="742" w:customStyle="1">
    <w:name w:val="批注主题 字符1"/>
    <w:link w:val="706"/>
    <w:uiPriority w:val="99"/>
    <w:semiHidden/>
    <w:qFormat/>
    <w:rPr>
      <w:b/>
      <w:bCs/>
      <w:sz w:val="21"/>
      <w:szCs w:val="22"/>
    </w:rPr>
  </w:style>
  <w:style w:type="paragraph" w:styleId="743" w:customStyle="1">
    <w:name w:val="正文1"/>
    <w:basedOn w:val="668"/>
    <w:next w:val="668"/>
    <w:uiPriority w:val="0"/>
    <w:qFormat/>
    <w:pPr>
      <w:ind w:left="420" w:firstLine="527"/>
      <w:spacing w:before="120" w:line="360" w:lineRule="auto"/>
    </w:pPr>
    <w:rPr>
      <w:rFonts w:ascii="宋体" w:hAnsi="宋体"/>
      <w:szCs w:val="20"/>
    </w:rPr>
  </w:style>
  <w:style w:type="character" w:styleId="744" w:customStyle="1">
    <w:name w:val="font51"/>
    <w:uiPriority w:val="0"/>
    <w:qFormat/>
    <w:rPr>
      <w:rFonts w:ascii="Arial" w:hAnsi="Arial" w:cs="Arial"/>
      <w:color w:val="000000"/>
      <w:sz w:val="21"/>
      <w:szCs w:val="21"/>
      <w:u w:val="none"/>
    </w:rPr>
  </w:style>
  <w:style w:type="character" w:styleId="745" w:customStyle="1">
    <w:name w:val="font01"/>
    <w:uiPriority w:val="0"/>
    <w:qFormat/>
    <w:rPr>
      <w:rFonts w:hint="eastAsia" w:ascii="宋体" w:hAnsi="宋体" w:eastAsia="宋体" w:cs="宋体"/>
      <w:color w:val="000000"/>
      <w:sz w:val="24"/>
      <w:szCs w:val="24"/>
      <w:u w:val="none"/>
    </w:rPr>
  </w:style>
  <w:style w:type="character" w:styleId="746" w:customStyle="1">
    <w:name w:val="NormalCharacter"/>
    <w:uiPriority w:val="0"/>
    <w:semiHidden/>
    <w:qFormat/>
  </w:style>
  <w:style w:type="character" w:styleId="747" w:customStyle="1">
    <w:name w:val="l-btn-text36"/>
    <w:uiPriority w:val="0"/>
    <w:qFormat/>
    <w:rPr>
      <w:rFonts w:ascii="Times New Roman" w:hAnsi="Times New Roman" w:eastAsia="宋体" w:cs="Times New Roman"/>
    </w:rPr>
  </w:style>
  <w:style w:type="character" w:styleId="748" w:customStyle="1">
    <w:name w:val="正文文本缩进 3 Char"/>
    <w:uiPriority w:val="99"/>
    <w:semiHidden/>
    <w:qFormat/>
    <w:rPr>
      <w:rFonts w:ascii="Times New Roman" w:hAnsi="Times New Roman" w:eastAsia="宋体" w:cs="Times New Roman"/>
      <w:sz w:val="16"/>
      <w:szCs w:val="16"/>
    </w:rPr>
  </w:style>
  <w:style w:type="character" w:styleId="749" w:customStyle="1">
    <w:name w:val="l-btn-text35"/>
    <w:uiPriority w:val="0"/>
    <w:qFormat/>
    <w:rPr>
      <w:rFonts w:ascii="Times New Roman" w:hAnsi="Times New Roman" w:eastAsia="宋体" w:cs="Times New Roman"/>
    </w:rPr>
  </w:style>
  <w:style w:type="character" w:styleId="750" w:customStyle="1">
    <w:name w:val="l-btn-text33"/>
    <w:uiPriority w:val="0"/>
    <w:qFormat/>
    <w:rPr>
      <w:rFonts w:ascii="Times New Roman" w:hAnsi="Times New Roman" w:eastAsia="宋体" w:cs="Times New Roman"/>
    </w:rPr>
  </w:style>
  <w:style w:type="character" w:styleId="751" w:customStyle="1">
    <w:name w:val="l-btn-left"/>
    <w:uiPriority w:val="0"/>
    <w:qFormat/>
    <w:rPr>
      <w:rFonts w:ascii="Times New Roman" w:hAnsi="Times New Roman" w:eastAsia="宋体" w:cs="Times New Roman"/>
    </w:rPr>
  </w:style>
  <w:style w:type="character" w:styleId="752" w:customStyle="1">
    <w:name w:val="layui-this"/>
    <w:uiPriority w:val="0"/>
    <w:qFormat/>
    <w:rPr>
      <w:rFonts w:ascii="Times New Roman" w:hAnsi="Times New Roman" w:eastAsia="宋体" w:cs="Times New Roman"/>
      <w:shd w:val="clear" w:color="auto" w:fill="ffffff"/>
    </w:rPr>
  </w:style>
  <w:style w:type="character" w:styleId="753" w:customStyle="1">
    <w:name w:val="first-child"/>
    <w:uiPriority w:val="0"/>
    <w:qFormat/>
    <w:rPr>
      <w:rFonts w:ascii="Times New Roman" w:hAnsi="Times New Roman" w:eastAsia="宋体" w:cs="Times New Roman"/>
    </w:rPr>
  </w:style>
  <w:style w:type="character" w:styleId="754" w:customStyle="1">
    <w:name w:val="正文文本 Char"/>
    <w:uiPriority w:val="99"/>
    <w:semiHidden/>
    <w:qFormat/>
    <w:rPr>
      <w:rFonts w:ascii="Calibri" w:hAnsi="Calibri" w:eastAsia="宋体" w:cs="Times New Roman"/>
      <w:szCs w:val="24"/>
    </w:rPr>
  </w:style>
  <w:style w:type="character" w:styleId="755" w:customStyle="1">
    <w:name w:val="NormalCharacter1"/>
    <w:uiPriority w:val="0"/>
    <w:qFormat/>
    <w:rPr>
      <w:rFonts w:ascii="Calibri" w:hAnsi="Calibri" w:eastAsia="宋体" w:cs="Times New Roman"/>
      <w:sz w:val="21"/>
      <w:szCs w:val="22"/>
      <w:lang w:val="en-US" w:eastAsia="zh-CN" w:bidi="ar-SA"/>
    </w:rPr>
  </w:style>
  <w:style w:type="character" w:styleId="756" w:customStyle="1">
    <w:name w:val="批注引用1"/>
    <w:uiPriority w:val="99"/>
    <w:unhideWhenUsed/>
    <w:qFormat/>
    <w:rPr>
      <w:sz w:val="21"/>
      <w:szCs w:val="21"/>
    </w:rPr>
  </w:style>
  <w:style w:type="character" w:styleId="757" w:customStyle="1">
    <w:name w:val="超链接1"/>
    <w:uiPriority w:val="99"/>
    <w:unhideWhenUsed/>
    <w:qFormat/>
    <w:rPr>
      <w:rFonts w:ascii="Times New Roman" w:hAnsi="Times New Roman" w:eastAsia="宋体" w:cs="Times New Roman"/>
      <w:color w:val="0066cc"/>
      <w:sz w:val="21"/>
      <w:szCs w:val="21"/>
      <w:u w:val="none"/>
    </w:rPr>
  </w:style>
  <w:style w:type="character" w:styleId="758" w:customStyle="1">
    <w:name w:val="强调1"/>
    <w:uiPriority w:val="20"/>
    <w:qFormat/>
  </w:style>
  <w:style w:type="character" w:styleId="759" w:customStyle="1">
    <w:name w:val="批注主题 字符"/>
    <w:link w:val="760"/>
    <w:uiPriority w:val="99"/>
    <w:semiHidden/>
    <w:qFormat/>
    <w:rPr>
      <w:b/>
      <w:bCs/>
      <w:sz w:val="21"/>
      <w:szCs w:val="22"/>
    </w:rPr>
  </w:style>
  <w:style w:type="paragraph" w:styleId="760" w:customStyle="1">
    <w:name w:val="批注主题1"/>
    <w:basedOn w:val="761"/>
    <w:next w:val="761"/>
    <w:link w:val="759"/>
    <w:uiPriority w:val="99"/>
    <w:unhideWhenUsed/>
    <w:qFormat/>
    <w:rPr>
      <w:b/>
      <w:bCs/>
    </w:rPr>
  </w:style>
  <w:style w:type="paragraph" w:styleId="761" w:customStyle="1">
    <w:name w:val="批注文字1"/>
    <w:basedOn w:val="668"/>
    <w:link w:val="762"/>
    <w:uiPriority w:val="99"/>
    <w:unhideWhenUsed/>
    <w:qFormat/>
    <w:pPr>
      <w:jc w:val="left"/>
    </w:pPr>
  </w:style>
  <w:style w:type="character" w:styleId="762" w:customStyle="1">
    <w:name w:val="批注文字 字符"/>
    <w:link w:val="761"/>
    <w:uiPriority w:val="99"/>
    <w:qFormat/>
    <w:rPr>
      <w:sz w:val="21"/>
      <w:szCs w:val="22"/>
    </w:rPr>
  </w:style>
  <w:style w:type="character" w:styleId="763" w:customStyle="1">
    <w:name w:val="正文文本 字符"/>
    <w:link w:val="764"/>
    <w:uiPriority w:val="99"/>
    <w:qFormat/>
    <w:rPr>
      <w:rFonts w:ascii="Times New Roman" w:hAnsi="Times New Roman" w:eastAsia="宋体" w:cs="Times New Roman"/>
      <w:szCs w:val="24"/>
    </w:rPr>
  </w:style>
  <w:style w:type="paragraph" w:styleId="764" w:customStyle="1">
    <w:name w:val="正文文本1"/>
    <w:basedOn w:val="668"/>
    <w:next w:val="765"/>
    <w:link w:val="763"/>
    <w:uiPriority w:val="99"/>
    <w:unhideWhenUsed/>
    <w:qFormat/>
    <w:pPr>
      <w:spacing w:after="120"/>
    </w:pPr>
    <w:rPr>
      <w:szCs w:val="24"/>
    </w:rPr>
  </w:style>
  <w:style w:type="paragraph" w:styleId="765" w:customStyle="1">
    <w:name w:val="正文缩进1"/>
    <w:next w:val="668"/>
    <w:uiPriority w:val="0"/>
    <w:qFormat/>
    <w:pPr>
      <w:ind w:firstLine="420"/>
      <w:widowControl w:val="off"/>
    </w:pPr>
    <w:rPr>
      <w:rFonts w:ascii="Times New Roman" w:hAnsi="Times New Roman" w:eastAsia="宋体" w:cs="Times New Roman"/>
      <w:sz w:val="24"/>
      <w:lang w:val="en-US" w:eastAsia="zh-CN" w:bidi="ar-SA"/>
    </w:rPr>
  </w:style>
  <w:style w:type="character" w:styleId="766" w:customStyle="1">
    <w:name w:val="正文缩进 字符"/>
    <w:link w:val="767"/>
    <w:uiPriority w:val="0"/>
    <w:qFormat/>
    <w:rPr>
      <w:rFonts w:ascii="Times New Roman" w:hAnsi="Times New Roman" w:eastAsia="楷体_GB2312" w:cs="Times New Roman"/>
      <w:sz w:val="24"/>
      <w:szCs w:val="20"/>
    </w:rPr>
  </w:style>
  <w:style w:type="paragraph" w:styleId="767" w:customStyle="1">
    <w:name w:val="正文缩进11"/>
    <w:basedOn w:val="668"/>
    <w:link w:val="766"/>
    <w:uiPriority w:val="99"/>
    <w:unhideWhenUsed/>
    <w:qFormat/>
    <w:pPr>
      <w:ind w:firstLine="420"/>
      <w:jc w:val="left"/>
    </w:pPr>
    <w:rPr>
      <w:rFonts w:eastAsia="楷体_GB2312"/>
      <w:sz w:val="24"/>
      <w:szCs w:val="20"/>
    </w:rPr>
  </w:style>
  <w:style w:type="character" w:styleId="768" w:customStyle="1">
    <w:name w:val="默认段落字体1"/>
    <w:uiPriority w:val="1"/>
    <w:unhideWhenUsed/>
    <w:qFormat/>
  </w:style>
  <w:style w:type="character" w:styleId="769" w:customStyle="1">
    <w:name w:val="Footer Char"/>
    <w:uiPriority w:val="99"/>
    <w:qFormat/>
  </w:style>
  <w:style w:type="character" w:styleId="770" w:customStyle="1">
    <w:name w:val="明显引用 字符"/>
    <w:link w:val="771"/>
    <w:uiPriority w:val="30"/>
    <w:qFormat/>
    <w:rPr>
      <w:i/>
    </w:rPr>
  </w:style>
  <w:style w:type="paragraph" w:styleId="771">
    <w:name w:val="Intense Quote"/>
    <w:basedOn w:val="668"/>
    <w:next w:val="668"/>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2" w:customStyle="1">
    <w:name w:val="Footnote Text Char"/>
    <w:uiPriority w:val="99"/>
    <w:qFormat/>
    <w:rPr>
      <w:sz w:val="18"/>
    </w:rPr>
  </w:style>
  <w:style w:type="character" w:styleId="773" w:customStyle="1">
    <w:name w:val="Caption Char"/>
    <w:uiPriority w:val="99"/>
    <w:qFormat/>
  </w:style>
  <w:style w:type="character" w:styleId="774" w:customStyle="1">
    <w:name w:val="Header Char"/>
    <w:uiPriority w:val="99"/>
    <w:qFormat/>
  </w:style>
  <w:style w:type="character" w:styleId="775" w:customStyle="1">
    <w:name w:val="Quote Char"/>
    <w:uiPriority w:val="29"/>
    <w:qFormat/>
    <w:rPr>
      <w:i/>
    </w:rPr>
  </w:style>
  <w:style w:type="character" w:styleId="776" w:customStyle="1">
    <w:name w:val="Title Char"/>
    <w:uiPriority w:val="10"/>
    <w:qFormat/>
    <w:rPr>
      <w:sz w:val="48"/>
      <w:szCs w:val="48"/>
    </w:rPr>
  </w:style>
  <w:style w:type="character" w:styleId="777" w:customStyle="1">
    <w:name w:val="Heading 9 Char"/>
    <w:uiPriority w:val="9"/>
    <w:qFormat/>
    <w:rPr>
      <w:rFonts w:ascii="Arial" w:hAnsi="Arial" w:eastAsia="Arial" w:cs="Arial"/>
      <w:i/>
      <w:iCs/>
      <w:sz w:val="21"/>
      <w:szCs w:val="21"/>
    </w:rPr>
  </w:style>
  <w:style w:type="character" w:styleId="778" w:customStyle="1">
    <w:name w:val="Heading 8 Char"/>
    <w:uiPriority w:val="9"/>
    <w:qFormat/>
    <w:rPr>
      <w:rFonts w:ascii="Arial" w:hAnsi="Arial" w:eastAsia="Arial" w:cs="Arial"/>
      <w:i/>
      <w:iCs/>
      <w:sz w:val="22"/>
      <w:szCs w:val="22"/>
    </w:rPr>
  </w:style>
  <w:style w:type="character" w:styleId="779" w:customStyle="1">
    <w:name w:val="Heading 6 Char"/>
    <w:uiPriority w:val="9"/>
    <w:qFormat/>
    <w:rPr>
      <w:rFonts w:ascii="Arial" w:hAnsi="Arial" w:eastAsia="Arial" w:cs="Arial"/>
      <w:b/>
      <w:bCs/>
      <w:sz w:val="22"/>
      <w:szCs w:val="22"/>
    </w:rPr>
  </w:style>
  <w:style w:type="character" w:styleId="780" w:customStyle="1">
    <w:name w:val="Heading 5 Char"/>
    <w:uiPriority w:val="9"/>
    <w:qFormat/>
    <w:rPr>
      <w:rFonts w:ascii="Arial" w:hAnsi="Arial" w:eastAsia="Arial" w:cs="Arial"/>
      <w:b/>
      <w:bCs/>
      <w:sz w:val="24"/>
      <w:szCs w:val="24"/>
    </w:rPr>
  </w:style>
  <w:style w:type="character" w:styleId="781" w:customStyle="1">
    <w:name w:val="Heading 3 Char"/>
    <w:uiPriority w:val="9"/>
    <w:qFormat/>
    <w:rPr>
      <w:rFonts w:ascii="Arial" w:hAnsi="Arial" w:eastAsia="Arial" w:cs="Arial"/>
      <w:sz w:val="30"/>
      <w:szCs w:val="30"/>
    </w:rPr>
  </w:style>
  <w:style w:type="character" w:styleId="782" w:customStyle="1">
    <w:name w:val="Heading 1 Char"/>
    <w:uiPriority w:val="9"/>
    <w:qFormat/>
    <w:rPr>
      <w:rFonts w:ascii="Arial" w:hAnsi="Arial" w:eastAsia="Arial" w:cs="Arial"/>
      <w:sz w:val="40"/>
      <w:szCs w:val="40"/>
    </w:rPr>
  </w:style>
  <w:style w:type="character" w:styleId="783" w:customStyle="1">
    <w:name w:val="页眉 字符"/>
    <w:link w:val="784"/>
    <w:uiPriority w:val="99"/>
    <w:qFormat/>
  </w:style>
  <w:style w:type="paragraph" w:styleId="784" w:customStyle="1">
    <w:name w:val="页眉1"/>
    <w:basedOn w:val="668"/>
    <w:link w:val="783"/>
    <w:uiPriority w:val="99"/>
    <w:unhideWhenUsed/>
    <w:qFormat/>
    <w:pPr>
      <w:tabs>
        <w:tab w:val="center" w:pos="7143" w:leader="none"/>
        <w:tab w:val="right" w:pos="14287" w:leader="none"/>
      </w:tabs>
    </w:pPr>
  </w:style>
  <w:style w:type="character" w:styleId="785" w:customStyle="1">
    <w:name w:val="页脚 字符"/>
    <w:link w:val="786"/>
    <w:uiPriority w:val="99"/>
    <w:qFormat/>
  </w:style>
  <w:style w:type="paragraph" w:styleId="786" w:customStyle="1">
    <w:name w:val="页脚1"/>
    <w:basedOn w:val="668"/>
    <w:link w:val="785"/>
    <w:uiPriority w:val="99"/>
    <w:unhideWhenUsed/>
    <w:qFormat/>
    <w:pPr>
      <w:tabs>
        <w:tab w:val="center" w:pos="7143" w:leader="none"/>
        <w:tab w:val="right" w:pos="14287" w:leader="none"/>
      </w:tabs>
    </w:pPr>
  </w:style>
  <w:style w:type="character" w:styleId="787" w:customStyle="1">
    <w:name w:val="标题 9 字符"/>
    <w:link w:val="788"/>
    <w:uiPriority w:val="9"/>
    <w:qFormat/>
    <w:rPr>
      <w:rFonts w:ascii="Arial" w:hAnsi="Arial" w:eastAsia="Arial" w:cs="Arial"/>
      <w:i/>
      <w:iCs/>
      <w:sz w:val="21"/>
      <w:szCs w:val="21"/>
    </w:rPr>
  </w:style>
  <w:style w:type="paragraph" w:styleId="788" w:customStyle="1">
    <w:name w:val="标题 91"/>
    <w:basedOn w:val="668"/>
    <w:next w:val="668"/>
    <w:link w:val="787"/>
    <w:uiPriority w:val="9"/>
    <w:unhideWhenUsed/>
    <w:qFormat/>
    <w:pPr>
      <w:keepLines/>
      <w:keepNext/>
      <w:spacing w:before="320" w:after="200"/>
      <w:outlineLvl w:val="8"/>
    </w:pPr>
    <w:rPr>
      <w:rFonts w:ascii="Arial" w:hAnsi="Arial" w:eastAsia="Arial" w:cs="Arial"/>
      <w:i/>
      <w:iCs/>
      <w:szCs w:val="21"/>
    </w:rPr>
  </w:style>
  <w:style w:type="character" w:styleId="789" w:customStyle="1">
    <w:name w:val="标题 8 字符"/>
    <w:link w:val="790"/>
    <w:uiPriority w:val="9"/>
    <w:qFormat/>
    <w:rPr>
      <w:rFonts w:ascii="Arial" w:hAnsi="Arial" w:eastAsia="Arial" w:cs="Arial"/>
      <w:i/>
      <w:iCs/>
      <w:sz w:val="22"/>
      <w:szCs w:val="22"/>
    </w:rPr>
  </w:style>
  <w:style w:type="paragraph" w:styleId="790" w:customStyle="1">
    <w:name w:val="标题 81"/>
    <w:basedOn w:val="668"/>
    <w:next w:val="668"/>
    <w:link w:val="789"/>
    <w:uiPriority w:val="9"/>
    <w:unhideWhenUsed/>
    <w:qFormat/>
    <w:pPr>
      <w:keepLines/>
      <w:keepNext/>
      <w:spacing w:before="320" w:after="200"/>
      <w:outlineLvl w:val="7"/>
    </w:pPr>
    <w:rPr>
      <w:rFonts w:ascii="Arial" w:hAnsi="Arial" w:eastAsia="Arial" w:cs="Arial"/>
      <w:i/>
      <w:iCs/>
      <w:sz w:val="22"/>
    </w:rPr>
  </w:style>
  <w:style w:type="character" w:styleId="791" w:customStyle="1">
    <w:name w:val="页码1"/>
    <w:uiPriority w:val="99"/>
    <w:unhideWhenUsed/>
    <w:qFormat/>
    <w:rPr>
      <w:rFonts w:ascii="Tahoma" w:hAnsi="Tahoma" w:eastAsia="宋体" w:cs="Times New Roman"/>
      <w:sz w:val="24"/>
      <w:szCs w:val="24"/>
      <w:lang w:val="en-US" w:eastAsia="zh-CN" w:bidi="ar-SA"/>
    </w:rPr>
  </w:style>
  <w:style w:type="character" w:styleId="792" w:customStyle="1">
    <w:name w:val="标题 5 字符"/>
    <w:link w:val="793"/>
    <w:uiPriority w:val="9"/>
    <w:qFormat/>
    <w:rPr>
      <w:rFonts w:ascii="Arial" w:hAnsi="Arial" w:eastAsia="Arial" w:cs="Arial"/>
      <w:b/>
      <w:bCs/>
      <w:sz w:val="24"/>
      <w:szCs w:val="24"/>
    </w:rPr>
  </w:style>
  <w:style w:type="paragraph" w:styleId="793" w:customStyle="1">
    <w:name w:val="标题 51"/>
    <w:basedOn w:val="668"/>
    <w:next w:val="668"/>
    <w:link w:val="792"/>
    <w:uiPriority w:val="9"/>
    <w:unhideWhenUsed/>
    <w:qFormat/>
    <w:pPr>
      <w:keepLines/>
      <w:keepNext/>
      <w:spacing w:before="320" w:after="200"/>
      <w:outlineLvl w:val="4"/>
    </w:pPr>
    <w:rPr>
      <w:rFonts w:ascii="Arial" w:hAnsi="Arial" w:eastAsia="Arial" w:cs="Arial"/>
      <w:b/>
      <w:bCs/>
      <w:sz w:val="24"/>
      <w:szCs w:val="24"/>
    </w:rPr>
  </w:style>
  <w:style w:type="character" w:styleId="794" w:customStyle="1">
    <w:name w:val="标题 4 字符"/>
    <w:link w:val="795"/>
    <w:uiPriority w:val="9"/>
    <w:qFormat/>
    <w:rPr>
      <w:rFonts w:ascii="Arial" w:hAnsi="Arial" w:eastAsia="Arial" w:cs="Arial"/>
      <w:b/>
      <w:bCs/>
      <w:sz w:val="26"/>
      <w:szCs w:val="26"/>
    </w:rPr>
  </w:style>
  <w:style w:type="paragraph" w:styleId="795" w:customStyle="1">
    <w:name w:val="标题 41"/>
    <w:basedOn w:val="668"/>
    <w:next w:val="668"/>
    <w:link w:val="794"/>
    <w:uiPriority w:val="9"/>
    <w:unhideWhenUsed/>
    <w:qFormat/>
    <w:pPr>
      <w:keepLines/>
      <w:keepNext/>
      <w:spacing w:before="320" w:after="200"/>
      <w:outlineLvl w:val="3"/>
    </w:pPr>
    <w:rPr>
      <w:rFonts w:ascii="Arial" w:hAnsi="Arial" w:eastAsia="Arial" w:cs="Arial"/>
      <w:b/>
      <w:bCs/>
      <w:sz w:val="26"/>
      <w:szCs w:val="26"/>
    </w:rPr>
  </w:style>
  <w:style w:type="character" w:styleId="796" w:customStyle="1">
    <w:name w:val="标题 3 字符"/>
    <w:link w:val="797"/>
    <w:uiPriority w:val="9"/>
    <w:qFormat/>
    <w:rPr>
      <w:rFonts w:ascii="Arial" w:hAnsi="Arial" w:eastAsia="Arial" w:cs="Arial"/>
      <w:sz w:val="30"/>
      <w:szCs w:val="30"/>
    </w:rPr>
  </w:style>
  <w:style w:type="paragraph" w:styleId="797" w:customStyle="1">
    <w:name w:val="标题 31"/>
    <w:basedOn w:val="668"/>
    <w:next w:val="668"/>
    <w:link w:val="796"/>
    <w:uiPriority w:val="9"/>
    <w:unhideWhenUsed/>
    <w:qFormat/>
    <w:pPr>
      <w:keepLines/>
      <w:keepNext/>
      <w:spacing w:before="320" w:after="200"/>
      <w:outlineLvl w:val="2"/>
    </w:pPr>
    <w:rPr>
      <w:rFonts w:ascii="Arial" w:hAnsi="Arial" w:eastAsia="Arial" w:cs="Arial"/>
      <w:sz w:val="30"/>
      <w:szCs w:val="30"/>
    </w:rPr>
  </w:style>
  <w:style w:type="character" w:styleId="798" w:customStyle="1">
    <w:name w:val="标题 2 字符"/>
    <w:link w:val="799"/>
    <w:uiPriority w:val="9"/>
    <w:qFormat/>
    <w:rPr>
      <w:rFonts w:ascii="宋体" w:hAnsi="宋体" w:cs="宋体"/>
      <w:b/>
      <w:sz w:val="21"/>
      <w:szCs w:val="21"/>
    </w:rPr>
  </w:style>
  <w:style w:type="paragraph" w:styleId="799" w:customStyle="1">
    <w:name w:val="标题 21"/>
    <w:basedOn w:val="668"/>
    <w:next w:val="668"/>
    <w:link w:val="798"/>
    <w:uiPriority w:val="9"/>
    <w:unhideWhenUsed/>
    <w:qFormat/>
    <w:pPr>
      <w:ind w:firstLine="422"/>
      <w:keepLines/>
      <w:keepNext/>
      <w:spacing w:line="360" w:lineRule="auto"/>
      <w:outlineLvl w:val="1"/>
    </w:pPr>
    <w:rPr>
      <w:rFonts w:ascii="宋体" w:hAnsi="宋体" w:cs="宋体"/>
      <w:b/>
      <w:szCs w:val="21"/>
    </w:rPr>
  </w:style>
  <w:style w:type="character" w:styleId="800" w:customStyle="1">
    <w:name w:val="已访问的超链接1"/>
    <w:uiPriority w:val="99"/>
    <w:unhideWhenUsed/>
    <w:qFormat/>
    <w:rPr>
      <w:color w:val="333333"/>
      <w:u w:val="none"/>
    </w:rPr>
  </w:style>
  <w:style w:type="character" w:styleId="801" w:customStyle="1">
    <w:name w:val="标题 1 字符"/>
    <w:link w:val="802"/>
    <w:uiPriority w:val="9"/>
    <w:qFormat/>
    <w:rPr>
      <w:rFonts w:ascii="Arial" w:hAnsi="Arial" w:eastAsia="Arial" w:cs="Arial"/>
      <w:sz w:val="40"/>
      <w:szCs w:val="40"/>
    </w:rPr>
  </w:style>
  <w:style w:type="paragraph" w:styleId="802" w:customStyle="1">
    <w:name w:val="标题 11"/>
    <w:basedOn w:val="668"/>
    <w:next w:val="668"/>
    <w:link w:val="801"/>
    <w:uiPriority w:val="9"/>
    <w:qFormat/>
    <w:pPr>
      <w:keepLines/>
      <w:keepNext/>
      <w:spacing w:before="480" w:after="200"/>
      <w:outlineLvl w:val="0"/>
    </w:pPr>
    <w:rPr>
      <w:rFonts w:ascii="Arial" w:hAnsi="Arial" w:eastAsia="Arial" w:cs="Arial"/>
      <w:sz w:val="40"/>
      <w:szCs w:val="40"/>
    </w:rPr>
  </w:style>
  <w:style w:type="character" w:styleId="803" w:customStyle="1">
    <w:name w:val="Endnote Text Char"/>
    <w:uiPriority w:val="99"/>
    <w:qFormat/>
    <w:rPr>
      <w:sz w:val="20"/>
    </w:rPr>
  </w:style>
  <w:style w:type="character" w:styleId="804" w:customStyle="1">
    <w:name w:val="Heading 2 Char"/>
    <w:uiPriority w:val="9"/>
    <w:qFormat/>
    <w:rPr>
      <w:rFonts w:ascii="Arial" w:hAnsi="Arial" w:eastAsia="Arial" w:cs="Arial"/>
      <w:sz w:val="34"/>
    </w:rPr>
  </w:style>
  <w:style w:type="character" w:styleId="805" w:customStyle="1">
    <w:name w:val="标题 7 字符"/>
    <w:link w:val="806"/>
    <w:uiPriority w:val="9"/>
    <w:qFormat/>
    <w:rPr>
      <w:rFonts w:ascii="Arial" w:hAnsi="Arial" w:eastAsia="Arial" w:cs="Arial"/>
      <w:b/>
      <w:bCs/>
      <w:i/>
      <w:iCs/>
      <w:sz w:val="22"/>
      <w:szCs w:val="22"/>
    </w:rPr>
  </w:style>
  <w:style w:type="paragraph" w:styleId="806" w:customStyle="1">
    <w:name w:val="标题 71"/>
    <w:basedOn w:val="668"/>
    <w:next w:val="668"/>
    <w:link w:val="805"/>
    <w:uiPriority w:val="9"/>
    <w:unhideWhenUsed/>
    <w:qFormat/>
    <w:pPr>
      <w:keepLines/>
      <w:keepNext/>
      <w:spacing w:before="320" w:after="200"/>
      <w:outlineLvl w:val="6"/>
    </w:pPr>
    <w:rPr>
      <w:rFonts w:ascii="Arial" w:hAnsi="Arial" w:eastAsia="Arial" w:cs="Arial"/>
      <w:b/>
      <w:bCs/>
      <w:i/>
      <w:iCs/>
      <w:sz w:val="22"/>
    </w:rPr>
  </w:style>
  <w:style w:type="character" w:styleId="807" w:customStyle="1">
    <w:name w:val="要点1"/>
    <w:uiPriority w:val="0"/>
    <w:qFormat/>
    <w:rPr>
      <w:rFonts w:hint="default"/>
      <w:sz w:val="21"/>
      <w:szCs w:val="22"/>
      <w:lang w:eastAsia="zh-CN"/>
    </w:rPr>
  </w:style>
  <w:style w:type="character" w:styleId="808" w:customStyle="1">
    <w:name w:val="正文文本缩进 3 字符"/>
    <w:link w:val="809"/>
    <w:uiPriority w:val="0"/>
    <w:qFormat/>
    <w:rPr>
      <w:rFonts w:ascii="Times New Roman" w:hAnsi="Times New Roman" w:eastAsia="宋体" w:cs="Times New Roman"/>
      <w:sz w:val="24"/>
    </w:rPr>
  </w:style>
  <w:style w:type="paragraph" w:styleId="809" w:customStyle="1">
    <w:name w:val="正文文本缩进 31"/>
    <w:basedOn w:val="668"/>
    <w:link w:val="808"/>
    <w:uiPriority w:val="99"/>
    <w:unhideWhenUsed/>
    <w:qFormat/>
    <w:pPr>
      <w:ind w:firstLine="480"/>
      <w:jc w:val="left"/>
      <w:spacing w:line="440" w:lineRule="atLeast"/>
    </w:pPr>
    <w:rPr>
      <w:sz w:val="24"/>
      <w:szCs w:val="24"/>
    </w:rPr>
  </w:style>
  <w:style w:type="character" w:styleId="810" w:customStyle="1">
    <w:name w:val="引用 字符"/>
    <w:link w:val="811"/>
    <w:uiPriority w:val="29"/>
    <w:qFormat/>
    <w:rPr>
      <w:i/>
    </w:rPr>
  </w:style>
  <w:style w:type="paragraph" w:styleId="811">
    <w:name w:val="Quote"/>
    <w:basedOn w:val="668"/>
    <w:next w:val="668"/>
    <w:link w:val="810"/>
    <w:uiPriority w:val="29"/>
    <w:qFormat/>
    <w:pPr>
      <w:ind w:left="720" w:right="720"/>
    </w:pPr>
    <w:rPr>
      <w:i/>
    </w:rPr>
  </w:style>
  <w:style w:type="character" w:styleId="812" w:customStyle="1">
    <w:name w:val="font21"/>
    <w:uiPriority w:val="0"/>
    <w:qFormat/>
    <w:rPr>
      <w:rFonts w:hint="eastAsia" w:ascii="宋体" w:hAnsi="宋体" w:eastAsia="宋体" w:cs="宋体"/>
      <w:color w:val="000000"/>
      <w:sz w:val="21"/>
      <w:szCs w:val="21"/>
      <w:u w:val="none"/>
    </w:rPr>
  </w:style>
  <w:style w:type="character" w:styleId="813" w:customStyle="1">
    <w:name w:val="Subtitle Char"/>
    <w:uiPriority w:val="11"/>
    <w:qFormat/>
    <w:rPr>
      <w:sz w:val="24"/>
      <w:szCs w:val="24"/>
    </w:rPr>
  </w:style>
  <w:style w:type="character" w:styleId="814" w:customStyle="1">
    <w:name w:val="Heading 7 Char"/>
    <w:uiPriority w:val="9"/>
    <w:qFormat/>
    <w:rPr>
      <w:rFonts w:ascii="Arial" w:hAnsi="Arial" w:eastAsia="Arial" w:cs="Arial"/>
      <w:b/>
      <w:bCs/>
      <w:i/>
      <w:iCs/>
      <w:sz w:val="22"/>
      <w:szCs w:val="22"/>
    </w:rPr>
  </w:style>
  <w:style w:type="character" w:styleId="815" w:customStyle="1">
    <w:name w:val="Intense Quote Char"/>
    <w:uiPriority w:val="30"/>
    <w:qFormat/>
    <w:rPr>
      <w:i/>
    </w:rPr>
  </w:style>
  <w:style w:type="character" w:styleId="816" w:customStyle="1">
    <w:name w:val="标题 6 字符"/>
    <w:link w:val="817"/>
    <w:uiPriority w:val="9"/>
    <w:qFormat/>
    <w:rPr>
      <w:rFonts w:ascii="Arial" w:hAnsi="Arial" w:eastAsia="Arial" w:cs="Arial"/>
      <w:b/>
      <w:bCs/>
      <w:sz w:val="22"/>
      <w:szCs w:val="22"/>
    </w:rPr>
  </w:style>
  <w:style w:type="paragraph" w:styleId="817" w:customStyle="1">
    <w:name w:val="标题 61"/>
    <w:basedOn w:val="668"/>
    <w:next w:val="668"/>
    <w:link w:val="816"/>
    <w:uiPriority w:val="9"/>
    <w:unhideWhenUsed/>
    <w:qFormat/>
    <w:pPr>
      <w:keepLines/>
      <w:keepNext/>
      <w:spacing w:before="320" w:after="200"/>
      <w:outlineLvl w:val="5"/>
    </w:pPr>
    <w:rPr>
      <w:rFonts w:ascii="Arial" w:hAnsi="Arial" w:eastAsia="Arial" w:cs="Arial"/>
      <w:b/>
      <w:bCs/>
      <w:sz w:val="22"/>
    </w:rPr>
  </w:style>
  <w:style w:type="character" w:styleId="818" w:customStyle="1">
    <w:name w:val="l-btn-text"/>
    <w:uiPriority w:val="0"/>
    <w:qFormat/>
    <w:rPr>
      <w:rFonts w:ascii="Times New Roman" w:hAnsi="Times New Roman" w:eastAsia="宋体" w:cs="Times New Roman"/>
    </w:rPr>
  </w:style>
  <w:style w:type="character" w:styleId="819" w:customStyle="1">
    <w:name w:val="Heading 4 Char"/>
    <w:uiPriority w:val="9"/>
    <w:qFormat/>
    <w:rPr>
      <w:rFonts w:ascii="Arial" w:hAnsi="Arial" w:eastAsia="Arial" w:cs="Arial"/>
      <w:b/>
      <w:bCs/>
      <w:sz w:val="26"/>
      <w:szCs w:val="26"/>
    </w:rPr>
  </w:style>
  <w:style w:type="paragraph" w:styleId="820" w:customStyle="1">
    <w:name w:val="标题 12"/>
    <w:basedOn w:val="668"/>
    <w:next w:val="668"/>
    <w:uiPriority w:val="0"/>
    <w:qFormat/>
    <w:pPr>
      <w:keepLines/>
      <w:keepNext/>
      <w:spacing w:before="340" w:after="330" w:line="578" w:lineRule="auto"/>
    </w:pPr>
    <w:rPr>
      <w:b/>
      <w:sz w:val="44"/>
    </w:rPr>
  </w:style>
  <w:style w:type="paragraph" w:styleId="821" w:customStyle="1">
    <w:name w:val="纯文本1"/>
    <w:basedOn w:val="668"/>
    <w:uiPriority w:val="0"/>
    <w:qFormat/>
    <w:rPr>
      <w:rFonts w:ascii="宋体" w:hAnsi="Courier New" w:eastAsia="楷体_GB2312"/>
      <w:sz w:val="28"/>
      <w:szCs w:val="20"/>
    </w:rPr>
  </w:style>
  <w:style w:type="paragraph" w:styleId="822" w:customStyle="1">
    <w:name w:val="Plain Text1"/>
    <w:basedOn w:val="668"/>
    <w:uiPriority w:val="0"/>
    <w:qFormat/>
    <w:rPr>
      <w:rFonts w:ascii="宋体" w:hAnsi="Courier New"/>
    </w:rPr>
  </w:style>
  <w:style w:type="paragraph" w:styleId="823" w:customStyle="1">
    <w:name w:val="修订1"/>
    <w:uiPriority w:val="99"/>
    <w:unhideWhenUsed/>
    <w:qFormat/>
    <w:rPr>
      <w:rFonts w:ascii="Times New Roman" w:hAnsi="Times New Roman" w:eastAsia="宋体" w:cs="Times New Roman"/>
      <w:sz w:val="21"/>
      <w:szCs w:val="22"/>
      <w:lang w:val="en-US" w:eastAsia="zh-CN" w:bidi="ar-SA"/>
    </w:rPr>
  </w:style>
  <w:style w:type="paragraph" w:styleId="824" w:customStyle="1">
    <w:name w:val="Table Text"/>
    <w:basedOn w:val="668"/>
    <w:uiPriority w:val="0"/>
    <w:semiHidden/>
    <w:qFormat/>
    <w:rPr>
      <w:rFonts w:ascii="宋体" w:hAnsi="宋体" w:cs="宋体"/>
      <w:sz w:val="20"/>
      <w:szCs w:val="20"/>
      <w:lang w:eastAsia="en-US"/>
    </w:rPr>
  </w:style>
  <w:style w:type="paragraph" w:styleId="825" w:customStyle="1">
    <w:name w:val="修订5"/>
    <w:uiPriority w:val="99"/>
    <w:unhideWhenUsed/>
    <w:qFormat/>
    <w:rPr>
      <w:rFonts w:ascii="Times New Roman" w:hAnsi="Times New Roman" w:eastAsia="宋体" w:cs="Times New Roman"/>
      <w:sz w:val="21"/>
      <w:szCs w:val="22"/>
      <w:lang w:val="en-US" w:eastAsia="zh-CN" w:bidi="ar-SA"/>
    </w:rPr>
  </w:style>
  <w:style w:type="paragraph" w:styleId="826" w:customStyle="1">
    <w:name w:val="Table Paragraph"/>
    <w:basedOn w:val="668"/>
    <w:uiPriority w:val="1"/>
    <w:qFormat/>
  </w:style>
  <w:style w:type="paragraph" w:styleId="827" w:customStyle="1">
    <w:name w:val="WPSOffice手动目录 1"/>
    <w:uiPriority w:val="0"/>
    <w:qFormat/>
    <w:rPr>
      <w:rFonts w:ascii="Times New Roman" w:hAnsi="Times New Roman" w:eastAsia="宋体" w:cs="Times New Roman"/>
      <w:lang w:val="en-US" w:eastAsia="zh-CN" w:bidi="ar-SA"/>
    </w:rPr>
  </w:style>
  <w:style w:type="paragraph" w:styleId="828" w:customStyle="1">
    <w:name w:val="UserStyle_62"/>
    <w:basedOn w:val="668"/>
    <w:uiPriority w:val="0"/>
    <w:qFormat/>
    <w:rPr>
      <w:rFonts w:ascii="宋体" w:hAnsi="Courier New"/>
    </w:rPr>
  </w:style>
  <w:style w:type="paragraph" w:styleId="829" w:customStyle="1">
    <w:name w:val="[正文行首缩进]"/>
    <w:uiPriority w:val="0"/>
    <w:qFormat/>
    <w:pPr>
      <w:ind w:firstLine="480"/>
      <w:jc w:val="both"/>
      <w:spacing w:line="360" w:lineRule="auto"/>
      <w:widowControl w:val="off"/>
    </w:pPr>
    <w:rPr>
      <w:rFonts w:ascii="Times New Roman" w:hAnsi="Times New Roman" w:eastAsia="宋体" w:cs="Times New Roman"/>
      <w:bCs/>
      <w:color w:val="000000"/>
      <w:sz w:val="24"/>
      <w:szCs w:val="24"/>
      <w:lang w:val="en-US" w:eastAsia="zh-CN" w:bidi="ar-SA"/>
    </w:rPr>
  </w:style>
  <w:style w:type="paragraph" w:styleId="830" w:customStyle="1">
    <w:name w:val="修订2"/>
    <w:uiPriority w:val="99"/>
    <w:unhideWhenUsed/>
    <w:qFormat/>
    <w:rPr>
      <w:rFonts w:ascii="Times New Roman" w:hAnsi="Times New Roman" w:eastAsia="宋体" w:cs="Times New Roman"/>
      <w:sz w:val="21"/>
      <w:szCs w:val="22"/>
      <w:lang w:val="en-US" w:eastAsia="zh-CN" w:bidi="ar-SA"/>
    </w:rPr>
  </w:style>
  <w:style w:type="paragraph" w:styleId="831"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paragraph" w:styleId="832"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833" w:customStyle="1">
    <w:name w:val="纯文本4"/>
    <w:basedOn w:val="668"/>
    <w:uiPriority w:val="0"/>
    <w:qFormat/>
    <w:rPr>
      <w:rFonts w:ascii="宋体" w:hAnsi="Courier New" w:eastAsia="楷体_GB2312"/>
      <w:sz w:val="26"/>
      <w:szCs w:val="20"/>
    </w:rPr>
  </w:style>
  <w:style w:type="paragraph" w:styleId="834" w:customStyle="1">
    <w:name w:val="纯文本2"/>
    <w:basedOn w:val="668"/>
    <w:uiPriority w:val="0"/>
    <w:qFormat/>
    <w:rPr>
      <w:rFonts w:ascii="宋体" w:hAnsi="Courier New"/>
      <w:szCs w:val="24"/>
    </w:rPr>
  </w:style>
  <w:style w:type="paragraph" w:styleId="835" w:customStyle="1">
    <w:name w:val="正文首行缩进 21"/>
    <w:basedOn w:val="836"/>
    <w:uiPriority w:val="99"/>
    <w:unhideWhenUsed/>
    <w:qFormat/>
    <w:pPr>
      <w:ind w:firstLine="420"/>
    </w:pPr>
    <w:rPr>
      <w:rFonts w:ascii="Calibri" w:hAnsi="Calibri"/>
    </w:rPr>
  </w:style>
  <w:style w:type="paragraph" w:styleId="836" w:customStyle="1">
    <w:name w:val="正文文本缩进1"/>
    <w:next w:val="668"/>
    <w:uiPriority w:val="0"/>
    <w:qFormat/>
    <w:pPr>
      <w:ind w:left="570"/>
      <w:jc w:val="both"/>
      <w:spacing w:line="520" w:lineRule="exact"/>
      <w:widowControl w:val="off"/>
    </w:pPr>
    <w:rPr>
      <w:rFonts w:ascii="方正仿宋简体" w:hAnsi="创艺简仿宋" w:eastAsia="方正仿宋简体" w:cs="Times New Roman"/>
      <w:sz w:val="24"/>
      <w:lang w:val="en-US" w:eastAsia="zh-CN" w:bidi="ar-SA"/>
    </w:rPr>
  </w:style>
  <w:style w:type="paragraph" w:styleId="837" w:customStyle="1">
    <w:name w:val="普通(网站)1"/>
    <w:basedOn w:val="668"/>
    <w:uiPriority w:val="99"/>
    <w:qFormat/>
    <w:pPr>
      <w:jc w:val="center"/>
      <w:spacing w:before="75" w:after="75"/>
    </w:pPr>
    <w:rPr>
      <w:sz w:val="24"/>
      <w:szCs w:val="24"/>
    </w:rPr>
  </w:style>
  <w:style w:type="paragraph" w:styleId="838" w:customStyle="1">
    <w:name w:val="目录 21"/>
    <w:basedOn w:val="668"/>
    <w:next w:val="668"/>
    <w:uiPriority w:val="39"/>
    <w:qFormat/>
    <w:pPr>
      <w:ind w:left="200"/>
      <w:spacing w:line="360" w:lineRule="auto"/>
    </w:pPr>
  </w:style>
  <w:style w:type="paragraph" w:styleId="839" w:customStyle="1">
    <w:name w:val="页眉11"/>
    <w:basedOn w:val="668"/>
    <w:uiPriority w:val="99"/>
    <w:unhideWhenUsed/>
    <w:qFormat/>
    <w:pPr>
      <w:tabs>
        <w:tab w:val="center" w:pos="4153" w:leader="none"/>
        <w:tab w:val="right" w:pos="8306" w:leader="none"/>
      </w:tabs>
    </w:pPr>
    <w:rPr>
      <w:sz w:val="18"/>
    </w:rPr>
  </w:style>
  <w:style w:type="paragraph" w:styleId="840" w:customStyle="1">
    <w:name w:val="首行缩进"/>
    <w:basedOn w:val="668"/>
    <w:uiPriority w:val="0"/>
    <w:qFormat/>
    <w:pPr>
      <w:ind w:firstLine="480"/>
    </w:pPr>
    <w:rPr>
      <w:szCs w:val="20"/>
      <w:lang w:val="zh-CN"/>
    </w:rPr>
  </w:style>
  <w:style w:type="paragraph" w:styleId="841" w:customStyle="1">
    <w:name w:val="页脚11"/>
    <w:basedOn w:val="668"/>
    <w:uiPriority w:val="99"/>
    <w:unhideWhenUsed/>
    <w:qFormat/>
    <w:pPr>
      <w:jc w:val="left"/>
      <w:tabs>
        <w:tab w:val="center" w:pos="4153" w:leader="none"/>
        <w:tab w:val="right" w:pos="8306" w:leader="none"/>
      </w:tabs>
    </w:pPr>
    <w:rPr>
      <w:sz w:val="18"/>
      <w:szCs w:val="18"/>
    </w:rPr>
  </w:style>
  <w:style w:type="paragraph" w:styleId="842" w:customStyle="1">
    <w:name w:val="日期1"/>
    <w:basedOn w:val="668"/>
    <w:next w:val="668"/>
    <w:uiPriority w:val="0"/>
    <w:qFormat/>
    <w:pPr>
      <w:ind w:left="100"/>
    </w:pPr>
  </w:style>
  <w:style w:type="paragraph" w:styleId="843" w:customStyle="1">
    <w:name w:val="寄信人地址11"/>
    <w:basedOn w:val="668"/>
    <w:uiPriority w:val="0"/>
    <w:qFormat/>
    <w:rPr>
      <w:sz w:val="26"/>
      <w:szCs w:val="24"/>
    </w:rPr>
  </w:style>
  <w:style w:type="paragraph" w:styleId="844" w:customStyle="1">
    <w:name w:val="标题 411"/>
    <w:basedOn w:val="668"/>
    <w:next w:val="668"/>
    <w:uiPriority w:val="9"/>
    <w:qFormat/>
    <w:pPr>
      <w:keepLines/>
      <w:keepNext/>
      <w:spacing w:before="280" w:after="290" w:line="376" w:lineRule="auto"/>
      <w:outlineLvl w:val="3"/>
    </w:pPr>
    <w:rPr>
      <w:rFonts w:ascii="Cambria" w:hAnsi="Cambria"/>
      <w:b/>
      <w:bCs/>
      <w:sz w:val="28"/>
      <w:szCs w:val="28"/>
    </w:rPr>
  </w:style>
  <w:style w:type="paragraph" w:styleId="845" w:customStyle="1">
    <w:name w:val="标题 311"/>
    <w:basedOn w:val="668"/>
    <w:next w:val="668"/>
    <w:uiPriority w:val="0"/>
    <w:qFormat/>
    <w:pPr>
      <w:keepLines/>
      <w:keepNext/>
      <w:spacing w:line="360" w:lineRule="auto"/>
      <w:outlineLvl w:val="2"/>
    </w:pPr>
    <w:rPr>
      <w:b/>
      <w:bCs/>
      <w:szCs w:val="32"/>
    </w:rPr>
  </w:style>
  <w:style w:type="paragraph" w:styleId="846" w:customStyle="1">
    <w:name w:val="标题 211"/>
    <w:basedOn w:val="668"/>
    <w:next w:val="668"/>
    <w:uiPriority w:val="9"/>
    <w:qFormat/>
    <w:pPr>
      <w:keepLines/>
      <w:keepNext/>
      <w:spacing w:line="360" w:lineRule="auto"/>
      <w:outlineLvl w:val="1"/>
    </w:pPr>
    <w:rPr>
      <w:rFonts w:ascii="Arial" w:hAnsi="Arial"/>
      <w:b/>
      <w:bCs/>
      <w:sz w:val="24"/>
      <w:szCs w:val="32"/>
    </w:rPr>
  </w:style>
  <w:style w:type="paragraph" w:styleId="847" w:customStyle="1">
    <w:name w:val="标题 111"/>
    <w:basedOn w:val="668"/>
    <w:next w:val="668"/>
    <w:uiPriority w:val="0"/>
    <w:qFormat/>
    <w:pPr>
      <w:jc w:val="center"/>
      <w:keepLines/>
      <w:keepNext/>
      <w:spacing w:line="360" w:lineRule="auto"/>
      <w:outlineLvl w:val="0"/>
    </w:pPr>
    <w:rPr>
      <w:rFonts w:eastAsia="黑体"/>
      <w:b/>
      <w:bCs/>
      <w:sz w:val="32"/>
      <w:szCs w:val="44"/>
    </w:rPr>
  </w:style>
  <w:style w:type="paragraph" w:styleId="848" w:customStyle="1">
    <w:name w:val="TOC 标题11"/>
    <w:uiPriority w:val="39"/>
    <w:unhideWhenUsed/>
    <w:qFormat/>
    <w:rPr>
      <w:rFonts w:ascii="Times New Roman" w:hAnsi="Times New Roman" w:eastAsia="宋体" w:cs="Times New Roman"/>
      <w:lang w:val="en-US" w:eastAsia="zh-CN" w:bidi="ar-SA"/>
    </w:rPr>
  </w:style>
  <w:style w:type="paragraph" w:styleId="849">
    <w:name w:val="No Spacing"/>
    <w:uiPriority w:val="1"/>
    <w:qFormat/>
    <w:rPr>
      <w:rFonts w:ascii="Times New Roman" w:hAnsi="Times New Roman" w:eastAsia="宋体" w:cs="Times New Roman"/>
      <w:lang w:val="en-US" w:eastAsia="zh-CN" w:bidi="ar-SA"/>
    </w:rPr>
  </w:style>
  <w:style w:type="paragraph" w:styleId="850">
    <w:name w:val="List Paragraph"/>
    <w:basedOn w:val="668"/>
    <w:uiPriority w:val="34"/>
    <w:qFormat/>
    <w:pPr>
      <w:contextualSpacing/>
      <w:ind w:left="720"/>
    </w:pPr>
  </w:style>
  <w:style w:type="paragraph" w:styleId="851" w:customStyle="1">
    <w:name w:val="TOC 标题111"/>
    <w:uiPriority w:val="39"/>
    <w:unhideWhenUsed/>
    <w:qFormat/>
    <w:rPr>
      <w:rFonts w:ascii="Times New Roman" w:hAnsi="Times New Roman" w:eastAsia="宋体" w:cs="Times New Roman"/>
      <w:lang w:val="en-US" w:eastAsia="zh-CN" w:bidi="ar-SA"/>
    </w:rPr>
  </w:style>
  <w:style w:type="paragraph" w:styleId="852" w:customStyle="1">
    <w:name w:val="TOC 标题12"/>
    <w:uiPriority w:val="39"/>
    <w:unhideWhenUsed/>
    <w:qFormat/>
    <w:rPr>
      <w:rFonts w:ascii="Times New Roman" w:hAnsi="Times New Roman" w:eastAsia="宋体" w:cs="Times New Roman"/>
      <w:lang w:val="en-US" w:eastAsia="zh-CN" w:bidi="ar-SA"/>
    </w:rPr>
  </w:style>
  <w:style w:type="paragraph" w:styleId="853" w:customStyle="1">
    <w:name w:val="修订4"/>
    <w:uiPriority w:val="99"/>
    <w:unhideWhenUsed/>
    <w:qFormat/>
    <w:rPr>
      <w:rFonts w:ascii="Times New Roman" w:hAnsi="Times New Roman" w:eastAsia="宋体" w:cs="Times New Roman"/>
      <w:sz w:val="21"/>
      <w:szCs w:val="22"/>
      <w:lang w:val="en-US" w:eastAsia="zh-CN" w:bidi="ar-SA"/>
    </w:rPr>
  </w:style>
  <w:style w:type="paragraph" w:styleId="854" w:customStyle="1">
    <w:name w:val="_Style 156"/>
    <w:uiPriority w:val="39"/>
    <w:qFormat/>
    <w:rPr>
      <w:rFonts w:ascii="Times New Roman" w:hAnsi="Times New Roman" w:eastAsia="宋体" w:cs="Times New Roman"/>
      <w:lang w:val="en-US" w:eastAsia="zh-CN" w:bidi="ar-SA"/>
    </w:rPr>
  </w:style>
  <w:style w:type="paragraph" w:styleId="855" w:customStyle="1">
    <w:name w:val="TOC 标题112"/>
    <w:uiPriority w:val="39"/>
    <w:unhideWhenUsed/>
    <w:qFormat/>
    <w:rPr>
      <w:rFonts w:ascii="Times New Roman" w:hAnsi="Times New Roman" w:eastAsia="宋体" w:cs="Times New Roman"/>
      <w:lang w:val="en-US" w:eastAsia="zh-CN" w:bidi="ar-SA"/>
    </w:rPr>
  </w:style>
  <w:style w:type="paragraph" w:styleId="856" w:customStyle="1">
    <w:name w:val="文本块1"/>
    <w:basedOn w:val="668"/>
    <w:uiPriority w:val="99"/>
    <w:unhideWhenUsed/>
    <w:qFormat/>
    <w:pPr>
      <w:ind w:left="630" w:right="-609" w:firstLine="420"/>
      <w:spacing w:line="360" w:lineRule="auto"/>
    </w:pPr>
    <w:rPr>
      <w:rFonts w:hint="eastAsia" w:ascii="仿宋_GB2312" w:eastAsia="仿宋_GB2312"/>
      <w:szCs w:val="20"/>
    </w:rPr>
  </w:style>
  <w:style w:type="paragraph" w:styleId="857" w:customStyle="1">
    <w:name w:val="题注1"/>
    <w:basedOn w:val="668"/>
    <w:next w:val="668"/>
    <w:uiPriority w:val="35"/>
    <w:unhideWhenUsed/>
    <w:qFormat/>
    <w:pPr>
      <w:spacing w:line="276" w:lineRule="auto"/>
    </w:pPr>
    <w:rPr>
      <w:b/>
      <w:bCs/>
      <w:color w:val="4f81bd"/>
      <w:sz w:val="18"/>
      <w:szCs w:val="18"/>
    </w:rPr>
  </w:style>
  <w:style w:type="paragraph" w:styleId="858" w:customStyle="1">
    <w:name w:val="修订11"/>
    <w:uiPriority w:val="99"/>
    <w:unhideWhenUsed/>
    <w:qFormat/>
    <w:rPr>
      <w:rFonts w:ascii="Times New Roman" w:hAnsi="Times New Roman" w:eastAsia="宋体" w:cs="Times New Roman"/>
      <w:sz w:val="21"/>
      <w:szCs w:val="22"/>
      <w:lang w:val="en-US" w:eastAsia="zh-CN" w:bidi="ar-SA"/>
    </w:rPr>
  </w:style>
  <w:style w:type="paragraph" w:styleId="859" w:customStyle="1">
    <w:name w:val="修订3"/>
    <w:uiPriority w:val="99"/>
    <w:unhideWhenUsed/>
    <w:qFormat/>
    <w:rPr>
      <w:rFonts w:ascii="Times New Roman" w:hAnsi="Times New Roman" w:eastAsia="宋体" w:cs="Times New Roman"/>
      <w:sz w:val="21"/>
      <w:szCs w:val="22"/>
      <w:lang w:val="en-US" w:eastAsia="zh-CN" w:bidi="ar-SA"/>
    </w:rPr>
  </w:style>
  <w:style w:type="paragraph" w:styleId="860" w:customStyle="1">
    <w:name w:val="正文首行缩进11"/>
    <w:basedOn w:val="764"/>
    <w:uiPriority w:val="0"/>
    <w:qFormat/>
    <w:pPr>
      <w:ind w:firstLine="420"/>
    </w:pPr>
    <w:rPr>
      <w:sz w:val="26"/>
    </w:rPr>
  </w:style>
  <w:style w:type="paragraph" w:styleId="861" w:customStyle="1">
    <w:name w:val="寄信人地址1"/>
    <w:uiPriority w:val="0"/>
    <w:qFormat/>
    <w:pPr>
      <w:jc w:val="both"/>
      <w:widowControl w:val="off"/>
    </w:pPr>
    <w:rPr>
      <w:rFonts w:ascii="Arial" w:hAnsi="Arial" w:eastAsia="楷体_GB2312" w:cs="Times New Roman"/>
      <w:sz w:val="26"/>
      <w:lang w:val="en-US" w:eastAsia="zh-CN" w:bidi="ar-SA"/>
    </w:rPr>
  </w:style>
  <w:style w:type="paragraph" w:styleId="862" w:customStyle="1">
    <w:name w:val="正文文本缩进11"/>
    <w:basedOn w:val="668"/>
    <w:next w:val="861"/>
    <w:uiPriority w:val="99"/>
    <w:unhideWhenUsed/>
    <w:qFormat/>
    <w:pPr>
      <w:ind w:left="420"/>
      <w:spacing w:after="120"/>
    </w:pPr>
    <w:rPr>
      <w:szCs w:val="24"/>
    </w:rPr>
  </w:style>
  <w:style w:type="table" w:styleId="863" w:customStyle="1">
    <w:name w:val="网格型42"/>
    <w:basedOn w:val="678"/>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64" w:customStyle="1">
    <w:name w:val="Table Normal_0"/>
    <w:uiPriority w:val="0"/>
    <w:unhideWhenUsed/>
    <w:qFormat/>
    <w:tblPr>
      <w:tblCellMar>
        <w:left w:w="0" w:type="dxa"/>
        <w:top w:w="0" w:type="dxa"/>
        <w:right w:w="0" w:type="dxa"/>
        <w:bottom w:w="0" w:type="dxa"/>
      </w:tblCellMar>
    </w:tblPr>
  </w:style>
  <w:style w:type="table" w:styleId="865"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style>
  <w:style w:type="table" w:styleId="866"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8"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style>
  <w:style w:type="table" w:styleId="869"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style>
  <w:style w:type="table" w:styleId="870" w:customStyle="1">
    <w:name w:val="Lined - Accent 6"/>
    <w:uiPriority w:val="99"/>
    <w:qFormat/>
    <w:rPr>
      <w:color w:val="404040"/>
    </w:rPr>
    <w:tblPr>
      <w:tblCellMar>
        <w:left w:w="0" w:type="dxa"/>
        <w:top w:w="0" w:type="dxa"/>
        <w:right w:w="0" w:type="dxa"/>
        <w:bottom w:w="0" w:type="dxa"/>
      </w:tblCellMar>
    </w:tblPr>
  </w:style>
  <w:style w:type="table" w:styleId="871" w:customStyle="1">
    <w:name w:val="Lined - Accent 5"/>
    <w:uiPriority w:val="99"/>
    <w:qFormat/>
    <w:rPr>
      <w:color w:val="404040"/>
    </w:rPr>
    <w:tblPr>
      <w:tblCellMar>
        <w:left w:w="0" w:type="dxa"/>
        <w:top w:w="0" w:type="dxa"/>
        <w:right w:w="0" w:type="dxa"/>
        <w:bottom w:w="0" w:type="dxa"/>
      </w:tblCellMar>
    </w:tblPr>
  </w:style>
  <w:style w:type="table" w:styleId="872" w:customStyle="1">
    <w:name w:val="Lined - Accent 2"/>
    <w:uiPriority w:val="99"/>
    <w:qFormat/>
    <w:rPr>
      <w:color w:val="404040"/>
    </w:rPr>
    <w:tblPr>
      <w:tblCellMar>
        <w:left w:w="0" w:type="dxa"/>
        <w:top w:w="0" w:type="dxa"/>
        <w:right w:w="0" w:type="dxa"/>
        <w:bottom w:w="0" w:type="dxa"/>
      </w:tblCellMar>
    </w:tblPr>
  </w:style>
  <w:style w:type="table" w:styleId="873" w:customStyle="1">
    <w:name w:val="Lined - Accent 1"/>
    <w:uiPriority w:val="99"/>
    <w:qFormat/>
    <w:rPr>
      <w:color w:val="404040"/>
    </w:rPr>
    <w:tblPr>
      <w:tblCellMar>
        <w:left w:w="0" w:type="dxa"/>
        <w:top w:w="0" w:type="dxa"/>
        <w:right w:w="0" w:type="dxa"/>
        <w:bottom w:w="0" w:type="dxa"/>
      </w:tblCellMar>
    </w:tblPr>
  </w:style>
  <w:style w:type="table" w:styleId="874" w:customStyle="1">
    <w:name w:val="Lined - Accent"/>
    <w:uiPriority w:val="99"/>
    <w:qFormat/>
    <w:rPr>
      <w:color w:val="404040"/>
    </w:rPr>
    <w:tblPr>
      <w:tblCellMar>
        <w:left w:w="0" w:type="dxa"/>
        <w:top w:w="0" w:type="dxa"/>
        <w:right w:w="0" w:type="dxa"/>
        <w:bottom w:w="0" w:type="dxa"/>
      </w:tblCellMar>
    </w:tblPr>
  </w:style>
  <w:style w:type="table" w:styleId="87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7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77" w:customStyle="1">
    <w:name w:val="List Table 7 Colorful - Accent 2"/>
    <w:uiPriority w:val="99"/>
    <w:qFormat/>
    <w:tblPr>
      <w:tblBorders>
        <w:right w:val="single" w:color="D99795" w:sz="4" w:space="0"/>
      </w:tblBorders>
      <w:tblCellMar>
        <w:left w:w="0" w:type="dxa"/>
        <w:top w:w="0" w:type="dxa"/>
        <w:right w:w="0" w:type="dxa"/>
        <w:bottom w:w="0" w:type="dxa"/>
      </w:tblCellMar>
    </w:tblPr>
  </w:style>
  <w:style w:type="table" w:styleId="87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79"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style>
  <w:style w:type="table" w:styleId="88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81"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82" w:customStyle="1">
    <w:name w:val="List Table 7 Colorful - Accent 3"/>
    <w:uiPriority w:val="99"/>
    <w:qFormat/>
    <w:tblPr>
      <w:tblBorders>
        <w:right w:val="single" w:color="C3D69C" w:sz="4" w:space="0"/>
      </w:tblBorders>
      <w:tblCellMar>
        <w:left w:w="0" w:type="dxa"/>
        <w:top w:w="0" w:type="dxa"/>
        <w:right w:w="0" w:type="dxa"/>
        <w:bottom w:w="0" w:type="dxa"/>
      </w:tblCellMar>
    </w:tblPr>
  </w:style>
  <w:style w:type="table" w:styleId="88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8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85"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style>
  <w:style w:type="table" w:styleId="886"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8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88"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89"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style>
  <w:style w:type="table" w:styleId="89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1"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style>
  <w:style w:type="table" w:styleId="892"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93" w:customStyle="1">
    <w:name w:val="普通表格1"/>
    <w:uiPriority w:val="99"/>
    <w:unhideWhenUsed/>
    <w:qFormat/>
    <w:tblPr>
      <w:tblCellMar>
        <w:left w:w="0" w:type="dxa"/>
        <w:top w:w="0" w:type="dxa"/>
        <w:right w:w="0" w:type="dxa"/>
        <w:bottom w:w="0" w:type="dxa"/>
      </w:tblCellMar>
    </w:tblPr>
  </w:style>
  <w:style w:type="table" w:styleId="89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9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9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9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98"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style>
  <w:style w:type="table" w:styleId="89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00" w:customStyle="1">
    <w:name w:val="List Table 1 Light - Accent 5"/>
    <w:uiPriority w:val="99"/>
    <w:qFormat/>
    <w:tblPr>
      <w:tblCellMar>
        <w:left w:w="0" w:type="dxa"/>
        <w:top w:w="0" w:type="dxa"/>
        <w:right w:w="0" w:type="dxa"/>
        <w:bottom w:w="0" w:type="dxa"/>
      </w:tblCellMar>
    </w:tblPr>
  </w:style>
  <w:style w:type="table" w:styleId="901" w:customStyle="1">
    <w:name w:val="List Table 1 Light - Accent 2"/>
    <w:uiPriority w:val="99"/>
    <w:qFormat/>
    <w:tblPr>
      <w:tblCellMar>
        <w:left w:w="0" w:type="dxa"/>
        <w:top w:w="0" w:type="dxa"/>
        <w:right w:w="0" w:type="dxa"/>
        <w:bottom w:w="0" w:type="dxa"/>
      </w:tblCellMar>
    </w:tblPr>
  </w:style>
  <w:style w:type="table" w:styleId="902" w:customStyle="1">
    <w:name w:val="List Table 1 Light - Accent 1"/>
    <w:uiPriority w:val="99"/>
    <w:qFormat/>
    <w:tblPr>
      <w:tblCellMar>
        <w:left w:w="0" w:type="dxa"/>
        <w:top w:w="0" w:type="dxa"/>
        <w:right w:w="0" w:type="dxa"/>
        <w:bottom w:w="0" w:type="dxa"/>
      </w:tblCellMar>
    </w:tblPr>
  </w:style>
  <w:style w:type="table" w:styleId="90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04"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6" w:customStyle="1">
    <w:name w:val="List Table 1 Light - Accent 6"/>
    <w:uiPriority w:val="99"/>
    <w:qFormat/>
    <w:tblPr>
      <w:tblCellMar>
        <w:left w:w="0" w:type="dxa"/>
        <w:top w:w="0" w:type="dxa"/>
        <w:right w:w="0" w:type="dxa"/>
        <w:bottom w:w="0" w:type="dxa"/>
      </w:tblCellMar>
    </w:tblPr>
  </w:style>
  <w:style w:type="table" w:styleId="907"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0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0"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11"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1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1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1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1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1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3"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2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925"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2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27"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style>
  <w:style w:type="table" w:styleId="928"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29" w:customStyle="1">
    <w:name w:val="List Table 1 Light - Accent 3"/>
    <w:uiPriority w:val="99"/>
    <w:qFormat/>
    <w:tblPr>
      <w:tblCellMar>
        <w:left w:w="0" w:type="dxa"/>
        <w:top w:w="0" w:type="dxa"/>
        <w:right w:w="0" w:type="dxa"/>
        <w:bottom w:w="0" w:type="dxa"/>
      </w:tblCellMar>
    </w:tblPr>
  </w:style>
  <w:style w:type="table" w:styleId="93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3"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34"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93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36"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8" w:customStyle="1">
    <w:name w:val="_Style 255"/>
    <w:basedOn w:val="678"/>
    <w:uiPriority w:val="99"/>
    <w:qFormat/>
    <w:tblPr>
      <w:tblBorders>
        <w:top w:val="single" w:color="000000" w:sz="4" w:space="0"/>
        <w:bottom w:val="single" w:color="000000" w:sz="4" w:space="0"/>
      </w:tblBorders>
    </w:tblPr>
    <w:tblStylePr w:type="band1Horz">
      <w:rPr>
        <w:rFonts w:ascii="黑体" w:hAnsi="黑体"/>
        <w:color w:val="000000"/>
        <w:sz w:val="22"/>
      </w:rPr>
      <w:tcPr>
        <w:shd w:val="clear" w:color="ffffff" w:fill="bfbfbf"/>
      </w:tcPr>
    </w:tblStylePr>
    <w:tblStylePr w:type="band1Vert">
      <w:tcPr>
        <w:shd w:val="clear" w:color="ffffff" w:fill="bfbfbf"/>
      </w:tcPr>
    </w:tblStylePr>
    <w:tblStylePr w:type="band2Horz">
      <w:rPr>
        <w:rFonts w:ascii="黑体" w:hAnsi="黑体"/>
        <w:color w:val="000000"/>
        <w:sz w:val="22"/>
      </w:rPr>
    </w:tblStylePr>
    <w:tblStylePr w:type="firstCol">
      <w:rPr>
        <w:b/>
        <w:color w:val="000000"/>
      </w:rPr>
    </w:tblStylePr>
    <w:tblStylePr w:type="firstRow">
      <w:rPr>
        <w:b/>
        <w:color w:val="00000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000000"/>
      </w:rPr>
    </w:tblStylePr>
    <w:tblStylePr w:type="lastRow">
      <w:rPr>
        <w:b/>
        <w:color w:val="00000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customStyle="1">
    <w:name w:val="_Style 256"/>
    <w:basedOn w:val="67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黑体" w:hAnsi="黑体"/>
        <w:color w:val="404040"/>
        <w:sz w:val="22"/>
      </w:rPr>
      <w:tcPr>
        <w:shd w:val="clear" w:color="ffffff" w:fill="bfbfbf"/>
      </w:tcPr>
    </w:tblStylePr>
    <w:tblStylePr w:type="band1Vert">
      <w:rPr>
        <w:rFonts w:ascii="黑体" w:hAnsi="黑体"/>
        <w:color w:val="404040"/>
        <w:sz w:val="22"/>
      </w:rPr>
      <w:tcPr>
        <w:shd w:val="clear" w:color="ffffff" w:fill="bfbfbf"/>
      </w:tcPr>
    </w:tblStylePr>
    <w:tblStylePr w:type="firstCol">
      <w:rPr>
        <w:b/>
        <w:color w:val="404040"/>
      </w:rPr>
    </w:tblStylePr>
    <w:tblStylePr w:type="firstRow">
      <w:rPr>
        <w:rFonts w:ascii="黑体" w:hAnsi="黑体"/>
        <w:b/>
        <w:color w:val="ffffff"/>
        <w:sz w:val="22"/>
      </w:rPr>
      <w:tcPr>
        <w:shd w:val="clear" w:color="ffffff" w:fill="000000"/>
      </w:tcPr>
    </w:tblStylePr>
    <w:tblStylePr w:type="lastCol">
      <w:rPr>
        <w:b/>
        <w:color w:val="404040"/>
      </w:rPr>
    </w:tblStylePr>
    <w:tblStylePr w:type="lastRow">
      <w:rPr>
        <w:b/>
        <w:color w:val="404040"/>
      </w:rPr>
    </w:tblStylePr>
  </w:style>
  <w:style w:type="table" w:styleId="940"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41" w:customStyle="1">
    <w:name w:val="_Style 258"/>
    <w:basedOn w:val="678"/>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黑体" w:hAnsi="黑体"/>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rPr>
        <w:rFonts w:ascii="黑体" w:hAnsi="黑体"/>
        <w:color w:val="404040"/>
        <w:sz w:val="22"/>
      </w:rPr>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rFonts w:ascii="黑体" w:hAnsi="黑体"/>
        <w:b/>
        <w:color w:val="ffffff"/>
        <w:sz w:val="22"/>
      </w:rPr>
      <w:tcPr>
        <w:shd w:val="clear" w:color="ffffff" w:fill="000000"/>
      </w:tcPr>
    </w:tblStylePr>
    <w:tblStylePr w:type="lastCol">
      <w:rPr>
        <w:b/>
        <w:color w:val="404040"/>
      </w:rPr>
    </w:tblStylePr>
    <w:tblStylePr w:type="lastRow">
      <w:rPr>
        <w:b/>
        <w:color w:val="404040"/>
      </w:rPr>
    </w:tblStylePr>
  </w:style>
  <w:style w:type="table" w:styleId="942" w:customStyle="1">
    <w:name w:val="_Style 259"/>
    <w:basedOn w:val="678"/>
    <w:uiPriority w:val="99"/>
    <w:qFormat/>
    <w:tblPr>
      <w:tblBorders>
        <w:top w:val="single" w:color="000000" w:sz="4" w:space="0"/>
        <w:bottom w:val="single" w:color="000000" w:sz="4" w:space="0"/>
        <w:insideH w:val="single" w:color="000000" w:sz="4" w:space="0"/>
      </w:tblBorders>
    </w:tblPr>
    <w:tblStylePr w:type="band1Horz">
      <w:rPr>
        <w:rFonts w:ascii="黑体" w:hAnsi="黑体"/>
        <w:color w:val="404040"/>
        <w:sz w:val="22"/>
      </w:rPr>
      <w:tcPr>
        <w:shd w:val="clear" w:color="ffffff" w:fill="bfbfbf"/>
      </w:tcPr>
    </w:tblStylePr>
    <w:tblStylePr w:type="band1Vert">
      <w:rPr>
        <w:rFonts w:ascii="黑体" w:hAnsi="黑体"/>
        <w:color w:val="404040"/>
        <w:sz w:val="22"/>
      </w:rPr>
      <w:tcPr>
        <w:shd w:val="clear" w:color="ffffff" w:fill="bfbfbf"/>
      </w:tcPr>
    </w:tblStylePr>
    <w:tblStylePr w:type="firstCol">
      <w:rPr>
        <w:rFonts w:ascii="黑体" w:hAnsi="黑体"/>
        <w:b/>
        <w:color w:val="404040"/>
        <w:sz w:val="22"/>
      </w:rPr>
    </w:tblStylePr>
    <w:tblStylePr w:type="firstRow">
      <w:rPr>
        <w:rFonts w:ascii="黑体" w:hAnsi="黑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style>
  <w:style w:type="table" w:styleId="943" w:customStyle="1">
    <w:name w:val="_Style 260"/>
    <w:basedOn w:val="6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黑体" w:hAnsi="黑体"/>
        <w:color w:val="404040"/>
        <w:sz w:val="22"/>
      </w:rPr>
      <w:tcPr>
        <w:shd w:val="clear" w:color="ffffff" w:fill="cbcbcb"/>
      </w:tcPr>
    </w:tblStylePr>
    <w:tblStylePr w:type="band1Vert">
      <w:rPr>
        <w:rFonts w:ascii="黑体" w:hAnsi="黑体"/>
        <w:color w:val="404040"/>
        <w:sz w:val="22"/>
      </w:rPr>
      <w:tcPr>
        <w:shd w:val="clear" w:color="ffffff" w:fill="cbcbcb"/>
      </w:tcPr>
    </w:tblStylePr>
    <w:tblStylePr w:type="firstCol">
      <w:rPr>
        <w:b/>
        <w:color w:val="404040"/>
      </w:rPr>
    </w:tblStylePr>
    <w:tblStylePr w:type="firstRow">
      <w:rPr>
        <w:rFonts w:ascii="黑体" w:hAnsi="黑体"/>
        <w:b/>
        <w:color w:val="ffffff"/>
        <w:sz w:val="22"/>
      </w:rPr>
      <w:tcPr>
        <w:shd w:val="clear" w:color="ffffff" w:fill="000000"/>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4" w:customStyle="1">
    <w:name w:val="List Table 1 Light - Accent 4"/>
    <w:uiPriority w:val="99"/>
    <w:qFormat/>
    <w:tblPr>
      <w:tblCellMar>
        <w:left w:w="0" w:type="dxa"/>
        <w:top w:w="0" w:type="dxa"/>
        <w:right w:w="0" w:type="dxa"/>
        <w:bottom w:w="0" w:type="dxa"/>
      </w:tblCellMar>
    </w:tblPr>
  </w:style>
  <w:style w:type="table" w:styleId="945" w:customStyle="1">
    <w:name w:val="_Style 263"/>
    <w:basedOn w:val="678"/>
    <w:uiPriority w:val="99"/>
    <w:qFormat/>
    <w:tblPr/>
    <w:tblStylePr w:type="band1Horz">
      <w:rPr>
        <w:rFonts w:ascii="黑体" w:hAnsi="黑体"/>
        <w:color w:val="404040"/>
        <w:sz w:val="22"/>
      </w:rPr>
      <w:tcPr>
        <w:shd w:val="clear" w:color="ffffff" w:fill="f2f2f2"/>
      </w:tcPr>
    </w:tblStylePr>
    <w:tblStylePr w:type="band1Vert">
      <w:rPr>
        <w:rFonts w:ascii="黑体" w:hAnsi="黑体"/>
        <w:color w:val="404040"/>
        <w:sz w:val="22"/>
      </w:rPr>
      <w:tcPr>
        <w:shd w:val="clear" w:color="ffffff" w:fill="f2f2f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i/>
        <w:color w:val="404040"/>
      </w:rPr>
      <w:tcPr>
        <w:shd w:val="clear" w:color="ffffff" w:fill="auto"/>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single" w:color="404040" w:sz="4" w:space="0"/>
          <w:right w:val="none" w:color="000000" w:sz="4" w:space="0"/>
          <w:insideH w:val="none" w:color="000000" w:sz="4" w:space="0"/>
          <w:insideV w:val="none" w:color="000000" w:sz="4" w:space="0"/>
        </w:tcBorders>
      </w:tcPr>
    </w:tblStylePr>
    <w:tblStylePr w:type="lastRow">
      <w:rPr>
        <w:i/>
        <w:color w:val="404040"/>
      </w:rPr>
      <w:tcPr>
        <w:shd w:val="clear" w:color="ffffff" w:fill="auto"/>
        <w:tcBorders>
          <w:top w:val="single" w:color="40404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6" w:customStyle="1">
    <w:name w:val="_Style 264"/>
    <w:basedOn w:val="678"/>
    <w:uiPriority w:val="99"/>
    <w:qFormat/>
    <w:tblPr/>
    <w:tblStylePr w:type="band1Horz">
      <w:rPr>
        <w:rFonts w:ascii="黑体" w:hAnsi="黑体"/>
        <w:color w:val="404040"/>
        <w:sz w:val="22"/>
      </w:rPr>
      <w:tcPr>
        <w:shd w:val="clear" w:color="ffffff" w:fill="f2f2f2"/>
      </w:tcPr>
    </w:tblStylePr>
    <w:tblStylePr w:type="band1Vert">
      <w:rPr>
        <w:rFonts w:ascii="黑体" w:hAnsi="黑体"/>
        <w:color w:val="404040"/>
        <w:sz w:val="22"/>
      </w:rPr>
      <w:tcPr>
        <w:shd w:val="clear" w:color="ffffff"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7" w:customStyle="1">
    <w:name w:val="_Style 265"/>
    <w:basedOn w:val="678"/>
    <w:uiPriority w:val="59"/>
    <w:qFormat/>
    <w:tblPr>
      <w:tblBorders>
        <w:top w:val="single" w:color="000000" w:sz="4" w:space="0"/>
        <w:bottom w:val="single" w:color="000000" w:sz="4" w:space="0"/>
      </w:tblBorders>
    </w:tblPr>
    <w:tblStylePr w:type="band1Horz">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黑体" w:hAnsi="黑体"/>
        <w:b/>
        <w:color w:val="404040"/>
        <w:sz w:val="22"/>
      </w:rPr>
    </w:tblStylePr>
    <w:tblStylePr w:type="firstRow">
      <w:rPr>
        <w:rFonts w:ascii="黑体" w:hAnsi="黑体"/>
        <w:b/>
        <w:color w:val="404040"/>
        <w:sz w:val="22"/>
      </w:rPr>
      <w:tcPr>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b/>
        <w:color w:val="404040"/>
        <w:sz w:val="22"/>
      </w:rPr>
    </w:tblStylePr>
    <w:tblStylePr w:type="lastRow">
      <w:rPr>
        <w:rFonts w:ascii="黑体" w:hAnsi="黑体"/>
        <w:b/>
        <w:color w:val="404040"/>
        <w:sz w:val="22"/>
      </w:rPr>
    </w:tblStylePr>
  </w:style>
  <w:style w:type="table" w:styleId="948" w:customStyle="1">
    <w:name w:val="_Style 266"/>
    <w:basedOn w:val="67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f2f2f2"/>
      </w:tcPr>
    </w:tblStylePr>
    <w:tblStylePr w:type="band1Vert">
      <w:tcPr>
        <w:shd w:val="clear" w:color="ffffff" w:fill="f2f2f2"/>
      </w:tcPr>
    </w:tblStylePr>
    <w:tblStylePr w:type="firstCol">
      <w:rPr>
        <w:rFonts w:ascii="黑体" w:hAnsi="黑体"/>
        <w:b/>
        <w:color w:val="404040"/>
        <w:sz w:val="22"/>
      </w:rPr>
    </w:tblStylePr>
    <w:tblStylePr w:type="firstRow">
      <w:rPr>
        <w:rFonts w:ascii="黑体" w:hAnsi="黑体"/>
        <w:b/>
        <w:color w:val="404040"/>
        <w:sz w:val="22"/>
      </w:rPr>
    </w:tblStylePr>
    <w:tblStylePr w:type="lastCol">
      <w:rPr>
        <w:rFonts w:ascii="黑体" w:hAnsi="黑体"/>
        <w:b/>
        <w:color w:val="404040"/>
        <w:sz w:val="22"/>
      </w:rPr>
    </w:tblStylePr>
    <w:tblStylePr w:type="lastRow">
      <w:rPr>
        <w:rFonts w:ascii="黑体" w:hAnsi="黑体"/>
        <w:b/>
        <w:color w:val="404040"/>
        <w:sz w:val="22"/>
      </w:rPr>
    </w:tblStylePr>
  </w:style>
  <w:style w:type="table" w:styleId="94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5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51" w:customStyle="1">
    <w:name w:val="_Style 270"/>
    <w:basedOn w:val="67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黑体" w:hAnsi="黑体"/>
        <w:color w:val="404040"/>
        <w:sz w:val="22"/>
      </w:rPr>
      <w:tcPr>
        <w:shd w:val="clear" w:color="ffffff" w:fill="cbcbcb"/>
      </w:tcPr>
    </w:tblStylePr>
    <w:tblStylePr w:type="band1Vert">
      <w:tcPr>
        <w:shd w:val="clear" w:color="ffffff" w:fill="cbcbcb"/>
      </w:tcPr>
    </w:tblStylePr>
    <w:tblStylePr w:type="band2Horz">
      <w:rPr>
        <w:rFonts w:ascii="黑体" w:hAnsi="黑体"/>
        <w:color w:val="404040"/>
        <w:sz w:val="22"/>
      </w:rPr>
    </w:tblStylePr>
    <w:tblStylePr w:type="firstCol">
      <w:rPr>
        <w:b/>
        <w:color w:val="4a4a4a"/>
      </w:rPr>
    </w:tblStylePr>
    <w:tblStylePr w:type="firstRow">
      <w:rPr>
        <w:b/>
        <w:color w:val="4a4a4a"/>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a4a4a"/>
      </w:rPr>
    </w:tblStylePr>
    <w:tblStylePr w:type="lastRow">
      <w:rPr>
        <w:b/>
        <w:color w:val="4a4a4a"/>
      </w:rPr>
    </w:tblStylePr>
  </w:style>
  <w:style w:type="table" w:styleId="95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3" w:customStyle="1">
    <w:name w:val="Lined - Accent 3"/>
    <w:uiPriority w:val="99"/>
    <w:qFormat/>
    <w:rPr>
      <w:color w:val="404040"/>
    </w:rPr>
    <w:tblPr>
      <w:tblCellMar>
        <w:left w:w="0" w:type="dxa"/>
        <w:top w:w="0" w:type="dxa"/>
        <w:right w:w="0" w:type="dxa"/>
        <w:bottom w:w="0" w:type="dxa"/>
      </w:tblCellMar>
    </w:tblPr>
  </w:style>
  <w:style w:type="table" w:styleId="95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6" w:customStyle="1">
    <w:name w:val="_Style 275"/>
    <w:basedOn w:val="67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tcPr>
        <w:shd w:val="clear" w:color="ffffff" w:fill="8a8a8a"/>
      </w:tcPr>
    </w:tblStylePr>
    <w:tblStylePr w:type="band1Vert">
      <w:tcPr>
        <w:shd w:val="clear" w:color="ffffff" w:fill="8a8a8a"/>
      </w:tcPr>
    </w:tblStylePr>
    <w:tblStylePr w:type="firstCol">
      <w:rPr>
        <w:rFonts w:ascii="黑体" w:hAnsi="黑体"/>
        <w:b/>
        <w:color w:val="ffffff"/>
        <w:sz w:val="22"/>
      </w:rPr>
      <w:tcPr>
        <w:shd w:val="clear" w:color="ffffff" w:fill="000000"/>
      </w:tcPr>
    </w:tblStylePr>
    <w:tblStylePr w:type="firstRow">
      <w:rPr>
        <w:rFonts w:ascii="黑体" w:hAnsi="黑体"/>
        <w:b/>
        <w:color w:val="ffffff"/>
        <w:sz w:val="22"/>
      </w:rPr>
      <w:tcPr>
        <w:shd w:val="clear" w:color="ffffff" w:fill="000000"/>
      </w:tcPr>
    </w:tblStylePr>
    <w:tblStylePr w:type="lastCol">
      <w:rPr>
        <w:rFonts w:ascii="黑体" w:hAnsi="黑体"/>
        <w:b/>
        <w:color w:val="ffffff"/>
        <w:sz w:val="22"/>
      </w:rPr>
      <w:tcPr>
        <w:shd w:val="clear" w:color="ffffff" w:fill="000000"/>
      </w:tcPr>
    </w:tblStylePr>
    <w:tblStylePr w:type="lastRow">
      <w:rPr>
        <w:rFonts w:ascii="黑体" w:hAnsi="黑体"/>
        <w:b/>
        <w:color w:val="ffffff"/>
        <w:sz w:val="22"/>
      </w:rPr>
      <w:tcPr>
        <w:shd w:val="clear" w:color="ffffff" w:fill="000000"/>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57"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style>
  <w:style w:type="table" w:styleId="958" w:customStyle="1">
    <w:name w:val="_Style 277"/>
    <w:basedOn w:val="678"/>
    <w:uiPriority w:val="99"/>
    <w:qFormat/>
    <w:tblPr>
      <w:tblBorders>
        <w:top w:val="single" w:color="000000" w:sz="32" w:space="0"/>
        <w:left w:val="single" w:color="000000" w:sz="32" w:space="0"/>
        <w:bottom w:val="single" w:color="000000" w:sz="32" w:space="0"/>
        <w:right w:val="single" w:color="000000" w:sz="32" w:space="0"/>
      </w:tblBorders>
    </w:tblPr>
    <w:tblStylePr w:type="band1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ffffff" w:fill="7f7f7f"/>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band2Horz">
      <w:tcPr>
        <w:shd w:val="clear" w:color="ffffff" w:fill="7f7f7f"/>
        <w:tcBorders>
          <w:top w:val="singl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band2Vert">
      <w:tcPr>
        <w:tcBorders>
          <w:top w:val="none" w:color="000000" w:sz="4" w:space="0"/>
          <w:left w:val="none" w:color="000000" w:sz="4" w:space="0"/>
          <w:bottom w:val="single" w:color="000000" w:sz="4" w:space="0"/>
          <w:right w:val="single" w:color="000000" w:sz="4" w:space="0"/>
          <w:insideH w:val="none" w:color="000000" w:sz="4" w:space="0"/>
          <w:insideV w:val="none" w:color="000000" w:sz="4" w:space="0"/>
        </w:tcBorders>
      </w:tcPr>
    </w:tblStylePr>
    <w:tblStylePr w:type="firstCol">
      <w:rPr>
        <w:rFonts w:ascii="黑体" w:hAnsi="黑体"/>
        <w:b/>
        <w:color w:val="ffffff"/>
        <w:sz w:val="22"/>
      </w:rPr>
      <w:tcPr>
        <w:tcBorders>
          <w:top w:val="none" w:color="000000" w:sz="4" w:space="0"/>
          <w:left w:val="none" w:color="000000" w:sz="4" w:space="0"/>
          <w:bottom w:val="single" w:color="000000" w:sz="32" w:space="0"/>
          <w:right w:val="single" w:color="000000" w:sz="4" w:space="0"/>
          <w:insideH w:val="none" w:color="000000" w:sz="4" w:space="0"/>
          <w:insideV w:val="none" w:color="000000" w:sz="4" w:space="0"/>
        </w:tcBorders>
      </w:tcPr>
    </w:tblStylePr>
    <w:tblStylePr w:type="firstRow">
      <w:rPr>
        <w:rFonts w:ascii="黑体" w:hAnsi="黑体"/>
        <w:b/>
        <w:color w:val="ffffff"/>
        <w:sz w:val="22"/>
      </w:rPr>
      <w:tcPr>
        <w:shd w:val="clear" w:color="ffffff" w:fill="7f7f7f"/>
        <w:tcBorders>
          <w:top w:val="single" w:color="000000" w:sz="32"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tcPr>
        <w:tcBorders>
          <w:top w:val="none" w:color="000000" w:sz="4" w:space="0"/>
          <w:left w:val="none" w:color="000000" w:sz="4" w:space="0"/>
          <w:bottom w:val="single" w:color="000000" w:sz="4" w:space="0"/>
          <w:right w:val="single" w:color="000000" w:sz="32" w:space="0"/>
          <w:insideH w:val="none" w:color="000000" w:sz="4" w:space="0"/>
          <w:insideV w:val="none" w:color="000000" w:sz="4" w:space="0"/>
        </w:tcBorders>
      </w:tcPr>
    </w:tblStylePr>
    <w:tblStylePr w:type="lastRow">
      <w:rPr>
        <w:rFonts w:ascii="黑体" w:hAnsi="黑体"/>
        <w:b/>
        <w:color w:val="ffffff"/>
        <w:sz w:val="22"/>
      </w:rPr>
    </w:tblStylePr>
  </w:style>
  <w:style w:type="table" w:styleId="959" w:customStyle="1">
    <w:name w:val="_Style 278"/>
    <w:basedOn w:val="678"/>
    <w:uiPriority w:val="99"/>
    <w:qFormat/>
    <w:tblPr>
      <w:tblBorders>
        <w:bottom w:val="single" w:color="000000" w:sz="4" w:space="0"/>
        <w:insideH w:val="single" w:color="000000" w:sz="4" w:space="0"/>
        <w:insideV w:val="single" w:color="000000" w:sz="4" w:space="0"/>
      </w:tblBorders>
    </w:tblPr>
    <w:tblStylePr w:type="band1Horz">
      <w:rPr>
        <w:rFonts w:ascii="黑体" w:hAnsi="黑体"/>
        <w:color w:val="404040"/>
        <w:sz w:val="22"/>
      </w:rPr>
      <w:tcPr>
        <w:shd w:val="clear" w:color="ffffff" w:fill="cbcbcb"/>
      </w:tcPr>
    </w:tblStylePr>
    <w:tblStylePr w:type="band1Vert">
      <w:rPr>
        <w:rFonts w:ascii="黑体" w:hAnsi="黑体"/>
        <w:color w:val="404040"/>
        <w:sz w:val="22"/>
      </w:rPr>
      <w:tcPr>
        <w:shd w:val="clear" w:color="ffffff"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0"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style>
  <w:style w:type="table" w:styleId="96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2"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style>
  <w:style w:type="table" w:styleId="96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6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66"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style>
  <w:style w:type="table" w:styleId="967" w:customStyle="1">
    <w:name w:val="_Style 286"/>
    <w:basedOn w:val="678"/>
    <w:uiPriority w:val="99"/>
    <w:qFormat/>
    <w:tblPr>
      <w:tblBorders>
        <w:right w:val="single" w:color="000000" w:sz="4" w:space="0"/>
      </w:tblBorders>
    </w:tblPr>
    <w:tblStylePr w:type="band1Horz">
      <w:rPr>
        <w:rFonts w:ascii="黑体" w:hAnsi="黑体"/>
        <w:color w:val="4a4a4a"/>
        <w:sz w:val="22"/>
      </w:rPr>
      <w:tcPr>
        <w:shd w:val="clear" w:color="ffffff" w:fill="bfbfbf"/>
      </w:tcPr>
    </w:tblStylePr>
    <w:tblStylePr w:type="band1Vert">
      <w:tcPr>
        <w:shd w:val="clear" w:color="ffffff" w:fill="bfbfbf"/>
      </w:tcPr>
    </w:tblStylePr>
    <w:tblStylePr w:type="band2Horz">
      <w:rPr>
        <w:rFonts w:ascii="黑体" w:hAnsi="黑体"/>
        <w:color w:val="4a4a4a"/>
        <w:sz w:val="22"/>
      </w:rPr>
    </w:tblStylePr>
    <w:tblStylePr w:type="firstCol">
      <w:rPr>
        <w:rFonts w:ascii="黑体" w:hAnsi="黑体"/>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黑体" w:hAnsi="黑体"/>
        <w:i/>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黑体" w:hAnsi="黑体"/>
        <w:i/>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68"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style>
  <w:style w:type="table" w:styleId="969"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style>
  <w:style w:type="table" w:styleId="97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1" w:customStyle="1">
    <w:name w:val="_Style 290"/>
    <w:basedOn w:val="678"/>
    <w:uiPriority w:val="99"/>
    <w:qFormat/>
    <w:tblPr>
      <w:tblBorders>
        <w:bottom w:val="single" w:color="000000" w:sz="4" w:space="0"/>
        <w:right w:val="single" w:color="000000" w:sz="4" w:space="0"/>
        <w:insideH w:val="single" w:color="000000" w:sz="4" w:space="0"/>
        <w:insideV w:val="single" w:color="000000" w:sz="4" w:space="0"/>
      </w:tblBorders>
    </w:tblPr>
    <w:tblStylePr w:type="band1Horz">
      <w:rPr>
        <w:rFonts w:ascii="黑体" w:hAnsi="黑体"/>
        <w:color w:val="4a4a4a"/>
        <w:sz w:val="22"/>
      </w:rPr>
      <w:tcPr>
        <w:shd w:val="clear" w:color="ffffff" w:fill="f2f2f2"/>
      </w:tcPr>
    </w:tblStylePr>
    <w:tblStylePr w:type="band1Vert">
      <w:tcPr>
        <w:shd w:val="clear" w:color="ffffff" w:fill="f2f2f2"/>
      </w:tcPr>
    </w:tblStylePr>
    <w:tblStylePr w:type="band2Horz">
      <w:rPr>
        <w:rFonts w:ascii="黑体" w:hAnsi="黑体"/>
        <w:color w:val="4a4a4a"/>
        <w:sz w:val="22"/>
      </w:rPr>
    </w:tblStylePr>
    <w:tblStylePr w:type="firstCol">
      <w:rPr>
        <w:rFonts w:ascii="黑体" w:hAnsi="黑体"/>
        <w:i/>
        <w:color w:val="4a4a4a"/>
        <w:sz w:val="22"/>
      </w:rPr>
      <w:pPr>
        <w:jc w:val="right"/>
      </w:pPr>
      <w:tcPr>
        <w:shd w:val="clear" w:color="ffffff" w:fill="auto"/>
        <w:tcBorders>
          <w:top w:val="none" w:color="000000" w:sz="4" w:space="0"/>
          <w:left w:val="none" w:color="000000" w:sz="4" w:space="0"/>
          <w:bottom w:val="none" w:color="000000" w:sz="4" w:space="0"/>
          <w:right w:val="single" w:color="000000" w:sz="4" w:space="0"/>
          <w:insideH w:val="none" w:color="000000" w:sz="4" w:space="0"/>
          <w:insideV w:val="none" w:color="000000" w:sz="4" w:space="0"/>
        </w:tcBorders>
      </w:tcPr>
    </w:tblStylePr>
    <w:tblStylePr w:type="firstRow">
      <w:rPr>
        <w:rFonts w:ascii="黑体" w:hAnsi="黑体"/>
        <w:b/>
        <w:color w:val="4a4a4a"/>
        <w:sz w:val="22"/>
      </w:rPr>
      <w:tcPr>
        <w:shd w:val="clear" w:color="ffffff" w:fill="ffffff"/>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rFonts w:ascii="黑体" w:hAnsi="黑体"/>
        <w:i/>
        <w:color w:val="4a4a4a"/>
        <w:sz w:val="22"/>
      </w:rPr>
      <w:tcPr>
        <w:shd w:val="clear" w:color="ffffff" w:fill="auto"/>
        <w:tcBorders>
          <w:top w:val="none" w:color="000000" w:sz="4" w:space="0"/>
          <w:left w:val="none" w:color="000000" w:sz="4" w:space="0"/>
          <w:bottom w:val="single" w:color="000000" w:sz="4" w:space="0"/>
          <w:right w:val="none" w:color="000000" w:sz="4" w:space="0"/>
          <w:insideH w:val="none" w:color="000000" w:sz="4" w:space="0"/>
          <w:insideV w:val="none" w:color="000000" w:sz="4" w:space="0"/>
        </w:tcBorders>
      </w:tcPr>
    </w:tblStylePr>
    <w:tblStylePr w:type="lastRow">
      <w:rPr>
        <w:rFonts w:ascii="黑体" w:hAnsi="黑体"/>
        <w:b/>
        <w:color w:val="4a4a4a"/>
        <w:sz w:val="22"/>
      </w:rPr>
      <w:tcPr>
        <w:shd w:val="clear" w:color="ffffff" w:fill="ffffff"/>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2"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73"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style>
  <w:style w:type="table" w:styleId="974" w:customStyle="1">
    <w:name w:val="_Style 294"/>
    <w:basedOn w:val="678"/>
    <w:uiPriority w:val="99"/>
    <w:qFormat/>
    <w:tblPr/>
    <w:tblStylePr w:type="band1Horz">
      <w:tcPr>
        <w:shd w:val="clear" w:color="ffffff" w:fill="bfbfbf"/>
      </w:tcPr>
    </w:tblStylePr>
    <w:tblStylePr w:type="band1Vert">
      <w:tcPr>
        <w:shd w:val="clear" w:color="ffffff" w:fill="bfbfbf"/>
      </w:tcPr>
    </w:tblStylePr>
    <w:tblStylePr w:type="firstCol">
      <w:rPr>
        <w:b/>
        <w:color w:val="404040"/>
      </w:rPr>
    </w:tblStylePr>
    <w:tblStylePr w:type="firstRow">
      <w:rPr>
        <w:b/>
        <w:color w:val="404040"/>
      </w:rPr>
      <w:tcPr>
        <w:tcBorders>
          <w:top w:val="none" w:color="000000" w:sz="4" w:space="0"/>
          <w:left w:val="single" w:color="000000" w:sz="4"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75" w:customStyle="1">
    <w:name w:val="_Style 295"/>
    <w:basedOn w:val="678"/>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blStylePr w:type="band1Horz">
      <w:rPr>
        <w:rFonts w:ascii="黑体" w:hAnsi="黑体"/>
        <w:color w:val="404040"/>
        <w:sz w:val="22"/>
      </w:rPr>
      <w:tcPr>
        <w:tcBorders>
          <w:top w:val="single" w:color="000000" w:sz="4" w:space="0"/>
          <w:left w:val="single" w:color="000000" w:sz="4" w:space="0"/>
          <w:bottom w:val="single" w:color="000000" w:sz="4" w:space="0"/>
          <w:right w:val="single" w:color="000000" w:sz="4" w:space="0"/>
          <w:insideH w:val="none" w:color="000000" w:sz="4" w:space="0"/>
          <w:insideV w:val="none" w:color="000000" w:sz="4" w:space="0"/>
        </w:tcBorders>
      </w:tcPr>
    </w:tblStylePr>
    <w:tblStylePr w:type="firstCol">
      <w:rPr>
        <w:b/>
        <w:color w:val="404040"/>
      </w:rPr>
    </w:tblStylePr>
    <w:tblStylePr w:type="firstRow">
      <w:rPr>
        <w:b/>
        <w:color w:val="404040"/>
      </w:rPr>
      <w:tcPr>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blStylePr>
  </w:style>
  <w:style w:type="table" w:styleId="976" w:customStyle="1">
    <w:name w:val="Lined - Accent 4"/>
    <w:uiPriority w:val="99"/>
    <w:qFormat/>
    <w:rPr>
      <w:color w:val="404040"/>
    </w:rPr>
    <w:tblPr>
      <w:tblCellMar>
        <w:left w:w="0" w:type="dxa"/>
        <w:top w:w="0" w:type="dxa"/>
        <w:right w:w="0" w:type="dxa"/>
        <w:bottom w:w="0" w:type="dxa"/>
      </w:tblCellMar>
    </w:tblPr>
  </w:style>
  <w:style w:type="table" w:styleId="97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7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9"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0" w:customStyle="1">
    <w:name w:val="_Style 301"/>
    <w:basedOn w:val="678"/>
    <w:uiPriority w:val="99"/>
    <w:qFormat/>
    <w:tblPr/>
    <w:tblStylePr w:type="band1Horz">
      <w:rPr>
        <w:rFonts w:ascii="黑体" w:hAnsi="黑体"/>
        <w:color w:val="404040"/>
        <w:sz w:val="22"/>
      </w:rPr>
      <w:tcPr>
        <w:shd w:val="clear" w:color="ffffff" w:fill="f2f2f2"/>
      </w:tcPr>
    </w:tblStylePr>
    <w:tblStylePr w:type="band1Vert">
      <w:rPr>
        <w:rFonts w:ascii="黑体" w:hAnsi="黑体"/>
        <w:color w:val="404040"/>
        <w:sz w:val="22"/>
      </w:rPr>
      <w:tcPr>
        <w:shd w:val="clear" w:color="ffffff"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insideH w:val="none" w:color="000000" w:sz="4" w:space="0"/>
          <w:insideV w:val="none" w:color="000000" w:sz="4" w:space="0"/>
        </w:tcBorders>
      </w:tcPr>
    </w:tblStylePr>
    <w:tblStylePr w:type="firstRow">
      <w:rPr>
        <w:b/>
        <w:caps/>
        <w:color w:val="404040"/>
      </w:rPr>
      <w:tcPr>
        <w:tcBorders>
          <w:top w:val="none" w:color="000000" w:sz="4" w:space="0"/>
          <w:left w:val="single" w:color="404040" w:sz="4" w:space="0"/>
          <w:bottom w:val="none" w:color="000000" w:sz="4" w:space="0"/>
          <w:right w:val="none" w:color="000000" w:sz="4" w:space="0"/>
          <w:insideH w:val="none" w:color="000000" w:sz="4" w:space="0"/>
          <w:insideV w:val="none" w:color="000000" w:sz="4" w:space="0"/>
        </w:tcBorders>
      </w:tcPr>
    </w:tblStylePr>
    <w:tblStylePr w:type="lastCol">
      <w:rPr>
        <w:b/>
        <w:caps/>
        <w:color w:val="404040"/>
      </w:rPr>
    </w:tblStylePr>
    <w:tblStylePr w:type="lastRow">
      <w:rPr>
        <w:b/>
        <w:caps/>
        <w:color w:val="404040"/>
      </w:rPr>
    </w:tblStylePr>
  </w:style>
  <w:style w:type="table" w:styleId="981"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style>
  <w:style w:type="table" w:styleId="982" w:customStyle="1">
    <w:name w:val="_Style 303"/>
    <w:basedOn w:val="678"/>
    <w:uiPriority w:val="99"/>
    <w:qFormat/>
    <w:tblPr>
      <w:tblBorders>
        <w:bottom w:val="single" w:color="000000" w:sz="4" w:space="0"/>
        <w:insideH w:val="single" w:color="000000" w:sz="4" w:space="0"/>
        <w:insideV w:val="single" w:color="000000" w:sz="4" w:space="0"/>
      </w:tblBorders>
    </w:tblPr>
    <w:tblStylePr w:type="band1Horz">
      <w:rPr>
        <w:rFonts w:ascii="黑体" w:hAnsi="黑体"/>
        <w:color w:val="404040"/>
        <w:sz w:val="22"/>
      </w:rPr>
      <w:tcPr>
        <w:shd w:val="clear" w:color="ffffff" w:fill="cbcbcb"/>
      </w:tcPr>
    </w:tblStylePr>
    <w:tblStylePr w:type="band1Vert">
      <w:rPr>
        <w:rFonts w:ascii="黑体" w:hAnsi="黑体"/>
        <w:color w:val="404040"/>
        <w:sz w:val="22"/>
      </w:rPr>
      <w:tcPr>
        <w:shd w:val="clear" w:color="ffffff" w:fill="cbcbcb"/>
      </w:tcPr>
    </w:tblStylePr>
    <w:tblStylePr w:type="firstCol">
      <w:rPr>
        <w:b/>
        <w:color w:val="404040"/>
      </w:rPr>
    </w:tblStylePr>
    <w:tblStylePr w:type="firstRow">
      <w:rPr>
        <w:b/>
        <w:color w:val="404040"/>
      </w:rPr>
      <w:tcPr>
        <w:shd w:val="clear" w:color="ffffff" w:fill="auto"/>
        <w:tcBorders>
          <w:top w:val="none" w:color="000000" w:sz="4" w:space="0"/>
          <w:left w:val="single" w:color="000000" w:sz="12" w:space="0"/>
          <w:bottom w:val="none" w:color="000000" w:sz="4" w:space="0"/>
          <w:right w:val="none" w:color="000000" w:sz="4" w:space="0"/>
          <w:insideH w:val="none" w:color="000000" w:sz="4" w:space="0"/>
          <w:insideV w:val="none" w:color="000000" w:sz="4" w:space="0"/>
        </w:tcBorders>
      </w:tcPr>
    </w:tblStylePr>
    <w:tblStylePr w:type="lastCol">
      <w:rPr>
        <w:b/>
        <w:color w:val="404040"/>
      </w:rPr>
    </w:tblStylePr>
    <w:tblStylePr w:type="lastRow">
      <w:rPr>
        <w:b/>
        <w:color w:val="404040"/>
      </w:rPr>
      <w:tcPr>
        <w:shd w:val="clear" w:color="ffffff" w:fill="auto"/>
        <w:tcBorders>
          <w:top w:val="singl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8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4"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style>
  <w:style w:type="table" w:styleId="985"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style>
  <w:style w:type="table" w:styleId="986"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style>
  <w:style w:type="table" w:styleId="98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8"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9"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character" w:styleId="991" w:customStyle="1">
    <w:name w:val="15"/>
    <w:uiPriority w:val="0"/>
    <w:qFormat/>
    <w:rPr>
      <w:rFonts w:hint="default" w:ascii="Times New Roman" w:hAnsi="Times New Roman" w:cs="Times New Roman"/>
    </w:rPr>
  </w:style>
  <w:style w:type="paragraph" w:styleId="992" w:customStyle="1">
    <w:name w:val="_Style 314"/>
    <w:uiPriority w:val="99"/>
    <w:unhideWhenUsed/>
    <w:qFormat/>
    <w:rPr>
      <w:rFonts w:ascii="Times New Roman" w:hAnsi="Times New Roman" w:eastAsia="宋体" w:cs="Times New Roman"/>
      <w:sz w:val="21"/>
      <w:szCs w:val="22"/>
      <w:lang w:val="en-US" w:eastAsia="zh-CN" w:bidi="ar-SA"/>
    </w:rPr>
  </w:style>
  <w:style w:type="paragraph" w:styleId="993" w:customStyle="1">
    <w:name w:val="修订6"/>
    <w:hidden/>
    <w:uiPriority w:val="99"/>
    <w:unhideWhenUsed/>
    <w:qFormat/>
    <w:rPr>
      <w:rFonts w:ascii="Times New Roman" w:hAnsi="Times New Roman" w:eastAsia="宋体" w:cs="Times New Roman"/>
      <w:sz w:val="21"/>
      <w:szCs w:val="22"/>
      <w:lang w:val="en-US" w:eastAsia="zh-CN" w:bidi="ar-SA"/>
    </w:rPr>
  </w:style>
  <w:style w:type="numbering" w:styleId="1196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FCED1F59-9F9C-478C-91C5-DB286493B69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dynabook</dc:creator>
  <cp:lastModifiedBy>张雯雯</cp:lastModifiedBy>
  <cp:revision>5</cp:revision>
  <dcterms:created xsi:type="dcterms:W3CDTF">2026-05-27T05:40:00Z</dcterms:created>
  <dcterms:modified xsi:type="dcterms:W3CDTF">2026-05-29T05:06:46Z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1512966E35D542D396F6D1D113F9C959_13</vt:lpwstr>
  </property>
  <property fmtid="{D5CDD505-2E9C-101B-9397-08002B2CF9AE}" pid="3" name="KSOProductBuildVer">
    <vt:lpwstr>2052-12.1.0.26375</vt:lpwstr>
  </property>
  <property fmtid="{D5CDD505-2E9C-101B-9397-08002B2CF9AE}" pid="4" name="KSOTemplateDocerSaveRecord">
    <vt:lpwstr>eyJoZGlkIjoiZmZmNjBkMDI5OTBhZTBiMjZhYzVlMDdjMjc0MzY4YzEiLCJ1c2VySWQiOiI1NjU3MTYwNTkifQ==</vt:lpwstr>
  </property>
</Properties>
</file>