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jc w:val="center"/>
        <w:spacing w:before="120" w:after="120" w:line="360" w:lineRule="auto"/>
        <w:widowControl w:val="off"/>
        <w:rPr>
          <w:rFonts w:ascii="Arial" w:hAnsi="Arial" w:eastAsia="黑体"/>
          <w:b/>
          <w:bCs/>
          <w:sz w:val="84"/>
          <w:szCs w:val="24"/>
          <w:highlight w:val="none"/>
        </w:rPr>
      </w:pPr>
      <w:r>
        <w:rPr>
          <w:rFonts w:ascii="Arial" w:hAnsi="Arial" w:eastAsia="黑体"/>
          <w:b/>
          <w:bCs/>
          <w:sz w:val="84"/>
          <w:szCs w:val="24"/>
          <w:highlight w:val="none"/>
        </w:rPr>
      </w:r>
      <w:r/>
    </w:p>
    <w:p>
      <w:pPr>
        <w:pStyle w:val="728"/>
        <w:jc w:val="center"/>
        <w:spacing w:before="120" w:after="120" w:line="360" w:lineRule="auto"/>
        <w:widowControl w:val="off"/>
        <w:rPr>
          <w:rFonts w:ascii="Arial" w:hAnsi="Arial" w:eastAsia="黑体"/>
          <w:b/>
          <w:bCs/>
          <w:sz w:val="84"/>
          <w:szCs w:val="24"/>
          <w:highlight w:val="none"/>
        </w:rPr>
      </w:pPr>
      <w:r>
        <w:rPr>
          <w:rFonts w:ascii="Arial" w:hAnsi="Arial" w:eastAsia="黑体"/>
          <w:b/>
          <w:bCs/>
          <w:sz w:val="84"/>
          <w:szCs w:val="24"/>
          <w:highlight w:val="none"/>
        </w:rPr>
      </w:r>
      <w:r/>
    </w:p>
    <w:p>
      <w:pPr>
        <w:pStyle w:val="728"/>
        <w:jc w:val="center"/>
        <w:spacing w:before="120" w:after="120" w:line="360" w:lineRule="auto"/>
        <w:widowControl w:val="off"/>
        <w:rPr>
          <w:rFonts w:ascii="Arial" w:hAnsi="Arial" w:eastAsia="黑体"/>
          <w:b/>
          <w:bCs/>
          <w:sz w:val="84"/>
          <w:szCs w:val="24"/>
          <w:highlight w:val="none"/>
        </w:rPr>
      </w:pPr>
      <w:r>
        <w:rPr>
          <w:rFonts w:hint="eastAsia" w:ascii="Arial" w:hAnsi="Arial" w:eastAsia="黑体"/>
          <w:b/>
          <w:bCs/>
          <w:sz w:val="84"/>
          <w:szCs w:val="24"/>
          <w:highlight w:val="none"/>
        </w:rPr>
        <w:t xml:space="preserve">公 开 招 标 文 件</w:t>
      </w:r>
      <w:r>
        <w:rPr>
          <w:rFonts w:ascii="Arial" w:hAnsi="Arial" w:eastAsia="黑体"/>
          <w:b/>
          <w:bCs/>
          <w:sz w:val="84"/>
          <w:szCs w:val="24"/>
          <w:highlight w:val="none"/>
        </w:rPr>
      </w:r>
      <w:r/>
    </w:p>
    <w:p>
      <w:pPr>
        <w:pStyle w:val="728"/>
        <w:jc w:val="center"/>
        <w:spacing w:before="120" w:after="120" w:line="360" w:lineRule="auto"/>
        <w:widowControl w:val="off"/>
        <w:rPr>
          <w:rFonts w:ascii="Arial" w:hAnsi="Arial"/>
          <w:b/>
          <w:bCs/>
          <w:sz w:val="32"/>
          <w:szCs w:val="24"/>
          <w:highlight w:val="none"/>
        </w:rPr>
      </w:pPr>
      <w:r>
        <w:rPr>
          <w:rFonts w:hint="eastAsia" w:ascii="Arial" w:hAnsi="Arial"/>
          <w:b/>
          <w:bCs/>
          <w:sz w:val="32"/>
          <w:szCs w:val="24"/>
          <w:highlight w:val="none"/>
        </w:rPr>
        <w:t xml:space="preserve">（服务类）</w:t>
      </w:r>
      <w:r>
        <w:rPr>
          <w:rFonts w:ascii="Arial" w:hAnsi="Arial"/>
          <w:b/>
          <w:bCs/>
          <w:sz w:val="32"/>
          <w:szCs w:val="24"/>
          <w:highlight w:val="none"/>
        </w:rPr>
      </w:r>
      <w:r/>
    </w:p>
    <w:p>
      <w:pPr>
        <w:pStyle w:val="728"/>
        <w:ind w:left="1995" w:hanging="1654"/>
        <w:spacing w:before="120" w:after="120" w:line="360" w:lineRule="auto"/>
        <w:widowControl w:val="off"/>
        <w:rPr>
          <w:rFonts w:hint="eastAsia" w:ascii="Arial" w:hAnsi="Arial"/>
          <w:b/>
          <w:bCs/>
          <w:sz w:val="32"/>
          <w:szCs w:val="24"/>
          <w:highlight w:val="none"/>
        </w:rPr>
      </w:pPr>
      <w:r>
        <w:rPr>
          <w:rFonts w:hint="eastAsia" w:ascii="Arial" w:hAnsi="Arial"/>
          <w:b/>
          <w:bCs/>
          <w:sz w:val="32"/>
          <w:szCs w:val="24"/>
          <w:highlight w:val="none"/>
        </w:rPr>
        <w:t xml:space="preserve">项目名称：</w:t>
      </w:r>
      <w:bookmarkStart w:id="0" w:name="_Hlk86135477"/>
      <w:r>
        <w:rPr>
          <w:rFonts w:hint="eastAsia" w:ascii="Arial" w:hAnsi="Arial"/>
          <w:b/>
          <w:bCs/>
          <w:sz w:val="32"/>
          <w:szCs w:val="24"/>
          <w:highlight w:val="none"/>
        </w:rPr>
        <w:t xml:space="preserve">2026年专业特色市场产品质量风险动态监测检验机构技术服务</w:t>
      </w:r>
      <w:bookmarkEnd w:id="0"/>
      <w:r>
        <w:rPr>
          <w:rFonts w:hint="eastAsia" w:ascii="Arial" w:hAnsi="Arial"/>
          <w:b/>
          <w:bCs/>
          <w:sz w:val="32"/>
          <w:szCs w:val="24"/>
          <w:highlight w:val="none"/>
        </w:rPr>
        <w:t xml:space="preserve">（二次）</w:t>
      </w:r>
      <w:r>
        <w:rPr>
          <w:rFonts w:hint="eastAsia" w:ascii="Arial" w:hAnsi="Arial"/>
          <w:b/>
          <w:bCs/>
          <w:sz w:val="32"/>
          <w:szCs w:val="24"/>
          <w:highlight w:val="none"/>
        </w:rPr>
      </w:r>
      <w:r/>
    </w:p>
    <w:p>
      <w:pPr>
        <w:pStyle w:val="728"/>
        <w:ind w:firstLine="321"/>
        <w:spacing w:before="120" w:after="120" w:line="360" w:lineRule="auto"/>
        <w:widowControl w:val="off"/>
        <w:rPr>
          <w:rFonts w:hint="eastAsia" w:ascii="Arial" w:hAnsi="Arial"/>
          <w:b/>
          <w:bCs/>
          <w:sz w:val="32"/>
          <w:szCs w:val="24"/>
          <w:highlight w:val="none"/>
        </w:rPr>
      </w:pPr>
      <w:r>
        <w:rPr>
          <w:rFonts w:hint="eastAsia" w:ascii="Arial" w:hAnsi="Arial"/>
          <w:b/>
          <w:bCs/>
          <w:sz w:val="32"/>
          <w:szCs w:val="24"/>
          <w:highlight w:val="none"/>
        </w:rPr>
        <w:t xml:space="preserve">项目编号：JSZC-320000-NJXY-G2026-0023</w:t>
      </w:r>
      <w:r>
        <w:rPr>
          <w:rFonts w:hint="eastAsia" w:ascii="Arial" w:hAnsi="Arial"/>
          <w:b/>
          <w:bCs/>
          <w:sz w:val="32"/>
          <w:szCs w:val="24"/>
          <w:highlight w:val="none"/>
        </w:rPr>
      </w:r>
      <w:r/>
    </w:p>
    <w:p>
      <w:pPr>
        <w:pStyle w:val="728"/>
        <w:spacing w:after="0" w:line="360" w:lineRule="auto"/>
        <w:widowControl w:val="off"/>
        <w:rPr>
          <w:rFonts w:ascii="宋体" w:hAnsi="Arial"/>
          <w:sz w:val="24"/>
          <w:szCs w:val="24"/>
          <w:highlight w:val="none"/>
        </w:rPr>
      </w:pPr>
      <w:r>
        <w:rPr>
          <w:rFonts w:hint="eastAsia" w:ascii="宋体" w:hAnsi="Arial"/>
          <w:sz w:val="24"/>
          <w:szCs w:val="24"/>
          <w:highlight w:val="none"/>
        </w:rPr>
        <w:t xml:space="preserve">                            </w:t>
      </w:r>
      <w:r>
        <w:rPr>
          <w:rFonts w:ascii="宋体" w:hAnsi="Arial"/>
          <w:sz w:val="24"/>
          <w:szCs w:val="24"/>
          <w:highlight w:val="none"/>
        </w:rPr>
      </w:r>
      <w:r/>
    </w:p>
    <w:p>
      <w:pPr>
        <w:pStyle w:val="728"/>
        <w:spacing w:after="0" w:line="360" w:lineRule="auto"/>
        <w:widowControl w:val="off"/>
        <w:rPr>
          <w:rFonts w:ascii="宋体" w:hAnsi="Arial"/>
          <w:sz w:val="24"/>
          <w:szCs w:val="24"/>
          <w:highlight w:val="none"/>
        </w:rPr>
      </w:pPr>
      <w:r>
        <w:rPr>
          <w:rFonts w:ascii="宋体" w:hAnsi="Arial"/>
          <w:sz w:val="24"/>
          <w:szCs w:val="24"/>
          <w:highlight w:val="none"/>
        </w:rPr>
      </w:r>
      <w:r/>
    </w:p>
    <w:p>
      <w:pPr>
        <w:pStyle w:val="728"/>
        <w:spacing w:after="0" w:line="360" w:lineRule="auto"/>
        <w:widowControl w:val="off"/>
        <w:rPr>
          <w:rFonts w:ascii="宋体" w:hAnsi="Arial"/>
          <w:sz w:val="24"/>
          <w:szCs w:val="24"/>
          <w:highlight w:val="none"/>
        </w:rPr>
      </w:pPr>
      <w:r>
        <w:rPr>
          <w:rFonts w:ascii="宋体" w:hAnsi="Arial"/>
          <w:sz w:val="24"/>
          <w:szCs w:val="24"/>
          <w:highlight w:val="none"/>
        </w:rPr>
      </w:r>
      <w:r/>
    </w:p>
    <w:p>
      <w:pPr>
        <w:pStyle w:val="728"/>
        <w:spacing w:after="0" w:line="360" w:lineRule="auto"/>
        <w:widowControl w:val="off"/>
        <w:rPr>
          <w:rFonts w:ascii="宋体" w:hAnsi="Arial"/>
          <w:sz w:val="24"/>
          <w:szCs w:val="24"/>
          <w:highlight w:val="none"/>
        </w:rPr>
      </w:pPr>
      <w:r>
        <w:rPr>
          <w:rFonts w:ascii="宋体" w:hAnsi="Arial"/>
          <w:sz w:val="24"/>
          <w:szCs w:val="24"/>
          <w:highlight w:val="none"/>
        </w:rPr>
      </w:r>
      <w:r/>
    </w:p>
    <w:p>
      <w:pPr>
        <w:pStyle w:val="728"/>
        <w:spacing w:after="0" w:line="360" w:lineRule="auto"/>
        <w:widowControl w:val="off"/>
        <w:rPr>
          <w:rFonts w:ascii="宋体" w:hAnsi="Arial"/>
          <w:sz w:val="24"/>
          <w:szCs w:val="24"/>
          <w:highlight w:val="none"/>
        </w:rPr>
      </w:pPr>
      <w:r>
        <w:rPr>
          <w:rFonts w:ascii="宋体" w:hAnsi="Arial"/>
          <w:sz w:val="24"/>
          <w:szCs w:val="24"/>
          <w:highlight w:val="none"/>
        </w:rPr>
      </w:r>
      <w:r/>
    </w:p>
    <w:p>
      <w:pPr>
        <w:pStyle w:val="728"/>
        <w:spacing w:after="0" w:line="360" w:lineRule="auto"/>
        <w:widowControl w:val="off"/>
        <w:rPr>
          <w:rFonts w:ascii="宋体" w:hAnsi="Arial"/>
          <w:sz w:val="24"/>
          <w:szCs w:val="24"/>
          <w:highlight w:val="none"/>
        </w:rPr>
      </w:pPr>
      <w:r>
        <w:rPr>
          <w:rFonts w:ascii="宋体" w:hAnsi="Arial"/>
          <w:sz w:val="24"/>
          <w:szCs w:val="24"/>
          <w:highlight w:val="none"/>
        </w:rPr>
      </w:r>
      <w:r/>
    </w:p>
    <w:p>
      <w:pPr>
        <w:pStyle w:val="728"/>
        <w:spacing w:after="0" w:line="360" w:lineRule="auto"/>
        <w:widowControl w:val="off"/>
        <w:rPr>
          <w:rFonts w:ascii="宋体" w:hAnsi="Arial"/>
          <w:sz w:val="24"/>
          <w:szCs w:val="24"/>
          <w:highlight w:val="none"/>
        </w:rPr>
      </w:pPr>
      <w:r>
        <w:rPr>
          <w:rFonts w:ascii="宋体" w:hAnsi="Arial"/>
          <w:sz w:val="24"/>
          <w:szCs w:val="24"/>
          <w:highlight w:val="none"/>
        </w:rPr>
      </w:r>
      <w:r/>
    </w:p>
    <w:p>
      <w:pPr>
        <w:pStyle w:val="728"/>
        <w:spacing w:after="0" w:line="360" w:lineRule="auto"/>
        <w:widowControl w:val="off"/>
        <w:rPr>
          <w:rFonts w:ascii="宋体" w:hAnsi="Arial"/>
          <w:sz w:val="24"/>
          <w:szCs w:val="24"/>
          <w:highlight w:val="none"/>
        </w:rPr>
      </w:pPr>
      <w:r>
        <w:rPr>
          <w:rFonts w:ascii="宋体" w:hAnsi="Arial"/>
          <w:sz w:val="24"/>
          <w:szCs w:val="24"/>
          <w:highlight w:val="none"/>
        </w:rPr>
      </w:r>
      <w:r/>
    </w:p>
    <w:p>
      <w:pPr>
        <w:pStyle w:val="728"/>
        <w:spacing w:after="0" w:line="360" w:lineRule="auto"/>
        <w:widowControl w:val="off"/>
        <w:rPr>
          <w:rFonts w:ascii="宋体" w:hAnsi="Arial"/>
          <w:sz w:val="24"/>
          <w:szCs w:val="24"/>
          <w:highlight w:val="none"/>
        </w:rPr>
      </w:pPr>
      <w:r>
        <w:rPr>
          <w:rFonts w:ascii="宋体" w:hAnsi="Arial"/>
          <w:sz w:val="24"/>
          <w:szCs w:val="24"/>
          <w:highlight w:val="none"/>
        </w:rPr>
      </w:r>
      <w:r/>
    </w:p>
    <w:p>
      <w:pPr>
        <w:pStyle w:val="728"/>
        <w:spacing w:after="0" w:line="360" w:lineRule="auto"/>
        <w:widowControl w:val="off"/>
        <w:rPr>
          <w:rFonts w:ascii="宋体" w:hAnsi="Arial"/>
          <w:sz w:val="24"/>
          <w:szCs w:val="24"/>
          <w:highlight w:val="none"/>
        </w:rPr>
      </w:pPr>
      <w:r>
        <w:rPr>
          <w:rFonts w:ascii="宋体" w:hAnsi="Arial"/>
          <w:sz w:val="24"/>
          <w:szCs w:val="24"/>
          <w:highlight w:val="none"/>
        </w:rPr>
      </w:r>
      <w:r/>
    </w:p>
    <w:p>
      <w:pPr>
        <w:pStyle w:val="728"/>
        <w:jc w:val="center"/>
        <w:spacing w:before="120" w:after="120" w:line="360" w:lineRule="auto"/>
        <w:widowControl w:val="off"/>
        <w:rPr>
          <w:rFonts w:ascii="Arial" w:hAnsi="Arial"/>
          <w:b/>
          <w:bCs/>
          <w:sz w:val="32"/>
          <w:szCs w:val="24"/>
          <w:highlight w:val="none"/>
        </w:rPr>
      </w:pPr>
      <w:r>
        <w:rPr>
          <w:rFonts w:hint="eastAsia" w:ascii="Arial" w:hAnsi="Arial"/>
          <w:b/>
          <w:bCs/>
          <w:sz w:val="32"/>
          <w:szCs w:val="24"/>
          <w:highlight w:val="none"/>
        </w:rPr>
        <w:t xml:space="preserve">南京小旸树招标代理有限公司</w:t>
      </w:r>
      <w:r>
        <w:rPr>
          <w:rFonts w:ascii="Arial" w:hAnsi="Arial"/>
          <w:b/>
          <w:bCs/>
          <w:sz w:val="32"/>
          <w:szCs w:val="24"/>
          <w:highlight w:val="none"/>
        </w:rPr>
      </w:r>
      <w:r/>
    </w:p>
    <w:p>
      <w:pPr>
        <w:pStyle w:val="728"/>
        <w:jc w:val="center"/>
        <w:spacing w:before="120" w:after="120" w:line="360" w:lineRule="auto"/>
        <w:widowControl w:val="off"/>
        <w:rPr>
          <w:rFonts w:ascii="Arial" w:hAnsi="Arial"/>
          <w:b/>
          <w:bCs/>
          <w:sz w:val="32"/>
          <w:szCs w:val="24"/>
          <w:highlight w:val="none"/>
        </w:rPr>
      </w:pPr>
      <w:r>
        <w:rPr>
          <w:rFonts w:hint="eastAsia" w:ascii="Arial" w:hAnsi="Arial"/>
          <w:b/>
          <w:bCs/>
          <w:sz w:val="32"/>
          <w:szCs w:val="24"/>
          <w:highlight w:val="none"/>
        </w:rPr>
        <w:t xml:space="preserve">2026年06月</w:t>
      </w:r>
      <w:r>
        <w:rPr>
          <w:rFonts w:ascii="Arial" w:hAnsi="Arial"/>
          <w:b/>
          <w:bCs/>
          <w:sz w:val="32"/>
          <w:szCs w:val="24"/>
          <w:highlight w:val="none"/>
        </w:rPr>
      </w:r>
      <w:r/>
    </w:p>
    <w:p>
      <w:pPr>
        <w:pStyle w:val="728"/>
        <w:jc w:val="center"/>
        <w:spacing w:before="120" w:after="120" w:line="360" w:lineRule="auto"/>
        <w:widowControl w:val="off"/>
        <w:rPr>
          <w:rFonts w:ascii="Arial" w:hAnsi="Arial"/>
          <w:b/>
          <w:bCs/>
          <w:sz w:val="32"/>
          <w:szCs w:val="24"/>
          <w:highlight w:val="none"/>
        </w:rPr>
      </w:pPr>
      <w:r>
        <w:rPr>
          <w:rFonts w:ascii="Arial" w:hAnsi="Arial"/>
          <w:b/>
          <w:bCs/>
          <w:sz w:val="32"/>
          <w:szCs w:val="24"/>
          <w:highlight w:val="none"/>
        </w:rPr>
      </w:r>
      <w:r/>
    </w:p>
    <w:p>
      <w:pPr>
        <w:pStyle w:val="728"/>
        <w:jc w:val="center"/>
        <w:spacing w:after="0" w:line="240" w:lineRule="auto"/>
        <w:widowControl w:val="off"/>
        <w:rPr>
          <w:b/>
          <w:sz w:val="32"/>
          <w:szCs w:val="32"/>
          <w:highlight w:val="none"/>
        </w:rPr>
      </w:pPr>
      <w:r/>
      <w:bookmarkStart w:id="1" w:name="_Toc17291076"/>
      <w:r/>
      <w:bookmarkStart w:id="2" w:name="_Toc120614210"/>
      <w:r/>
      <w:bookmarkStart w:id="3" w:name="_Toc20823272"/>
      <w:r/>
      <w:bookmarkStart w:id="4" w:name="_Toc513029200"/>
      <w:r/>
      <w:bookmarkStart w:id="5" w:name="_Toc523127445"/>
      <w:r/>
      <w:bookmarkStart w:id="6" w:name="_Toc16938516"/>
      <w:r/>
      <w:bookmarkStart w:id="7" w:name="_Toc479757206"/>
      <w:r>
        <w:rPr>
          <w:rFonts w:hint="eastAsia"/>
          <w:b/>
          <w:sz w:val="32"/>
          <w:szCs w:val="32"/>
          <w:highlight w:val="none"/>
        </w:rPr>
        <w:t xml:space="preserve">目  录</w:t>
      </w:r>
      <w:bookmarkEnd w:id="1"/>
      <w:r>
        <w:rPr>
          <w:b/>
          <w:sz w:val="32"/>
          <w:szCs w:val="32"/>
          <w:highlight w:val="none"/>
        </w:rPr>
      </w:r>
      <w:r/>
    </w:p>
    <w:p>
      <w:pPr>
        <w:pStyle w:val="786"/>
        <w:tabs>
          <w:tab w:val="right" w:pos="8720" w:leader="dot"/>
        </w:tabs>
        <w:rPr>
          <w:rFonts w:hint="eastAsia" w:ascii="等线" w:hAnsi="等线" w:eastAsia="等线"/>
          <w:caps w:val="0"/>
          <w:sz w:val="22"/>
          <w:szCs w:val="24"/>
          <w:highlight w:val="none"/>
        </w:rPr>
      </w:pPr>
      <w:r>
        <w:rPr>
          <w:color w:val="366091"/>
          <w:highlight w:val="none"/>
        </w:rPr>
        <w:fldChar w:fldCharType="begin"/>
      </w:r>
      <w:r>
        <w:rPr>
          <w:highlight w:val="none"/>
        </w:rPr>
        <w:instrText xml:space="preserve"> TOC \o "1-3" \h \z \u </w:instrText>
      </w:r>
      <w:r>
        <w:rPr>
          <w:color w:val="366091"/>
          <w:highlight w:val="none"/>
        </w:rPr>
        <w:fldChar w:fldCharType="separate"/>
      </w:r>
      <w:r>
        <w:rPr>
          <w:rStyle w:val="815"/>
          <w:rFonts w:hint="eastAsia"/>
          <w:highlight w:val="none"/>
        </w:rPr>
        <w:fldChar w:fldCharType="begin"/>
      </w:r>
      <w:r>
        <w:rPr>
          <w:rStyle w:val="815"/>
          <w:rFonts w:hint="eastAsia"/>
          <w:highlight w:val="none"/>
        </w:rPr>
        <w:instrText xml:space="preserve"> </w:instrText>
      </w:r>
      <w:r>
        <w:rPr>
          <w:rFonts w:hint="eastAsia"/>
          <w:highlight w:val="none"/>
        </w:rPr>
        <w:instrText xml:space="preserve">HYPERLINK \l "_Toc227942463"</w:instrText>
      </w:r>
      <w:r>
        <w:rPr>
          <w:rStyle w:val="815"/>
          <w:rFonts w:hint="eastAsia"/>
          <w:highlight w:val="none"/>
        </w:rPr>
        <w:instrText xml:space="preserve"> </w:instrText>
      </w:r>
      <w:r>
        <w:rPr>
          <w:rStyle w:val="815"/>
          <w:rFonts w:hint="eastAsia"/>
          <w:highlight w:val="none"/>
        </w:rPr>
        <w:fldChar w:fldCharType="separate"/>
      </w:r>
      <w:r>
        <w:rPr>
          <w:rStyle w:val="815"/>
          <w:rFonts w:hint="eastAsia" w:ascii="黑体" w:hAnsi="楷体_GB2312" w:eastAsia="黑体"/>
          <w:highlight w:val="none"/>
        </w:rPr>
        <w:t xml:space="preserve">第一章  投标邀请</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_Toc227942463 \h</w:instrText>
      </w:r>
      <w:r>
        <w:rPr>
          <w:rFonts w:hint="eastAsia"/>
          <w:highlight w:val="none"/>
        </w:rPr>
        <w:instrText xml:space="preserve"> </w:instrText>
      </w:r>
      <w:r>
        <w:rPr>
          <w:rFonts w:hint="eastAsia"/>
          <w:highlight w:val="none"/>
        </w:rPr>
        <w:fldChar w:fldCharType="separate"/>
      </w:r>
      <w:r>
        <w:rPr>
          <w:highlight w:val="none"/>
        </w:rPr>
        <w:t xml:space="preserve">3</w:t>
      </w:r>
      <w:r>
        <w:rPr>
          <w:rFonts w:hint="eastAsia"/>
          <w:highlight w:val="none"/>
        </w:rPr>
        <w:fldChar w:fldCharType="end"/>
      </w:r>
      <w:r>
        <w:rPr>
          <w:rStyle w:val="815"/>
          <w:rFonts w:hint="eastAsia"/>
          <w:highlight w:val="none"/>
        </w:rPr>
        <w:fldChar w:fldCharType="end"/>
      </w:r>
      <w:r>
        <w:rPr>
          <w:rFonts w:hint="eastAsia" w:ascii="等线" w:hAnsi="等线" w:eastAsia="等线"/>
          <w:caps w:val="0"/>
          <w:sz w:val="22"/>
          <w:szCs w:val="24"/>
          <w:highlight w:val="none"/>
        </w:rPr>
      </w:r>
      <w:r/>
    </w:p>
    <w:p>
      <w:pPr>
        <w:pStyle w:val="786"/>
        <w:tabs>
          <w:tab w:val="right" w:pos="8720" w:leader="dot"/>
        </w:tabs>
        <w:rPr>
          <w:rFonts w:hint="eastAsia" w:ascii="等线" w:hAnsi="等线" w:eastAsia="等线"/>
          <w:caps w:val="0"/>
          <w:sz w:val="22"/>
          <w:szCs w:val="24"/>
          <w:highlight w:val="none"/>
        </w:rPr>
      </w:pPr>
      <w:r>
        <w:rPr>
          <w:rStyle w:val="815"/>
          <w:rFonts w:hint="eastAsia"/>
          <w:highlight w:val="none"/>
        </w:rPr>
        <w:fldChar w:fldCharType="begin"/>
      </w:r>
      <w:r>
        <w:rPr>
          <w:rStyle w:val="815"/>
          <w:rFonts w:hint="eastAsia"/>
          <w:highlight w:val="none"/>
        </w:rPr>
        <w:instrText xml:space="preserve"> </w:instrText>
      </w:r>
      <w:r>
        <w:rPr>
          <w:rFonts w:hint="eastAsia"/>
          <w:highlight w:val="none"/>
        </w:rPr>
        <w:instrText xml:space="preserve">HYPERLINK \l "_Toc227942464"</w:instrText>
      </w:r>
      <w:r>
        <w:rPr>
          <w:rStyle w:val="815"/>
          <w:rFonts w:hint="eastAsia"/>
          <w:highlight w:val="none"/>
        </w:rPr>
        <w:instrText xml:space="preserve"> </w:instrText>
      </w:r>
      <w:r>
        <w:rPr>
          <w:rStyle w:val="815"/>
          <w:rFonts w:hint="eastAsia"/>
          <w:highlight w:val="none"/>
        </w:rPr>
        <w:fldChar w:fldCharType="separate"/>
      </w:r>
      <w:r>
        <w:rPr>
          <w:rStyle w:val="815"/>
          <w:rFonts w:hint="eastAsia" w:ascii="黑体" w:hAnsi="楷体_GB2312" w:eastAsia="黑体"/>
          <w:highlight w:val="none"/>
        </w:rPr>
        <w:t xml:space="preserve">第二章  投标人须知</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_Toc227942464 \h</w:instrText>
      </w:r>
      <w:r>
        <w:rPr>
          <w:rFonts w:hint="eastAsia"/>
          <w:highlight w:val="none"/>
        </w:rPr>
        <w:instrText xml:space="preserve"> </w:instrText>
      </w:r>
      <w:r>
        <w:rPr>
          <w:rFonts w:hint="eastAsia"/>
          <w:highlight w:val="none"/>
        </w:rPr>
        <w:fldChar w:fldCharType="separate"/>
      </w:r>
      <w:r>
        <w:rPr>
          <w:highlight w:val="none"/>
        </w:rPr>
        <w:t xml:space="preserve">10</w:t>
      </w:r>
      <w:r>
        <w:rPr>
          <w:rFonts w:hint="eastAsia"/>
          <w:highlight w:val="none"/>
        </w:rPr>
        <w:fldChar w:fldCharType="end"/>
      </w:r>
      <w:r>
        <w:rPr>
          <w:rStyle w:val="815"/>
          <w:rFonts w:hint="eastAsia"/>
          <w:highlight w:val="none"/>
        </w:rPr>
        <w:fldChar w:fldCharType="end"/>
      </w:r>
      <w:r>
        <w:rPr>
          <w:rFonts w:hint="eastAsia" w:ascii="等线" w:hAnsi="等线" w:eastAsia="等线"/>
          <w:caps w:val="0"/>
          <w:sz w:val="22"/>
          <w:szCs w:val="24"/>
          <w:highlight w:val="none"/>
        </w:rPr>
      </w:r>
      <w:r/>
    </w:p>
    <w:p>
      <w:pPr>
        <w:pStyle w:val="786"/>
        <w:tabs>
          <w:tab w:val="right" w:pos="8720" w:leader="dot"/>
        </w:tabs>
        <w:rPr>
          <w:rFonts w:hint="eastAsia" w:ascii="等线" w:hAnsi="等线" w:eastAsia="等线"/>
          <w:caps w:val="0"/>
          <w:sz w:val="22"/>
          <w:szCs w:val="24"/>
          <w:highlight w:val="none"/>
        </w:rPr>
      </w:pPr>
      <w:r>
        <w:rPr>
          <w:rStyle w:val="815"/>
          <w:rFonts w:hint="eastAsia"/>
          <w:highlight w:val="none"/>
        </w:rPr>
        <w:fldChar w:fldCharType="begin"/>
      </w:r>
      <w:r>
        <w:rPr>
          <w:rStyle w:val="815"/>
          <w:rFonts w:hint="eastAsia"/>
          <w:highlight w:val="none"/>
        </w:rPr>
        <w:instrText xml:space="preserve"> </w:instrText>
      </w:r>
      <w:r>
        <w:rPr>
          <w:rFonts w:hint="eastAsia"/>
          <w:highlight w:val="none"/>
        </w:rPr>
        <w:instrText xml:space="preserve">HYPERLINK \l "_Toc227942465"</w:instrText>
      </w:r>
      <w:r>
        <w:rPr>
          <w:rStyle w:val="815"/>
          <w:rFonts w:hint="eastAsia"/>
          <w:highlight w:val="none"/>
        </w:rPr>
        <w:instrText xml:space="preserve"> </w:instrText>
      </w:r>
      <w:r>
        <w:rPr>
          <w:rStyle w:val="815"/>
          <w:rFonts w:hint="eastAsia"/>
          <w:highlight w:val="none"/>
        </w:rPr>
        <w:fldChar w:fldCharType="separate"/>
      </w:r>
      <w:r>
        <w:rPr>
          <w:rStyle w:val="815"/>
          <w:rFonts w:hint="eastAsia" w:ascii="黑体" w:hAnsi="楷体_GB2312" w:eastAsia="黑体"/>
          <w:highlight w:val="none"/>
        </w:rPr>
        <w:t xml:space="preserve">第三章  合同条款及格式</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_Toc227942465 \h</w:instrText>
      </w:r>
      <w:r>
        <w:rPr>
          <w:rFonts w:hint="eastAsia"/>
          <w:highlight w:val="none"/>
        </w:rPr>
        <w:instrText xml:space="preserve"> </w:instrText>
      </w:r>
      <w:r>
        <w:rPr>
          <w:rFonts w:hint="eastAsia"/>
          <w:highlight w:val="none"/>
        </w:rPr>
        <w:fldChar w:fldCharType="separate"/>
      </w:r>
      <w:r>
        <w:rPr>
          <w:highlight w:val="none"/>
        </w:rPr>
        <w:t xml:space="preserve">28</w:t>
      </w:r>
      <w:r>
        <w:rPr>
          <w:rFonts w:hint="eastAsia"/>
          <w:highlight w:val="none"/>
        </w:rPr>
        <w:fldChar w:fldCharType="end"/>
      </w:r>
      <w:r>
        <w:rPr>
          <w:rStyle w:val="815"/>
          <w:rFonts w:hint="eastAsia"/>
          <w:highlight w:val="none"/>
        </w:rPr>
        <w:fldChar w:fldCharType="end"/>
      </w:r>
      <w:r>
        <w:rPr>
          <w:rFonts w:hint="eastAsia" w:ascii="等线" w:hAnsi="等线" w:eastAsia="等线"/>
          <w:caps w:val="0"/>
          <w:sz w:val="22"/>
          <w:szCs w:val="24"/>
          <w:highlight w:val="none"/>
        </w:rPr>
      </w:r>
      <w:r/>
    </w:p>
    <w:p>
      <w:pPr>
        <w:pStyle w:val="786"/>
        <w:tabs>
          <w:tab w:val="right" w:pos="8720" w:leader="dot"/>
        </w:tabs>
        <w:rPr>
          <w:rFonts w:hint="eastAsia" w:ascii="等线" w:hAnsi="等线" w:eastAsia="等线"/>
          <w:caps w:val="0"/>
          <w:sz w:val="22"/>
          <w:szCs w:val="24"/>
          <w:highlight w:val="none"/>
        </w:rPr>
      </w:pPr>
      <w:r>
        <w:rPr>
          <w:rStyle w:val="815"/>
          <w:rFonts w:hint="eastAsia"/>
          <w:highlight w:val="none"/>
        </w:rPr>
        <w:fldChar w:fldCharType="begin"/>
      </w:r>
      <w:r>
        <w:rPr>
          <w:rStyle w:val="815"/>
          <w:rFonts w:hint="eastAsia"/>
          <w:highlight w:val="none"/>
        </w:rPr>
        <w:instrText xml:space="preserve"> </w:instrText>
      </w:r>
      <w:r>
        <w:rPr>
          <w:rFonts w:hint="eastAsia"/>
          <w:highlight w:val="none"/>
        </w:rPr>
        <w:instrText xml:space="preserve">HYPERLINK \l "_Toc227942466"</w:instrText>
      </w:r>
      <w:r>
        <w:rPr>
          <w:rStyle w:val="815"/>
          <w:rFonts w:hint="eastAsia"/>
          <w:highlight w:val="none"/>
        </w:rPr>
        <w:instrText xml:space="preserve"> </w:instrText>
      </w:r>
      <w:r>
        <w:rPr>
          <w:rStyle w:val="815"/>
          <w:rFonts w:hint="eastAsia"/>
          <w:highlight w:val="none"/>
        </w:rPr>
        <w:fldChar w:fldCharType="separate"/>
      </w:r>
      <w:r>
        <w:rPr>
          <w:rStyle w:val="815"/>
          <w:rFonts w:hint="eastAsia" w:ascii="黑体" w:hAnsi="楷体_GB2312" w:eastAsia="黑体"/>
          <w:highlight w:val="none"/>
        </w:rPr>
        <w:t xml:space="preserve">第四章  项目需求（服务类）</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_Toc227942466 \h</w:instrText>
      </w:r>
      <w:r>
        <w:rPr>
          <w:rFonts w:hint="eastAsia"/>
          <w:highlight w:val="none"/>
        </w:rPr>
        <w:instrText xml:space="preserve"> </w:instrText>
      </w:r>
      <w:r>
        <w:rPr>
          <w:rFonts w:hint="eastAsia"/>
          <w:highlight w:val="none"/>
        </w:rPr>
        <w:fldChar w:fldCharType="separate"/>
      </w:r>
      <w:r>
        <w:rPr>
          <w:highlight w:val="none"/>
        </w:rPr>
        <w:t xml:space="preserve">36</w:t>
      </w:r>
      <w:r>
        <w:rPr>
          <w:rFonts w:hint="eastAsia"/>
          <w:highlight w:val="none"/>
        </w:rPr>
        <w:fldChar w:fldCharType="end"/>
      </w:r>
      <w:r>
        <w:rPr>
          <w:rStyle w:val="815"/>
          <w:rFonts w:hint="eastAsia"/>
          <w:highlight w:val="none"/>
        </w:rPr>
        <w:fldChar w:fldCharType="end"/>
      </w:r>
      <w:r>
        <w:rPr>
          <w:rFonts w:hint="eastAsia" w:ascii="等线" w:hAnsi="等线" w:eastAsia="等线"/>
          <w:caps w:val="0"/>
          <w:sz w:val="22"/>
          <w:szCs w:val="24"/>
          <w:highlight w:val="none"/>
        </w:rPr>
      </w:r>
      <w:r/>
    </w:p>
    <w:p>
      <w:pPr>
        <w:pStyle w:val="786"/>
        <w:tabs>
          <w:tab w:val="right" w:pos="8720" w:leader="dot"/>
        </w:tabs>
        <w:rPr>
          <w:rFonts w:hint="eastAsia" w:ascii="等线" w:hAnsi="等线" w:eastAsia="等线"/>
          <w:caps w:val="0"/>
          <w:sz w:val="22"/>
          <w:szCs w:val="24"/>
          <w:highlight w:val="none"/>
        </w:rPr>
      </w:pPr>
      <w:r>
        <w:rPr>
          <w:rStyle w:val="815"/>
          <w:rFonts w:hint="eastAsia"/>
          <w:highlight w:val="none"/>
        </w:rPr>
        <w:fldChar w:fldCharType="begin"/>
      </w:r>
      <w:r>
        <w:rPr>
          <w:rStyle w:val="815"/>
          <w:rFonts w:hint="eastAsia"/>
          <w:highlight w:val="none"/>
        </w:rPr>
        <w:instrText xml:space="preserve"> </w:instrText>
      </w:r>
      <w:r>
        <w:rPr>
          <w:rFonts w:hint="eastAsia"/>
          <w:highlight w:val="none"/>
        </w:rPr>
        <w:instrText xml:space="preserve">HYPERLINK \l "_Toc227942467"</w:instrText>
      </w:r>
      <w:r>
        <w:rPr>
          <w:rStyle w:val="815"/>
          <w:rFonts w:hint="eastAsia"/>
          <w:highlight w:val="none"/>
        </w:rPr>
        <w:instrText xml:space="preserve"> </w:instrText>
      </w:r>
      <w:r>
        <w:rPr>
          <w:rStyle w:val="815"/>
          <w:rFonts w:hint="eastAsia"/>
          <w:highlight w:val="none"/>
        </w:rPr>
        <w:fldChar w:fldCharType="separate"/>
      </w:r>
      <w:r>
        <w:rPr>
          <w:rStyle w:val="815"/>
          <w:rFonts w:hint="eastAsia" w:ascii="黑体" w:hAnsi="楷体_GB2312" w:eastAsia="黑体"/>
          <w:highlight w:val="none"/>
        </w:rPr>
        <w:t xml:space="preserve">第五章  评标方法与评标标准</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_Toc227942467 \h</w:instrText>
      </w:r>
      <w:r>
        <w:rPr>
          <w:rFonts w:hint="eastAsia"/>
          <w:highlight w:val="none"/>
        </w:rPr>
        <w:instrText xml:space="preserve"> </w:instrText>
      </w:r>
      <w:r>
        <w:rPr>
          <w:rFonts w:hint="eastAsia"/>
          <w:highlight w:val="none"/>
        </w:rPr>
        <w:fldChar w:fldCharType="separate"/>
      </w:r>
      <w:r>
        <w:rPr>
          <w:highlight w:val="none"/>
        </w:rPr>
        <w:t xml:space="preserve">64</w:t>
      </w:r>
      <w:r>
        <w:rPr>
          <w:rFonts w:hint="eastAsia"/>
          <w:highlight w:val="none"/>
        </w:rPr>
        <w:fldChar w:fldCharType="end"/>
      </w:r>
      <w:r>
        <w:rPr>
          <w:rStyle w:val="815"/>
          <w:rFonts w:hint="eastAsia"/>
          <w:highlight w:val="none"/>
        </w:rPr>
        <w:fldChar w:fldCharType="end"/>
      </w:r>
      <w:r>
        <w:rPr>
          <w:rFonts w:hint="eastAsia" w:ascii="等线" w:hAnsi="等线" w:eastAsia="等线"/>
          <w:caps w:val="0"/>
          <w:sz w:val="22"/>
          <w:szCs w:val="24"/>
          <w:highlight w:val="none"/>
        </w:rPr>
      </w:r>
      <w:r/>
    </w:p>
    <w:p>
      <w:pPr>
        <w:pStyle w:val="786"/>
        <w:tabs>
          <w:tab w:val="right" w:pos="8720" w:leader="dot"/>
        </w:tabs>
        <w:rPr>
          <w:rFonts w:hint="eastAsia" w:ascii="等线" w:hAnsi="等线" w:eastAsia="等线"/>
          <w:caps w:val="0"/>
          <w:sz w:val="22"/>
          <w:szCs w:val="24"/>
          <w:highlight w:val="none"/>
        </w:rPr>
      </w:pPr>
      <w:r>
        <w:rPr>
          <w:rStyle w:val="815"/>
          <w:rFonts w:hint="eastAsia"/>
          <w:highlight w:val="none"/>
        </w:rPr>
        <w:fldChar w:fldCharType="begin"/>
      </w:r>
      <w:r>
        <w:rPr>
          <w:rStyle w:val="815"/>
          <w:rFonts w:hint="eastAsia"/>
          <w:highlight w:val="none"/>
        </w:rPr>
        <w:instrText xml:space="preserve"> </w:instrText>
      </w:r>
      <w:r>
        <w:rPr>
          <w:rFonts w:hint="eastAsia"/>
          <w:highlight w:val="none"/>
        </w:rPr>
        <w:instrText xml:space="preserve">HYPERLINK \l "_Toc227942527"</w:instrText>
      </w:r>
      <w:r>
        <w:rPr>
          <w:rStyle w:val="815"/>
          <w:rFonts w:hint="eastAsia"/>
          <w:highlight w:val="none"/>
        </w:rPr>
        <w:instrText xml:space="preserve"> </w:instrText>
      </w:r>
      <w:r>
        <w:rPr>
          <w:rStyle w:val="815"/>
          <w:rFonts w:hint="eastAsia"/>
          <w:highlight w:val="none"/>
        </w:rPr>
        <w:fldChar w:fldCharType="separate"/>
      </w:r>
      <w:r>
        <w:rPr>
          <w:rStyle w:val="815"/>
          <w:rFonts w:hint="eastAsia" w:ascii="黑体" w:hAnsi="楷体_GB2312" w:eastAsia="黑体"/>
          <w:highlight w:val="none"/>
        </w:rPr>
        <w:t xml:space="preserve">第六章  投标文件格式</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_Toc227942527 \h</w:instrText>
      </w:r>
      <w:r>
        <w:rPr>
          <w:rFonts w:hint="eastAsia"/>
          <w:highlight w:val="none"/>
        </w:rPr>
        <w:instrText xml:space="preserve"> </w:instrText>
      </w:r>
      <w:r>
        <w:rPr>
          <w:rFonts w:hint="eastAsia"/>
          <w:highlight w:val="none"/>
        </w:rPr>
        <w:fldChar w:fldCharType="separate"/>
      </w:r>
      <w:r>
        <w:rPr>
          <w:highlight w:val="none"/>
        </w:rPr>
        <w:t xml:space="preserve">69</w:t>
      </w:r>
      <w:r>
        <w:rPr>
          <w:rFonts w:hint="eastAsia"/>
          <w:highlight w:val="none"/>
        </w:rPr>
        <w:fldChar w:fldCharType="end"/>
      </w:r>
      <w:r>
        <w:rPr>
          <w:rStyle w:val="815"/>
          <w:rFonts w:hint="eastAsia"/>
          <w:highlight w:val="none"/>
        </w:rPr>
        <w:fldChar w:fldCharType="end"/>
      </w:r>
      <w:r>
        <w:rPr>
          <w:rFonts w:hint="eastAsia" w:ascii="等线" w:hAnsi="等线" w:eastAsia="等线"/>
          <w:caps w:val="0"/>
          <w:sz w:val="22"/>
          <w:szCs w:val="24"/>
          <w:highlight w:val="none"/>
        </w:rPr>
      </w:r>
      <w:r/>
    </w:p>
    <w:p>
      <w:pPr>
        <w:pStyle w:val="728"/>
        <w:rPr>
          <w:highlight w:val="none"/>
        </w:rPr>
      </w:pPr>
      <w:r>
        <w:rPr>
          <w:b/>
          <w:bCs/>
          <w:highlight w:val="none"/>
          <w:lang w:val="zh-CN"/>
        </w:rPr>
        <w:fldChar w:fldCharType="end"/>
      </w:r>
      <w:r>
        <w:rPr>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tabs>
          <w:tab w:val="left" w:pos="7526" w:leader="none"/>
        </w:tabs>
        <w:rPr>
          <w:sz w:val="21"/>
          <w:highlight w:val="none"/>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1701" w:equalWidth="1"/>
          <w:docGrid w:linePitch="360"/>
          <w:titlePg/>
        </w:sectPr>
      </w:pPr>
      <w:r>
        <w:rPr>
          <w:sz w:val="21"/>
          <w:highlight w:val="none"/>
        </w:rPr>
        <w:tab/>
      </w:r>
      <w:r>
        <w:rPr>
          <w:sz w:val="21"/>
          <w:highlight w:val="none"/>
        </w:rPr>
      </w:r>
      <w:r/>
    </w:p>
    <w:p>
      <w:pPr>
        <w:pStyle w:val="729"/>
        <w:jc w:val="center"/>
        <w:keepLines w:val="0"/>
        <w:spacing w:before="0" w:line="240" w:lineRule="auto"/>
        <w:widowControl w:val="off"/>
        <w:rPr>
          <w:rFonts w:ascii="黑体" w:hAnsi="楷体_GB2312" w:eastAsia="黑体"/>
          <w:b w:val="0"/>
          <w:bCs w:val="0"/>
          <w:color w:val="000000"/>
          <w:sz w:val="44"/>
          <w:szCs w:val="44"/>
          <w:highlight w:val="none"/>
        </w:rPr>
      </w:pPr>
      <w:r/>
      <w:bookmarkStart w:id="8" w:name="_Toc17291673"/>
      <w:r/>
      <w:bookmarkStart w:id="9" w:name="_Toc17291077"/>
      <w:r/>
      <w:bookmarkStart w:id="10" w:name="_Toc227942463"/>
      <w:r>
        <w:rPr>
          <w:rFonts w:hint="eastAsia" w:ascii="黑体" w:hAnsi="楷体_GB2312" w:eastAsia="黑体"/>
          <w:b w:val="0"/>
          <w:bCs w:val="0"/>
          <w:color w:val="000000"/>
          <w:sz w:val="44"/>
          <w:szCs w:val="44"/>
          <w:highlight w:val="none"/>
        </w:rPr>
        <w:t xml:space="preserve">第一章  </w:t>
      </w:r>
      <w:bookmarkEnd w:id="2"/>
      <w:r>
        <w:rPr>
          <w:rFonts w:hint="eastAsia" w:ascii="黑体" w:hAnsi="楷体_GB2312" w:eastAsia="黑体"/>
          <w:b w:val="0"/>
          <w:bCs w:val="0"/>
          <w:color w:val="000000"/>
          <w:sz w:val="44"/>
          <w:szCs w:val="44"/>
          <w:highlight w:val="none"/>
        </w:rPr>
        <w:t xml:space="preserve">投标邀请</w:t>
      </w:r>
      <w:bookmarkEnd w:id="8"/>
      <w:r/>
      <w:bookmarkEnd w:id="9"/>
      <w:r/>
      <w:bookmarkEnd w:id="10"/>
      <w:r>
        <w:rPr>
          <w:rFonts w:ascii="黑体" w:hAnsi="楷体_GB2312" w:eastAsia="黑体"/>
          <w:b w:val="0"/>
          <w:bCs w:val="0"/>
          <w:color w:val="000000"/>
          <w:sz w:val="44"/>
          <w:szCs w:val="44"/>
          <w:highlight w:val="none"/>
        </w:rPr>
      </w:r>
      <w:r/>
    </w:p>
    <w:p>
      <w:pPr>
        <w:pStyle w:val="728"/>
        <w:ind w:firstLine="480"/>
        <w:jc w:val="both"/>
        <w:spacing w:after="0" w:line="560" w:lineRule="exact"/>
        <w:widowControl w:val="off"/>
        <w:rPr>
          <w:rFonts w:hint="eastAsia" w:ascii="宋体"/>
          <w:bCs/>
          <w:sz w:val="24"/>
          <w:highlight w:val="none"/>
        </w:rPr>
      </w:pPr>
      <w:r/>
      <w:bookmarkStart w:id="11" w:name="_Hlk163568028"/>
      <w:r>
        <w:rPr>
          <w:rFonts w:hint="eastAsia" w:ascii="宋体"/>
          <w:bCs/>
          <w:sz w:val="24"/>
          <w:highlight w:val="none"/>
        </w:rPr>
        <w:t xml:space="preserve">项目概况</w:t>
      </w:r>
      <w:r>
        <w:rPr>
          <w:rFonts w:hint="eastAsia" w:ascii="宋体"/>
          <w:bCs/>
          <w:sz w:val="24"/>
          <w:highlight w:val="none"/>
        </w:rPr>
      </w:r>
      <w:r/>
    </w:p>
    <w:p>
      <w:pPr>
        <w:pStyle w:val="728"/>
        <w:ind w:firstLine="480"/>
        <w:jc w:val="both"/>
        <w:spacing w:after="0" w:line="560" w:lineRule="exact"/>
        <w:widowControl w:val="off"/>
        <w:rPr>
          <w:rFonts w:ascii="宋体"/>
          <w:bCs/>
          <w:sz w:val="24"/>
          <w:highlight w:val="none"/>
        </w:rPr>
      </w:pPr>
      <w:r>
        <w:rPr>
          <w:rFonts w:hint="eastAsia" w:ascii="宋体"/>
          <w:sz w:val="24"/>
          <w:highlight w:val="none"/>
        </w:rPr>
        <w:t xml:space="preserve">江苏省市场监督管理局2026年专业特色市场产品质量风险动态监测检验机构技术服务（二次）</w:t>
      </w:r>
      <w:r>
        <w:rPr>
          <w:rFonts w:hint="eastAsia" w:ascii="宋体"/>
          <w:bCs/>
          <w:sz w:val="24"/>
          <w:highlight w:val="none"/>
        </w:rPr>
        <w:t xml:space="preserve">的潜在投标人应在本公司要求的相关渠道获取招标文件，并于2026年</w:t>
      </w:r>
      <w:r>
        <w:rPr>
          <w:rFonts w:hint="eastAsia" w:ascii="宋体"/>
          <w:bCs/>
          <w:sz w:val="24"/>
          <w:highlight w:val="none"/>
          <w:lang w:val="en-US" w:eastAsia="zh-CN"/>
        </w:rPr>
        <w:t xml:space="preserve">0</w:t>
      </w:r>
      <w:r>
        <w:rPr>
          <w:rFonts w:hint="eastAsia" w:ascii="宋体"/>
          <w:bCs/>
          <w:sz w:val="24"/>
          <w:highlight w:val="none"/>
          <w:lang w:val="en-US" w:eastAsia="zh-CN"/>
        </w:rPr>
        <w:t xml:space="preserve">6</w:t>
      </w:r>
      <w:r>
        <w:rPr>
          <w:rFonts w:hint="eastAsia" w:ascii="宋体"/>
          <w:bCs/>
          <w:sz w:val="24"/>
          <w:highlight w:val="none"/>
        </w:rPr>
        <w:t xml:space="preserve">月</w:t>
      </w:r>
      <w:r>
        <w:rPr>
          <w:rFonts w:hint="eastAsia" w:ascii="宋体"/>
          <w:bCs/>
          <w:sz w:val="24"/>
          <w:highlight w:val="none"/>
          <w:lang w:val="en-US" w:eastAsia="zh-CN"/>
        </w:rPr>
        <w:t xml:space="preserve">2</w:t>
      </w:r>
      <w:r>
        <w:rPr>
          <w:rFonts w:hint="eastAsia" w:ascii="宋体"/>
          <w:bCs/>
          <w:sz w:val="24"/>
          <w:highlight w:val="none"/>
          <w:lang w:val="en-US" w:eastAsia="zh-CN"/>
        </w:rPr>
        <w:t xml:space="preserve">4</w:t>
      </w:r>
      <w:r>
        <w:rPr>
          <w:rFonts w:hint="eastAsia" w:ascii="宋体"/>
          <w:bCs/>
          <w:sz w:val="24"/>
          <w:highlight w:val="none"/>
        </w:rPr>
        <w:t xml:space="preserve">日</w:t>
      </w:r>
      <w:r>
        <w:rPr>
          <w:rFonts w:hint="eastAsia" w:ascii="宋体"/>
          <w:bCs/>
          <w:sz w:val="24"/>
          <w:highlight w:val="none"/>
          <w:lang w:val="en-US" w:eastAsia="zh-CN"/>
        </w:rPr>
        <w:t xml:space="preserve">1</w:t>
      </w:r>
      <w:r>
        <w:rPr>
          <w:rFonts w:hint="eastAsia" w:ascii="宋体"/>
          <w:bCs/>
          <w:sz w:val="24"/>
          <w:highlight w:val="none"/>
          <w:lang w:val="en-US" w:eastAsia="zh-CN"/>
        </w:rPr>
        <w:t xml:space="preserve">4</w:t>
      </w:r>
      <w:r>
        <w:rPr>
          <w:rFonts w:hint="eastAsia" w:ascii="宋体"/>
          <w:bCs/>
          <w:sz w:val="24"/>
          <w:highlight w:val="none"/>
        </w:rPr>
        <w:t xml:space="preserve">:</w:t>
      </w:r>
      <w:r>
        <w:rPr>
          <w:rFonts w:hint="eastAsia" w:ascii="宋体"/>
          <w:bCs/>
          <w:sz w:val="24"/>
          <w:highlight w:val="none"/>
          <w:lang w:val="en-US" w:eastAsia="zh-CN"/>
        </w:rPr>
        <w:t xml:space="preserve">0</w:t>
      </w:r>
      <w:r>
        <w:rPr>
          <w:rFonts w:hint="eastAsia" w:ascii="宋体"/>
          <w:bCs/>
          <w:sz w:val="24"/>
          <w:highlight w:val="none"/>
        </w:rPr>
        <w:t xml:space="preserve">0（北京时间）前递交投标文件。</w:t>
      </w:r>
      <w:r>
        <w:rPr>
          <w:rFonts w:ascii="宋体"/>
          <w:bCs/>
          <w:sz w:val="24"/>
          <w:highlight w:val="none"/>
        </w:rPr>
      </w:r>
      <w:r/>
    </w:p>
    <w:p>
      <w:pPr>
        <w:pStyle w:val="728"/>
        <w:ind w:firstLine="480"/>
        <w:jc w:val="both"/>
        <w:spacing w:after="0" w:line="560" w:lineRule="exact"/>
        <w:widowControl w:val="off"/>
        <w:rPr>
          <w:rFonts w:ascii="宋体"/>
          <w:sz w:val="21"/>
          <w:highlight w:val="none"/>
        </w:rPr>
      </w:pPr>
      <w:r>
        <w:rPr>
          <w:rFonts w:hint="eastAsia" w:ascii="宋体"/>
          <w:bCs/>
          <w:sz w:val="24"/>
          <w:highlight w:val="none"/>
        </w:rPr>
        <w:t xml:space="preserve">南京小旸树招标代理有限公司受</w:t>
      </w:r>
      <w:r>
        <w:rPr>
          <w:rFonts w:hint="eastAsia" w:ascii="宋体"/>
          <w:sz w:val="24"/>
          <w:szCs w:val="24"/>
          <w:highlight w:val="none"/>
          <w:u w:val="single"/>
        </w:rPr>
        <w:t xml:space="preserve">江苏省市场监督管理局</w:t>
      </w:r>
      <w:r>
        <w:rPr>
          <w:rFonts w:hint="eastAsia" w:ascii="宋体"/>
          <w:sz w:val="24"/>
          <w:szCs w:val="24"/>
          <w:highlight w:val="none"/>
        </w:rPr>
        <w:t xml:space="preserve">（以下简称采购人）</w:t>
      </w:r>
      <w:r>
        <w:rPr>
          <w:rFonts w:hint="eastAsia" w:ascii="宋体"/>
          <w:bCs/>
          <w:sz w:val="24"/>
          <w:highlight w:val="none"/>
        </w:rPr>
        <w:t xml:space="preserve">的委托，就其所需的</w:t>
      </w:r>
      <w:r>
        <w:rPr>
          <w:rFonts w:hint="eastAsia" w:ascii="宋体"/>
          <w:sz w:val="24"/>
          <w:highlight w:val="none"/>
        </w:rPr>
        <w:t xml:space="preserve">2026年专业特色市场产品质量风险动态监测检验机构技术服务（二次）</w:t>
      </w:r>
      <w:r>
        <w:rPr>
          <w:rFonts w:hint="eastAsia" w:ascii="宋体"/>
          <w:bCs/>
          <w:sz w:val="24"/>
          <w:highlight w:val="none"/>
        </w:rPr>
        <w:t xml:space="preserve">进行公开招标采购，现欢迎符合相关条件的合格供应商投标。</w:t>
      </w:r>
      <w:r>
        <w:rPr>
          <w:rFonts w:ascii="宋体"/>
          <w:sz w:val="21"/>
          <w:highlight w:val="none"/>
        </w:rPr>
      </w:r>
      <w:r/>
    </w:p>
    <w:p>
      <w:pPr>
        <w:pStyle w:val="728"/>
        <w:jc w:val="both"/>
        <w:spacing w:after="0" w:line="560" w:lineRule="exact"/>
        <w:widowControl w:val="off"/>
        <w:tabs>
          <w:tab w:val="left" w:pos="900" w:leader="none"/>
        </w:tabs>
        <w:rPr>
          <w:rFonts w:ascii="宋体"/>
          <w:b/>
          <w:bCs/>
          <w:sz w:val="24"/>
          <w:highlight w:val="none"/>
        </w:rPr>
      </w:pPr>
      <w:r>
        <w:rPr>
          <w:rFonts w:hint="eastAsia" w:ascii="宋体"/>
          <w:b/>
          <w:bCs/>
          <w:sz w:val="24"/>
          <w:highlight w:val="none"/>
        </w:rPr>
        <w:t xml:space="preserve">一、项目基本情况</w:t>
      </w:r>
      <w:r>
        <w:rPr>
          <w:rFonts w:ascii="宋体"/>
          <w:b/>
          <w:bCs/>
          <w:sz w:val="24"/>
          <w:highlight w:val="none"/>
        </w:rPr>
      </w:r>
      <w:r/>
    </w:p>
    <w:p>
      <w:pPr>
        <w:pStyle w:val="728"/>
        <w:ind w:left="480"/>
        <w:jc w:val="both"/>
        <w:spacing w:after="0" w:line="560" w:lineRule="exact"/>
        <w:widowControl w:val="off"/>
        <w:tabs>
          <w:tab w:val="left" w:pos="900" w:leader="none"/>
        </w:tabs>
        <w:rPr>
          <w:rFonts w:ascii="宋体"/>
          <w:bCs/>
          <w:sz w:val="24"/>
          <w:highlight w:val="none"/>
        </w:rPr>
      </w:pPr>
      <w:r>
        <w:rPr>
          <w:rFonts w:hint="eastAsia" w:ascii="宋体"/>
          <w:bCs/>
          <w:sz w:val="24"/>
          <w:highlight w:val="none"/>
        </w:rPr>
        <w:t xml:space="preserve">1</w:t>
      </w:r>
      <w:r>
        <w:rPr>
          <w:rFonts w:ascii="宋体"/>
          <w:bCs/>
          <w:sz w:val="24"/>
          <w:highlight w:val="none"/>
        </w:rPr>
        <w:t xml:space="preserve">.</w:t>
      </w:r>
      <w:r>
        <w:rPr>
          <w:rFonts w:hint="eastAsia" w:ascii="宋体"/>
          <w:bCs/>
          <w:sz w:val="24"/>
          <w:highlight w:val="none"/>
        </w:rPr>
        <w:t xml:space="preserve">项目名称：</w:t>
      </w:r>
      <w:r>
        <w:rPr>
          <w:rFonts w:hint="eastAsia" w:ascii="宋体"/>
          <w:sz w:val="24"/>
          <w:highlight w:val="none"/>
        </w:rPr>
        <w:t xml:space="preserve">2026年专业特色市场产品质量风险动态监测检验机构技术服务（二次）</w:t>
      </w:r>
      <w:r>
        <w:rPr>
          <w:rFonts w:ascii="宋体"/>
          <w:bCs/>
          <w:sz w:val="24"/>
          <w:highlight w:val="none"/>
        </w:rPr>
      </w:r>
      <w:r/>
    </w:p>
    <w:p>
      <w:pPr>
        <w:pStyle w:val="728"/>
        <w:ind w:firstLine="480"/>
        <w:jc w:val="both"/>
        <w:spacing w:after="0" w:line="560" w:lineRule="exact"/>
        <w:widowControl w:val="off"/>
        <w:tabs>
          <w:tab w:val="left" w:pos="900" w:leader="none"/>
        </w:tabs>
        <w:rPr>
          <w:rFonts w:hint="eastAsia" w:ascii="宋体"/>
          <w:sz w:val="24"/>
          <w:highlight w:val="none"/>
        </w:rPr>
      </w:pPr>
      <w:r>
        <w:rPr>
          <w:rFonts w:hint="eastAsia" w:ascii="宋体"/>
          <w:sz w:val="24"/>
          <w:highlight w:val="none"/>
        </w:rPr>
        <w:t xml:space="preserve">2</w:t>
      </w:r>
      <w:r>
        <w:rPr>
          <w:rFonts w:ascii="宋体"/>
          <w:sz w:val="24"/>
          <w:highlight w:val="none"/>
        </w:rPr>
        <w:t xml:space="preserve">.</w:t>
      </w:r>
      <w:r>
        <w:rPr>
          <w:rFonts w:hint="eastAsia" w:ascii="宋体"/>
          <w:sz w:val="24"/>
          <w:highlight w:val="none"/>
        </w:rPr>
        <w:t xml:space="preserve">项目编号：JSZC-320000-NJXY-G2026-0023</w:t>
      </w:r>
      <w:r>
        <w:rPr>
          <w:rFonts w:hint="eastAsia" w:ascii="宋体"/>
          <w:sz w:val="24"/>
          <w:highlight w:val="none"/>
        </w:rPr>
      </w:r>
      <w:r/>
    </w:p>
    <w:p>
      <w:pPr>
        <w:pStyle w:val="728"/>
        <w:ind w:firstLine="480"/>
        <w:jc w:val="both"/>
        <w:spacing w:after="0" w:line="560" w:lineRule="exact"/>
        <w:widowControl w:val="off"/>
        <w:tabs>
          <w:tab w:val="left" w:pos="900" w:leader="none"/>
        </w:tabs>
        <w:rPr>
          <w:rFonts w:ascii="宋体"/>
          <w:sz w:val="24"/>
          <w:highlight w:val="none"/>
        </w:rPr>
      </w:pPr>
      <w:r>
        <w:rPr>
          <w:rFonts w:hint="eastAsia" w:ascii="宋体"/>
          <w:sz w:val="24"/>
          <w:highlight w:val="none"/>
        </w:rPr>
        <w:t xml:space="preserve">3.招标项目简要说明、预算金额及最高限价</w:t>
      </w:r>
      <w:r>
        <w:rPr>
          <w:rFonts w:ascii="宋体"/>
          <w:sz w:val="24"/>
          <w:highlight w:val="none"/>
        </w:rPr>
      </w:r>
      <w:r/>
    </w:p>
    <w:p>
      <w:pPr>
        <w:pStyle w:val="728"/>
        <w:ind w:firstLine="480"/>
        <w:jc w:val="both"/>
        <w:spacing w:after="0" w:line="560" w:lineRule="exact"/>
        <w:widowControl w:val="off"/>
        <w:tabs>
          <w:tab w:val="left" w:pos="900" w:leader="none"/>
        </w:tabs>
        <w:rPr>
          <w:rFonts w:ascii="宋体"/>
          <w:sz w:val="24"/>
          <w:highlight w:val="none"/>
        </w:rPr>
      </w:pPr>
      <w:r>
        <w:rPr>
          <w:rFonts w:hint="eastAsia" w:ascii="宋体"/>
          <w:sz w:val="24"/>
          <w:highlight w:val="none"/>
        </w:rPr>
        <w:t xml:space="preserve">3.1招标项目简要说明</w:t>
      </w:r>
      <w:bookmarkStart w:id="12" w:name="_Hlk82097478"/>
      <w:r>
        <w:rPr>
          <w:rFonts w:ascii="宋体"/>
          <w:sz w:val="24"/>
          <w:highlight w:val="none"/>
        </w:rPr>
      </w:r>
      <w:r/>
    </w:p>
    <w:p>
      <w:pPr>
        <w:pStyle w:val="728"/>
        <w:ind w:firstLine="480"/>
        <w:jc w:val="both"/>
        <w:spacing w:after="0" w:line="560" w:lineRule="exact"/>
        <w:widowControl w:val="off"/>
        <w:tabs>
          <w:tab w:val="left" w:pos="900" w:leader="none"/>
        </w:tabs>
        <w:rPr>
          <w:rFonts w:hint="eastAsia" w:ascii="宋体"/>
          <w:sz w:val="24"/>
          <w:highlight w:val="none"/>
        </w:rPr>
      </w:pPr>
      <w:r/>
      <w:bookmarkEnd w:id="12"/>
      <w:r/>
      <w:bookmarkStart w:id="13" w:name="_Hlk82764866"/>
      <w:r>
        <w:rPr>
          <w:rFonts w:hint="eastAsia" w:ascii="宋体"/>
          <w:sz w:val="24"/>
          <w:highlight w:val="none"/>
        </w:rPr>
        <w:t xml:space="preserve">为高质量完成专业特色市场产品质量风险动态监测，现通过公开招标方式确定第三方检验检测机构，承担2026年专业特色市场产品质量风险动态监测检验机构技术服务任务。具体详见采购文件第四章项目需求。</w:t>
      </w:r>
      <w:bookmarkStart w:id="14" w:name="_Hlk85972736"/>
      <w:r>
        <w:rPr>
          <w:rFonts w:hint="eastAsia" w:ascii="宋体"/>
          <w:sz w:val="24"/>
          <w:highlight w:val="none"/>
        </w:rPr>
      </w:r>
      <w:r/>
    </w:p>
    <w:p>
      <w:pPr>
        <w:pStyle w:val="728"/>
        <w:ind w:firstLine="480"/>
        <w:jc w:val="both"/>
        <w:spacing w:after="0" w:line="560" w:lineRule="exact"/>
        <w:widowControl w:val="off"/>
        <w:tabs>
          <w:tab w:val="left" w:pos="900" w:leader="none"/>
        </w:tabs>
        <w:rPr>
          <w:rFonts w:ascii="宋体"/>
          <w:sz w:val="24"/>
          <w:highlight w:val="none"/>
        </w:rPr>
      </w:pPr>
      <w:r>
        <w:rPr>
          <w:rFonts w:hint="eastAsia" w:ascii="宋体"/>
          <w:sz w:val="24"/>
          <w:highlight w:val="none"/>
        </w:rPr>
        <w:t xml:space="preserve">本招标项目的最小招标单位为采购包，按每个采购包进行投标、评标。本招标文件所有内容未做特别标注或说明即适用所有采购包，有特别标注或说明的请按相应采购包要求执行。</w:t>
      </w:r>
      <w:bookmarkEnd w:id="14"/>
      <w:r>
        <w:rPr>
          <w:rFonts w:ascii="宋体"/>
          <w:sz w:val="24"/>
          <w:highlight w:val="none"/>
        </w:rPr>
      </w:r>
      <w:r/>
    </w:p>
    <w:p>
      <w:pPr>
        <w:pStyle w:val="728"/>
        <w:ind w:firstLine="480"/>
        <w:jc w:val="both"/>
        <w:spacing w:after="0" w:line="560" w:lineRule="exact"/>
        <w:widowControl w:val="off"/>
        <w:tabs>
          <w:tab w:val="left" w:pos="900" w:leader="none"/>
        </w:tabs>
        <w:rPr>
          <w:rFonts w:hint="eastAsia" w:ascii="宋体" w:hAnsi="Times New Roman" w:eastAsia="宋体" w:cs="Times New Roman"/>
          <w:sz w:val="24"/>
          <w:highlight w:val="none"/>
        </w:rPr>
      </w:pPr>
      <w:r>
        <w:rPr>
          <w:rFonts w:hint="eastAsia" w:ascii="宋体"/>
          <w:sz w:val="24"/>
          <w:highlight w:val="none"/>
        </w:rPr>
        <w:t xml:space="preserve">3</w:t>
      </w:r>
      <w:r>
        <w:rPr>
          <w:rFonts w:hint="eastAsia" w:ascii="宋体" w:hAnsi="Times New Roman" w:eastAsia="宋体" w:cs="Times New Roman"/>
          <w:sz w:val="24"/>
          <w:highlight w:val="none"/>
        </w:rPr>
        <w:t xml:space="preserve">.2预算金额</w:t>
      </w:r>
      <w:r>
        <w:rPr>
          <w:rFonts w:hint="eastAsia" w:ascii="宋体" w:hAnsi="Times New Roman" w:eastAsia="宋体" w:cs="Times New Roman"/>
          <w:sz w:val="24"/>
          <w:highlight w:val="none"/>
        </w:rPr>
      </w:r>
      <w:r/>
    </w:p>
    <w:p>
      <w:pPr>
        <w:pStyle w:val="728"/>
        <w:ind w:firstLine="480"/>
        <w:jc w:val="both"/>
        <w:spacing w:before="0" w:beforeAutospacing="0" w:after="0" w:line="560" w:lineRule="exact"/>
        <w:widowControl w:val="off"/>
        <w:tabs>
          <w:tab w:val="left" w:pos="900" w:leader="none"/>
        </w:tabs>
        <w:rPr>
          <w:rFonts w:hint="eastAsia" w:ascii="宋体" w:hAnsi="Calibri"/>
          <w:b/>
          <w:bCs/>
          <w:sz w:val="24"/>
          <w:szCs w:val="24"/>
          <w:highlight w:val="none"/>
        </w:rPr>
      </w:pPr>
      <w:r>
        <w:rPr>
          <w:rFonts w:hint="eastAsia" w:ascii="宋体" w:hAnsi="Times New Roman" w:eastAsia="宋体" w:cs="Times New Roman"/>
          <w:bCs w:val="0"/>
          <w:sz w:val="24"/>
          <w:szCs w:val="22"/>
          <w:highlight w:val="none"/>
          <w:lang w:bidi="ar"/>
        </w:rPr>
        <w:t xml:space="preserve">本次</w:t>
      </w:r>
      <w:r>
        <w:rPr>
          <w:rFonts w:hint="eastAsia" w:ascii="宋体" w:hAnsi="宋体" w:cs="宋体"/>
          <w:bCs/>
          <w:sz w:val="24"/>
          <w:szCs w:val="24"/>
          <w:highlight w:val="none"/>
          <w:lang w:bidi="ar"/>
        </w:rPr>
        <w:t xml:space="preserve">采购总预算为人民币84.2万元整，分设4个采购包。</w:t>
      </w:r>
      <w:r>
        <w:rPr>
          <w:rFonts w:hint="eastAsia" w:ascii="宋体" w:hAnsi="宋体" w:cs="宋体"/>
          <w:b/>
          <w:sz w:val="24"/>
          <w:szCs w:val="24"/>
          <w:highlight w:val="none"/>
          <w:lang w:bidi="ar"/>
        </w:rPr>
        <w:t xml:space="preserve">投标人可兼投兼中，至多中其中2个采购包，每个采购包选取一家中标供应商。</w:t>
      </w:r>
      <w:r>
        <w:rPr>
          <w:rFonts w:hint="eastAsia" w:ascii="宋体" w:hAnsi="宋体" w:cs="宋体"/>
          <w:bCs/>
          <w:sz w:val="24"/>
          <w:szCs w:val="24"/>
          <w:highlight w:val="none"/>
          <w:lang w:bidi="ar"/>
        </w:rPr>
        <w:t xml:space="preserve">本项目按单批次报价，</w:t>
      </w:r>
      <w:r>
        <w:rPr>
          <w:rFonts w:hint="eastAsia" w:ascii="宋体" w:hAnsi="宋体" w:cs="宋体"/>
          <w:sz w:val="24"/>
          <w:szCs w:val="24"/>
          <w:highlight w:val="none"/>
          <w:lang w:bidi="ar"/>
        </w:rPr>
        <w:t xml:space="preserve">每个采购包的投标人最终</w:t>
      </w:r>
      <w:r>
        <w:rPr>
          <w:rFonts w:hint="eastAsia" w:ascii="宋体" w:hAnsi="宋体" w:cs="宋体"/>
          <w:b/>
          <w:bCs/>
          <w:sz w:val="24"/>
          <w:szCs w:val="24"/>
          <w:highlight w:val="none"/>
          <w:lang w:bidi="ar"/>
        </w:rPr>
        <w:t xml:space="preserve">单批次</w:t>
      </w:r>
      <w:r>
        <w:rPr>
          <w:rFonts w:hint="eastAsia" w:ascii="宋体" w:hAnsi="宋体" w:cs="宋体"/>
          <w:sz w:val="24"/>
          <w:szCs w:val="24"/>
          <w:highlight w:val="none"/>
          <w:lang w:bidi="ar"/>
        </w:rPr>
        <w:t xml:space="preserve">报价超过该采购包</w:t>
      </w:r>
      <w:r>
        <w:rPr>
          <w:rFonts w:hint="eastAsia" w:ascii="宋体" w:hAnsi="宋体" w:cs="宋体"/>
          <w:b/>
          <w:bCs/>
          <w:sz w:val="24"/>
          <w:szCs w:val="24"/>
          <w:highlight w:val="none"/>
          <w:lang w:bidi="ar"/>
        </w:rPr>
        <w:t xml:space="preserve">单批次</w:t>
      </w:r>
      <w:r>
        <w:rPr>
          <w:rFonts w:hint="eastAsia" w:ascii="宋体" w:hAnsi="宋体" w:cs="宋体"/>
          <w:sz w:val="24"/>
          <w:szCs w:val="24"/>
          <w:highlight w:val="none"/>
          <w:lang w:bidi="ar"/>
        </w:rPr>
        <w:t xml:space="preserve">最高限价的为无效报价，按照无效响应处理。</w:t>
      </w:r>
      <w:r>
        <w:rPr>
          <w:rFonts w:hint="eastAsia" w:ascii="宋体" w:hAnsi="Calibri"/>
          <w:b/>
          <w:bCs/>
          <w:sz w:val="24"/>
          <w:szCs w:val="24"/>
          <w:highlight w:val="none"/>
        </w:rPr>
      </w:r>
      <w:r/>
    </w:p>
    <w:p>
      <w:pPr>
        <w:pStyle w:val="728"/>
        <w:ind w:firstLine="480"/>
        <w:jc w:val="both"/>
        <w:spacing w:before="100" w:beforeAutospacing="1" w:after="0"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lang w:bidi="ar"/>
        </w:rPr>
        <w:t xml:space="preserve">3.3项目采购包明细</w:t>
      </w:r>
      <w:r>
        <w:rPr>
          <w:rFonts w:hint="eastAsia" w:ascii="宋体" w:hAnsi="宋体" w:cs="宋体"/>
          <w:bCs/>
          <w:sz w:val="24"/>
          <w:szCs w:val="24"/>
          <w:highlight w:val="none"/>
        </w:rPr>
      </w:r>
      <w:r/>
    </w:p>
    <w:p>
      <w:pPr>
        <w:pStyle w:val="728"/>
        <w:ind w:firstLine="480"/>
        <w:jc w:val="both"/>
        <w:spacing w:before="100" w:beforeAutospacing="1" w:after="0" w:line="360" w:lineRule="auto"/>
        <w:widowControl w:val="off"/>
        <w:rPr>
          <w:rFonts w:hint="eastAsia" w:ascii="宋体" w:hAnsi="宋体" w:cs="宋体"/>
          <w:sz w:val="24"/>
          <w:szCs w:val="24"/>
          <w:highlight w:val="none"/>
          <w:lang w:bidi="ar"/>
        </w:rPr>
      </w:pPr>
      <w:r/>
      <w:bookmarkStart w:id="15" w:name="_Hlk227212858"/>
      <w:r>
        <w:rPr>
          <w:rFonts w:hint="eastAsia" w:ascii="宋体" w:hAnsi="宋体" w:cs="宋体"/>
          <w:sz w:val="24"/>
          <w:szCs w:val="24"/>
          <w:highlight w:val="none"/>
          <w:lang w:bidi="ar"/>
        </w:rPr>
        <w:t xml:space="preserve">项目采购包明细与采购包预算金额、最高限价一览表</w:t>
      </w:r>
      <w:bookmarkEnd w:id="15"/>
      <w:r>
        <w:rPr>
          <w:rFonts w:hint="eastAsia" w:ascii="宋体" w:hAnsi="宋体" w:cs="宋体"/>
          <w:sz w:val="24"/>
          <w:szCs w:val="24"/>
          <w:highlight w:val="none"/>
          <w:lang w:bidi="ar"/>
        </w:rPr>
      </w:r>
      <w:r/>
    </w:p>
    <w:tbl>
      <w:tblPr>
        <w:tblW w:w="5103" w:type="pct"/>
        <w:tblInd w:w="-284" w:type="dxa"/>
        <w:tblLayout w:type="autofit"/>
        <w:tblCellMar>
          <w:left w:w="108" w:type="dxa"/>
          <w:top w:w="0" w:type="dxa"/>
          <w:right w:w="108" w:type="dxa"/>
          <w:bottom w:w="0" w:type="dxa"/>
        </w:tblCellMar>
        <w:tblLook w:val="04A0" w:firstRow="1" w:lastRow="0" w:firstColumn="1" w:lastColumn="0" w:noHBand="0" w:noVBand="1"/>
      </w:tblPr>
      <w:tblGrid>
        <w:gridCol w:w="496"/>
        <w:gridCol w:w="1846"/>
        <w:gridCol w:w="1846"/>
        <w:gridCol w:w="1397"/>
        <w:gridCol w:w="1673"/>
        <w:gridCol w:w="1440"/>
      </w:tblGrid>
      <w:tr>
        <w:trPr>
          <w:trHeight w:val="864"/>
        </w:trPr>
        <w:tc>
          <w:tcPr>
            <w:tcBorders>
              <w:top w:val="single" w:color="000000" w:sz="6" w:space="0"/>
              <w:left w:val="single" w:color="000000" w:sz="6" w:space="0"/>
              <w:bottom w:val="none" w:color="000000" w:sz="0" w:space="0"/>
              <w:right w:val="single" w:color="000000" w:sz="6" w:space="0"/>
            </w:tcBorders>
            <w:tcW w:w="285" w:type="dxa"/>
            <w:vAlign w:val="center"/>
            <w:vMerge w:val="restart"/>
            <w:textDirection w:val="lrTb"/>
            <w:noWrap w:val="false"/>
          </w:tcPr>
          <w:p>
            <w:pPr>
              <w:pStyle w:val="728"/>
              <w:jc w:val="center"/>
              <w:rPr>
                <w:b/>
                <w:color w:val="000000"/>
                <w:sz w:val="24"/>
                <w:szCs w:val="24"/>
                <w:highlight w:val="none"/>
              </w:rPr>
            </w:pPr>
            <w:r>
              <w:rPr>
                <w:rFonts w:hint="eastAsia"/>
                <w:b/>
                <w:color w:val="000000"/>
                <w:sz w:val="24"/>
                <w:szCs w:val="24"/>
                <w:highlight w:val="none"/>
              </w:rPr>
              <w:t xml:space="preserve">采购包号</w:t>
            </w:r>
            <w:r>
              <w:rPr>
                <w:b/>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1061" w:type="dxa"/>
            <w:vAlign w:val="center"/>
            <w:vMerge w:val="restart"/>
            <w:textDirection w:val="lrTb"/>
            <w:noWrap w:val="false"/>
          </w:tcPr>
          <w:p>
            <w:pPr>
              <w:pStyle w:val="728"/>
              <w:jc w:val="center"/>
              <w:rPr>
                <w:rFonts w:eastAsia="Times New Roman"/>
                <w:b/>
                <w:color w:val="000000"/>
                <w:sz w:val="24"/>
                <w:szCs w:val="24"/>
                <w:highlight w:val="none"/>
              </w:rPr>
            </w:pPr>
            <w:r>
              <w:rPr>
                <w:rFonts w:eastAsia="Times New Roman"/>
                <w:b/>
                <w:color w:val="000000"/>
                <w:sz w:val="24"/>
                <w:szCs w:val="24"/>
                <w:highlight w:val="none"/>
              </w:rPr>
              <w:t xml:space="preserve">专业特色市场名称</w:t>
            </w:r>
            <w:r>
              <w:rPr>
                <w:rFonts w:eastAsia="Times New Roman"/>
                <w:b/>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1061" w:type="dxa"/>
            <w:vAlign w:val="center"/>
            <w:vMerge w:val="restart"/>
            <w:textDirection w:val="lrTb"/>
            <w:noWrap w:val="false"/>
          </w:tcPr>
          <w:p>
            <w:pPr>
              <w:pStyle w:val="728"/>
              <w:jc w:val="center"/>
              <w:rPr>
                <w:rFonts w:eastAsia="Times New Roman"/>
                <w:b/>
                <w:color w:val="000000"/>
                <w:sz w:val="24"/>
                <w:szCs w:val="24"/>
                <w:highlight w:val="none"/>
              </w:rPr>
            </w:pPr>
            <w:r>
              <w:rPr>
                <w:rFonts w:eastAsia="Times New Roman"/>
                <w:b/>
                <w:color w:val="000000"/>
                <w:sz w:val="24"/>
                <w:szCs w:val="24"/>
                <w:highlight w:val="none"/>
              </w:rPr>
              <w:t xml:space="preserve">动态监测产品品种</w:t>
            </w:r>
            <w:r>
              <w:rPr>
                <w:rFonts w:eastAsia="Times New Roman"/>
                <w:b/>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803" w:type="dxa"/>
            <w:vAlign w:val="center"/>
            <w:vMerge w:val="restart"/>
            <w:textDirection w:val="lrTb"/>
            <w:noWrap w:val="false"/>
          </w:tcPr>
          <w:p>
            <w:pPr>
              <w:pStyle w:val="728"/>
              <w:jc w:val="center"/>
              <w:rPr>
                <w:rFonts w:eastAsia="Times New Roman"/>
                <w:b/>
                <w:color w:val="000000"/>
                <w:sz w:val="24"/>
                <w:szCs w:val="24"/>
                <w:highlight w:val="none"/>
              </w:rPr>
            </w:pPr>
            <w:r>
              <w:rPr>
                <w:rFonts w:eastAsia="Times New Roman"/>
                <w:b/>
                <w:color w:val="000000"/>
                <w:sz w:val="24"/>
                <w:szCs w:val="24"/>
                <w:highlight w:val="none"/>
              </w:rPr>
              <w:t xml:space="preserve">动态监测数量（批次）</w:t>
            </w:r>
            <w:r>
              <w:rPr>
                <w:rFonts w:eastAsia="Times New Roman"/>
                <w:b/>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961" w:type="dxa"/>
            <w:vAlign w:val="center"/>
            <w:vMerge w:val="restart"/>
            <w:textDirection w:val="lrTb"/>
            <w:noWrap w:val="false"/>
          </w:tcPr>
          <w:p>
            <w:pPr>
              <w:pStyle w:val="728"/>
              <w:jc w:val="center"/>
              <w:rPr>
                <w:rFonts w:eastAsia="Times New Roman"/>
                <w:b/>
                <w:color w:val="000000"/>
                <w:sz w:val="24"/>
                <w:szCs w:val="24"/>
                <w:highlight w:val="none"/>
              </w:rPr>
            </w:pPr>
            <w:r>
              <w:rPr>
                <w:rFonts w:eastAsia="Times New Roman"/>
                <w:b/>
                <w:color w:val="000000"/>
                <w:sz w:val="24"/>
                <w:szCs w:val="24"/>
                <w:highlight w:val="none"/>
              </w:rPr>
              <w:t xml:space="preserve">单批次最高限价（元/批次）</w:t>
            </w:r>
            <w:r>
              <w:rPr>
                <w:rFonts w:eastAsia="Times New Roman"/>
                <w:b/>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827" w:type="dxa"/>
            <w:vAlign w:val="top"/>
            <w:vMerge w:val="restart"/>
            <w:textDirection w:val="lrTb"/>
            <w:noWrap w:val="false"/>
          </w:tcPr>
          <w:p>
            <w:pPr>
              <w:pStyle w:val="728"/>
              <w:jc w:val="center"/>
              <w:rPr>
                <w:rFonts w:eastAsia="Times New Roman"/>
                <w:b/>
                <w:color w:val="000000"/>
                <w:sz w:val="24"/>
                <w:szCs w:val="24"/>
                <w:highlight w:val="none"/>
              </w:rPr>
            </w:pPr>
            <w:r>
              <w:rPr>
                <w:rFonts w:eastAsia="Times New Roman"/>
                <w:b/>
                <w:color w:val="000000"/>
                <w:sz w:val="24"/>
                <w:szCs w:val="24"/>
                <w:highlight w:val="none"/>
              </w:rPr>
              <w:t xml:space="preserve">预算及最高限价(万元）</w:t>
            </w:r>
            <w:r>
              <w:rPr>
                <w:rFonts w:eastAsia="Times New Roman"/>
                <w:b/>
                <w:color w:val="000000"/>
                <w:sz w:val="24"/>
                <w:szCs w:val="24"/>
                <w:highlight w:val="none"/>
              </w:rPr>
            </w:r>
            <w:r/>
          </w:p>
        </w:tc>
      </w:tr>
      <w:tr>
        <w:trPr>
          <w:trHeight w:val="576"/>
        </w:trPr>
        <w:tc>
          <w:tcPr>
            <w:tcBorders>
              <w:top w:val="single" w:color="000000" w:sz="6" w:space="0"/>
              <w:left w:val="single" w:color="000000" w:sz="6" w:space="0"/>
              <w:bottom w:val="single" w:color="000000" w:sz="6" w:space="0"/>
              <w:right w:val="single" w:color="000000" w:sz="6" w:space="0"/>
            </w:tcBorders>
            <w:tcW w:w="285" w:type="dxa"/>
            <w:vAlign w:val="center"/>
            <w:textDirection w:val="lrTb"/>
            <w:noWrap w:val="false"/>
          </w:tcPr>
          <w:p>
            <w:pPr>
              <w:pStyle w:val="728"/>
              <w:jc w:val="center"/>
              <w:rPr>
                <w:rFonts w:eastAsia="Times New Roman"/>
                <w:color w:val="000000"/>
                <w:sz w:val="28"/>
                <w:szCs w:val="24"/>
                <w:highlight w:val="none"/>
              </w:rPr>
            </w:pPr>
            <w:r>
              <w:rPr>
                <w:rFonts w:eastAsia="Times New Roman"/>
                <w:color w:val="000000"/>
                <w:sz w:val="28"/>
                <w:szCs w:val="24"/>
                <w:highlight w:val="none"/>
              </w:rPr>
              <w:t xml:space="preserve">1</w:t>
            </w:r>
            <w:r>
              <w:rPr>
                <w:rFonts w:eastAsia="Times New Roman"/>
                <w:color w:val="000000"/>
                <w:sz w:val="28"/>
                <w:szCs w:val="24"/>
                <w:highlight w:val="none"/>
              </w:rPr>
            </w:r>
            <w:r/>
          </w:p>
        </w:tc>
        <w:tc>
          <w:tcPr>
            <w:tcBorders>
              <w:top w:val="single" w:color="000000" w:sz="6" w:space="0"/>
              <w:left w:val="single" w:color="000000" w:sz="6" w:space="0"/>
              <w:bottom w:val="single" w:color="000000" w:sz="6" w:space="0"/>
              <w:right w:val="single" w:color="000000" w:sz="6" w:space="0"/>
            </w:tcBorders>
            <w:tcW w:w="1061"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江苏陶都陶瓷城</w:t>
            </w: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1061"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陶瓷、紫砂</w:t>
            </w: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40</w:t>
            </w: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8"/>
              <w:jc w:val="center"/>
              <w:rPr>
                <w:color w:val="000000"/>
                <w:szCs w:val="24"/>
                <w:highlight w:val="none"/>
              </w:rPr>
            </w:pPr>
            <w:r>
              <w:rPr>
                <w:rFonts w:hint="eastAsia"/>
                <w:color w:val="000000"/>
                <w:szCs w:val="24"/>
                <w:highlight w:val="none"/>
              </w:rPr>
              <w:t xml:space="preserve">2700</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10.8</w:t>
            </w:r>
            <w:r>
              <w:rPr>
                <w:rFonts w:eastAsia="Times New Roman"/>
                <w:color w:val="000000"/>
                <w:szCs w:val="24"/>
                <w:highlight w:val="none"/>
              </w:rPr>
            </w:r>
            <w:r/>
          </w:p>
        </w:tc>
      </w:tr>
      <w:tr>
        <w:trPr>
          <w:trHeight w:val="890"/>
        </w:trPr>
        <w:tc>
          <w:tcPr>
            <w:tcBorders>
              <w:top w:val="single" w:color="000000" w:sz="6" w:space="0"/>
              <w:left w:val="single" w:color="000000" w:sz="6" w:space="0"/>
              <w:bottom w:val="single" w:color="000000" w:sz="6" w:space="0"/>
              <w:right w:val="single" w:color="000000" w:sz="6" w:space="0"/>
            </w:tcBorders>
            <w:tcW w:w="285" w:type="dxa"/>
            <w:vAlign w:val="center"/>
            <w:textDirection w:val="lrTb"/>
            <w:noWrap w:val="false"/>
          </w:tcPr>
          <w:p>
            <w:pPr>
              <w:pStyle w:val="728"/>
              <w:jc w:val="center"/>
              <w:rPr>
                <w:rFonts w:hint="eastAsia"/>
                <w:color w:val="000000"/>
                <w:sz w:val="28"/>
                <w:szCs w:val="24"/>
                <w:highlight w:val="none"/>
              </w:rPr>
            </w:pPr>
            <w:r>
              <w:rPr>
                <w:rFonts w:hint="eastAsia"/>
                <w:color w:val="000000"/>
                <w:sz w:val="28"/>
                <w:szCs w:val="24"/>
                <w:highlight w:val="none"/>
              </w:rPr>
              <w:t xml:space="preserve">2</w:t>
            </w:r>
            <w:r>
              <w:rPr>
                <w:rFonts w:hint="eastAsia"/>
                <w:color w:val="000000"/>
                <w:sz w:val="28"/>
                <w:szCs w:val="24"/>
                <w:highlight w:val="none"/>
              </w:rPr>
            </w:r>
            <w:r/>
          </w:p>
        </w:tc>
        <w:tc>
          <w:tcPr>
            <w:tcBorders>
              <w:top w:val="single" w:color="000000" w:sz="6" w:space="0"/>
              <w:left w:val="single" w:color="000000" w:sz="6" w:space="0"/>
              <w:bottom w:val="single" w:color="000000" w:sz="6" w:space="0"/>
              <w:right w:val="single" w:color="000000" w:sz="6" w:space="0"/>
            </w:tcBorders>
            <w:tcW w:w="1061"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苏州家具博览中心</w:t>
            </w: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1061"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家具</w:t>
            </w: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60</w:t>
            </w: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8"/>
              <w:jc w:val="center"/>
              <w:rPr>
                <w:color w:val="000000"/>
                <w:szCs w:val="24"/>
                <w:highlight w:val="none"/>
              </w:rPr>
            </w:pPr>
            <w:r>
              <w:rPr>
                <w:rFonts w:hint="eastAsia"/>
                <w:color w:val="000000"/>
                <w:szCs w:val="24"/>
                <w:highlight w:val="none"/>
              </w:rPr>
              <w:t xml:space="preserve">4000</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24</w:t>
            </w:r>
            <w:r>
              <w:rPr>
                <w:rFonts w:eastAsia="Times New Roman"/>
                <w:color w:val="000000"/>
                <w:szCs w:val="24"/>
                <w:highlight w:val="none"/>
              </w:rPr>
            </w:r>
            <w:r/>
          </w:p>
        </w:tc>
      </w:tr>
      <w:tr>
        <w:trPr>
          <w:trHeight w:val="760"/>
        </w:trPr>
        <w:tc>
          <w:tcPr>
            <w:tcBorders>
              <w:top w:val="single" w:color="000000" w:sz="6" w:space="0"/>
              <w:left w:val="single" w:color="000000" w:sz="6" w:space="0"/>
              <w:bottom w:val="single" w:color="000000" w:sz="6" w:space="0"/>
              <w:right w:val="single" w:color="000000" w:sz="6" w:space="0"/>
            </w:tcBorders>
            <w:tcW w:w="285" w:type="dxa"/>
            <w:vAlign w:val="center"/>
            <w:textDirection w:val="lrTb"/>
            <w:noWrap w:val="false"/>
          </w:tcPr>
          <w:p>
            <w:pPr>
              <w:pStyle w:val="728"/>
              <w:jc w:val="center"/>
              <w:rPr>
                <w:rFonts w:hint="eastAsia"/>
                <w:color w:val="000000"/>
                <w:sz w:val="28"/>
                <w:szCs w:val="24"/>
                <w:highlight w:val="none"/>
              </w:rPr>
            </w:pPr>
            <w:r>
              <w:rPr>
                <w:rFonts w:hint="eastAsia"/>
                <w:color w:val="000000"/>
                <w:sz w:val="28"/>
                <w:szCs w:val="24"/>
                <w:highlight w:val="none"/>
              </w:rPr>
              <w:t xml:space="preserve">3</w:t>
            </w:r>
            <w:r>
              <w:rPr>
                <w:rFonts w:hint="eastAsia"/>
                <w:color w:val="000000"/>
                <w:sz w:val="28"/>
                <w:szCs w:val="24"/>
                <w:highlight w:val="none"/>
              </w:rPr>
            </w:r>
            <w:r/>
          </w:p>
        </w:tc>
        <w:tc>
          <w:tcPr>
            <w:tcBorders>
              <w:top w:val="single" w:color="000000" w:sz="6" w:space="0"/>
              <w:left w:val="single" w:color="000000" w:sz="6" w:space="0"/>
              <w:bottom w:val="single" w:color="000000" w:sz="6" w:space="0"/>
              <w:right w:val="single" w:color="000000" w:sz="6" w:space="0"/>
            </w:tcBorders>
            <w:tcW w:w="1061"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中国丹阳眼镜城</w:t>
            </w:r>
            <w:r>
              <w:rPr>
                <w:rFonts w:eastAsia="Times New Roman"/>
                <w:color w:val="000000"/>
                <w:szCs w:val="24"/>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1061"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眼镜及相关产品</w:t>
            </w: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200</w:t>
            </w: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8"/>
              <w:jc w:val="center"/>
              <w:rPr>
                <w:color w:val="000000"/>
                <w:szCs w:val="24"/>
                <w:highlight w:val="none"/>
              </w:rPr>
            </w:pPr>
            <w:r>
              <w:rPr>
                <w:rFonts w:hint="eastAsia"/>
                <w:color w:val="000000"/>
                <w:szCs w:val="24"/>
                <w:highlight w:val="none"/>
              </w:rPr>
              <w:t xml:space="preserve">1870</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37.4</w:t>
            </w:r>
            <w:r>
              <w:rPr>
                <w:rFonts w:eastAsia="Times New Roman"/>
                <w:color w:val="000000"/>
                <w:szCs w:val="24"/>
                <w:highlight w:val="none"/>
              </w:rPr>
            </w:r>
            <w:r/>
          </w:p>
        </w:tc>
      </w:tr>
      <w:tr>
        <w:trPr>
          <w:trHeight w:val="1008"/>
        </w:trPr>
        <w:tc>
          <w:tcPr>
            <w:tcBorders>
              <w:top w:val="single" w:color="000000" w:sz="6" w:space="0"/>
              <w:left w:val="single" w:color="000000" w:sz="6" w:space="0"/>
              <w:bottom w:val="single" w:color="000000" w:sz="6" w:space="0"/>
              <w:right w:val="single" w:color="000000" w:sz="6" w:space="0"/>
            </w:tcBorders>
            <w:tcW w:w="285" w:type="dxa"/>
            <w:vAlign w:val="center"/>
            <w:textDirection w:val="lrTb"/>
            <w:noWrap w:val="false"/>
          </w:tcPr>
          <w:p>
            <w:pPr>
              <w:pStyle w:val="728"/>
              <w:jc w:val="center"/>
              <w:rPr>
                <w:rFonts w:hint="eastAsia"/>
                <w:color w:val="000000"/>
                <w:sz w:val="28"/>
                <w:szCs w:val="24"/>
                <w:highlight w:val="none"/>
              </w:rPr>
            </w:pPr>
            <w:r>
              <w:rPr>
                <w:rFonts w:hint="eastAsia"/>
                <w:color w:val="000000"/>
                <w:sz w:val="28"/>
                <w:szCs w:val="24"/>
                <w:highlight w:val="none"/>
              </w:rPr>
              <w:t xml:space="preserve">4</w:t>
            </w:r>
            <w:r>
              <w:rPr>
                <w:rFonts w:hint="eastAsia"/>
                <w:color w:val="000000"/>
                <w:sz w:val="28"/>
                <w:szCs w:val="24"/>
                <w:highlight w:val="none"/>
              </w:rPr>
            </w:r>
            <w:r/>
          </w:p>
        </w:tc>
        <w:tc>
          <w:tcPr>
            <w:tcBorders>
              <w:top w:val="single" w:color="000000" w:sz="6" w:space="0"/>
              <w:left w:val="single" w:color="000000" w:sz="6" w:space="0"/>
              <w:bottom w:val="single" w:color="000000" w:sz="6" w:space="0"/>
              <w:right w:val="single" w:color="000000" w:sz="6" w:space="0"/>
            </w:tcBorders>
            <w:tcW w:w="1061"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泰州黄桥乐器文化产业园</w:t>
            </w:r>
            <w:r>
              <w:rPr>
                <w:rFonts w:eastAsia="Times New Roman"/>
                <w:color w:val="000000"/>
                <w:szCs w:val="24"/>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1061"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小提琴及乐器制品</w:t>
            </w: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40</w:t>
            </w: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8"/>
              <w:jc w:val="center"/>
              <w:rPr>
                <w:color w:val="000000"/>
                <w:szCs w:val="24"/>
                <w:highlight w:val="none"/>
              </w:rPr>
            </w:pPr>
            <w:r>
              <w:rPr>
                <w:rFonts w:hint="eastAsia"/>
                <w:color w:val="000000"/>
                <w:szCs w:val="24"/>
                <w:highlight w:val="none"/>
              </w:rPr>
              <w:t xml:space="preserve">3000</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t xml:space="preserve">12</w:t>
            </w:r>
            <w:r>
              <w:rPr>
                <w:rFonts w:eastAsia="Times New Roman"/>
                <w:color w:val="000000"/>
                <w:szCs w:val="24"/>
                <w:highlight w:val="none"/>
              </w:rPr>
            </w:r>
            <w:r/>
          </w:p>
        </w:tc>
      </w:tr>
      <w:tr>
        <w:trPr>
          <w:trHeight w:val="312"/>
        </w:trPr>
        <w:tc>
          <w:tcPr>
            <w:gridSpan w:val="3"/>
            <w:tcBorders>
              <w:top w:val="single" w:color="000000" w:sz="6" w:space="0"/>
              <w:left w:val="single" w:color="000000" w:sz="6" w:space="0"/>
              <w:bottom w:val="single" w:color="000000" w:sz="6" w:space="0"/>
              <w:right w:val="none" w:color="000000" w:sz="4" w:space="0"/>
            </w:tcBorders>
            <w:tcW w:w="4188" w:type="dxa"/>
            <w:vAlign w:val="top"/>
            <w:textDirection w:val="lrTb"/>
            <w:noWrap w:val="false"/>
          </w:tcPr>
          <w:p>
            <w:pPr>
              <w:pStyle w:val="728"/>
              <w:jc w:val="center"/>
              <w:rPr>
                <w:rFonts w:eastAsia="Times New Roman"/>
                <w:color w:val="000000"/>
                <w:sz w:val="24"/>
                <w:szCs w:val="24"/>
                <w:highlight w:val="none"/>
              </w:rPr>
            </w:pPr>
            <w:r>
              <w:rPr>
                <w:rFonts w:eastAsia="Times New Roman"/>
                <w:color w:val="000000"/>
                <w:sz w:val="24"/>
                <w:szCs w:val="24"/>
                <w:highlight w:val="none"/>
              </w:rPr>
              <w:t xml:space="preserve">合计：</w:t>
            </w:r>
            <w:r>
              <w:rPr>
                <w:rFonts w:eastAsia="Times New Roman"/>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03" w:type="dxa"/>
            <w:vAlign w:val="top"/>
            <w:textDirection w:val="lrTb"/>
            <w:noWrap w:val="false"/>
          </w:tcPr>
          <w:p>
            <w:pPr>
              <w:pStyle w:val="728"/>
              <w:jc w:val="center"/>
              <w:rPr>
                <w:color w:val="000000"/>
                <w:szCs w:val="24"/>
                <w:highlight w:val="none"/>
              </w:rPr>
            </w:pPr>
            <w:r>
              <w:rPr>
                <w:rFonts w:hint="eastAsia"/>
                <w:color w:val="000000"/>
                <w:szCs w:val="24"/>
                <w:highlight w:val="none"/>
              </w:rPr>
              <w:t xml:space="preserve">340</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961" w:type="dxa"/>
            <w:vAlign w:val="top"/>
            <w:textDirection w:val="lrTb"/>
            <w:noWrap w:val="false"/>
          </w:tcPr>
          <w:p>
            <w:pPr>
              <w:pStyle w:val="728"/>
              <w:jc w:val="center"/>
              <w:rPr>
                <w:rFonts w:eastAsia="Times New Roman"/>
                <w:color w:val="000000"/>
                <w:szCs w:val="24"/>
                <w:highlight w:val="none"/>
              </w:rPr>
            </w:pPr>
            <w:r>
              <w:rPr>
                <w:rFonts w:eastAsia="Times New Roman"/>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pStyle w:val="728"/>
              <w:jc w:val="center"/>
              <w:rPr>
                <w:rFonts w:eastAsia="Times New Roman"/>
                <w:color w:val="000000"/>
                <w:szCs w:val="24"/>
                <w:highlight w:val="none"/>
              </w:rPr>
            </w:pPr>
            <w:r>
              <w:rPr>
                <w:rFonts w:hint="eastAsia" w:eastAsia="Times New Roman"/>
                <w:color w:val="000000"/>
                <w:szCs w:val="24"/>
                <w:highlight w:val="none"/>
              </w:rPr>
              <w:t xml:space="preserve">84.2</w:t>
            </w:r>
            <w:r>
              <w:rPr>
                <w:rFonts w:eastAsia="Times New Roman"/>
                <w:color w:val="000000"/>
                <w:szCs w:val="24"/>
                <w:highlight w:val="none"/>
              </w:rPr>
            </w:r>
            <w:r/>
          </w:p>
        </w:tc>
      </w:tr>
    </w:tbl>
    <w:p>
      <w:pPr>
        <w:pStyle w:val="728"/>
        <w:ind w:firstLine="480"/>
        <w:jc w:val="both"/>
        <w:spacing w:after="0" w:line="560" w:lineRule="exact"/>
        <w:widowControl w:val="off"/>
        <w:tabs>
          <w:tab w:val="left" w:pos="900" w:leader="none"/>
        </w:tabs>
        <w:rPr>
          <w:rFonts w:ascii="宋体"/>
          <w:sz w:val="24"/>
          <w:highlight w:val="none"/>
        </w:rPr>
      </w:pPr>
      <w:r>
        <w:rPr>
          <w:rFonts w:hint="eastAsia" w:ascii="宋体"/>
          <w:sz w:val="24"/>
          <w:highlight w:val="none"/>
        </w:rPr>
        <w:t xml:space="preserve">4.评审顺序</w:t>
      </w:r>
      <w:r>
        <w:rPr>
          <w:rFonts w:ascii="宋体"/>
          <w:sz w:val="24"/>
          <w:highlight w:val="none"/>
        </w:rPr>
      </w:r>
      <w:r/>
    </w:p>
    <w:p>
      <w:pPr>
        <w:pStyle w:val="728"/>
        <w:ind w:firstLine="480"/>
        <w:jc w:val="both"/>
        <w:spacing w:after="0" w:line="560" w:lineRule="exact"/>
        <w:widowControl w:val="off"/>
        <w:tabs>
          <w:tab w:val="left" w:pos="900" w:leader="none"/>
        </w:tabs>
        <w:rPr>
          <w:rFonts w:hint="eastAsia" w:ascii="宋体" w:hAnsi="Arial"/>
          <w:sz w:val="24"/>
          <w:szCs w:val="24"/>
          <w:highlight w:val="none"/>
        </w:rPr>
      </w:pPr>
      <w:r/>
      <w:bookmarkStart w:id="16" w:name="_Hlk86587937"/>
      <w:r>
        <w:rPr>
          <w:rFonts w:hint="eastAsia" w:ascii="宋体" w:hAnsi="Arial"/>
          <w:sz w:val="24"/>
          <w:szCs w:val="24"/>
          <w:highlight w:val="none"/>
        </w:rPr>
        <w:t xml:space="preserve">评审时按照采购包1、采购包2……采购包4顺序依次评审，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至多中2个采购包。当某投标人按评审顺序已获任意2个采购包的拟中标人资格后，则不得再参加后续分包的评审，以此规则和顺序依次类推。</w:t>
      </w:r>
      <w:bookmarkEnd w:id="16"/>
      <w:r>
        <w:rPr>
          <w:rFonts w:hint="eastAsia" w:ascii="宋体" w:hAnsi="Arial"/>
          <w:sz w:val="24"/>
          <w:szCs w:val="24"/>
          <w:highlight w:val="none"/>
        </w:rPr>
      </w:r>
      <w:r/>
    </w:p>
    <w:p>
      <w:pPr>
        <w:pStyle w:val="866"/>
        <w:spacing w:before="0" w:after="0" w:line="560" w:lineRule="exact"/>
        <w:rPr>
          <w:rFonts w:ascii="宋体"/>
          <w:bCs/>
          <w:highlight w:val="none"/>
        </w:rPr>
      </w:pPr>
      <w:r/>
      <w:bookmarkEnd w:id="13"/>
      <w:r>
        <w:rPr>
          <w:rFonts w:hint="eastAsia" w:ascii="宋体"/>
          <w:highlight w:val="none"/>
        </w:rPr>
        <w:t xml:space="preserve">5.合同履行期限：自合同签订之日起至2026年11月30日完成。</w:t>
      </w:r>
      <w:bookmarkStart w:id="17" w:name="_Hlk162425189"/>
      <w:r>
        <w:rPr>
          <w:rFonts w:hint="eastAsia" w:ascii="宋体"/>
          <w:bCs/>
          <w:highlight w:val="none"/>
        </w:rPr>
        <w:t xml:space="preserve">合同履行期限内如财政预算发生重大调整则双方可无责终止合同或按政府采购相关规定执行。</w:t>
      </w:r>
      <w:bookmarkEnd w:id="17"/>
      <w:r>
        <w:rPr>
          <w:rFonts w:ascii="宋体"/>
          <w:bCs/>
          <w:highlight w:val="none"/>
        </w:rPr>
      </w:r>
      <w:r/>
    </w:p>
    <w:p>
      <w:pPr>
        <w:pStyle w:val="866"/>
        <w:spacing w:before="0"/>
        <w:rPr>
          <w:rFonts w:hint="eastAsia" w:ascii="宋体"/>
          <w:highlight w:val="none"/>
        </w:rPr>
      </w:pPr>
      <w:r>
        <w:rPr>
          <w:rFonts w:hint="eastAsia" w:ascii="宋体"/>
          <w:bCs/>
          <w:highlight w:val="none"/>
        </w:rPr>
        <w:t xml:space="preserve">6.项目所属行业：其他未列明行业</w:t>
      </w:r>
      <w:r>
        <w:rPr>
          <w:rFonts w:hint="eastAsia" w:ascii="宋体"/>
          <w:highlight w:val="none"/>
        </w:rPr>
      </w:r>
      <w:r/>
    </w:p>
    <w:p>
      <w:pPr>
        <w:pStyle w:val="728"/>
        <w:jc w:val="both"/>
        <w:spacing w:after="0" w:line="560" w:lineRule="exact"/>
        <w:widowControl w:val="off"/>
        <w:tabs>
          <w:tab w:val="left" w:pos="900" w:leader="none"/>
        </w:tabs>
        <w:rPr>
          <w:rFonts w:ascii="宋体"/>
          <w:b/>
          <w:bCs/>
          <w:sz w:val="24"/>
          <w:highlight w:val="none"/>
        </w:rPr>
      </w:pPr>
      <w:r>
        <w:rPr>
          <w:rFonts w:hint="eastAsia" w:ascii="宋体"/>
          <w:b/>
          <w:bCs/>
          <w:sz w:val="24"/>
          <w:highlight w:val="none"/>
        </w:rPr>
        <w:t xml:space="preserve">二、供应商资格要求</w:t>
      </w:r>
      <w:r>
        <w:rPr>
          <w:rFonts w:ascii="宋体"/>
          <w:b/>
          <w:bCs/>
          <w:sz w:val="24"/>
          <w:highlight w:val="none"/>
        </w:rPr>
      </w:r>
      <w:r/>
    </w:p>
    <w:p>
      <w:pPr>
        <w:pStyle w:val="728"/>
        <w:jc w:val="both"/>
        <w:spacing w:after="0" w:line="560" w:lineRule="exact"/>
        <w:widowControl w:val="off"/>
        <w:rPr>
          <w:rFonts w:ascii="仿宋_GB2312" w:hAnsi="仿宋_GB2312" w:cs="Arial"/>
          <w:iCs/>
          <w:sz w:val="24"/>
          <w:highlight w:val="none"/>
        </w:rPr>
      </w:pPr>
      <w:r/>
      <w:bookmarkStart w:id="18" w:name="_Hlk82177973"/>
      <w:r>
        <w:rPr>
          <w:rFonts w:hint="eastAsia" w:ascii="仿宋_GB2312" w:hAnsi="仿宋_GB2312" w:cs="Arial"/>
          <w:iCs/>
          <w:sz w:val="24"/>
          <w:highlight w:val="none"/>
        </w:rPr>
        <w:t xml:space="preserve">（一）</w:t>
      </w:r>
      <w:r>
        <w:rPr>
          <w:rFonts w:ascii="仿宋_GB2312" w:hAnsi="仿宋_GB2312" w:cs="Arial"/>
          <w:iCs/>
          <w:sz w:val="24"/>
          <w:highlight w:val="none"/>
        </w:rPr>
        <w:t xml:space="preserve">符合政府采购法</w:t>
      </w:r>
      <w:r>
        <w:rPr>
          <w:rFonts w:hint="eastAsia" w:ascii="仿宋_GB2312" w:hAnsi="仿宋_GB2312" w:cs="Arial"/>
          <w:iCs/>
          <w:sz w:val="24"/>
          <w:highlight w:val="none"/>
        </w:rPr>
        <w:t xml:space="preserve">律法规及监管部门要求的有关条件：</w:t>
      </w:r>
      <w:r>
        <w:rPr>
          <w:rFonts w:ascii="仿宋_GB2312" w:hAnsi="仿宋_GB2312" w:cs="Arial"/>
          <w:iCs/>
          <w:sz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符合《政府采购法》第二十二条、《政府采购法实施条例》第十七条及其他资格性规定并提供以下证明材料：</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1.</w:t>
      </w:r>
      <w:r>
        <w:rPr>
          <w:rFonts w:hint="eastAsia" w:ascii="仿宋_GB2312" w:hAnsi="仿宋_GB2312" w:cs="Arial"/>
          <w:iCs/>
          <w:sz w:val="24"/>
          <w:highlight w:val="none"/>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2. </w:t>
      </w:r>
      <w:r>
        <w:rPr>
          <w:rFonts w:hint="eastAsia" w:ascii="宋体" w:hAnsi="宋体" w:cs="Arial"/>
          <w:iCs/>
          <w:sz w:val="24"/>
          <w:highlight w:val="none"/>
        </w:rPr>
        <w:t xml:space="preserve">2024</w:t>
      </w:r>
      <w:r>
        <w:rPr>
          <w:rFonts w:hint="eastAsia" w:ascii="仿宋_GB2312" w:hAnsi="仿宋_GB2312" w:cs="Arial"/>
          <w:iCs/>
          <w:sz w:val="24"/>
          <w:highlight w:val="none"/>
        </w:rPr>
        <w:t xml:space="preserve">年度或</w:t>
      </w:r>
      <w:r>
        <w:rPr>
          <w:rFonts w:hint="eastAsia" w:ascii="宋体" w:hAnsi="宋体" w:cs="Arial"/>
          <w:iCs/>
          <w:sz w:val="24"/>
          <w:highlight w:val="none"/>
        </w:rPr>
        <w:t xml:space="preserve">2025年</w:t>
      </w:r>
      <w:r>
        <w:rPr>
          <w:rFonts w:hint="eastAsia" w:ascii="仿宋_GB2312" w:hAnsi="仿宋_GB2312" w:cs="Arial"/>
          <w:iCs/>
          <w:sz w:val="24"/>
          <w:highlight w:val="none"/>
        </w:rPr>
        <w:t xml:space="preserve">度的年度财务状况报告（复印件并加盖公章，成立不满一年仅需提供提交响应文件截止之日前一个月的会计报表）。</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3.</w:t>
      </w:r>
      <w:r>
        <w:rPr>
          <w:rFonts w:hint="eastAsia" w:ascii="仿宋_GB2312" w:hAnsi="仿宋_GB2312" w:cs="Arial"/>
          <w:iCs/>
          <w:sz w:val="24"/>
          <w:highlight w:val="none"/>
        </w:rPr>
        <w:t xml:space="preserve">依法缴纳税收的相关材料（距提交响应文件截止之日前的一年内任意一月相关证明材料复印件并加盖公章）。</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4.</w:t>
      </w:r>
      <w:r>
        <w:rPr>
          <w:rFonts w:hint="eastAsia" w:ascii="仿宋_GB2312" w:hAnsi="仿宋_GB2312" w:cs="Arial"/>
          <w:iCs/>
          <w:sz w:val="24"/>
          <w:highlight w:val="none"/>
        </w:rPr>
        <w:t xml:space="preserve">依法缴纳社会保障资金的相关材料（距提交响应文件截止之日前的一年内任意一月相关证明材料复印件并加盖公章）。</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5.</w:t>
      </w:r>
      <w:r>
        <w:rPr>
          <w:rFonts w:hint="eastAsia" w:ascii="仿宋_GB2312" w:hAnsi="仿宋_GB2312" w:cs="Arial"/>
          <w:iCs/>
          <w:sz w:val="24"/>
          <w:highlight w:val="none"/>
        </w:rPr>
        <w:t xml:space="preserve">具备履行合同所必需的设备和专业技术能力的书面声明（原件并加盖公章）。</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6.</w:t>
      </w:r>
      <w:r>
        <w:rPr>
          <w:rFonts w:hint="eastAsia" w:ascii="仿宋_GB2312" w:hAnsi="仿宋_GB2312" w:cs="Arial"/>
          <w:iCs/>
          <w:sz w:val="24"/>
          <w:highlight w:val="none"/>
        </w:rPr>
        <w:t xml:space="preserve">参加政府采购活动前3年内（距提交响应文件截止之日前）在经营活动中没有重大违法记录的书面声明（原件并加盖公章）。</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ascii="Calibri" w:hAnsi="Calibri"/>
          <w:sz w:val="21"/>
          <w:szCs w:val="24"/>
          <w:highlight w:val="none"/>
        </w:rPr>
      </w:pPr>
      <w:r>
        <w:rPr>
          <w:rFonts w:hint="eastAsia" w:ascii="宋体" w:hAnsi="宋体" w:cs="Arial"/>
          <w:iCs/>
          <w:color w:val="000000"/>
          <w:sz w:val="24"/>
          <w:szCs w:val="24"/>
          <w:highlight w:val="none"/>
        </w:rPr>
        <w:t xml:space="preserve">（二）</w:t>
      </w:r>
      <w:r>
        <w:rPr>
          <w:rFonts w:hint="eastAsia" w:ascii="宋体" w:hAnsi="宋体" w:cs="Arial"/>
          <w:iCs/>
          <w:sz w:val="24"/>
          <w:szCs w:val="24"/>
          <w:highlight w:val="none"/>
        </w:rPr>
        <w:t xml:space="preserve">本项目的特定资格要求：</w:t>
      </w:r>
      <w:r>
        <w:rPr>
          <w:rFonts w:ascii="Calibri" w:hAnsi="Calibri"/>
          <w:sz w:val="21"/>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正值 CMA 换证期间的，应提供：</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①旧证复印件和技术机构向发证机关递交的换证申请相关页（应具有覆盖所投产品检验项目的检验能力并对相应项目及标准做好明显标记）；</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②加盖法人单位和技术机构（如与法人单位不同）公章的承诺书，承诺新证书和检测能力能在旧证有效期届满前下达并持续有效，保证资质能达到本次工作要求。</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所投产品检验项目的检验能力正值新版标准资质申请期间的，应提供：</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①旧版标准资质认定附表相关页复印件；</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②加盖法人单位和技术机构（如与法人单位不同）公章的承诺书，承诺新版标准检测能力的资质认定能在检验任务实施前下达，保证资质能达到本次工作要求。</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2.投标人应具有能全部覆盖所投产品检验项目的检验能力（相关产品检验项目、检验依据及检测方法等要求详见招标文件第四章采购需求）。投标人应提</w:t>
      </w:r>
      <w:r>
        <w:rPr>
          <w:rFonts w:hint="eastAsia" w:ascii="宋体" w:hAnsi="宋体" w:cs="Arial"/>
          <w:iCs/>
          <w:color w:val="000000"/>
          <w:sz w:val="24"/>
          <w:szCs w:val="24"/>
          <w:highlight w:val="none"/>
        </w:rPr>
        <w:t xml:space="preserve">供能全部覆盖所投产品检验项目的检验能力证明文件。须附上述检验检测机构资质认定证书（CMA）附表相关页复印件，对相应项目、依据标准及检测方法做好明显标记。全部附表所对应的证书应为同一机构同一证书编号。备注：对不含检验检测方法的各类产品标准、限值标准可作为判定依据，不作为本项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sz w:val="24"/>
          <w:szCs w:val="24"/>
          <w:highlight w:val="none"/>
        </w:rPr>
      </w:pPr>
      <w:r>
        <w:rPr>
          <w:rFonts w:hint="eastAsia" w:ascii="宋体" w:hAnsi="宋体" w:cs="Arial"/>
          <w:iCs/>
          <w:color w:val="000000"/>
          <w:sz w:val="24"/>
          <w:szCs w:val="20"/>
          <w:highlight w:val="none"/>
        </w:rPr>
        <w:t xml:space="preserve">（三）本项目的其他资格要求</w:t>
      </w:r>
      <w:r>
        <w:rPr>
          <w:rFonts w:hint="eastAsia" w:ascii="宋体" w:hAnsi="宋体"/>
          <w:b/>
          <w:bCs/>
          <w:iCs/>
          <w:sz w:val="24"/>
          <w:szCs w:val="24"/>
          <w:highlight w:val="none"/>
        </w:rPr>
        <w:t xml:space="preserve">：</w:t>
      </w:r>
      <w:r>
        <w:rPr>
          <w:rFonts w:hint="eastAsia" w:ascii="宋体" w:hAnsi="宋体" w:cs="Arial"/>
          <w:iCs/>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1.未被“信用中国”网站（www.creditchina.gov.cn）、“中国政府采购网”网站（www.ccgp.gov.cn）列入失信被执行人、重大税收违法案件当事人名单、政府采购严重失信行为记录名单</w:t>
      </w:r>
      <w:r>
        <w:rPr>
          <w:rFonts w:hint="eastAsia" w:ascii="仿宋_GB2312" w:hAnsi="仿宋_GB2312" w:cs="Arial"/>
          <w:iCs/>
          <w:sz w:val="24"/>
          <w:highlight w:val="none"/>
        </w:rPr>
        <w:t xml:space="preserve">（承接单位可以不提供证明材料，以代理机构现场查询并截图留存为准）</w:t>
      </w:r>
      <w:r>
        <w:rPr>
          <w:rFonts w:hint="eastAsia" w:ascii="宋体" w:hAnsi="宋体" w:cs="Arial"/>
          <w:iCs/>
          <w:color w:val="000000"/>
          <w:sz w:val="24"/>
          <w:szCs w:val="24"/>
          <w:highlight w:val="none"/>
        </w:rPr>
        <w:t xml:space="preserve">。</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2.本项目</w:t>
      </w:r>
      <w:r>
        <w:rPr>
          <w:rFonts w:hint="eastAsia" w:ascii="宋体" w:hAnsi="宋体" w:cs="Arial"/>
          <w:iCs/>
          <w:color w:val="000000"/>
          <w:sz w:val="24"/>
          <w:szCs w:val="24"/>
          <w:highlight w:val="none"/>
          <w:u w:val="single"/>
        </w:rPr>
        <w:t xml:space="preserve">不接受</w:t>
      </w:r>
      <w:r>
        <w:rPr>
          <w:rFonts w:hint="eastAsia" w:ascii="宋体" w:hAnsi="宋体" w:cs="Arial"/>
          <w:iCs/>
          <w:color w:val="000000"/>
          <w:sz w:val="24"/>
          <w:szCs w:val="24"/>
          <w:highlight w:val="none"/>
        </w:rPr>
        <w:t xml:space="preserve">联合体投标。</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000000"/>
          <w:sz w:val="24"/>
          <w:szCs w:val="24"/>
          <w:highlight w:val="none"/>
        </w:rPr>
      </w:pPr>
      <w:r>
        <w:rPr>
          <w:rFonts w:hint="eastAsia" w:ascii="宋体" w:hAnsi="宋体" w:cs="Arial"/>
          <w:iCs/>
          <w:color w:val="000000"/>
          <w:sz w:val="24"/>
          <w:szCs w:val="24"/>
          <w:highlight w:val="none"/>
        </w:rPr>
        <w:t xml:space="preserve">3.本项目</w:t>
      </w:r>
      <w:r>
        <w:rPr>
          <w:rFonts w:hint="eastAsia" w:ascii="宋体" w:hAnsi="宋体" w:cs="Arial"/>
          <w:iCs/>
          <w:color w:val="000000"/>
          <w:sz w:val="24"/>
          <w:szCs w:val="24"/>
          <w:highlight w:val="none"/>
          <w:u w:val="single"/>
        </w:rPr>
        <w:t xml:space="preserve">不接受</w:t>
      </w:r>
      <w:r>
        <w:rPr>
          <w:rFonts w:hint="eastAsia" w:ascii="宋体" w:hAnsi="宋体" w:cs="Arial"/>
          <w:iCs/>
          <w:color w:val="000000"/>
          <w:sz w:val="24"/>
          <w:szCs w:val="24"/>
          <w:highlight w:val="none"/>
        </w:rPr>
        <w:t xml:space="preserve">进口产品投标。</w:t>
      </w:r>
      <w:r>
        <w:rPr>
          <w:rFonts w:ascii="宋体" w:hAnsi="宋体" w:cs="Arial"/>
          <w:iCs/>
          <w:color w:val="ff0000"/>
          <w:sz w:val="24"/>
          <w:szCs w:val="20"/>
          <w:highlight w:val="none"/>
        </w:rPr>
        <w:t xml:space="preserve"> </w:t>
      </w:r>
      <w:r>
        <w:rPr>
          <w:rFonts w:hint="eastAsia" w:ascii="宋体" w:hAnsi="宋体" w:cs="Arial"/>
          <w:iCs/>
          <w:color w:val="000000"/>
          <w:sz w:val="24"/>
          <w:szCs w:val="24"/>
          <w:highlight w:val="none"/>
        </w:rPr>
      </w:r>
      <w:r/>
    </w:p>
    <w:p>
      <w:pPr>
        <w:pStyle w:val="728"/>
        <w:ind w:firstLine="480"/>
        <w:jc w:val="both"/>
        <w:spacing w:after="0" w:line="560" w:lineRule="exact"/>
        <w:widowControl w:val="off"/>
        <w:rPr>
          <w:rFonts w:hint="eastAsia" w:ascii="宋体" w:hAnsi="宋体" w:cs="Arial"/>
          <w:iCs/>
          <w:color w:val="ff0000"/>
          <w:sz w:val="24"/>
          <w:szCs w:val="20"/>
          <w:highlight w:val="none"/>
        </w:rPr>
      </w:pPr>
      <w:r>
        <w:rPr>
          <w:rFonts w:hint="eastAsia" w:ascii="仿宋_GB2312" w:hAnsi="仿宋_GB2312" w:cs="Arial"/>
          <w:iCs/>
          <w:sz w:val="24"/>
          <w:szCs w:val="21"/>
          <w:highlight w:val="none"/>
        </w:rPr>
        <w:t xml:space="preserve">4.拒绝下述供应商参加本次采购活动：</w:t>
      </w:r>
      <w:r>
        <w:rPr>
          <w:rFonts w:hint="eastAsia" w:ascii="宋体" w:hAnsi="宋体" w:cs="Arial"/>
          <w:iCs/>
          <w:color w:val="ff0000"/>
          <w:sz w:val="24"/>
          <w:szCs w:val="20"/>
          <w:highlight w:val="none"/>
        </w:rPr>
      </w:r>
      <w:r/>
    </w:p>
    <w:p>
      <w:pPr>
        <w:pStyle w:val="728"/>
        <w:ind w:firstLine="480"/>
        <w:jc w:val="both"/>
        <w:spacing w:after="0" w:line="560" w:lineRule="exact"/>
        <w:widowControl w:val="off"/>
        <w:rPr>
          <w:rFonts w:hint="eastAsia" w:ascii="仿宋_GB2312" w:hAnsi="仿宋_GB2312" w:cs="Arial"/>
          <w:iCs/>
          <w:sz w:val="24"/>
          <w:szCs w:val="21"/>
          <w:highlight w:val="none"/>
        </w:rPr>
      </w:pPr>
      <w:r>
        <w:rPr>
          <w:rFonts w:hint="eastAsia" w:ascii="仿宋_GB2312" w:hAnsi="仿宋_GB2312" w:cs="Arial"/>
          <w:iCs/>
          <w:sz w:val="24"/>
          <w:szCs w:val="21"/>
          <w:highlight w:val="none"/>
        </w:rPr>
        <w:t xml:space="preserve">①供应商单位负责人为同一人或者存在直接控股、管理关系的不同供应商，不得参加同一合同项下的政府采购活动；</w:t>
      </w:r>
      <w:r>
        <w:rPr>
          <w:rFonts w:hint="eastAsia" w:ascii="仿宋_GB2312" w:hAnsi="仿宋_GB2312" w:cs="Arial"/>
          <w:iCs/>
          <w:sz w:val="24"/>
          <w:szCs w:val="21"/>
          <w:highlight w:val="none"/>
        </w:rPr>
      </w:r>
      <w:r/>
    </w:p>
    <w:p>
      <w:pPr>
        <w:pStyle w:val="728"/>
        <w:ind w:firstLine="480"/>
        <w:jc w:val="both"/>
        <w:spacing w:after="0" w:line="560" w:lineRule="exact"/>
        <w:widowControl w:val="off"/>
        <w:rPr>
          <w:rFonts w:hint="eastAsia" w:ascii="仿宋_GB2312" w:hAnsi="仿宋_GB2312" w:cs="Arial"/>
          <w:iCs/>
          <w:sz w:val="24"/>
          <w:szCs w:val="21"/>
          <w:highlight w:val="none"/>
        </w:rPr>
      </w:pPr>
      <w:r>
        <w:rPr>
          <w:rFonts w:hint="eastAsia" w:ascii="仿宋_GB2312" w:hAnsi="仿宋_GB2312" w:cs="Arial"/>
          <w:iCs/>
          <w:sz w:val="24"/>
          <w:szCs w:val="21"/>
          <w:highlight w:val="none"/>
        </w:rPr>
        <w:t xml:space="preserve">②凡为采购项目提供整体设计、规范编制或者项目管理、监理、检测等服务的供应商，不得再参加本项目的采购活动。</w:t>
      </w:r>
      <w:r>
        <w:rPr>
          <w:rFonts w:hint="eastAsia" w:ascii="仿宋_GB2312" w:hAnsi="仿宋_GB2312" w:cs="Arial"/>
          <w:iCs/>
          <w:sz w:val="24"/>
          <w:szCs w:val="21"/>
          <w:highlight w:val="none"/>
        </w:rPr>
      </w:r>
      <w:r/>
    </w:p>
    <w:p>
      <w:pPr>
        <w:pStyle w:val="728"/>
        <w:ind w:firstLine="480"/>
        <w:jc w:val="both"/>
        <w:spacing w:after="0" w:line="560" w:lineRule="exact"/>
        <w:widowControl w:val="off"/>
        <w:rPr>
          <w:rFonts w:hint="eastAsia" w:ascii="仿宋_GB2312" w:hAnsi="仿宋_GB2312" w:cs="Arial"/>
          <w:iCs/>
          <w:sz w:val="24"/>
          <w:szCs w:val="21"/>
          <w:highlight w:val="none"/>
        </w:rPr>
      </w:pPr>
      <w:r>
        <w:rPr>
          <w:rFonts w:hint="eastAsia" w:ascii="仿宋_GB2312" w:hAnsi="仿宋_GB2312" w:cs="Arial"/>
          <w:iCs/>
          <w:sz w:val="24"/>
          <w:highlight w:val="none"/>
        </w:rPr>
        <w:t xml:space="preserve">③公益一类事业单位、使用事业编制且由财政拨款保障的群团组织，不得参加本项目的采购活动。</w:t>
      </w:r>
      <w:r>
        <w:rPr>
          <w:rFonts w:hint="eastAsia" w:ascii="仿宋_GB2312" w:hAnsi="仿宋_GB2312" w:cs="Arial"/>
          <w:iCs/>
          <w:sz w:val="24"/>
          <w:szCs w:val="21"/>
          <w:highlight w:val="none"/>
        </w:rPr>
      </w:r>
      <w:r/>
    </w:p>
    <w:p>
      <w:pPr>
        <w:pStyle w:val="728"/>
        <w:jc w:val="both"/>
        <w:spacing w:after="0" w:line="560" w:lineRule="exact"/>
        <w:widowControl w:val="off"/>
        <w:tabs>
          <w:tab w:val="left" w:pos="900" w:leader="none"/>
        </w:tabs>
        <w:rPr>
          <w:rFonts w:ascii="宋体"/>
          <w:b/>
          <w:bCs/>
          <w:sz w:val="24"/>
          <w:highlight w:val="none"/>
        </w:rPr>
      </w:pPr>
      <w:r/>
      <w:bookmarkEnd w:id="18"/>
      <w:r>
        <w:rPr>
          <w:rFonts w:hint="eastAsia" w:ascii="宋体"/>
          <w:b/>
          <w:bCs/>
          <w:sz w:val="24"/>
          <w:highlight w:val="none"/>
        </w:rPr>
        <w:t xml:space="preserve">三、获取招标文件</w:t>
      </w:r>
      <w:r>
        <w:rPr>
          <w:rFonts w:ascii="宋体"/>
          <w:b/>
          <w:bCs/>
          <w:sz w:val="24"/>
          <w:highlight w:val="none"/>
        </w:rPr>
      </w:r>
      <w:r/>
    </w:p>
    <w:p>
      <w:pPr>
        <w:pStyle w:val="728"/>
        <w:ind w:firstLine="480"/>
        <w:jc w:val="both"/>
        <w:spacing w:after="62" w:line="560" w:lineRule="exact"/>
        <w:widowControl w:val="off"/>
        <w:tabs>
          <w:tab w:val="left" w:pos="900" w:leader="none"/>
        </w:tabs>
        <w:rPr>
          <w:rFonts w:ascii="宋体" w:eastAsia="宋体"/>
          <w:color w:val="000000"/>
          <w:sz w:val="24"/>
          <w:highlight w:val="none"/>
          <w:lang w:val="en-US" w:eastAsia="zh-CN"/>
        </w:rPr>
      </w:pPr>
      <w:r>
        <w:rPr>
          <w:rFonts w:hint="eastAsia" w:ascii="宋体"/>
          <w:color w:val="000000"/>
          <w:sz w:val="24"/>
          <w:highlight w:val="none"/>
        </w:rPr>
        <w:t xml:space="preserve">1.时间：自招标公告发布之日起</w:t>
      </w:r>
      <w:r>
        <w:rPr>
          <w:rFonts w:hint="eastAsia" w:ascii="宋体"/>
          <w:color w:val="000000"/>
          <w:sz w:val="24"/>
          <w:highlight w:val="none"/>
          <w:lang w:val="en-US" w:eastAsia="zh-CN"/>
        </w:rPr>
        <w:t xml:space="preserve">至2026年06月14日23：59分。</w:t>
      </w:r>
      <w:r>
        <w:rPr>
          <w:rFonts w:ascii="宋体" w:eastAsia="宋体"/>
          <w:color w:val="000000"/>
          <w:sz w:val="24"/>
          <w:highlight w:val="none"/>
          <w:lang w:val="en-US" w:eastAsia="zh-CN"/>
        </w:rPr>
      </w:r>
      <w:r/>
    </w:p>
    <w:p>
      <w:pPr>
        <w:pStyle w:val="728"/>
        <w:ind w:firstLine="480"/>
        <w:jc w:val="both"/>
        <w:spacing w:after="62" w:line="560" w:lineRule="exact"/>
        <w:widowControl w:val="off"/>
        <w:tabs>
          <w:tab w:val="left" w:pos="900" w:leader="none"/>
        </w:tabs>
        <w:rPr>
          <w:rFonts w:ascii="宋体"/>
          <w:color w:val="000000"/>
          <w:sz w:val="24"/>
          <w:highlight w:val="none"/>
        </w:rPr>
      </w:pPr>
      <w:r>
        <w:rPr>
          <w:rFonts w:hint="eastAsia" w:ascii="宋体"/>
          <w:color w:val="000000"/>
          <w:sz w:val="24"/>
          <w:highlight w:val="none"/>
        </w:rPr>
        <w:t xml:space="preserve">2.方式：在“江苏政府采购网”自行免费下载招标文件。</w:t>
      </w:r>
      <w:r>
        <w:rPr>
          <w:rFonts w:ascii="宋体"/>
          <w:color w:val="000000"/>
          <w:sz w:val="24"/>
          <w:highlight w:val="none"/>
        </w:rPr>
      </w:r>
      <w:r/>
    </w:p>
    <w:p>
      <w:pPr>
        <w:pStyle w:val="728"/>
        <w:ind w:firstLine="480"/>
        <w:jc w:val="both"/>
        <w:spacing w:after="62" w:line="560" w:lineRule="exact"/>
        <w:widowControl w:val="off"/>
        <w:tabs>
          <w:tab w:val="left" w:pos="900" w:leader="none"/>
        </w:tabs>
        <w:rPr>
          <w:rFonts w:ascii="宋体"/>
          <w:color w:val="000000"/>
          <w:sz w:val="24"/>
          <w:highlight w:val="none"/>
        </w:rPr>
      </w:pPr>
      <w:r>
        <w:rPr>
          <w:rFonts w:hint="eastAsia" w:ascii="宋体"/>
          <w:color w:val="000000"/>
          <w:sz w:val="24"/>
          <w:highlight w:val="none"/>
        </w:rPr>
        <w:t xml:space="preserve">注：查看公告附件链接的采购文件不代表参与投标，供应商须登陆“江苏政府采购网”→首页点击“苏采云”</w:t>
      </w:r>
      <w:bookmarkStart w:id="19" w:name="_Hlk219329385"/>
      <w:r>
        <w:rPr>
          <w:rFonts w:hint="eastAsia" w:ascii="宋体"/>
          <w:color w:val="000000"/>
          <w:sz w:val="24"/>
          <w:highlight w:val="none"/>
        </w:rPr>
        <w:t xml:space="preserve">→</w:t>
      </w:r>
      <w:bookmarkEnd w:id="19"/>
      <w:r>
        <w:rPr>
          <w:rFonts w:ascii="宋体"/>
          <w:color w:val="000000"/>
          <w:sz w:val="24"/>
          <w:highlight w:val="none"/>
        </w:rPr>
        <w:t xml:space="preserve">点击“用户注册”</w:t>
      </w:r>
      <w:r>
        <w:rPr>
          <w:rFonts w:hint="eastAsia" w:ascii="宋体"/>
          <w:color w:val="000000"/>
          <w:sz w:val="24"/>
          <w:highlight w:val="none"/>
        </w:rPr>
        <w:t xml:space="preserve">→</w:t>
      </w:r>
      <w:r>
        <w:rPr>
          <w:rFonts w:ascii="宋体"/>
          <w:color w:val="000000"/>
          <w:sz w:val="24"/>
          <w:highlight w:val="none"/>
        </w:rPr>
        <w:t xml:space="preserve">“新CA办理指南”</w:t>
      </w:r>
      <w:r>
        <w:rPr>
          <w:rFonts w:hint="eastAsia" w:ascii="宋体"/>
          <w:color w:val="000000"/>
          <w:sz w:val="24"/>
          <w:highlight w:val="none"/>
        </w:rPr>
        <w:t xml:space="preserve"> →</w:t>
      </w:r>
      <w:r>
        <w:rPr>
          <w:rFonts w:ascii="宋体"/>
          <w:color w:val="000000"/>
          <w:sz w:val="24"/>
          <w:highlight w:val="none"/>
        </w:rPr>
        <w:t xml:space="preserve">获取CA后绑定、登录系统</w:t>
      </w:r>
      <w:r>
        <w:rPr>
          <w:rFonts w:hint="eastAsia" w:ascii="宋体"/>
          <w:color w:val="000000"/>
          <w:sz w:val="24"/>
          <w:highlight w:val="none"/>
        </w:rPr>
        <w:t xml:space="preserve">→“项目参与”→“可参与项目”→“我要参与”，参与成功后到“已参与项目”界面中找到该项目，办理投标登记手续、正式获取并下载采购文件</w:t>
      </w:r>
      <w:r>
        <w:rPr>
          <w:rFonts w:ascii="宋体" w:hAnsi="宋体" w:cs="宋体"/>
          <w:color w:val="000000"/>
          <w:sz w:val="24"/>
          <w:szCs w:val="24"/>
          <w:highlight w:val="none"/>
        </w:rPr>
        <w:t xml:space="preserve">（文件后缀名为“.kedt”）</w:t>
      </w:r>
      <w:r>
        <w:rPr>
          <w:rFonts w:hint="eastAsia" w:ascii="宋体" w:hAnsi="宋体" w:cs="宋体"/>
          <w:color w:val="000000"/>
          <w:sz w:val="24"/>
          <w:szCs w:val="24"/>
          <w:highlight w:val="none"/>
        </w:rPr>
        <w:t xml:space="preserve">。详细步骤请查看并以《苏采云系统供应商操作手册》为准。</w:t>
      </w:r>
      <w:r>
        <w:rPr>
          <w:rFonts w:ascii="宋体"/>
          <w:color w:val="000000"/>
          <w:sz w:val="24"/>
          <w:highlight w:val="none"/>
        </w:rPr>
      </w:r>
      <w:r/>
    </w:p>
    <w:p>
      <w:pPr>
        <w:pStyle w:val="728"/>
        <w:jc w:val="both"/>
        <w:spacing w:after="0" w:line="560" w:lineRule="exact"/>
        <w:widowControl w:val="off"/>
        <w:tabs>
          <w:tab w:val="left" w:pos="900" w:leader="none"/>
        </w:tabs>
        <w:rPr>
          <w:rFonts w:ascii="宋体"/>
          <w:b/>
          <w:bCs/>
          <w:sz w:val="24"/>
          <w:highlight w:val="none"/>
        </w:rPr>
      </w:pPr>
      <w:r>
        <w:rPr>
          <w:rFonts w:hint="eastAsia" w:ascii="宋体"/>
          <w:b/>
          <w:bCs/>
          <w:sz w:val="24"/>
          <w:highlight w:val="none"/>
        </w:rPr>
        <w:t xml:space="preserve">四、提交投标文件截止时间、开标时间和地点</w:t>
      </w:r>
      <w:r>
        <w:rPr>
          <w:rFonts w:ascii="宋体"/>
          <w:b/>
          <w:bCs/>
          <w:sz w:val="24"/>
          <w:highlight w:val="none"/>
        </w:rPr>
      </w:r>
      <w:r/>
    </w:p>
    <w:p>
      <w:pPr>
        <w:pStyle w:val="728"/>
        <w:ind w:firstLine="480"/>
        <w:jc w:val="both"/>
        <w:spacing w:after="156" w:line="560" w:lineRule="exact"/>
        <w:widowControl w:val="off"/>
        <w:rPr>
          <w:rFonts w:ascii="宋体" w:cs="Arial"/>
          <w:sz w:val="24"/>
          <w:szCs w:val="20"/>
          <w:highlight w:val="none"/>
        </w:rPr>
      </w:pPr>
      <w:r>
        <w:rPr>
          <w:rFonts w:hint="eastAsia" w:ascii="宋体" w:cs="Arial"/>
          <w:sz w:val="24"/>
          <w:szCs w:val="20"/>
          <w:highlight w:val="none"/>
        </w:rPr>
        <w:t xml:space="preserve">1.投标文件接收截止时间及开标时间：2026年</w:t>
      </w:r>
      <w:r>
        <w:rPr>
          <w:rFonts w:hint="eastAsia" w:ascii="宋体" w:cs="Arial"/>
          <w:sz w:val="24"/>
          <w:szCs w:val="20"/>
          <w:highlight w:val="none"/>
          <w:lang w:val="en-US" w:eastAsia="zh-CN"/>
        </w:rPr>
        <w:t xml:space="preserve">06</w:t>
      </w:r>
      <w:r>
        <w:rPr>
          <w:rFonts w:hint="eastAsia" w:ascii="宋体" w:cs="Arial"/>
          <w:sz w:val="24"/>
          <w:szCs w:val="20"/>
          <w:highlight w:val="none"/>
        </w:rPr>
        <w:t xml:space="preserve">月</w:t>
      </w:r>
      <w:r>
        <w:rPr>
          <w:rFonts w:hint="eastAsia" w:ascii="宋体" w:cs="Arial"/>
          <w:sz w:val="24"/>
          <w:szCs w:val="20"/>
          <w:highlight w:val="none"/>
          <w:lang w:val="en-US" w:eastAsia="zh-CN"/>
        </w:rPr>
        <w:t xml:space="preserve">24</w:t>
      </w:r>
      <w:r>
        <w:rPr>
          <w:rFonts w:hint="eastAsia" w:ascii="宋体" w:cs="Arial"/>
          <w:sz w:val="24"/>
          <w:szCs w:val="20"/>
          <w:highlight w:val="none"/>
        </w:rPr>
        <w:t xml:space="preserve">日</w:t>
      </w:r>
      <w:r>
        <w:rPr>
          <w:rFonts w:hint="eastAsia" w:ascii="宋体" w:cs="Arial"/>
          <w:sz w:val="24"/>
          <w:szCs w:val="20"/>
          <w:highlight w:val="none"/>
          <w:lang w:val="en-US" w:eastAsia="zh-CN"/>
        </w:rPr>
        <w:t xml:space="preserve">14</w:t>
      </w:r>
      <w:r>
        <w:rPr>
          <w:rFonts w:hint="eastAsia" w:ascii="宋体" w:cs="Arial"/>
          <w:sz w:val="24"/>
          <w:szCs w:val="20"/>
          <w:highlight w:val="none"/>
        </w:rPr>
        <w:t xml:space="preserve">:</w:t>
      </w:r>
      <w:r>
        <w:rPr>
          <w:rFonts w:hint="eastAsia" w:ascii="宋体" w:cs="Arial"/>
          <w:sz w:val="24"/>
          <w:szCs w:val="20"/>
          <w:highlight w:val="none"/>
          <w:lang w:val="en-US" w:eastAsia="zh-CN"/>
        </w:rPr>
        <w:t xml:space="preserve">0</w:t>
      </w:r>
      <w:r>
        <w:rPr>
          <w:rFonts w:hint="eastAsia" w:ascii="宋体" w:cs="Arial"/>
          <w:sz w:val="24"/>
          <w:szCs w:val="20"/>
          <w:highlight w:val="none"/>
        </w:rPr>
        <w:t xml:space="preserve">0（北京时间）</w:t>
      </w:r>
      <w:r>
        <w:rPr>
          <w:rFonts w:ascii="宋体" w:cs="Arial"/>
          <w:sz w:val="24"/>
          <w:szCs w:val="20"/>
          <w:highlight w:val="none"/>
        </w:rPr>
      </w:r>
      <w:r/>
    </w:p>
    <w:p>
      <w:pPr>
        <w:pStyle w:val="728"/>
        <w:ind w:firstLine="480"/>
        <w:jc w:val="both"/>
        <w:spacing w:after="156" w:line="560" w:lineRule="exact"/>
        <w:widowControl w:val="off"/>
        <w:rPr>
          <w:rFonts w:ascii="宋体" w:cs="Arial"/>
          <w:sz w:val="24"/>
          <w:szCs w:val="20"/>
          <w:highlight w:val="none"/>
        </w:rPr>
      </w:pPr>
      <w:r>
        <w:rPr>
          <w:rFonts w:hint="eastAsia" w:ascii="宋体" w:cs="Arial"/>
          <w:sz w:val="24"/>
          <w:szCs w:val="20"/>
          <w:highlight w:val="none"/>
        </w:rPr>
        <w:t xml:space="preserve">2.地点：“苏采云”政府采购交易系统网上开标大厅。</w:t>
      </w:r>
      <w:r>
        <w:rPr>
          <w:rFonts w:ascii="宋体" w:cs="Arial"/>
          <w:sz w:val="24"/>
          <w:szCs w:val="20"/>
          <w:highlight w:val="none"/>
        </w:rPr>
      </w:r>
      <w:r/>
    </w:p>
    <w:p>
      <w:pPr>
        <w:pStyle w:val="728"/>
        <w:jc w:val="both"/>
        <w:spacing w:after="0" w:line="560" w:lineRule="exact"/>
        <w:widowControl w:val="off"/>
        <w:tabs>
          <w:tab w:val="left" w:pos="900" w:leader="none"/>
        </w:tabs>
        <w:rPr>
          <w:rFonts w:hint="eastAsia" w:ascii="宋体" w:hAnsi="宋体" w:cs="宋体"/>
          <w:b/>
          <w:sz w:val="24"/>
          <w:szCs w:val="24"/>
          <w:highlight w:val="none"/>
        </w:rPr>
      </w:pPr>
      <w:r/>
      <w:bookmarkStart w:id="20" w:name="_Toc35393625"/>
      <w:r/>
      <w:bookmarkStart w:id="21" w:name="_Toc28359084"/>
      <w:r/>
      <w:bookmarkStart w:id="22" w:name="_Toc28359007"/>
      <w:r/>
      <w:bookmarkStart w:id="23" w:name="_Toc35393794"/>
      <w:r>
        <w:rPr>
          <w:rFonts w:hint="eastAsia" w:ascii="宋体" w:hAnsi="宋体" w:cs="宋体"/>
          <w:b/>
          <w:sz w:val="24"/>
          <w:szCs w:val="24"/>
          <w:highlight w:val="none"/>
        </w:rPr>
        <w:t xml:space="preserve">五、公告期限</w:t>
      </w:r>
      <w:bookmarkEnd w:id="20"/>
      <w:r/>
      <w:bookmarkEnd w:id="21"/>
      <w:r/>
      <w:bookmarkEnd w:id="22"/>
      <w:r/>
      <w:bookmarkEnd w:id="23"/>
      <w:r>
        <w:rPr>
          <w:rFonts w:hint="eastAsia" w:ascii="宋体" w:hAnsi="宋体" w:cs="宋体"/>
          <w:b/>
          <w:sz w:val="24"/>
          <w:szCs w:val="24"/>
          <w:highlight w:val="none"/>
        </w:rPr>
      </w:r>
      <w:r/>
    </w:p>
    <w:p>
      <w:pPr>
        <w:pStyle w:val="728"/>
        <w:ind w:firstLine="480"/>
        <w:jc w:val="both"/>
        <w:spacing w:after="62"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rPr>
          <w:rFonts w:hint="eastAsia" w:ascii="宋体" w:hAnsi="宋体"/>
          <w:bCs/>
          <w:sz w:val="24"/>
          <w:szCs w:val="24"/>
          <w:highlight w:val="none"/>
        </w:rPr>
      </w:r>
      <w:r/>
    </w:p>
    <w:p>
      <w:pPr>
        <w:pStyle w:val="728"/>
        <w:ind w:firstLine="240"/>
        <w:rPr>
          <w:rFonts w:ascii="宋体" w:hAnsi="宋体"/>
          <w:bCs/>
          <w:sz w:val="24"/>
          <w:szCs w:val="24"/>
          <w:highlight w:val="none"/>
        </w:rPr>
      </w:pPr>
      <w:r>
        <w:rPr>
          <w:rFonts w:hint="eastAsia" w:ascii="宋体" w:hAnsi="宋体"/>
          <w:bCs/>
          <w:sz w:val="24"/>
          <w:szCs w:val="24"/>
          <w:highlight w:val="none"/>
        </w:rPr>
        <w:t xml:space="preserve">江苏政府采购网：</w:t>
      </w:r>
      <w:r>
        <w:rPr>
          <w:rFonts w:ascii="宋体" w:hAnsi="宋体"/>
          <w:bCs/>
          <w:sz w:val="24"/>
          <w:szCs w:val="24"/>
          <w:highlight w:val="none"/>
        </w:rPr>
        <w:t xml:space="preserve">http://www.ccgp-jiangsu.gov.cn/</w:t>
      </w:r>
      <w:r>
        <w:rPr>
          <w:rFonts w:ascii="宋体" w:hAnsi="宋体"/>
          <w:bCs/>
          <w:sz w:val="24"/>
          <w:szCs w:val="24"/>
          <w:highlight w:val="none"/>
        </w:rPr>
      </w:r>
      <w:r/>
    </w:p>
    <w:p>
      <w:pPr>
        <w:pStyle w:val="728"/>
        <w:jc w:val="both"/>
        <w:spacing w:after="0" w:line="560" w:lineRule="exact"/>
        <w:widowControl w:val="off"/>
        <w:tabs>
          <w:tab w:val="left" w:pos="900" w:leader="none"/>
        </w:tabs>
        <w:rPr>
          <w:rFonts w:hint="eastAsia" w:ascii="宋体" w:hAnsi="宋体" w:cs="宋体"/>
          <w:b/>
          <w:sz w:val="24"/>
          <w:szCs w:val="24"/>
          <w:highlight w:val="none"/>
        </w:rPr>
      </w:pPr>
      <w:r>
        <w:rPr>
          <w:rFonts w:hint="eastAsia" w:ascii="宋体" w:hAnsi="宋体" w:cs="宋体"/>
          <w:b/>
          <w:sz w:val="24"/>
          <w:szCs w:val="24"/>
          <w:highlight w:val="none"/>
        </w:rPr>
        <w:t xml:space="preserve">六、其他补充事宜</w:t>
      </w:r>
      <w:r>
        <w:rPr>
          <w:rFonts w:hint="eastAsia" w:ascii="宋体" w:hAnsi="宋体" w:cs="宋体"/>
          <w:b/>
          <w:sz w:val="24"/>
          <w:szCs w:val="24"/>
          <w:highlight w:val="none"/>
        </w:rPr>
      </w:r>
      <w:r/>
    </w:p>
    <w:p>
      <w:pPr>
        <w:pStyle w:val="728"/>
        <w:ind w:firstLine="480"/>
        <w:jc w:val="both"/>
        <w:spacing w:after="62" w:line="560" w:lineRule="exact"/>
        <w:widowControl w:val="off"/>
        <w:rPr>
          <w:rFonts w:hint="eastAsia"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本采购文件中标★部分为实质性投标条件，为必须遵守的条件，如不满足将作无效投标文件处理。</w:t>
      </w:r>
      <w:r>
        <w:rPr>
          <w:rFonts w:hint="eastAsia" w:ascii="宋体" w:hAnsi="宋体" w:cs="宋体"/>
          <w:sz w:val="24"/>
          <w:szCs w:val="24"/>
          <w:highlight w:val="none"/>
        </w:rPr>
      </w:r>
      <w:r/>
    </w:p>
    <w:p>
      <w:pPr>
        <w:pStyle w:val="728"/>
        <w:ind w:firstLine="480"/>
        <w:jc w:val="both"/>
        <w:spacing w:after="62" w:line="560" w:lineRule="exact"/>
        <w:widowControl w:val="off"/>
        <w:rPr>
          <w:rFonts w:hint="eastAsia"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rPr>
          <w:rFonts w:hint="eastAsia" w:ascii="宋体" w:hAnsi="宋体" w:cs="宋体"/>
          <w:sz w:val="24"/>
          <w:szCs w:val="24"/>
          <w:highlight w:val="none"/>
        </w:rPr>
      </w:r>
      <w:r/>
    </w:p>
    <w:p>
      <w:pPr>
        <w:pStyle w:val="728"/>
        <w:ind w:firstLine="480"/>
        <w:jc w:val="both"/>
        <w:spacing w:after="62" w:line="560" w:lineRule="exact"/>
        <w:widowControl w:val="off"/>
        <w:rPr>
          <w:rFonts w:hint="eastAsia"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本采购项目为</w:t>
      </w:r>
      <w:r>
        <w:rPr>
          <w:rFonts w:hint="eastAsia" w:ascii="宋体" w:hAnsi="宋体" w:cs="宋体"/>
          <w:b/>
          <w:bCs/>
          <w:sz w:val="24"/>
          <w:szCs w:val="24"/>
          <w:highlight w:val="none"/>
        </w:rPr>
        <w:t xml:space="preserve">非预留</w:t>
      </w:r>
      <w:r>
        <w:rPr>
          <w:rFonts w:hint="eastAsia" w:ascii="宋体" w:hAnsi="宋体" w:cs="宋体"/>
          <w:sz w:val="24"/>
          <w:szCs w:val="24"/>
          <w:highlight w:val="none"/>
        </w:rPr>
        <w:t xml:space="preserve">份额专门面向中小企业的采购项目。本采购项目落实的政府采购政策：</w:t>
      </w:r>
      <w:r>
        <w:rPr>
          <w:rFonts w:hint="eastAsia" w:ascii="宋体" w:hAnsi="宋体" w:cs="宋体"/>
          <w:sz w:val="24"/>
          <w:szCs w:val="24"/>
          <w:highlight w:val="none"/>
        </w:rPr>
      </w:r>
      <w:r/>
    </w:p>
    <w:p>
      <w:pPr>
        <w:pStyle w:val="728"/>
        <w:ind w:firstLine="480"/>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①</w:t>
      </w:r>
      <w:r>
        <w:rPr>
          <w:rFonts w:ascii="宋体" w:hAnsi="宋体" w:cs="宋体"/>
          <w:sz w:val="24"/>
          <w:szCs w:val="24"/>
          <w:highlight w:val="none"/>
        </w:rPr>
        <w:t xml:space="preserve">政府采购促进中小企业发展政策；</w:t>
      </w:r>
      <w:r>
        <w:rPr>
          <w:rFonts w:hint="eastAsia" w:ascii="宋体" w:hAnsi="宋体" w:cs="宋体"/>
          <w:sz w:val="24"/>
          <w:szCs w:val="24"/>
          <w:highlight w:val="none"/>
        </w:rPr>
      </w:r>
      <w:r/>
    </w:p>
    <w:p>
      <w:pPr>
        <w:pStyle w:val="728"/>
        <w:ind w:firstLine="480"/>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②</w:t>
      </w:r>
      <w:r>
        <w:rPr>
          <w:rFonts w:ascii="宋体" w:hAnsi="宋体" w:cs="宋体"/>
          <w:sz w:val="24"/>
          <w:szCs w:val="24"/>
          <w:highlight w:val="none"/>
        </w:rPr>
        <w:t xml:space="preserve">政府采购促进残疾人就业政策；</w:t>
      </w:r>
      <w:r>
        <w:rPr>
          <w:rFonts w:hint="eastAsia" w:ascii="宋体" w:hAnsi="宋体" w:cs="宋体"/>
          <w:sz w:val="24"/>
          <w:szCs w:val="24"/>
          <w:highlight w:val="none"/>
        </w:rPr>
      </w:r>
      <w:r/>
    </w:p>
    <w:p>
      <w:pPr>
        <w:pStyle w:val="728"/>
        <w:ind w:firstLine="480"/>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③</w:t>
      </w:r>
      <w:r>
        <w:rPr>
          <w:rFonts w:ascii="宋体" w:hAnsi="宋体" w:cs="宋体"/>
          <w:sz w:val="24"/>
          <w:szCs w:val="24"/>
          <w:highlight w:val="none"/>
        </w:rPr>
        <w:t xml:space="preserve">政府采购支持监狱企业发展政策；</w:t>
      </w:r>
      <w:r>
        <w:rPr>
          <w:rFonts w:hint="eastAsia" w:ascii="宋体" w:hAnsi="宋体" w:cs="宋体"/>
          <w:sz w:val="24"/>
          <w:szCs w:val="24"/>
          <w:highlight w:val="none"/>
        </w:rPr>
      </w:r>
      <w:r/>
    </w:p>
    <w:p>
      <w:pPr>
        <w:pStyle w:val="728"/>
        <w:ind w:firstLine="480"/>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④</w:t>
      </w:r>
      <w:r>
        <w:rPr>
          <w:rFonts w:ascii="宋体" w:hAnsi="宋体" w:cs="宋体"/>
          <w:sz w:val="24"/>
          <w:szCs w:val="24"/>
          <w:highlight w:val="none"/>
        </w:rPr>
        <w:t xml:space="preserve">优先采购节能环保产品政策</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28"/>
        <w:ind w:firstLine="480"/>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⑤落实政府采购政策需满足的资格要求：需满足《政府采购促进中小企业发展管理办法》（财库</w:t>
      </w:r>
      <w:r>
        <w:rPr>
          <w:rFonts w:ascii="宋体" w:hAnsi="宋体" w:cs="宋体"/>
          <w:sz w:val="24"/>
          <w:szCs w:val="24"/>
          <w:highlight w:val="none"/>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s="宋体"/>
          <w:sz w:val="24"/>
          <w:szCs w:val="24"/>
          <w:highlight w:val="none"/>
        </w:rPr>
      </w:r>
      <w:r/>
    </w:p>
    <w:p>
      <w:pPr>
        <w:pStyle w:val="728"/>
        <w:ind w:firstLine="480"/>
        <w:jc w:val="both"/>
        <w:spacing w:after="62" w:line="560" w:lineRule="exact"/>
        <w:widowControl w:val="off"/>
        <w:rPr>
          <w:rFonts w:ascii="宋体" w:hAnsi="宋体" w:cs="宋体"/>
          <w:sz w:val="24"/>
          <w:szCs w:val="24"/>
          <w:highlight w:val="none"/>
        </w:rPr>
      </w:pPr>
      <w:r>
        <w:rPr>
          <w:rFonts w:hint="eastAsia" w:ascii="宋体" w:hAnsi="宋体" w:cs="宋体"/>
          <w:sz w:val="24"/>
          <w:szCs w:val="24"/>
          <w:highlight w:val="none"/>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highlight w:val="none"/>
        </w:rPr>
      </w:r>
      <w:r/>
    </w:p>
    <w:p>
      <w:pPr>
        <w:pStyle w:val="728"/>
        <w:jc w:val="both"/>
        <w:spacing w:after="62" w:line="56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http://www.ccgp-jiangsu.gov.cn/jiangsu/zlxz/ee/ee3a4bc5a3454aa2b0d9312230633ce9.html（“苏采云”南京地区客服热线025-83633744、025-83633743）。</w:t>
      </w:r>
      <w:r>
        <w:rPr>
          <w:rFonts w:hint="eastAsia" w:ascii="宋体" w:hAnsi="宋体" w:cs="宋体"/>
          <w:sz w:val="24"/>
          <w:szCs w:val="24"/>
          <w:highlight w:val="none"/>
        </w:rPr>
      </w:r>
      <w:r/>
    </w:p>
    <w:p>
      <w:pPr>
        <w:pStyle w:val="728"/>
        <w:jc w:val="both"/>
        <w:spacing w:after="0" w:line="560" w:lineRule="exact"/>
        <w:widowControl w:val="off"/>
        <w:tabs>
          <w:tab w:val="left" w:pos="900" w:leader="none"/>
        </w:tabs>
        <w:rPr>
          <w:rFonts w:ascii="宋体"/>
          <w:b/>
          <w:bCs/>
          <w:sz w:val="24"/>
          <w:highlight w:val="none"/>
        </w:rPr>
      </w:pPr>
      <w:r>
        <w:rPr>
          <w:rFonts w:hint="eastAsia" w:ascii="宋体"/>
          <w:b/>
          <w:bCs/>
          <w:sz w:val="24"/>
          <w:highlight w:val="none"/>
        </w:rPr>
        <w:t xml:space="preserve">七、本次招标联系事项</w:t>
      </w:r>
      <w:r>
        <w:rPr>
          <w:rFonts w:ascii="宋体"/>
          <w:b/>
          <w:bCs/>
          <w:sz w:val="24"/>
          <w:highlight w:val="none"/>
        </w:rPr>
      </w:r>
      <w:r/>
    </w:p>
    <w:p>
      <w:pPr>
        <w:pStyle w:val="728"/>
        <w:ind w:firstLine="480"/>
        <w:jc w:val="both"/>
        <w:spacing w:after="0" w:line="560" w:lineRule="exact"/>
        <w:widowControl w:val="off"/>
        <w:rPr>
          <w:rFonts w:ascii="宋体"/>
          <w:sz w:val="24"/>
          <w:highlight w:val="none"/>
        </w:rPr>
      </w:pPr>
      <w:r/>
      <w:bookmarkStart w:id="24" w:name="_Hlk47018607"/>
      <w:r>
        <w:rPr>
          <w:rFonts w:hint="eastAsia" w:ascii="宋体"/>
          <w:sz w:val="24"/>
          <w:highlight w:val="none"/>
        </w:rPr>
        <w:t xml:space="preserve">1.采购人联系方式</w:t>
      </w:r>
      <w:r>
        <w:rPr>
          <w:rFonts w:ascii="宋体"/>
          <w:sz w:val="24"/>
          <w:highlight w:val="none"/>
        </w:rPr>
      </w:r>
      <w:r/>
    </w:p>
    <w:p>
      <w:pPr>
        <w:pStyle w:val="728"/>
        <w:ind w:firstLine="480"/>
        <w:jc w:val="both"/>
        <w:spacing w:after="0" w:line="560" w:lineRule="exact"/>
        <w:widowControl w:val="off"/>
        <w:rPr>
          <w:rFonts w:hint="eastAsia" w:ascii="宋体"/>
          <w:sz w:val="24"/>
          <w:highlight w:val="none"/>
        </w:rPr>
      </w:pPr>
      <w:r>
        <w:rPr>
          <w:rFonts w:hint="eastAsia" w:ascii="宋体"/>
          <w:sz w:val="24"/>
          <w:highlight w:val="none"/>
        </w:rPr>
        <w:t xml:space="preserve">单位名称：</w:t>
      </w:r>
      <w:r>
        <w:rPr>
          <w:rFonts w:hint="eastAsia" w:ascii="宋体"/>
          <w:sz w:val="24"/>
          <w:highlight w:val="none"/>
          <w:lang w:val="zh-CN"/>
        </w:rPr>
        <w:t xml:space="preserve">江苏省市场监督管理局</w:t>
      </w:r>
      <w:r>
        <w:rPr>
          <w:rFonts w:hint="eastAsia" w:ascii="宋体"/>
          <w:sz w:val="24"/>
          <w:highlight w:val="none"/>
        </w:rPr>
      </w:r>
      <w:r/>
    </w:p>
    <w:p>
      <w:pPr>
        <w:pStyle w:val="728"/>
        <w:ind w:firstLine="480"/>
        <w:jc w:val="both"/>
        <w:spacing w:after="0" w:line="560" w:lineRule="exact"/>
        <w:widowControl w:val="off"/>
        <w:rPr>
          <w:rFonts w:hint="eastAsia" w:ascii="宋体"/>
          <w:sz w:val="24"/>
          <w:highlight w:val="none"/>
        </w:rPr>
      </w:pPr>
      <w:r>
        <w:rPr>
          <w:rFonts w:hint="eastAsia" w:ascii="宋体"/>
          <w:sz w:val="24"/>
          <w:highlight w:val="none"/>
        </w:rPr>
        <w:t xml:space="preserve">单位地址：江苏省南京市草场门大街107号龙江大厦</w:t>
      </w:r>
      <w:r>
        <w:rPr>
          <w:rFonts w:hint="eastAsia" w:ascii="宋体"/>
          <w:sz w:val="24"/>
          <w:highlight w:val="none"/>
        </w:rPr>
      </w:r>
      <w:r/>
    </w:p>
    <w:p>
      <w:pPr>
        <w:pStyle w:val="728"/>
        <w:ind w:firstLine="480"/>
        <w:jc w:val="both"/>
        <w:spacing w:after="0" w:line="560" w:lineRule="exact"/>
        <w:widowControl w:val="off"/>
        <w:rPr>
          <w:rFonts w:hint="eastAsia" w:ascii="宋体"/>
          <w:sz w:val="24"/>
          <w:highlight w:val="none"/>
          <w:lang w:val="zh-CN"/>
        </w:rPr>
      </w:pPr>
      <w:r>
        <w:rPr>
          <w:rFonts w:hint="eastAsia" w:ascii="宋体"/>
          <w:sz w:val="24"/>
          <w:highlight w:val="none"/>
          <w:lang w:val="zh-CN"/>
        </w:rPr>
        <w:t xml:space="preserve">联系人：戴老师</w:t>
      </w:r>
      <w:r>
        <w:rPr>
          <w:rFonts w:hint="eastAsia" w:ascii="宋体"/>
          <w:sz w:val="24"/>
          <w:highlight w:val="none"/>
          <w:lang w:val="zh-CN"/>
        </w:rPr>
      </w:r>
      <w:r/>
    </w:p>
    <w:p>
      <w:pPr>
        <w:pStyle w:val="728"/>
        <w:ind w:firstLine="480"/>
        <w:jc w:val="both"/>
        <w:spacing w:after="0" w:line="560" w:lineRule="exact"/>
        <w:widowControl w:val="off"/>
        <w:rPr>
          <w:rFonts w:hint="eastAsia" w:ascii="宋体"/>
          <w:sz w:val="24"/>
          <w:highlight w:val="none"/>
          <w:lang w:val="zh-CN"/>
        </w:rPr>
      </w:pPr>
      <w:r>
        <w:rPr>
          <w:rFonts w:hint="eastAsia" w:ascii="宋体"/>
          <w:sz w:val="24"/>
          <w:highlight w:val="none"/>
          <w:lang w:val="zh-CN"/>
        </w:rPr>
        <w:t xml:space="preserve">联系方式：025-85537623</w:t>
      </w:r>
      <w:r>
        <w:rPr>
          <w:rFonts w:hint="eastAsia" w:ascii="宋体"/>
          <w:sz w:val="24"/>
          <w:highlight w:val="none"/>
          <w:lang w:val="zh-CN"/>
        </w:rPr>
      </w:r>
      <w:r/>
    </w:p>
    <w:p>
      <w:pPr>
        <w:pStyle w:val="728"/>
        <w:ind w:firstLine="480"/>
        <w:jc w:val="both"/>
        <w:spacing w:after="0" w:line="560" w:lineRule="exact"/>
        <w:widowControl w:val="off"/>
        <w:rPr>
          <w:rFonts w:ascii="宋体"/>
          <w:sz w:val="24"/>
          <w:highlight w:val="none"/>
        </w:rPr>
      </w:pPr>
      <w:r>
        <w:rPr>
          <w:rFonts w:hint="eastAsia" w:ascii="宋体"/>
          <w:sz w:val="24"/>
          <w:highlight w:val="none"/>
        </w:rPr>
        <w:t xml:space="preserve">2.采购代理机构联系方式</w:t>
      </w:r>
      <w:r>
        <w:rPr>
          <w:rFonts w:ascii="宋体"/>
          <w:sz w:val="24"/>
          <w:highlight w:val="none"/>
        </w:rPr>
      </w:r>
      <w:r/>
    </w:p>
    <w:p>
      <w:pPr>
        <w:pStyle w:val="728"/>
        <w:ind w:firstLine="480"/>
        <w:jc w:val="both"/>
        <w:spacing w:after="0" w:line="560" w:lineRule="exact"/>
        <w:widowControl w:val="off"/>
        <w:rPr>
          <w:rFonts w:ascii="宋体"/>
          <w:sz w:val="24"/>
          <w:highlight w:val="none"/>
        </w:rPr>
      </w:pPr>
      <w:r>
        <w:rPr>
          <w:rFonts w:hint="eastAsia" w:ascii="宋体"/>
          <w:sz w:val="24"/>
          <w:highlight w:val="none"/>
        </w:rPr>
        <w:t xml:space="preserve">联系人：</w:t>
      </w:r>
      <w:r>
        <w:rPr>
          <w:rFonts w:hint="eastAsia" w:ascii="宋体" w:hAnsi="宋体"/>
          <w:sz w:val="24"/>
          <w:highlight w:val="none"/>
        </w:rPr>
        <w:t xml:space="preserve">南京小旸树招标代理有限公司</w:t>
      </w:r>
      <w:r>
        <w:rPr>
          <w:rFonts w:ascii="宋体"/>
          <w:sz w:val="24"/>
          <w:highlight w:val="none"/>
        </w:rPr>
      </w:r>
      <w:r/>
    </w:p>
    <w:p>
      <w:pPr>
        <w:pStyle w:val="728"/>
        <w:ind w:firstLine="480"/>
        <w:jc w:val="both"/>
        <w:spacing w:after="0" w:line="560" w:lineRule="exact"/>
        <w:widowControl w:val="off"/>
        <w:rPr>
          <w:rFonts w:ascii="宋体"/>
          <w:sz w:val="24"/>
          <w:highlight w:val="none"/>
        </w:rPr>
      </w:pPr>
      <w:r>
        <w:rPr>
          <w:rFonts w:hint="eastAsia" w:ascii="宋体"/>
          <w:sz w:val="24"/>
          <w:highlight w:val="none"/>
        </w:rPr>
        <w:t xml:space="preserve">联系电话：</w:t>
      </w:r>
      <w:r>
        <w:rPr>
          <w:rFonts w:hint="eastAsia" w:ascii="宋体" w:hAnsi="宋体"/>
          <w:sz w:val="24"/>
          <w:highlight w:val="none"/>
        </w:rPr>
        <w:t xml:space="preserve">025-52813631</w:t>
      </w:r>
      <w:r>
        <w:rPr>
          <w:rFonts w:ascii="宋体"/>
          <w:sz w:val="24"/>
          <w:highlight w:val="none"/>
        </w:rPr>
      </w:r>
      <w:r/>
    </w:p>
    <w:p>
      <w:pPr>
        <w:pStyle w:val="728"/>
        <w:ind w:firstLine="480"/>
        <w:jc w:val="both"/>
        <w:spacing w:after="0" w:line="560" w:lineRule="exact"/>
        <w:widowControl w:val="off"/>
        <w:rPr>
          <w:rFonts w:ascii="宋体"/>
          <w:sz w:val="24"/>
          <w:highlight w:val="none"/>
        </w:rPr>
      </w:pPr>
      <w:r>
        <w:rPr>
          <w:rFonts w:hint="eastAsia" w:ascii="宋体"/>
          <w:sz w:val="24"/>
          <w:highlight w:val="none"/>
        </w:rPr>
        <w:t xml:space="preserve">联系地址：南京市雨花台区雨花大道2号邦宁科技园5楼505</w:t>
      </w:r>
      <w:r>
        <w:rPr>
          <w:rFonts w:ascii="宋体"/>
          <w:sz w:val="24"/>
          <w:highlight w:val="none"/>
        </w:rPr>
        <w:t xml:space="preserve"> </w:t>
      </w:r>
      <w:r>
        <w:rPr>
          <w:rFonts w:ascii="宋体"/>
          <w:sz w:val="24"/>
          <w:highlight w:val="none"/>
        </w:rPr>
      </w:r>
      <w:r/>
    </w:p>
    <w:p>
      <w:pPr>
        <w:pStyle w:val="728"/>
        <w:ind w:firstLine="480"/>
        <w:jc w:val="both"/>
        <w:spacing w:after="0" w:line="560" w:lineRule="exact"/>
        <w:widowControl w:val="off"/>
        <w:rPr>
          <w:rFonts w:ascii="宋体"/>
          <w:sz w:val="24"/>
          <w:highlight w:val="none"/>
        </w:rPr>
      </w:pPr>
      <w:r>
        <w:rPr>
          <w:rFonts w:hint="eastAsia" w:ascii="宋体"/>
          <w:sz w:val="24"/>
          <w:highlight w:val="none"/>
        </w:rPr>
        <w:t xml:space="preserve">3.项目</w:t>
      </w:r>
      <w:r>
        <w:rPr>
          <w:rFonts w:ascii="宋体"/>
          <w:sz w:val="24"/>
          <w:highlight w:val="none"/>
        </w:rPr>
        <w:t xml:space="preserve">联系方式</w:t>
      </w:r>
      <w:r>
        <w:rPr>
          <w:rFonts w:ascii="宋体"/>
          <w:sz w:val="24"/>
          <w:highlight w:val="none"/>
        </w:rPr>
      </w:r>
      <w:r/>
    </w:p>
    <w:p>
      <w:pPr>
        <w:pStyle w:val="728"/>
        <w:ind w:firstLine="480"/>
        <w:jc w:val="both"/>
        <w:spacing w:after="0" w:line="560" w:lineRule="exact"/>
        <w:widowControl w:val="off"/>
        <w:rPr>
          <w:rFonts w:ascii="宋体"/>
          <w:sz w:val="24"/>
          <w:highlight w:val="none"/>
        </w:rPr>
      </w:pPr>
      <w:r/>
      <w:bookmarkEnd w:id="24"/>
      <w:r>
        <w:rPr>
          <w:rFonts w:hint="eastAsia" w:ascii="宋体"/>
          <w:sz w:val="24"/>
          <w:highlight w:val="none"/>
        </w:rPr>
        <w:t xml:space="preserve">项目联系人：戴工 </w:t>
      </w:r>
      <w:r>
        <w:rPr>
          <w:rFonts w:ascii="宋体"/>
          <w:sz w:val="24"/>
          <w:highlight w:val="none"/>
        </w:rPr>
        <w:t xml:space="preserve"> </w:t>
      </w:r>
      <w:r>
        <w:rPr>
          <w:rFonts w:ascii="宋体"/>
          <w:sz w:val="24"/>
          <w:highlight w:val="none"/>
        </w:rPr>
      </w:r>
      <w:r/>
    </w:p>
    <w:p>
      <w:pPr>
        <w:pStyle w:val="728"/>
        <w:ind w:firstLine="480"/>
        <w:jc w:val="both"/>
        <w:spacing w:after="0" w:line="560" w:lineRule="exact"/>
        <w:widowControl w:val="off"/>
        <w:rPr>
          <w:rFonts w:ascii="宋体"/>
          <w:sz w:val="24"/>
          <w:highlight w:val="none"/>
        </w:rPr>
      </w:pPr>
      <w:r>
        <w:rPr>
          <w:rFonts w:hint="eastAsia" w:ascii="宋体"/>
          <w:sz w:val="24"/>
          <w:highlight w:val="none"/>
        </w:rPr>
        <w:t xml:space="preserve">电　话：025-52813631   </w:t>
      </w:r>
      <w:r>
        <w:rPr>
          <w:rFonts w:ascii="宋体"/>
          <w:sz w:val="24"/>
          <w:highlight w:val="none"/>
        </w:rPr>
      </w:r>
      <w:r/>
    </w:p>
    <w:p>
      <w:pPr>
        <w:pStyle w:val="728"/>
        <w:ind w:firstLine="482"/>
        <w:jc w:val="both"/>
        <w:spacing w:after="0" w:line="560" w:lineRule="exact"/>
        <w:widowControl w:val="off"/>
        <w:rPr>
          <w:rFonts w:ascii="宋体"/>
          <w:b/>
          <w:bCs/>
          <w:sz w:val="24"/>
          <w:szCs w:val="24"/>
          <w:highlight w:val="none"/>
        </w:rPr>
      </w:pPr>
      <w:r>
        <w:rPr>
          <w:rFonts w:hint="eastAsia" w:ascii="宋体"/>
          <w:b/>
          <w:bCs/>
          <w:sz w:val="24"/>
          <w:szCs w:val="24"/>
          <w:highlight w:val="none"/>
        </w:rPr>
        <w:t xml:space="preserve">对项目需求部分的询问、质疑请向采购人提出，由采购人负责答复。</w:t>
      </w:r>
      <w:bookmarkEnd w:id="11"/>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hint="eastAsia" w:ascii="宋体"/>
          <w:b/>
          <w:bCs/>
          <w:sz w:val="24"/>
          <w:szCs w:val="24"/>
          <w:highlight w:val="none"/>
        </w:rPr>
      </w:pPr>
      <w:r>
        <w:rPr>
          <w:rFonts w:hint="eastAsia"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8"/>
        <w:ind w:firstLine="482"/>
        <w:jc w:val="both"/>
        <w:spacing w:after="0" w:line="560" w:lineRule="exact"/>
        <w:widowControl w:val="off"/>
        <w:rPr>
          <w:rFonts w:hint="eastAsia" w:ascii="宋体"/>
          <w:b/>
          <w:bCs/>
          <w:sz w:val="24"/>
          <w:szCs w:val="24"/>
          <w:highlight w:val="none"/>
        </w:rPr>
      </w:pPr>
      <w:r>
        <w:rPr>
          <w:rFonts w:hint="eastAsia" w:ascii="宋体"/>
          <w:b/>
          <w:bCs/>
          <w:sz w:val="24"/>
          <w:szCs w:val="24"/>
          <w:highlight w:val="none"/>
        </w:rPr>
      </w:r>
      <w:r/>
    </w:p>
    <w:p>
      <w:pPr>
        <w:pStyle w:val="728"/>
        <w:ind w:firstLine="482"/>
        <w:jc w:val="both"/>
        <w:spacing w:after="0" w:line="560" w:lineRule="exact"/>
        <w:widowControl w:val="off"/>
        <w:rPr>
          <w:rFonts w:ascii="宋体"/>
          <w:b/>
          <w:bCs/>
          <w:sz w:val="24"/>
          <w:szCs w:val="24"/>
          <w:highlight w:val="none"/>
        </w:rPr>
      </w:pPr>
      <w:r>
        <w:rPr>
          <w:rFonts w:ascii="宋体"/>
          <w:b/>
          <w:bCs/>
          <w:sz w:val="24"/>
          <w:szCs w:val="24"/>
          <w:highlight w:val="none"/>
        </w:rPr>
      </w:r>
      <w:r/>
    </w:p>
    <w:p>
      <w:pPr>
        <w:pStyle w:val="729"/>
        <w:jc w:val="center"/>
        <w:keepLines w:val="0"/>
        <w:spacing w:before="0" w:line="240" w:lineRule="auto"/>
        <w:widowControl w:val="off"/>
        <w:rPr>
          <w:rFonts w:ascii="黑体" w:hAnsi="楷体_GB2312" w:eastAsia="黑体"/>
          <w:b w:val="0"/>
          <w:bCs w:val="0"/>
          <w:sz w:val="44"/>
          <w:szCs w:val="44"/>
          <w:highlight w:val="none"/>
        </w:rPr>
      </w:pPr>
      <w:r/>
      <w:bookmarkStart w:id="25" w:name="_Toc17291078"/>
      <w:r/>
      <w:bookmarkStart w:id="26" w:name="_Toc227942464"/>
      <w:r/>
      <w:bookmarkStart w:id="27" w:name="_Toc17291674"/>
      <w:r/>
      <w:bookmarkStart w:id="28" w:name="_Toc120614211"/>
      <w:r>
        <w:rPr>
          <w:rFonts w:hint="eastAsia" w:ascii="黑体" w:hAnsi="楷体_GB2312" w:eastAsia="黑体"/>
          <w:b w:val="0"/>
          <w:bCs w:val="0"/>
          <w:color w:val="000000"/>
          <w:sz w:val="44"/>
          <w:szCs w:val="44"/>
          <w:highlight w:val="none"/>
        </w:rPr>
        <w:t xml:space="preserve">第二章  投标人须知</w:t>
      </w:r>
      <w:bookmarkEnd w:id="3"/>
      <w:r/>
      <w:bookmarkEnd w:id="4"/>
      <w:r/>
      <w:bookmarkEnd w:id="5"/>
      <w:r/>
      <w:bookmarkEnd w:id="6"/>
      <w:r/>
      <w:bookmarkEnd w:id="7"/>
      <w:r/>
      <w:bookmarkEnd w:id="25"/>
      <w:r/>
      <w:bookmarkEnd w:id="26"/>
      <w:r/>
      <w:bookmarkEnd w:id="27"/>
      <w:r/>
      <w:bookmarkEnd w:id="28"/>
      <w:r>
        <w:rPr>
          <w:rFonts w:ascii="黑体" w:hAnsi="楷体_GB2312" w:eastAsia="黑体"/>
          <w:b w:val="0"/>
          <w:bCs w:val="0"/>
          <w:sz w:val="44"/>
          <w:szCs w:val="44"/>
          <w:highlight w:val="none"/>
        </w:rPr>
      </w:r>
      <w:r/>
    </w:p>
    <w:p>
      <w:pPr>
        <w:pStyle w:val="728"/>
        <w:ind w:firstLine="480"/>
        <w:jc w:val="both"/>
        <w:spacing w:after="0" w:line="560" w:lineRule="exact"/>
        <w:widowControl w:val="off"/>
        <w:rPr>
          <w:rFonts w:ascii="宋体"/>
          <w:iCs/>
          <w:sz w:val="24"/>
          <w:highlight w:val="none"/>
        </w:rPr>
      </w:pPr>
      <w:r/>
      <w:bookmarkStart w:id="29" w:name="_Hlt26954739"/>
      <w:r/>
      <w:bookmarkEnd w:id="29"/>
      <w:r/>
      <w:bookmarkStart w:id="30" w:name="_Hlt26954734"/>
      <w:r/>
      <w:bookmarkEnd w:id="30"/>
      <w:r/>
      <w:bookmarkStart w:id="31" w:name="_Hlt26670360"/>
      <w:r/>
      <w:bookmarkEnd w:id="31"/>
      <w:r/>
      <w:bookmarkStart w:id="32" w:name="_Hlt26954850"/>
      <w:r/>
      <w:bookmarkEnd w:id="32"/>
      <w:r/>
      <w:bookmarkStart w:id="33" w:name="_Hlt16619475"/>
      <w:r/>
      <w:bookmarkEnd w:id="33"/>
      <w:r/>
      <w:bookmarkStart w:id="34" w:name="_Hlt26954852"/>
      <w:r/>
      <w:bookmarkEnd w:id="34"/>
      <w:r/>
      <w:bookmarkStart w:id="35" w:name="_Hlt26954838"/>
      <w:r/>
      <w:bookmarkEnd w:id="35"/>
      <w:r/>
      <w:bookmarkStart w:id="36" w:name="_Hlt26668975"/>
      <w:r/>
      <w:bookmarkEnd w:id="36"/>
      <w:r/>
      <w:bookmarkStart w:id="37" w:name="_Hlt26668999"/>
      <w:r/>
      <w:bookmarkEnd w:id="37"/>
      <w:r/>
      <w:bookmarkStart w:id="38" w:name="_Hlt26670489"/>
      <w:r/>
      <w:bookmarkEnd w:id="38"/>
      <w:r/>
      <w:bookmarkStart w:id="39" w:name="_Toc513029237"/>
      <w:r/>
      <w:bookmarkStart w:id="40" w:name="_Toc16938553"/>
      <w:r/>
      <w:bookmarkStart w:id="41" w:name="_Toc20823309"/>
      <w:r/>
      <w:bookmarkStart w:id="42" w:name="_Toc513029203"/>
      <w:r/>
      <w:bookmarkStart w:id="43" w:name="_Toc20823275"/>
      <w:r/>
      <w:bookmarkStart w:id="44" w:name="_Toc17291079"/>
      <w:r/>
      <w:bookmarkStart w:id="45" w:name="_Toc16938519"/>
      <w:r/>
      <w:bookmarkStart w:id="46" w:name="_Toc120614214"/>
      <w:r>
        <w:rPr>
          <w:rFonts w:hint="eastAsia" w:ascii="宋体"/>
          <w:iCs/>
          <w:sz w:val="24"/>
          <w:highlight w:val="none"/>
        </w:rPr>
        <w:t xml:space="preserve">一、总则</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1、招标方式</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1.1 本次招标采取公开招标方式，本招标文件仅适用于招标公告中所述项目。</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2、合格的投标人</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2.1满足招标公告中供应商的资格要求的规定。</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2.2 满足本文件实质性条款的规定。</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3、适用法律</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3.1 本次招标及由此产生的合同受中华人民共和国政府采购有关的法律法规制约和保护。</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4、投标费用</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4.1 投标人应自行承担所有与参加投标有关的费用，无论投标过程中的做法和结果如何，南京小旸树招标代理有限公司及采购人在任何情况下均无义务和责任承担这些费用。</w:t>
      </w:r>
      <w:r>
        <w:rPr>
          <w:rFonts w:ascii="宋体"/>
          <w:iCs/>
          <w:sz w:val="24"/>
          <w:highlight w:val="none"/>
        </w:rPr>
      </w:r>
      <w:r/>
    </w:p>
    <w:p>
      <w:pPr>
        <w:pStyle w:val="728"/>
        <w:ind w:firstLine="597"/>
        <w:jc w:val="both"/>
        <w:spacing w:after="0" w:line="560" w:lineRule="exact"/>
        <w:tabs>
          <w:tab w:val="left" w:pos="900" w:leader="none"/>
        </w:tabs>
        <w:rPr>
          <w:rFonts w:ascii="宋体"/>
          <w:iCs/>
          <w:sz w:val="24"/>
          <w:highlight w:val="none"/>
        </w:rPr>
      </w:pPr>
      <w:r/>
      <w:bookmarkStart w:id="47" w:name="_Hlk227213550"/>
      <w:r>
        <w:rPr>
          <w:rFonts w:hint="eastAsia" w:ascii="宋体"/>
          <w:iCs/>
          <w:sz w:val="24"/>
          <w:highlight w:val="none"/>
        </w:rPr>
        <w:t xml:space="preserve">4.2代理服务费（按整个项目计算）</w:t>
      </w:r>
      <w:r>
        <w:rPr>
          <w:rFonts w:ascii="宋体"/>
          <w:iCs/>
          <w:sz w:val="24"/>
          <w:highlight w:val="none"/>
        </w:rPr>
      </w:r>
      <w:r/>
    </w:p>
    <w:p>
      <w:pPr>
        <w:pStyle w:val="728"/>
        <w:ind w:firstLine="597"/>
        <w:jc w:val="both"/>
        <w:spacing w:after="0" w:line="560" w:lineRule="exact"/>
        <w:tabs>
          <w:tab w:val="left" w:pos="900" w:leader="none"/>
        </w:tabs>
        <w:rPr>
          <w:rFonts w:ascii="宋体"/>
          <w:iCs/>
          <w:sz w:val="24"/>
          <w:highlight w:val="none"/>
        </w:rPr>
      </w:pPr>
      <w:r>
        <w:rPr>
          <w:rFonts w:hint="eastAsia" w:ascii="宋体"/>
          <w:iCs/>
          <w:sz w:val="24"/>
          <w:highlight w:val="none"/>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rPr>
          <w:rFonts w:ascii="宋体"/>
          <w:iCs/>
          <w:sz w:val="24"/>
          <w:highlight w:val="none"/>
        </w:rPr>
      </w:r>
      <w:r/>
    </w:p>
    <w:p>
      <w:pPr>
        <w:pStyle w:val="728"/>
        <w:ind w:firstLine="597"/>
        <w:jc w:val="both"/>
        <w:spacing w:after="0" w:line="560" w:lineRule="exact"/>
        <w:tabs>
          <w:tab w:val="left" w:pos="900" w:leader="none"/>
        </w:tabs>
        <w:rPr>
          <w:rFonts w:hint="eastAsia" w:ascii="宋体"/>
          <w:iCs/>
          <w:sz w:val="24"/>
          <w:highlight w:val="none"/>
        </w:rPr>
      </w:pPr>
      <w:r>
        <w:rPr>
          <w:rFonts w:hint="eastAsia" w:ascii="宋体"/>
          <w:iCs/>
          <w:sz w:val="24"/>
          <w:highlight w:val="none"/>
        </w:rPr>
        <w:t xml:space="preserve">4.2.2报价要求：供应商在报价时应将代理服务费全额包含在投标报价中，采购人不再另行支付。</w:t>
      </w:r>
      <w:r>
        <w:rPr>
          <w:rFonts w:hint="eastAsia" w:ascii="宋体"/>
          <w:iCs/>
          <w:sz w:val="24"/>
          <w:highlight w:val="none"/>
        </w:rPr>
      </w:r>
      <w:r/>
    </w:p>
    <w:p>
      <w:pPr>
        <w:pStyle w:val="728"/>
        <w:ind w:firstLine="597"/>
        <w:jc w:val="both"/>
        <w:spacing w:after="0" w:line="560" w:lineRule="exact"/>
        <w:tabs>
          <w:tab w:val="left" w:pos="900" w:leader="none"/>
        </w:tabs>
        <w:rPr>
          <w:rFonts w:ascii="宋体" w:hAnsi="Calibri"/>
          <w:iCs/>
          <w:color w:val="000000"/>
          <w:sz w:val="24"/>
          <w:highlight w:val="none"/>
        </w:rPr>
      </w:pPr>
      <w:r>
        <w:rPr>
          <w:rFonts w:hint="eastAsia" w:ascii="宋体"/>
          <w:iCs/>
          <w:sz w:val="24"/>
          <w:highlight w:val="none"/>
        </w:rPr>
        <w:t xml:space="preserve">4.2.3收费标准：代理服务费按</w:t>
      </w:r>
      <w:r>
        <w:rPr>
          <w:rFonts w:ascii="宋体"/>
          <w:bCs/>
          <w:iCs/>
          <w:sz w:val="24"/>
          <w:highlight w:val="none"/>
        </w:rPr>
        <w:t xml:space="preserve">差额定率</w:t>
      </w:r>
      <w:r>
        <w:rPr>
          <w:rFonts w:hint="eastAsia" w:ascii="宋体"/>
          <w:bCs/>
          <w:iCs/>
          <w:sz w:val="24"/>
          <w:highlight w:val="none"/>
        </w:rPr>
        <w:t xml:space="preserve">分档</w:t>
      </w:r>
      <w:r>
        <w:rPr>
          <w:rFonts w:ascii="宋体"/>
          <w:bCs/>
          <w:iCs/>
          <w:sz w:val="24"/>
          <w:highlight w:val="none"/>
        </w:rPr>
        <w:t xml:space="preserve">累进</w:t>
      </w:r>
      <w:r>
        <w:rPr>
          <w:rFonts w:hint="eastAsia" w:ascii="宋体"/>
          <w:bCs/>
          <w:iCs/>
          <w:sz w:val="24"/>
          <w:highlight w:val="none"/>
        </w:rPr>
        <w:t xml:space="preserve">费率和成交金额</w:t>
      </w:r>
      <w:r>
        <w:rPr>
          <w:rFonts w:hint="eastAsia" w:ascii="宋体"/>
          <w:iCs/>
          <w:sz w:val="24"/>
          <w:highlight w:val="none"/>
        </w:rPr>
        <w:t xml:space="preserve">分段计算，</w:t>
      </w:r>
      <w:r>
        <w:rPr>
          <w:rFonts w:hint="eastAsia" w:ascii="宋体"/>
          <w:bCs/>
          <w:iCs/>
          <w:sz w:val="24"/>
          <w:highlight w:val="none"/>
        </w:rPr>
        <w:t xml:space="preserve">有分包的以一个项目整体计算后由各分包中标供应商按比例分担，本项目按基准费率计算后的8</w:t>
      </w:r>
      <w:r>
        <w:rPr>
          <w:rFonts w:ascii="宋体"/>
          <w:bCs/>
          <w:iCs/>
          <w:sz w:val="24"/>
          <w:highlight w:val="none"/>
        </w:rPr>
        <w:t xml:space="preserve">0%</w:t>
      </w:r>
      <w:r>
        <w:rPr>
          <w:rFonts w:hint="eastAsia" w:ascii="宋体"/>
          <w:bCs/>
          <w:iCs/>
          <w:sz w:val="24"/>
          <w:highlight w:val="none"/>
        </w:rPr>
        <w:t xml:space="preserve">收取代理服务费</w:t>
      </w:r>
      <w:r>
        <w:rPr>
          <w:rFonts w:hint="eastAsia" w:ascii="宋体"/>
          <w:iCs/>
          <w:sz w:val="24"/>
          <w:highlight w:val="none"/>
        </w:rPr>
        <w:t xml:space="preserve">。</w:t>
      </w:r>
      <w:r>
        <w:rPr>
          <w:rFonts w:hint="eastAsia" w:ascii="宋体" w:hAnsi="Calibri"/>
          <w:iCs/>
          <w:color w:val="000000"/>
          <w:sz w:val="24"/>
          <w:highlight w:val="none"/>
        </w:rPr>
        <w:t xml:space="preserve">基准费率标准如下：</w:t>
      </w:r>
      <w:r>
        <w:rPr>
          <w:rFonts w:ascii="宋体" w:hAnsi="Calibri"/>
          <w:iCs/>
          <w:color w:val="000000"/>
          <w:sz w:val="24"/>
          <w:highlight w:val="none"/>
        </w:rPr>
      </w:r>
      <w:r/>
    </w:p>
    <w:tbl>
      <w:tblPr>
        <w:tblW w:w="6535" w:type="dxa"/>
        <w:tblInd w:w="10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iCs/>
                <w:color w:val="000000"/>
                <w:sz w:val="24"/>
                <w:highlight w:val="none"/>
              </w:rPr>
              <w:t xml:space="preserve">金额（单位：万元）</w:t>
            </w:r>
            <w:r>
              <w:rPr>
                <w:rFonts w:ascii="宋体" w:hAnsi="Calibri"/>
                <w:iCs/>
                <w:color w:val="000000"/>
                <w:sz w:val="24"/>
                <w:highlight w:val="none"/>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iCs/>
                <w:color w:val="000000"/>
                <w:sz w:val="24"/>
                <w:highlight w:val="none"/>
              </w:rPr>
              <w:t xml:space="preserve">货物类分段费率</w:t>
            </w:r>
            <w:r>
              <w:rPr>
                <w:rFonts w:ascii="宋体" w:hAnsi="Calibri"/>
                <w:iCs/>
                <w:color w:val="000000"/>
                <w:sz w:val="24"/>
                <w:highlight w:val="none"/>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bCs/>
                <w:sz w:val="24"/>
                <w:highlight w:val="none"/>
              </w:rPr>
              <w:t xml:space="preserve">服务类分段费率</w:t>
            </w:r>
            <w:r>
              <w:rPr>
                <w:rFonts w:ascii="宋体" w:hAnsi="Calibri"/>
                <w:iCs/>
                <w:color w:val="000000"/>
                <w:sz w:val="24"/>
                <w:highlight w:val="none"/>
              </w:rPr>
            </w:r>
            <w:r/>
          </w:p>
        </w:tc>
      </w:tr>
      <w:tr>
        <w:trPr>
          <w:trHeight w:val="405"/>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iCs/>
                <w:color w:val="000000"/>
                <w:sz w:val="24"/>
                <w:highlight w:val="none"/>
              </w:rPr>
              <w:t xml:space="preserve">金额≤</w:t>
            </w:r>
            <w:r>
              <w:rPr>
                <w:rFonts w:ascii="宋体" w:hAnsi="Calibri"/>
                <w:iCs/>
                <w:color w:val="000000"/>
                <w:sz w:val="24"/>
                <w:highlight w:val="none"/>
              </w:rPr>
              <w:t xml:space="preserve">100</w:t>
            </w:r>
            <w:r>
              <w:rPr>
                <w:rFonts w:ascii="宋体" w:hAnsi="Calibri"/>
                <w:iCs/>
                <w:color w:val="000000"/>
                <w:sz w:val="24"/>
                <w:highlight w:val="none"/>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ascii="宋体" w:hAnsi="Calibri"/>
                <w:iCs/>
                <w:color w:val="000000"/>
                <w:sz w:val="24"/>
                <w:highlight w:val="none"/>
              </w:rPr>
              <w:t xml:space="preserve">1.50%</w:t>
            </w:r>
            <w:r>
              <w:rPr>
                <w:rFonts w:ascii="宋体" w:hAnsi="Calibri"/>
                <w:iCs/>
                <w:color w:val="000000"/>
                <w:sz w:val="24"/>
                <w:highlight w:val="none"/>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bCs/>
                <w:sz w:val="24"/>
                <w:highlight w:val="none"/>
              </w:rPr>
              <w:t xml:space="preserve">1.50%</w:t>
            </w:r>
            <w:r>
              <w:rPr>
                <w:rFonts w:ascii="宋体" w:hAnsi="Calibri"/>
                <w:iCs/>
                <w:color w:val="000000"/>
                <w:sz w:val="24"/>
                <w:highlight w:val="none"/>
              </w:rPr>
            </w:r>
            <w:r/>
          </w:p>
        </w:tc>
      </w:tr>
      <w:tr>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ascii="宋体" w:hAnsi="Calibri"/>
                <w:iCs/>
                <w:color w:val="000000"/>
                <w:sz w:val="24"/>
                <w:highlight w:val="none"/>
              </w:rPr>
              <w:t xml:space="preserve">100</w:t>
            </w:r>
            <w:r>
              <w:rPr>
                <w:rFonts w:hint="eastAsia" w:ascii="宋体" w:hAnsi="Calibri"/>
                <w:iCs/>
                <w:color w:val="000000"/>
                <w:sz w:val="24"/>
                <w:highlight w:val="none"/>
              </w:rPr>
              <w:t xml:space="preserve">＜金额≤</w:t>
            </w:r>
            <w:r>
              <w:rPr>
                <w:rFonts w:ascii="宋体" w:hAnsi="Calibri"/>
                <w:iCs/>
                <w:color w:val="000000"/>
                <w:sz w:val="24"/>
                <w:highlight w:val="none"/>
              </w:rPr>
              <w:t xml:space="preserve">500</w:t>
            </w:r>
            <w:r>
              <w:rPr>
                <w:rFonts w:ascii="宋体" w:hAnsi="Calibri"/>
                <w:iCs/>
                <w:color w:val="000000"/>
                <w:sz w:val="24"/>
                <w:highlight w:val="none"/>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iCs/>
                <w:color w:val="000000"/>
                <w:sz w:val="24"/>
                <w:highlight w:val="none"/>
              </w:rPr>
              <w:t xml:space="preserve">1.10</w:t>
            </w:r>
            <w:r>
              <w:rPr>
                <w:rFonts w:ascii="宋体" w:hAnsi="Calibri"/>
                <w:iCs/>
                <w:color w:val="000000"/>
                <w:sz w:val="24"/>
                <w:highlight w:val="none"/>
              </w:rPr>
              <w:t xml:space="preserve">%</w:t>
            </w:r>
            <w:r>
              <w:rPr>
                <w:rFonts w:ascii="宋体" w:hAnsi="Calibri"/>
                <w:iCs/>
                <w:color w:val="000000"/>
                <w:sz w:val="24"/>
                <w:highlight w:val="none"/>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bCs/>
                <w:sz w:val="24"/>
                <w:highlight w:val="none"/>
              </w:rPr>
              <w:t xml:space="preserve">0.80%</w:t>
            </w:r>
            <w:r>
              <w:rPr>
                <w:rFonts w:ascii="宋体" w:hAnsi="Calibri"/>
                <w:iCs/>
                <w:color w:val="000000"/>
                <w:sz w:val="24"/>
                <w:highlight w:val="none"/>
              </w:rPr>
            </w:r>
            <w:r/>
          </w:p>
        </w:tc>
      </w:tr>
      <w:tr>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ascii="宋体" w:hAnsi="Calibri"/>
                <w:iCs/>
                <w:color w:val="000000"/>
                <w:sz w:val="24"/>
                <w:highlight w:val="none"/>
              </w:rPr>
              <w:t xml:space="preserve">500</w:t>
            </w:r>
            <w:r>
              <w:rPr>
                <w:rFonts w:hint="eastAsia" w:ascii="宋体" w:hAnsi="Calibri"/>
                <w:iCs/>
                <w:color w:val="000000"/>
                <w:sz w:val="24"/>
                <w:highlight w:val="none"/>
              </w:rPr>
              <w:t xml:space="preserve">＜金额≤</w:t>
            </w:r>
            <w:r>
              <w:rPr>
                <w:rFonts w:ascii="宋体" w:hAnsi="Calibri"/>
                <w:iCs/>
                <w:color w:val="000000"/>
                <w:sz w:val="24"/>
                <w:highlight w:val="none"/>
              </w:rPr>
              <w:t xml:space="preserve">1000</w:t>
            </w:r>
            <w:r>
              <w:rPr>
                <w:rFonts w:ascii="宋体" w:hAnsi="Calibri"/>
                <w:iCs/>
                <w:color w:val="000000"/>
                <w:sz w:val="24"/>
                <w:highlight w:val="none"/>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iCs/>
                <w:color w:val="000000"/>
                <w:sz w:val="24"/>
                <w:highlight w:val="none"/>
              </w:rPr>
              <w:t xml:space="preserve">0.80</w:t>
            </w:r>
            <w:r>
              <w:rPr>
                <w:rFonts w:ascii="宋体" w:hAnsi="Calibri"/>
                <w:iCs/>
                <w:color w:val="000000"/>
                <w:sz w:val="24"/>
                <w:highlight w:val="none"/>
              </w:rPr>
              <w:t xml:space="preserve">%</w:t>
            </w:r>
            <w:r>
              <w:rPr>
                <w:rFonts w:ascii="宋体" w:hAnsi="Calibri"/>
                <w:iCs/>
                <w:color w:val="000000"/>
                <w:sz w:val="24"/>
                <w:highlight w:val="none"/>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bCs/>
                <w:sz w:val="24"/>
                <w:highlight w:val="none"/>
              </w:rPr>
              <w:t xml:space="preserve">0.45%</w:t>
            </w:r>
            <w:r>
              <w:rPr>
                <w:rFonts w:ascii="宋体" w:hAnsi="Calibri"/>
                <w:iCs/>
                <w:color w:val="000000"/>
                <w:sz w:val="24"/>
                <w:highlight w:val="none"/>
              </w:rPr>
            </w:r>
            <w:r/>
          </w:p>
        </w:tc>
      </w:tr>
      <w:tr>
        <w:trPr/>
        <w:tc>
          <w:tcPr>
            <w:tcW w:w="2472"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ascii="宋体" w:hAnsi="Calibri"/>
                <w:iCs/>
                <w:color w:val="000000"/>
                <w:sz w:val="24"/>
                <w:highlight w:val="none"/>
              </w:rPr>
              <w:t xml:space="preserve">1000</w:t>
            </w:r>
            <w:r>
              <w:rPr>
                <w:rFonts w:hint="eastAsia" w:ascii="宋体" w:hAnsi="Calibri"/>
                <w:iCs/>
                <w:color w:val="000000"/>
                <w:sz w:val="24"/>
                <w:highlight w:val="none"/>
              </w:rPr>
              <w:t xml:space="preserve">＜金额≤</w:t>
            </w:r>
            <w:r>
              <w:rPr>
                <w:rFonts w:ascii="宋体" w:hAnsi="Calibri"/>
                <w:iCs/>
                <w:color w:val="000000"/>
                <w:sz w:val="24"/>
                <w:highlight w:val="none"/>
              </w:rPr>
              <w:t xml:space="preserve">5000</w:t>
            </w:r>
            <w:r>
              <w:rPr>
                <w:rFonts w:ascii="宋体" w:hAnsi="Calibri"/>
                <w:iCs/>
                <w:color w:val="000000"/>
                <w:sz w:val="24"/>
                <w:highlight w:val="none"/>
              </w:rPr>
            </w:r>
            <w:r/>
          </w:p>
        </w:tc>
        <w:tc>
          <w:tcPr>
            <w:tcW w:w="2078"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iCs/>
                <w:color w:val="000000"/>
                <w:sz w:val="24"/>
                <w:highlight w:val="none"/>
              </w:rPr>
              <w:t xml:space="preserve">0.50</w:t>
            </w:r>
            <w:r>
              <w:rPr>
                <w:rFonts w:ascii="宋体" w:hAnsi="Calibri"/>
                <w:iCs/>
                <w:color w:val="000000"/>
                <w:sz w:val="24"/>
                <w:highlight w:val="none"/>
              </w:rPr>
              <w:t xml:space="preserve">%</w:t>
            </w:r>
            <w:r>
              <w:rPr>
                <w:rFonts w:ascii="宋体" w:hAnsi="Calibri"/>
                <w:iCs/>
                <w:color w:val="000000"/>
                <w:sz w:val="24"/>
                <w:highlight w:val="none"/>
              </w:rPr>
            </w:r>
            <w:r/>
          </w:p>
        </w:tc>
        <w:tc>
          <w:tcPr>
            <w:tcW w:w="1985" w:type="dxa"/>
            <w:vAlign w:val="top"/>
            <w:textDirection w:val="lrTb"/>
            <w:noWrap w:val="false"/>
          </w:tcPr>
          <w:p>
            <w:pPr>
              <w:pStyle w:val="728"/>
              <w:jc w:val="both"/>
              <w:spacing w:after="0" w:line="560" w:lineRule="exact"/>
              <w:tabs>
                <w:tab w:val="left" w:pos="900" w:leader="none"/>
              </w:tabs>
              <w:rPr>
                <w:rFonts w:ascii="宋体" w:hAnsi="Calibri"/>
                <w:iCs/>
                <w:color w:val="000000"/>
                <w:sz w:val="24"/>
                <w:highlight w:val="none"/>
              </w:rPr>
            </w:pPr>
            <w:r>
              <w:rPr>
                <w:rFonts w:hint="eastAsia" w:ascii="宋体" w:hAnsi="Calibri"/>
                <w:bCs/>
                <w:sz w:val="24"/>
                <w:highlight w:val="none"/>
              </w:rPr>
              <w:t xml:space="preserve">0.25%</w:t>
            </w:r>
            <w:r>
              <w:rPr>
                <w:rFonts w:ascii="宋体" w:hAnsi="Calibri"/>
                <w:iCs/>
                <w:color w:val="000000"/>
                <w:sz w:val="24"/>
                <w:highlight w:val="none"/>
              </w:rPr>
            </w:r>
            <w:r/>
          </w:p>
        </w:tc>
      </w:tr>
    </w:tbl>
    <w:p>
      <w:pPr>
        <w:pStyle w:val="728"/>
        <w:ind w:firstLine="597"/>
        <w:jc w:val="both"/>
        <w:spacing w:after="0" w:line="560" w:lineRule="exact"/>
        <w:tabs>
          <w:tab w:val="left" w:pos="900" w:leader="none"/>
        </w:tabs>
        <w:rPr>
          <w:rFonts w:ascii="宋体"/>
          <w:iCs/>
          <w:sz w:val="24"/>
          <w:highlight w:val="none"/>
        </w:rPr>
      </w:pPr>
      <w:r>
        <w:rPr>
          <w:rFonts w:hint="eastAsia" w:ascii="宋体"/>
          <w:iCs/>
          <w:sz w:val="24"/>
          <w:highlight w:val="none"/>
        </w:rPr>
        <w:t xml:space="preserve">4.2.4确定标准的依据：《政府采购代理机构管理暂行办法》（财库〔2018〕2号）、采购代理合同。</w:t>
      </w:r>
      <w:r>
        <w:rPr>
          <w:rFonts w:ascii="宋体"/>
          <w:iCs/>
          <w:sz w:val="24"/>
          <w:highlight w:val="none"/>
        </w:rPr>
      </w:r>
      <w:r/>
    </w:p>
    <w:p>
      <w:pPr>
        <w:pStyle w:val="728"/>
        <w:ind w:firstLine="597"/>
        <w:jc w:val="both"/>
        <w:spacing w:after="156" w:line="360" w:lineRule="auto"/>
        <w:tabs>
          <w:tab w:val="left" w:pos="900" w:leader="none"/>
        </w:tabs>
        <w:rPr>
          <w:rFonts w:ascii="宋体"/>
          <w:bCs/>
          <w:iCs/>
          <w:sz w:val="24"/>
          <w:highlight w:val="none"/>
        </w:rPr>
      </w:pPr>
      <w:r>
        <w:rPr>
          <w:rFonts w:hint="eastAsia" w:ascii="宋体"/>
          <w:iCs/>
          <w:sz w:val="24"/>
          <w:highlight w:val="none"/>
        </w:rPr>
        <w:t xml:space="preserve">4.2.5收取方式：中标供应商在领取中标通知书前，一次性向采购代理机构足额支付；支付方式为</w:t>
      </w:r>
      <w:r>
        <w:rPr>
          <w:rFonts w:hint="eastAsia" w:ascii="宋体"/>
          <w:bCs/>
          <w:iCs/>
          <w:sz w:val="24"/>
          <w:highlight w:val="none"/>
        </w:rPr>
        <w:t xml:space="preserve">公对公</w:t>
      </w:r>
      <w:r>
        <w:rPr>
          <w:rFonts w:hint="eastAsia" w:ascii="宋体"/>
          <w:iCs/>
          <w:sz w:val="24"/>
          <w:highlight w:val="none"/>
        </w:rPr>
        <w:t xml:space="preserve">银行</w:t>
      </w:r>
      <w:r>
        <w:rPr>
          <w:rFonts w:hint="eastAsia" w:ascii="宋体"/>
          <w:bCs/>
          <w:iCs/>
          <w:sz w:val="24"/>
          <w:highlight w:val="none"/>
        </w:rPr>
        <w:t xml:space="preserve">转账汇款</w:t>
      </w:r>
      <w:r>
        <w:rPr>
          <w:rFonts w:hint="eastAsia" w:ascii="宋体"/>
          <w:iCs/>
          <w:sz w:val="24"/>
          <w:highlight w:val="none"/>
        </w:rPr>
        <w:t xml:space="preserve">。</w:t>
      </w:r>
      <w:r>
        <w:rPr>
          <w:rFonts w:hint="eastAsia" w:ascii="宋体"/>
          <w:bCs/>
          <w:iCs/>
          <w:sz w:val="24"/>
          <w:highlight w:val="none"/>
        </w:rPr>
        <w:t xml:space="preserve">上述费用由中标（成交）供应商领取中标(成交)通知书时提供汇款凭据。账户信息：</w:t>
      </w:r>
      <w:r>
        <w:rPr>
          <w:rFonts w:ascii="宋体"/>
          <w:bCs/>
          <w:iCs/>
          <w:sz w:val="24"/>
          <w:highlight w:val="none"/>
        </w:rPr>
      </w:r>
      <w:r/>
    </w:p>
    <w:p>
      <w:pPr>
        <w:pStyle w:val="728"/>
        <w:spacing w:line="360" w:lineRule="auto"/>
        <w:rPr>
          <w:rFonts w:ascii="宋体" w:hAnsi="Calibri"/>
          <w:bCs/>
          <w:sz w:val="24"/>
          <w:szCs w:val="24"/>
          <w:highlight w:val="none"/>
        </w:rPr>
      </w:pPr>
      <w:r/>
      <w:bookmarkStart w:id="48" w:name="OLE_LINK11"/>
      <w:r>
        <w:rPr>
          <w:rFonts w:hint="eastAsia"/>
          <w:highlight w:val="none"/>
        </w:rPr>
        <w:t xml:space="preserve">     </w:t>
      </w:r>
      <w:bookmarkEnd w:id="47"/>
      <w:r/>
      <w:bookmarkEnd w:id="48"/>
      <w:r>
        <w:rPr>
          <w:rFonts w:hint="eastAsia" w:ascii="宋体" w:hAnsi="Calibri"/>
          <w:bCs/>
          <w:sz w:val="24"/>
          <w:szCs w:val="24"/>
          <w:highlight w:val="none"/>
        </w:rPr>
        <w:t xml:space="preserve">收款单位：南京小旸树招标代理有限公司</w:t>
      </w:r>
      <w:r>
        <w:rPr>
          <w:rFonts w:ascii="宋体" w:hAnsi="Calibri"/>
          <w:bCs/>
          <w:sz w:val="24"/>
          <w:szCs w:val="24"/>
          <w:highlight w:val="none"/>
        </w:rPr>
      </w:r>
      <w:r/>
    </w:p>
    <w:p>
      <w:pPr>
        <w:pStyle w:val="728"/>
        <w:ind w:firstLine="597"/>
        <w:jc w:val="both"/>
        <w:spacing w:after="143" w:line="360" w:lineRule="auto"/>
        <w:widowControl w:val="off"/>
        <w:tabs>
          <w:tab w:val="left" w:pos="900" w:leader="none"/>
        </w:tabs>
        <w:rPr>
          <w:rFonts w:ascii="宋体" w:hAnsi="Calibri"/>
          <w:bCs/>
          <w:sz w:val="24"/>
          <w:szCs w:val="24"/>
          <w:highlight w:val="none"/>
        </w:rPr>
      </w:pPr>
      <w:r>
        <w:rPr>
          <w:rFonts w:hint="eastAsia" w:ascii="宋体" w:hAnsi="Calibri"/>
          <w:bCs/>
          <w:sz w:val="24"/>
          <w:szCs w:val="24"/>
          <w:highlight w:val="none"/>
        </w:rPr>
        <w:t xml:space="preserve">开户行：交通银行南京水西门支行 </w:t>
      </w:r>
      <w:r>
        <w:rPr>
          <w:rFonts w:ascii="宋体" w:hAnsi="Calibri"/>
          <w:bCs/>
          <w:sz w:val="24"/>
          <w:szCs w:val="24"/>
          <w:highlight w:val="none"/>
        </w:rPr>
      </w:r>
      <w:r/>
    </w:p>
    <w:p>
      <w:pPr>
        <w:pStyle w:val="728"/>
        <w:ind w:firstLine="597"/>
        <w:jc w:val="both"/>
        <w:spacing w:after="156" w:line="500" w:lineRule="exact"/>
        <w:widowControl w:val="off"/>
        <w:tabs>
          <w:tab w:val="left" w:pos="900" w:leader="none"/>
        </w:tabs>
        <w:rPr>
          <w:rFonts w:hint="eastAsia" w:ascii="宋体" w:hAnsi="宋体"/>
          <w:b/>
          <w:sz w:val="24"/>
          <w:szCs w:val="24"/>
          <w:highlight w:val="none"/>
        </w:rPr>
      </w:pPr>
      <w:r>
        <w:rPr>
          <w:rFonts w:hint="eastAsia" w:ascii="宋体" w:hAnsi="Calibri"/>
          <w:bCs/>
          <w:sz w:val="24"/>
          <w:szCs w:val="24"/>
          <w:highlight w:val="none"/>
        </w:rPr>
        <w:t xml:space="preserve">账号：320006642018010101049</w:t>
      </w:r>
      <w:r>
        <w:rPr>
          <w:rFonts w:hint="eastAsia" w:ascii="宋体" w:hAnsi="宋体"/>
          <w:b/>
          <w:sz w:val="24"/>
          <w:szCs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5、招标文件的约束力</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5.1 投标人一旦参加本项目采购活动，即被认为接受了本招标文件的规定和约束。</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二、招标文件</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6、招标文件构成</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6.1 招标文件由以下部分组成：</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（1）投标邀请</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（2）投标人须知</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（3）合同条款及格式</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（4）项目需求</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（5）评标方法与评标标准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（6）投标文件格式</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请仔细检查招标文件是否齐全，如有缺漏请立即与南京小旸树招标代理有限公司联系解决。</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7、招标文件的澄清</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7.1 任何要求对招标文件进行澄清的投标人，应在投标截止期十日前按招标公告中的通讯地址，以书面形式通知南京小旸树招标代理有限公司。</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8、招标文件的修改</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8.1 在投标截止时间前，南京小旸树招标代理有限公司可以对招标文件进行修改。</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8.2 南京小旸树招标代理有限公司有权按照法定的要求推迟投标截止日期和开标日期。</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8.3 招标文件的修改将在江苏政府采购网公布，补充文件将作为招标文件的组成部分，并对投标人具有约束力。</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三、投标文件的编制</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9、投标文件的语言及度量衡单位</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9.2 除技术性能另有规定外，投标文件所使用的度量衡单位，均须采用国家法定计量单位。</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10、投标文件构成</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10.1 投标人编写的投标文件应包括资信证明文件、分项报价表、技术参数响应及偏离表、商务条款响应及偏离表、技术及售后服务承诺书、投标函、开标一览表等部分。</w:t>
      </w:r>
      <w:r>
        <w:rPr>
          <w:rFonts w:ascii="宋体"/>
          <w:iCs/>
          <w:sz w:val="24"/>
          <w:highlight w:val="none"/>
        </w:rPr>
      </w:r>
      <w:r/>
    </w:p>
    <w:p>
      <w:pPr>
        <w:pStyle w:val="728"/>
        <w:ind w:firstLine="482"/>
        <w:jc w:val="both"/>
        <w:spacing w:after="0" w:line="560" w:lineRule="exact"/>
        <w:widowControl w:val="off"/>
        <w:rPr>
          <w:rFonts w:ascii="宋体"/>
          <w:b/>
          <w:bCs/>
          <w:iCs/>
          <w:sz w:val="24"/>
          <w:highlight w:val="none"/>
        </w:rPr>
      </w:pPr>
      <w:r>
        <w:rPr>
          <w:rFonts w:hint="eastAsia" w:ascii="宋体"/>
          <w:b/>
          <w:bCs/>
          <w:iCs/>
          <w:sz w:val="24"/>
          <w:highlight w:val="none"/>
        </w:rPr>
        <w:t xml:space="preserve">10.2 如标书制作工具中格式和内容与“江苏政府采购网”发布的招标文件不一致，以“江苏政府采购网”发布的招标文件为准。</w:t>
      </w:r>
      <w:r>
        <w:rPr>
          <w:rFonts w:ascii="宋体"/>
          <w:b/>
          <w:bCs/>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11、证明投标人资格及符合招标文件规定的文件</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11.1投标人应按要求提交资格证明文件及符合招标文件规定的文件。</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11.2投标人应提交证明其有资格参加投标和中标后有能力独立履行合同的文件。</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11.3投标人除必须具有履行合同所需提供的货物（设备装备等）以及服务的能力外，还必须具备相应的财务、技术方面的能力。</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11.4投标人应提交根据合同要求提供的证明服务（产品）质量合格以及符合招标文件规定的证明文件。</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11.5证明投标人所提供服务与招标文件的要求相一致的文件可以是手册、图纸、文字资料和数据。</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12、投入人员一览表和投标配置与分项报价表</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12.1投标人应按照招标文件规定格式填报投入人员一览表、投标配置与分项报价表。每项服务只允许有一个报价，任何有选择的报价将不予接受。</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12.2 标的物</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详见项目需求。</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12.3有关报价内容与范围</w:t>
      </w:r>
      <w:r>
        <w:rPr>
          <w:rFonts w:ascii="宋体"/>
          <w:iCs/>
          <w:sz w:val="24"/>
          <w:highlight w:val="none"/>
        </w:rPr>
      </w:r>
      <w:r/>
    </w:p>
    <w:p>
      <w:pPr>
        <w:pStyle w:val="728"/>
        <w:ind w:firstLine="482"/>
        <w:jc w:val="both"/>
        <w:spacing w:after="0" w:line="560" w:lineRule="exact"/>
        <w:widowControl w:val="off"/>
        <w:rPr>
          <w:rFonts w:ascii="宋体"/>
          <w:b/>
          <w:bCs/>
          <w:iCs/>
          <w:sz w:val="24"/>
          <w:szCs w:val="24"/>
          <w:highlight w:val="none"/>
        </w:rPr>
      </w:pPr>
      <w:r>
        <w:rPr>
          <w:rFonts w:hint="eastAsia" w:ascii="宋体"/>
          <w:b/>
          <w:bCs/>
          <w:iCs/>
          <w:sz w:val="24"/>
          <w:szCs w:val="24"/>
          <w:highlight w:val="none"/>
        </w:rPr>
        <w:t xml:space="preserve">该项目预算为全口径预算，包含了本项目所</w:t>
      </w:r>
      <w:r>
        <w:rPr>
          <w:rFonts w:hint="eastAsia" w:ascii="宋体"/>
          <w:b/>
          <w:bCs/>
          <w:iCs/>
          <w:sz w:val="24"/>
          <w:szCs w:val="24"/>
          <w:highlight w:val="none"/>
        </w:rPr>
        <w:t xml:space="preserve">需的服务提供过程中可能发生的所有费用，包括但不限于样品购置费、检测费、实验室及检测设备使用费用、耗材、报告文本费（检测报告、质量分析报告等的编制打印）、相关文书的邮寄费、样品处置费、各种税费、利润、税金、人员工资（含各类保险、加班费、交通费、过节费等所有与人员相关费用）、培训及合同包含的所有风险、责任等各项相关费用。本次采购投标人的报价应包括为完成本项目发生的上述所有费用及采购代理服务费用（无需单独报价也无需单列），中标后采购人除按中标价格支付采购资金以外，不再另行支付任何费用。本采购文件中另有规定的除外。</w:t>
      </w:r>
      <w:r>
        <w:rPr>
          <w:rFonts w:ascii="宋体"/>
          <w:b/>
          <w:bCs/>
          <w:iCs/>
          <w:sz w:val="24"/>
          <w:szCs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12.4其它费用处理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招标文件未列明，而投标人认为必需的费用也需列入报价。</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12.5投标货币</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投标文件中的货物单价和总价无特殊规定的采用人民币报价，以元或万元为单位标注。招标文件中另有规定的按规定执行。</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13、技术参数响应及偏离表、商务条款响应及偏离表</w:t>
      </w:r>
      <w:r>
        <w:rPr>
          <w:rFonts w:ascii="宋体"/>
          <w:iCs/>
          <w:sz w:val="24"/>
          <w:highlight w:val="none"/>
        </w:rPr>
      </w:r>
      <w:r/>
    </w:p>
    <w:p>
      <w:pPr>
        <w:pStyle w:val="728"/>
        <w:ind w:firstLine="482"/>
        <w:jc w:val="both"/>
        <w:spacing w:after="0" w:line="560" w:lineRule="exact"/>
        <w:widowControl w:val="off"/>
        <w:rPr>
          <w:rFonts w:ascii="宋体"/>
          <w:b/>
          <w:bCs/>
          <w:iCs/>
          <w:sz w:val="24"/>
          <w:szCs w:val="24"/>
          <w:highlight w:val="none"/>
        </w:rPr>
      </w:pPr>
      <w:r>
        <w:rPr>
          <w:rFonts w:ascii="宋体"/>
          <w:b/>
          <w:bCs/>
          <w:iCs/>
          <w:sz w:val="24"/>
          <w:szCs w:val="24"/>
          <w:highlight w:val="none"/>
        </w:rPr>
        <w:t xml:space="preserve">13.1 </w:t>
      </w:r>
      <w:r>
        <w:rPr>
          <w:rFonts w:hint="eastAsia" w:ascii="宋体"/>
          <w:b/>
          <w:bCs/>
          <w:iCs/>
          <w:sz w:val="24"/>
          <w:szCs w:val="24"/>
          <w:highlight w:val="none"/>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14、服务承诺</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14、1投标人的服务承诺应按不低于招标文件中商务要求的标准。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15、投标函和开标一览表</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15.1 投标人应按照招标文件中提供的格式完整、正确填写投标函、开标一览表。</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15.2 开标一览表中的价格应与投标文件中分项报价表中的价格一致，如不一致，不作为无效投标处理，但评标时按开标一览表中价格为准。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16、投标有效期</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16.1 投标有效期为南京小旸树招标代理有限公司规定的开标之日后九十（</w:t>
      </w:r>
      <w:r>
        <w:rPr>
          <w:rFonts w:ascii="宋体"/>
          <w:iCs/>
          <w:sz w:val="24"/>
          <w:highlight w:val="none"/>
        </w:rPr>
        <w:t xml:space="preserve">9</w:t>
      </w:r>
      <w:r>
        <w:rPr>
          <w:rFonts w:hint="eastAsia" w:ascii="宋体"/>
          <w:iCs/>
          <w:sz w:val="24"/>
          <w:highlight w:val="none"/>
        </w:rPr>
        <w:t xml:space="preserve">0）天。投标有效期比规定短的将被视为非响应性投标而予以拒绝。</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ascii="宋体"/>
          <w:iCs/>
          <w:sz w:val="24"/>
          <w:highlight w:val="none"/>
        </w:rPr>
        <w:t xml:space="preserve">17</w:t>
      </w:r>
      <w:r>
        <w:rPr>
          <w:rFonts w:hint="eastAsia" w:ascii="宋体"/>
          <w:iCs/>
          <w:sz w:val="24"/>
          <w:highlight w:val="none"/>
        </w:rPr>
        <w:t xml:space="preserve">、投标有效期的延长</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1</w:t>
      </w:r>
      <w:r>
        <w:rPr>
          <w:rFonts w:ascii="宋体"/>
          <w:iCs/>
          <w:sz w:val="24"/>
          <w:highlight w:val="none"/>
        </w:rPr>
        <w:t xml:space="preserve">7.1</w:t>
      </w:r>
      <w:r>
        <w:rPr>
          <w:rFonts w:hint="eastAsia" w:ascii="宋体"/>
          <w:iCs/>
          <w:sz w:val="24"/>
          <w:highlight w:val="none"/>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四、投标文件的递交</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bookmarkStart w:id="49" w:name="_Toc513029225"/>
      <w:r/>
      <w:bookmarkStart w:id="50" w:name="_Toc20823297"/>
      <w:r/>
      <w:bookmarkStart w:id="51" w:name="_Toc462564084"/>
      <w:r/>
      <w:bookmarkStart w:id="52" w:name="_Toc16938541"/>
      <w:r>
        <w:rPr>
          <w:rFonts w:hint="eastAsia" w:ascii="宋体"/>
          <w:iCs/>
          <w:sz w:val="24"/>
          <w:highlight w:val="none"/>
        </w:rPr>
        <w:t xml:space="preserve">18、投标文件的密封和标记</w:t>
      </w:r>
      <w:bookmarkEnd w:id="49"/>
      <w:r/>
      <w:bookmarkEnd w:id="50"/>
      <w:r/>
      <w:bookmarkEnd w:id="51"/>
      <w:r/>
      <w:bookmarkEnd w:id="52"/>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18.1投标人应当按照《操作手册》规定，在投标截止时间前制作并上传电子投标文件。</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bookmarkStart w:id="53" w:name="_Toc513029226"/>
      <w:r/>
      <w:bookmarkStart w:id="54" w:name="_Toc16938542"/>
      <w:r/>
      <w:bookmarkStart w:id="55" w:name="_Toc20823298"/>
      <w:r>
        <w:rPr>
          <w:rFonts w:hint="eastAsia" w:ascii="宋体"/>
          <w:iCs/>
          <w:sz w:val="24"/>
          <w:highlight w:val="none"/>
        </w:rPr>
        <w:t xml:space="preserve">19、投标截止日期</w:t>
      </w:r>
      <w:bookmarkEnd w:id="53"/>
      <w:r/>
      <w:bookmarkEnd w:id="54"/>
      <w:r/>
      <w:bookmarkEnd w:id="55"/>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19.2 南京小旸树招标代理有限公司可以按照规定，通过修改招标文件酌情延长投标截止日期，在此情况下，投标人的所有权利和义务以及投标人受制的截止日期均应以延长后新的截止日期为准。</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bookmarkStart w:id="56" w:name="_Toc16938543"/>
      <w:r/>
      <w:bookmarkStart w:id="57" w:name="_Toc513029227"/>
      <w:r/>
      <w:bookmarkStart w:id="58" w:name="_Toc20823299"/>
      <w:r>
        <w:rPr>
          <w:rFonts w:hint="eastAsia" w:ascii="宋体"/>
          <w:iCs/>
          <w:sz w:val="24"/>
          <w:highlight w:val="none"/>
        </w:rPr>
        <w:t xml:space="preserve">20、投标文件</w:t>
      </w:r>
      <w:bookmarkEnd w:id="56"/>
      <w:r/>
      <w:bookmarkEnd w:id="57"/>
      <w:r/>
      <w:bookmarkEnd w:id="58"/>
      <w:r>
        <w:rPr>
          <w:rFonts w:hint="eastAsia" w:ascii="宋体"/>
          <w:iCs/>
          <w:sz w:val="24"/>
          <w:highlight w:val="none"/>
        </w:rPr>
        <w:t xml:space="preserve">的拒收</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20.1</w:t>
      </w:r>
      <w:r>
        <w:rPr>
          <w:rFonts w:ascii="宋体"/>
          <w:iCs/>
          <w:sz w:val="24"/>
          <w:highlight w:val="none"/>
        </w:rPr>
        <w:t xml:space="preserve"> </w:t>
      </w:r>
      <w:r>
        <w:rPr>
          <w:rFonts w:hint="eastAsia" w:ascii="宋体"/>
          <w:iCs/>
          <w:sz w:val="24"/>
          <w:highlight w:val="none"/>
        </w:rPr>
        <w:t xml:space="preserve">投标截止时间后上传的任何投标文件将被拒绝。</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bookmarkStart w:id="59" w:name="_Toc16938544"/>
      <w:r/>
      <w:bookmarkStart w:id="60" w:name="_Toc20823300"/>
      <w:r/>
      <w:bookmarkStart w:id="61" w:name="_Toc513029228"/>
      <w:r>
        <w:rPr>
          <w:rFonts w:hint="eastAsia" w:ascii="宋体"/>
          <w:iCs/>
          <w:sz w:val="24"/>
          <w:highlight w:val="none"/>
        </w:rPr>
        <w:t xml:space="preserve">21、投标文件的撤回和</w:t>
      </w:r>
      <w:bookmarkEnd w:id="59"/>
      <w:r/>
      <w:bookmarkEnd w:id="60"/>
      <w:r/>
      <w:bookmarkEnd w:id="61"/>
      <w:r>
        <w:rPr>
          <w:rFonts w:hint="eastAsia" w:ascii="宋体"/>
          <w:iCs/>
          <w:sz w:val="24"/>
          <w:highlight w:val="none"/>
        </w:rPr>
        <w:t xml:space="preserve">修改</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21.1</w:t>
      </w:r>
      <w:r>
        <w:rPr>
          <w:rFonts w:hint="eastAsia" w:ascii="宋体" w:hAnsi="宋体"/>
          <w:sz w:val="24"/>
          <w:highlight w:val="none"/>
          <w:lang w:val="zh-CN"/>
        </w:rPr>
        <w:t xml:space="preserve">投标文件的撤回</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w:t>
      </w:r>
      <w:r>
        <w:rPr>
          <w:rFonts w:ascii="宋体"/>
          <w:iCs/>
          <w:sz w:val="24"/>
          <w:highlight w:val="none"/>
        </w:rPr>
        <w:t xml:space="preserve">1.1.1</w:t>
      </w:r>
      <w:r>
        <w:rPr>
          <w:rFonts w:hint="eastAsia" w:ascii="宋体"/>
          <w:iCs/>
          <w:sz w:val="24"/>
          <w:highlight w:val="none"/>
        </w:rPr>
        <w:t xml:space="preserve">投标人可在投标截止时间前撤回其电子投标文件，具体操作方法见《操作手册》。</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ascii="宋体"/>
          <w:iCs/>
          <w:sz w:val="24"/>
          <w:highlight w:val="none"/>
        </w:rPr>
        <w:t xml:space="preserve">21.1.2</w:t>
      </w:r>
      <w:r>
        <w:rPr>
          <w:rFonts w:hint="eastAsia" w:ascii="宋体"/>
          <w:iCs/>
          <w:sz w:val="24"/>
          <w:highlight w:val="none"/>
        </w:rPr>
        <w:t xml:space="preserve">投标人撤回电子投标文件，则认为其不再参与本项目投标活动。</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ascii="宋体"/>
          <w:iCs/>
          <w:sz w:val="24"/>
          <w:highlight w:val="none"/>
        </w:rPr>
        <w:t xml:space="preserve">21.2</w:t>
      </w:r>
      <w:r>
        <w:rPr>
          <w:rFonts w:hint="eastAsia" w:ascii="宋体"/>
          <w:iCs/>
          <w:sz w:val="24"/>
          <w:highlight w:val="none"/>
        </w:rPr>
        <w:t xml:space="preserve">投标文件的修改</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ascii="宋体"/>
          <w:iCs/>
          <w:sz w:val="24"/>
          <w:highlight w:val="none"/>
        </w:rPr>
        <w:t xml:space="preserve">21.2.1</w:t>
      </w:r>
      <w:r>
        <w:rPr>
          <w:rFonts w:hint="eastAsia" w:ascii="宋体"/>
          <w:iCs/>
          <w:sz w:val="24"/>
          <w:highlight w:val="none"/>
        </w:rPr>
        <w:t xml:space="preserve">投标人可在投标截止时间前对其电子投标文件进行修改，具体操作方法见《操作手册》。</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ascii="宋体"/>
          <w:iCs/>
          <w:sz w:val="24"/>
          <w:highlight w:val="none"/>
        </w:rPr>
        <w:t xml:space="preserve">21.2.2</w:t>
      </w:r>
      <w:r>
        <w:rPr>
          <w:rFonts w:hint="eastAsia" w:ascii="宋体"/>
          <w:iCs/>
          <w:sz w:val="24"/>
          <w:highlight w:val="none"/>
        </w:rPr>
        <w:t xml:space="preserve">投标截止时间之后，投标人不得对其电子投标文件作任何修改。</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w:t>
      </w:r>
      <w:r>
        <w:rPr>
          <w:rFonts w:ascii="宋体"/>
          <w:iCs/>
          <w:sz w:val="24"/>
          <w:highlight w:val="none"/>
        </w:rPr>
        <w:t xml:space="preserve">1.3</w:t>
      </w:r>
      <w:r>
        <w:rPr>
          <w:rFonts w:hint="eastAsia" w:ascii="宋体"/>
          <w:iCs/>
          <w:sz w:val="24"/>
          <w:highlight w:val="none"/>
        </w:rPr>
        <w:t xml:space="preserve">在投标截止时间至招标文件中规定的投标有效期满之间的这段时间内，投标人不得撤回其投标。</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五、开标与评标</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22、开标</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22.1 南京小旸树招标代理有限公司在招标公告中规定的时间和地点组织公开开标。投标人按照《操作手册》规定参加开标活动，并在苏采云系统规定的时间内对投标文件进行解密。</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ascii="宋体"/>
          <w:iCs/>
          <w:sz w:val="24"/>
          <w:highlight w:val="none"/>
        </w:rPr>
        <w:t xml:space="preserve">22.2</w:t>
      </w:r>
      <w:r>
        <w:rPr>
          <w:rFonts w:hint="eastAsia" w:ascii="宋体" w:hAnsi="宋体"/>
          <w:color w:val="000000"/>
          <w:sz w:val="24"/>
          <w:szCs w:val="24"/>
          <w:highlight w:val="none"/>
        </w:rPr>
        <w:t xml:space="preserve">开标仪式由南京小旸树招标代理有限公司组织。</w:t>
      </w:r>
      <w:r>
        <w:rPr>
          <w:rFonts w:hint="eastAsia" w:ascii="宋体" w:hAnsi="宋体"/>
          <w:sz w:val="24"/>
          <w:szCs w:val="24"/>
          <w:highlight w:val="none"/>
        </w:rPr>
        <w:t xml:space="preserve">苏采云系统</w:t>
      </w:r>
      <w:r>
        <w:rPr>
          <w:rFonts w:hint="eastAsia" w:ascii="宋体" w:hAnsi="宋体"/>
          <w:color w:val="000000"/>
          <w:sz w:val="24"/>
          <w:szCs w:val="24"/>
          <w:highlight w:val="none"/>
        </w:rPr>
        <w:t xml:space="preserve">将自动对</w:t>
      </w:r>
      <w:r>
        <w:rPr>
          <w:rFonts w:ascii="宋体" w:hAnsi="宋体"/>
          <w:color w:val="000000"/>
          <w:sz w:val="24"/>
          <w:szCs w:val="24"/>
          <w:highlight w:val="none"/>
        </w:rPr>
        <w:t xml:space="preserve">项目进行开标，</w:t>
      </w:r>
      <w:r>
        <w:rPr>
          <w:rFonts w:hint="eastAsia" w:ascii="宋体"/>
          <w:iCs/>
          <w:sz w:val="24"/>
          <w:highlight w:val="none"/>
        </w:rPr>
        <w:t xml:space="preserve">并宣布各投标人名称和投标价格。</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22.</w:t>
      </w:r>
      <w:r>
        <w:rPr>
          <w:rFonts w:ascii="宋体"/>
          <w:iCs/>
          <w:sz w:val="24"/>
          <w:highlight w:val="none"/>
        </w:rPr>
        <w:t xml:space="preserve">3</w:t>
      </w:r>
      <w:r>
        <w:rPr>
          <w:rFonts w:hint="eastAsia" w:ascii="宋体"/>
          <w:iCs/>
          <w:sz w:val="24"/>
          <w:highlight w:val="none"/>
        </w:rPr>
        <w:t xml:space="preserve">投标人在开标过程中涉及到的投标文件解密、开标结果确认等工作，应按照《操作手册》规定执行。</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22.</w:t>
      </w:r>
      <w:r>
        <w:rPr>
          <w:rFonts w:ascii="宋体"/>
          <w:iCs/>
          <w:sz w:val="24"/>
          <w:highlight w:val="none"/>
        </w:rPr>
        <w:t xml:space="preserve">4</w:t>
      </w:r>
      <w:r>
        <w:rPr>
          <w:rFonts w:hint="eastAsia" w:ascii="宋体"/>
          <w:iCs/>
          <w:sz w:val="24"/>
          <w:highlight w:val="none"/>
        </w:rPr>
        <w:t xml:space="preserve">投标人如果对开标过程和开标结果有疑义，应当根据《操作手册》规定提出，苏采云系统中《开标记录表》公布后5分钟内未提出的，视同认可开标结果。</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23、评标委员会</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23.1 开标后，南京小旸树招标代理有限公司将立即组织评标委员会（以下简称评委会）进行评标。</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23.2 评委会由采购人代表和由南京小旸树招标代理有限公司按政府采购评审专家管理的相关政策规定选取有关技术、经济等方面的专家组成，且人员构成符合政府采购有关规定。</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23.3评委会独立工作，负责评审所有投标文件并确定中标侯选人。</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24、评标过程的保密与公正</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24.2在评标过程中，投标人不得以任何行为影响评标过程，否则其投标文件将被作为无效投标文件。</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24.3在评标期间，南京小旸树招标代理有限公司将设专门人员与投标人联系。</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24.4 南京小旸树招标代理有限公司和评标委员会不向落标的投标人解释未中标原因，也不公布评标过程中的相关细节。</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24.5 采用综合评分法的项目，未中标的投标人可于中标结果公告期限届满之日起联系南京小旸树招标代理有限公司相关项目负责人查看本单位的评审得分及排名情况。</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25、投标的澄清</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25.1评标期间，为有助于对投标文件的审查、评价和比较，评委会对投标文件中含义不明确、同类问题表述不一致或者有明显文字和计算错误的内容，有权要求投标人作出必要的澄清、说明或者补正。</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投标人的澄清、说明或者补正不得超出投标文件的范围或者改变投标文件的实质性内容。</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评委会并非对每个投标人都做澄清要求。</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25.3 接到评委会澄清、说明和补正要求的，投标人如未按规定作出澄清、说明和补正，其风险由投标人自行承担。</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26、对投标文件的初审</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26.1投标文件初审分为资格审查和符合性审查。</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26.1.1 资格审查：依据法律法规和招标文件的规定，由采购人对投标文件中的资格证明文件进行审查。资格审查的结论，采购人以书面形式向评委会进行反馈。</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26.1.2 符合性审查：依据招标文件的规定，由评委会从投标文件的有效性、完整性和对招标文件的响应程度进行审查，以确定是否对招标文件的实质性要求作出响应。</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26.3如果投标文件实质上没有响应招标文件的要求，评委会将予以拒绝，投标人不得通过修改或撤销不合要求的偏离或保留而使其投标成为实质性响应的投标。</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26.4评委会将对确定为实质性响应的投标进行进一步审核，看其投标文件报价是否有计算上或累加上的算术错误，修正错误的原则如下：</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（1）投标文件中开标一览表内容与投标文件中相应内容不一致的，以开标一览表为准。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（2）大写金额和小写金额不一致的，以大写金额为准。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（3）单价金额小数点或者百分比有明显错位的，以开标一览表的总价为准，并修改单价。</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（4）总价金额与按单价汇总金额不一致的，以单价金额计算结果为准。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同时出现两种以上错误的，按照前款规定的顺序修正。</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非单一产品采购项目，招标文件中将载明其中的核心产品。多家投标人提供的核心产品品牌相同的，按前款规定处理。</w:t>
      </w:r>
      <w:r>
        <w:rPr>
          <w:rFonts w:ascii="宋体"/>
          <w:iCs/>
          <w:sz w:val="24"/>
          <w:highlight w:val="none"/>
        </w:rPr>
      </w:r>
      <w:r/>
    </w:p>
    <w:p>
      <w:pPr>
        <w:pStyle w:val="728"/>
        <w:ind w:firstLine="480"/>
        <w:jc w:val="both"/>
        <w:spacing w:after="0" w:line="560" w:lineRule="exact"/>
        <w:widowControl w:val="off"/>
        <w:rPr>
          <w:rFonts w:ascii="宋体"/>
          <w:iCs/>
          <w:sz w:val="24"/>
          <w:szCs w:val="28"/>
          <w:highlight w:val="none"/>
          <w:lang w:val="zh-CN"/>
        </w:rPr>
      </w:pPr>
      <w:r>
        <w:rPr>
          <w:rFonts w:hint="eastAsia" w:ascii="宋体"/>
          <w:iCs/>
          <w:sz w:val="24"/>
          <w:szCs w:val="28"/>
          <w:highlight w:val="none"/>
          <w:lang w:val="zh-CN"/>
        </w:rPr>
        <w:t xml:space="preserve">2</w:t>
      </w:r>
      <w:r>
        <w:rPr>
          <w:rFonts w:ascii="宋体"/>
          <w:iCs/>
          <w:sz w:val="24"/>
          <w:szCs w:val="28"/>
          <w:highlight w:val="none"/>
          <w:lang w:val="zh-CN"/>
        </w:rPr>
        <w:t xml:space="preserve">6.7</w:t>
      </w:r>
      <w:r>
        <w:rPr>
          <w:rFonts w:hint="eastAsia" w:ascii="宋体"/>
          <w:iCs/>
          <w:sz w:val="24"/>
          <w:szCs w:val="28"/>
          <w:highlight w:val="none"/>
          <w:lang w:val="zh-CN"/>
        </w:rPr>
        <w:t xml:space="preserve">投标人在开、评标全过程中应保持通讯畅通，及时登录苏采云系统查阅、答复相关信息，并安排专人与代理机构及评委会联系。</w:t>
      </w:r>
      <w:r>
        <w:rPr>
          <w:rFonts w:ascii="宋体"/>
          <w:iCs/>
          <w:sz w:val="24"/>
          <w:szCs w:val="28"/>
          <w:highlight w:val="none"/>
          <w:lang w:val="zh-CN"/>
        </w:rPr>
      </w:r>
      <w:r/>
    </w:p>
    <w:p>
      <w:pPr>
        <w:pStyle w:val="728"/>
        <w:ind w:firstLine="480"/>
        <w:jc w:val="both"/>
        <w:spacing w:after="62" w:line="560" w:lineRule="exact"/>
        <w:widowControl w:val="off"/>
        <w:rPr>
          <w:rFonts w:ascii="宋体"/>
          <w:iCs/>
          <w:color w:val="000000"/>
          <w:sz w:val="24"/>
          <w:highlight w:val="none"/>
        </w:rPr>
      </w:pPr>
      <w:r>
        <w:rPr>
          <w:rFonts w:ascii="宋体"/>
          <w:iCs/>
          <w:color w:val="000000"/>
          <w:sz w:val="24"/>
          <w:highlight w:val="none"/>
        </w:rPr>
        <w:t xml:space="preserve">26</w:t>
      </w:r>
      <w:r>
        <w:rPr>
          <w:rFonts w:hint="eastAsia" w:ascii="宋体"/>
          <w:iCs/>
          <w:color w:val="000000"/>
          <w:sz w:val="24"/>
          <w:highlight w:val="none"/>
        </w:rPr>
        <w:t xml:space="preserve">.8评标过程中出现下列情形之一的，评标委员会将启动异常低价投标(响应)审查程序（本项目为单批次报价，以下所指报价均指单批次报价）:</w:t>
      </w:r>
      <w:r>
        <w:rPr>
          <w:rFonts w:ascii="宋体"/>
          <w:iCs/>
          <w:color w:val="000000"/>
          <w:sz w:val="24"/>
          <w:highlight w:val="none"/>
        </w:rPr>
      </w:r>
      <w:r/>
    </w:p>
    <w:p>
      <w:pPr>
        <w:pStyle w:val="728"/>
        <w:ind w:firstLine="480"/>
        <w:jc w:val="both"/>
        <w:spacing w:after="62" w:line="560" w:lineRule="exact"/>
        <w:widowControl w:val="off"/>
        <w:rPr>
          <w:rFonts w:ascii="宋体"/>
          <w:iCs/>
          <w:color w:val="000000"/>
          <w:sz w:val="24"/>
          <w:highlight w:val="none"/>
        </w:rPr>
      </w:pPr>
      <w:r/>
      <w:bookmarkStart w:id="62" w:name="_Hlk220752912"/>
      <w:r>
        <w:rPr>
          <w:rFonts w:hint="eastAsia" w:ascii="宋体"/>
          <w:iCs/>
          <w:color w:val="000000"/>
          <w:sz w:val="24"/>
          <w:highlight w:val="none"/>
        </w:rPr>
        <w:t xml:space="preserve">（1）投标（响应）报价低于全部通过符合性审查供应商投标（响应）报价平均值50%的，即投标（响应）报价&lt;全部通过符合性审查供应商投标（响应）报价平均值×50%；</w:t>
      </w:r>
      <w:r>
        <w:rPr>
          <w:rFonts w:ascii="宋体"/>
          <w:iCs/>
          <w:color w:val="000000"/>
          <w:sz w:val="24"/>
          <w:highlight w:val="none"/>
        </w:rPr>
      </w:r>
      <w:r/>
    </w:p>
    <w:p>
      <w:pPr>
        <w:pStyle w:val="728"/>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（2）投标（响应）报价低于通过符合性审查的次低报价供应商投标（响应）报价50%的，即投标（响应）报价&lt;通过符合性审查的次低报价供应商投标（响应）报价×50%；</w:t>
      </w:r>
      <w:r>
        <w:rPr>
          <w:rFonts w:ascii="宋体"/>
          <w:iCs/>
          <w:color w:val="000000"/>
          <w:sz w:val="24"/>
          <w:highlight w:val="none"/>
        </w:rPr>
      </w:r>
      <w:r/>
    </w:p>
    <w:p>
      <w:pPr>
        <w:pStyle w:val="728"/>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（3）投标（响应）报价低于采购项目最高限价45%的，即投标（响应）报价&lt;采购项目最高限价×45%；</w:t>
      </w:r>
      <w:r>
        <w:rPr>
          <w:rFonts w:ascii="宋体"/>
          <w:iCs/>
          <w:color w:val="000000"/>
          <w:sz w:val="24"/>
          <w:highlight w:val="none"/>
        </w:rPr>
      </w:r>
      <w:r/>
    </w:p>
    <w:p>
      <w:pPr>
        <w:pStyle w:val="728"/>
        <w:ind w:firstLine="480"/>
        <w:jc w:val="both"/>
        <w:spacing w:after="62" w:line="560" w:lineRule="exact"/>
        <w:widowControl w:val="off"/>
        <w:rPr>
          <w:rFonts w:ascii="宋体"/>
          <w:iCs/>
          <w:color w:val="000000"/>
          <w:sz w:val="24"/>
          <w:highlight w:val="none"/>
        </w:rPr>
      </w:pPr>
      <w:r>
        <w:rPr>
          <w:rFonts w:hint="eastAsia" w:ascii="宋体"/>
          <w:iCs/>
          <w:color w:val="000000"/>
          <w:sz w:val="24"/>
          <w:highlight w:val="none"/>
        </w:rPr>
        <w:t xml:space="preserve">（4）评审委员会基于专业判断，认为供应商报价过低，有可能影响产品质量或者不能诚信履约的其他情形。</w:t>
      </w:r>
      <w:r>
        <w:rPr>
          <w:rFonts w:ascii="宋体"/>
          <w:iCs/>
          <w:color w:val="000000"/>
          <w:sz w:val="24"/>
          <w:highlight w:val="none"/>
        </w:rPr>
      </w:r>
      <w:r/>
    </w:p>
    <w:p>
      <w:pPr>
        <w:pStyle w:val="728"/>
        <w:ind w:firstLine="480"/>
        <w:jc w:val="both"/>
        <w:spacing w:after="62" w:line="560" w:lineRule="exact"/>
        <w:widowControl w:val="off"/>
        <w:rPr>
          <w:rFonts w:ascii="宋体"/>
          <w:iCs/>
          <w:color w:val="000000"/>
          <w:sz w:val="24"/>
          <w:highlight w:val="none"/>
        </w:rPr>
      </w:pPr>
      <w:r/>
      <w:bookmarkEnd w:id="62"/>
      <w:r>
        <w:rPr>
          <w:rFonts w:hint="eastAsia" w:ascii="宋体"/>
          <w:iCs/>
          <w:color w:val="000000"/>
          <w:sz w:val="24"/>
          <w:highlight w:val="none"/>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iCs/>
          <w:color w:val="000000"/>
          <w:sz w:val="24"/>
          <w:highlight w:val="none"/>
        </w:rPr>
      </w:r>
      <w:r/>
    </w:p>
    <w:p>
      <w:pPr>
        <w:pStyle w:val="728"/>
        <w:ind w:firstLine="480"/>
        <w:jc w:val="both"/>
        <w:spacing w:after="0" w:line="560" w:lineRule="exact"/>
        <w:widowControl w:val="off"/>
        <w:rPr>
          <w:rFonts w:hint="eastAsia" w:ascii="楷体_GB2312" w:hAnsi="Arial" w:eastAsia="楷体_GB2312"/>
          <w:sz w:val="28"/>
          <w:szCs w:val="28"/>
          <w:highlight w:val="none"/>
          <w:lang w:val="zh-CN"/>
        </w:rPr>
      </w:pPr>
      <w:r>
        <w:rPr>
          <w:rFonts w:hint="eastAsia" w:ascii="宋体"/>
          <w:iCs/>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highlight w:val="none"/>
          <w:lang w:val="zh-CN"/>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27、无效投标条款和废标条款</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27.1无效投标条款</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bookmarkStart w:id="63" w:name="_Toc513029235"/>
      <w:r/>
      <w:bookmarkStart w:id="64" w:name="_Toc16938551"/>
      <w:r/>
      <w:bookmarkStart w:id="65" w:name="_Toc20823307"/>
      <w:r>
        <w:rPr>
          <w:rFonts w:hint="eastAsia" w:ascii="宋体"/>
          <w:iCs/>
          <w:sz w:val="24"/>
          <w:highlight w:val="none"/>
        </w:rPr>
        <w:t xml:space="preserve">27.1.1投标人在苏采云系统规定的时间内未成功解密电子投标文件。</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27.1.2投标人未按照招标文件要求上传电子投标文件的。</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27.1.3投标人同一项目（无分包）或同一分包提交两个（含两个）以上不同的投标报价的。</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27.1.4投标人不具备招标文件中规定资格要求的。</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27.1.5投标人的报价超过了采购预算或最高限价的。</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27.1.6未通过符合性审查的。</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w:t>
      </w:r>
      <w:r>
        <w:rPr>
          <w:rFonts w:ascii="宋体"/>
          <w:iCs/>
          <w:sz w:val="24"/>
          <w:highlight w:val="none"/>
        </w:rPr>
        <w:t xml:space="preserve">7.1.7</w:t>
      </w:r>
      <w:r>
        <w:rPr>
          <w:rFonts w:hint="eastAsia" w:ascii="宋体"/>
          <w:iCs/>
          <w:sz w:val="24"/>
          <w:highlight w:val="none"/>
        </w:rPr>
        <w:t xml:space="preserve">不符合招标文件中规定的其他实质性要求和条件的（本招标文件中标</w:t>
      </w:r>
      <w:r>
        <w:rPr>
          <w:rFonts w:hint="eastAsia" w:ascii="宋体" w:hAnsi="宋体"/>
          <w:iCs/>
          <w:sz w:val="24"/>
          <w:highlight w:val="none"/>
        </w:rPr>
        <w:t xml:space="preserve">★项内容和必须满足不得负偏离的内容</w:t>
      </w:r>
      <w:r>
        <w:rPr>
          <w:rFonts w:hint="eastAsia" w:ascii="宋体"/>
          <w:iCs/>
          <w:sz w:val="24"/>
          <w:highlight w:val="none"/>
        </w:rPr>
        <w:t xml:space="preserve">为实质性要求和条件）。</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w:t>
      </w:r>
      <w:r>
        <w:rPr>
          <w:rFonts w:ascii="宋体"/>
          <w:iCs/>
          <w:sz w:val="24"/>
          <w:highlight w:val="none"/>
        </w:rPr>
        <w:t xml:space="preserve">8</w:t>
      </w:r>
      <w:r>
        <w:rPr>
          <w:rFonts w:hint="eastAsia" w:ascii="宋体"/>
          <w:iCs/>
          <w:sz w:val="24"/>
          <w:highlight w:val="none"/>
        </w:rPr>
        <w:t xml:space="preserve"> 投标人被 “信用中国”网站（www.creditchina.gov.cn）、“中国政府采购网”(www.ccgp.gov.cn)列入失信被执行人或重大税收违法案件当事人名单或政府采购严重失信行为记录名单。</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w:t>
      </w:r>
      <w:r>
        <w:rPr>
          <w:rFonts w:ascii="宋体"/>
          <w:iCs/>
          <w:sz w:val="24"/>
          <w:highlight w:val="none"/>
        </w:rPr>
        <w:t xml:space="preserve">9</w:t>
      </w:r>
      <w:r>
        <w:rPr>
          <w:rFonts w:hint="eastAsia" w:ascii="宋体"/>
          <w:iCs/>
          <w:sz w:val="24"/>
          <w:highlight w:val="none"/>
        </w:rPr>
        <w:t xml:space="preserve"> 投标文件含有采购人不能接受的附加条件的。</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w:t>
      </w:r>
      <w:r>
        <w:rPr>
          <w:rFonts w:ascii="宋体"/>
          <w:iCs/>
          <w:sz w:val="24"/>
          <w:highlight w:val="none"/>
        </w:rPr>
        <w:t xml:space="preserve">10</w:t>
      </w:r>
      <w:r>
        <w:rPr>
          <w:rFonts w:hint="eastAsia" w:ascii="宋体"/>
          <w:iCs/>
          <w:sz w:val="24"/>
          <w:highlight w:val="none"/>
        </w:rPr>
        <w:t xml:space="preserve"> </w:t>
      </w:r>
      <w:bookmarkStart w:id="66" w:name="OLE_LINK2"/>
      <w:r>
        <w:rPr>
          <w:rFonts w:hint="eastAsia" w:ascii="宋体"/>
          <w:iCs/>
          <w:sz w:val="24"/>
          <w:highlight w:val="none"/>
        </w:rPr>
        <w:t xml:space="preserve">启动异常低价投标(响应)审查后，投标(响应)供应商不按时提供书面说明、证明材料,或者提供的书面说明、证明材料不能证明其报价合理性的。</w:t>
      </w:r>
      <w:bookmarkEnd w:id="66"/>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27.1.12 投标文件未按照招标文件要求加盖CA电子公章或公章的（本项目对投标文件有盖章要求的，加盖公章或CA电子公章均可，具有同等效力。公章是指刻有供应商法定名称的印章，不包括合同、财务、税务、发票等形式的业务专用章)。</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27.1.13其他法律、法规及本招标文件规定的属无效投标的情形。</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bookmarkEnd w:id="63"/>
      <w:r/>
      <w:bookmarkEnd w:id="64"/>
      <w:r/>
      <w:bookmarkEnd w:id="65"/>
      <w:r>
        <w:rPr>
          <w:rFonts w:hint="eastAsia" w:ascii="宋体"/>
          <w:iCs/>
          <w:sz w:val="24"/>
          <w:highlight w:val="none"/>
        </w:rPr>
        <w:t xml:space="preserve">27.2每个</w:t>
      </w:r>
      <w:r>
        <w:rPr>
          <w:rFonts w:hint="eastAsia" w:ascii="宋体"/>
          <w:iCs/>
          <w:color w:val="000000"/>
          <w:sz w:val="24"/>
          <w:highlight w:val="none"/>
        </w:rPr>
        <w:t xml:space="preserve">采购包</w:t>
      </w:r>
      <w:r>
        <w:rPr>
          <w:rFonts w:hint="eastAsia" w:ascii="宋体"/>
          <w:iCs/>
          <w:sz w:val="24"/>
          <w:highlight w:val="none"/>
        </w:rPr>
        <w:t xml:space="preserve">废标条款：</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27.2.1每个</w:t>
      </w:r>
      <w:r>
        <w:rPr>
          <w:rFonts w:hint="eastAsia" w:ascii="宋体"/>
          <w:iCs/>
          <w:color w:val="000000"/>
          <w:sz w:val="24"/>
          <w:highlight w:val="none"/>
        </w:rPr>
        <w:t xml:space="preserve">采购包</w:t>
      </w:r>
      <w:r>
        <w:rPr>
          <w:rFonts w:hint="eastAsia" w:ascii="宋体"/>
          <w:iCs/>
          <w:sz w:val="24"/>
          <w:highlight w:val="none"/>
        </w:rPr>
        <w:t xml:space="preserve">符合专业条件的供应商或者对招标文件作实质响应的供应商不足三家的。</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27.2.2出现影响采购公正的违法、违规行为的。</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27.2.3因重大变故，采购任务取消的。</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27.2.4评标委员会认定招标文件存在歧义、重大缺陷导致评审工作无法进行。</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w:t>
      </w:r>
      <w:r>
        <w:rPr>
          <w:rFonts w:ascii="宋体"/>
          <w:iCs/>
          <w:sz w:val="24"/>
          <w:highlight w:val="none"/>
        </w:rPr>
        <w:t xml:space="preserve">7.2.5</w:t>
      </w:r>
      <w:r>
        <w:rPr>
          <w:rFonts w:hint="eastAsia" w:ascii="宋体"/>
          <w:iCs/>
          <w:sz w:val="24"/>
          <w:highlight w:val="none"/>
        </w:rPr>
        <w:t xml:space="preserve">因苏采云系统系统故障原因造成开标不成功的。</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27.3 投标截止时间结束后任一采购包参加投标的供应商不足三家的处理：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27.3.1任一采购包如出现投标截止时间结束后参加投标的供应商或者在评标期间符合要求的或对招标文件做出实质响应的供应商不足三家情况，按政府采购相关规定执行。</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六、定标</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28、确定中标单位</w:t>
      </w:r>
      <w:r>
        <w:rPr>
          <w:rFonts w:ascii="宋体"/>
          <w:iCs/>
          <w:sz w:val="24"/>
          <w:highlight w:val="none"/>
        </w:rPr>
      </w:r>
      <w:r/>
    </w:p>
    <w:p>
      <w:pPr>
        <w:pStyle w:val="728"/>
        <w:ind w:firstLine="480"/>
        <w:jc w:val="both"/>
        <w:spacing w:after="0" w:line="560" w:lineRule="exact"/>
        <w:widowControl w:val="off"/>
        <w:rPr>
          <w:rFonts w:hint="eastAsia" w:ascii="宋体"/>
          <w:iCs/>
          <w:sz w:val="24"/>
          <w:highlight w:val="none"/>
        </w:rPr>
      </w:pPr>
      <w:r>
        <w:rPr>
          <w:rFonts w:hint="eastAsia" w:ascii="宋体"/>
          <w:iCs/>
          <w:sz w:val="24"/>
          <w:highlight w:val="none"/>
        </w:rPr>
        <w:t xml:space="preserve">28.1评审时按照采购包1、采购包2……采购包4顺序依次评审，根据本招标文件规定的评分办法与评分标准依次评审，向采购人推荐出每个采购包不超过3家的中标候选人。投标人投标多个采购包的，一旦投标人确定为采购包1综合得分排名第一的拟中标人，仍可参加后续所投采购包的评审，但至多中2个采购包。当某投标人按评审顺序已获任意2个采购包的拟中标人资格后，则不得再参加后续分包的评审，以此规则和顺序依次类推。</w:t>
      </w:r>
      <w:r>
        <w:rPr>
          <w:rFonts w:hint="eastAsia" w:ascii="宋体"/>
          <w:iCs/>
          <w:sz w:val="24"/>
          <w:highlight w:val="none"/>
        </w:rPr>
      </w:r>
      <w:r/>
    </w:p>
    <w:p>
      <w:pPr>
        <w:pStyle w:val="728"/>
        <w:ind w:firstLine="480"/>
        <w:jc w:val="both"/>
        <w:spacing w:after="0" w:line="560" w:lineRule="exact"/>
        <w:widowControl w:val="off"/>
        <w:rPr>
          <w:rFonts w:hint="eastAsia" w:ascii="宋体" w:hAnsi="宋体"/>
          <w:iCs/>
          <w:sz w:val="24"/>
          <w:szCs w:val="28"/>
          <w:highlight w:val="none"/>
          <w:lang w:val="zh-CN"/>
        </w:rPr>
      </w:pPr>
      <w:r>
        <w:rPr>
          <w:rFonts w:hint="eastAsia" w:ascii="宋体" w:hAnsi="宋体"/>
          <w:iCs/>
          <w:sz w:val="24"/>
          <w:szCs w:val="28"/>
          <w:highlight w:val="none"/>
          <w:lang w:val="zh-CN"/>
        </w:rPr>
        <w:t xml:space="preserve">28.2 采购人应根据评委会推荐的中标候选人顺序确定每个采购包排名第一的中标候选人为拟中标人并予以公告。</w:t>
      </w:r>
      <w:r>
        <w:rPr>
          <w:rFonts w:hint="eastAsia" w:ascii="宋体" w:hAnsi="宋体"/>
          <w:iCs/>
          <w:sz w:val="24"/>
          <w:szCs w:val="28"/>
          <w:highlight w:val="none"/>
          <w:lang w:val="zh-CN"/>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28.3 南京小旸树招标代理有限公司将在江苏政府采购网发布中标公告，公告期限为1个工作日。</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28.4  若有充分证据证明，中标人出现下列情况之一的，一经查实，将被取消中标资格：</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28.4.1提供虚假材料谋取中标的。</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28.4.2向采购人、南京小旸树招标代理有限公司行贿或者提供其他不正当利益的。</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28.4.3恶意竞争，投标总报价明显低于其自身合理成本且又无法提供证明的。</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28.4.4属于本文件规定的无效条件，但在评标过程中又未被评委会发现的。</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28.4.5与采购人或者其他供应商恶意串通的。</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28.4.6采取不正当手段诋毁、排挤其他供应商的。</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28.4.7不符合法律、法规的规定的。</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28.5 有下列情形之一的，视为投标人串通投标，投标无效：</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28.5.1不同投标人的投标文件由同一单位或者个人编制。</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28.5.2不同投标人委托同一单位或者个人办理投标事宜。</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28.5.3 不同投标人的投标文件载明的项目管理成员或者联系人员为同一人。</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28.5.4不同投标人的投标文件异常一致或者投标报价呈规律性差异。</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29、质疑处理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29.1.1对可以质疑的采购文件提出质疑的，为收到采购文件之日或者采购文件公告期限届满之日；</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29.1.2对采购过程提出质疑的，为各采购程序环节结束之日；</w:t>
      </w:r>
      <w:r>
        <w:rPr>
          <w:rFonts w:ascii="宋体"/>
          <w:iCs/>
          <w:sz w:val="24"/>
          <w:highlight w:val="none"/>
        </w:rPr>
      </w:r>
      <w:r/>
    </w:p>
    <w:p>
      <w:pPr>
        <w:pStyle w:val="728"/>
        <w:ind w:firstLine="480"/>
        <w:jc w:val="both"/>
        <w:spacing w:after="62" w:line="560" w:lineRule="exact"/>
        <w:widowControl w:val="off"/>
        <w:rPr>
          <w:rFonts w:ascii="宋体"/>
          <w:iCs/>
          <w:sz w:val="24"/>
          <w:highlight w:val="none"/>
        </w:rPr>
      </w:pPr>
      <w:r>
        <w:rPr>
          <w:rFonts w:hint="eastAsia" w:ascii="宋体"/>
          <w:iCs/>
          <w:sz w:val="24"/>
          <w:highlight w:val="none"/>
        </w:rPr>
        <w:t xml:space="preserve">29.1.3对中标或者中标结果提出质疑的，为中标或者中标结果公告期限届满之日。</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w:t>
      </w:r>
      <w:r>
        <w:rPr>
          <w:rFonts w:ascii="宋体"/>
          <w:iCs/>
          <w:sz w:val="24"/>
          <w:highlight w:val="none"/>
        </w:rPr>
        <w:t xml:space="preserve">9.1.4</w:t>
      </w:r>
      <w:r>
        <w:rPr>
          <w:rFonts w:hint="eastAsia" w:ascii="宋体"/>
          <w:iCs/>
          <w:sz w:val="24"/>
          <w:highlight w:val="none"/>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29.4质疑函应当包括下列内容：</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29.4.1质疑投标人的名称、地址、邮编、联系人、联系电话；</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29.4.2具体、明确的质疑事项及明确的请求；</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29.4.3认为自己合法权益受到损害或可能受到损害的相关事实依据、必要的法律依据以及证据材料；</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29.4.4提起质疑的日期；</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29.5南京小旸树招标代理有限公司收到质疑函后，将对质疑的形式和内容进行审查，如质疑函内容、格式不符合规定，南京小旸树招标代理有限公司将告知质疑人进行补正。</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30、中标通知书</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七、授予合同</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31、 签订合同</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31.2 招标文件、中标人的投标文件及招标过程中有关澄清、承诺文件均应作为合同附件。</w:t>
      </w:r>
      <w:r>
        <w:rPr>
          <w:rFonts w:ascii="宋体"/>
          <w:iCs/>
          <w:sz w:val="24"/>
          <w:highlight w:val="none"/>
        </w:rPr>
      </w:r>
      <w:r/>
    </w:p>
    <w:p>
      <w:pPr>
        <w:pStyle w:val="728"/>
        <w:ind w:firstLine="480"/>
        <w:jc w:val="both"/>
        <w:spacing w:after="0" w:line="560" w:lineRule="exact"/>
        <w:widowControl w:val="off"/>
        <w:rPr>
          <w:rFonts w:ascii="宋体"/>
          <w:b/>
          <w:bCs/>
          <w:iCs/>
          <w:sz w:val="24"/>
          <w:highlight w:val="none"/>
        </w:rPr>
      </w:pPr>
      <w:r>
        <w:rPr>
          <w:rFonts w:hint="eastAsia" w:ascii="宋体" w:hAnsi="宋体"/>
          <w:iCs/>
          <w:sz w:val="24"/>
          <w:highlight w:val="none"/>
        </w:rPr>
        <w:t xml:space="preserve">★</w:t>
      </w:r>
      <w:r>
        <w:rPr>
          <w:rFonts w:hint="eastAsia" w:ascii="宋体"/>
          <w:iCs/>
          <w:sz w:val="24"/>
          <w:highlight w:val="none"/>
        </w:rPr>
        <w:t xml:space="preserve">31.3 </w:t>
      </w:r>
      <w:bookmarkStart w:id="67" w:name="_Hlk86527441"/>
      <w:r>
        <w:rPr>
          <w:rFonts w:ascii="宋体"/>
          <w:bCs/>
          <w:iCs/>
          <w:sz w:val="24"/>
          <w:highlight w:val="none"/>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67"/>
      <w:r>
        <w:rPr>
          <w:rFonts w:ascii="宋体"/>
          <w:b/>
          <w:bCs/>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w:t>
      </w:r>
      <w:r>
        <w:rPr>
          <w:rFonts w:ascii="宋体"/>
          <w:iCs/>
          <w:sz w:val="24"/>
          <w:highlight w:val="none"/>
        </w:rPr>
        <w:t xml:space="preserve">2</w:t>
      </w:r>
      <w:r>
        <w:rPr>
          <w:rFonts w:hint="eastAsia" w:ascii="宋体"/>
          <w:iCs/>
          <w:sz w:val="24"/>
          <w:highlight w:val="none"/>
        </w:rPr>
        <w:t xml:space="preserve">、货物和服务的追加和添购</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hint="eastAsia" w:ascii="宋体"/>
          <w:iCs/>
          <w:sz w:val="24"/>
          <w:highlight w:val="none"/>
        </w:rPr>
        <w:t xml:space="preserve">3</w:t>
      </w:r>
      <w:r>
        <w:rPr>
          <w:rFonts w:ascii="宋体"/>
          <w:iCs/>
          <w:sz w:val="24"/>
          <w:highlight w:val="none"/>
        </w:rPr>
        <w:t xml:space="preserve">2</w:t>
      </w:r>
      <w:r>
        <w:rPr>
          <w:rFonts w:hint="eastAsia" w:ascii="宋体"/>
          <w:iCs/>
          <w:sz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iCs/>
          <w:sz w:val="24"/>
          <w:highlight w:val="none"/>
        </w:rPr>
      </w:r>
      <w:r/>
    </w:p>
    <w:p>
      <w:pPr>
        <w:pStyle w:val="728"/>
        <w:ind w:firstLine="480"/>
        <w:jc w:val="both"/>
        <w:spacing w:after="0" w:line="560" w:lineRule="exact"/>
        <w:widowControl w:val="off"/>
        <w:rPr>
          <w:rFonts w:ascii="宋体"/>
          <w:iCs/>
          <w:sz w:val="24"/>
          <w:highlight w:val="none"/>
        </w:rPr>
      </w:pPr>
      <w:r/>
      <w:bookmarkEnd w:id="42"/>
      <w:r/>
      <w:bookmarkEnd w:id="43"/>
      <w:r/>
      <w:bookmarkEnd w:id="44"/>
      <w:r/>
      <w:bookmarkEnd w:id="45"/>
      <w:r/>
      <w:bookmarkEnd w:id="46"/>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ascii="宋体"/>
          <w:iCs/>
          <w:sz w:val="24"/>
          <w:highlight w:val="none"/>
        </w:rPr>
      </w:r>
      <w:r/>
    </w:p>
    <w:p>
      <w:pPr>
        <w:pStyle w:val="728"/>
        <w:ind w:firstLine="480"/>
        <w:jc w:val="both"/>
        <w:spacing w:after="0" w:line="560" w:lineRule="exact"/>
        <w:widowControl w:val="off"/>
        <w:rPr>
          <w:rFonts w:hint="eastAsia" w:ascii="宋体"/>
          <w:iCs/>
          <w:sz w:val="24"/>
          <w:highlight w:val="none"/>
        </w:rPr>
      </w:pPr>
      <w:r>
        <w:rPr>
          <w:rFonts w:hint="eastAsia" w:ascii="宋体"/>
          <w:iCs/>
          <w:sz w:val="24"/>
          <w:highlight w:val="none"/>
        </w:rPr>
      </w:r>
      <w:r/>
    </w:p>
    <w:p>
      <w:pPr>
        <w:pStyle w:val="728"/>
        <w:ind w:firstLine="480"/>
        <w:jc w:val="both"/>
        <w:spacing w:after="0" w:line="560" w:lineRule="exact"/>
        <w:widowControl w:val="off"/>
        <w:rPr>
          <w:rFonts w:ascii="宋体"/>
          <w:iCs/>
          <w:sz w:val="24"/>
          <w:highlight w:val="none"/>
        </w:rPr>
      </w:pP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ascii="宋体"/>
          <w:iCs/>
          <w:sz w:val="24"/>
          <w:highlight w:val="none"/>
        </w:rPr>
      </w:r>
      <w:r/>
    </w:p>
    <w:p>
      <w:pPr>
        <w:pStyle w:val="728"/>
        <w:ind w:firstLine="480"/>
        <w:jc w:val="both"/>
        <w:spacing w:after="0" w:line="560" w:lineRule="exact"/>
        <w:widowControl w:val="off"/>
        <w:rPr>
          <w:rFonts w:ascii="宋体"/>
          <w:iCs/>
          <w:sz w:val="24"/>
          <w:highlight w:val="none"/>
        </w:rPr>
      </w:pPr>
      <w:r>
        <w:rPr>
          <w:rFonts w:ascii="宋体"/>
          <w:iCs/>
          <w:sz w:val="24"/>
          <w:highlight w:val="none"/>
        </w:rPr>
      </w:r>
      <w:r/>
    </w:p>
    <w:p>
      <w:pPr>
        <w:pStyle w:val="729"/>
        <w:jc w:val="center"/>
        <w:keepLines w:val="0"/>
        <w:spacing w:before="0" w:line="240" w:lineRule="auto"/>
        <w:widowControl w:val="off"/>
        <w:rPr>
          <w:rFonts w:ascii="黑体" w:hAnsi="楷体_GB2312" w:eastAsia="黑体"/>
          <w:b w:val="0"/>
          <w:bCs w:val="0"/>
          <w:color w:val="000000"/>
          <w:sz w:val="44"/>
          <w:szCs w:val="44"/>
          <w:highlight w:val="none"/>
        </w:rPr>
      </w:pPr>
      <w:r/>
      <w:bookmarkEnd w:id="39"/>
      <w:r/>
      <w:bookmarkEnd w:id="40"/>
      <w:r/>
      <w:bookmarkEnd w:id="41"/>
      <w:r/>
      <w:bookmarkStart w:id="68" w:name="_Hlk47019468"/>
      <w:r/>
      <w:bookmarkEnd w:id="68"/>
      <w:r/>
      <w:bookmarkStart w:id="69" w:name="_Toc227942465"/>
      <w:r/>
      <w:bookmarkStart w:id="70" w:name="_Toc120614244"/>
      <w:r/>
      <w:bookmarkStart w:id="71" w:name="_Hlt16619350"/>
      <w:r/>
      <w:bookmarkStart w:id="72" w:name="_Toc20823346"/>
      <w:r/>
      <w:bookmarkStart w:id="73" w:name="_Toc16938590"/>
      <w:r>
        <w:rPr>
          <w:rFonts w:hint="eastAsia" w:ascii="黑体" w:hAnsi="楷体_GB2312" w:eastAsia="黑体"/>
          <w:b w:val="0"/>
          <w:bCs w:val="0"/>
          <w:color w:val="000000"/>
          <w:sz w:val="44"/>
          <w:szCs w:val="44"/>
          <w:highlight w:val="none"/>
        </w:rPr>
        <w:t xml:space="preserve">第三章  合同条款及格式</w:t>
      </w:r>
      <w:bookmarkEnd w:id="69"/>
      <w:r>
        <w:rPr>
          <w:rFonts w:ascii="黑体" w:hAnsi="楷体_GB2312" w:eastAsia="黑体"/>
          <w:b w:val="0"/>
          <w:bCs w:val="0"/>
          <w:color w:val="000000"/>
          <w:sz w:val="44"/>
          <w:szCs w:val="44"/>
          <w:highlight w:val="none"/>
        </w:rPr>
      </w:r>
      <w:r/>
    </w:p>
    <w:p>
      <w:pPr>
        <w:pStyle w:val="728"/>
        <w:ind w:firstLine="480"/>
        <w:jc w:val="both"/>
        <w:spacing w:after="0" w:line="400" w:lineRule="exact"/>
        <w:widowControl w:val="off"/>
        <w:rPr>
          <w:rFonts w:hint="eastAsia" w:ascii="宋体" w:hAnsi="宋体"/>
          <w:bCs/>
          <w:sz w:val="24"/>
          <w:szCs w:val="24"/>
          <w:highlight w:val="none"/>
        </w:rPr>
      </w:pPr>
      <w:r/>
      <w:bookmarkStart w:id="74" w:name="_Hlt16619369"/>
      <w:r/>
      <w:bookmarkEnd w:id="74"/>
      <w:r>
        <w:rPr>
          <w:rFonts w:hint="eastAsia" w:ascii="宋体" w:hAnsi="宋体" w:cs="宋体"/>
          <w:bCs/>
          <w:sz w:val="24"/>
          <w:szCs w:val="24"/>
          <w:highlight w:val="none"/>
          <w:lang w:bidi="ar"/>
        </w:rPr>
        <w:t xml:space="preserve">以下为中标后签定本项目合同的通用条款，中标人不得提出实质性的修改，关于专用条款将由采购人与中标人结合本项目具体情况协商后签订。</w:t>
      </w:r>
      <w:r>
        <w:rPr>
          <w:rFonts w:hint="eastAsia" w:ascii="宋体" w:hAnsi="宋体"/>
          <w:bCs/>
          <w:sz w:val="24"/>
          <w:szCs w:val="24"/>
          <w:highlight w:val="none"/>
        </w:rPr>
      </w:r>
      <w:r/>
    </w:p>
    <w:p>
      <w:pPr>
        <w:pStyle w:val="728"/>
        <w:jc w:val="center"/>
        <w:spacing w:after="0" w:line="520" w:lineRule="exact"/>
        <w:widowControl w:val="off"/>
        <w:rPr>
          <w:rFonts w:hint="eastAsia" w:ascii="宋体" w:hAnsi="宋体" w:cs="宋体"/>
          <w:sz w:val="52"/>
          <w:szCs w:val="52"/>
          <w:highlight w:val="none"/>
        </w:rPr>
      </w:pPr>
      <w:r>
        <w:rPr>
          <w:rFonts w:hint="eastAsia"/>
          <w:color w:val="000000"/>
          <w:highlight w:val="none"/>
          <w:lang w:bidi="ar"/>
        </w:rPr>
        <w:t xml:space="preserve"> </w:t>
      </w:r>
      <w:r>
        <w:rPr>
          <w:rFonts w:hint="eastAsia" w:ascii="宋体" w:hAnsi="宋体" w:cs="宋体"/>
          <w:sz w:val="52"/>
          <w:szCs w:val="52"/>
          <w:highlight w:val="none"/>
        </w:rPr>
        <w:t xml:space="preserve">技术服务合同书</w:t>
      </w:r>
      <w:r>
        <w:rPr>
          <w:rFonts w:hint="eastAsia" w:ascii="宋体" w:hAnsi="宋体" w:cs="宋体"/>
          <w:sz w:val="52"/>
          <w:szCs w:val="52"/>
          <w:highlight w:val="none"/>
        </w:rPr>
      </w:r>
      <w:r/>
    </w:p>
    <w:p>
      <w:pPr>
        <w:pStyle w:val="728"/>
        <w:jc w:val="both"/>
        <w:spacing w:after="0" w:line="520" w:lineRule="exact"/>
        <w:widowControl w:val="off"/>
        <w:rPr>
          <w:rFonts w:hint="eastAsia" w:ascii="宋体" w:hAnsi="宋体" w:cs="宋体"/>
          <w:sz w:val="44"/>
          <w:szCs w:val="44"/>
          <w:highlight w:val="none"/>
        </w:rPr>
      </w:pPr>
      <w:r>
        <w:rPr>
          <w:rFonts w:hint="eastAsia" w:ascii="宋体" w:hAnsi="宋体" w:cs="宋体"/>
          <w:sz w:val="44"/>
          <w:szCs w:val="44"/>
          <w:highlight w:val="none"/>
        </w:rPr>
      </w:r>
      <w:r/>
    </w:p>
    <w:p>
      <w:pPr>
        <w:pStyle w:val="728"/>
        <w:jc w:val="both"/>
        <w:spacing w:after="0" w:line="520" w:lineRule="exact"/>
        <w:widowControl w:val="off"/>
        <w:rPr>
          <w:rFonts w:hint="eastAsia" w:ascii="宋体" w:hAnsi="宋体" w:cs="宋体"/>
          <w:sz w:val="44"/>
          <w:szCs w:val="44"/>
          <w:highlight w:val="none"/>
        </w:rPr>
      </w:pPr>
      <w:r>
        <w:rPr>
          <w:rFonts w:hint="eastAsia" w:ascii="宋体" w:hAnsi="宋体" w:cs="宋体"/>
          <w:sz w:val="44"/>
          <w:szCs w:val="44"/>
          <w:highlight w:val="none"/>
        </w:rPr>
      </w:r>
      <w:r/>
    </w:p>
    <w:p>
      <w:pPr>
        <w:pStyle w:val="728"/>
        <w:ind w:firstLine="600"/>
        <w:jc w:val="center"/>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t xml:space="preserve">项目名称：江苏省市场监督管理局2026年专业特色市场产品质量风险动态监测检验机构技术服务 </w:t>
      </w:r>
      <w:r>
        <w:rPr>
          <w:rFonts w:hint="eastAsia" w:ascii="宋体" w:hAnsi="宋体" w:cs="宋体"/>
          <w:sz w:val="30"/>
          <w:szCs w:val="30"/>
          <w:highlight w:val="none"/>
        </w:rPr>
      </w:r>
      <w:r/>
    </w:p>
    <w:p>
      <w:pPr>
        <w:pStyle w:val="728"/>
        <w:jc w:val="both"/>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r>
      <w:r/>
    </w:p>
    <w:p>
      <w:pPr>
        <w:pStyle w:val="728"/>
        <w:jc w:val="center"/>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t xml:space="preserve">（采购</w:t>
      </w:r>
      <w:r>
        <w:rPr>
          <w:rFonts w:hint="eastAsia" w:ascii="宋体" w:hAnsi="宋体" w:cs="宋体"/>
          <w:i/>
          <w:sz w:val="30"/>
          <w:szCs w:val="30"/>
          <w:highlight w:val="none"/>
        </w:rPr>
        <w:t xml:space="preserve">包号+产品名称</w:t>
      </w:r>
      <w:r>
        <w:rPr>
          <w:rFonts w:hint="eastAsia" w:ascii="宋体" w:hAnsi="宋体" w:cs="宋体"/>
          <w:sz w:val="30"/>
          <w:szCs w:val="30"/>
          <w:highlight w:val="none"/>
        </w:rPr>
        <w:t xml:space="preserve">）</w:t>
      </w:r>
      <w:r>
        <w:rPr>
          <w:rFonts w:hint="eastAsia" w:ascii="宋体" w:hAnsi="宋体" w:cs="宋体"/>
          <w:sz w:val="30"/>
          <w:szCs w:val="30"/>
          <w:highlight w:val="none"/>
        </w:rPr>
      </w:r>
      <w:r/>
    </w:p>
    <w:p>
      <w:pPr>
        <w:pStyle w:val="728"/>
        <w:jc w:val="both"/>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r>
      <w:r/>
    </w:p>
    <w:p>
      <w:pPr>
        <w:pStyle w:val="728"/>
        <w:ind w:left="420"/>
        <w:jc w:val="both"/>
        <w:spacing w:after="120" w:line="240" w:lineRule="auto"/>
        <w:widowControl w:val="off"/>
        <w:rPr>
          <w:rFonts w:hint="eastAsia" w:ascii="宋体" w:hAnsi="宋体" w:cs="宋体"/>
          <w:sz w:val="30"/>
          <w:szCs w:val="30"/>
          <w:highlight w:val="none"/>
        </w:rPr>
      </w:pPr>
      <w:r>
        <w:rPr>
          <w:rFonts w:hint="eastAsia" w:ascii="宋体" w:hAnsi="宋体" w:cs="宋体"/>
          <w:sz w:val="30"/>
          <w:szCs w:val="30"/>
          <w:highlight w:val="none"/>
        </w:rPr>
      </w:r>
      <w:r/>
    </w:p>
    <w:p>
      <w:pPr>
        <w:pStyle w:val="728"/>
        <w:ind w:left="420"/>
        <w:jc w:val="both"/>
        <w:spacing w:after="120" w:line="240" w:lineRule="auto"/>
        <w:widowControl w:val="off"/>
        <w:rPr>
          <w:rFonts w:hint="eastAsia" w:ascii="宋体" w:hAnsi="宋体" w:cs="宋体"/>
          <w:sz w:val="30"/>
          <w:szCs w:val="30"/>
          <w:highlight w:val="none"/>
        </w:rPr>
      </w:pPr>
      <w:r>
        <w:rPr>
          <w:rFonts w:hint="eastAsia" w:ascii="宋体" w:hAnsi="宋体" w:cs="宋体"/>
          <w:sz w:val="30"/>
          <w:szCs w:val="30"/>
          <w:highlight w:val="none"/>
        </w:rPr>
      </w:r>
      <w:r/>
    </w:p>
    <w:p>
      <w:pPr>
        <w:pStyle w:val="728"/>
        <w:ind w:left="420"/>
        <w:jc w:val="both"/>
        <w:spacing w:after="120" w:line="240" w:lineRule="auto"/>
        <w:widowControl w:val="off"/>
        <w:rPr>
          <w:rFonts w:hint="eastAsia" w:ascii="宋体" w:hAnsi="宋体" w:cs="宋体"/>
          <w:sz w:val="30"/>
          <w:szCs w:val="30"/>
          <w:highlight w:val="none"/>
        </w:rPr>
      </w:pPr>
      <w:r>
        <w:rPr>
          <w:rFonts w:hint="eastAsia" w:ascii="宋体" w:hAnsi="宋体" w:cs="宋体"/>
          <w:sz w:val="30"/>
          <w:szCs w:val="30"/>
          <w:highlight w:val="none"/>
        </w:rPr>
      </w:r>
      <w:r/>
    </w:p>
    <w:p>
      <w:pPr>
        <w:pStyle w:val="728"/>
        <w:jc w:val="both"/>
        <w:spacing w:after="120" w:line="240" w:lineRule="auto"/>
        <w:widowControl w:val="off"/>
        <w:rPr>
          <w:rFonts w:hint="eastAsia" w:ascii="宋体" w:hAnsi="宋体" w:cs="宋体"/>
          <w:sz w:val="30"/>
          <w:szCs w:val="30"/>
          <w:highlight w:val="none"/>
        </w:rPr>
      </w:pPr>
      <w:r>
        <w:rPr>
          <w:rFonts w:hint="eastAsia" w:ascii="宋体" w:hAnsi="宋体" w:cs="宋体"/>
          <w:sz w:val="30"/>
          <w:szCs w:val="30"/>
          <w:highlight w:val="none"/>
        </w:rPr>
      </w:r>
      <w:r/>
    </w:p>
    <w:p>
      <w:pPr>
        <w:pStyle w:val="728"/>
        <w:jc w:val="both"/>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r>
      <w:r/>
    </w:p>
    <w:p>
      <w:pPr>
        <w:pStyle w:val="728"/>
        <w:ind w:firstLine="600"/>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t xml:space="preserve">委托单位(甲方)：江苏省市场监督管理局</w:t>
      </w:r>
      <w:r>
        <w:rPr>
          <w:rFonts w:hint="eastAsia" w:ascii="宋体" w:hAnsi="宋体" w:cs="宋体"/>
          <w:sz w:val="30"/>
          <w:szCs w:val="30"/>
          <w:highlight w:val="none"/>
        </w:rPr>
      </w:r>
      <w:r/>
    </w:p>
    <w:p>
      <w:pPr>
        <w:pStyle w:val="728"/>
        <w:ind w:firstLine="600"/>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t xml:space="preserve">服务单位(乙方)：</w:t>
      </w:r>
      <w:r>
        <w:rPr>
          <w:rFonts w:hint="eastAsia" w:ascii="宋体" w:hAnsi="宋体" w:cs="宋体"/>
          <w:sz w:val="30"/>
          <w:szCs w:val="30"/>
          <w:highlight w:val="none"/>
        </w:rPr>
      </w:r>
      <w:r/>
    </w:p>
    <w:p>
      <w:pPr>
        <w:pStyle w:val="728"/>
        <w:ind w:firstLine="600"/>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t xml:space="preserve">合同签订日期：2026年  月  日</w:t>
      </w:r>
      <w:r>
        <w:rPr>
          <w:rFonts w:hint="eastAsia" w:ascii="宋体" w:hAnsi="宋体" w:cs="宋体"/>
          <w:sz w:val="30"/>
          <w:szCs w:val="30"/>
          <w:highlight w:val="none"/>
        </w:rPr>
      </w:r>
      <w:r/>
    </w:p>
    <w:p>
      <w:pPr>
        <w:pStyle w:val="728"/>
        <w:ind w:firstLine="600"/>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t xml:space="preserve">合同签订地点：南京</w:t>
      </w:r>
      <w:r>
        <w:rPr>
          <w:rFonts w:hint="eastAsia" w:ascii="宋体" w:hAnsi="宋体" w:cs="宋体"/>
          <w:sz w:val="30"/>
          <w:szCs w:val="30"/>
          <w:highlight w:val="none"/>
        </w:rPr>
      </w:r>
      <w:r/>
    </w:p>
    <w:p>
      <w:pPr>
        <w:pStyle w:val="728"/>
        <w:ind w:firstLine="600"/>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t xml:space="preserve">服务期限：2026年  月  日 至2026年  月  日</w:t>
      </w:r>
      <w:r>
        <w:rPr>
          <w:rFonts w:hint="eastAsia" w:ascii="宋体" w:hAnsi="宋体" w:cs="宋体"/>
          <w:sz w:val="30"/>
          <w:szCs w:val="30"/>
          <w:highlight w:val="none"/>
        </w:rPr>
      </w:r>
      <w:r/>
    </w:p>
    <w:p>
      <w:pPr>
        <w:pStyle w:val="728"/>
        <w:jc w:val="both"/>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r>
      <w:r/>
    </w:p>
    <w:p>
      <w:pPr>
        <w:pStyle w:val="728"/>
        <w:jc w:val="center"/>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r>
      <w:r/>
    </w:p>
    <w:p>
      <w:pPr>
        <w:pStyle w:val="728"/>
        <w:jc w:val="center"/>
        <w:spacing w:after="0" w:line="520" w:lineRule="exact"/>
        <w:widowControl w:val="off"/>
        <w:rPr>
          <w:rFonts w:hint="eastAsia" w:ascii="宋体" w:hAnsi="宋体" w:cs="宋体"/>
          <w:sz w:val="30"/>
          <w:szCs w:val="30"/>
          <w:highlight w:val="none"/>
        </w:rPr>
      </w:pPr>
      <w:r>
        <w:rPr>
          <w:rFonts w:hint="eastAsia" w:ascii="宋体" w:hAnsi="宋体" w:cs="宋体"/>
          <w:sz w:val="30"/>
          <w:szCs w:val="30"/>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依照《中华人民共和国政府采购法》《中华人民共和国民法典》等有关法律法规的规定，江苏省市场监督管理局对</w:t>
      </w:r>
      <w:r>
        <w:rPr>
          <w:rFonts w:hint="eastAsia" w:ascii="宋体" w:hAnsi="宋体" w:cs="宋体"/>
          <w:sz w:val="24"/>
          <w:szCs w:val="24"/>
          <w:highlight w:val="none"/>
          <w:u w:val="single"/>
        </w:rPr>
        <w:t xml:space="preserve">2026年专业特色市场产品质量风险动态监测检验机构技术服务（二次）</w:t>
      </w:r>
      <w:r>
        <w:rPr>
          <w:rFonts w:hint="eastAsia" w:ascii="宋体" w:hAnsi="宋体" w:cs="宋体"/>
          <w:sz w:val="24"/>
          <w:szCs w:val="24"/>
          <w:highlight w:val="none"/>
          <w:u w:val="single"/>
          <w:lang w:val="zh-CN"/>
        </w:rPr>
        <w:t xml:space="preserve">（项目编号                ）</w:t>
      </w:r>
      <w:r>
        <w:rPr>
          <w:rFonts w:hint="eastAsia" w:ascii="宋体" w:hAnsi="宋体" w:cs="宋体"/>
          <w:sz w:val="24"/>
          <w:szCs w:val="24"/>
          <w:highlight w:val="none"/>
          <w:lang w:val="zh-CN"/>
        </w:rPr>
        <w:t xml:space="preserve">进行公开招标采购，确定乙方为服务单位，双方经协商，签订本合同。</w:t>
      </w:r>
      <w:r>
        <w:rPr>
          <w:rFonts w:hint="eastAsia" w:ascii="宋体" w:hAnsi="宋体" w:cs="宋体"/>
          <w:sz w:val="24"/>
          <w:szCs w:val="24"/>
          <w:highlight w:val="none"/>
        </w:rPr>
      </w:r>
      <w:r/>
    </w:p>
    <w:p>
      <w:pPr>
        <w:pStyle w:val="728"/>
        <w:ind w:firstLine="482"/>
        <w:jc w:val="both"/>
        <w:spacing w:after="0" w:line="44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一、</w:t>
      </w:r>
      <w:r>
        <w:rPr>
          <w:rFonts w:hint="eastAsia" w:ascii="宋体" w:hAnsi="宋体" w:cs="宋体"/>
          <w:b/>
          <w:sz w:val="24"/>
          <w:szCs w:val="24"/>
          <w:highlight w:val="none"/>
          <w:lang w:val="zh-CN"/>
        </w:rPr>
        <w:t xml:space="preserve">服务</w:t>
      </w:r>
      <w:r>
        <w:rPr>
          <w:rFonts w:hint="eastAsia" w:ascii="宋体" w:hAnsi="宋体" w:cs="宋体"/>
          <w:b/>
          <w:sz w:val="24"/>
          <w:szCs w:val="24"/>
          <w:highlight w:val="none"/>
        </w:rPr>
        <w:t xml:space="preserve">内容</w:t>
      </w:r>
      <w:r>
        <w:rPr>
          <w:rFonts w:hint="eastAsia" w:ascii="宋体" w:hAnsi="宋体" w:cs="宋体"/>
          <w:b/>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lang w:val="zh-CN"/>
        </w:rPr>
        <w:t xml:space="preserve">甲方委托乙方进行服务内容如下：</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在甲方要求的时间内，</w:t>
      </w:r>
      <w:r>
        <w:rPr>
          <w:rFonts w:hint="eastAsia" w:ascii="宋体" w:hAnsi="宋体" w:cs="宋体"/>
          <w:sz w:val="24"/>
          <w:szCs w:val="24"/>
          <w:highlight w:val="none"/>
        </w:rPr>
        <w:t xml:space="preserve">乙方应依据《中华人民共和国消费者权益保护法》《中华人民共和国产品质量法》《中华人民共和国标准化法》《检验检测机构监督管理办法》《产品质量监督抽查管理暂行办法》《江苏省省级产品质量监督抽查工作规范》相关要求，</w:t>
      </w:r>
      <w:r>
        <w:rPr>
          <w:rFonts w:hint="eastAsia" w:ascii="宋体" w:hAnsi="宋体" w:cs="宋体"/>
          <w:sz w:val="24"/>
          <w:szCs w:val="24"/>
          <w:highlight w:val="none"/>
          <w:lang w:val="zh-CN"/>
        </w:rPr>
        <w:t xml:space="preserve">完成抽样、检验、抽检结果寄送并完成结果数据上报等工作。</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在甲方要求的时间内，按甲方要求</w:t>
      </w:r>
      <w:r>
        <w:rPr>
          <w:rFonts w:hint="eastAsia" w:ascii="宋体" w:hAnsi="宋体" w:cs="宋体"/>
          <w:sz w:val="24"/>
          <w:szCs w:val="24"/>
          <w:highlight w:val="none"/>
        </w:rPr>
        <w:t xml:space="preserve">提交产品的检验检测数据、检验检测报告、产品质量分析报告、质量分析建议书、产品质量风险分析报告及其他相关材料。</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lang w:val="zh-CN"/>
        </w:rPr>
        <w:t xml:space="preserve">3、按甲方要求</w:t>
      </w:r>
      <w:r>
        <w:rPr>
          <w:rFonts w:hint="eastAsia" w:ascii="宋体" w:hAnsi="宋体" w:cs="宋体"/>
          <w:sz w:val="24"/>
          <w:szCs w:val="24"/>
          <w:highlight w:val="none"/>
        </w:rPr>
        <w:t xml:space="preserve">协助甲方</w:t>
      </w:r>
      <w:r>
        <w:rPr>
          <w:rFonts w:hint="eastAsia" w:ascii="宋体" w:hAnsi="宋体" w:cs="宋体"/>
          <w:sz w:val="24"/>
          <w:szCs w:val="24"/>
          <w:highlight w:val="none"/>
          <w:lang w:val="zh-CN"/>
        </w:rPr>
        <w:t xml:space="preserve">完成异议处理、样品保存及处置工作。</w:t>
      </w:r>
      <w:r>
        <w:rPr>
          <w:rFonts w:hint="eastAsia" w:ascii="宋体" w:hAnsi="宋体" w:cs="宋体"/>
          <w:sz w:val="24"/>
          <w:szCs w:val="24"/>
          <w:highlight w:val="none"/>
        </w:rPr>
      </w:r>
      <w:r/>
    </w:p>
    <w:p>
      <w:pPr>
        <w:pStyle w:val="728"/>
        <w:ind w:firstLine="482"/>
        <w:jc w:val="both"/>
        <w:spacing w:after="0" w:line="440" w:lineRule="exact"/>
        <w:widowControl w:val="off"/>
        <w:rPr>
          <w:rFonts w:hint="eastAsia" w:ascii="宋体" w:hAnsi="宋体" w:cs="宋体"/>
          <w:b/>
          <w:sz w:val="24"/>
          <w:szCs w:val="24"/>
          <w:highlight w:val="none"/>
        </w:rPr>
      </w:pPr>
      <w:r>
        <w:rPr>
          <w:rFonts w:hint="eastAsia" w:ascii="宋体" w:hAnsi="宋体" w:cs="宋体"/>
          <w:b/>
          <w:sz w:val="24"/>
          <w:szCs w:val="24"/>
          <w:highlight w:val="none"/>
          <w:lang w:val="zh-CN"/>
        </w:rPr>
        <w:t xml:space="preserve">二、甲方的权利与义务</w:t>
      </w:r>
      <w:r>
        <w:rPr>
          <w:rFonts w:hint="eastAsia" w:ascii="宋体" w:hAnsi="宋体" w:cs="宋体"/>
          <w:b/>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1、甲方应依照本合同向乙方提供所抽查产品的《产品质量监督抽查/风险监测任务委托书》《产品质量监督抽查通知书》、抽查实施细则。</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2、甲方有权根据客观事实及工作实际要求对本合同进行调整和变更，调整和变更情况应当及时告知乙方，乙方如有不同意见应及时反馈，最终变更结果以双方商定结果为准。</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甲方有权随时向乙方了解项目进度、开展随机检查，要求乙方提供项目相关资料。</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、甲方应当按照合同约定和验收结果及时向乙方支付相关服务费用。</w:t>
      </w:r>
      <w:r>
        <w:rPr>
          <w:rFonts w:hint="eastAsia" w:ascii="宋体" w:hAnsi="宋体" w:cs="宋体"/>
          <w:sz w:val="24"/>
          <w:szCs w:val="24"/>
          <w:highlight w:val="none"/>
        </w:rPr>
      </w:r>
      <w:r/>
    </w:p>
    <w:p>
      <w:pPr>
        <w:pStyle w:val="728"/>
        <w:ind w:firstLine="482"/>
        <w:jc w:val="both"/>
        <w:spacing w:after="0" w:line="440" w:lineRule="exact"/>
        <w:widowControl w:val="off"/>
        <w:rPr>
          <w:rFonts w:hint="eastAsia" w:ascii="宋体" w:hAnsi="宋体" w:cs="宋体"/>
          <w:b/>
          <w:sz w:val="24"/>
          <w:szCs w:val="24"/>
          <w:highlight w:val="none"/>
        </w:rPr>
      </w:pPr>
      <w:r>
        <w:rPr>
          <w:rFonts w:hint="eastAsia" w:ascii="宋体" w:hAnsi="宋体" w:cs="宋体"/>
          <w:b/>
          <w:sz w:val="24"/>
          <w:szCs w:val="24"/>
          <w:highlight w:val="none"/>
          <w:lang w:val="zh-CN"/>
        </w:rPr>
        <w:t xml:space="preserve">三、乙方的权利与义务</w:t>
      </w:r>
      <w:r>
        <w:rPr>
          <w:rFonts w:hint="eastAsia" w:ascii="宋体" w:hAnsi="宋体" w:cs="宋体"/>
          <w:b/>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1、乙方应当具备开展本合同委托内容的下列条件：</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①乙方应具备一定抽样技术能力，人员配置、作业管理等应满足抽样技术要求，确保抽查工作的顺利开展。</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②乙方应具有国家认证认可监督管理委员会或省级市场监督管理部门颁发的有效期内（有效期能覆盖本次任务的完成）的检验检测机构资质认定证书（CMA）。</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③具有必备的仪器设备、人员（须经培训符合要求）和检测能力；</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2、乙方不得存在借承担江苏省省级产品质量监督抽查/风险监测工作之机为本机构拉客户、事先通知被抽查企业，直接或间接参与企业接待等违法违规行为。</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乙方应当保证抽样、检验工作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w:t>
      </w:r>
      <w:r>
        <w:rPr>
          <w:rFonts w:hint="eastAsia" w:ascii="宋体" w:hAnsi="宋体" w:cs="宋体"/>
          <w:sz w:val="24"/>
          <w:szCs w:val="24"/>
          <w:highlight w:val="none"/>
        </w:rPr>
      </w:r>
      <w:r/>
    </w:p>
    <w:p>
      <w:pPr>
        <w:pStyle w:val="728"/>
        <w:ind w:firstLine="480"/>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4、乙方应当严格按照本合同约定的内容承担相关工作，不得超范围开展产品质量监督抽查相关业务；不得与被抽查企业签订同类产品的有偿服务协议或者接受被抽查企业对同一产品的委托检验。</w:t>
      </w:r>
      <w:r>
        <w:rPr>
          <w:rFonts w:hint="eastAsia" w:ascii="宋体" w:hAnsi="宋体" w:cs="宋体"/>
          <w:sz w:val="24"/>
          <w:szCs w:val="24"/>
          <w:highlight w:val="none"/>
        </w:rPr>
      </w:r>
      <w:r/>
    </w:p>
    <w:p>
      <w:pPr>
        <w:pStyle w:val="728"/>
        <w:ind w:firstLine="480"/>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5、乙方应严格按照投标文件中人员配置方案进行人员安排，未经甲方同意不得擅自更换人员。对存在虚报人员或者未经甲方同意擅自更换人员的，甲方将视情况解除合同关系。</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6、除甲方书面许可外，乙方不得以任何形式分包检验检测项目、不得租赁或者借用他人检测设备。</w:t>
      </w:r>
      <w:r>
        <w:rPr>
          <w:rFonts w:hint="eastAsia" w:ascii="宋体" w:hAnsi="宋体" w:cs="宋体"/>
          <w:sz w:val="24"/>
          <w:szCs w:val="24"/>
          <w:highlight w:val="none"/>
        </w:rPr>
      </w:r>
      <w:r/>
    </w:p>
    <w:p>
      <w:pPr>
        <w:pStyle w:val="728"/>
        <w:ind w:firstLine="480"/>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7、乙方应当在本合同约定时限内，保质保量完成抽查任务。</w:t>
      </w:r>
      <w:r>
        <w:rPr>
          <w:rFonts w:hint="eastAsia" w:ascii="宋体" w:hAnsi="宋体" w:cs="宋体"/>
          <w:sz w:val="24"/>
          <w:szCs w:val="24"/>
          <w:highlight w:val="none"/>
          <w:lang w:val="zh-CN"/>
        </w:rPr>
        <w:t xml:space="preserve">如因遭遇不可抗力或其他因素影响项目任务的正常执行进度，致使</w:t>
      </w:r>
      <w:r>
        <w:rPr>
          <w:rFonts w:hint="eastAsia" w:ascii="宋体" w:hAnsi="宋体" w:cs="宋体"/>
          <w:sz w:val="24"/>
          <w:szCs w:val="24"/>
          <w:highlight w:val="none"/>
        </w:rPr>
        <w:t xml:space="preserve">承担任务</w:t>
      </w:r>
      <w:r>
        <w:rPr>
          <w:rFonts w:hint="eastAsia" w:ascii="宋体" w:hAnsi="宋体" w:cs="宋体"/>
          <w:sz w:val="24"/>
          <w:szCs w:val="24"/>
          <w:highlight w:val="none"/>
          <w:lang w:val="zh-CN"/>
        </w:rPr>
        <w:t xml:space="preserve">需要调整时，乙方</w:t>
      </w:r>
      <w:r>
        <w:rPr>
          <w:rFonts w:hint="eastAsia" w:ascii="宋体" w:hAnsi="宋体" w:cs="宋体"/>
          <w:sz w:val="24"/>
          <w:szCs w:val="24"/>
          <w:highlight w:val="none"/>
        </w:rPr>
        <w:t xml:space="preserve">应当及时向甲方提交书面报告，经甲方确定处理意见后执行。</w:t>
      </w:r>
      <w:r>
        <w:rPr>
          <w:rFonts w:hint="eastAsia" w:ascii="宋体" w:hAnsi="宋体" w:cs="宋体"/>
          <w:sz w:val="24"/>
          <w:szCs w:val="24"/>
          <w:highlight w:val="none"/>
        </w:rPr>
      </w:r>
      <w:r/>
    </w:p>
    <w:p>
      <w:pPr>
        <w:pStyle w:val="728"/>
        <w:ind w:firstLine="480"/>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8、监督检查及风险监测任务中所购买样品的所有权归属甲方，乙方需对样品妥善保管，样品处置需符合《江苏省省级产品质量监督抽查工作规范》要求。</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9、乙方应积极提供资料并配合甲方在任务实施期间开展随机检查和任务完成后开展验收检查。</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val="zh-CN"/>
        </w:rPr>
        <w:t xml:space="preserve">、服务费用</w:t>
      </w:r>
      <w:r>
        <w:rPr>
          <w:rFonts w:hint="eastAsia" w:ascii="宋体" w:hAnsi="宋体" w:cs="宋体"/>
          <w:sz w:val="24"/>
          <w:szCs w:val="24"/>
          <w:highlight w:val="none"/>
        </w:rPr>
        <w:t xml:space="preserve">尾款支付后，乙方仍应当按合同及甲方的要求协助甲方进行本次任务涉及产品的</w:t>
      </w:r>
      <w:r>
        <w:rPr>
          <w:rFonts w:hint="eastAsia" w:ascii="宋体" w:hAnsi="宋体" w:cs="宋体"/>
          <w:sz w:val="24"/>
          <w:szCs w:val="24"/>
          <w:highlight w:val="none"/>
          <w:lang w:val="zh-CN"/>
        </w:rPr>
        <w:t xml:space="preserve">异议处理</w:t>
      </w:r>
      <w:r>
        <w:rPr>
          <w:rFonts w:hint="eastAsia" w:ascii="宋体" w:hAnsi="宋体" w:cs="宋体"/>
          <w:sz w:val="24"/>
          <w:szCs w:val="24"/>
          <w:highlight w:val="none"/>
        </w:rPr>
        <w:t xml:space="preserve">及样品处置工作。</w:t>
      </w:r>
      <w:r>
        <w:rPr>
          <w:rFonts w:hint="eastAsia" w:ascii="宋体" w:hAnsi="宋体" w:cs="宋体"/>
          <w:sz w:val="24"/>
          <w:szCs w:val="24"/>
          <w:highlight w:val="none"/>
        </w:rPr>
      </w:r>
      <w:r/>
    </w:p>
    <w:p>
      <w:pPr>
        <w:pStyle w:val="728"/>
        <w:ind w:firstLine="482"/>
        <w:jc w:val="both"/>
        <w:spacing w:after="0" w:line="44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四、双方约定因履行本合同应遵守的保密义务</w:t>
      </w:r>
      <w:r>
        <w:rPr>
          <w:rFonts w:hint="eastAsia" w:ascii="宋体" w:hAnsi="宋体" w:cs="宋体"/>
          <w:b/>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1、乙方应严格保守产品质量江苏省省级产品质量监督抽查/风险监测信息，未经甲方同意，不得将抽查结果对外发布，不得将抽查结果提供给任何部门、单位及个人，同时不得外泄被抽查企业的商业秘密。</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2、乙方在开展江苏省省级产品质量监督抽查/风险监测工作过程中，存在违法、违规和违反合同行为的，甲方可以随时解除合同，乙方需承担因其所造成的损失。</w:t>
      </w:r>
      <w:r>
        <w:rPr>
          <w:rFonts w:hint="eastAsia" w:ascii="宋体" w:hAnsi="宋体" w:cs="宋体"/>
          <w:sz w:val="24"/>
          <w:szCs w:val="24"/>
          <w:highlight w:val="none"/>
        </w:rPr>
      </w:r>
      <w:r/>
    </w:p>
    <w:p>
      <w:pPr>
        <w:pStyle w:val="728"/>
        <w:ind w:firstLine="482"/>
        <w:jc w:val="both"/>
        <w:spacing w:after="0" w:line="44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五、服务费用及支付方式</w:t>
      </w:r>
      <w:r>
        <w:rPr>
          <w:rFonts w:hint="eastAsia" w:ascii="宋体" w:hAnsi="宋体" w:cs="宋体"/>
          <w:b/>
          <w:sz w:val="24"/>
          <w:szCs w:val="24"/>
          <w:highlight w:val="none"/>
        </w:rPr>
      </w:r>
      <w:r/>
    </w:p>
    <w:p>
      <w:pPr>
        <w:pStyle w:val="728"/>
        <w:ind w:firstLine="480"/>
        <w:spacing w:after="0" w:line="440" w:lineRule="exact"/>
        <w:widowControl w:val="off"/>
        <w:rPr>
          <w:rFonts w:hint="eastAsia" w:ascii="宋体" w:hAnsi="宋体" w:cs="宋体"/>
          <w:sz w:val="21"/>
          <w:szCs w:val="21"/>
          <w:highlight w:val="none"/>
        </w:rPr>
      </w:pPr>
      <w:r>
        <w:rPr>
          <w:rFonts w:hint="eastAsia" w:ascii="宋体" w:hAnsi="宋体" w:cs="宋体"/>
          <w:sz w:val="24"/>
          <w:szCs w:val="24"/>
          <w:highlight w:val="none"/>
        </w:rPr>
        <w:t xml:space="preserve">1、服务费用：签约经费总额为￥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）其中：</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产品中标单价为￥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），任务批次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批次。</w:t>
      </w:r>
      <w:r>
        <w:rPr>
          <w:rFonts w:hint="eastAsia" w:ascii="宋体" w:hAnsi="宋体" w:cs="宋体"/>
          <w:sz w:val="21"/>
          <w:szCs w:val="21"/>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备注:本服务经费包括检测费、购样费、抽样费、人员费用(交通费、住宿费、劳务费)、报告文本费（检测报告、质量分析报告等的编制打印）、相关文书的邮寄费、样品处置费用、税金等各项全部费用。除双方另有约定，乙方不得再以其他任何理由向甲方主张其他费用。</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2、支付方式（付款进度和方式）：</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sz w:val="24"/>
          <w:szCs w:val="24"/>
          <w:highlight w:val="none"/>
        </w:rPr>
        <w:t xml:space="preserve">合同签订后30个工作日内，甲方向乙方预付服务费用的50%；甲方确认乙方按合同约定完成任务，验收合格后30个工作日内，向乙方支付剩余服务费用（剩余服务费用=中标单价×实际抽检批次数-预付款）。 </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3、乙方收款账号信息：</w:t>
      </w:r>
      <w:r>
        <w:rPr>
          <w:rFonts w:hint="eastAsia" w:ascii="宋体" w:hAnsi="宋体" w:cs="宋体"/>
          <w:sz w:val="24"/>
          <w:szCs w:val="24"/>
          <w:highlight w:val="none"/>
        </w:rPr>
      </w:r>
      <w:r/>
    </w:p>
    <w:p>
      <w:pPr>
        <w:pStyle w:val="728"/>
        <w:ind w:left="420" w:firstLine="12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单位名称：</w:t>
      </w:r>
      <w:r>
        <w:rPr>
          <w:rFonts w:hint="eastAsia" w:ascii="宋体" w:hAnsi="宋体" w:cs="宋体"/>
          <w:sz w:val="24"/>
          <w:szCs w:val="24"/>
          <w:highlight w:val="none"/>
        </w:rPr>
      </w:r>
      <w:r/>
    </w:p>
    <w:p>
      <w:pPr>
        <w:pStyle w:val="728"/>
        <w:ind w:left="559"/>
        <w:jc w:val="both"/>
        <w:spacing w:after="0" w:line="44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账户名称：</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28"/>
        <w:ind w:left="559"/>
        <w:jc w:val="both"/>
        <w:spacing w:after="0" w:line="44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账  号：</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28"/>
        <w:ind w:left="559"/>
        <w:jc w:val="both"/>
        <w:spacing w:after="0" w:line="44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开户行：</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28"/>
        <w:ind w:firstLine="482"/>
        <w:jc w:val="both"/>
        <w:spacing w:after="0" w:line="44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六、违约责任及纠纷解决</w:t>
      </w:r>
      <w:r>
        <w:rPr>
          <w:rFonts w:hint="eastAsia" w:ascii="宋体" w:hAnsi="宋体" w:cs="宋体"/>
          <w:b/>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1、甲方如未按时拨付相关经费，乙方可停止执行甲方提出的专业特色市场产品质量风险动态监测任务。</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2、乙方如出现以下情形，甲方有权扣除其部分或全部检验费用、解除合同并取消检验资格：</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（1）未经许可分包专业特色市场产品质量风险动态监测任务的；</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（2）拒绝、阻挠、逃避甲方对专业特色市场产品质量风险动态监测工作质量和经费使用情况开展的监督检查和考核；</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未按时完成承检工作、数据上报、工作总结以及其他抽检监测等资料，且未向甲方提出合理说明的。甲方有明确交付期限而乙方逾期交付服务的，应按合同总额和逾期交付时间每日千分之六向甲方偿付滞纳金，由甲方从待付款项中扣除。逾期时间超过约定日期10日不能交付的，甲方可解除本合同。乙方因逾期交付或其他违约行为导致甲方解除合同的，乙方应向甲方支付本合同总价</w:t>
      </w:r>
      <w:r>
        <w:rPr>
          <w:rFonts w:ascii="宋体" w:hAnsi="宋体" w:cs="宋体"/>
          <w:sz w:val="24"/>
          <w:szCs w:val="24"/>
          <w:highlight w:val="none"/>
        </w:rPr>
        <w:t xml:space="preserve">5%</w:t>
      </w:r>
      <w:r>
        <w:rPr>
          <w:rFonts w:hint="eastAsia" w:ascii="宋体" w:hAnsi="宋体" w:cs="宋体"/>
          <w:sz w:val="24"/>
          <w:szCs w:val="24"/>
          <w:highlight w:val="none"/>
        </w:rPr>
        <w:t xml:space="preserve">的违约金，如造成甲方损失超过违约金的，超出部分由乙方继续承担赔偿责任。</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未经甲方许可减少或者调换抽样检验品种、批次、项目或者抽样区域、环节的。乙方所交付的服务内容、质量不符合合同规定及招标文件规定标准和投标文件响应內容的，甲方有权拒收该服务，乙方愿意更换服务但逾期交付的，按乙方逾期交付处理。乙方拒绝更换服务的，甲方可单方面解除合同，乙方应向甲方支付合同总价</w:t>
      </w:r>
      <w:r>
        <w:rPr>
          <w:rFonts w:ascii="宋体" w:hAnsi="宋体" w:cs="宋体"/>
          <w:sz w:val="24"/>
          <w:szCs w:val="24"/>
          <w:highlight w:val="none"/>
        </w:rPr>
        <w:t xml:space="preserve">5%</w:t>
      </w:r>
      <w:r>
        <w:rPr>
          <w:rFonts w:hint="eastAsia" w:ascii="宋体" w:hAnsi="宋体" w:cs="宋体"/>
          <w:sz w:val="24"/>
          <w:szCs w:val="24"/>
          <w:highlight w:val="none"/>
        </w:rPr>
        <w:t xml:space="preserve">的违约金。</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3、对乙方出现的如下情形，造成不良结果的，甲方将不再委托检验任务、解除合同直至追究法律责任，并要求乙方退还甲方已预付的合同款项并赔偿甲方因此造成的所有损失：</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（1）出具虚假、错误检验数据和报告的；</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（2）违反保密规定，向甲方以外单位或被抽检方泄露检验结果的；</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（3）超资质范围出具检验报告、未按规定时限出具检验报告；</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（4）因运输、保存不当导致备份样品丢失或者损毁的。</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4、因乙方虚假承诺而造成甲方损失或影响甲方整体抽样工作的，甲方有权单方面解除合同，过程中所产生的费用甲方将不予支付，禁止其3年内承担专业特色市场产品质量风险动态监测任务。</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5、乙方如出现出具虚假、错误检测数据或检验报告的，甲方将扣除相应的批次经费，乙方需承担后续可能出现的赔偿责任。</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6、因乙方工作差错造成的样品损坏、检验结果偏差等工作质量问题导致撤销批次情况发生，甲方不支付撤销批次的相关费用，甲方视情况通报。</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7、因履行本合同引起的或与本合同有关的争议，甲乙双方应首先通过友好协商解决，如果协商不能解决争议，任何一方均可向甲方所在地有管辖权的人民法院提起诉讼。其他违约责任，违约方应按违约行为对守约方造成的实际损失进行赔偿。</w:t>
      </w:r>
      <w:r>
        <w:rPr>
          <w:rFonts w:hint="eastAsia" w:ascii="宋体" w:hAnsi="宋体" w:cs="宋体"/>
          <w:sz w:val="24"/>
          <w:szCs w:val="24"/>
          <w:highlight w:val="none"/>
        </w:rPr>
      </w:r>
      <w:r/>
    </w:p>
    <w:p>
      <w:pPr>
        <w:pStyle w:val="728"/>
        <w:ind w:firstLine="482"/>
        <w:jc w:val="both"/>
        <w:spacing w:after="0" w:line="44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七、验收方法与验收标准</w:t>
      </w:r>
      <w:r>
        <w:rPr>
          <w:rFonts w:hint="eastAsia" w:ascii="宋体" w:hAnsi="宋体" w:cs="宋体"/>
          <w:b/>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乙方应依据《产品质量监督抽查管理暂行办法》《江苏省省级产品质量监督抽查工作规范》、经江苏省市场监管局审定的监督抽查/风险监测实施方案、产品质量监督抽查实施细则等要求开展抽样检验工作，确保完成任务质量。</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2、甲方在乙方完成抽检任务后应及时组织验收</w:t>
      </w:r>
      <w:r>
        <w:rPr>
          <w:rFonts w:hint="eastAsia" w:ascii="宋体" w:hAnsi="宋体" w:cs="宋体"/>
          <w:sz w:val="24"/>
          <w:szCs w:val="24"/>
          <w:highlight w:val="none"/>
          <w:lang w:val="zh-CN"/>
        </w:rPr>
        <w:t xml:space="preserve">，并根据验收结论，确定是否可以付款。</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验收结论分为通过、整改后通过、不予通过三类。验收结论为通过的，甲方按合同约定支付合同费用；验收后甲方认为需要整改的，乙方在经整改后能符合甲方要求的，为整改后通过，甲方在乙方完成整改后按合同约定支付合同费用；验收结论为不予通过的，则甲方有权扣除其部分或全部合同费用。</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验收标准如下：</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lang w:val="zh-CN"/>
        </w:rPr>
        <w:t xml:space="preserve">a、在委托书限定时间内完成任务并及时上传“江苏省产品质量安全监督管理系统”</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b、有效抽查批次数满足合同约定批次数的95%及以上。</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c、未抽到样（终止抽样）情况说明表、抽样单、检验报告、质量分析报告等文书资料按要求编写并提交，且无重大错误。</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d、履约期间无违规违纪情况。</w:t>
      </w:r>
      <w:r>
        <w:rPr>
          <w:rFonts w:hint="eastAsia" w:ascii="宋体" w:hAnsi="宋体" w:cs="宋体"/>
          <w:sz w:val="24"/>
          <w:szCs w:val="24"/>
          <w:highlight w:val="none"/>
        </w:rPr>
      </w:r>
      <w:r/>
    </w:p>
    <w:p>
      <w:pPr>
        <w:pStyle w:val="728"/>
        <w:ind w:firstLine="482"/>
        <w:jc w:val="both"/>
        <w:spacing w:after="0" w:line="44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八、服务期限</w:t>
      </w:r>
      <w:r>
        <w:rPr>
          <w:rFonts w:hint="eastAsia" w:ascii="宋体" w:hAnsi="宋体" w:cs="宋体"/>
          <w:b/>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lang w:val="zh-CN"/>
        </w:rPr>
        <w:t xml:space="preserve">乙方服务期限：合同签订之日起至</w:t>
      </w:r>
      <w:r>
        <w:rPr>
          <w:rFonts w:hint="eastAsia" w:ascii="宋体" w:hAnsi="宋体" w:cs="宋体"/>
          <w:sz w:val="24"/>
          <w:szCs w:val="24"/>
          <w:highlight w:val="none"/>
        </w:rPr>
        <w:t xml:space="preserve">2026</w:t>
      </w:r>
      <w:r>
        <w:rPr>
          <w:rFonts w:hint="eastAsia" w:ascii="宋体" w:hAnsi="宋体" w:cs="宋体"/>
          <w:sz w:val="24"/>
          <w:szCs w:val="24"/>
          <w:highlight w:val="none"/>
          <w:lang w:val="zh-CN"/>
        </w:rPr>
        <w:t xml:space="preserve">年</w:t>
      </w:r>
      <w:r>
        <w:rPr>
          <w:rFonts w:hint="eastAsia" w:ascii="宋体" w:hAnsi="宋体" w:cs="宋体"/>
          <w:sz w:val="24"/>
          <w:szCs w:val="24"/>
          <w:highlight w:val="none"/>
        </w:rPr>
        <w:t xml:space="preserve">11</w:t>
      </w:r>
      <w:r>
        <w:rPr>
          <w:rFonts w:hint="eastAsia" w:ascii="宋体" w:hAnsi="宋体" w:cs="宋体"/>
          <w:sz w:val="24"/>
          <w:szCs w:val="24"/>
          <w:highlight w:val="none"/>
          <w:lang w:val="zh-CN"/>
        </w:rPr>
        <w:t xml:space="preserve">月</w:t>
      </w:r>
      <w:r>
        <w:rPr>
          <w:rFonts w:hint="eastAsia" w:ascii="宋体" w:hAnsi="宋体" w:cs="宋体"/>
          <w:sz w:val="24"/>
          <w:szCs w:val="24"/>
          <w:highlight w:val="none"/>
        </w:rPr>
        <w:t xml:space="preserve">30</w:t>
      </w:r>
      <w:r>
        <w:rPr>
          <w:rFonts w:hint="eastAsia" w:ascii="宋体" w:hAnsi="宋体" w:cs="宋体"/>
          <w:sz w:val="24"/>
          <w:szCs w:val="24"/>
          <w:highlight w:val="none"/>
          <w:lang w:val="zh-CN"/>
        </w:rPr>
        <w:t xml:space="preserve">日。</w:t>
      </w:r>
      <w:r>
        <w:rPr>
          <w:rFonts w:hint="eastAsia" w:ascii="宋体" w:hAnsi="宋体" w:cs="宋体"/>
          <w:sz w:val="24"/>
          <w:szCs w:val="24"/>
          <w:highlight w:val="none"/>
        </w:rPr>
      </w:r>
      <w:r/>
    </w:p>
    <w:p>
      <w:pPr>
        <w:pStyle w:val="728"/>
        <w:ind w:firstLine="482"/>
        <w:jc w:val="both"/>
        <w:spacing w:after="0" w:line="44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九、备注</w:t>
      </w:r>
      <w:r>
        <w:rPr>
          <w:rFonts w:hint="eastAsia" w:ascii="宋体" w:hAnsi="宋体" w:cs="宋体"/>
          <w:b/>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1、本合同与招标文件、乙方投标文件如有抵触之处，以本合同条款为准。</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2、下列文件均为本合同的组成部分：</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（1）招标文件、答疑及补充通知；</w:t>
      </w:r>
      <w:r>
        <w:rPr>
          <w:rFonts w:hint="eastAsia" w:ascii="宋体" w:hAnsi="宋体" w:cs="宋体"/>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（2）投标文件；</w:t>
      </w:r>
      <w:r>
        <w:rPr>
          <w:rFonts w:hint="eastAsia" w:ascii="宋体" w:hAnsi="宋体" w:cs="宋体"/>
          <w:sz w:val="24"/>
          <w:szCs w:val="24"/>
          <w:highlight w:val="none"/>
        </w:rPr>
      </w:r>
      <w:r/>
    </w:p>
    <w:p>
      <w:pPr>
        <w:pStyle w:val="728"/>
        <w:ind w:firstLine="523"/>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（3）本合同执行中共同签署的补充与修正文件。</w:t>
      </w:r>
      <w:r>
        <w:rPr>
          <w:rFonts w:hint="eastAsia" w:ascii="宋体" w:hAnsi="宋体" w:cs="宋体"/>
          <w:sz w:val="24"/>
          <w:szCs w:val="24"/>
          <w:highlight w:val="none"/>
        </w:rPr>
      </w:r>
      <w:r/>
    </w:p>
    <w:p>
      <w:pPr>
        <w:pStyle w:val="728"/>
        <w:ind w:firstLine="523"/>
        <w:jc w:val="both"/>
        <w:spacing w:after="0" w:line="24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（4）联合体协议（如有）</w:t>
      </w:r>
      <w:r>
        <w:rPr>
          <w:rFonts w:hint="eastAsia" w:ascii="宋体" w:hAnsi="宋体" w:cs="宋体"/>
          <w:sz w:val="24"/>
          <w:szCs w:val="24"/>
          <w:highlight w:val="none"/>
        </w:rPr>
      </w:r>
      <w:r/>
    </w:p>
    <w:p>
      <w:pPr>
        <w:pStyle w:val="728"/>
        <w:ind w:firstLine="482"/>
        <w:jc w:val="both"/>
        <w:spacing w:after="0" w:line="440" w:lineRule="exact"/>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十、合同书双方签章</w:t>
      </w:r>
      <w:r>
        <w:rPr>
          <w:rFonts w:hint="eastAsia" w:ascii="宋体" w:hAnsi="宋体" w:cs="宋体"/>
          <w:b/>
          <w:sz w:val="24"/>
          <w:szCs w:val="24"/>
          <w:highlight w:val="none"/>
        </w:rPr>
      </w:r>
      <w:r/>
    </w:p>
    <w:p>
      <w:pPr>
        <w:pStyle w:val="728"/>
        <w:ind w:firstLine="480"/>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本合同一式四份，经双方签字并盖章后生效。</w:t>
      </w:r>
      <w:r>
        <w:rPr>
          <w:rFonts w:hint="eastAsia" w:ascii="宋体" w:hAnsi="宋体" w:cs="宋体"/>
          <w:sz w:val="24"/>
          <w:szCs w:val="24"/>
          <w:highlight w:val="none"/>
        </w:rPr>
        <w:br w:type="page" w:clear="all"/>
      </w:r>
      <w:r>
        <w:rPr>
          <w:rFonts w:hint="eastAsia" w:ascii="宋体" w:hAnsi="宋体" w:cs="宋体"/>
          <w:sz w:val="24"/>
          <w:szCs w:val="24"/>
          <w:highlight w:val="none"/>
        </w:rPr>
      </w:r>
      <w:r/>
    </w:p>
    <w:tbl>
      <w:tblPr>
        <w:tblW w:w="4790"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22"/>
        <w:gridCol w:w="3977"/>
        <w:gridCol w:w="2164"/>
      </w:tblGrid>
      <w:tr>
        <w:trPr>
          <w:trHeight w:val="494"/>
        </w:trPr>
        <w:tc>
          <w:tcPr>
            <w:tcW w:w="1144" w:type="dxa"/>
            <w:vAlign w:val="center"/>
            <w:vMerge w:val="restart"/>
            <w:textDirection w:val="lrTb"/>
            <w:noWrap w:val="false"/>
          </w:tcPr>
          <w:p>
            <w:pPr>
              <w:pStyle w:val="728"/>
              <w:jc w:val="both"/>
              <w:spacing w:after="0" w:line="440" w:lineRule="exact"/>
              <w:widowControl w:val="off"/>
              <w:rPr>
                <w:rFonts w:hint="eastAsia" w:ascii="宋体" w:hAnsi="宋体" w:cs="宋体"/>
                <w:b/>
                <w:spacing w:val="-9"/>
                <w:sz w:val="24"/>
                <w:szCs w:val="24"/>
                <w:highlight w:val="none"/>
              </w:rPr>
            </w:pPr>
            <w:r>
              <w:rPr>
                <w:rFonts w:hint="eastAsia" w:ascii="宋体" w:hAnsi="宋体" w:cs="宋体"/>
                <w:b/>
                <w:spacing w:val="-9"/>
                <w:sz w:val="24"/>
                <w:szCs w:val="24"/>
                <w:highlight w:val="none"/>
              </w:rPr>
            </w:r>
            <w:r/>
          </w:p>
          <w:p>
            <w:pPr>
              <w:pStyle w:val="728"/>
              <w:jc w:val="both"/>
              <w:spacing w:after="0" w:line="440" w:lineRule="exact"/>
              <w:widowControl w:val="off"/>
              <w:rPr>
                <w:rFonts w:hint="eastAsia" w:ascii="宋体" w:hAnsi="宋体" w:cs="宋体"/>
                <w:b/>
                <w:spacing w:val="-9"/>
                <w:sz w:val="24"/>
                <w:szCs w:val="24"/>
                <w:highlight w:val="none"/>
              </w:rPr>
            </w:pPr>
            <w:r>
              <w:rPr>
                <w:rFonts w:hint="eastAsia" w:ascii="宋体" w:hAnsi="宋体" w:cs="宋体"/>
                <w:b/>
                <w:spacing w:val="-9"/>
                <w:sz w:val="24"/>
                <w:szCs w:val="24"/>
                <w:highlight w:val="none"/>
              </w:rPr>
            </w:r>
            <w:r/>
          </w:p>
          <w:p>
            <w:pPr>
              <w:pStyle w:val="728"/>
              <w:ind w:right="114"/>
              <w:jc w:val="center"/>
              <w:spacing w:after="0" w:line="440" w:lineRule="exact"/>
              <w:widowControl w:val="off"/>
              <w:rPr>
                <w:rFonts w:hint="eastAsia" w:ascii="宋体" w:hAnsi="宋体" w:cs="宋体"/>
                <w:b/>
                <w:sz w:val="24"/>
                <w:szCs w:val="24"/>
                <w:highlight w:val="none"/>
              </w:rPr>
            </w:pPr>
            <w:r>
              <w:rPr>
                <w:rFonts w:hint="eastAsia" w:ascii="宋体" w:hAnsi="宋体" w:cs="宋体"/>
                <w:b/>
                <w:spacing w:val="-9"/>
                <w:sz w:val="24"/>
                <w:szCs w:val="24"/>
                <w:highlight w:val="none"/>
              </w:rPr>
              <w:t xml:space="preserve">委托单位</w:t>
            </w:r>
            <w:r>
              <w:rPr>
                <w:rFonts w:hint="eastAsia" w:ascii="宋体" w:hAnsi="宋体" w:cs="宋体"/>
                <w:b/>
                <w:sz w:val="24"/>
                <w:szCs w:val="24"/>
                <w:highlight w:val="none"/>
              </w:rPr>
              <w:t xml:space="preserve">(甲方)</w:t>
            </w:r>
            <w:r>
              <w:rPr>
                <w:rFonts w:hint="eastAsia" w:ascii="宋体" w:hAnsi="宋体" w:cs="宋体"/>
                <w:b/>
                <w:sz w:val="24"/>
                <w:szCs w:val="24"/>
                <w:highlight w:val="none"/>
              </w:rPr>
            </w:r>
            <w:r/>
          </w:p>
        </w:tc>
        <w:tc>
          <w:tcPr>
            <w:tcW w:w="2497" w:type="dxa"/>
            <w:vAlign w:val="center"/>
            <w:textDirection w:val="lrTb"/>
            <w:noWrap w:val="false"/>
          </w:tcPr>
          <w:p>
            <w:pPr>
              <w:pStyle w:val="728"/>
              <w:ind w:left="180" w:right="176"/>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单位名称</w:t>
            </w:r>
            <w:r>
              <w:rPr>
                <w:rFonts w:hint="eastAsia" w:ascii="宋体" w:hAnsi="宋体" w:cs="宋体"/>
                <w:sz w:val="24"/>
                <w:szCs w:val="24"/>
                <w:highlight w:val="none"/>
              </w:rPr>
            </w:r>
            <w:r/>
          </w:p>
        </w:tc>
        <w:tc>
          <w:tcPr>
            <w:tcW w:w="1359" w:type="dxa"/>
            <w:vAlign w:val="center"/>
            <w:vMerge w:val="restart"/>
            <w:textDirection w:val="lrTb"/>
            <w:noWrap w:val="false"/>
          </w:tcPr>
          <w:p>
            <w:pPr>
              <w:pStyle w:val="728"/>
              <w:jc w:val="center"/>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728"/>
              <w:jc w:val="center"/>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728"/>
              <w:jc w:val="center"/>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728"/>
              <w:jc w:val="both"/>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728"/>
              <w:ind w:left="466" w:right="203" w:hanging="358"/>
              <w:jc w:val="center"/>
              <w:spacing w:before="139" w:after="0" w:line="440" w:lineRule="exact"/>
              <w:widowControl w:val="off"/>
              <w:tabs>
                <w:tab w:val="left" w:pos="946" w:leader="none"/>
                <w:tab w:val="left" w:pos="1546" w:leader="none"/>
              </w:tabs>
              <w:rPr>
                <w:rFonts w:hint="eastAsia" w:ascii="宋体" w:hAnsi="宋体" w:cs="宋体"/>
                <w:sz w:val="24"/>
                <w:szCs w:val="24"/>
                <w:highlight w:val="none"/>
              </w:rPr>
            </w:pPr>
            <w:r>
              <w:rPr>
                <w:rFonts w:hint="eastAsia" w:ascii="宋体" w:hAnsi="宋体" w:cs="宋体"/>
                <w:sz w:val="24"/>
                <w:szCs w:val="24"/>
                <w:highlight w:val="none"/>
              </w:rPr>
            </w:r>
            <w:r/>
          </w:p>
          <w:p>
            <w:pPr>
              <w:pStyle w:val="728"/>
              <w:ind w:right="203"/>
              <w:jc w:val="center"/>
              <w:spacing w:before="139" w:after="0" w:line="440" w:lineRule="exact"/>
              <w:widowControl w:val="off"/>
              <w:tabs>
                <w:tab w:val="left" w:pos="946" w:leader="none"/>
                <w:tab w:val="left" w:pos="1546" w:leader="none"/>
              </w:tabs>
              <w:rPr>
                <w:rFonts w:hint="eastAsia" w:ascii="宋体" w:hAnsi="宋体" w:cs="宋体"/>
                <w:sz w:val="24"/>
                <w:szCs w:val="24"/>
                <w:highlight w:val="none"/>
              </w:rPr>
            </w:pPr>
            <w:r>
              <w:rPr>
                <w:rFonts w:hint="eastAsia" w:ascii="宋体" w:hAnsi="宋体" w:cs="宋体"/>
                <w:sz w:val="24"/>
                <w:szCs w:val="24"/>
                <w:highlight w:val="none"/>
              </w:rPr>
              <w:t xml:space="preserve">（单位公章）</w:t>
            </w:r>
            <w:r>
              <w:rPr>
                <w:rFonts w:hint="eastAsia" w:ascii="宋体" w:hAnsi="宋体" w:cs="宋体"/>
                <w:sz w:val="24"/>
                <w:szCs w:val="24"/>
                <w:highlight w:val="none"/>
              </w:rPr>
            </w:r>
            <w:r/>
          </w:p>
          <w:p>
            <w:pPr>
              <w:pStyle w:val="728"/>
              <w:ind w:right="203"/>
              <w:jc w:val="both"/>
              <w:spacing w:before="139" w:after="0" w:line="440" w:lineRule="exact"/>
              <w:widowControl w:val="off"/>
              <w:tabs>
                <w:tab w:val="left" w:pos="946" w:leader="none"/>
                <w:tab w:val="left" w:pos="1546" w:leader="none"/>
              </w:tabs>
              <w:rPr>
                <w:rFonts w:hint="eastAsia" w:ascii="宋体" w:hAnsi="宋体" w:cs="宋体"/>
                <w:sz w:val="24"/>
                <w:szCs w:val="24"/>
                <w:highlight w:val="none"/>
              </w:rPr>
            </w:pPr>
            <w:r>
              <w:rPr>
                <w:rFonts w:hint="eastAsia" w:ascii="宋体" w:hAnsi="宋体" w:cs="宋体"/>
                <w:sz w:val="24"/>
                <w:szCs w:val="24"/>
                <w:highlight w:val="none"/>
              </w:rPr>
              <w:t xml:space="preserve"> 2026年 月  </w:t>
            </w:r>
            <w:r>
              <w:rPr>
                <w:rFonts w:hint="eastAsia" w:ascii="宋体" w:hAnsi="宋体" w:cs="宋体"/>
                <w:spacing w:val="-17"/>
                <w:sz w:val="24"/>
                <w:szCs w:val="24"/>
                <w:highlight w:val="none"/>
              </w:rPr>
              <w:t xml:space="preserve">日</w:t>
            </w:r>
            <w:r>
              <w:rPr>
                <w:rFonts w:hint="eastAsia" w:ascii="宋体" w:hAnsi="宋体" w:cs="宋体"/>
                <w:sz w:val="24"/>
                <w:szCs w:val="24"/>
                <w:highlight w:val="none"/>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97" w:type="dxa"/>
            <w:vAlign w:val="center"/>
            <w:textDirection w:val="lrTb"/>
            <w:noWrap w:val="false"/>
          </w:tcPr>
          <w:p>
            <w:pPr>
              <w:pStyle w:val="728"/>
              <w:ind w:left="243" w:right="-29" w:hanging="137"/>
              <w:spacing w:before="42"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委托单位（甲方）</w:t>
            </w:r>
            <w:r>
              <w:rPr>
                <w:rFonts w:hint="eastAsia" w:ascii="宋体" w:hAnsi="宋体" w:cs="宋体"/>
                <w:sz w:val="24"/>
                <w:szCs w:val="24"/>
                <w:highlight w:val="none"/>
              </w:rPr>
            </w:r>
            <w:r/>
          </w:p>
          <w:p>
            <w:pPr>
              <w:pStyle w:val="728"/>
              <w:ind w:left="243" w:right="-29" w:hanging="137"/>
              <w:spacing w:before="42"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代表（签字）</w:t>
            </w:r>
            <w:r>
              <w:rPr>
                <w:rFonts w:hint="eastAsia" w:ascii="宋体" w:hAnsi="宋体" w:cs="宋体"/>
                <w:sz w:val="24"/>
                <w:szCs w:val="24"/>
                <w:highlight w:val="none"/>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97" w:type="dxa"/>
            <w:vAlign w:val="center"/>
            <w:textDirection w:val="lrTb"/>
            <w:noWrap w:val="false"/>
          </w:tcPr>
          <w:p>
            <w:pPr>
              <w:pStyle w:val="728"/>
              <w:ind w:right="176" w:firstLine="240"/>
              <w:spacing w:before="209"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项目联系人</w:t>
            </w:r>
            <w:r>
              <w:rPr>
                <w:rFonts w:hint="eastAsia" w:ascii="宋体" w:hAnsi="宋体" w:cs="宋体"/>
                <w:sz w:val="24"/>
                <w:szCs w:val="24"/>
                <w:highlight w:val="none"/>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97" w:type="dxa"/>
            <w:vAlign w:val="center"/>
            <w:textDirection w:val="lrTb"/>
            <w:noWrap w:val="false"/>
          </w:tcPr>
          <w:p>
            <w:pPr>
              <w:pStyle w:val="728"/>
              <w:ind w:left="180" w:right="176"/>
              <w:spacing w:before="1"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97" w:type="dxa"/>
            <w:vAlign w:val="center"/>
            <w:textDirection w:val="lrTb"/>
            <w:noWrap w:val="false"/>
          </w:tcPr>
          <w:p>
            <w:pPr>
              <w:pStyle w:val="728"/>
              <w:ind w:left="180" w:right="176"/>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通讯地址：南京市鼓楼区草场门大街107号</w:t>
            </w:r>
            <w:r>
              <w:rPr>
                <w:rFonts w:hint="eastAsia" w:ascii="宋体" w:hAnsi="宋体" w:cs="宋体"/>
                <w:sz w:val="24"/>
                <w:szCs w:val="24"/>
                <w:highlight w:val="none"/>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4"/>
        </w:trPr>
        <w:tc>
          <w:tcPr>
            <w:tcW w:w="1144" w:type="dxa"/>
            <w:vAlign w:val="center"/>
            <w:vMerge w:val="restart"/>
            <w:textDirection w:val="lrTb"/>
            <w:noWrap w:val="false"/>
          </w:tcPr>
          <w:p>
            <w:pPr>
              <w:pStyle w:val="728"/>
              <w:ind w:right="114"/>
              <w:jc w:val="center"/>
              <w:spacing w:before="1" w:after="0" w:line="440" w:lineRule="exact"/>
              <w:widowControl w:val="off"/>
              <w:rPr>
                <w:rFonts w:hint="eastAsia" w:ascii="宋体" w:hAnsi="宋体" w:cs="宋体"/>
                <w:sz w:val="24"/>
                <w:szCs w:val="24"/>
                <w:highlight w:val="none"/>
              </w:rPr>
            </w:pPr>
            <w:r>
              <w:rPr>
                <w:rFonts w:hint="eastAsia" w:ascii="宋体" w:hAnsi="宋体" w:cs="宋体"/>
                <w:b/>
                <w:spacing w:val="-9"/>
                <w:sz w:val="24"/>
                <w:szCs w:val="24"/>
                <w:highlight w:val="none"/>
              </w:rPr>
              <w:t xml:space="preserve">服务单位</w:t>
            </w:r>
            <w:r>
              <w:rPr>
                <w:rFonts w:hint="eastAsia" w:ascii="宋体" w:hAnsi="宋体" w:cs="宋体"/>
                <w:b/>
                <w:sz w:val="24"/>
                <w:szCs w:val="24"/>
                <w:highlight w:val="none"/>
              </w:rPr>
              <w:t xml:space="preserve">(乙方)</w:t>
            </w:r>
            <w:r>
              <w:rPr>
                <w:rFonts w:hint="eastAsia" w:ascii="宋体" w:hAnsi="宋体" w:cs="宋体"/>
                <w:sz w:val="24"/>
                <w:szCs w:val="24"/>
                <w:highlight w:val="none"/>
              </w:rPr>
            </w:r>
            <w:r/>
          </w:p>
        </w:tc>
        <w:tc>
          <w:tcPr>
            <w:tcW w:w="2497" w:type="dxa"/>
            <w:vAlign w:val="center"/>
            <w:textDirection w:val="lrTb"/>
            <w:noWrap w:val="false"/>
          </w:tcPr>
          <w:p>
            <w:pPr>
              <w:pStyle w:val="728"/>
              <w:ind w:left="180" w:right="176"/>
              <w:spacing w:before="197"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中标单位名称</w:t>
            </w:r>
            <w:r>
              <w:rPr>
                <w:rFonts w:hint="eastAsia" w:ascii="宋体" w:hAnsi="宋体" w:cs="宋体"/>
                <w:sz w:val="24"/>
                <w:szCs w:val="24"/>
                <w:highlight w:val="none"/>
              </w:rPr>
            </w:r>
            <w:r/>
          </w:p>
        </w:tc>
        <w:tc>
          <w:tcPr>
            <w:tcW w:w="1359" w:type="dxa"/>
            <w:vAlign w:val="center"/>
            <w:vMerge w:val="restart"/>
            <w:textDirection w:val="lrTb"/>
            <w:noWrap w:val="false"/>
          </w:tcPr>
          <w:p>
            <w:pPr>
              <w:pStyle w:val="728"/>
              <w:jc w:val="both"/>
              <w:spacing w:before="1"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728"/>
              <w:jc w:val="both"/>
              <w:spacing w:before="1"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728"/>
              <w:jc w:val="both"/>
              <w:spacing w:before="1"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728"/>
              <w:ind w:right="203"/>
              <w:jc w:val="center"/>
              <w:spacing w:before="139" w:after="0" w:line="440" w:lineRule="exact"/>
              <w:widowControl w:val="off"/>
              <w:tabs>
                <w:tab w:val="left" w:pos="946" w:leader="none"/>
                <w:tab w:val="left" w:pos="1546" w:leader="none"/>
              </w:tabs>
              <w:rPr>
                <w:rFonts w:hint="eastAsia" w:ascii="宋体" w:hAnsi="宋体" w:cs="宋体"/>
                <w:sz w:val="24"/>
                <w:szCs w:val="24"/>
                <w:highlight w:val="none"/>
              </w:rPr>
            </w:pPr>
            <w:r>
              <w:rPr>
                <w:rFonts w:hint="eastAsia" w:ascii="宋体" w:hAnsi="宋体" w:cs="宋体"/>
                <w:sz w:val="24"/>
                <w:szCs w:val="24"/>
                <w:highlight w:val="none"/>
              </w:rPr>
            </w:r>
            <w:r/>
          </w:p>
          <w:p>
            <w:pPr>
              <w:pStyle w:val="728"/>
              <w:ind w:right="203"/>
              <w:jc w:val="center"/>
              <w:spacing w:before="139" w:after="0" w:line="440" w:lineRule="exact"/>
              <w:widowControl w:val="off"/>
              <w:tabs>
                <w:tab w:val="left" w:pos="946" w:leader="none"/>
                <w:tab w:val="left" w:pos="1546" w:leader="none"/>
              </w:tabs>
              <w:rPr>
                <w:rFonts w:hint="eastAsia" w:ascii="宋体" w:hAnsi="宋体" w:cs="宋体"/>
                <w:sz w:val="24"/>
                <w:szCs w:val="24"/>
                <w:highlight w:val="none"/>
              </w:rPr>
            </w:pPr>
            <w:r>
              <w:rPr>
                <w:rFonts w:hint="eastAsia" w:ascii="宋体" w:hAnsi="宋体" w:cs="宋体"/>
                <w:sz w:val="24"/>
                <w:szCs w:val="24"/>
                <w:highlight w:val="none"/>
              </w:rPr>
              <w:t xml:space="preserve">（单位公章）</w:t>
            </w:r>
            <w:r>
              <w:rPr>
                <w:rFonts w:hint="eastAsia" w:ascii="宋体" w:hAnsi="宋体" w:cs="宋体"/>
                <w:sz w:val="24"/>
                <w:szCs w:val="24"/>
                <w:highlight w:val="none"/>
              </w:rPr>
            </w:r>
            <w:r/>
          </w:p>
          <w:p>
            <w:pPr>
              <w:pStyle w:val="728"/>
              <w:jc w:val="center"/>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2026年 月 </w:t>
            </w:r>
            <w:r>
              <w:rPr>
                <w:rFonts w:hint="eastAsia" w:ascii="宋体" w:hAnsi="宋体" w:cs="宋体"/>
                <w:spacing w:val="-17"/>
                <w:sz w:val="24"/>
                <w:szCs w:val="24"/>
                <w:highlight w:val="none"/>
              </w:rPr>
              <w:t xml:space="preserve">日</w:t>
            </w:r>
            <w:r>
              <w:rPr>
                <w:rFonts w:hint="eastAsia" w:ascii="宋体" w:hAnsi="宋体" w:cs="宋体"/>
                <w:sz w:val="24"/>
                <w:szCs w:val="24"/>
                <w:highlight w:val="none"/>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97" w:type="dxa"/>
            <w:vAlign w:val="center"/>
            <w:textDirection w:val="lrTb"/>
            <w:noWrap w:val="false"/>
          </w:tcPr>
          <w:p>
            <w:pPr>
              <w:pStyle w:val="728"/>
              <w:ind w:left="183" w:right="176"/>
              <w:spacing w:before="110"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法人代表(或委托代理人)（签字 ）</w:t>
            </w:r>
            <w:r>
              <w:rPr>
                <w:rFonts w:hint="eastAsia" w:ascii="宋体" w:hAnsi="宋体" w:cs="宋体"/>
                <w:sz w:val="24"/>
                <w:szCs w:val="24"/>
                <w:highlight w:val="none"/>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97" w:type="dxa"/>
            <w:vAlign w:val="center"/>
            <w:textDirection w:val="lrTb"/>
            <w:noWrap w:val="false"/>
          </w:tcPr>
          <w:p>
            <w:pPr>
              <w:pStyle w:val="728"/>
              <w:ind w:right="176" w:firstLine="240"/>
              <w:spacing w:before="209"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项目联系人</w:t>
            </w:r>
            <w:r>
              <w:rPr>
                <w:rFonts w:hint="eastAsia" w:ascii="宋体" w:hAnsi="宋体" w:cs="宋体"/>
                <w:sz w:val="24"/>
                <w:szCs w:val="24"/>
                <w:highlight w:val="none"/>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97" w:type="dxa"/>
            <w:vAlign w:val="center"/>
            <w:textDirection w:val="lrTb"/>
            <w:noWrap w:val="false"/>
          </w:tcPr>
          <w:p>
            <w:pPr>
              <w:pStyle w:val="728"/>
              <w:ind w:left="180" w:right="176"/>
              <w:spacing w:before="1"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电子信箱</w:t>
            </w:r>
            <w:r>
              <w:rPr>
                <w:rFonts w:hint="eastAsia" w:ascii="宋体" w:hAnsi="宋体" w:cs="宋体"/>
                <w:sz w:val="24"/>
                <w:szCs w:val="24"/>
                <w:highlight w:val="none"/>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4"/>
        </w:trPr>
        <w:tc>
          <w:tcPr>
            <w:tcW w:w="1144"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97" w:type="dxa"/>
            <w:vAlign w:val="center"/>
            <w:textDirection w:val="lrTb"/>
            <w:noWrap w:val="false"/>
          </w:tcPr>
          <w:p>
            <w:pPr>
              <w:pStyle w:val="728"/>
              <w:ind w:left="180" w:right="176"/>
              <w:spacing w:after="0"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通讯地址</w:t>
            </w:r>
            <w:r>
              <w:rPr>
                <w:rFonts w:hint="eastAsia" w:ascii="宋体" w:hAnsi="宋体" w:cs="宋体"/>
                <w:sz w:val="24"/>
                <w:szCs w:val="24"/>
                <w:highlight w:val="none"/>
              </w:rPr>
            </w:r>
            <w:r/>
          </w:p>
        </w:tc>
        <w:tc>
          <w:tcPr>
            <w:tcW w:w="1359" w:type="dxa"/>
            <w:vAlign w:val="center"/>
            <w:vMerge w:val="continue"/>
            <w:textDirection w:val="lrTb"/>
            <w:noWrap w:val="false"/>
          </w:tcPr>
          <w:p>
            <w:pPr>
              <w:pStyle w:val="728"/>
              <w:jc w:val="center"/>
              <w:spacing w:after="0"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28"/>
        <w:rPr>
          <w:szCs w:val="24"/>
          <w:highlight w:val="none"/>
        </w:rPr>
      </w:pPr>
      <w:r>
        <w:rPr>
          <w:szCs w:val="24"/>
          <w:highlight w:val="none"/>
        </w:rPr>
      </w:r>
      <w:r/>
    </w:p>
    <w:p>
      <w:pPr>
        <w:pStyle w:val="728"/>
        <w:rPr>
          <w:szCs w:val="24"/>
          <w:highlight w:val="none"/>
        </w:rPr>
      </w:pPr>
      <w:r>
        <w:rPr>
          <w:szCs w:val="24"/>
          <w:highlight w:val="none"/>
        </w:rPr>
      </w:r>
      <w:r/>
    </w:p>
    <w:p>
      <w:pPr>
        <w:pStyle w:val="728"/>
        <w:rPr>
          <w:szCs w:val="24"/>
          <w:highlight w:val="none"/>
        </w:rPr>
      </w:pPr>
      <w:r>
        <w:rPr>
          <w:szCs w:val="24"/>
          <w:highlight w:val="none"/>
        </w:rPr>
      </w:r>
      <w:r/>
    </w:p>
    <w:p>
      <w:pPr>
        <w:pStyle w:val="728"/>
        <w:rPr>
          <w:highlight w:val="none"/>
        </w:rPr>
      </w:pPr>
      <w:r>
        <w:rPr>
          <w:highlight w:val="none"/>
        </w:rPr>
      </w:r>
      <w:r/>
    </w:p>
    <w:p>
      <w:pPr>
        <w:pStyle w:val="728"/>
        <w:rPr>
          <w:highlight w:val="none"/>
        </w:rPr>
      </w:pPr>
      <w:r>
        <w:rPr>
          <w:highlight w:val="none"/>
        </w:rPr>
      </w:r>
      <w:r/>
    </w:p>
    <w:p>
      <w:pPr>
        <w:pStyle w:val="728"/>
        <w:rPr>
          <w:highlight w:val="none"/>
        </w:rPr>
      </w:pPr>
      <w:r>
        <w:rPr>
          <w:highlight w:val="none"/>
        </w:rPr>
      </w:r>
      <w:r/>
    </w:p>
    <w:p>
      <w:pPr>
        <w:pStyle w:val="728"/>
        <w:rPr>
          <w:highlight w:val="none"/>
        </w:rPr>
      </w:pPr>
      <w:r>
        <w:rPr>
          <w:highlight w:val="none"/>
        </w:rPr>
      </w:r>
      <w:r/>
    </w:p>
    <w:p>
      <w:pPr>
        <w:pStyle w:val="728"/>
        <w:rPr>
          <w:highlight w:val="none"/>
        </w:rPr>
      </w:pPr>
      <w:r>
        <w:rPr>
          <w:highlight w:val="none"/>
        </w:rPr>
      </w:r>
      <w:r/>
    </w:p>
    <w:p>
      <w:pPr>
        <w:pStyle w:val="728"/>
        <w:rPr>
          <w:highlight w:val="none"/>
        </w:rPr>
      </w:pPr>
      <w:r>
        <w:rPr>
          <w:highlight w:val="none"/>
        </w:rPr>
      </w:r>
      <w:r/>
    </w:p>
    <w:p>
      <w:pPr>
        <w:pStyle w:val="728"/>
        <w:rPr>
          <w:highlight w:val="none"/>
        </w:rPr>
      </w:pPr>
      <w:r>
        <w:rPr>
          <w:highlight w:val="none"/>
        </w:rPr>
      </w:r>
      <w:r/>
    </w:p>
    <w:p>
      <w:pPr>
        <w:pStyle w:val="728"/>
        <w:rPr>
          <w:highlight w:val="none"/>
        </w:rPr>
      </w:pPr>
      <w:r>
        <w:rPr>
          <w:highlight w:val="none"/>
        </w:rPr>
      </w:r>
      <w:r/>
    </w:p>
    <w:p>
      <w:pPr>
        <w:pStyle w:val="728"/>
        <w:rPr>
          <w:highlight w:val="none"/>
        </w:rPr>
      </w:pPr>
      <w:r>
        <w:rPr>
          <w:highlight w:val="none"/>
        </w:rPr>
      </w:r>
      <w:r/>
    </w:p>
    <w:p>
      <w:pPr>
        <w:pStyle w:val="729"/>
        <w:jc w:val="center"/>
        <w:keepLines w:val="0"/>
        <w:spacing w:before="0" w:line="240" w:lineRule="auto"/>
        <w:widowControl w:val="off"/>
        <w:rPr>
          <w:rFonts w:hint="eastAsia"/>
          <w:highlight w:val="none"/>
        </w:rPr>
      </w:pPr>
      <w:r/>
      <w:bookmarkStart w:id="75" w:name="_Toc17291676"/>
      <w:r/>
      <w:bookmarkStart w:id="76" w:name="_Toc227942466"/>
      <w:r>
        <w:rPr>
          <w:rFonts w:hint="eastAsia" w:ascii="黑体" w:hAnsi="楷体_GB2312" w:eastAsia="黑体"/>
          <w:b w:val="0"/>
          <w:bCs w:val="0"/>
          <w:color w:val="000000"/>
          <w:sz w:val="44"/>
          <w:szCs w:val="44"/>
          <w:highlight w:val="none"/>
        </w:rPr>
        <w:t xml:space="preserve">第</w:t>
      </w:r>
      <w:bookmarkEnd w:id="71"/>
      <w:r>
        <w:rPr>
          <w:rFonts w:hint="eastAsia" w:ascii="黑体" w:hAnsi="楷体_GB2312" w:eastAsia="黑体"/>
          <w:b w:val="0"/>
          <w:bCs w:val="0"/>
          <w:color w:val="000000"/>
          <w:sz w:val="44"/>
          <w:szCs w:val="44"/>
          <w:highlight w:val="none"/>
        </w:rPr>
        <w:t xml:space="preserve">四章  项目需求</w:t>
      </w:r>
      <w:bookmarkEnd w:id="70"/>
      <w:r/>
      <w:bookmarkEnd w:id="72"/>
      <w:r/>
      <w:bookmarkEnd w:id="73"/>
      <w:r/>
      <w:bookmarkEnd w:id="75"/>
      <w:r>
        <w:rPr>
          <w:rFonts w:hint="eastAsia" w:ascii="黑体" w:hAnsi="楷体_GB2312" w:eastAsia="黑体"/>
          <w:b w:val="0"/>
          <w:bCs w:val="0"/>
          <w:color w:val="000000"/>
          <w:sz w:val="44"/>
          <w:szCs w:val="44"/>
          <w:highlight w:val="none"/>
        </w:rPr>
        <w:t xml:space="preserve">（服务类）</w:t>
      </w:r>
      <w:bookmarkEnd w:id="76"/>
      <w:r/>
      <w:bookmarkStart w:id="77" w:name="_Hlk86242979"/>
      <w:r/>
      <w:bookmarkStart w:id="78" w:name="_Toc49090575"/>
      <w:r/>
      <w:bookmarkStart w:id="79" w:name="_Toc17291677"/>
      <w:r/>
      <w:bookmarkStart w:id="80" w:name="_Toc17291089"/>
      <w:r/>
      <w:bookmarkStart w:id="81" w:name="_Toc26554093"/>
      <w:r/>
      <w:bookmarkStart w:id="82" w:name="_Toc120614281"/>
      <w:r>
        <w:rPr>
          <w:rFonts w:hint="eastAsia"/>
          <w:highlight w:val="none"/>
        </w:rPr>
      </w:r>
      <w:r/>
    </w:p>
    <w:p>
      <w:pPr>
        <w:pStyle w:val="728"/>
        <w:jc w:val="center"/>
        <w:spacing w:after="0" w:line="400" w:lineRule="exact"/>
        <w:widowControl w:val="off"/>
        <w:rPr>
          <w:rFonts w:hint="eastAsia" w:ascii="微软雅黑" w:hAnsi="微软雅黑" w:eastAsia="微软雅黑" w:cs="微软雅黑"/>
          <w:b/>
          <w:sz w:val="32"/>
          <w:szCs w:val="32"/>
          <w:highlight w:val="none"/>
        </w:rPr>
      </w:pPr>
      <w:r/>
      <w:bookmarkEnd w:id="77"/>
      <w:r>
        <w:rPr>
          <w:rFonts w:hint="eastAsia" w:ascii="微软雅黑" w:hAnsi="微软雅黑" w:eastAsia="微软雅黑" w:cs="微软雅黑"/>
          <w:b/>
          <w:sz w:val="32"/>
          <w:szCs w:val="32"/>
          <w:highlight w:val="none"/>
        </w:rPr>
        <w:t xml:space="preserve">（以下要求如无特别说明，适用于所有采购包）</w:t>
      </w:r>
      <w:r>
        <w:rPr>
          <w:rFonts w:hint="eastAsia" w:ascii="微软雅黑" w:hAnsi="微软雅黑" w:eastAsia="微软雅黑" w:cs="微软雅黑"/>
          <w:b/>
          <w:sz w:val="32"/>
          <w:szCs w:val="32"/>
          <w:highlight w:val="none"/>
        </w:rPr>
      </w:r>
      <w:r/>
    </w:p>
    <w:p>
      <w:pPr>
        <w:pStyle w:val="728"/>
        <w:jc w:val="both"/>
        <w:spacing w:after="0" w:line="400" w:lineRule="exact"/>
        <w:widowControl w:val="off"/>
        <w:rPr>
          <w:rFonts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 xml:space="preserve">一、项目概况</w:t>
      </w:r>
      <w:r>
        <w:rPr>
          <w:rFonts w:ascii="微软雅黑" w:hAnsi="微软雅黑" w:eastAsia="微软雅黑" w:cs="微软雅黑"/>
          <w:b/>
          <w:sz w:val="24"/>
          <w:szCs w:val="24"/>
          <w:highlight w:val="none"/>
        </w:rPr>
      </w:r>
      <w:r/>
    </w:p>
    <w:p>
      <w:pPr>
        <w:pStyle w:val="728"/>
        <w:ind w:firstLine="480"/>
        <w:jc w:val="both"/>
        <w:spacing w:after="0" w:line="360" w:lineRule="auto"/>
        <w:widowControl w:val="off"/>
        <w:rPr>
          <w:sz w:val="24"/>
          <w:szCs w:val="24"/>
          <w:highlight w:val="none"/>
        </w:rPr>
      </w:pPr>
      <w:r/>
      <w:bookmarkStart w:id="83" w:name="_Hlk65599754"/>
      <w:r>
        <w:rPr>
          <w:sz w:val="24"/>
          <w:szCs w:val="24"/>
          <w:highlight w:val="none"/>
        </w:rPr>
        <w:t xml:space="preserve">为高质量完成专业特色市场产品质量风险动态监测，现向全国范围内检验机构公开招标，承担2026年专业特色市场产品质量风险动态监测的技术服务。</w:t>
      </w:r>
      <w:r>
        <w:rPr>
          <w:sz w:val="24"/>
          <w:szCs w:val="24"/>
          <w:highlight w:val="none"/>
        </w:rPr>
      </w:r>
      <w:r/>
    </w:p>
    <w:p>
      <w:pPr>
        <w:pStyle w:val="728"/>
        <w:jc w:val="both"/>
        <w:spacing w:after="0" w:line="400" w:lineRule="exact"/>
        <w:widowControl w:val="off"/>
        <w:rPr>
          <w:rFonts w:hint="eastAsia"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 xml:space="preserve">二、项目基本情况</w:t>
      </w:r>
      <w:r>
        <w:rPr>
          <w:rFonts w:hint="eastAsia" w:ascii="微软雅黑" w:hAnsi="微软雅黑" w:eastAsia="微软雅黑" w:cs="微软雅黑"/>
          <w:b/>
          <w:sz w:val="24"/>
          <w:szCs w:val="24"/>
          <w:highlight w:val="none"/>
        </w:rPr>
      </w:r>
      <w:r/>
    </w:p>
    <w:p>
      <w:pPr>
        <w:pStyle w:val="728"/>
        <w:ind w:firstLine="480"/>
        <w:spacing w:after="0"/>
        <w:rPr>
          <w:sz w:val="24"/>
          <w:szCs w:val="24"/>
          <w:highlight w:val="none"/>
        </w:rPr>
      </w:pPr>
      <w:r>
        <w:rPr>
          <w:sz w:val="24"/>
          <w:szCs w:val="24"/>
          <w:highlight w:val="none"/>
        </w:rPr>
        <w:t xml:space="preserve">本项目为江苏省市场监督管理局2026年专业特色市场产品质量风险动态监测检验机构技术服务</w:t>
      </w:r>
      <w:r>
        <w:rPr>
          <w:rFonts w:hint="eastAsia"/>
          <w:sz w:val="24"/>
          <w:szCs w:val="24"/>
          <w:highlight w:val="none"/>
        </w:rPr>
        <w:t xml:space="preserve">（二次）</w:t>
      </w:r>
      <w:r>
        <w:rPr>
          <w:sz w:val="24"/>
          <w:szCs w:val="24"/>
          <w:highlight w:val="none"/>
        </w:rPr>
        <w:t xml:space="preserve">。一是通过风险信息采集和大数据分析等手段，</w:t>
      </w:r>
      <w:bookmarkStart w:id="84" w:name="OLE_LINK6"/>
      <w:r>
        <w:rPr>
          <w:sz w:val="24"/>
          <w:szCs w:val="24"/>
          <w:highlight w:val="none"/>
        </w:rPr>
        <w:t xml:space="preserve">结合特色产业直播监测中发现的异常低价信息</w:t>
      </w:r>
      <w:bookmarkEnd w:id="84"/>
      <w:r>
        <w:rPr>
          <w:sz w:val="24"/>
          <w:szCs w:val="24"/>
          <w:highlight w:val="none"/>
        </w:rPr>
        <w:t xml:space="preserve">，对专业特色市场产品开展抽检，找准找实质量安全问题，推动实现“精准监管”；二是提供抽检技术支持，开展产品质量安全风动态险监测工作，验证产品质量安全风险，及时有效发现产品质量安全风险问题；三是开展重点产品质量安全形势分析，为后续监管提供决策参考。</w:t>
      </w:r>
      <w:r>
        <w:rPr>
          <w:sz w:val="24"/>
          <w:szCs w:val="24"/>
          <w:highlight w:val="none"/>
        </w:rPr>
      </w:r>
      <w:r/>
    </w:p>
    <w:p>
      <w:pPr>
        <w:pStyle w:val="728"/>
        <w:ind w:firstLine="480"/>
        <w:rPr>
          <w:sz w:val="24"/>
          <w:szCs w:val="24"/>
          <w:highlight w:val="none"/>
        </w:rPr>
      </w:pPr>
      <w:r>
        <w:rPr>
          <w:sz w:val="24"/>
          <w:szCs w:val="24"/>
          <w:highlight w:val="none"/>
        </w:rPr>
        <w:t xml:space="preserve">风险动态监测覆盖全省</w:t>
      </w:r>
      <w:r>
        <w:rPr>
          <w:rFonts w:hint="eastAsia"/>
          <w:sz w:val="24"/>
          <w:szCs w:val="24"/>
          <w:highlight w:val="none"/>
        </w:rPr>
        <w:t xml:space="preserve">4</w:t>
      </w:r>
      <w:r>
        <w:rPr>
          <w:sz w:val="24"/>
          <w:szCs w:val="24"/>
          <w:highlight w:val="none"/>
        </w:rPr>
        <w:t xml:space="preserve">个设区市生产和流通领域（包括实体店、电商），涉及陶瓷、紫砂、</w:t>
      </w:r>
      <w:r>
        <w:rPr>
          <w:rFonts w:hint="eastAsia"/>
          <w:sz w:val="24"/>
          <w:szCs w:val="24"/>
          <w:highlight w:val="none"/>
        </w:rPr>
        <w:t xml:space="preserve">家具、眼镜及相关产品、小提琴及乐器制品</w:t>
      </w:r>
      <w:r>
        <w:rPr>
          <w:sz w:val="24"/>
          <w:szCs w:val="24"/>
          <w:highlight w:val="none"/>
        </w:rPr>
        <w:t xml:space="preserve">等产品，共计</w:t>
      </w:r>
      <w:r>
        <w:rPr>
          <w:rFonts w:hint="eastAsia"/>
          <w:sz w:val="24"/>
          <w:szCs w:val="24"/>
          <w:highlight w:val="none"/>
        </w:rPr>
        <w:t xml:space="preserve">340</w:t>
      </w:r>
      <w:r>
        <w:rPr>
          <w:sz w:val="24"/>
          <w:szCs w:val="24"/>
          <w:highlight w:val="none"/>
        </w:rPr>
        <w:t xml:space="preserve">批次，拟分</w:t>
      </w:r>
      <w:r>
        <w:rPr>
          <w:rFonts w:hint="eastAsia"/>
          <w:sz w:val="24"/>
          <w:szCs w:val="24"/>
          <w:highlight w:val="none"/>
        </w:rPr>
        <w:t xml:space="preserve">4</w:t>
      </w:r>
      <w:r>
        <w:rPr>
          <w:sz w:val="24"/>
          <w:szCs w:val="24"/>
          <w:highlight w:val="none"/>
        </w:rPr>
        <w:t xml:space="preserve">个包进行采购，采购预算</w:t>
      </w:r>
      <w:r>
        <w:rPr>
          <w:rFonts w:hint="eastAsia"/>
          <w:sz w:val="24"/>
          <w:szCs w:val="24"/>
          <w:highlight w:val="none"/>
        </w:rPr>
        <w:t xml:space="preserve">84.2</w:t>
      </w:r>
      <w:r>
        <w:rPr>
          <w:sz w:val="24"/>
          <w:szCs w:val="24"/>
          <w:highlight w:val="none"/>
        </w:rPr>
        <w:t xml:space="preserve">万元。</w:t>
      </w:r>
      <w:r>
        <w:rPr>
          <w:sz w:val="24"/>
          <w:szCs w:val="24"/>
          <w:highlight w:val="none"/>
        </w:rPr>
      </w:r>
      <w:r/>
    </w:p>
    <w:p>
      <w:pPr>
        <w:pStyle w:val="728"/>
        <w:jc w:val="both"/>
        <w:spacing w:after="0" w:line="360" w:lineRule="auto"/>
        <w:widowControl w:val="off"/>
        <w:rPr>
          <w:rFonts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 xml:space="preserve">三、基本需求</w:t>
      </w:r>
      <w:r>
        <w:rPr>
          <w:rFonts w:ascii="微软雅黑" w:hAnsi="微软雅黑" w:eastAsia="微软雅黑" w:cs="微软雅黑"/>
          <w:b/>
          <w:sz w:val="24"/>
          <w:szCs w:val="24"/>
          <w:highlight w:val="none"/>
        </w:rPr>
      </w:r>
      <w:r/>
    </w:p>
    <w:p>
      <w:pPr>
        <w:pStyle w:val="728"/>
        <w:ind w:firstLine="480"/>
        <w:spacing w:after="0"/>
        <w:rPr>
          <w:bCs/>
          <w:sz w:val="24"/>
          <w:szCs w:val="24"/>
          <w:highlight w:val="none"/>
        </w:rPr>
      </w:pPr>
      <w:r/>
      <w:bookmarkEnd w:id="83"/>
      <w:r>
        <w:rPr>
          <w:bCs/>
          <w:sz w:val="24"/>
          <w:szCs w:val="24"/>
          <w:highlight w:val="none"/>
        </w:rPr>
        <w:t xml:space="preserve">3.1</w:t>
      </w:r>
      <w:r>
        <w:rPr>
          <w:sz w:val="24"/>
          <w:szCs w:val="24"/>
          <w:highlight w:val="none"/>
        </w:rPr>
        <w:t xml:space="preserve">专业特色市场产品质量风险动态监测对象</w:t>
      </w:r>
      <w:r>
        <w:rPr>
          <w:bCs/>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2026年江苏省专业特色市场产品质量风险动态监测的对象详见附件1。</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3.2专业特色市场产品质量风险动态监测内容</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2026年江苏省专业特色市场产品质量风险动态监测的内容详见附件2。</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3.3专业特色市场产品质量风险动态监测需求明细</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2026年江苏省专业特色市场产品质量风险动态监测需求明细详见附件3。</w:t>
      </w:r>
      <w:r>
        <w:rPr>
          <w:sz w:val="24"/>
          <w:szCs w:val="24"/>
          <w:highlight w:val="none"/>
        </w:rPr>
      </w:r>
      <w:r/>
    </w:p>
    <w:p>
      <w:pPr>
        <w:pStyle w:val="728"/>
        <w:jc w:val="both"/>
        <w:spacing w:after="0" w:line="360" w:lineRule="auto"/>
        <w:widowControl w:val="off"/>
        <w:rPr>
          <w:rFonts w:ascii="微软雅黑" w:hAnsi="微软雅黑" w:eastAsia="微软雅黑" w:cs="微软雅黑"/>
          <w:b/>
          <w:sz w:val="24"/>
          <w:szCs w:val="24"/>
          <w:highlight w:val="none"/>
        </w:rPr>
      </w:pPr>
      <w:r>
        <w:rPr>
          <w:rFonts w:hint="eastAsia" w:ascii="微软雅黑" w:hAnsi="微软雅黑" w:eastAsia="微软雅黑" w:cs="微软雅黑"/>
          <w:b/>
          <w:sz w:val="24"/>
          <w:szCs w:val="24"/>
          <w:highlight w:val="none"/>
        </w:rPr>
        <w:t xml:space="preserve">四、技术要求</w:t>
      </w:r>
      <w:r>
        <w:rPr>
          <w:rFonts w:ascii="微软雅黑" w:hAnsi="微软雅黑" w:eastAsia="微软雅黑" w:cs="微软雅黑"/>
          <w:b/>
          <w:sz w:val="24"/>
          <w:szCs w:val="24"/>
          <w:highlight w:val="none"/>
        </w:rPr>
      </w:r>
      <w:r/>
    </w:p>
    <w:p>
      <w:pPr>
        <w:pStyle w:val="728"/>
        <w:ind w:firstLine="480"/>
        <w:spacing w:after="0" w:line="360" w:lineRule="auto"/>
        <w:widowControl w:val="off"/>
        <w:rPr>
          <w:sz w:val="24"/>
          <w:szCs w:val="24"/>
          <w:highlight w:val="none"/>
        </w:rPr>
      </w:pPr>
      <w:r/>
      <w:bookmarkStart w:id="85" w:name="项目费用预算框架："/>
      <w:r/>
      <w:bookmarkEnd w:id="85"/>
      <w:r/>
      <w:bookmarkStart w:id="86" w:name="项目二.“学党史·守初心”大型党史主题竞赛活动"/>
      <w:r/>
      <w:bookmarkEnd w:id="86"/>
      <w:r/>
      <w:bookmarkStart w:id="87" w:name="_Hlk65075187"/>
      <w:r/>
      <w:bookmarkStart w:id="88" w:name="_Toc4278"/>
      <w:r>
        <w:rPr>
          <w:sz w:val="24"/>
          <w:szCs w:val="24"/>
          <w:highlight w:val="none"/>
        </w:rPr>
        <w:t xml:space="preserve">4.1法律法规和技术规范</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本需求至少应满足以下法律法规、技术规范的要求：</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（1）《中华人民共和国消费者权益保护法》</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（2）《中华人民共和国产品质量法》</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（3）《中华人民共和国标准化法》</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（4）《检验检测机构监督管理办法》（国家市场监督管理总局令 第39号）</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本需求应参照以下制度办法的要求：</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（1）《产品质量监督抽查管理暂行办法》（国家市场监督管理总局令 第18号）</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（2）《江苏省省级产品质量监督抽查工作规范》</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注：以上法律法规、制度办法、技术规范如有更新，按最新标准执行。</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4.2主要技术要求</w:t>
      </w:r>
      <w:r>
        <w:rPr>
          <w:sz w:val="24"/>
          <w:szCs w:val="24"/>
          <w:highlight w:val="none"/>
        </w:rPr>
      </w:r>
      <w:r/>
    </w:p>
    <w:p>
      <w:pPr>
        <w:pStyle w:val="728"/>
        <w:ind w:firstLine="480"/>
        <w:jc w:val="both"/>
        <w:spacing w:after="0" w:line="360" w:lineRule="auto"/>
        <w:widowControl w:val="off"/>
        <w:rPr>
          <w:sz w:val="24"/>
          <w:szCs w:val="24"/>
          <w:highlight w:val="none"/>
        </w:rPr>
      </w:pPr>
      <w:r>
        <w:rPr>
          <w:sz w:val="24"/>
          <w:szCs w:val="24"/>
          <w:highlight w:val="none"/>
        </w:rPr>
        <w:t xml:space="preserve">4.2.1抽样环节</w:t>
      </w:r>
      <w:r>
        <w:rPr>
          <w:sz w:val="24"/>
          <w:szCs w:val="24"/>
          <w:highlight w:val="none"/>
        </w:rPr>
      </w:r>
      <w:r/>
    </w:p>
    <w:p>
      <w:pPr>
        <w:pStyle w:val="728"/>
        <w:ind w:firstLine="480"/>
        <w:jc w:val="center"/>
        <w:spacing w:after="0" w:line="360" w:lineRule="auto"/>
        <w:widowControl w:val="off"/>
        <w:rPr>
          <w:sz w:val="24"/>
          <w:szCs w:val="24"/>
          <w:highlight w:val="none"/>
        </w:rPr>
      </w:pPr>
      <w:r>
        <w:rPr>
          <w:sz w:val="24"/>
          <w:szCs w:val="24"/>
          <w:highlight w:val="none"/>
        </w:rPr>
        <w:t xml:space="preserve">表1 抽样环节主要技术内容和标准</w:t>
      </w:r>
      <w:r>
        <w:rPr>
          <w:sz w:val="24"/>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55"/>
        <w:gridCol w:w="755"/>
        <w:gridCol w:w="1297"/>
        <w:gridCol w:w="5712"/>
      </w:tblGrid>
      <w:tr>
        <w:trPr>
          <w:trHeight w:val="322"/>
        </w:trPr>
        <w:tc>
          <w:tcPr>
            <w:tcBorders>
              <w:top w:val="single" w:color="000000" w:sz="8"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序号</w:t>
            </w:r>
            <w:r>
              <w:rPr>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2052"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服务名称</w:t>
            </w: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3352"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服务内容和标准</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1</w:t>
            </w:r>
            <w:r>
              <w:rPr>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抽样前准备</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抽样单位应当建立产品质量监督抽查抽样管理制度，明确岗位职责、抽样流程和工作纪律。</w:t>
            </w:r>
            <w:r>
              <w:rPr>
                <w:sz w:val="24"/>
                <w:szCs w:val="24"/>
                <w:highlight w:val="none"/>
              </w:rPr>
            </w:r>
            <w:r/>
          </w:p>
        </w:tc>
      </w:tr>
      <w:tr>
        <w:trPr>
          <w:trHeight w:val="307"/>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2</w:t>
            </w:r>
            <w:r>
              <w:rPr>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抽样人员确定</w:t>
            </w: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w:t>
            </w:r>
            <w:r>
              <w:rPr>
                <w:sz w:val="24"/>
                <w:szCs w:val="24"/>
                <w:highlight w:val="none"/>
                <w:lang w:bidi="ar"/>
              </w:rPr>
              <w:t xml:space="preserve">1</w:t>
            </w:r>
            <w:r>
              <w:rPr>
                <w:sz w:val="24"/>
                <w:szCs w:val="24"/>
                <w:highlight w:val="none"/>
                <w:lang w:bidi="ar"/>
              </w:rPr>
              <w:t xml:space="preserve">）独立的抽样人员数量、能力等要求与服务需求相匹配。</w:t>
            </w:r>
            <w:r>
              <w:rPr>
                <w:sz w:val="24"/>
                <w:szCs w:val="24"/>
                <w:highlight w:val="none"/>
              </w:rPr>
            </w:r>
            <w:r/>
          </w:p>
        </w:tc>
      </w:tr>
      <w:tr>
        <w:trPr>
          <w:trHeight w:val="307"/>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（2</w:t>
            </w:r>
            <w:r>
              <w:rPr>
                <w:sz w:val="24"/>
                <w:szCs w:val="24"/>
                <w:highlight w:val="none"/>
                <w:lang w:bidi="ar"/>
              </w:rPr>
              <w:t xml:space="preserve">）</w:t>
            </w:r>
            <w:r>
              <w:rPr>
                <w:sz w:val="24"/>
                <w:szCs w:val="24"/>
                <w:highlight w:val="none"/>
                <w:lang w:bidi="ar"/>
              </w:rPr>
              <w:t xml:space="preserve">实施抽检分离，</w:t>
            </w:r>
            <w:r>
              <w:rPr>
                <w:sz w:val="24"/>
                <w:szCs w:val="24"/>
                <w:highlight w:val="none"/>
                <w:lang w:bidi="ar"/>
              </w:rPr>
              <w:t xml:space="preserve">同一产品</w:t>
            </w:r>
            <w:r>
              <w:rPr>
                <w:sz w:val="24"/>
                <w:szCs w:val="24"/>
                <w:highlight w:val="none"/>
                <w:lang w:bidi="ar"/>
              </w:rPr>
              <w:t xml:space="preserve">抽样人员与检验人员不得为同一人。</w:t>
            </w:r>
            <w:r>
              <w:rPr>
                <w:sz w:val="24"/>
                <w:szCs w:val="24"/>
                <w:highlight w:val="none"/>
              </w:rPr>
            </w:r>
            <w:r/>
          </w:p>
        </w:tc>
      </w:tr>
      <w:tr>
        <w:trPr>
          <w:trHeight w:val="307"/>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4"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（3）抽样人员执行抽样任务时不得少于两人。</w:t>
            </w:r>
            <w:r>
              <w:rPr>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3</w:t>
            </w:r>
            <w:r>
              <w:rPr>
                <w:sz w:val="24"/>
                <w:szCs w:val="24"/>
                <w:highlight w:val="none"/>
              </w:rPr>
            </w:r>
            <w:r/>
          </w:p>
        </w:tc>
        <w:tc>
          <w:tcPr>
            <w:gridSpan w:val="2"/>
            <w:tcBorders>
              <w:top w:val="none" w:color="000000" w:sz="4" w:space="0"/>
              <w:left w:val="single" w:color="000000" w:sz="8" w:space="0"/>
              <w:bottom w:val="single" w:color="000000" w:sz="8" w:space="0"/>
              <w:right w:val="single" w:color="000000" w:sz="8" w:space="0"/>
            </w:tcBorders>
            <w:tcW w:w="2052"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抽样前培训</w:t>
            </w:r>
            <w:r>
              <w:rPr>
                <w:sz w:val="24"/>
                <w:szCs w:val="24"/>
                <w:highlight w:val="none"/>
              </w:rPr>
            </w:r>
            <w:r/>
          </w:p>
        </w:tc>
        <w:tc>
          <w:tcPr>
            <w:tcBorders>
              <w:top w:val="singl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抽样前应当对抽样人员进行培训，并做好相关记录。抽样人员应当熟悉产品质量法、《产品质量监督抽查管理暂行办法》、《江苏省省级产品质量监督抽查工作规范》等相关法律法规、规章和产品标准。</w:t>
            </w:r>
            <w:r>
              <w:rPr>
                <w:sz w:val="24"/>
                <w:szCs w:val="24"/>
                <w:highlight w:val="none"/>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4</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现场抽样</w:t>
            </w:r>
            <w:r>
              <w:rPr>
                <w:sz w:val="24"/>
                <w:szCs w:val="24"/>
                <w:highlight w:val="none"/>
              </w:rPr>
            </w:r>
            <w:r/>
          </w:p>
        </w:tc>
        <w:tc>
          <w:tcPr>
            <w:tcBorders>
              <w:top w:val="none" w:color="000000" w:sz="4" w:space="0"/>
              <w:left w:val="single" w:color="000000" w:sz="8" w:space="0"/>
              <w:bottom w:val="single" w:color="000000" w:sz="4" w:space="0"/>
              <w:right w:val="single" w:color="000000" w:sz="8" w:space="0"/>
            </w:tcBorders>
            <w:tcW w:w="761"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抽样告知</w:t>
            </w:r>
            <w:r>
              <w:rPr>
                <w:sz w:val="24"/>
                <w:szCs w:val="24"/>
                <w:highlight w:val="none"/>
              </w:rPr>
            </w:r>
            <w:r/>
          </w:p>
        </w:tc>
        <w:tc>
          <w:tcPr>
            <w:tcBorders>
              <w:top w:val="single" w:color="000000" w:sz="8" w:space="0"/>
              <w:left w:val="single" w:color="000000" w:sz="8" w:space="0"/>
              <w:bottom w:val="single" w:color="000000" w:sz="4"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抽样工作不得预先通知受检单位，以消费者名义进行购买。</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5</w:t>
            </w:r>
            <w:r>
              <w:rPr>
                <w:sz w:val="24"/>
                <w:szCs w:val="24"/>
                <w:highlight w:val="none"/>
              </w:rPr>
            </w:r>
            <w:r/>
          </w:p>
        </w:tc>
        <w:tc>
          <w:tcPr>
            <w:tcBorders>
              <w:top w:val="none" w:color="000000" w:sz="4" w:space="0"/>
              <w:left w:val="single" w:color="000000" w:sz="8" w:space="0"/>
              <w:bottom w:val="single" w:color="000000" w:sz="8" w:space="0"/>
              <w:right w:val="single" w:color="000000" w:sz="4"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信息核查</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抽样人员应详实记录受检单位的营业执照所载信息、实际经营地址等相关内容。</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6</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single" w:color="000000" w:sz="4" w:space="0"/>
              <w:left w:val="single" w:color="000000" w:sz="8" w:space="0"/>
              <w:bottom w:val="single" w:color="000000" w:sz="8" w:space="0"/>
              <w:right w:val="single" w:color="000000" w:sz="4" w:space="0"/>
            </w:tcBorders>
            <w:tcW w:w="761"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样品抽取</w:t>
            </w:r>
            <w:r>
              <w:rPr>
                <w:sz w:val="24"/>
                <w:szCs w:val="24"/>
                <w:highlight w:val="none"/>
              </w:rPr>
            </w:r>
            <w:r/>
          </w:p>
        </w:tc>
        <w:tc>
          <w:tcPr>
            <w:tcBorders>
              <w:top w:val="single" w:color="000000" w:sz="4" w:space="0"/>
              <w:left w:val="single" w:color="000000" w:sz="4" w:space="0"/>
              <w:bottom w:val="none" w:color="000000" w:sz="4" w:space="0"/>
              <w:right w:val="single" w:color="000000" w:sz="4"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（1）抽样人员应从受检单位的经营场所待销产品中随机购买样品，不得由受检单位自行提供样品。</w:t>
            </w:r>
            <w:r>
              <w:rPr>
                <w:sz w:val="24"/>
                <w:szCs w:val="24"/>
                <w:highlight w:val="none"/>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4" w:space="0"/>
            </w:tcBorders>
            <w:tcW w:w="761"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4" w:space="0"/>
              <w:bottom w:val="single" w:color="000000" w:sz="4" w:space="0"/>
              <w:right w:val="single" w:color="000000" w:sz="4" w:space="0"/>
            </w:tcBorders>
            <w:tcW w:w="3352" w:type="dxa"/>
            <w:vAlign w:val="center"/>
            <w:textDirection w:val="lrTb"/>
            <w:noWrap w:val="false"/>
          </w:tcPr>
          <w:p>
            <w:pPr>
              <w:pStyle w:val="728"/>
              <w:spacing w:after="0" w:line="320" w:lineRule="exact"/>
              <w:rPr>
                <w:sz w:val="24"/>
                <w:szCs w:val="24"/>
                <w:highlight w:val="none"/>
                <w:lang w:bidi="ar"/>
              </w:rPr>
            </w:pPr>
            <w:r>
              <w:rPr>
                <w:sz w:val="24"/>
                <w:szCs w:val="24"/>
                <w:highlight w:val="none"/>
                <w:lang w:bidi="ar"/>
              </w:rPr>
              <w:t xml:space="preserve">（2）抽样数量原则上应当满足检验的要求。</w:t>
            </w:r>
            <w:r>
              <w:rPr>
                <w:sz w:val="24"/>
                <w:szCs w:val="24"/>
                <w:highlight w:val="none"/>
                <w:lang w:bidi="ar"/>
              </w:rPr>
            </w:r>
            <w:r/>
          </w:p>
          <w:p>
            <w:pPr>
              <w:pStyle w:val="728"/>
              <w:spacing w:after="0" w:line="320" w:lineRule="exact"/>
              <w:rPr>
                <w:rFonts w:hint="eastAsia"/>
                <w:sz w:val="24"/>
                <w:szCs w:val="24"/>
                <w:highlight w:val="none"/>
              </w:rPr>
            </w:pPr>
            <w:r/>
            <w:bookmarkStart w:id="89" w:name="OLE_LINK1"/>
            <w:r>
              <w:rPr>
                <w:rFonts w:hint="eastAsia"/>
                <w:sz w:val="24"/>
                <w:szCs w:val="24"/>
                <w:highlight w:val="none"/>
                <w:lang w:bidi="ar"/>
              </w:rPr>
              <w:t xml:space="preserve">（3）抽样现场的设备，品种、数量、功能应能满足项目需求。</w:t>
            </w:r>
            <w:bookmarkEnd w:id="89"/>
            <w:r>
              <w:rPr>
                <w:rFonts w:hint="eastAsia"/>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7</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4" w:space="0"/>
            </w:tcBorders>
            <w:tcW w:w="761"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封样签字</w:t>
            </w:r>
            <w:r>
              <w:rPr>
                <w:sz w:val="24"/>
                <w:szCs w:val="24"/>
                <w:highlight w:val="none"/>
              </w:rPr>
            </w:r>
            <w:r/>
          </w:p>
        </w:tc>
        <w:tc>
          <w:tcPr>
            <w:tcBorders>
              <w:top w:val="single" w:color="000000" w:sz="4" w:space="0"/>
              <w:left w:val="single" w:color="000000" w:sz="4" w:space="0"/>
              <w:bottom w:val="none" w:color="000000" w:sz="4" w:space="0"/>
              <w:right w:val="single" w:color="000000" w:sz="4"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（1）抽样人员应当采取有效的防拆封措施，对检验样品封样，并贴上封条。</w:t>
            </w:r>
            <w:r>
              <w:rPr>
                <w:sz w:val="24"/>
                <w:szCs w:val="24"/>
                <w:highlight w:val="none"/>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4" w:space="0"/>
            </w:tcBorders>
            <w:tcW w:w="761"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4" w:space="0"/>
              <w:bottom w:val="single" w:color="000000" w:sz="4" w:space="0"/>
              <w:right w:val="single" w:color="000000" w:sz="4"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（2）封条上应当由抽样人员签字或盖章确认。</w:t>
            </w:r>
            <w:r>
              <w:rPr>
                <w:sz w:val="24"/>
                <w:szCs w:val="24"/>
                <w:highlight w:val="none"/>
              </w:rPr>
            </w:r>
            <w:r/>
          </w:p>
        </w:tc>
      </w:tr>
      <w:tr>
        <w:trPr>
          <w:trHeight w:val="2929"/>
        </w:trPr>
        <w:tc>
          <w:tcPr>
            <w:tcBorders>
              <w:top w:val="none" w:color="000000" w:sz="4" w:space="0"/>
              <w:left w:val="single" w:color="000000" w:sz="8" w:space="0"/>
              <w:bottom w:val="single" w:color="000000" w:sz="4" w:space="0"/>
              <w:right w:val="single" w:color="000000" w:sz="8" w:space="0"/>
            </w:tcBorders>
            <w:tcW w:w="443"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8</w:t>
            </w:r>
            <w:r>
              <w:rPr>
                <w:sz w:val="24"/>
                <w:szCs w:val="24"/>
                <w:highlight w:val="none"/>
              </w:rPr>
            </w:r>
            <w:r/>
          </w:p>
        </w:tc>
        <w:tc>
          <w:tcPr>
            <w:tcBorders>
              <w:top w:val="none" w:color="000000" w:sz="4" w:space="0"/>
              <w:left w:val="single" w:color="000000" w:sz="8" w:space="0"/>
              <w:bottom w:val="single" w:color="000000" w:sz="4"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4" w:space="0"/>
              <w:right w:val="single" w:color="000000" w:sz="8" w:space="0"/>
            </w:tcBorders>
            <w:tcW w:w="761"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抽样单填写</w:t>
            </w:r>
            <w:r>
              <w:rPr>
                <w:sz w:val="24"/>
                <w:szCs w:val="24"/>
                <w:highlight w:val="none"/>
              </w:rPr>
            </w:r>
            <w:r/>
          </w:p>
        </w:tc>
        <w:tc>
          <w:tcPr>
            <w:tcBorders>
              <w:top w:val="singl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highlight w:val="none"/>
                <w:lang w:bidi="ar"/>
              </w:rPr>
            </w:pPr>
            <w:r>
              <w:rPr>
                <w:sz w:val="24"/>
                <w:szCs w:val="24"/>
                <w:highlight w:val="none"/>
                <w:lang w:bidi="ar"/>
              </w:rPr>
              <w:t xml:space="preserve">（1）抽样人员根据实际情况填写《产品质量监督抽查抽样单》，详细记录抽样信息。</w:t>
            </w:r>
            <w:r>
              <w:rPr>
                <w:sz w:val="24"/>
                <w:szCs w:val="24"/>
                <w:highlight w:val="none"/>
                <w:lang w:bidi="ar"/>
              </w:rPr>
            </w:r>
            <w:r/>
          </w:p>
          <w:p>
            <w:pPr>
              <w:pStyle w:val="728"/>
              <w:spacing w:after="0" w:line="320" w:lineRule="exact"/>
              <w:rPr>
                <w:sz w:val="24"/>
                <w:szCs w:val="24"/>
                <w:highlight w:val="none"/>
              </w:rPr>
            </w:pPr>
            <w:r>
              <w:rPr>
                <w:sz w:val="24"/>
                <w:szCs w:val="24"/>
                <w:highlight w:val="none"/>
                <w:lang w:bidi="ar"/>
              </w:rPr>
              <w:t xml:space="preserve">（2）如遇特殊情况，经采购人同意，使用纸质版抽样文书时，应当字迹工整、清晰，容易辨认，不得随意更改。</w:t>
            </w:r>
            <w:r>
              <w:rPr>
                <w:sz w:val="24"/>
                <w:szCs w:val="24"/>
                <w:highlight w:val="none"/>
              </w:rPr>
            </w:r>
            <w:r/>
          </w:p>
          <w:p>
            <w:pPr>
              <w:pStyle w:val="728"/>
              <w:spacing w:after="0" w:line="320" w:lineRule="exact"/>
              <w:rPr>
                <w:sz w:val="24"/>
                <w:szCs w:val="24"/>
                <w:highlight w:val="none"/>
              </w:rPr>
            </w:pPr>
            <w:r>
              <w:rPr>
                <w:sz w:val="24"/>
                <w:szCs w:val="24"/>
                <w:highlight w:val="none"/>
                <w:lang w:bidi="ar"/>
              </w:rPr>
              <w:t xml:space="preserve">（3）抽样单填写完毕后，应当由抽样人员签字或盖章确认。</w:t>
            </w:r>
            <w:r>
              <w:rPr>
                <w:sz w:val="24"/>
                <w:szCs w:val="24"/>
                <w:highlight w:val="none"/>
              </w:rPr>
            </w:r>
            <w:r/>
          </w:p>
          <w:p>
            <w:pPr>
              <w:pStyle w:val="728"/>
              <w:spacing w:after="0" w:line="320" w:lineRule="exact"/>
              <w:rPr>
                <w:sz w:val="24"/>
                <w:szCs w:val="24"/>
                <w:highlight w:val="none"/>
              </w:rPr>
            </w:pPr>
            <w:r>
              <w:rPr>
                <w:sz w:val="24"/>
                <w:szCs w:val="24"/>
                <w:highlight w:val="none"/>
                <w:lang w:bidi="ar"/>
              </w:rPr>
              <w:t xml:space="preserve">（4）如未采集到受检单位营业执照信息，地址栏填写实体店实际地址，具体到门牌号。</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9</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现场信息采集</w:t>
            </w: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（1）抽样人员应当通过拍照等方式对抽样场所、证照信息、贮存环境、样品信息、封样、运输等环节进行现场信息采集。</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（2）必要时，使用信息采集的设备，包括相机等类似设备应能满足项目需求，完整、清晰记录抽样现场过程。</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10</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费用支付</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抽样人员应当向受检单位支付样品购置费并索取发票（或相关购物凭证）及所购样品明细。</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11</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样品运输</w:t>
            </w: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（1）抽取的样品应当由抽样人员携带或寄送至检验机构。</w:t>
            </w:r>
            <w:r>
              <w:rPr>
                <w:sz w:val="24"/>
                <w:szCs w:val="24"/>
                <w:highlight w:val="none"/>
              </w:rPr>
            </w:r>
            <w:r/>
          </w:p>
        </w:tc>
      </w:tr>
      <w:tr>
        <w:trPr>
          <w:trHeight w:val="322"/>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（2）抽样人员应当根据样品特性和检验目的进行合理贮存、运输。</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（3）对于易碎或有其他特殊贮运条件等要求的样品，抽样人员应当采取适当措施，保证样品运输过程符合标准或样品标示要求的运输条件。</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443"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352"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（4）用于样品运输的设备和车辆，运载能力和数量应能满足项目需求。</w:t>
            </w:r>
            <w:r>
              <w:rPr>
                <w:sz w:val="24"/>
                <w:szCs w:val="24"/>
                <w:highlight w:val="none"/>
              </w:rPr>
            </w:r>
            <w:r/>
          </w:p>
        </w:tc>
      </w:tr>
    </w:tbl>
    <w:p>
      <w:pPr>
        <w:pStyle w:val="728"/>
        <w:ind w:firstLine="480"/>
        <w:jc w:val="both"/>
        <w:spacing w:after="0" w:line="560" w:lineRule="exact"/>
        <w:widowControl w:val="off"/>
        <w:rPr>
          <w:sz w:val="24"/>
          <w:szCs w:val="24"/>
          <w:highlight w:val="none"/>
        </w:rPr>
      </w:pPr>
      <w:r>
        <w:rPr>
          <w:sz w:val="24"/>
          <w:szCs w:val="24"/>
          <w:highlight w:val="none"/>
        </w:rPr>
        <w:t xml:space="preserve">4.2.2检验环节</w:t>
      </w:r>
      <w:r>
        <w:rPr>
          <w:sz w:val="24"/>
          <w:szCs w:val="24"/>
          <w:highlight w:val="none"/>
        </w:rPr>
      </w:r>
      <w:r/>
    </w:p>
    <w:p>
      <w:pPr>
        <w:pStyle w:val="728"/>
        <w:jc w:val="center"/>
        <w:spacing w:after="0" w:line="560" w:lineRule="exact"/>
        <w:rPr>
          <w:sz w:val="24"/>
          <w:szCs w:val="24"/>
          <w:highlight w:val="none"/>
        </w:rPr>
      </w:pPr>
      <w:r>
        <w:rPr>
          <w:sz w:val="24"/>
          <w:szCs w:val="24"/>
          <w:highlight w:val="none"/>
        </w:rPr>
        <w:t xml:space="preserve">表2 检验环节主要技术内容和标准</w:t>
      </w:r>
      <w:r>
        <w:rPr>
          <w:sz w:val="24"/>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42"/>
        <w:gridCol w:w="1609"/>
        <w:gridCol w:w="6068"/>
      </w:tblGrid>
      <w:tr>
        <w:trPr>
          <w:trHeight w:val="322"/>
        </w:trPr>
        <w:tc>
          <w:tcPr>
            <w:tcBorders>
              <w:top w:val="single" w:color="000000" w:sz="8"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序号</w:t>
            </w: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服务名称</w:t>
            </w: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3560"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服务内容和标准</w:t>
            </w:r>
            <w:r>
              <w:rPr>
                <w:sz w:val="24"/>
                <w:szCs w:val="24"/>
                <w:highlight w:val="none"/>
              </w:rPr>
            </w:r>
            <w:r/>
          </w:p>
        </w:tc>
      </w:tr>
      <w:tr>
        <w:trPr>
          <w:trHeight w:val="680"/>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1</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检验单位要求</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未经采购人同意，检验单位不得分包或者转包检验任务。</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2</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检验人员管理</w:t>
            </w: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（1）相关产品检验人员数量、专业领域、工作年限等要求与服务需求相匹配。</w:t>
            </w:r>
            <w:r>
              <w:rPr>
                <w:sz w:val="24"/>
                <w:szCs w:val="24"/>
                <w:highlight w:val="none"/>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（2）建立检验人员持证上岗制度，加强产品质量相关法律法规、标准规范、质量控制要求、实验室安全与防护知识等方面的培训考核，确保检验人员能力持续满足承检工作需求。</w:t>
            </w:r>
            <w:r>
              <w:rPr>
                <w:sz w:val="24"/>
                <w:szCs w:val="24"/>
                <w:highlight w:val="none"/>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3</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样品接收与保存</w:t>
            </w: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（1）检验单位接收样品时，应当查验、记录样品的外观、状态、封条有无破损以及其他可能对检验结论产生影响的情况，并核对样品与抽样文书信息。</w:t>
            </w:r>
            <w:r>
              <w:rPr>
                <w:sz w:val="24"/>
                <w:szCs w:val="24"/>
                <w:highlight w:val="none"/>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（2）对符合检验要求的样品，检验单位应当在</w:t>
            </w:r>
            <w:r>
              <w:rPr>
                <w:sz w:val="24"/>
                <w:szCs w:val="24"/>
                <w:highlight w:val="none"/>
                <w:lang w:bidi="ar"/>
              </w:rPr>
              <w:t xml:space="preserve">抽样后五个工作日内</w:t>
            </w:r>
            <w:r>
              <w:rPr>
                <w:sz w:val="24"/>
                <w:szCs w:val="24"/>
                <w:highlight w:val="none"/>
                <w:lang w:bidi="ar"/>
              </w:rPr>
              <w:t xml:space="preserve">完成样品接收工作，将检验样品加贴相应标识后，按照要求入库存放。</w:t>
            </w:r>
            <w:r>
              <w:rPr>
                <w:sz w:val="24"/>
                <w:szCs w:val="24"/>
                <w:highlight w:val="none"/>
              </w:rPr>
            </w:r>
            <w:r/>
          </w:p>
        </w:tc>
      </w:tr>
      <w:tr>
        <w:trPr>
          <w:trHeight w:val="1242"/>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3）对不符合要求的样品，如抽样文书信息与实际样品不符、样品数量不能满足检验要求、样品性状改变可能对检验结论产生影响、封条破损、封样缺少防拆封措施等情况，检验单位应当拒绝接收并规范填写拒收理由，及时报告采购人。</w:t>
            </w:r>
            <w:r>
              <w:rPr>
                <w:sz w:val="24"/>
                <w:szCs w:val="24"/>
                <w:highlight w:val="none"/>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（4）抽样检验的样品由检验单位保存。检验单位应当建立样品保管制度，严禁样品被随意调换、拆封。</w:t>
            </w:r>
            <w:r>
              <w:rPr>
                <w:sz w:val="24"/>
                <w:szCs w:val="24"/>
                <w:highlight w:val="none"/>
              </w:rPr>
            </w:r>
            <w:r/>
          </w:p>
        </w:tc>
      </w:tr>
      <w:tr>
        <w:trPr>
          <w:trHeight w:val="322"/>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（5）样品储存场所容量、环境、温度控制等与服务需求相匹配。</w:t>
            </w:r>
            <w:r>
              <w:rPr>
                <w:sz w:val="24"/>
                <w:szCs w:val="24"/>
                <w:highlight w:val="none"/>
              </w:rPr>
            </w:r>
            <w:r/>
          </w:p>
        </w:tc>
      </w:tr>
      <w:tr>
        <w:trPr>
          <w:trHeight w:val="628"/>
        </w:trPr>
        <w:tc>
          <w:tcPr>
            <w:tcBorders>
              <w:top w:val="singl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4</w:t>
            </w:r>
            <w:r>
              <w:rPr>
                <w:sz w:val="24"/>
                <w:szCs w:val="24"/>
                <w:highlight w:val="none"/>
              </w:rPr>
            </w:r>
            <w:r/>
          </w:p>
        </w:tc>
        <w:tc>
          <w:tcPr>
            <w:tcBorders>
              <w:top w:val="singl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检验过程</w:t>
            </w:r>
            <w:r>
              <w:rPr>
                <w:sz w:val="24"/>
                <w:szCs w:val="24"/>
                <w:highlight w:val="none"/>
              </w:rPr>
            </w:r>
            <w:r/>
          </w:p>
        </w:tc>
        <w:tc>
          <w:tcPr>
            <w:tcBorders>
              <w:top w:val="singl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（1）检验单位应依据相关产品标准、法律法规、专业特色市场产品质量风险动态监测实施方案确定的检验项目和检验方法进行。</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（2）拟用于相关产品检验工作的实验场所面积、环境、布局和组成部分等与服务需求相匹配。</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（3）检验设备的仪器型号、等级、精密度、运行状况和数量应能满足项目需求。</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5</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检验记录</w:t>
            </w: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（1）检验原始记录必须如实填写，保证真实、准确、完整、清晰、可溯源，不得随意更改。</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（2）确有必要更改的，更改处应当经检验人员签字或盖章确认，采用电子化原始记录的，应当保留更改痕迹。</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6</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结果质量控制</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检验单位应当选取加标回收、人员比对、设备比对或实验室间比对等质控方式确保数据的准确性。</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7</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lang w:bidi="ar"/>
              </w:rPr>
              <w:t xml:space="preserve">检验报告</w:t>
            </w: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（1）检验单位应当按规定格式出具检验报告，检验报告应当内容真实完整、数据准确。</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（2）检验单位应当按约定时间完成抽样检验工作，并出具检验检测报告。</w:t>
            </w:r>
            <w:r>
              <w:rPr>
                <w:sz w:val="24"/>
                <w:szCs w:val="24"/>
                <w:highlight w:val="none"/>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vMerge w:val="continue"/>
            <w:textDirection w:val="lrTb"/>
            <w:noWrap w:val="false"/>
          </w:tcPr>
          <w:p>
            <w:pPr>
              <w:pStyle w:val="728"/>
              <w:jc w:val="center"/>
              <w:spacing w:after="0" w:line="320" w:lineRule="exact"/>
              <w:widowControl w:val="off"/>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（3）检验单位出具的检验报告应当加盖机构公章或检验检测专用章，并有相关检验人员的签名或者盖章。检验单位和检验人员对出具的检验报告负责。</w:t>
            </w:r>
            <w:r>
              <w:rPr>
                <w:sz w:val="24"/>
                <w:szCs w:val="24"/>
                <w:highlight w:val="none"/>
              </w:rPr>
            </w:r>
            <w:r/>
          </w:p>
        </w:tc>
      </w:tr>
      <w:tr>
        <w:trPr>
          <w:trHeight w:val="935"/>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8</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检验过程特殊情况</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检验过程中遇有样品失效或者其他情况致使检验无法进行的，检验单位必须如实记录有关情况，提供充分的证明材料，并将有关情况报告采购人。</w:t>
            </w:r>
            <w:r>
              <w:rPr>
                <w:sz w:val="24"/>
                <w:szCs w:val="24"/>
                <w:highlight w:val="none"/>
              </w:rPr>
            </w:r>
            <w:r/>
          </w:p>
        </w:tc>
      </w:tr>
      <w:tr>
        <w:trPr>
          <w:trHeight w:val="1242"/>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9</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风险信息限时报送</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检验单位在检验过程中发现严重产品质量安全风险情形的，应当立即对样品信息、检验结果等进行核实，并向采购人书面或电话报告，确认对方收悉并记录备查。检验单位要按“急事急办”原则，尽快出具完整的检验报告。</w:t>
            </w:r>
            <w:r>
              <w:rPr>
                <w:sz w:val="24"/>
                <w:szCs w:val="24"/>
                <w:highlight w:val="none"/>
              </w:rPr>
            </w:r>
            <w:r/>
          </w:p>
        </w:tc>
      </w:tr>
      <w:tr>
        <w:trPr>
          <w:trHeight w:val="1242"/>
        </w:trPr>
        <w:tc>
          <w:tcPr>
            <w:tcBorders>
              <w:top w:val="none" w:color="000000" w:sz="4" w:space="0"/>
              <w:left w:val="single" w:color="000000" w:sz="8" w:space="0"/>
              <w:bottom w:val="single" w:color="000000" w:sz="8" w:space="0"/>
              <w:right w:val="single" w:color="000000" w:sz="8" w:space="0"/>
            </w:tcBorders>
            <w:tcW w:w="49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10</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pStyle w:val="728"/>
              <w:jc w:val="center"/>
              <w:spacing w:after="0" w:line="320" w:lineRule="exact"/>
              <w:rPr>
                <w:sz w:val="24"/>
                <w:szCs w:val="24"/>
                <w:highlight w:val="none"/>
              </w:rPr>
            </w:pPr>
            <w:r>
              <w:rPr>
                <w:sz w:val="24"/>
                <w:szCs w:val="24"/>
                <w:highlight w:val="none"/>
                <w:lang w:bidi="ar"/>
              </w:rPr>
              <w:t xml:space="preserve">检验报告报送</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56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检验单位应当在检验结论作出后两个工作日内将检验报告及《产品质量监督抽查结果通知单》《产品质量监督抽查抽样单》《不合格产品质量分析建议书》等有关材料报送采购人。</w:t>
            </w:r>
            <w:r>
              <w:rPr>
                <w:sz w:val="24"/>
                <w:szCs w:val="24"/>
                <w:highlight w:val="none"/>
              </w:rPr>
            </w:r>
            <w:r/>
          </w:p>
        </w:tc>
      </w:tr>
    </w:tbl>
    <w:p>
      <w:pPr>
        <w:pStyle w:val="728"/>
        <w:ind w:firstLine="480"/>
        <w:jc w:val="both"/>
        <w:spacing w:after="0" w:line="560" w:lineRule="exact"/>
        <w:widowControl w:val="off"/>
        <w:rPr>
          <w:sz w:val="24"/>
          <w:szCs w:val="24"/>
          <w:highlight w:val="none"/>
        </w:rPr>
      </w:pPr>
      <w:r>
        <w:rPr>
          <w:sz w:val="24"/>
          <w:szCs w:val="24"/>
          <w:highlight w:val="none"/>
        </w:rPr>
        <w:t xml:space="preserve">4.2.3数据汇总、分析报告与复检环节</w:t>
      </w:r>
      <w:r>
        <w:rPr>
          <w:sz w:val="24"/>
          <w:szCs w:val="24"/>
          <w:highlight w:val="none"/>
        </w:rPr>
      </w:r>
      <w:r/>
    </w:p>
    <w:p>
      <w:pPr>
        <w:pStyle w:val="728"/>
        <w:jc w:val="center"/>
        <w:spacing w:after="0" w:line="560" w:lineRule="exact"/>
        <w:rPr>
          <w:sz w:val="24"/>
          <w:szCs w:val="24"/>
          <w:highlight w:val="none"/>
        </w:rPr>
      </w:pPr>
      <w:r>
        <w:rPr>
          <w:sz w:val="24"/>
          <w:szCs w:val="24"/>
          <w:highlight w:val="none"/>
        </w:rPr>
        <w:t xml:space="preserve">表3 数据处理上报、分析报告环节主要技术内容和标准</w:t>
      </w:r>
      <w:r>
        <w:rPr>
          <w:sz w:val="24"/>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34"/>
        <w:gridCol w:w="1578"/>
        <w:gridCol w:w="6007"/>
      </w:tblGrid>
      <w:tr>
        <w:trPr>
          <w:trHeight w:val="307"/>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序号</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服务名称</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服务内容和标准</w:t>
            </w:r>
            <w:r>
              <w:rPr>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1</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检验检测报告</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highlight w:val="none"/>
              </w:rPr>
            </w:pPr>
            <w:r>
              <w:rPr>
                <w:sz w:val="24"/>
                <w:szCs w:val="24"/>
                <w:highlight w:val="none"/>
              </w:rPr>
              <w:t xml:space="preserve">参照《江苏省省级产品质量监督抽查工作规范》中检验检测报告格式出具报告，检验检测报告应当内容真实齐全、数据准确、结论明确。</w:t>
            </w:r>
            <w:r>
              <w:rPr>
                <w:sz w:val="24"/>
                <w:szCs w:val="24"/>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2</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不合格产品质量分析建议书</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highlight w:val="none"/>
              </w:rPr>
            </w:pPr>
            <w:r>
              <w:rPr>
                <w:sz w:val="24"/>
                <w:szCs w:val="24"/>
                <w:highlight w:val="none"/>
              </w:rPr>
              <w:t xml:space="preserve">对检验结果为不合格的产品，应组织技术专家对发现的质量问题进行分析研究，结合该类产品设计、制造和质量管理要求，形成《不合格产品质量分析建议书》，提出具有针对性的问题分析和改进建议。</w:t>
            </w:r>
            <w:r>
              <w:rPr>
                <w:sz w:val="24"/>
                <w:szCs w:val="24"/>
                <w:highlight w:val="none"/>
              </w:rPr>
            </w:r>
            <w:r/>
          </w:p>
        </w:tc>
      </w:tr>
      <w:tr>
        <w:trPr>
          <w:trHeight w:val="803"/>
        </w:trPr>
        <w:tc>
          <w:tcPr>
            <w:tcBorders>
              <w:top w:val="single" w:color="000000" w:sz="4" w:space="0"/>
              <w:left w:val="single" w:color="000000" w:sz="4" w:space="0"/>
              <w:bottom w:val="none" w:color="000000" w:sz="0" w:space="0"/>
              <w:right w:val="single" w:color="000000" w:sz="4" w:space="0"/>
            </w:tcBorders>
            <w:tcW w:w="548"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3</w:t>
            </w:r>
            <w:r>
              <w:rPr>
                <w:sz w:val="24"/>
                <w:szCs w:val="24"/>
                <w:highlight w:val="none"/>
              </w:rPr>
            </w:r>
            <w:r/>
          </w:p>
        </w:tc>
        <w:tc>
          <w:tcPr>
            <w:tcBorders>
              <w:top w:val="single" w:color="000000" w:sz="4" w:space="0"/>
              <w:left w:val="single" w:color="000000" w:sz="4" w:space="0"/>
              <w:bottom w:val="none" w:color="000000" w:sz="0" w:space="0"/>
              <w:right w:val="single" w:color="000000" w:sz="4" w:space="0"/>
            </w:tcBorders>
            <w:tcW w:w="926"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数据汇总</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highlight w:val="none"/>
              </w:rPr>
            </w:pPr>
            <w:r>
              <w:rPr>
                <w:sz w:val="24"/>
                <w:szCs w:val="24"/>
                <w:highlight w:val="none"/>
              </w:rPr>
              <w:t xml:space="preserve">（1）数据统计分析、结果信息报送人员数量、能力等要求与服务需求相匹配。</w:t>
            </w:r>
            <w:r>
              <w:rPr>
                <w:sz w:val="24"/>
                <w:szCs w:val="24"/>
                <w:highlight w:val="none"/>
              </w:rPr>
            </w:r>
            <w:r/>
          </w:p>
        </w:tc>
      </w:tr>
      <w:tr>
        <w:trPr>
          <w:trHeight w:val="920"/>
        </w:trPr>
        <w:tc>
          <w:tcPr>
            <w:tcBorders>
              <w:top w:val="none" w:color="000000" w:sz="0" w:space="0"/>
              <w:left w:val="single" w:color="000000" w:sz="4" w:space="0"/>
              <w:bottom w:val="none" w:color="000000" w:sz="0" w:space="0"/>
              <w:right w:val="single" w:color="000000" w:sz="4" w:space="0"/>
            </w:tcBorders>
            <w:tcW w:w="548"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none" w:color="000000" w:sz="0" w:space="0"/>
              <w:left w:val="single" w:color="000000" w:sz="4" w:space="0"/>
              <w:bottom w:val="none" w:color="000000" w:sz="0" w:space="0"/>
              <w:right w:val="single" w:color="000000" w:sz="4" w:space="0"/>
            </w:tcBorders>
            <w:tcW w:w="926"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highlight w:val="none"/>
              </w:rPr>
            </w:pPr>
            <w:r>
              <w:rPr>
                <w:sz w:val="24"/>
                <w:szCs w:val="24"/>
                <w:highlight w:val="none"/>
              </w:rPr>
              <w:t xml:space="preserve">（2）根据采购人要求，按时完成抽检数据的统计汇总分析，并将检验数据与抽样、检验检测报告等信息对应一致报采购人，检验单位对数据质量负责。</w:t>
            </w:r>
            <w:r>
              <w:rPr>
                <w:sz w:val="24"/>
                <w:szCs w:val="24"/>
                <w:highlight w:val="none"/>
              </w:rPr>
            </w:r>
            <w:r/>
          </w:p>
        </w:tc>
      </w:tr>
      <w:tr>
        <w:trPr>
          <w:trHeight w:val="920"/>
        </w:trPr>
        <w:tc>
          <w:tcPr>
            <w:tcBorders>
              <w:top w:val="none" w:color="000000" w:sz="0"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none" w:color="000000" w:sz="0" w:space="0"/>
              <w:left w:val="single" w:color="000000" w:sz="4" w:space="0"/>
              <w:bottom w:val="single" w:color="000000" w:sz="4" w:space="0"/>
              <w:right w:val="single" w:color="000000" w:sz="4" w:space="0"/>
            </w:tcBorders>
            <w:tcW w:w="926"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rFonts w:hint="eastAsia"/>
                <w:sz w:val="24"/>
                <w:szCs w:val="24"/>
                <w:highlight w:val="none"/>
              </w:rPr>
            </w:pPr>
            <w:r>
              <w:rPr>
                <w:rFonts w:hint="eastAsia"/>
                <w:sz w:val="24"/>
                <w:szCs w:val="24"/>
                <w:highlight w:val="none"/>
              </w:rPr>
              <w:t xml:space="preserve">（3）在委托书限定时间内完成任务并及时上传“江苏省产品质量安全监督管理系统”。</w:t>
            </w:r>
            <w:r>
              <w:rPr>
                <w:rFonts w:hint="eastAsia"/>
                <w:sz w:val="24"/>
                <w:szCs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548"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4</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分析报告</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highlight w:val="none"/>
              </w:rPr>
            </w:pPr>
            <w:r>
              <w:rPr>
                <w:sz w:val="24"/>
                <w:szCs w:val="24"/>
                <w:highlight w:val="none"/>
              </w:rPr>
              <w:t xml:space="preserve">（1）在检验工作完成后按采购人要求提供分析报告，包含但不限于任务抽检情况、结果分析、风险警示、工作建议等方面内容。</w:t>
            </w:r>
            <w:r>
              <w:rPr>
                <w:sz w:val="24"/>
                <w:szCs w:val="24"/>
                <w:highlight w:val="none"/>
              </w:rPr>
            </w:r>
            <w:r/>
          </w:p>
        </w:tc>
      </w:tr>
      <w:tr>
        <w:trPr>
          <w:trHeight w:val="948"/>
        </w:trPr>
        <w:tc>
          <w:tcPr>
            <w:tcBorders>
              <w:top w:val="single" w:color="000000" w:sz="4" w:space="0"/>
              <w:left w:val="single" w:color="000000" w:sz="4" w:space="0"/>
              <w:bottom w:val="single" w:color="000000" w:sz="4" w:space="0"/>
              <w:right w:val="single" w:color="000000" w:sz="4" w:space="0"/>
            </w:tcBorders>
            <w:tcW w:w="548"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pStyle w:val="728"/>
              <w:spacing w:after="0" w:line="320" w:lineRule="exact"/>
              <w:rPr>
                <w:sz w:val="24"/>
                <w:szCs w:val="24"/>
                <w:highlight w:val="none"/>
              </w:rPr>
            </w:pPr>
            <w:r>
              <w:rPr>
                <w:sz w:val="24"/>
                <w:szCs w:val="24"/>
                <w:highlight w:val="none"/>
              </w:rPr>
              <w:t xml:space="preserve">（2）分析报告应当全面、详实、有针对性，风险提示清晰明确、建议切实可行。</w:t>
            </w:r>
            <w:r>
              <w:rPr>
                <w:sz w:val="24"/>
                <w:szCs w:val="24"/>
                <w:highlight w:val="none"/>
              </w:rPr>
            </w:r>
            <w:r/>
          </w:p>
        </w:tc>
      </w:tr>
    </w:tbl>
    <w:p>
      <w:pPr>
        <w:pStyle w:val="728"/>
        <w:ind w:firstLine="480"/>
        <w:jc w:val="both"/>
        <w:spacing w:after="0" w:line="560" w:lineRule="exact"/>
        <w:widowControl w:val="off"/>
        <w:rPr>
          <w:sz w:val="24"/>
          <w:szCs w:val="24"/>
          <w:highlight w:val="none"/>
        </w:rPr>
      </w:pPr>
      <w:r>
        <w:rPr>
          <w:sz w:val="24"/>
          <w:szCs w:val="24"/>
          <w:highlight w:val="none"/>
        </w:rPr>
        <w:t xml:space="preserve">4.2.4其他服务要求</w:t>
      </w:r>
      <w:r>
        <w:rPr>
          <w:sz w:val="24"/>
          <w:szCs w:val="24"/>
          <w:highlight w:val="none"/>
        </w:rPr>
      </w:r>
      <w:r/>
    </w:p>
    <w:p>
      <w:pPr>
        <w:pStyle w:val="728"/>
        <w:jc w:val="center"/>
        <w:spacing w:after="0" w:line="560" w:lineRule="exact"/>
        <w:rPr>
          <w:sz w:val="24"/>
          <w:szCs w:val="24"/>
          <w:highlight w:val="none"/>
        </w:rPr>
      </w:pPr>
      <w:r>
        <w:rPr>
          <w:sz w:val="24"/>
          <w:szCs w:val="24"/>
          <w:highlight w:val="none"/>
        </w:rPr>
        <w:t xml:space="preserve">表4 其他服务内容和标准</w:t>
      </w:r>
      <w:r>
        <w:rPr>
          <w:sz w:val="24"/>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23"/>
        <w:gridCol w:w="1897"/>
        <w:gridCol w:w="5899"/>
      </w:tblGrid>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序号</w:t>
            </w: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服务名称</w:t>
            </w: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服务内容和标准</w:t>
            </w:r>
            <w:r>
              <w:rPr>
                <w:sz w:val="24"/>
                <w:szCs w:val="24"/>
                <w:highlight w:val="none"/>
              </w:rPr>
            </w:r>
            <w:r/>
          </w:p>
        </w:tc>
      </w:tr>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1</w:t>
            </w: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人员团队配置</w:t>
            </w: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rFonts w:hint="eastAsia"/>
                <w:sz w:val="24"/>
                <w:szCs w:val="24"/>
                <w:highlight w:val="none"/>
              </w:rPr>
            </w:pPr>
            <w:r>
              <w:rPr>
                <w:rFonts w:hint="eastAsia"/>
                <w:sz w:val="24"/>
                <w:szCs w:val="24"/>
                <w:highlight w:val="none"/>
              </w:rPr>
              <w:t xml:space="preserve">（1）项目负责人职称要求：供应商拟投入本项目的项目负责人应具有副高级以上专业技术职称。</w:t>
            </w:r>
            <w:r>
              <w:rPr>
                <w:rFonts w:hint="eastAsia"/>
                <w:sz w:val="24"/>
                <w:szCs w:val="24"/>
                <w:highlight w:val="none"/>
              </w:rPr>
            </w:r>
            <w:r/>
          </w:p>
          <w:p>
            <w:pPr>
              <w:pStyle w:val="728"/>
              <w:spacing w:after="0" w:line="320" w:lineRule="exact"/>
              <w:rPr>
                <w:sz w:val="24"/>
                <w:szCs w:val="24"/>
                <w:highlight w:val="none"/>
              </w:rPr>
            </w:pPr>
            <w:r>
              <w:rPr>
                <w:sz w:val="24"/>
                <w:szCs w:val="24"/>
                <w:highlight w:val="none"/>
              </w:rPr>
              <w:t xml:space="preserve">（</w:t>
            </w:r>
            <w:r>
              <w:rPr>
                <w:rFonts w:hint="eastAsia"/>
                <w:sz w:val="24"/>
                <w:szCs w:val="24"/>
                <w:highlight w:val="none"/>
              </w:rPr>
              <w:t xml:space="preserve">2</w:t>
            </w:r>
            <w:r>
              <w:rPr>
                <w:sz w:val="24"/>
                <w:szCs w:val="24"/>
                <w:highlight w:val="none"/>
              </w:rPr>
              <w:t xml:space="preserve">）配备人员数量要求：应配备与所投风险动态监测产品任务数量相匹配的抽样检测人员，相关的中级（含）以上职称检验人员或具有8年以上所投产品检验工作经历的人员数量不少于4人；抽样人员数量不少于6人。</w:t>
            </w:r>
            <w:r>
              <w:rPr>
                <w:sz w:val="24"/>
                <w:szCs w:val="24"/>
                <w:highlight w:val="none"/>
              </w:rPr>
            </w:r>
            <w:r/>
          </w:p>
        </w:tc>
      </w:tr>
      <w:tr>
        <w:trPr>
          <w:trHeight w:val="628"/>
        </w:trPr>
        <w:tc>
          <w:tcPr>
            <w:tcBorders>
              <w:top w:val="single" w:color="000000" w:sz="8"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2</w:t>
            </w: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管理制度</w:t>
            </w:r>
            <w:r>
              <w:rPr>
                <w:sz w:val="24"/>
                <w:szCs w:val="24"/>
                <w:highlight w:val="none"/>
              </w:rPr>
            </w:r>
            <w:r/>
          </w:p>
        </w:tc>
        <w:tc>
          <w:tcPr>
            <w:tcBorders>
              <w:top w:val="none" w:color="000000" w:sz="4" w:space="0"/>
              <w:left w:val="single" w:color="000000" w:sz="8" w:space="0"/>
              <w:bottom w:val="single" w:color="000000" w:sz="4" w:space="0"/>
              <w:right w:val="single" w:color="000000" w:sz="8" w:space="0"/>
            </w:tcBorders>
            <w:tcW w:w="3461" w:type="dxa"/>
            <w:vAlign w:val="center"/>
            <w:textDirection w:val="lrTb"/>
            <w:noWrap w:val="false"/>
          </w:tcPr>
          <w:p>
            <w:pPr>
              <w:pStyle w:val="728"/>
              <w:spacing w:after="0" w:line="320" w:lineRule="exact"/>
              <w:rPr>
                <w:sz w:val="24"/>
                <w:szCs w:val="24"/>
                <w:highlight w:val="none"/>
              </w:rPr>
            </w:pPr>
            <w:r>
              <w:rPr>
                <w:sz w:val="24"/>
                <w:szCs w:val="24"/>
                <w:highlight w:val="none"/>
              </w:rPr>
              <w:t xml:space="preserve">（1）管理制度具备</w:t>
            </w:r>
            <w:r>
              <w:rPr>
                <w:sz w:val="24"/>
                <w:szCs w:val="24"/>
                <w:highlight w:val="none"/>
                <w:lang w:val="zh-CN"/>
              </w:rPr>
              <w:t xml:space="preserve">抽样、检验工作管理制度</w:t>
            </w:r>
            <w:r>
              <w:rPr>
                <w:rFonts w:hint="eastAsia"/>
                <w:sz w:val="24"/>
                <w:szCs w:val="24"/>
                <w:highlight w:val="none"/>
              </w:rPr>
              <w:t xml:space="preserve">，</w:t>
            </w:r>
            <w:r>
              <w:rPr>
                <w:sz w:val="24"/>
                <w:szCs w:val="24"/>
                <w:highlight w:val="none"/>
                <w:lang w:val="zh-CN"/>
              </w:rPr>
              <w:t xml:space="preserve">样品管理、处置工作管理制度</w:t>
            </w:r>
            <w:r>
              <w:rPr>
                <w:rFonts w:hint="eastAsia"/>
                <w:sz w:val="24"/>
                <w:szCs w:val="24"/>
                <w:highlight w:val="none"/>
              </w:rPr>
              <w:t xml:space="preserve">，</w:t>
            </w:r>
            <w:r>
              <w:rPr>
                <w:sz w:val="24"/>
                <w:szCs w:val="24"/>
                <w:highlight w:val="none"/>
              </w:rPr>
              <w:t xml:space="preserve">结果上报</w:t>
            </w:r>
            <w:r>
              <w:rPr>
                <w:sz w:val="24"/>
                <w:szCs w:val="24"/>
                <w:highlight w:val="none"/>
                <w:lang w:val="zh-CN"/>
              </w:rPr>
              <w:t xml:space="preserve">管理制度</w:t>
            </w:r>
            <w:r>
              <w:rPr>
                <w:sz w:val="24"/>
                <w:szCs w:val="24"/>
                <w:highlight w:val="none"/>
              </w:rPr>
              <w:t xml:space="preserve">等全流程工作的具体要求。</w:t>
            </w:r>
            <w:r>
              <w:rPr>
                <w:sz w:val="24"/>
                <w:szCs w:val="24"/>
                <w:highlight w:val="none"/>
              </w:rPr>
            </w:r>
            <w:r/>
          </w:p>
        </w:tc>
      </w:tr>
      <w:tr>
        <w:trPr>
          <w:trHeight w:val="628"/>
        </w:trPr>
        <w:tc>
          <w:tcPr>
            <w:tcBorders>
              <w:top w:val="single" w:color="000000" w:sz="8"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singl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highlight w:val="none"/>
              </w:rPr>
            </w:pPr>
            <w:r>
              <w:rPr>
                <w:sz w:val="24"/>
                <w:szCs w:val="24"/>
                <w:highlight w:val="none"/>
              </w:rPr>
              <w:t xml:space="preserve">（2）管理制度完善、内容齐全</w:t>
            </w:r>
            <w:r>
              <w:rPr>
                <w:rFonts w:hint="eastAsia"/>
                <w:sz w:val="24"/>
                <w:szCs w:val="24"/>
                <w:highlight w:val="none"/>
              </w:rPr>
              <w:t xml:space="preserve">，</w:t>
            </w:r>
            <w:bookmarkStart w:id="90" w:name="OLE_LINK3"/>
            <w:r>
              <w:rPr>
                <w:rFonts w:hint="eastAsia"/>
                <w:sz w:val="24"/>
                <w:szCs w:val="24"/>
                <w:highlight w:val="none"/>
              </w:rPr>
              <w:t xml:space="preserve">制度措施科学合理</w:t>
            </w:r>
            <w:r>
              <w:rPr>
                <w:sz w:val="24"/>
                <w:szCs w:val="24"/>
                <w:highlight w:val="none"/>
              </w:rPr>
              <w:t xml:space="preserve">，</w:t>
            </w:r>
            <w:r>
              <w:rPr>
                <w:rFonts w:hint="eastAsia"/>
                <w:sz w:val="24"/>
                <w:szCs w:val="24"/>
                <w:highlight w:val="none"/>
              </w:rPr>
              <w:t xml:space="preserve">有针对性，</w:t>
            </w:r>
            <w:bookmarkEnd w:id="90"/>
            <w:r>
              <w:rPr>
                <w:sz w:val="24"/>
                <w:szCs w:val="24"/>
                <w:highlight w:val="none"/>
              </w:rPr>
              <w:t xml:space="preserve">且能满足相关法律法规规章的规定及采购需求。</w:t>
            </w:r>
            <w:r>
              <w:rPr>
                <w:sz w:val="24"/>
                <w:szCs w:val="24"/>
                <w:highlight w:val="none"/>
              </w:rPr>
            </w:r>
            <w:r/>
          </w:p>
        </w:tc>
      </w:tr>
      <w:tr>
        <w:trPr>
          <w:trHeight w:val="628"/>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3</w:t>
            </w: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快速响应服务时效</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rFonts w:hint="eastAsia"/>
                <w:sz w:val="24"/>
                <w:szCs w:val="24"/>
                <w:highlight w:val="none"/>
              </w:rPr>
            </w:pPr>
            <w:r>
              <w:rPr>
                <w:sz w:val="24"/>
                <w:szCs w:val="24"/>
                <w:highlight w:val="none"/>
              </w:rPr>
              <w:t xml:space="preserve">具备在项目需要时到达现场进行应急抽样的快速响应服务时效。</w:t>
            </w:r>
            <w:bookmarkStart w:id="91" w:name="OLE_LINK5"/>
            <w:r>
              <w:rPr>
                <w:rFonts w:hint="eastAsia"/>
                <w:sz w:val="24"/>
                <w:szCs w:val="24"/>
                <w:highlight w:val="none"/>
              </w:rPr>
              <w:t xml:space="preserve">可根据自身情况提供在4小时内或6小时内或8小时内到采购人指定工作地点的证明材料。</w:t>
            </w:r>
            <w:bookmarkEnd w:id="91"/>
            <w:r>
              <w:rPr>
                <w:rFonts w:hint="eastAsia"/>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4</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highlight w:val="none"/>
              </w:rPr>
            </w:pPr>
            <w:r>
              <w:rPr>
                <w:rFonts w:hint="eastAsia"/>
                <w:sz w:val="24"/>
                <w:szCs w:val="24"/>
                <w:highlight w:val="none"/>
              </w:rPr>
              <w:t xml:space="preserve">服务</w:t>
            </w:r>
            <w:r>
              <w:rPr>
                <w:sz w:val="24"/>
                <w:szCs w:val="24"/>
                <w:highlight w:val="none"/>
              </w:rPr>
              <w:t xml:space="preserve">方案</w:t>
            </w: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461" w:type="dxa"/>
            <w:vAlign w:val="center"/>
            <w:textDirection w:val="lrTb"/>
            <w:noWrap w:val="false"/>
          </w:tcPr>
          <w:p>
            <w:pPr>
              <w:pStyle w:val="728"/>
              <w:spacing w:after="0" w:line="320" w:lineRule="exact"/>
              <w:rPr>
                <w:sz w:val="24"/>
                <w:szCs w:val="24"/>
                <w:highlight w:val="none"/>
              </w:rPr>
            </w:pPr>
            <w:r>
              <w:rPr>
                <w:sz w:val="24"/>
                <w:szCs w:val="24"/>
                <w:highlight w:val="none"/>
              </w:rPr>
              <w:t xml:space="preserve">（1）服务方案应当包括但不限于前期准备工作</w:t>
            </w:r>
            <w:r>
              <w:rPr>
                <w:rFonts w:hint="eastAsia"/>
                <w:sz w:val="24"/>
                <w:szCs w:val="24"/>
                <w:highlight w:val="none"/>
              </w:rPr>
              <w:t xml:space="preserve">（包括工作部署、抽样工作的详细内容及组织安排、样品购买、样品接收及核查方案等）、后期准备工作（</w:t>
            </w:r>
            <w:r>
              <w:rPr>
                <w:sz w:val="24"/>
                <w:szCs w:val="24"/>
                <w:highlight w:val="none"/>
              </w:rPr>
              <w:t xml:space="preserve">包括检验工作安排、检验结果报送、样品处置及保密工作</w:t>
            </w:r>
            <w:r>
              <w:rPr>
                <w:rFonts w:hint="eastAsia"/>
                <w:sz w:val="24"/>
                <w:szCs w:val="24"/>
                <w:highlight w:val="none"/>
              </w:rPr>
              <w:t xml:space="preserve">等）、重点难点问题分析及解决方案</w:t>
            </w:r>
            <w:r>
              <w:rPr>
                <w:sz w:val="24"/>
                <w:szCs w:val="24"/>
                <w:highlight w:val="none"/>
              </w:rPr>
              <w:t xml:space="preserve">等各项内容。</w:t>
            </w:r>
            <w:r>
              <w:rPr>
                <w:sz w:val="24"/>
                <w:szCs w:val="24"/>
                <w:highlight w:val="none"/>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highlight w:val="none"/>
              </w:rPr>
            </w:pPr>
            <w:r>
              <w:rPr>
                <w:sz w:val="24"/>
                <w:szCs w:val="24"/>
                <w:highlight w:val="none"/>
              </w:rPr>
              <w:t xml:space="preserve">（2）服务方案内容、结构完整，科学有效，有针对性、可操作性强。</w:t>
            </w:r>
            <w:r>
              <w:rPr>
                <w:sz w:val="24"/>
                <w:szCs w:val="24"/>
                <w:highlight w:val="none"/>
              </w:rPr>
            </w:r>
            <w:r/>
          </w:p>
        </w:tc>
      </w:tr>
      <w:tr>
        <w:trPr>
          <w:trHeight w:val="628"/>
        </w:trPr>
        <w:tc>
          <w:tcPr>
            <w:tcBorders>
              <w:top w:val="none" w:color="000000" w:sz="4"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5</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突发事件应急处置预案</w:t>
            </w: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461" w:type="dxa"/>
            <w:vAlign w:val="center"/>
            <w:textDirection w:val="lrTb"/>
            <w:noWrap w:val="false"/>
          </w:tcPr>
          <w:p>
            <w:pPr>
              <w:pStyle w:val="728"/>
              <w:spacing w:after="0" w:line="320" w:lineRule="exact"/>
              <w:rPr>
                <w:sz w:val="24"/>
                <w:szCs w:val="24"/>
                <w:highlight w:val="none"/>
              </w:rPr>
            </w:pPr>
            <w:r>
              <w:rPr>
                <w:sz w:val="24"/>
                <w:szCs w:val="24"/>
                <w:highlight w:val="none"/>
              </w:rPr>
              <w:t xml:space="preserve">（1）应具有专门应对突发事件且符合项目需求的专业人员、专业设备和应急处置预案。</w:t>
            </w:r>
            <w:r>
              <w:rPr>
                <w:sz w:val="24"/>
                <w:szCs w:val="24"/>
                <w:highlight w:val="none"/>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highlight w:val="none"/>
              </w:rPr>
            </w:pPr>
            <w:r>
              <w:rPr>
                <w:sz w:val="24"/>
                <w:szCs w:val="24"/>
                <w:highlight w:val="none"/>
              </w:rPr>
              <w:t xml:space="preserve">（2）预案内容全面，处置应对措施科学有效，可操作性强。</w:t>
            </w:r>
            <w:r>
              <w:rPr>
                <w:sz w:val="24"/>
                <w:szCs w:val="24"/>
                <w:highlight w:val="none"/>
              </w:rPr>
            </w:r>
            <w:r/>
          </w:p>
        </w:tc>
      </w:tr>
      <w:tr>
        <w:trPr>
          <w:trHeight w:val="388"/>
        </w:trPr>
        <w:tc>
          <w:tcPr>
            <w:tcBorders>
              <w:top w:val="none" w:color="000000" w:sz="4" w:space="0"/>
              <w:left w:val="single" w:color="000000" w:sz="8" w:space="0"/>
              <w:bottom w:val="single" w:color="000000" w:sz="8" w:space="0"/>
              <w:right w:val="single" w:color="000000" w:sz="8" w:space="0"/>
            </w:tcBorders>
            <w:tcW w:w="424"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6</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1113" w:type="dxa"/>
            <w:vAlign w:val="center"/>
            <w:vMerge w:val="restart"/>
            <w:textDirection w:val="lrTb"/>
            <w:noWrap w:val="false"/>
          </w:tcPr>
          <w:p>
            <w:pPr>
              <w:pStyle w:val="728"/>
              <w:jc w:val="center"/>
              <w:spacing w:after="0" w:line="320" w:lineRule="exact"/>
              <w:rPr>
                <w:sz w:val="24"/>
                <w:szCs w:val="24"/>
                <w:highlight w:val="none"/>
              </w:rPr>
            </w:pPr>
            <w:r>
              <w:rPr>
                <w:sz w:val="24"/>
                <w:szCs w:val="24"/>
                <w:highlight w:val="none"/>
              </w:rPr>
              <w:t xml:space="preserve">工作业绩</w:t>
            </w:r>
            <w:r>
              <w:rPr>
                <w:sz w:val="24"/>
                <w:szCs w:val="24"/>
                <w:highlight w:val="none"/>
              </w:rPr>
            </w:r>
            <w:r/>
          </w:p>
        </w:tc>
        <w:tc>
          <w:tcPr>
            <w:tcBorders>
              <w:top w:val="none" w:color="000000" w:sz="4" w:space="0"/>
              <w:left w:val="single" w:color="000000" w:sz="8" w:space="0"/>
              <w:bottom w:val="none" w:color="000000" w:sz="4" w:space="0"/>
              <w:right w:val="single" w:color="000000" w:sz="8" w:space="0"/>
            </w:tcBorders>
            <w:tcW w:w="3461" w:type="dxa"/>
            <w:vAlign w:val="center"/>
            <w:textDirection w:val="lrTb"/>
            <w:noWrap w:val="false"/>
          </w:tcPr>
          <w:p>
            <w:pPr>
              <w:pStyle w:val="728"/>
              <w:spacing w:after="0" w:line="320" w:lineRule="exact"/>
              <w:rPr>
                <w:sz w:val="24"/>
                <w:szCs w:val="24"/>
                <w:highlight w:val="none"/>
              </w:rPr>
            </w:pPr>
            <w:r>
              <w:rPr>
                <w:sz w:val="24"/>
                <w:szCs w:val="24"/>
                <w:highlight w:val="none"/>
              </w:rPr>
              <w:t xml:space="preserve">（1）承担相关产品质量安全抽样检验工作任务及类似项目情况，包括常规监督抽查任务、应急及专项任务。</w:t>
            </w:r>
            <w:r>
              <w:rPr>
                <w:sz w:val="24"/>
                <w:szCs w:val="24"/>
                <w:highlight w:val="none"/>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1113" w:type="dxa"/>
            <w:vAlign w:val="center"/>
            <w:vMerge w:val="continue"/>
            <w:textDirection w:val="lrTb"/>
            <w:noWrap w:val="false"/>
          </w:tcPr>
          <w:p>
            <w:pPr>
              <w:pStyle w:val="728"/>
              <w:jc w:val="center"/>
              <w:spacing w:after="0" w:line="320" w:lineRule="exact"/>
              <w:rPr>
                <w:sz w:val="24"/>
                <w:szCs w:val="24"/>
                <w:highlight w:val="none"/>
              </w:rPr>
            </w:pP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highlight w:val="none"/>
              </w:rPr>
            </w:pPr>
            <w:r>
              <w:rPr>
                <w:sz w:val="24"/>
                <w:szCs w:val="24"/>
                <w:highlight w:val="none"/>
              </w:rPr>
              <w:t xml:space="preserve">（2）工作业绩应能证明供应商的服务能力。</w:t>
            </w:r>
            <w:r>
              <w:rPr>
                <w:sz w:val="24"/>
                <w:szCs w:val="24"/>
                <w:highlight w:val="none"/>
              </w:rPr>
            </w:r>
            <w:r/>
          </w:p>
          <w:p>
            <w:pPr>
              <w:pStyle w:val="728"/>
              <w:spacing w:after="0" w:line="320" w:lineRule="exact"/>
              <w:rPr>
                <w:rFonts w:hint="eastAsia"/>
                <w:sz w:val="24"/>
                <w:szCs w:val="24"/>
                <w:highlight w:val="none"/>
              </w:rPr>
            </w:pPr>
            <w:r>
              <w:rPr>
                <w:rFonts w:hint="eastAsia"/>
                <w:sz w:val="24"/>
                <w:szCs w:val="24"/>
                <w:highlight w:val="none"/>
                <w:lang w:bidi="zh-CN"/>
              </w:rPr>
              <w:t xml:space="preserve">（3）从2023年1月1日起（以合同或合作协议签订时间为准）至投标截止之日止，投标人承担过</w:t>
            </w:r>
            <w:r>
              <w:rPr>
                <w:rFonts w:hint="eastAsia"/>
                <w:sz w:val="24"/>
                <w:szCs w:val="24"/>
                <w:highlight w:val="none"/>
              </w:rPr>
              <w:t xml:space="preserve">与本项目类似</w:t>
            </w:r>
            <w:r>
              <w:rPr>
                <w:rFonts w:hint="eastAsia"/>
                <w:sz w:val="24"/>
                <w:szCs w:val="24"/>
                <w:highlight w:val="none"/>
                <w:lang w:bidi="zh-CN"/>
              </w:rPr>
              <w:t xml:space="preserve">案例产品质量监督抽查</w:t>
            </w:r>
            <w:r>
              <w:rPr>
                <w:rFonts w:hint="eastAsia"/>
                <w:sz w:val="24"/>
                <w:szCs w:val="24"/>
                <w:highlight w:val="none"/>
              </w:rPr>
              <w:t xml:space="preserve">业绩。</w:t>
            </w:r>
            <w:r>
              <w:rPr>
                <w:rFonts w:hint="eastAsia"/>
                <w:sz w:val="24"/>
                <w:szCs w:val="24"/>
                <w:highlight w:val="none"/>
              </w:rPr>
            </w:r>
            <w:r/>
          </w:p>
        </w:tc>
      </w:tr>
      <w:tr>
        <w:trPr>
          <w:trHeight w:val="322"/>
        </w:trPr>
        <w:tc>
          <w:tcPr>
            <w:tcBorders>
              <w:top w:val="none" w:color="000000" w:sz="4"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7</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工作质量状况</w:t>
            </w:r>
            <w:r>
              <w:rPr>
                <w:sz w:val="24"/>
                <w:szCs w:val="24"/>
                <w:highlight w:val="none"/>
              </w:rPr>
            </w:r>
            <w:r/>
          </w:p>
        </w:tc>
        <w:tc>
          <w:tcPr>
            <w:tcBorders>
              <w:top w:val="none" w:color="000000" w:sz="4"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highlight w:val="none"/>
              </w:rPr>
            </w:pPr>
            <w:r>
              <w:rPr>
                <w:sz w:val="24"/>
                <w:szCs w:val="24"/>
                <w:highlight w:val="none"/>
              </w:rPr>
              <w:t xml:space="preserve">在承担产品质量安全抽检任务中，</w:t>
            </w:r>
            <w:r>
              <w:rPr>
                <w:rFonts w:hint="eastAsia"/>
                <w:sz w:val="24"/>
                <w:szCs w:val="24"/>
                <w:highlight w:val="none"/>
              </w:rPr>
              <w:t xml:space="preserve">未有</w:t>
            </w:r>
            <w:r>
              <w:rPr>
                <w:sz w:val="24"/>
                <w:szCs w:val="24"/>
                <w:highlight w:val="none"/>
              </w:rPr>
              <w:t xml:space="preserve">因工作质量问题被通报的情况。</w:t>
            </w:r>
            <w:r>
              <w:rPr>
                <w:sz w:val="24"/>
                <w:szCs w:val="24"/>
                <w:highlight w:val="none"/>
              </w:rPr>
            </w:r>
            <w:r/>
          </w:p>
        </w:tc>
      </w:tr>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rFonts w:hint="eastAsia"/>
                <w:sz w:val="24"/>
                <w:szCs w:val="24"/>
                <w:highlight w:val="none"/>
              </w:rPr>
            </w:pPr>
            <w:r>
              <w:rPr>
                <w:rFonts w:hint="eastAsia"/>
                <w:sz w:val="24"/>
                <w:szCs w:val="24"/>
                <w:highlight w:val="none"/>
              </w:rPr>
              <w:t xml:space="preserve">8</w:t>
            </w:r>
            <w:r>
              <w:rPr>
                <w:rFonts w:hint="eastAsia"/>
                <w:sz w:val="24"/>
                <w:szCs w:val="24"/>
                <w:highlight w:val="none"/>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产业行业</w:t>
            </w:r>
            <w:r>
              <w:rPr>
                <w:sz w:val="24"/>
                <w:szCs w:val="24"/>
                <w:highlight w:val="none"/>
              </w:rPr>
            </w:r>
            <w:r/>
          </w:p>
          <w:p>
            <w:pPr>
              <w:pStyle w:val="728"/>
              <w:jc w:val="center"/>
              <w:spacing w:after="0" w:line="320" w:lineRule="exact"/>
              <w:rPr>
                <w:sz w:val="24"/>
                <w:szCs w:val="24"/>
                <w:highlight w:val="none"/>
              </w:rPr>
            </w:pPr>
            <w:r>
              <w:rPr>
                <w:sz w:val="24"/>
                <w:szCs w:val="24"/>
                <w:highlight w:val="none"/>
              </w:rPr>
              <w:t xml:space="preserve">了解情况</w:t>
            </w:r>
            <w:r>
              <w:rPr>
                <w:sz w:val="24"/>
                <w:szCs w:val="24"/>
                <w:highlight w:val="none"/>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rFonts w:hint="eastAsia"/>
                <w:sz w:val="24"/>
                <w:szCs w:val="24"/>
                <w:highlight w:val="none"/>
              </w:rPr>
            </w:pPr>
            <w:r>
              <w:rPr>
                <w:sz w:val="24"/>
                <w:szCs w:val="24"/>
                <w:highlight w:val="none"/>
                <w:lang w:val="zh-CN"/>
              </w:rPr>
              <w:t xml:space="preserve">内容需包含产业分布状况、监测产品产业当前状态、专业市场现状、产品的质量现状、存在的风险点、应用前景和发展趋势</w:t>
            </w:r>
            <w:r>
              <w:rPr>
                <w:sz w:val="24"/>
                <w:szCs w:val="24"/>
                <w:highlight w:val="none"/>
              </w:rPr>
              <w:t xml:space="preserve">等</w:t>
            </w:r>
            <w:r>
              <w:rPr>
                <w:rFonts w:hint="eastAsia"/>
                <w:sz w:val="24"/>
                <w:szCs w:val="24"/>
                <w:highlight w:val="none"/>
              </w:rPr>
              <w:t xml:space="preserve">。</w:t>
            </w:r>
            <w:r>
              <w:rPr>
                <w:rFonts w:hint="eastAsia"/>
                <w:sz w:val="24"/>
                <w:szCs w:val="24"/>
                <w:highlight w:val="none"/>
              </w:rPr>
            </w:r>
            <w:r/>
          </w:p>
        </w:tc>
      </w:tr>
      <w:tr>
        <w:trPr>
          <w:trHeight w:val="322"/>
        </w:trPr>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728"/>
              <w:jc w:val="center"/>
              <w:spacing w:after="0" w:line="320" w:lineRule="exact"/>
              <w:rPr>
                <w:rFonts w:hint="eastAsia"/>
                <w:sz w:val="24"/>
                <w:szCs w:val="24"/>
                <w:highlight w:val="none"/>
              </w:rPr>
            </w:pPr>
            <w:r>
              <w:rPr>
                <w:rFonts w:hint="eastAsia"/>
                <w:sz w:val="24"/>
                <w:szCs w:val="24"/>
                <w:highlight w:val="none"/>
              </w:rPr>
              <w:t xml:space="preserve">9</w:t>
            </w:r>
            <w:r>
              <w:rPr>
                <w:rFonts w:hint="eastAsia"/>
                <w:sz w:val="24"/>
                <w:szCs w:val="24"/>
                <w:highlight w:val="none"/>
              </w:rPr>
            </w:r>
            <w:r/>
          </w:p>
        </w:tc>
        <w:tc>
          <w:tcPr>
            <w:tcBorders>
              <w:top w:val="single" w:color="000000" w:sz="8" w:space="0"/>
              <w:left w:val="single" w:color="000000" w:sz="8" w:space="0"/>
              <w:bottom w:val="single" w:color="000000" w:sz="8" w:space="0"/>
              <w:right w:val="single" w:color="000000" w:sz="8" w:space="0"/>
            </w:tcBorders>
            <w:tcW w:w="1113" w:type="dxa"/>
            <w:vAlign w:val="center"/>
            <w:textDirection w:val="lrTb"/>
            <w:noWrap w:val="false"/>
          </w:tcPr>
          <w:p>
            <w:pPr>
              <w:pStyle w:val="728"/>
              <w:jc w:val="center"/>
              <w:spacing w:after="0" w:line="320" w:lineRule="exact"/>
              <w:rPr>
                <w:rFonts w:hint="eastAsia"/>
                <w:sz w:val="24"/>
                <w:szCs w:val="24"/>
                <w:highlight w:val="none"/>
              </w:rPr>
            </w:pPr>
            <w:r>
              <w:rPr>
                <w:rFonts w:hint="eastAsia"/>
                <w:sz w:val="24"/>
                <w:szCs w:val="24"/>
                <w:highlight w:val="none"/>
                <w:lang w:val="zh-CN"/>
              </w:rPr>
              <w:t xml:space="preserve">仪器设备</w:t>
            </w:r>
            <w:r>
              <w:rPr>
                <w:rFonts w:hint="eastAsia"/>
                <w:sz w:val="24"/>
                <w:szCs w:val="24"/>
                <w:highlight w:val="none"/>
              </w:rPr>
              <w:t xml:space="preserve">配备</w:t>
            </w:r>
            <w:r>
              <w:rPr>
                <w:rFonts w:hint="eastAsia"/>
                <w:sz w:val="24"/>
                <w:szCs w:val="24"/>
                <w:highlight w:val="none"/>
              </w:rPr>
            </w:r>
            <w:r/>
          </w:p>
        </w:tc>
        <w:tc>
          <w:tcPr>
            <w:tcBorders>
              <w:top w:val="single" w:color="000000" w:sz="8" w:space="0"/>
              <w:left w:val="single" w:color="000000" w:sz="8" w:space="0"/>
              <w:bottom w:val="single" w:color="000000" w:sz="8" w:space="0"/>
              <w:right w:val="single" w:color="000000" w:sz="8" w:space="0"/>
            </w:tcBorders>
            <w:tcW w:w="3461" w:type="dxa"/>
            <w:vAlign w:val="center"/>
            <w:textDirection w:val="lrTb"/>
            <w:noWrap w:val="false"/>
          </w:tcPr>
          <w:p>
            <w:pPr>
              <w:pStyle w:val="728"/>
              <w:spacing w:after="0" w:line="320" w:lineRule="exact"/>
              <w:rPr>
                <w:sz w:val="24"/>
                <w:szCs w:val="24"/>
                <w:highlight w:val="none"/>
                <w:lang w:val="zh-CN"/>
              </w:rPr>
            </w:pPr>
            <w:r>
              <w:rPr>
                <w:rFonts w:hint="eastAsia"/>
                <w:sz w:val="24"/>
                <w:szCs w:val="24"/>
                <w:highlight w:val="none"/>
              </w:rPr>
              <w:t xml:space="preserve">供应商在服务期间</w:t>
            </w:r>
            <w:r>
              <w:rPr>
                <w:rFonts w:hint="eastAsia"/>
                <w:sz w:val="24"/>
                <w:szCs w:val="24"/>
                <w:highlight w:val="none"/>
                <w:lang w:bidi="zh-CN"/>
              </w:rPr>
              <w:t xml:space="preserve">投入的所有仪器设备在计量（校准）有效期内，覆盖所投采购包风险动态监测产品全部检验项目，精度适宜、数量充足，能够满足所投采购包产品所有检验项目的检测需要。</w:t>
            </w:r>
            <w:r>
              <w:rPr>
                <w:sz w:val="24"/>
                <w:szCs w:val="24"/>
                <w:highlight w:val="none"/>
                <w:lang w:val="zh-CN"/>
              </w:rPr>
            </w:r>
            <w:r/>
          </w:p>
        </w:tc>
      </w:tr>
    </w:tbl>
    <w:p>
      <w:pPr>
        <w:pStyle w:val="728"/>
        <w:ind w:firstLine="480"/>
        <w:jc w:val="both"/>
        <w:spacing w:after="0" w:line="560" w:lineRule="exact"/>
        <w:widowControl w:val="off"/>
        <w:rPr>
          <w:sz w:val="24"/>
          <w:szCs w:val="24"/>
          <w:highlight w:val="none"/>
        </w:rPr>
      </w:pPr>
      <w:r>
        <w:rPr>
          <w:sz w:val="24"/>
          <w:szCs w:val="24"/>
          <w:highlight w:val="none"/>
        </w:rPr>
        <w:t xml:space="preserve">4.2.5管理考核</w:t>
      </w:r>
      <w:r>
        <w:rPr>
          <w:sz w:val="24"/>
          <w:szCs w:val="24"/>
          <w:highlight w:val="none"/>
        </w:rPr>
      </w:r>
      <w:r/>
    </w:p>
    <w:p>
      <w:pPr>
        <w:pStyle w:val="728"/>
        <w:ind w:firstLine="480"/>
        <w:jc w:val="both"/>
        <w:spacing w:after="0" w:line="560" w:lineRule="exact"/>
        <w:widowControl w:val="off"/>
        <w:rPr>
          <w:sz w:val="24"/>
          <w:szCs w:val="24"/>
          <w:highlight w:val="none"/>
        </w:rPr>
      </w:pPr>
      <w:r>
        <w:rPr>
          <w:sz w:val="24"/>
          <w:szCs w:val="24"/>
          <w:highlight w:val="none"/>
        </w:rPr>
        <w:t xml:space="preserve">在服务周期内，供应商应确保其能力水平持续满足法律法规、标准、规范性文件和采购人的要求，并接受采购人组织的数据质量考核、日常考核和技术考核等。</w:t>
      </w:r>
      <w:r>
        <w:rPr>
          <w:sz w:val="24"/>
          <w:szCs w:val="24"/>
          <w:highlight w:val="none"/>
        </w:rPr>
      </w:r>
      <w:r/>
    </w:p>
    <w:p>
      <w:pPr>
        <w:pStyle w:val="728"/>
        <w:ind w:firstLine="480"/>
        <w:jc w:val="both"/>
        <w:spacing w:after="0" w:line="560" w:lineRule="exact"/>
        <w:widowControl w:val="off"/>
        <w:rPr>
          <w:sz w:val="24"/>
          <w:szCs w:val="24"/>
          <w:highlight w:val="none"/>
        </w:rPr>
      </w:pPr>
      <w:r>
        <w:rPr>
          <w:sz w:val="24"/>
          <w:szCs w:val="24"/>
          <w:highlight w:val="none"/>
        </w:rPr>
        <w:t xml:space="preserve">4.2.5.1 数据质量考核</w:t>
      </w:r>
      <w:r>
        <w:rPr>
          <w:sz w:val="24"/>
          <w:szCs w:val="24"/>
          <w:highlight w:val="none"/>
        </w:rPr>
      </w:r>
      <w:r/>
    </w:p>
    <w:p>
      <w:pPr>
        <w:pStyle w:val="728"/>
        <w:ind w:firstLine="480"/>
        <w:jc w:val="both"/>
        <w:spacing w:after="0" w:line="560" w:lineRule="exact"/>
        <w:widowControl w:val="off"/>
        <w:rPr>
          <w:sz w:val="24"/>
          <w:szCs w:val="24"/>
          <w:highlight w:val="none"/>
        </w:rPr>
      </w:pPr>
      <w:r>
        <w:rPr>
          <w:sz w:val="24"/>
          <w:szCs w:val="24"/>
          <w:highlight w:val="none"/>
        </w:rPr>
        <w:t xml:space="preserve">采购人对供应商报送的抽样检验数据的准确性、规范性、及时性等进行抽查。</w:t>
      </w:r>
      <w:r>
        <w:rPr>
          <w:sz w:val="24"/>
          <w:szCs w:val="24"/>
          <w:highlight w:val="none"/>
        </w:rPr>
      </w:r>
      <w:r/>
    </w:p>
    <w:p>
      <w:pPr>
        <w:pStyle w:val="728"/>
        <w:ind w:firstLine="480"/>
        <w:jc w:val="both"/>
        <w:spacing w:after="0" w:line="560" w:lineRule="exact"/>
        <w:widowControl w:val="off"/>
        <w:rPr>
          <w:sz w:val="24"/>
          <w:szCs w:val="24"/>
          <w:highlight w:val="none"/>
        </w:rPr>
      </w:pPr>
      <w:r>
        <w:rPr>
          <w:sz w:val="24"/>
          <w:szCs w:val="24"/>
          <w:highlight w:val="none"/>
        </w:rPr>
        <w:t xml:space="preserve">4.2.5.2 日常考核</w:t>
      </w:r>
      <w:r>
        <w:rPr>
          <w:sz w:val="24"/>
          <w:szCs w:val="24"/>
          <w:highlight w:val="none"/>
        </w:rPr>
      </w:r>
      <w:r/>
    </w:p>
    <w:p>
      <w:pPr>
        <w:pStyle w:val="728"/>
        <w:ind w:firstLine="480"/>
        <w:jc w:val="both"/>
        <w:spacing w:after="0" w:line="560" w:lineRule="exact"/>
        <w:widowControl w:val="off"/>
        <w:rPr>
          <w:sz w:val="24"/>
          <w:szCs w:val="24"/>
          <w:highlight w:val="none"/>
        </w:rPr>
      </w:pPr>
      <w:r>
        <w:rPr>
          <w:sz w:val="24"/>
          <w:szCs w:val="24"/>
          <w:highlight w:val="none"/>
        </w:rPr>
        <w:t xml:space="preserve">采购人对供应商在任务执行过程中开展的管理考核，包括任务完成时效、均衡推进、问题发现率、抽样方案和分析报告质量、重大问题及时报告、应急服务响应等相关情况。</w:t>
      </w:r>
      <w:r>
        <w:rPr>
          <w:sz w:val="24"/>
          <w:szCs w:val="24"/>
          <w:highlight w:val="none"/>
        </w:rPr>
      </w:r>
      <w:r/>
    </w:p>
    <w:p>
      <w:pPr>
        <w:pStyle w:val="728"/>
        <w:ind w:firstLine="480"/>
        <w:jc w:val="both"/>
        <w:spacing w:after="0" w:line="560" w:lineRule="exact"/>
        <w:widowControl w:val="off"/>
        <w:rPr>
          <w:sz w:val="24"/>
          <w:szCs w:val="24"/>
          <w:highlight w:val="none"/>
        </w:rPr>
      </w:pPr>
      <w:r>
        <w:rPr>
          <w:sz w:val="24"/>
          <w:szCs w:val="24"/>
          <w:highlight w:val="none"/>
        </w:rPr>
        <w:t xml:space="preserve">4.2.5.3 技术考核</w:t>
      </w:r>
      <w:r>
        <w:rPr>
          <w:sz w:val="24"/>
          <w:szCs w:val="24"/>
          <w:highlight w:val="none"/>
        </w:rPr>
      </w:r>
      <w:r/>
    </w:p>
    <w:p>
      <w:pPr>
        <w:pStyle w:val="728"/>
        <w:ind w:firstLine="480"/>
        <w:jc w:val="both"/>
        <w:spacing w:after="0" w:line="560" w:lineRule="exact"/>
        <w:widowControl w:val="off"/>
        <w:rPr>
          <w:sz w:val="24"/>
          <w:szCs w:val="24"/>
          <w:highlight w:val="none"/>
        </w:rPr>
      </w:pPr>
      <w:r>
        <w:rPr>
          <w:sz w:val="24"/>
          <w:szCs w:val="24"/>
          <w:highlight w:val="none"/>
        </w:rPr>
        <w:t xml:space="preserve">采购人对供应商在任务执行过程中开展的专项考核，包括飞行检查、报告抽查等。</w:t>
      </w:r>
      <w:r>
        <w:rPr>
          <w:sz w:val="24"/>
          <w:szCs w:val="24"/>
          <w:highlight w:val="none"/>
        </w:rPr>
      </w:r>
      <w:r/>
    </w:p>
    <w:p>
      <w:pPr>
        <w:pStyle w:val="728"/>
        <w:jc w:val="both"/>
        <w:spacing w:after="0" w:line="360" w:lineRule="auto"/>
        <w:widowControl w:val="off"/>
        <w:rPr>
          <w:rFonts w:hint="eastAsia" w:ascii="微软雅黑" w:hAnsi="微软雅黑" w:eastAsia="微软雅黑" w:cs="微软雅黑"/>
          <w:b/>
          <w:sz w:val="24"/>
          <w:szCs w:val="24"/>
          <w:highlight w:val="none"/>
        </w:rPr>
      </w:pPr>
      <w:r/>
      <w:bookmarkEnd w:id="87"/>
      <w:r/>
      <w:bookmarkEnd w:id="88"/>
      <w:r>
        <w:rPr>
          <w:rFonts w:hint="eastAsia" w:ascii="微软雅黑" w:hAnsi="微软雅黑" w:eastAsia="微软雅黑" w:cs="微软雅黑"/>
          <w:b/>
          <w:sz w:val="24"/>
          <w:szCs w:val="24"/>
          <w:highlight w:val="none"/>
        </w:rPr>
        <w:t xml:space="preserve">五 、商务要求</w:t>
      </w:r>
      <w:r>
        <w:rPr>
          <w:rFonts w:hint="eastAsia" w:ascii="微软雅黑" w:hAnsi="微软雅黑" w:eastAsia="微软雅黑" w:cs="微软雅黑"/>
          <w:b/>
          <w:sz w:val="24"/>
          <w:szCs w:val="24"/>
          <w:highlight w:val="none"/>
        </w:rPr>
      </w:r>
      <w:r/>
    </w:p>
    <w:p>
      <w:pPr>
        <w:pStyle w:val="728"/>
        <w:ind w:firstLine="480"/>
        <w:jc w:val="both"/>
        <w:spacing w:after="0" w:line="560" w:lineRule="exact"/>
        <w:widowControl w:val="off"/>
        <w:rPr>
          <w:sz w:val="24"/>
          <w:szCs w:val="24"/>
          <w:highlight w:val="none"/>
        </w:rPr>
      </w:pPr>
      <w:r>
        <w:rPr>
          <w:rFonts w:hint="eastAsia"/>
          <w:sz w:val="24"/>
          <w:szCs w:val="24"/>
          <w:highlight w:val="none"/>
        </w:rPr>
        <w:t xml:space="preserve">5</w:t>
      </w:r>
      <w:r>
        <w:rPr>
          <w:sz w:val="24"/>
          <w:szCs w:val="24"/>
          <w:highlight w:val="none"/>
        </w:rPr>
        <w:t xml:space="preserve">.1 服务期限：自合同签订之日起至2026年11月30日完成。</w:t>
      </w:r>
      <w:r>
        <w:rPr>
          <w:sz w:val="24"/>
          <w:szCs w:val="24"/>
          <w:highlight w:val="none"/>
        </w:rPr>
      </w:r>
      <w:r/>
    </w:p>
    <w:p>
      <w:pPr>
        <w:pStyle w:val="728"/>
        <w:ind w:firstLine="480"/>
        <w:jc w:val="both"/>
        <w:spacing w:after="0" w:line="560" w:lineRule="exact"/>
        <w:widowControl w:val="off"/>
        <w:rPr>
          <w:rFonts w:hint="eastAsia"/>
          <w:sz w:val="24"/>
          <w:szCs w:val="24"/>
          <w:highlight w:val="none"/>
        </w:rPr>
      </w:pPr>
      <w:r>
        <w:rPr>
          <w:rFonts w:hint="eastAsia"/>
          <w:sz w:val="24"/>
          <w:szCs w:val="24"/>
          <w:highlight w:val="none"/>
        </w:rPr>
        <w:t xml:space="preserve">5</w:t>
      </w:r>
      <w:r>
        <w:rPr>
          <w:sz w:val="24"/>
          <w:szCs w:val="24"/>
          <w:highlight w:val="none"/>
        </w:rPr>
        <w:t xml:space="preserve">.2 服务范围：</w:t>
      </w:r>
      <w:r>
        <w:rPr>
          <w:rFonts w:hint="eastAsia"/>
          <w:sz w:val="24"/>
          <w:szCs w:val="24"/>
          <w:highlight w:val="none"/>
        </w:rPr>
        <w:t xml:space="preserve">江苏省</w:t>
      </w:r>
      <w:r>
        <w:rPr>
          <w:rFonts w:hint="eastAsia"/>
          <w:sz w:val="24"/>
          <w:szCs w:val="24"/>
          <w:highlight w:val="none"/>
        </w:rPr>
      </w:r>
      <w:r/>
    </w:p>
    <w:p>
      <w:pPr>
        <w:pStyle w:val="728"/>
        <w:ind w:firstLine="480"/>
        <w:jc w:val="both"/>
        <w:spacing w:after="0" w:line="560" w:lineRule="exact"/>
        <w:widowControl w:val="off"/>
        <w:rPr>
          <w:sz w:val="24"/>
          <w:szCs w:val="24"/>
          <w:highlight w:val="none"/>
        </w:rPr>
      </w:pPr>
      <w:r>
        <w:rPr>
          <w:rFonts w:hint="eastAsia"/>
          <w:sz w:val="24"/>
          <w:szCs w:val="24"/>
          <w:highlight w:val="none"/>
        </w:rPr>
        <w:t xml:space="preserve">5</w:t>
      </w:r>
      <w:r>
        <w:rPr>
          <w:sz w:val="24"/>
          <w:szCs w:val="24"/>
          <w:highlight w:val="none"/>
        </w:rPr>
        <w:t xml:space="preserve">.3 付款进度和方式</w:t>
      </w:r>
      <w:r>
        <w:rPr>
          <w:sz w:val="24"/>
          <w:szCs w:val="24"/>
          <w:highlight w:val="none"/>
        </w:rPr>
      </w:r>
      <w:r/>
    </w:p>
    <w:p>
      <w:pPr>
        <w:pStyle w:val="728"/>
        <w:ind w:firstLine="480"/>
        <w:jc w:val="both"/>
        <w:spacing w:after="0" w:line="560" w:lineRule="exact"/>
        <w:widowControl w:val="off"/>
        <w:rPr>
          <w:sz w:val="24"/>
          <w:szCs w:val="24"/>
          <w:highlight w:val="none"/>
        </w:rPr>
      </w:pPr>
      <w:r>
        <w:rPr>
          <w:rFonts w:hint="eastAsia"/>
          <w:sz w:val="24"/>
          <w:szCs w:val="24"/>
          <w:highlight w:val="none"/>
        </w:rPr>
        <w:t xml:space="preserve">5</w:t>
      </w:r>
      <w:r>
        <w:rPr>
          <w:sz w:val="24"/>
          <w:szCs w:val="24"/>
          <w:highlight w:val="none"/>
        </w:rPr>
        <w:t xml:space="preserve">.3.1付款进度和方式：合同签订后30个工作日内，甲方向乙方预付服务费用的</w:t>
      </w:r>
      <w:r>
        <w:rPr>
          <w:rFonts w:hint="eastAsia"/>
          <w:sz w:val="24"/>
          <w:szCs w:val="24"/>
          <w:highlight w:val="none"/>
        </w:rPr>
        <w:t xml:space="preserve">5</w:t>
      </w:r>
      <w:r>
        <w:rPr>
          <w:sz w:val="24"/>
          <w:szCs w:val="24"/>
          <w:highlight w:val="none"/>
        </w:rPr>
        <w:t xml:space="preserve">0%；甲方确认乙方按合同约定完成任务，验收合格后30个工作日内，向乙方支付剩余服务费用（剩余服务费用=中标单价×实际抽检批次数-预付款）。</w:t>
      </w:r>
      <w:r>
        <w:rPr>
          <w:sz w:val="24"/>
          <w:szCs w:val="24"/>
          <w:highlight w:val="none"/>
        </w:rPr>
      </w:r>
      <w:r/>
    </w:p>
    <w:p>
      <w:pPr>
        <w:pStyle w:val="728"/>
        <w:ind w:firstLine="480"/>
        <w:jc w:val="both"/>
        <w:spacing w:after="0" w:line="560" w:lineRule="exact"/>
        <w:widowControl w:val="off"/>
        <w:rPr>
          <w:sz w:val="24"/>
          <w:szCs w:val="24"/>
          <w:highlight w:val="none"/>
        </w:rPr>
      </w:pPr>
      <w:r>
        <w:rPr>
          <w:rFonts w:hint="eastAsia"/>
          <w:sz w:val="24"/>
          <w:szCs w:val="24"/>
          <w:highlight w:val="none"/>
        </w:rPr>
        <w:t xml:space="preserve">5.</w:t>
      </w:r>
      <w:r>
        <w:rPr>
          <w:sz w:val="24"/>
          <w:szCs w:val="24"/>
          <w:highlight w:val="none"/>
        </w:rPr>
        <w:t xml:space="preserve">3.2 本服务经费包括购样费、人员费用(交通费、住宿费、劳务费)、检测费、报告文本费（检测报告、质量分析报告等的编制打印）、相关文书的邮寄费、样品处置费、税金等各项全部费用。除双方另有约定，乙方不得再以其他任何理由向甲方主张其他费用。</w:t>
      </w:r>
      <w:r>
        <w:rPr>
          <w:sz w:val="24"/>
          <w:szCs w:val="24"/>
          <w:highlight w:val="none"/>
        </w:rPr>
      </w:r>
      <w:r/>
    </w:p>
    <w:p>
      <w:pPr>
        <w:pStyle w:val="728"/>
        <w:ind w:firstLine="480"/>
        <w:jc w:val="both"/>
        <w:spacing w:after="0" w:line="560" w:lineRule="exact"/>
        <w:widowControl w:val="off"/>
        <w:rPr>
          <w:sz w:val="24"/>
          <w:szCs w:val="24"/>
          <w:highlight w:val="none"/>
        </w:rPr>
      </w:pPr>
      <w:r>
        <w:rPr>
          <w:rFonts w:hint="eastAsia"/>
          <w:sz w:val="24"/>
          <w:szCs w:val="24"/>
          <w:highlight w:val="none"/>
        </w:rPr>
        <w:t xml:space="preserve">5</w:t>
      </w:r>
      <w:r>
        <w:rPr>
          <w:sz w:val="24"/>
          <w:szCs w:val="24"/>
          <w:highlight w:val="none"/>
        </w:rPr>
        <w:t xml:space="preserve">.4 履约验收</w:t>
      </w:r>
      <w:r>
        <w:rPr>
          <w:sz w:val="24"/>
          <w:szCs w:val="24"/>
          <w:highlight w:val="none"/>
        </w:rPr>
      </w:r>
      <w:r/>
    </w:p>
    <w:p>
      <w:pPr>
        <w:pStyle w:val="728"/>
        <w:ind w:firstLine="480"/>
        <w:jc w:val="both"/>
        <w:spacing w:after="0" w:line="560" w:lineRule="exact"/>
        <w:widowControl w:val="off"/>
        <w:rPr>
          <w:sz w:val="24"/>
          <w:szCs w:val="24"/>
          <w:highlight w:val="none"/>
        </w:rPr>
      </w:pPr>
      <w:r>
        <w:rPr>
          <w:rFonts w:hint="eastAsia"/>
          <w:sz w:val="24"/>
          <w:szCs w:val="24"/>
          <w:highlight w:val="none"/>
        </w:rPr>
        <w:t xml:space="preserve">5</w:t>
      </w:r>
      <w:r>
        <w:rPr>
          <w:sz w:val="24"/>
          <w:szCs w:val="24"/>
          <w:highlight w:val="none"/>
        </w:rPr>
        <w:t xml:space="preserve">.4.1验收程序</w:t>
      </w:r>
      <w:r>
        <w:rPr>
          <w:sz w:val="24"/>
          <w:szCs w:val="24"/>
          <w:highlight w:val="none"/>
        </w:rPr>
      </w:r>
      <w:r/>
    </w:p>
    <w:p>
      <w:pPr>
        <w:pStyle w:val="728"/>
        <w:ind w:firstLine="480"/>
        <w:jc w:val="both"/>
        <w:spacing w:after="0" w:line="560" w:lineRule="exact"/>
        <w:widowControl w:val="off"/>
        <w:rPr>
          <w:sz w:val="24"/>
          <w:szCs w:val="24"/>
          <w:highlight w:val="none"/>
        </w:rPr>
      </w:pPr>
      <w:r>
        <w:rPr>
          <w:sz w:val="24"/>
          <w:szCs w:val="24"/>
          <w:highlight w:val="none"/>
        </w:rPr>
        <w:t xml:space="preserve">原则上按照通知验收、机构自查、验收评审、整改复查的流程组织开展验收工作。</w:t>
      </w:r>
      <w:r>
        <w:rPr>
          <w:sz w:val="24"/>
          <w:szCs w:val="24"/>
          <w:highlight w:val="none"/>
        </w:rPr>
      </w:r>
      <w:r/>
    </w:p>
    <w:p>
      <w:pPr>
        <w:pStyle w:val="728"/>
        <w:ind w:firstLine="480"/>
        <w:jc w:val="both"/>
        <w:spacing w:after="0" w:line="560" w:lineRule="exact"/>
        <w:widowControl w:val="off"/>
        <w:rPr>
          <w:sz w:val="24"/>
          <w:szCs w:val="24"/>
          <w:highlight w:val="none"/>
        </w:rPr>
      </w:pPr>
      <w:r>
        <w:rPr>
          <w:rFonts w:hint="eastAsia"/>
          <w:sz w:val="24"/>
          <w:szCs w:val="24"/>
          <w:highlight w:val="none"/>
        </w:rPr>
        <w:t xml:space="preserve">5</w:t>
      </w:r>
      <w:r>
        <w:rPr>
          <w:sz w:val="24"/>
          <w:szCs w:val="24"/>
          <w:highlight w:val="none"/>
        </w:rPr>
        <w:t xml:space="preserve">.4.2验收内容</w:t>
      </w:r>
      <w:r>
        <w:rPr>
          <w:sz w:val="24"/>
          <w:szCs w:val="24"/>
          <w:highlight w:val="none"/>
        </w:rPr>
      </w:r>
      <w:r/>
    </w:p>
    <w:p>
      <w:pPr>
        <w:pStyle w:val="728"/>
        <w:ind w:firstLine="480"/>
        <w:jc w:val="both"/>
        <w:spacing w:after="0" w:line="560" w:lineRule="exact"/>
        <w:widowControl w:val="off"/>
        <w:rPr>
          <w:sz w:val="24"/>
          <w:szCs w:val="24"/>
          <w:highlight w:val="none"/>
        </w:rPr>
      </w:pPr>
      <w:r>
        <w:rPr>
          <w:sz w:val="24"/>
          <w:szCs w:val="24"/>
          <w:highlight w:val="none"/>
        </w:rPr>
        <w:t xml:space="preserve">验收内容包括：计划执行情况、任务完成质量、分析报告质量、机构综合考核情况以及合同规定的其他履约情况等。履约验收的内容和标准如下：</w:t>
      </w:r>
      <w:r>
        <w:rPr>
          <w:sz w:val="24"/>
          <w:szCs w:val="24"/>
          <w:highlight w:val="none"/>
        </w:rPr>
      </w:r>
      <w:r/>
    </w:p>
    <w:p>
      <w:pPr>
        <w:pStyle w:val="728"/>
        <w:jc w:val="center"/>
        <w:spacing w:after="0" w:line="560" w:lineRule="exact"/>
        <w:rPr>
          <w:sz w:val="24"/>
          <w:szCs w:val="24"/>
          <w:highlight w:val="none"/>
        </w:rPr>
      </w:pPr>
      <w:r>
        <w:rPr>
          <w:sz w:val="24"/>
          <w:szCs w:val="24"/>
          <w:highlight w:val="none"/>
        </w:rPr>
        <w:t xml:space="preserve">表5 履约验收项目表</w:t>
      </w:r>
      <w:r>
        <w:rPr>
          <w:sz w:val="24"/>
          <w:szCs w:val="24"/>
          <w:highlight w:val="none"/>
        </w:rPr>
      </w:r>
      <w:r/>
    </w:p>
    <w:tbl>
      <w:tblPr>
        <w:tblW w:w="89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300"/>
        <w:gridCol w:w="4510"/>
        <w:gridCol w:w="1185"/>
      </w:tblGrid>
      <w:tr>
        <w:trPr>
          <w:trHeight w:val="513"/>
        </w:trPr>
        <w:tc>
          <w:tcPr>
            <w:tcW w:w="932" w:type="dxa"/>
            <w:vAlign w:val="center"/>
            <w:textDirection w:val="lrTb"/>
            <w:noWrap w:val="false"/>
          </w:tcPr>
          <w:p>
            <w:pPr>
              <w:pStyle w:val="728"/>
              <w:jc w:val="center"/>
              <w:spacing w:after="0" w:line="320" w:lineRule="exact"/>
              <w:widowControl w:val="off"/>
              <w:rPr>
                <w:sz w:val="24"/>
                <w:szCs w:val="24"/>
                <w:highlight w:val="none"/>
              </w:rPr>
            </w:pPr>
            <w:r>
              <w:rPr>
                <w:sz w:val="24"/>
                <w:szCs w:val="24"/>
                <w:highlight w:val="none"/>
              </w:rPr>
              <w:t xml:space="preserve">序号</w:t>
            </w:r>
            <w:r>
              <w:rPr>
                <w:sz w:val="24"/>
                <w:szCs w:val="24"/>
                <w:highlight w:val="none"/>
              </w:rPr>
            </w:r>
            <w:r/>
          </w:p>
        </w:tc>
        <w:tc>
          <w:tcPr>
            <w:tcW w:w="2300" w:type="dxa"/>
            <w:vAlign w:val="center"/>
            <w:textDirection w:val="lrTb"/>
            <w:noWrap w:val="false"/>
          </w:tcPr>
          <w:p>
            <w:pPr>
              <w:pStyle w:val="728"/>
              <w:jc w:val="center"/>
              <w:spacing w:after="0" w:line="320" w:lineRule="exact"/>
              <w:widowControl w:val="off"/>
              <w:rPr>
                <w:sz w:val="24"/>
                <w:szCs w:val="24"/>
                <w:highlight w:val="none"/>
              </w:rPr>
            </w:pPr>
            <w:r>
              <w:rPr>
                <w:sz w:val="24"/>
                <w:szCs w:val="24"/>
                <w:highlight w:val="none"/>
              </w:rPr>
              <w:t xml:space="preserve">验收内容</w:t>
            </w:r>
            <w:r>
              <w:rPr>
                <w:sz w:val="24"/>
                <w:szCs w:val="24"/>
                <w:highlight w:val="none"/>
              </w:rPr>
            </w:r>
            <w:r/>
          </w:p>
        </w:tc>
        <w:tc>
          <w:tcPr>
            <w:tcW w:w="4510" w:type="dxa"/>
            <w:vAlign w:val="center"/>
            <w:textDirection w:val="lrTb"/>
            <w:noWrap w:val="false"/>
          </w:tcPr>
          <w:p>
            <w:pPr>
              <w:pStyle w:val="728"/>
              <w:jc w:val="center"/>
              <w:spacing w:after="0" w:line="320" w:lineRule="exact"/>
              <w:widowControl w:val="off"/>
              <w:rPr>
                <w:sz w:val="24"/>
                <w:szCs w:val="24"/>
                <w:highlight w:val="none"/>
              </w:rPr>
            </w:pPr>
            <w:r>
              <w:rPr>
                <w:sz w:val="24"/>
                <w:szCs w:val="24"/>
                <w:highlight w:val="none"/>
              </w:rPr>
              <w:t xml:space="preserve">验收标准</w:t>
            </w:r>
            <w:r>
              <w:rPr>
                <w:sz w:val="24"/>
                <w:szCs w:val="24"/>
                <w:highlight w:val="none"/>
              </w:rPr>
            </w:r>
            <w:r/>
          </w:p>
        </w:tc>
        <w:tc>
          <w:tcPr>
            <w:tcW w:w="1185" w:type="dxa"/>
            <w:vAlign w:val="center"/>
            <w:textDirection w:val="lrTb"/>
            <w:noWrap w:val="false"/>
          </w:tcPr>
          <w:p>
            <w:pPr>
              <w:pStyle w:val="728"/>
              <w:jc w:val="center"/>
              <w:spacing w:after="0" w:line="320" w:lineRule="exact"/>
              <w:widowControl w:val="off"/>
              <w:rPr>
                <w:sz w:val="24"/>
                <w:szCs w:val="24"/>
                <w:highlight w:val="none"/>
              </w:rPr>
            </w:pPr>
            <w:r>
              <w:rPr>
                <w:sz w:val="24"/>
                <w:szCs w:val="24"/>
                <w:highlight w:val="none"/>
              </w:rPr>
              <w:t xml:space="preserve">证明材料</w:t>
            </w:r>
            <w:r>
              <w:rPr>
                <w:sz w:val="24"/>
                <w:szCs w:val="24"/>
                <w:highlight w:val="none"/>
              </w:rPr>
            </w:r>
            <w:r/>
          </w:p>
        </w:tc>
      </w:tr>
      <w:tr>
        <w:trPr>
          <w:trHeight w:val="443"/>
        </w:trPr>
        <w:tc>
          <w:tcPr>
            <w:tcW w:w="932"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1</w:t>
            </w:r>
            <w:r>
              <w:rPr>
                <w:sz w:val="24"/>
                <w:szCs w:val="24"/>
                <w:highlight w:val="none"/>
              </w:rPr>
            </w:r>
            <w:r/>
          </w:p>
        </w:tc>
        <w:tc>
          <w:tcPr>
            <w:tcW w:w="2300"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计划执行情况</w:t>
            </w:r>
            <w:r>
              <w:rPr>
                <w:sz w:val="24"/>
                <w:szCs w:val="24"/>
                <w:highlight w:val="none"/>
              </w:rPr>
            </w:r>
            <w:r/>
          </w:p>
        </w:tc>
        <w:tc>
          <w:tcPr>
            <w:tcW w:w="4510" w:type="dxa"/>
            <w:vAlign w:val="center"/>
            <w:textDirection w:val="lrTb"/>
            <w:noWrap w:val="false"/>
          </w:tcPr>
          <w:p>
            <w:pPr>
              <w:pStyle w:val="728"/>
              <w:spacing w:after="0" w:line="320" w:lineRule="exact"/>
              <w:rPr>
                <w:sz w:val="24"/>
                <w:szCs w:val="24"/>
                <w:highlight w:val="none"/>
              </w:rPr>
            </w:pPr>
            <w:r>
              <w:rPr>
                <w:sz w:val="24"/>
                <w:szCs w:val="24"/>
                <w:highlight w:val="none"/>
              </w:rPr>
              <w:t xml:space="preserve">抽查品种、批次、抽样区域、场所等符合采购人的要求；抽查批次数是否达到合同约定批次的95%以上。 </w:t>
            </w:r>
            <w:r>
              <w:rPr>
                <w:sz w:val="24"/>
                <w:szCs w:val="24"/>
                <w:highlight w:val="none"/>
              </w:rPr>
            </w:r>
            <w:r/>
          </w:p>
        </w:tc>
        <w:tc>
          <w:tcPr>
            <w:tcW w:w="1185" w:type="dxa"/>
            <w:vAlign w:val="center"/>
            <w:textDirection w:val="lrTb"/>
            <w:noWrap w:val="false"/>
          </w:tcPr>
          <w:p>
            <w:pPr>
              <w:pStyle w:val="728"/>
              <w:jc w:val="center"/>
              <w:spacing w:after="0" w:line="320" w:lineRule="exact"/>
              <w:rPr>
                <w:sz w:val="24"/>
                <w:szCs w:val="24"/>
                <w:highlight w:val="none"/>
              </w:rPr>
            </w:pPr>
            <w:r>
              <w:rPr>
                <w:sz w:val="24"/>
                <w:szCs w:val="24"/>
                <w:highlight w:val="none"/>
              </w:rPr>
            </w:r>
            <w:r/>
          </w:p>
        </w:tc>
      </w:tr>
      <w:tr>
        <w:trPr>
          <w:trHeight w:val="756"/>
        </w:trPr>
        <w:tc>
          <w:tcPr>
            <w:tcW w:w="932"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2</w:t>
            </w:r>
            <w:r>
              <w:rPr>
                <w:sz w:val="24"/>
                <w:szCs w:val="24"/>
                <w:highlight w:val="none"/>
              </w:rPr>
            </w:r>
            <w:r/>
          </w:p>
        </w:tc>
        <w:tc>
          <w:tcPr>
            <w:tcW w:w="2300"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任务完成时限</w:t>
            </w:r>
            <w:r>
              <w:rPr>
                <w:sz w:val="24"/>
                <w:szCs w:val="24"/>
                <w:highlight w:val="none"/>
              </w:rPr>
            </w:r>
            <w:r/>
          </w:p>
        </w:tc>
        <w:tc>
          <w:tcPr>
            <w:tcW w:w="4510" w:type="dxa"/>
            <w:vAlign w:val="center"/>
            <w:textDirection w:val="lrTb"/>
            <w:noWrap w:val="false"/>
          </w:tcPr>
          <w:p>
            <w:pPr>
              <w:pStyle w:val="728"/>
              <w:spacing w:after="0" w:line="320" w:lineRule="exact"/>
              <w:rPr>
                <w:sz w:val="24"/>
                <w:szCs w:val="24"/>
                <w:highlight w:val="none"/>
              </w:rPr>
            </w:pPr>
            <w:r>
              <w:rPr>
                <w:sz w:val="24"/>
                <w:szCs w:val="24"/>
                <w:highlight w:val="none"/>
              </w:rPr>
              <w:t xml:space="preserve">是否及时完成，抽样信息、检验数据、检验检测报告、质量分析报告是否及时报送。</w:t>
            </w:r>
            <w:r>
              <w:rPr>
                <w:sz w:val="24"/>
                <w:szCs w:val="24"/>
                <w:highlight w:val="none"/>
              </w:rPr>
            </w:r>
            <w:r/>
          </w:p>
        </w:tc>
        <w:tc>
          <w:tcPr>
            <w:tcW w:w="1185" w:type="dxa"/>
            <w:vAlign w:val="center"/>
            <w:textDirection w:val="lrTb"/>
            <w:noWrap w:val="false"/>
          </w:tcPr>
          <w:p>
            <w:pPr>
              <w:pStyle w:val="728"/>
              <w:jc w:val="center"/>
              <w:spacing w:after="0" w:line="320" w:lineRule="exact"/>
              <w:rPr>
                <w:sz w:val="24"/>
                <w:szCs w:val="24"/>
                <w:highlight w:val="none"/>
              </w:rPr>
            </w:pPr>
            <w:r>
              <w:rPr>
                <w:sz w:val="24"/>
                <w:szCs w:val="24"/>
                <w:highlight w:val="none"/>
              </w:rPr>
            </w:r>
            <w:r/>
          </w:p>
        </w:tc>
      </w:tr>
      <w:tr>
        <w:trPr>
          <w:trHeight w:val="1392"/>
        </w:trPr>
        <w:tc>
          <w:tcPr>
            <w:tcW w:w="932" w:type="dxa"/>
            <w:vAlign w:val="center"/>
            <w:textDirection w:val="lrTb"/>
            <w:noWrap w:val="false"/>
          </w:tcPr>
          <w:p>
            <w:pPr>
              <w:pStyle w:val="728"/>
              <w:jc w:val="center"/>
              <w:spacing w:after="0" w:line="320" w:lineRule="exact"/>
              <w:rPr>
                <w:rFonts w:hint="eastAsia"/>
                <w:sz w:val="24"/>
                <w:szCs w:val="24"/>
                <w:highlight w:val="none"/>
              </w:rPr>
            </w:pPr>
            <w:r>
              <w:rPr>
                <w:rFonts w:hint="eastAsia"/>
                <w:sz w:val="24"/>
                <w:szCs w:val="24"/>
                <w:highlight w:val="none"/>
              </w:rPr>
              <w:t xml:space="preserve">3</w:t>
            </w:r>
            <w:r>
              <w:rPr>
                <w:rFonts w:hint="eastAsia"/>
                <w:sz w:val="24"/>
                <w:szCs w:val="24"/>
                <w:highlight w:val="none"/>
              </w:rPr>
            </w:r>
            <w:r/>
          </w:p>
        </w:tc>
        <w:tc>
          <w:tcPr>
            <w:tcW w:w="2300"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任务完成质量</w:t>
            </w:r>
            <w:r>
              <w:rPr>
                <w:sz w:val="24"/>
                <w:szCs w:val="24"/>
                <w:highlight w:val="none"/>
              </w:rPr>
            </w:r>
            <w:r/>
          </w:p>
        </w:tc>
        <w:tc>
          <w:tcPr>
            <w:tcW w:w="4510" w:type="dxa"/>
            <w:vAlign w:val="center"/>
            <w:textDirection w:val="lrTb"/>
            <w:noWrap w:val="false"/>
          </w:tcPr>
          <w:p>
            <w:pPr>
              <w:pStyle w:val="728"/>
              <w:spacing w:after="0" w:line="320" w:lineRule="exact"/>
              <w:rPr>
                <w:sz w:val="24"/>
                <w:szCs w:val="24"/>
                <w:highlight w:val="none"/>
              </w:rPr>
            </w:pPr>
            <w:r>
              <w:rPr>
                <w:sz w:val="24"/>
                <w:szCs w:val="24"/>
                <w:highlight w:val="none"/>
              </w:rPr>
              <w:t xml:space="preserve">抽样信息.检验数据的准确性、规范性等相关法律法规要求。</w:t>
            </w:r>
            <w:r>
              <w:rPr>
                <w:sz w:val="24"/>
                <w:szCs w:val="24"/>
                <w:highlight w:val="none"/>
              </w:rPr>
            </w:r>
            <w:r/>
          </w:p>
        </w:tc>
        <w:tc>
          <w:tcPr>
            <w:tcW w:w="1185" w:type="dxa"/>
            <w:vAlign w:val="center"/>
            <w:textDirection w:val="lrTb"/>
            <w:noWrap w:val="false"/>
          </w:tcPr>
          <w:p>
            <w:pPr>
              <w:pStyle w:val="728"/>
              <w:jc w:val="center"/>
              <w:spacing w:after="0" w:line="320" w:lineRule="exact"/>
              <w:rPr>
                <w:sz w:val="24"/>
                <w:szCs w:val="24"/>
                <w:highlight w:val="none"/>
              </w:rPr>
            </w:pPr>
            <w:r>
              <w:rPr>
                <w:sz w:val="24"/>
                <w:szCs w:val="24"/>
                <w:highlight w:val="none"/>
              </w:rPr>
            </w:r>
            <w:r/>
          </w:p>
        </w:tc>
      </w:tr>
      <w:tr>
        <w:trPr>
          <w:trHeight w:val="838"/>
        </w:trPr>
        <w:tc>
          <w:tcPr>
            <w:tcW w:w="932" w:type="dxa"/>
            <w:vAlign w:val="center"/>
            <w:textDirection w:val="lrTb"/>
            <w:noWrap w:val="false"/>
          </w:tcPr>
          <w:p>
            <w:pPr>
              <w:pStyle w:val="728"/>
              <w:jc w:val="center"/>
              <w:spacing w:after="0" w:line="320" w:lineRule="exact"/>
              <w:rPr>
                <w:rFonts w:hint="eastAsia"/>
                <w:sz w:val="24"/>
                <w:szCs w:val="24"/>
                <w:highlight w:val="none"/>
              </w:rPr>
            </w:pPr>
            <w:r>
              <w:rPr>
                <w:rFonts w:hint="eastAsia"/>
                <w:sz w:val="24"/>
                <w:szCs w:val="24"/>
                <w:highlight w:val="none"/>
              </w:rPr>
              <w:t xml:space="preserve">4</w:t>
            </w:r>
            <w:r>
              <w:rPr>
                <w:rFonts w:hint="eastAsia"/>
                <w:sz w:val="24"/>
                <w:szCs w:val="24"/>
                <w:highlight w:val="none"/>
              </w:rPr>
            </w:r>
            <w:r/>
          </w:p>
        </w:tc>
        <w:tc>
          <w:tcPr>
            <w:tcW w:w="2300"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分析报告质量</w:t>
            </w:r>
            <w:r>
              <w:rPr>
                <w:sz w:val="24"/>
                <w:szCs w:val="24"/>
                <w:highlight w:val="none"/>
              </w:rPr>
            </w:r>
            <w:r/>
          </w:p>
        </w:tc>
        <w:tc>
          <w:tcPr>
            <w:tcW w:w="4510" w:type="dxa"/>
            <w:vAlign w:val="center"/>
            <w:textDirection w:val="lrTb"/>
            <w:noWrap w:val="false"/>
          </w:tcPr>
          <w:p>
            <w:pPr>
              <w:pStyle w:val="728"/>
              <w:spacing w:after="0" w:line="320" w:lineRule="exact"/>
              <w:rPr>
                <w:sz w:val="24"/>
                <w:szCs w:val="24"/>
                <w:highlight w:val="none"/>
              </w:rPr>
            </w:pPr>
            <w:r>
              <w:rPr>
                <w:sz w:val="24"/>
                <w:szCs w:val="24"/>
                <w:highlight w:val="none"/>
              </w:rPr>
              <w:t xml:space="preserve">质量分析报告、不合格诊断建议书是否</w:t>
            </w:r>
            <w:r>
              <w:rPr>
                <w:sz w:val="24"/>
                <w:szCs w:val="24"/>
                <w:highlight w:val="none"/>
              </w:rPr>
              <w:t xml:space="preserve">全面、详实、有针对性，建议切实可行</w:t>
            </w:r>
            <w:r>
              <w:rPr>
                <w:sz w:val="24"/>
                <w:szCs w:val="24"/>
                <w:highlight w:val="none"/>
              </w:rPr>
              <w:t xml:space="preserve">。</w:t>
            </w:r>
            <w:r>
              <w:rPr>
                <w:sz w:val="24"/>
                <w:szCs w:val="24"/>
                <w:highlight w:val="none"/>
              </w:rPr>
            </w:r>
            <w:r/>
          </w:p>
        </w:tc>
        <w:tc>
          <w:tcPr>
            <w:tcW w:w="1185" w:type="dxa"/>
            <w:vAlign w:val="center"/>
            <w:textDirection w:val="lrTb"/>
            <w:noWrap w:val="false"/>
          </w:tcPr>
          <w:p>
            <w:pPr>
              <w:pStyle w:val="728"/>
              <w:jc w:val="center"/>
              <w:spacing w:after="0" w:line="320" w:lineRule="exact"/>
              <w:rPr>
                <w:sz w:val="24"/>
                <w:szCs w:val="24"/>
                <w:highlight w:val="none"/>
              </w:rPr>
            </w:pPr>
            <w:r>
              <w:rPr>
                <w:sz w:val="24"/>
                <w:szCs w:val="24"/>
                <w:highlight w:val="none"/>
              </w:rPr>
            </w:r>
            <w:r/>
          </w:p>
        </w:tc>
      </w:tr>
      <w:tr>
        <w:trPr>
          <w:trHeight w:val="841"/>
        </w:trPr>
        <w:tc>
          <w:tcPr>
            <w:tcW w:w="932" w:type="dxa"/>
            <w:vAlign w:val="center"/>
            <w:textDirection w:val="lrTb"/>
            <w:noWrap w:val="false"/>
          </w:tcPr>
          <w:p>
            <w:pPr>
              <w:pStyle w:val="728"/>
              <w:jc w:val="center"/>
              <w:spacing w:after="0" w:line="320" w:lineRule="exact"/>
              <w:rPr>
                <w:rFonts w:hint="eastAsia"/>
                <w:sz w:val="24"/>
                <w:szCs w:val="24"/>
                <w:highlight w:val="none"/>
              </w:rPr>
            </w:pPr>
            <w:r>
              <w:rPr>
                <w:rFonts w:hint="eastAsia"/>
                <w:sz w:val="24"/>
                <w:szCs w:val="24"/>
                <w:highlight w:val="none"/>
              </w:rPr>
              <w:t xml:space="preserve">5</w:t>
            </w:r>
            <w:r>
              <w:rPr>
                <w:rFonts w:hint="eastAsia"/>
                <w:sz w:val="24"/>
                <w:szCs w:val="24"/>
                <w:highlight w:val="none"/>
              </w:rPr>
            </w:r>
            <w:r/>
          </w:p>
        </w:tc>
        <w:tc>
          <w:tcPr>
            <w:tcW w:w="2300"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服务保障支撑监管的情况</w:t>
            </w:r>
            <w:r>
              <w:rPr>
                <w:sz w:val="24"/>
                <w:szCs w:val="24"/>
                <w:highlight w:val="none"/>
              </w:rPr>
            </w:r>
            <w:r/>
          </w:p>
        </w:tc>
        <w:tc>
          <w:tcPr>
            <w:tcW w:w="4510" w:type="dxa"/>
            <w:vAlign w:val="center"/>
            <w:textDirection w:val="lrTb"/>
            <w:noWrap w:val="false"/>
          </w:tcPr>
          <w:p>
            <w:pPr>
              <w:pStyle w:val="728"/>
              <w:spacing w:after="0" w:line="320" w:lineRule="exact"/>
              <w:rPr>
                <w:sz w:val="24"/>
                <w:szCs w:val="24"/>
                <w:highlight w:val="none"/>
              </w:rPr>
            </w:pPr>
            <w:r>
              <w:rPr>
                <w:sz w:val="24"/>
                <w:szCs w:val="24"/>
                <w:highlight w:val="none"/>
                <w:lang w:bidi="ar"/>
              </w:rPr>
              <w:t xml:space="preserve">应急响应、服务保障等监管特殊要求</w:t>
            </w:r>
            <w:r>
              <w:rPr>
                <w:sz w:val="24"/>
                <w:szCs w:val="24"/>
                <w:highlight w:val="none"/>
              </w:rPr>
              <w:t xml:space="preserve">符合采购人的要求。</w:t>
            </w:r>
            <w:r>
              <w:rPr>
                <w:sz w:val="24"/>
                <w:szCs w:val="24"/>
                <w:highlight w:val="none"/>
              </w:rPr>
            </w:r>
            <w:r/>
          </w:p>
        </w:tc>
        <w:tc>
          <w:tcPr>
            <w:tcW w:w="1185" w:type="dxa"/>
            <w:vAlign w:val="center"/>
            <w:textDirection w:val="lrTb"/>
            <w:noWrap w:val="false"/>
          </w:tcPr>
          <w:p>
            <w:pPr>
              <w:pStyle w:val="728"/>
              <w:jc w:val="center"/>
              <w:spacing w:after="0" w:line="320" w:lineRule="exact"/>
              <w:rPr>
                <w:sz w:val="24"/>
                <w:szCs w:val="24"/>
                <w:highlight w:val="none"/>
              </w:rPr>
            </w:pPr>
            <w:r>
              <w:rPr>
                <w:sz w:val="24"/>
                <w:szCs w:val="24"/>
                <w:highlight w:val="none"/>
              </w:rPr>
            </w:r>
            <w:r/>
          </w:p>
        </w:tc>
      </w:tr>
      <w:tr>
        <w:trPr>
          <w:trHeight w:val="841"/>
        </w:trPr>
        <w:tc>
          <w:tcPr>
            <w:tcW w:w="932" w:type="dxa"/>
            <w:vAlign w:val="center"/>
            <w:textDirection w:val="lrTb"/>
            <w:noWrap w:val="false"/>
          </w:tcPr>
          <w:p>
            <w:pPr>
              <w:pStyle w:val="728"/>
              <w:jc w:val="center"/>
              <w:spacing w:after="0" w:line="320" w:lineRule="exact"/>
              <w:rPr>
                <w:rFonts w:hint="eastAsia"/>
                <w:sz w:val="24"/>
                <w:szCs w:val="24"/>
                <w:highlight w:val="none"/>
              </w:rPr>
            </w:pPr>
            <w:r>
              <w:rPr>
                <w:rFonts w:hint="eastAsia"/>
                <w:sz w:val="24"/>
                <w:szCs w:val="24"/>
                <w:highlight w:val="none"/>
              </w:rPr>
              <w:t xml:space="preserve">6</w:t>
            </w:r>
            <w:r>
              <w:rPr>
                <w:rFonts w:hint="eastAsia"/>
                <w:sz w:val="24"/>
                <w:szCs w:val="24"/>
                <w:highlight w:val="none"/>
              </w:rPr>
            </w:r>
            <w:r/>
          </w:p>
        </w:tc>
        <w:tc>
          <w:tcPr>
            <w:tcW w:w="2300"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工作纪律情况</w:t>
            </w:r>
            <w:r>
              <w:rPr>
                <w:sz w:val="24"/>
                <w:szCs w:val="24"/>
                <w:highlight w:val="none"/>
              </w:rPr>
            </w:r>
            <w:r/>
          </w:p>
        </w:tc>
        <w:tc>
          <w:tcPr>
            <w:tcW w:w="4510" w:type="dxa"/>
            <w:vAlign w:val="center"/>
            <w:textDirection w:val="lrTb"/>
            <w:noWrap w:val="false"/>
          </w:tcPr>
          <w:p>
            <w:pPr>
              <w:pStyle w:val="728"/>
              <w:spacing w:after="0" w:line="240" w:lineRule="auto"/>
              <w:widowControl w:val="off"/>
              <w:rPr>
                <w:sz w:val="24"/>
                <w:szCs w:val="24"/>
                <w:highlight w:val="none"/>
              </w:rPr>
            </w:pPr>
            <w:r>
              <w:rPr>
                <w:sz w:val="24"/>
                <w:szCs w:val="24"/>
                <w:highlight w:val="none"/>
              </w:rPr>
              <w:t xml:space="preserve">遵守法律法规、抽样和检验纪律等情况, 承担风险动态监测任务期间，有无事先通知被抽查企业，直接或间接参与企业接待等违法违规行为，有无与被抽查企业签订同类产品的有偿服务协议或者接受被抽查企业对同一产品的委托检验、有无企业反映的其他违规情况。</w:t>
            </w:r>
            <w:r>
              <w:rPr>
                <w:sz w:val="24"/>
                <w:szCs w:val="24"/>
                <w:highlight w:val="none"/>
              </w:rPr>
            </w:r>
            <w:r/>
          </w:p>
        </w:tc>
        <w:tc>
          <w:tcPr>
            <w:tcW w:w="1185" w:type="dxa"/>
            <w:vAlign w:val="center"/>
            <w:textDirection w:val="lrTb"/>
            <w:noWrap w:val="false"/>
          </w:tcPr>
          <w:p>
            <w:pPr>
              <w:pStyle w:val="728"/>
              <w:jc w:val="center"/>
              <w:spacing w:after="0" w:line="320" w:lineRule="exact"/>
              <w:rPr>
                <w:sz w:val="24"/>
                <w:szCs w:val="24"/>
                <w:highlight w:val="none"/>
              </w:rPr>
            </w:pPr>
            <w:r>
              <w:rPr>
                <w:sz w:val="24"/>
                <w:szCs w:val="24"/>
                <w:highlight w:val="none"/>
              </w:rPr>
            </w:r>
            <w:r/>
          </w:p>
        </w:tc>
      </w:tr>
      <w:tr>
        <w:trPr>
          <w:trHeight w:val="711"/>
        </w:trPr>
        <w:tc>
          <w:tcPr>
            <w:tcW w:w="932" w:type="dxa"/>
            <w:vAlign w:val="center"/>
            <w:textDirection w:val="lrTb"/>
            <w:noWrap w:val="false"/>
          </w:tcPr>
          <w:p>
            <w:pPr>
              <w:pStyle w:val="728"/>
              <w:jc w:val="center"/>
              <w:spacing w:after="0" w:line="320" w:lineRule="exact"/>
              <w:rPr>
                <w:rFonts w:hint="eastAsia"/>
                <w:sz w:val="24"/>
                <w:szCs w:val="24"/>
                <w:highlight w:val="none"/>
              </w:rPr>
            </w:pPr>
            <w:r>
              <w:rPr>
                <w:rFonts w:hint="eastAsia"/>
                <w:sz w:val="24"/>
                <w:szCs w:val="24"/>
                <w:highlight w:val="none"/>
              </w:rPr>
              <w:t xml:space="preserve">7</w:t>
            </w:r>
            <w:r>
              <w:rPr>
                <w:rFonts w:hint="eastAsia"/>
                <w:sz w:val="24"/>
                <w:szCs w:val="24"/>
                <w:highlight w:val="none"/>
              </w:rPr>
            </w:r>
            <w:r/>
          </w:p>
        </w:tc>
        <w:tc>
          <w:tcPr>
            <w:tcW w:w="2300"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合同规定的其他履约情况</w:t>
            </w:r>
            <w:r>
              <w:rPr>
                <w:sz w:val="24"/>
                <w:szCs w:val="24"/>
                <w:highlight w:val="none"/>
              </w:rPr>
            </w:r>
            <w:r/>
          </w:p>
        </w:tc>
        <w:tc>
          <w:tcPr>
            <w:tcW w:w="4510"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符合合同书要求。</w:t>
            </w:r>
            <w:r>
              <w:rPr>
                <w:sz w:val="24"/>
                <w:szCs w:val="24"/>
                <w:highlight w:val="none"/>
              </w:rPr>
            </w:r>
            <w:r/>
          </w:p>
        </w:tc>
        <w:tc>
          <w:tcPr>
            <w:tcW w:w="1185" w:type="dxa"/>
            <w:vAlign w:val="center"/>
            <w:textDirection w:val="lrTb"/>
            <w:noWrap w:val="false"/>
          </w:tcPr>
          <w:p>
            <w:pPr>
              <w:pStyle w:val="728"/>
              <w:jc w:val="center"/>
              <w:spacing w:after="0" w:line="320" w:lineRule="exact"/>
              <w:rPr>
                <w:sz w:val="24"/>
                <w:szCs w:val="24"/>
                <w:highlight w:val="none"/>
              </w:rPr>
            </w:pPr>
            <w:r>
              <w:rPr>
                <w:sz w:val="24"/>
                <w:szCs w:val="24"/>
                <w:highlight w:val="none"/>
              </w:rPr>
            </w:r>
            <w:r/>
          </w:p>
        </w:tc>
      </w:tr>
      <w:tr>
        <w:trPr>
          <w:trHeight w:val="679"/>
        </w:trPr>
        <w:tc>
          <w:tcPr>
            <w:tcW w:w="932" w:type="dxa"/>
            <w:vAlign w:val="center"/>
            <w:textDirection w:val="lrTb"/>
            <w:noWrap w:val="false"/>
          </w:tcPr>
          <w:p>
            <w:pPr>
              <w:pStyle w:val="728"/>
              <w:jc w:val="center"/>
              <w:spacing w:after="0" w:line="320" w:lineRule="exact"/>
              <w:rPr>
                <w:rFonts w:hint="eastAsia"/>
                <w:sz w:val="24"/>
                <w:szCs w:val="24"/>
                <w:highlight w:val="none"/>
              </w:rPr>
            </w:pPr>
            <w:r>
              <w:rPr>
                <w:rFonts w:hint="eastAsia"/>
                <w:sz w:val="24"/>
                <w:szCs w:val="24"/>
                <w:highlight w:val="none"/>
              </w:rPr>
              <w:t xml:space="preserve">8</w:t>
            </w:r>
            <w:r>
              <w:rPr>
                <w:rFonts w:hint="eastAsia"/>
                <w:sz w:val="24"/>
                <w:szCs w:val="24"/>
                <w:highlight w:val="none"/>
              </w:rPr>
            </w:r>
            <w:r/>
          </w:p>
        </w:tc>
        <w:tc>
          <w:tcPr>
            <w:tcW w:w="2300" w:type="dxa"/>
            <w:vAlign w:val="center"/>
            <w:textDirection w:val="lrTb"/>
            <w:noWrap w:val="false"/>
          </w:tcPr>
          <w:p>
            <w:pPr>
              <w:pStyle w:val="728"/>
              <w:jc w:val="center"/>
              <w:spacing w:after="0" w:line="320" w:lineRule="exact"/>
              <w:rPr>
                <w:sz w:val="24"/>
                <w:szCs w:val="24"/>
                <w:highlight w:val="none"/>
              </w:rPr>
            </w:pPr>
            <w:r>
              <w:rPr>
                <w:spacing w:val="-10"/>
                <w:sz w:val="24"/>
                <w:szCs w:val="24"/>
                <w:highlight w:val="none"/>
              </w:rPr>
              <w:t xml:space="preserve">采购人认为需要的其他验收内容</w:t>
            </w:r>
            <w:r>
              <w:rPr>
                <w:sz w:val="24"/>
                <w:szCs w:val="24"/>
                <w:highlight w:val="none"/>
              </w:rPr>
            </w:r>
            <w:r/>
          </w:p>
        </w:tc>
        <w:tc>
          <w:tcPr>
            <w:tcW w:w="4510" w:type="dxa"/>
            <w:vAlign w:val="center"/>
            <w:textDirection w:val="lrTb"/>
            <w:noWrap w:val="false"/>
          </w:tcPr>
          <w:p>
            <w:pPr>
              <w:pStyle w:val="728"/>
              <w:jc w:val="center"/>
              <w:spacing w:after="0" w:line="320" w:lineRule="exact"/>
              <w:rPr>
                <w:sz w:val="24"/>
                <w:szCs w:val="24"/>
                <w:highlight w:val="none"/>
              </w:rPr>
            </w:pPr>
            <w:r>
              <w:rPr>
                <w:sz w:val="24"/>
                <w:szCs w:val="24"/>
                <w:highlight w:val="none"/>
              </w:rPr>
              <w:t xml:space="preserve">/</w:t>
            </w:r>
            <w:r>
              <w:rPr>
                <w:sz w:val="24"/>
                <w:szCs w:val="24"/>
                <w:highlight w:val="none"/>
              </w:rPr>
            </w:r>
            <w:r/>
          </w:p>
        </w:tc>
        <w:tc>
          <w:tcPr>
            <w:tcW w:w="1185" w:type="dxa"/>
            <w:vAlign w:val="center"/>
            <w:textDirection w:val="lrTb"/>
            <w:noWrap w:val="false"/>
          </w:tcPr>
          <w:p>
            <w:pPr>
              <w:pStyle w:val="728"/>
              <w:jc w:val="center"/>
              <w:spacing w:after="0" w:line="320" w:lineRule="exact"/>
              <w:rPr>
                <w:sz w:val="24"/>
                <w:szCs w:val="24"/>
                <w:highlight w:val="none"/>
              </w:rPr>
            </w:pPr>
            <w:r>
              <w:rPr>
                <w:sz w:val="24"/>
                <w:szCs w:val="24"/>
                <w:highlight w:val="none"/>
              </w:rPr>
            </w:r>
            <w:r/>
          </w:p>
        </w:tc>
      </w:tr>
    </w:tbl>
    <w:p>
      <w:pPr>
        <w:pStyle w:val="728"/>
        <w:jc w:val="both"/>
        <w:spacing w:after="0"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★5.5保密要求</w:t>
      </w:r>
      <w:r>
        <w:rPr>
          <w:rFonts w:hint="eastAsia" w:ascii="宋体" w:hAnsi="宋体"/>
          <w:b/>
          <w:sz w:val="24"/>
          <w:szCs w:val="24"/>
          <w:highlight w:val="none"/>
        </w:rPr>
      </w:r>
      <w:r/>
    </w:p>
    <w:p>
      <w:pPr>
        <w:pStyle w:val="728"/>
        <w:ind w:firstLine="480"/>
        <w:jc w:val="both"/>
        <w:spacing w:after="0"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5.5.1供应商及其服务人员应做好保密工作，对抽检信息、数据等负有保密义务。在项目实施过程中要建立工作登记单实现可追溯并确保相关档案实体及电子档信息的安全。未经允许不得对接触到的各种资料、文件拍照、拍摄，各种实体及电子资料等不得损坏、丢失和泄密，未经采购人授权，不得向除采购人外的任何单位与个人透露任何信息。否则由此造成的一切后果供应商需承担相关法律责任和赔偿责任。</w:t>
      </w:r>
      <w:r>
        <w:rPr>
          <w:rFonts w:hint="eastAsia" w:ascii="宋体" w:hAnsi="宋体"/>
          <w:bCs/>
          <w:sz w:val="24"/>
          <w:szCs w:val="24"/>
          <w:highlight w:val="none"/>
        </w:rPr>
      </w:r>
      <w:r/>
    </w:p>
    <w:p>
      <w:pPr>
        <w:pStyle w:val="728"/>
        <w:ind w:firstLine="480"/>
        <w:jc w:val="both"/>
        <w:spacing w:after="0"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5.5.2服务人员不得以任何形式将档案资料（包括纸质档和电子档）带出指定工作现场，不得以任何形式进行泄漏、传播。</w:t>
      </w:r>
      <w:r>
        <w:rPr>
          <w:rFonts w:hint="eastAsia" w:ascii="宋体" w:hAnsi="宋体"/>
          <w:bCs/>
          <w:sz w:val="24"/>
          <w:szCs w:val="24"/>
          <w:highlight w:val="none"/>
        </w:rPr>
      </w:r>
      <w:r/>
    </w:p>
    <w:p>
      <w:pPr>
        <w:pStyle w:val="728"/>
        <w:ind w:firstLine="480"/>
        <w:jc w:val="both"/>
        <w:spacing w:after="0"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5.5.3供应商应对其服务人员保密义务承担责任，如因其服务人员违反保密义务导致采购人产生损失或支出费用的，采购人有权要求供应商承担责任。</w:t>
      </w:r>
      <w:r>
        <w:rPr>
          <w:rFonts w:hint="eastAsia" w:ascii="宋体" w:hAnsi="宋体"/>
          <w:bCs/>
          <w:sz w:val="24"/>
          <w:szCs w:val="24"/>
          <w:highlight w:val="none"/>
        </w:rPr>
      </w:r>
      <w:r/>
    </w:p>
    <w:p>
      <w:pPr>
        <w:pStyle w:val="728"/>
        <w:ind w:firstLine="480"/>
        <w:jc w:val="both"/>
        <w:spacing w:after="0"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5.5.4供应商及其服务人员的保密期限为永久，不因本项目所签订的文件或合同的终止而终止。</w:t>
      </w:r>
      <w:r>
        <w:rPr>
          <w:rFonts w:hint="eastAsia" w:ascii="宋体" w:hAnsi="宋体"/>
          <w:bCs/>
          <w:sz w:val="24"/>
          <w:szCs w:val="24"/>
          <w:highlight w:val="none"/>
        </w:rPr>
      </w:r>
      <w:r/>
    </w:p>
    <w:p>
      <w:pPr>
        <w:pStyle w:val="728"/>
        <w:ind w:firstLine="480"/>
        <w:jc w:val="both"/>
        <w:spacing w:after="0"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针对上述保密要求内容，供应商须提供书面承诺函原件并加盖CA电子公章，格式自拟，内容应完全响应招标文件要求。</w:t>
      </w:r>
      <w:r>
        <w:rPr>
          <w:rFonts w:hint="eastAsia" w:ascii="宋体" w:hAnsi="宋体"/>
          <w:bCs/>
          <w:sz w:val="24"/>
          <w:szCs w:val="24"/>
          <w:highlight w:val="none"/>
        </w:rPr>
      </w:r>
      <w:r/>
    </w:p>
    <w:p>
      <w:pPr>
        <w:pStyle w:val="728"/>
        <w:jc w:val="both"/>
        <w:spacing w:after="0"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★5.6履约形式</w:t>
      </w:r>
      <w:r>
        <w:rPr>
          <w:rFonts w:hint="eastAsia" w:ascii="宋体" w:hAnsi="宋体"/>
          <w:b/>
          <w:sz w:val="24"/>
          <w:szCs w:val="24"/>
          <w:highlight w:val="none"/>
        </w:rPr>
      </w:r>
      <w:r/>
    </w:p>
    <w:p>
      <w:pPr>
        <w:pStyle w:val="728"/>
        <w:ind w:firstLine="480"/>
        <w:jc w:val="both"/>
        <w:spacing w:after="0" w:line="360" w:lineRule="auto"/>
        <w:widowControl w:val="off"/>
        <w:rPr>
          <w:rFonts w:ascii="宋体" w:hAnsi="宋体"/>
          <w:bCs/>
          <w:sz w:val="24"/>
          <w:szCs w:val="24"/>
          <w:highlight w:val="none"/>
        </w:rPr>
      </w:pPr>
      <w:r>
        <w:rPr>
          <w:rFonts w:ascii="宋体" w:hAnsi="宋体"/>
          <w:bCs/>
          <w:sz w:val="24"/>
          <w:szCs w:val="24"/>
          <w:highlight w:val="none"/>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r>
        <w:rPr>
          <w:rFonts w:ascii="宋体" w:hAnsi="宋体"/>
          <w:bCs/>
          <w:sz w:val="24"/>
          <w:szCs w:val="24"/>
          <w:highlight w:val="none"/>
        </w:rPr>
      </w:r>
      <w:r/>
    </w:p>
    <w:p>
      <w:pPr>
        <w:pStyle w:val="728"/>
        <w:ind w:firstLine="480"/>
        <w:jc w:val="both"/>
        <w:spacing w:after="0" w:line="360" w:lineRule="auto"/>
        <w:widowControl w:val="off"/>
        <w:rPr>
          <w:highlight w:val="none"/>
        </w:rPr>
      </w:pPr>
      <w:r>
        <w:rPr>
          <w:rFonts w:ascii="宋体" w:hAnsi="宋体"/>
          <w:bCs/>
          <w:sz w:val="24"/>
          <w:szCs w:val="24"/>
          <w:highlight w:val="none"/>
        </w:rPr>
        <w:t xml:space="preserve">供应商应提供不予分包转包书面承诺函并加盖公章，内容需满足采购文件要求，格式自拟</w:t>
      </w:r>
      <w:r>
        <w:rPr>
          <w:highlight w:val="none"/>
        </w:rPr>
      </w:r>
      <w:r/>
    </w:p>
    <w:p>
      <w:pPr>
        <w:pStyle w:val="728"/>
        <w:jc w:val="both"/>
        <w:spacing w:after="0" w:line="360" w:lineRule="auto"/>
        <w:widowControl w:val="off"/>
        <w:rPr>
          <w:rFonts w:hint="eastAsia" w:ascii="宋体" w:hAnsi="宋体"/>
          <w:b/>
          <w:sz w:val="24"/>
          <w:szCs w:val="24"/>
          <w:highlight w:val="none"/>
        </w:rPr>
      </w:pPr>
      <w:r>
        <w:rPr>
          <w:rFonts w:hint="eastAsia" w:ascii="宋体" w:hAnsi="宋体"/>
          <w:b/>
          <w:sz w:val="24"/>
          <w:szCs w:val="24"/>
          <w:highlight w:val="none"/>
        </w:rPr>
        <w:t xml:space="preserve">★5.7.成果归属要求</w:t>
      </w:r>
      <w:r>
        <w:rPr>
          <w:rFonts w:hint="eastAsia" w:ascii="宋体" w:hAnsi="宋体"/>
          <w:b/>
          <w:sz w:val="24"/>
          <w:szCs w:val="24"/>
          <w:highlight w:val="none"/>
        </w:rPr>
      </w:r>
      <w:r/>
    </w:p>
    <w:p>
      <w:pPr>
        <w:pStyle w:val="728"/>
        <w:ind w:firstLine="480"/>
        <w:jc w:val="both"/>
        <w:spacing w:after="0" w:line="360" w:lineRule="auto"/>
        <w:widowControl w:val="off"/>
        <w:rPr>
          <w:rFonts w:ascii="宋体" w:hAnsi="宋体"/>
          <w:bCs/>
          <w:sz w:val="24"/>
          <w:szCs w:val="24"/>
          <w:highlight w:val="none"/>
        </w:rPr>
      </w:pPr>
      <w:r>
        <w:rPr>
          <w:rFonts w:ascii="宋体" w:hAnsi="宋体"/>
          <w:bCs/>
          <w:sz w:val="24"/>
          <w:szCs w:val="24"/>
          <w:highlight w:val="none"/>
        </w:rPr>
        <w:t xml:space="preserve">成交供应商须将履约过程的所有材料及成果完整提交给采购人，本项目履约服务过程中产生的所有文字、音频、视频的素材与最终成果的所有权属于采购人所有。未经采购人许可，供应商不得单独在任何报刊、杂志、互联网等媒体上宣传或公布本项目的研究成果。</w:t>
      </w:r>
      <w:r>
        <w:rPr>
          <w:rFonts w:ascii="宋体" w:hAnsi="宋体"/>
          <w:bCs/>
          <w:sz w:val="24"/>
          <w:szCs w:val="24"/>
          <w:highlight w:val="none"/>
        </w:rPr>
      </w:r>
      <w:r/>
    </w:p>
    <w:p>
      <w:pPr>
        <w:pStyle w:val="728"/>
        <w:ind w:firstLine="480"/>
        <w:jc w:val="both"/>
        <w:spacing w:after="0" w:line="360" w:lineRule="auto"/>
        <w:widowControl w:val="off"/>
        <w:rPr>
          <w:rFonts w:ascii="宋体" w:hAnsi="宋体"/>
          <w:bCs/>
          <w:sz w:val="24"/>
          <w:szCs w:val="24"/>
          <w:highlight w:val="none"/>
        </w:rPr>
      </w:pPr>
      <w:r>
        <w:rPr>
          <w:rFonts w:ascii="宋体" w:hAnsi="宋体"/>
          <w:bCs/>
          <w:sz w:val="24"/>
          <w:szCs w:val="24"/>
          <w:highlight w:val="none"/>
        </w:rPr>
        <w:t xml:space="preserve">针对此项成果归属内容，供应商须提供书面承诺函原件并加盖公章，格式自拟。</w:t>
      </w:r>
      <w:r>
        <w:rPr>
          <w:rFonts w:ascii="宋体" w:hAnsi="宋体"/>
          <w:bCs/>
          <w:sz w:val="24"/>
          <w:szCs w:val="24"/>
          <w:highlight w:val="none"/>
        </w:rPr>
      </w:r>
      <w:r/>
    </w:p>
    <w:p>
      <w:pPr>
        <w:pStyle w:val="728"/>
        <w:jc w:val="both"/>
        <w:spacing w:after="0" w:line="360" w:lineRule="auto"/>
        <w:widowControl w:val="off"/>
        <w:rPr>
          <w:rFonts w:ascii="宋体" w:hAnsi="宋体" w:cs="微软雅黑"/>
          <w:b/>
          <w:sz w:val="24"/>
          <w:szCs w:val="24"/>
          <w:highlight w:val="none"/>
        </w:rPr>
      </w:pPr>
      <w:r>
        <w:rPr>
          <w:rFonts w:hint="eastAsia" w:ascii="宋体" w:hAnsi="宋体"/>
          <w:b/>
          <w:sz w:val="24"/>
          <w:szCs w:val="24"/>
          <w:highlight w:val="none"/>
        </w:rPr>
        <w:t xml:space="preserve">5.8</w:t>
      </w:r>
      <w:r>
        <w:rPr>
          <w:rFonts w:hint="eastAsia" w:ascii="宋体" w:hAnsi="宋体" w:cs="微软雅黑"/>
          <w:b/>
          <w:sz w:val="24"/>
          <w:szCs w:val="24"/>
          <w:highlight w:val="none"/>
        </w:rPr>
        <w:t xml:space="preserve">报价要求</w:t>
      </w:r>
      <w:r>
        <w:rPr>
          <w:rFonts w:ascii="宋体" w:hAnsi="宋体" w:cs="微软雅黑"/>
          <w:b/>
          <w:sz w:val="24"/>
          <w:szCs w:val="24"/>
          <w:highlight w:val="none"/>
        </w:rPr>
      </w:r>
      <w:r/>
    </w:p>
    <w:p>
      <w:pPr>
        <w:pStyle w:val="728"/>
        <w:ind w:firstLine="480"/>
        <w:spacing w:after="0" w:line="560" w:lineRule="exact"/>
        <w:rPr>
          <w:rFonts w:ascii="宋体" w:hAnsi="宋体" w:cs="微软雅黑"/>
          <w:bCs/>
          <w:sz w:val="24"/>
          <w:szCs w:val="24"/>
          <w:highlight w:val="none"/>
        </w:rPr>
      </w:pPr>
      <w:r>
        <w:rPr>
          <w:rFonts w:hint="eastAsia" w:ascii="宋体" w:hAnsi="宋体" w:cs="微软雅黑"/>
          <w:bCs/>
          <w:sz w:val="24"/>
          <w:szCs w:val="24"/>
          <w:highlight w:val="none"/>
        </w:rPr>
        <w:t xml:space="preserve">5.8</w:t>
      </w:r>
      <w:r>
        <w:rPr>
          <w:rFonts w:ascii="宋体" w:hAnsi="宋体" w:cs="微软雅黑"/>
          <w:bCs/>
          <w:sz w:val="24"/>
          <w:szCs w:val="24"/>
          <w:highlight w:val="none"/>
        </w:rPr>
        <w:t xml:space="preserve">.</w:t>
      </w:r>
      <w:r>
        <w:rPr>
          <w:rFonts w:hint="eastAsia" w:ascii="宋体" w:hAnsi="宋体" w:cs="微软雅黑"/>
          <w:bCs/>
          <w:sz w:val="24"/>
          <w:szCs w:val="24"/>
          <w:highlight w:val="none"/>
        </w:rPr>
        <w:t xml:space="preserve">1该项目预算为全口径预算，包含了本项目所需的服务提供过程中可能发生的所有费用，包括但不限于样品购置费、检测费、实验室及检测设备使用费用、</w:t>
      </w:r>
      <w:bookmarkStart w:id="92" w:name="_Hlk228429648"/>
      <w:r>
        <w:rPr>
          <w:rFonts w:hint="eastAsia" w:ascii="宋体" w:hAnsi="宋体" w:cs="微软雅黑"/>
          <w:bCs/>
          <w:sz w:val="24"/>
          <w:szCs w:val="24"/>
          <w:highlight w:val="none"/>
        </w:rPr>
        <w:t xml:space="preserve">耗材、报告文本费（检测报告、质量分析报告等的编制打印）、相关文书的邮寄费、样品处置费、</w:t>
      </w:r>
      <w:bookmarkEnd w:id="92"/>
      <w:r>
        <w:rPr>
          <w:rFonts w:hint="eastAsia" w:ascii="宋体" w:hAnsi="宋体" w:cs="微软雅黑"/>
          <w:bCs/>
          <w:sz w:val="24"/>
          <w:szCs w:val="24"/>
          <w:highlight w:val="none"/>
        </w:rPr>
        <w:t xml:space="preserve">各种税费、利润、税金、人员工资（含各类保险、加班费、交通费、过节费等所有与人员相关费用）、培训及合同包含的所有风险、责任等各项相关费用。本次采购供应商的报价应包括完成本项目发生的上述所有</w:t>
      </w:r>
      <w:bookmarkStart w:id="93" w:name="_Hlk228429904"/>
      <w:r>
        <w:rPr>
          <w:rFonts w:hint="eastAsia" w:ascii="宋体" w:hAnsi="宋体" w:cs="微软雅黑"/>
          <w:iCs/>
          <w:sz w:val="24"/>
          <w:szCs w:val="24"/>
          <w:highlight w:val="none"/>
        </w:rPr>
        <w:t xml:space="preserve">费用及采购代理服务费用（无需单独报价也无需单列），</w:t>
      </w:r>
      <w:bookmarkEnd w:id="93"/>
      <w:r>
        <w:rPr>
          <w:rFonts w:hint="eastAsia" w:ascii="宋体" w:hAnsi="宋体" w:cs="微软雅黑"/>
          <w:bCs/>
          <w:sz w:val="24"/>
          <w:szCs w:val="24"/>
          <w:highlight w:val="none"/>
        </w:rPr>
        <w:t xml:space="preserve">中标后采购人按中标价格结算支付采购资金，不再变更结算价格。</w:t>
      </w:r>
      <w:r>
        <w:rPr>
          <w:rFonts w:ascii="宋体" w:hAnsi="宋体" w:cs="微软雅黑"/>
          <w:bCs/>
          <w:sz w:val="24"/>
          <w:szCs w:val="24"/>
          <w:highlight w:val="none"/>
        </w:rPr>
      </w:r>
      <w:r/>
    </w:p>
    <w:p>
      <w:pPr>
        <w:pStyle w:val="728"/>
        <w:ind w:firstLine="480"/>
        <w:spacing w:after="0" w:line="560" w:lineRule="exact"/>
        <w:rPr>
          <w:rFonts w:hint="eastAsia" w:ascii="宋体" w:hAnsi="宋体" w:cs="微软雅黑"/>
          <w:bCs/>
          <w:iCs/>
          <w:sz w:val="24"/>
          <w:szCs w:val="24"/>
          <w:highlight w:val="none"/>
        </w:rPr>
      </w:pPr>
      <w:r>
        <w:rPr>
          <w:rFonts w:hint="eastAsia" w:ascii="宋体" w:hAnsi="宋体" w:cs="微软雅黑"/>
          <w:bCs/>
          <w:sz w:val="24"/>
          <w:szCs w:val="24"/>
          <w:highlight w:val="none"/>
        </w:rPr>
        <w:t xml:space="preserve">5.8.2本项目履约过程中需要发生抽检人员薪酬福利与社保费用、检测试剂费用、检测耗材费用、检测设备费用、交通费用、实验室场地费用、人员培训费用等诸多刚性成本项目，供应商应根据自身情况理性合理报价，不得低于正常成本价低价恶性竞争，确保采购人检测质量。请仔细阅读本文件“第二章  投标人须知”第26.8条、第26.9条、第27.1.10条内容，如投标供应商报价触发异常低价审核程序，</w:t>
      </w:r>
      <w:r>
        <w:rPr>
          <w:rFonts w:hint="eastAsia" w:ascii="宋体" w:hAnsi="宋体" w:cs="微软雅黑"/>
          <w:bCs/>
          <w:iCs/>
          <w:sz w:val="24"/>
          <w:szCs w:val="24"/>
          <w:highlight w:val="none"/>
        </w:rPr>
        <w:t xml:space="preserve">启动异常低价投标审查后，投标供应商不按时提供书面说明、证明材料,或者提供的书面说明、证明材料不能证明其报价合理性的，将作无效投标处理。</w:t>
      </w:r>
      <w:r>
        <w:rPr>
          <w:rFonts w:hint="eastAsia" w:ascii="宋体" w:hAnsi="宋体" w:cs="微软雅黑"/>
          <w:bCs/>
          <w:iCs/>
          <w:sz w:val="24"/>
          <w:szCs w:val="24"/>
          <w:highlight w:val="none"/>
        </w:rPr>
      </w:r>
      <w:r/>
    </w:p>
    <w:p>
      <w:pPr>
        <w:pStyle w:val="728"/>
        <w:ind w:firstLine="480"/>
        <w:spacing w:after="0" w:line="360" w:lineRule="auto"/>
        <w:rPr>
          <w:rFonts w:ascii="宋体" w:hAnsi="宋体" w:cs="宋体"/>
          <w:sz w:val="24"/>
          <w:szCs w:val="24"/>
          <w:highlight w:val="none"/>
        </w:rPr>
      </w:pPr>
      <w:r>
        <w:rPr>
          <w:rFonts w:hint="eastAsia" w:ascii="宋体" w:hAnsi="宋体" w:cs="宋体"/>
          <w:sz w:val="24"/>
          <w:szCs w:val="24"/>
          <w:highlight w:val="none"/>
        </w:rPr>
        <w:t xml:space="preserve">5.8.3</w:t>
      </w:r>
      <w:bookmarkStart w:id="94" w:name="_Hlk227215733"/>
      <w:r>
        <w:rPr>
          <w:rFonts w:hint="eastAsia" w:ascii="宋体" w:hAnsi="宋体" w:cs="宋体"/>
          <w:sz w:val="24"/>
          <w:szCs w:val="24"/>
          <w:highlight w:val="none"/>
        </w:rPr>
        <w:t xml:space="preserve">供应商应按</w:t>
      </w:r>
      <w:r>
        <w:rPr>
          <w:rFonts w:hint="eastAsia" w:ascii="宋体" w:hAnsi="宋体" w:cs="宋体"/>
          <w:b/>
          <w:bCs/>
          <w:sz w:val="24"/>
          <w:szCs w:val="24"/>
          <w:highlight w:val="none"/>
        </w:rPr>
        <w:t xml:space="preserve">单价</w:t>
      </w:r>
      <w:r>
        <w:rPr>
          <w:rFonts w:hint="eastAsia" w:ascii="宋体" w:hAnsi="宋体" w:cs="宋体"/>
          <w:sz w:val="24"/>
          <w:szCs w:val="24"/>
          <w:highlight w:val="none"/>
        </w:rPr>
        <w:t xml:space="preserve">予以报价。</w:t>
      </w:r>
      <w:bookmarkEnd w:id="94"/>
      <w:r>
        <w:rPr>
          <w:rFonts w:hint="eastAsia" w:ascii="宋体" w:hAnsi="宋体" w:cs="宋体"/>
          <w:sz w:val="24"/>
          <w:szCs w:val="24"/>
          <w:highlight w:val="none"/>
        </w:rPr>
        <w:t xml:space="preserve">供应商中标后在合同履约期内，不得以任何理由要求对其投标报价、运营方式、运营质量、人员数量、人员质量评估项目、服务内容、服务条件、服务质量等降低要求、变更要求或拒绝服务。</w:t>
      </w:r>
      <w:r>
        <w:rPr>
          <w:rFonts w:ascii="宋体" w:hAnsi="宋体" w:cs="宋体"/>
          <w:sz w:val="24"/>
          <w:szCs w:val="24"/>
          <w:highlight w:val="none"/>
        </w:rPr>
      </w:r>
      <w:r/>
    </w:p>
    <w:p>
      <w:pPr>
        <w:pStyle w:val="728"/>
        <w:ind w:firstLine="482"/>
        <w:spacing w:after="0" w:line="360" w:lineRule="auto"/>
        <w:rPr>
          <w:rFonts w:hint="eastAsia" w:ascii="宋体" w:hAnsi="宋体" w:cs="宋体"/>
          <w:sz w:val="24"/>
          <w:szCs w:val="24"/>
          <w:highlight w:val="none"/>
        </w:rPr>
      </w:pPr>
      <w:r>
        <w:rPr>
          <w:rFonts w:hint="eastAsia" w:ascii="宋体" w:hAnsi="宋体" w:cs="宋体"/>
          <w:b/>
          <w:bCs/>
          <w:iCs/>
          <w:sz w:val="24"/>
          <w:szCs w:val="24"/>
          <w:highlight w:val="none"/>
        </w:rPr>
        <w:t xml:space="preserve">本项目报价方式为单批次报价，《开标一览表》格式由苏采云系统设置，无法更改，请投标时在填写《开标一览表》的报价数值时务必填入单批次报价。如需填写分项报价也应按单批次报价填写明细内容。投标文件中未填写单批次报价数值的，符合性审查不符合要求，将作为无效投标处理。</w:t>
      </w:r>
      <w:r>
        <w:rPr>
          <w:rFonts w:hint="eastAsia" w:ascii="宋体" w:hAnsi="宋体" w:cs="宋体"/>
          <w:sz w:val="24"/>
          <w:szCs w:val="24"/>
          <w:highlight w:val="none"/>
        </w:rPr>
      </w:r>
      <w:r/>
    </w:p>
    <w:p>
      <w:pPr>
        <w:pStyle w:val="728"/>
        <w:ind w:firstLine="480"/>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28"/>
        <w:ind w:firstLine="480"/>
        <w:spacing w:after="0" w:line="560" w:lineRule="exact"/>
        <w:rPr>
          <w:rFonts w:hint="eastAsia" w:ascii="宋体" w:hAnsi="宋体" w:cs="微软雅黑"/>
          <w:bCs/>
          <w:iCs/>
          <w:sz w:val="24"/>
          <w:szCs w:val="24"/>
          <w:highlight w:val="none"/>
        </w:rPr>
      </w:pPr>
      <w:r>
        <w:rPr>
          <w:rFonts w:hint="eastAsia" w:ascii="宋体" w:hAnsi="宋体" w:cs="微软雅黑"/>
          <w:bCs/>
          <w:iCs/>
          <w:sz w:val="24"/>
          <w:szCs w:val="24"/>
          <w:highlight w:val="none"/>
        </w:rPr>
      </w:r>
      <w:r/>
    </w:p>
    <w:p>
      <w:pPr>
        <w:pStyle w:val="728"/>
        <w:rPr>
          <w:b/>
          <w:sz w:val="24"/>
          <w:szCs w:val="24"/>
          <w:highlight w:val="none"/>
        </w:rPr>
      </w:pPr>
      <w:r>
        <w:rPr>
          <w:rFonts w:hint="eastAsia" w:ascii="宋体" w:hAnsi="宋体" w:cs="宋体"/>
          <w:b/>
          <w:sz w:val="24"/>
          <w:szCs w:val="24"/>
          <w:highlight w:val="none"/>
          <w:lang w:bidi="ar"/>
        </w:rPr>
        <w:t xml:space="preserve">附件</w:t>
      </w:r>
      <w:r>
        <w:rPr>
          <w:b/>
          <w:sz w:val="24"/>
          <w:szCs w:val="24"/>
          <w:highlight w:val="none"/>
          <w:lang w:bidi="ar"/>
        </w:rPr>
        <w:t xml:space="preserve">1</w:t>
      </w:r>
      <w:r>
        <w:rPr>
          <w:b/>
          <w:sz w:val="24"/>
          <w:szCs w:val="24"/>
          <w:highlight w:val="none"/>
        </w:rPr>
      </w:r>
      <w:r/>
    </w:p>
    <w:p>
      <w:pPr>
        <w:pStyle w:val="728"/>
        <w:jc w:val="center"/>
        <w:spacing w:after="0" w:line="360" w:lineRule="auto"/>
        <w:widowControl w:val="off"/>
        <w:rPr>
          <w:bCs/>
          <w:sz w:val="24"/>
          <w:szCs w:val="24"/>
          <w:highlight w:val="none"/>
        </w:rPr>
      </w:pPr>
      <w:r>
        <w:rPr>
          <w:bCs/>
          <w:sz w:val="24"/>
          <w:szCs w:val="24"/>
          <w:highlight w:val="none"/>
          <w:lang w:bidi="ar"/>
        </w:rPr>
        <w:t xml:space="preserve">2026</w:t>
      </w:r>
      <w:r>
        <w:rPr>
          <w:rFonts w:hint="eastAsia" w:ascii="宋体" w:hAnsi="宋体" w:cs="宋体"/>
          <w:bCs/>
          <w:sz w:val="24"/>
          <w:szCs w:val="24"/>
          <w:highlight w:val="none"/>
          <w:lang w:bidi="ar"/>
        </w:rPr>
        <w:t xml:space="preserve">年江苏省专业特色市场产品质量风险动态监测对象</w:t>
      </w:r>
      <w:r>
        <w:rPr>
          <w:bCs/>
          <w:sz w:val="24"/>
          <w:szCs w:val="24"/>
          <w:highlight w:val="none"/>
        </w:rPr>
      </w:r>
      <w:r/>
    </w:p>
    <w:tbl>
      <w:tblPr>
        <w:tblW w:w="5011" w:type="pct"/>
        <w:tblInd w:w="-108" w:type="dxa"/>
        <w:tblLayout w:type="fixed"/>
        <w:tblCellMar>
          <w:left w:w="108" w:type="dxa"/>
          <w:top w:w="0" w:type="dxa"/>
          <w:right w:w="108" w:type="dxa"/>
          <w:bottom w:w="0" w:type="dxa"/>
        </w:tblCellMar>
        <w:tblLook w:val="04A0" w:firstRow="1" w:lastRow="0" w:firstColumn="1" w:lastColumn="0" w:noHBand="0" w:noVBand="1"/>
      </w:tblPr>
      <w:tblGrid>
        <w:gridCol w:w="872"/>
        <w:gridCol w:w="1055"/>
        <w:gridCol w:w="2159"/>
        <w:gridCol w:w="2416"/>
        <w:gridCol w:w="2039"/>
      </w:tblGrid>
      <w:tr>
        <w:trPr>
          <w:trHeight w:val="642"/>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采购包序号</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1055"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城市</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159"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市场名称</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416"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地址</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039"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动态监测产品类别</w:t>
            </w:r>
            <w:r>
              <w:rPr>
                <w:sz w:val="24"/>
                <w:szCs w:val="24"/>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728"/>
              <w:jc w:val="center"/>
              <w:spacing w:after="0"/>
              <w:rPr>
                <w:sz w:val="24"/>
                <w:szCs w:val="24"/>
                <w:highlight w:val="none"/>
              </w:rPr>
            </w:pPr>
            <w:r>
              <w:rPr>
                <w:sz w:val="24"/>
                <w:szCs w:val="24"/>
                <w:highlight w:val="none"/>
                <w:lang w:bidi="ar"/>
              </w:rPr>
              <w:t xml:space="preserve">1</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1055"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无锡</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159"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江苏陶都陶瓷城</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416"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宜兴市丁蜀镇公园以南</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039"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陶瓷、紫砂</w:t>
            </w:r>
            <w:r>
              <w:rPr>
                <w:sz w:val="24"/>
                <w:szCs w:val="24"/>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728"/>
              <w:jc w:val="center"/>
              <w:spacing w:after="0"/>
              <w:rPr>
                <w:rFonts w:hint="eastAsia"/>
                <w:sz w:val="24"/>
                <w:szCs w:val="24"/>
                <w:highlight w:val="none"/>
              </w:rPr>
            </w:pPr>
            <w:r>
              <w:rPr>
                <w:rFonts w:hint="eastAsia"/>
                <w:sz w:val="24"/>
                <w:szCs w:val="24"/>
                <w:highlight w:val="none"/>
                <w:lang w:bidi="ar"/>
              </w:rPr>
              <w:t xml:space="preserve">2</w:t>
            </w:r>
            <w:r>
              <w:rPr>
                <w:rFonts w:hint="eastAsia"/>
                <w:sz w:val="24"/>
                <w:szCs w:val="24"/>
                <w:highlight w:val="none"/>
              </w:rPr>
            </w:r>
            <w:r/>
          </w:p>
        </w:tc>
        <w:tc>
          <w:tcPr>
            <w:tcBorders>
              <w:top w:val="single" w:color="000000" w:sz="4" w:space="0"/>
              <w:left w:val="none" w:color="000000" w:sz="4" w:space="0"/>
              <w:bottom w:val="single" w:color="000000" w:sz="4" w:space="0"/>
              <w:right w:val="single" w:color="000000" w:sz="4" w:space="0"/>
            </w:tcBorders>
            <w:tcW w:w="1055" w:type="dxa"/>
            <w:vAlign w:val="center"/>
            <w:textDirection w:val="lrTb"/>
            <w:noWrap/>
          </w:tcPr>
          <w:p>
            <w:pPr>
              <w:pStyle w:val="728"/>
              <w:jc w:val="center"/>
              <w:spacing w:after="0"/>
              <w:widowControl w:val="off"/>
              <w:rPr>
                <w:sz w:val="24"/>
                <w:szCs w:val="24"/>
                <w:highlight w:val="none"/>
              </w:rPr>
            </w:pPr>
            <w:r>
              <w:rPr>
                <w:rFonts w:hint="eastAsia" w:ascii="宋体" w:hAnsi="宋体" w:cs="宋体"/>
                <w:sz w:val="24"/>
                <w:szCs w:val="24"/>
                <w:highlight w:val="none"/>
                <w:lang w:bidi="ar"/>
              </w:rPr>
              <w:t xml:space="preserve">苏州</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159"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苏州家具博览中心</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416"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苏州市相城区相城大道</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039"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家具</w:t>
            </w:r>
            <w:r>
              <w:rPr>
                <w:sz w:val="24"/>
                <w:szCs w:val="24"/>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728"/>
              <w:jc w:val="center"/>
              <w:spacing w:after="0"/>
              <w:rPr>
                <w:rFonts w:hint="eastAsia"/>
                <w:sz w:val="24"/>
                <w:szCs w:val="24"/>
                <w:highlight w:val="none"/>
              </w:rPr>
            </w:pPr>
            <w:r>
              <w:rPr>
                <w:rFonts w:hint="eastAsia"/>
                <w:sz w:val="24"/>
                <w:szCs w:val="24"/>
                <w:highlight w:val="none"/>
                <w:lang w:bidi="ar"/>
              </w:rPr>
              <w:t xml:space="preserve">3</w:t>
            </w:r>
            <w:r>
              <w:rPr>
                <w:rFonts w:hint="eastAsia"/>
                <w:sz w:val="24"/>
                <w:szCs w:val="24"/>
                <w:highlight w:val="none"/>
              </w:rPr>
            </w:r>
            <w:r/>
          </w:p>
        </w:tc>
        <w:tc>
          <w:tcPr>
            <w:tcBorders>
              <w:top w:val="single" w:color="000000" w:sz="4" w:space="0"/>
              <w:left w:val="none" w:color="000000" w:sz="4" w:space="0"/>
              <w:bottom w:val="single" w:color="000000" w:sz="4" w:space="0"/>
              <w:right w:val="single" w:color="000000" w:sz="4" w:space="0"/>
            </w:tcBorders>
            <w:tcW w:w="1055"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镇江</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159"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中国丹阳眼镜城</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416"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丹阳市开发区中山路北侧丹阳眼镜城</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039"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眼镜及相关产品</w:t>
            </w:r>
            <w:r>
              <w:rPr>
                <w:sz w:val="24"/>
                <w:szCs w:val="24"/>
                <w:highlight w:val="none"/>
              </w:rPr>
            </w:r>
            <w:r/>
          </w:p>
        </w:tc>
      </w:tr>
      <w:tr>
        <w:trPr>
          <w:trHeight w:val="702"/>
        </w:trPr>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pStyle w:val="728"/>
              <w:jc w:val="center"/>
              <w:spacing w:after="0"/>
              <w:rPr>
                <w:rFonts w:hint="eastAsia"/>
                <w:sz w:val="24"/>
                <w:szCs w:val="24"/>
                <w:highlight w:val="none"/>
              </w:rPr>
            </w:pPr>
            <w:r>
              <w:rPr>
                <w:rFonts w:hint="eastAsia"/>
                <w:sz w:val="24"/>
                <w:szCs w:val="24"/>
                <w:highlight w:val="none"/>
                <w:lang w:bidi="ar"/>
              </w:rPr>
              <w:t xml:space="preserve">4</w:t>
            </w:r>
            <w:r>
              <w:rPr>
                <w:rFonts w:hint="eastAsia"/>
                <w:sz w:val="24"/>
                <w:szCs w:val="24"/>
                <w:highlight w:val="none"/>
              </w:rPr>
            </w:r>
            <w:r/>
          </w:p>
        </w:tc>
        <w:tc>
          <w:tcPr>
            <w:tcBorders>
              <w:top w:val="single" w:color="000000" w:sz="4" w:space="0"/>
              <w:left w:val="none" w:color="000000" w:sz="4" w:space="0"/>
              <w:bottom w:val="single" w:color="000000" w:sz="4" w:space="0"/>
              <w:right w:val="single" w:color="000000" w:sz="4" w:space="0"/>
            </w:tcBorders>
            <w:tcW w:w="1055"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泰州</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159"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泰州黄桥乐器文化产业园</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416"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泰兴市黄桥镇华溪中路</w:t>
            </w:r>
            <w:r>
              <w:rPr>
                <w:sz w:val="24"/>
                <w:szCs w:val="24"/>
                <w:highlight w:val="none"/>
                <w:lang w:bidi="ar"/>
              </w:rPr>
              <w:t xml:space="preserve">18</w:t>
            </w:r>
            <w:r>
              <w:rPr>
                <w:rFonts w:hint="eastAsia" w:ascii="宋体" w:hAnsi="宋体" w:cs="宋体"/>
                <w:sz w:val="24"/>
                <w:szCs w:val="24"/>
                <w:highlight w:val="none"/>
                <w:lang w:bidi="ar"/>
              </w:rPr>
              <w:t xml:space="preserve">号</w:t>
            </w:r>
            <w:r>
              <w:rPr>
                <w:sz w:val="24"/>
                <w:szCs w:val="24"/>
                <w:highlight w:val="none"/>
              </w:rPr>
            </w:r>
            <w:r/>
          </w:p>
        </w:tc>
        <w:tc>
          <w:tcPr>
            <w:tcBorders>
              <w:top w:val="single" w:color="000000" w:sz="4" w:space="0"/>
              <w:left w:val="none" w:color="000000" w:sz="4" w:space="0"/>
              <w:bottom w:val="single" w:color="000000" w:sz="4" w:space="0"/>
              <w:right w:val="single" w:color="000000" w:sz="4" w:space="0"/>
            </w:tcBorders>
            <w:tcW w:w="2039" w:type="dxa"/>
            <w:vAlign w:val="center"/>
            <w:textDirection w:val="lrTb"/>
            <w:noWrap w:val="false"/>
          </w:tcPr>
          <w:p>
            <w:pPr>
              <w:pStyle w:val="728"/>
              <w:jc w:val="center"/>
              <w:spacing w:after="0"/>
              <w:rPr>
                <w:sz w:val="24"/>
                <w:szCs w:val="24"/>
                <w:highlight w:val="none"/>
              </w:rPr>
            </w:pPr>
            <w:r>
              <w:rPr>
                <w:rFonts w:hint="eastAsia" w:ascii="宋体" w:hAnsi="宋体" w:cs="宋体"/>
                <w:sz w:val="24"/>
                <w:szCs w:val="24"/>
                <w:highlight w:val="none"/>
                <w:lang w:bidi="ar"/>
              </w:rPr>
              <w:t xml:space="preserve">小提琴及乐器制品</w:t>
            </w:r>
            <w:r>
              <w:rPr>
                <w:sz w:val="24"/>
                <w:szCs w:val="24"/>
                <w:highlight w:val="none"/>
              </w:rPr>
            </w:r>
            <w:r/>
          </w:p>
        </w:tc>
      </w:tr>
    </w:tbl>
    <w:p>
      <w:pPr>
        <w:pStyle w:val="728"/>
        <w:rPr>
          <w:sz w:val="24"/>
          <w:szCs w:val="24"/>
          <w:highlight w:val="none"/>
        </w:rPr>
      </w:pPr>
      <w:r>
        <w:rPr>
          <w:sz w:val="24"/>
          <w:szCs w:val="24"/>
          <w:highlight w:val="none"/>
          <w:lang w:bidi="ar"/>
        </w:rPr>
        <w:br w:type="page" w:clear="all"/>
      </w:r>
      <w:r>
        <w:rPr>
          <w:rFonts w:hint="eastAsia" w:ascii="宋体" w:hAnsi="宋体" w:cs="宋体"/>
          <w:b/>
          <w:sz w:val="24"/>
          <w:szCs w:val="24"/>
          <w:highlight w:val="none"/>
          <w:lang w:bidi="ar"/>
        </w:rPr>
        <w:t xml:space="preserve">附件</w:t>
      </w:r>
      <w:r>
        <w:rPr>
          <w:b/>
          <w:sz w:val="24"/>
          <w:szCs w:val="24"/>
          <w:highlight w:val="none"/>
          <w:lang w:bidi="ar"/>
        </w:rPr>
        <w:t xml:space="preserve">2</w:t>
      </w:r>
      <w:r>
        <w:rPr>
          <w:sz w:val="24"/>
          <w:szCs w:val="24"/>
          <w:highlight w:val="none"/>
        </w:rPr>
      </w:r>
      <w:r/>
    </w:p>
    <w:p>
      <w:pPr>
        <w:pStyle w:val="728"/>
        <w:jc w:val="center"/>
        <w:spacing w:after="0" w:line="560" w:lineRule="exact"/>
        <w:rPr>
          <w:sz w:val="24"/>
          <w:szCs w:val="24"/>
          <w:highlight w:val="none"/>
        </w:rPr>
      </w:pPr>
      <w:r>
        <w:rPr>
          <w:sz w:val="24"/>
          <w:szCs w:val="24"/>
          <w:highlight w:val="none"/>
          <w:lang w:bidi="ar"/>
        </w:rPr>
        <w:t xml:space="preserve">2026</w:t>
      </w:r>
      <w:r>
        <w:rPr>
          <w:rFonts w:hint="eastAsia" w:ascii="宋体" w:hAnsi="宋体" w:cs="宋体"/>
          <w:sz w:val="24"/>
          <w:szCs w:val="24"/>
          <w:highlight w:val="none"/>
          <w:lang w:bidi="ar"/>
        </w:rPr>
        <w:t xml:space="preserve">年江苏省专业特色市场产品质量风险动态监测内容</w:t>
      </w:r>
      <w:r>
        <w:rPr>
          <w:sz w:val="24"/>
          <w:szCs w:val="24"/>
          <w:highlight w:val="none"/>
        </w:rPr>
      </w:r>
      <w:r/>
    </w:p>
    <w:tbl>
      <w:tblPr>
        <w:tblW w:w="5420" w:type="pct"/>
        <w:tblInd w:w="-828" w:type="dxa"/>
        <w:tblLayout w:type="autofit"/>
        <w:tblCellMar>
          <w:left w:w="108" w:type="dxa"/>
          <w:top w:w="0" w:type="dxa"/>
          <w:right w:w="108" w:type="dxa"/>
          <w:bottom w:w="0" w:type="dxa"/>
        </w:tblCellMar>
        <w:tblLook w:val="04A0" w:firstRow="1" w:lastRow="0" w:firstColumn="1" w:lastColumn="0" w:noHBand="0" w:noVBand="1"/>
      </w:tblPr>
      <w:tblGrid>
        <w:gridCol w:w="756"/>
        <w:gridCol w:w="1172"/>
        <w:gridCol w:w="2068"/>
        <w:gridCol w:w="802"/>
        <w:gridCol w:w="745"/>
        <w:gridCol w:w="745"/>
        <w:gridCol w:w="978"/>
        <w:gridCol w:w="978"/>
        <w:gridCol w:w="994"/>
      </w:tblGrid>
      <w:tr>
        <w:trPr>
          <w:trHeight w:val="312"/>
        </w:trPr>
        <w:tc>
          <w:tcPr>
            <w:tcBorders>
              <w:top w:val="single" w:color="000000" w:sz="4" w:space="0"/>
              <w:left w:val="single" w:color="000000" w:sz="4" w:space="0"/>
              <w:bottom w:val="single" w:color="000000" w:sz="4" w:space="0"/>
              <w:right w:val="single" w:color="000000" w:sz="4" w:space="0"/>
            </w:tcBorders>
            <w:tcW w:w="409" w:type="dxa"/>
            <w:vAlign w:val="center"/>
            <w:vMerge w:val="restart"/>
            <w:textDirection w:val="lrTb"/>
            <w:noWrap w:val="false"/>
          </w:tcPr>
          <w:p>
            <w:pPr>
              <w:pStyle w:val="728"/>
              <w:jc w:val="center"/>
              <w:rPr>
                <w:rFonts w:ascii="方正仿宋_GBK" w:hAnsi="方正仿宋_GBK" w:eastAsia="方正仿宋_GBK" w:cs="方正仿宋_GBK"/>
                <w:color w:val="000000"/>
                <w:highlight w:val="none"/>
                <w:lang w:bidi="ar"/>
              </w:rPr>
            </w:pPr>
            <w:r>
              <w:rPr>
                <w:rFonts w:hint="eastAsia" w:ascii="方正仿宋_GBK" w:hAnsi="方正仿宋_GBK" w:eastAsia="方正仿宋_GBK" w:cs="方正仿宋_GBK"/>
                <w:color w:val="000000"/>
                <w:highlight w:val="none"/>
                <w:lang w:bidi="ar"/>
              </w:rPr>
              <w:t xml:space="preserve">采购</w:t>
            </w:r>
            <w:r>
              <w:rPr>
                <w:rFonts w:ascii="方正仿宋_GBK" w:hAnsi="方正仿宋_GBK" w:eastAsia="方正仿宋_GBK" w:cs="方正仿宋_GBK"/>
                <w:color w:val="000000"/>
                <w:highlight w:val="none"/>
                <w:lang w:bidi="ar"/>
              </w:rPr>
              <w:t xml:space="preserve">包序号</w:t>
            </w: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634" w:type="dxa"/>
            <w:vAlign w:val="center"/>
            <w:vMerge w:val="restart"/>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t xml:space="preserve">专业特色市场名称</w:t>
            </w: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t xml:space="preserve">动态监测产品品种</w:t>
            </w: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434" w:type="dxa"/>
            <w:vAlign w:val="center"/>
            <w:vMerge w:val="restart"/>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t xml:space="preserve">动态监测数量（批次）</w:t>
            </w: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t xml:space="preserve">单批次最高限价</w:t>
            </w:r>
            <w:r>
              <w:rPr>
                <w:rFonts w:hint="eastAsia" w:ascii="方正仿宋_GBK" w:hAnsi="方正仿宋_GBK" w:eastAsia="方正仿宋_GBK" w:cs="方正仿宋_GBK"/>
                <w:color w:val="000000"/>
                <w:highlight w:val="none"/>
                <w:lang w:bidi="ar"/>
              </w:rPr>
              <w:t xml:space="preserve"> （</w:t>
            </w:r>
            <w:r>
              <w:rPr>
                <w:rFonts w:ascii="方正仿宋_GBK" w:hAnsi="方正仿宋_GBK" w:eastAsia="方正仿宋_GBK" w:cs="方正仿宋_GBK"/>
                <w:color w:val="000000"/>
                <w:highlight w:val="none"/>
                <w:lang w:bidi="ar"/>
              </w:rPr>
              <w:t xml:space="preserve">元/批次）</w:t>
            </w: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restart"/>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t xml:space="preserve">采购预算</w:t>
            </w:r>
            <w:r>
              <w:rPr>
                <w:rFonts w:ascii="方正仿宋_GBK" w:hAnsi="方正仿宋_GBK" w:eastAsia="方正仿宋_GBK" w:cs="方正仿宋_GBK"/>
                <w:color w:val="000000"/>
                <w:highlight w:val="none"/>
                <w:lang w:bidi="ar"/>
              </w:rPr>
              <w:br w:type="textWrapping" w:clear="all"/>
            </w:r>
            <w:r>
              <w:rPr>
                <w:rFonts w:ascii="方正仿宋_GBK" w:hAnsi="方正仿宋_GBK" w:eastAsia="方正仿宋_GBK" w:cs="方正仿宋_GBK"/>
                <w:color w:val="000000"/>
                <w:highlight w:val="none"/>
                <w:lang w:bidi="ar"/>
              </w:rPr>
              <w:t xml:space="preserve">（万元）</w:t>
            </w:r>
            <w:r>
              <w:rPr>
                <w:rFonts w:ascii="方正仿宋_GBK" w:hAnsi="方正仿宋_GBK" w:eastAsia="方正仿宋_GBK" w:cs="方正仿宋_GBK"/>
                <w:color w:val="000000"/>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t xml:space="preserve">备注</w:t>
            </w:r>
            <w:r>
              <w:rPr>
                <w:rFonts w:ascii="方正仿宋_GBK" w:hAnsi="方正仿宋_GBK" w:eastAsia="方正仿宋_GBK" w:cs="方正仿宋_GBK"/>
                <w:color w:val="000000"/>
                <w:highlight w:val="none"/>
                <w:lang w:bidi="ar"/>
              </w:rPr>
            </w:r>
            <w:r/>
          </w:p>
        </w:tc>
      </w:tr>
      <w:tr>
        <w:trPr>
          <w:trHeight w:val="1248"/>
        </w:trPr>
        <w:tc>
          <w:tcPr>
            <w:tcBorders>
              <w:top w:val="single" w:color="000000" w:sz="4" w:space="0"/>
              <w:left w:val="single" w:color="000000" w:sz="4" w:space="0"/>
              <w:bottom w:val="single" w:color="000000" w:sz="4" w:space="0"/>
              <w:right w:val="single" w:color="000000" w:sz="4" w:space="0"/>
            </w:tcBorders>
            <w:tcW w:w="409" w:type="dxa"/>
            <w:vAlign w:val="center"/>
            <w:vMerge w:val="continue"/>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634" w:type="dxa"/>
            <w:vAlign w:val="center"/>
            <w:vMerge w:val="continue"/>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434" w:type="dxa"/>
            <w:vAlign w:val="center"/>
            <w:vMerge w:val="continue"/>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403" w:type="dxa"/>
            <w:vAlign w:val="center"/>
            <w:vMerge w:val="continue"/>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t xml:space="preserve">市场经营户数量（家）</w:t>
            </w: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t xml:space="preserve">抽查经营户比例（%）</w:t>
            </w:r>
            <w:r>
              <w:rPr>
                <w:rFonts w:ascii="方正仿宋_GBK" w:hAnsi="方正仿宋_GBK" w:eastAsia="方正仿宋_GBK" w:cs="方正仿宋_GBK"/>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rFonts w:ascii="方正仿宋_GBK" w:hAnsi="方正仿宋_GBK" w:eastAsia="方正仿宋_GBK" w:cs="方正仿宋_GBK"/>
                <w:color w:val="000000"/>
                <w:highlight w:val="none"/>
                <w:lang w:bidi="ar"/>
              </w:rPr>
            </w:pPr>
            <w:r>
              <w:rPr>
                <w:rFonts w:ascii="方正仿宋_GBK" w:hAnsi="方正仿宋_GBK" w:eastAsia="方正仿宋_GBK" w:cs="方正仿宋_GBK"/>
                <w:color w:val="000000"/>
                <w:highlight w:val="none"/>
                <w:lang w:bidi="ar"/>
              </w:rPr>
              <w:t xml:space="preserve">抽查经营户数量（家）</w:t>
            </w:r>
            <w:r>
              <w:rPr>
                <w:rFonts w:ascii="方正仿宋_GBK" w:hAnsi="方正仿宋_GBK" w:eastAsia="方正仿宋_GBK" w:cs="方正仿宋_GBK"/>
                <w:color w:val="000000"/>
                <w:highlight w:val="none"/>
                <w:lang w:bidi="ar"/>
              </w:rPr>
            </w:r>
            <w:r/>
          </w:p>
        </w:tc>
      </w:tr>
      <w:tr>
        <w:trPr>
          <w:trHeight w:val="576"/>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728"/>
              <w:jc w:val="center"/>
              <w:rPr>
                <w:color w:val="000000"/>
                <w:sz w:val="28"/>
                <w:szCs w:val="28"/>
                <w:highlight w:val="none"/>
              </w:rPr>
            </w:pPr>
            <w:r>
              <w:rPr>
                <w:color w:val="000000"/>
                <w:sz w:val="28"/>
                <w:szCs w:val="28"/>
                <w:highlight w:val="none"/>
                <w:lang w:bidi="ar"/>
              </w:rPr>
              <w:t xml:space="preserve">1</w:t>
            </w:r>
            <w:r>
              <w:rPr>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highlight w:val="none"/>
              </w:rPr>
            </w:pPr>
            <w:r>
              <w:rPr>
                <w:rFonts w:ascii="方正仿宋_GBK" w:hAnsi="方正仿宋_GBK" w:eastAsia="方正仿宋_GBK" w:cs="方正仿宋_GBK"/>
                <w:color w:val="000000"/>
                <w:highlight w:val="none"/>
                <w:lang w:bidi="ar"/>
              </w:rPr>
              <w:t xml:space="preserve">江苏陶都陶瓷城</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28"/>
              <w:jc w:val="center"/>
              <w:rPr>
                <w:color w:val="000000"/>
                <w:highlight w:val="none"/>
              </w:rPr>
            </w:pPr>
            <w:r>
              <w:rPr>
                <w:rFonts w:ascii="方正仿宋_GBK" w:hAnsi="方正仿宋_GBK" w:eastAsia="方正仿宋_GBK" w:cs="方正仿宋_GBK"/>
                <w:color w:val="000000"/>
                <w:highlight w:val="none"/>
                <w:lang w:bidi="ar"/>
              </w:rPr>
              <w:t xml:space="preserve">陶瓷、紫砂</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highlight w:val="none"/>
              </w:rPr>
            </w:pPr>
            <w:r>
              <w:rPr>
                <w:color w:val="000000"/>
                <w:highlight w:val="none"/>
                <w:lang w:bidi="ar"/>
              </w:rPr>
              <w:t xml:space="preserve">40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highlight w:val="none"/>
              </w:rPr>
            </w:pPr>
            <w:r>
              <w:rPr>
                <w:rFonts w:hint="eastAsia"/>
                <w:color w:val="000000"/>
                <w:highlight w:val="none"/>
                <w:lang w:bidi="ar"/>
              </w:rPr>
              <w:t xml:space="preserve">2700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highlight w:val="none"/>
              </w:rPr>
            </w:pPr>
            <w:r>
              <w:rPr>
                <w:color w:val="000000"/>
                <w:highlight w:val="none"/>
                <w:lang w:bidi="ar"/>
              </w:rPr>
              <w:t xml:space="preserve">10.8</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highlight w:val="none"/>
              </w:rPr>
            </w:pPr>
            <w:r>
              <w:rPr>
                <w:color w:val="000000"/>
                <w:highlight w:val="none"/>
                <w:lang w:bidi="ar"/>
              </w:rPr>
              <w:t xml:space="preserve">1800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highlight w:val="none"/>
              </w:rPr>
            </w:pPr>
            <w:r>
              <w:rPr>
                <w:color w:val="000000"/>
                <w:highlight w:val="none"/>
                <w:lang w:bidi="ar"/>
              </w:rPr>
              <w:t xml:space="preserve">2.22%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highlight w:val="none"/>
              </w:rPr>
            </w:pPr>
            <w:r>
              <w:rPr>
                <w:color w:val="000000"/>
                <w:highlight w:val="none"/>
                <w:lang w:bidi="ar"/>
              </w:rPr>
              <w:t xml:space="preserve">40</w:t>
            </w:r>
            <w:r>
              <w:rPr>
                <w:color w:val="000000"/>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728"/>
              <w:jc w:val="center"/>
              <w:rPr>
                <w:rFonts w:hint="eastAsia"/>
                <w:color w:val="000000"/>
                <w:sz w:val="28"/>
                <w:szCs w:val="28"/>
                <w:highlight w:val="none"/>
              </w:rPr>
            </w:pPr>
            <w:r>
              <w:rPr>
                <w:rFonts w:hint="eastAsia"/>
                <w:color w:val="000000"/>
                <w:sz w:val="28"/>
                <w:szCs w:val="28"/>
                <w:highlight w:val="none"/>
                <w:lang w:bidi="ar"/>
              </w:rPr>
              <w:t xml:space="preserve">2</w:t>
            </w:r>
            <w:r>
              <w:rPr>
                <w:rFonts w:hint="eastAsia"/>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highlight w:val="none"/>
              </w:rPr>
            </w:pPr>
            <w:r>
              <w:rPr>
                <w:rFonts w:ascii="方正仿宋_GBK" w:hAnsi="方正仿宋_GBK" w:eastAsia="方正仿宋_GBK" w:cs="方正仿宋_GBK"/>
                <w:color w:val="000000"/>
                <w:highlight w:val="none"/>
                <w:lang w:bidi="ar"/>
              </w:rPr>
              <w:t xml:space="preserve">苏州家具博览中心</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28"/>
              <w:jc w:val="center"/>
              <w:rPr>
                <w:color w:val="000000"/>
                <w:highlight w:val="none"/>
              </w:rPr>
            </w:pPr>
            <w:r>
              <w:rPr>
                <w:rFonts w:ascii="方正仿宋_GBK" w:hAnsi="方正仿宋_GBK" w:eastAsia="方正仿宋_GBK" w:cs="方正仿宋_GBK"/>
                <w:color w:val="000000"/>
                <w:highlight w:val="none"/>
                <w:lang w:bidi="ar"/>
              </w:rPr>
              <w:t xml:space="preserve">家具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highlight w:val="none"/>
              </w:rPr>
            </w:pPr>
            <w:r>
              <w:rPr>
                <w:color w:val="000000"/>
                <w:highlight w:val="none"/>
                <w:lang w:bidi="ar"/>
              </w:rPr>
              <w:t xml:space="preserve">60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highlight w:val="none"/>
              </w:rPr>
            </w:pPr>
            <w:r>
              <w:rPr>
                <w:rFonts w:hint="eastAsia"/>
                <w:color w:val="000000"/>
                <w:highlight w:val="none"/>
                <w:lang w:bidi="ar"/>
              </w:rPr>
              <w:t xml:space="preserve">4000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highlight w:val="none"/>
              </w:rPr>
            </w:pPr>
            <w:r>
              <w:rPr>
                <w:color w:val="000000"/>
                <w:highlight w:val="none"/>
                <w:lang w:bidi="ar"/>
              </w:rPr>
              <w:t xml:space="preserve">24</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highlight w:val="none"/>
              </w:rPr>
            </w:pPr>
            <w:r>
              <w:rPr>
                <w:color w:val="000000"/>
                <w:highlight w:val="none"/>
                <w:lang w:bidi="ar"/>
              </w:rPr>
              <w:t xml:space="preserve">1500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highlight w:val="none"/>
              </w:rPr>
            </w:pPr>
            <w:r>
              <w:rPr>
                <w:color w:val="000000"/>
                <w:highlight w:val="none"/>
                <w:lang w:bidi="ar"/>
              </w:rPr>
              <w:t xml:space="preserve">4.00%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highlight w:val="none"/>
              </w:rPr>
            </w:pPr>
            <w:r>
              <w:rPr>
                <w:color w:val="000000"/>
                <w:highlight w:val="none"/>
                <w:lang w:bidi="ar"/>
              </w:rPr>
              <w:t xml:space="preserve">60</w:t>
            </w:r>
            <w:r>
              <w:rPr>
                <w:color w:val="000000"/>
                <w:highlight w:val="none"/>
              </w:rPr>
            </w:r>
            <w:r/>
          </w:p>
        </w:tc>
      </w:tr>
      <w:tr>
        <w:trPr>
          <w:trHeight w:val="192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728"/>
              <w:jc w:val="center"/>
              <w:rPr>
                <w:rFonts w:hint="eastAsia"/>
                <w:color w:val="000000"/>
                <w:sz w:val="28"/>
                <w:szCs w:val="28"/>
                <w:highlight w:val="none"/>
              </w:rPr>
            </w:pPr>
            <w:r>
              <w:rPr>
                <w:rFonts w:hint="eastAsia"/>
                <w:color w:val="000000"/>
                <w:sz w:val="28"/>
                <w:szCs w:val="28"/>
                <w:highlight w:val="none"/>
                <w:lang w:bidi="ar"/>
              </w:rPr>
              <w:t xml:space="preserve">3</w:t>
            </w:r>
            <w:r>
              <w:rPr>
                <w:rFonts w:hint="eastAsia"/>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highlight w:val="none"/>
              </w:rPr>
            </w:pPr>
            <w:r>
              <w:rPr>
                <w:rFonts w:ascii="方正仿宋_GBK" w:hAnsi="方正仿宋_GBK" w:eastAsia="方正仿宋_GBK" w:cs="方正仿宋_GBK"/>
                <w:color w:val="000000"/>
                <w:highlight w:val="none"/>
                <w:lang w:bidi="ar"/>
              </w:rPr>
              <w:t xml:space="preserve">中国丹阳眼镜城</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28"/>
              <w:jc w:val="center"/>
              <w:rPr>
                <w:color w:val="000000"/>
                <w:highlight w:val="none"/>
              </w:rPr>
            </w:pPr>
            <w:r>
              <w:rPr>
                <w:rFonts w:ascii="方正仿宋_GBK" w:hAnsi="方正仿宋_GBK" w:eastAsia="方正仿宋_GBK" w:cs="方正仿宋_GBK"/>
                <w:color w:val="000000"/>
                <w:highlight w:val="none"/>
                <w:lang w:bidi="ar"/>
              </w:rPr>
              <w:t xml:space="preserve">眼镜及相关产品</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highlight w:val="none"/>
              </w:rPr>
            </w:pPr>
            <w:r>
              <w:rPr>
                <w:color w:val="000000"/>
                <w:highlight w:val="none"/>
                <w:lang w:bidi="ar"/>
              </w:rPr>
              <w:t xml:space="preserve">200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highlight w:val="none"/>
              </w:rPr>
            </w:pPr>
            <w:r>
              <w:rPr>
                <w:rFonts w:hint="eastAsia"/>
                <w:color w:val="000000"/>
                <w:highlight w:val="none"/>
                <w:lang w:bidi="ar"/>
              </w:rPr>
              <w:t xml:space="preserve">1870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highlight w:val="none"/>
              </w:rPr>
            </w:pPr>
            <w:r>
              <w:rPr>
                <w:color w:val="000000"/>
                <w:highlight w:val="none"/>
                <w:lang w:bidi="ar"/>
              </w:rPr>
              <w:t xml:space="preserve">37.4</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highlight w:val="none"/>
              </w:rPr>
            </w:pPr>
            <w:r>
              <w:rPr>
                <w:color w:val="000000"/>
                <w:highlight w:val="none"/>
                <w:lang w:bidi="ar"/>
              </w:rPr>
              <w:t xml:space="preserve">1600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highlight w:val="none"/>
              </w:rPr>
            </w:pPr>
            <w:r>
              <w:rPr>
                <w:color w:val="000000"/>
                <w:highlight w:val="none"/>
                <w:lang w:bidi="ar"/>
              </w:rPr>
              <w:t xml:space="preserve">12.50%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highlight w:val="none"/>
              </w:rPr>
            </w:pPr>
            <w:r>
              <w:rPr>
                <w:color w:val="000000"/>
                <w:highlight w:val="none"/>
                <w:lang w:bidi="ar"/>
              </w:rPr>
              <w:t xml:space="preserve">200</w:t>
            </w:r>
            <w:r>
              <w:rPr>
                <w:color w:val="000000"/>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pStyle w:val="728"/>
              <w:jc w:val="center"/>
              <w:rPr>
                <w:rFonts w:hint="eastAsia"/>
                <w:color w:val="000000"/>
                <w:sz w:val="28"/>
                <w:szCs w:val="28"/>
                <w:highlight w:val="none"/>
              </w:rPr>
            </w:pPr>
            <w:r>
              <w:rPr>
                <w:rFonts w:hint="eastAsia"/>
                <w:color w:val="000000"/>
                <w:sz w:val="28"/>
                <w:szCs w:val="28"/>
                <w:highlight w:val="none"/>
                <w:lang w:bidi="ar"/>
              </w:rPr>
              <w:t xml:space="preserve">4</w:t>
            </w:r>
            <w:r>
              <w:rPr>
                <w:rFonts w:hint="eastAsia"/>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8"/>
              <w:jc w:val="center"/>
              <w:rPr>
                <w:color w:val="000000"/>
                <w:highlight w:val="none"/>
              </w:rPr>
            </w:pPr>
            <w:r>
              <w:rPr>
                <w:rFonts w:ascii="方正仿宋_GBK" w:hAnsi="方正仿宋_GBK" w:eastAsia="方正仿宋_GBK" w:cs="方正仿宋_GBK"/>
                <w:color w:val="000000"/>
                <w:highlight w:val="none"/>
                <w:lang w:bidi="ar"/>
              </w:rPr>
              <w:t xml:space="preserve">泰州黄桥乐器文化产业园</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pStyle w:val="728"/>
              <w:jc w:val="center"/>
              <w:rPr>
                <w:rFonts w:ascii="方正仿宋_GBK" w:hAnsi="方正仿宋_GBK" w:eastAsia="方正仿宋_GBK" w:cs="方正仿宋_GBK"/>
                <w:color w:val="000000"/>
                <w:highlight w:val="none"/>
              </w:rPr>
            </w:pPr>
            <w:r>
              <w:rPr>
                <w:rFonts w:ascii="方正仿宋_GBK" w:hAnsi="方正仿宋_GBK" w:eastAsia="方正仿宋_GBK" w:cs="方正仿宋_GBK"/>
                <w:color w:val="000000"/>
                <w:highlight w:val="none"/>
                <w:lang w:bidi="ar"/>
              </w:rPr>
              <w:t xml:space="preserve">小提琴及乐器制品</w:t>
            </w:r>
            <w:r>
              <w:rPr>
                <w:rFonts w:ascii="方正仿宋_GBK" w:hAnsi="方正仿宋_GBK" w:eastAsia="方正仿宋_GBK" w:cs="方正仿宋_GBK"/>
                <w:color w:val="000000"/>
                <w:highlight w:val="none"/>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highlight w:val="none"/>
              </w:rPr>
            </w:pPr>
            <w:r>
              <w:rPr>
                <w:color w:val="000000"/>
                <w:highlight w:val="none"/>
                <w:lang w:bidi="ar"/>
              </w:rPr>
              <w:t xml:space="preserve">40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highlight w:val="none"/>
              </w:rPr>
            </w:pPr>
            <w:r>
              <w:rPr>
                <w:rFonts w:hint="eastAsia"/>
                <w:color w:val="000000"/>
                <w:highlight w:val="none"/>
                <w:lang w:bidi="ar"/>
              </w:rPr>
              <w:t xml:space="preserve">3000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highlight w:val="none"/>
              </w:rPr>
            </w:pPr>
            <w:r>
              <w:rPr>
                <w:color w:val="000000"/>
                <w:highlight w:val="none"/>
                <w:lang w:bidi="ar"/>
              </w:rPr>
              <w:t xml:space="preserve">12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highlight w:val="none"/>
              </w:rPr>
            </w:pPr>
            <w:r>
              <w:rPr>
                <w:color w:val="000000"/>
                <w:highlight w:val="none"/>
                <w:lang w:bidi="ar"/>
              </w:rPr>
              <w:t xml:space="preserve">220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highlight w:val="none"/>
              </w:rPr>
            </w:pPr>
            <w:r>
              <w:rPr>
                <w:color w:val="000000"/>
                <w:highlight w:val="none"/>
                <w:lang w:bidi="ar"/>
              </w:rPr>
              <w:t xml:space="preserve">18.18%</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highlight w:val="none"/>
              </w:rPr>
            </w:pPr>
            <w:r>
              <w:rPr>
                <w:color w:val="000000"/>
                <w:highlight w:val="none"/>
                <w:lang w:bidi="ar"/>
              </w:rPr>
              <w:t xml:space="preserve">40</w:t>
            </w:r>
            <w:r>
              <w:rPr>
                <w:color w:val="000000"/>
                <w:highlight w:val="none"/>
              </w:rPr>
            </w:r>
            <w:r/>
          </w:p>
        </w:tc>
      </w:tr>
      <w:tr>
        <w:trPr>
          <w:trHeight w:val="312"/>
        </w:trPr>
        <w:tc>
          <w:tcPr>
            <w:gridSpan w:val="3"/>
            <w:tcBorders>
              <w:top w:val="single" w:color="000000" w:sz="4" w:space="0"/>
              <w:left w:val="single" w:color="000000" w:sz="4" w:space="0"/>
              <w:bottom w:val="single" w:color="000000" w:sz="4" w:space="0"/>
              <w:right w:val="none" w:color="000000" w:sz="4" w:space="0"/>
            </w:tcBorders>
            <w:tcW w:w="3996" w:type="dxa"/>
            <w:vAlign w:val="center"/>
            <w:textDirection w:val="lrTb"/>
            <w:noWrap w:val="false"/>
          </w:tcPr>
          <w:p>
            <w:pPr>
              <w:pStyle w:val="728"/>
              <w:jc w:val="center"/>
              <w:rPr>
                <w:color w:val="000000"/>
                <w:sz w:val="24"/>
                <w:szCs w:val="24"/>
                <w:highlight w:val="none"/>
              </w:rPr>
            </w:pPr>
            <w:r>
              <w:rPr>
                <w:rFonts w:ascii="方正仿宋_GBK" w:hAnsi="方正仿宋_GBK" w:eastAsia="方正仿宋_GBK" w:cs="方正仿宋_GBK"/>
                <w:color w:val="000000"/>
                <w:sz w:val="24"/>
                <w:szCs w:val="24"/>
                <w:highlight w:val="none"/>
                <w:lang w:bidi="ar"/>
              </w:rPr>
              <w:t xml:space="preserve">合计：</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728"/>
              <w:jc w:val="center"/>
              <w:rPr>
                <w:color w:val="000000"/>
                <w:highlight w:val="none"/>
              </w:rPr>
            </w:pPr>
            <w:r>
              <w:rPr>
                <w:rFonts w:hint="eastAsia"/>
                <w:color w:val="000000"/>
                <w:highlight w:val="none"/>
                <w:lang w:bidi="ar"/>
              </w:rPr>
              <w:t xml:space="preserve">340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728"/>
              <w:jc w:val="center"/>
              <w:rPr>
                <w:color w:val="000000"/>
                <w:highlight w:val="none"/>
              </w:rPr>
            </w:pPr>
            <w:r>
              <w:rPr>
                <w:rFonts w:hint="eastAsia"/>
                <w:color w:val="000000"/>
                <w:highlight w:val="none"/>
                <w:lang w:bidi="ar"/>
              </w:rPr>
              <w:t xml:space="preserve">84.2</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highlight w:val="none"/>
              </w:rPr>
            </w:pPr>
            <w:r>
              <w:rPr>
                <w:rFonts w:hint="eastAsia"/>
                <w:color w:val="000000"/>
                <w:highlight w:val="none"/>
                <w:lang w:bidi="ar"/>
              </w:rPr>
              <w:t xml:space="preserve">5120</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728"/>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28"/>
              <w:jc w:val="center"/>
              <w:rPr>
                <w:color w:val="000000"/>
                <w:highlight w:val="none"/>
              </w:rPr>
            </w:pPr>
            <w:r>
              <w:rPr>
                <w:rFonts w:hint="eastAsia"/>
                <w:color w:val="000000"/>
                <w:highlight w:val="none"/>
                <w:lang w:bidi="ar"/>
              </w:rPr>
              <w:t xml:space="preserve">340</w:t>
            </w:r>
            <w:r>
              <w:rPr>
                <w:color w:val="000000"/>
                <w:highlight w:val="none"/>
              </w:rPr>
            </w:r>
            <w:r/>
          </w:p>
        </w:tc>
      </w:tr>
    </w:tbl>
    <w:p>
      <w:pPr>
        <w:pStyle w:val="728"/>
        <w:rPr>
          <w:b/>
          <w:sz w:val="24"/>
          <w:szCs w:val="24"/>
          <w:highlight w:val="none"/>
        </w:rPr>
      </w:pPr>
      <w:r>
        <w:rPr>
          <w:b/>
          <w:sz w:val="24"/>
          <w:szCs w:val="24"/>
          <w:highlight w:val="none"/>
          <w:lang w:bidi="ar"/>
        </w:rPr>
        <w:br w:type="page" w:clear="all"/>
      </w:r>
      <w:r>
        <w:rPr>
          <w:b/>
          <w:sz w:val="24"/>
          <w:szCs w:val="24"/>
          <w:highlight w:val="none"/>
        </w:rPr>
        <w:t xml:space="preserve">附件3</w:t>
      </w:r>
      <w:r>
        <w:rPr>
          <w:b/>
          <w:sz w:val="24"/>
          <w:szCs w:val="24"/>
          <w:highlight w:val="none"/>
        </w:rPr>
      </w:r>
      <w:r/>
    </w:p>
    <w:p>
      <w:pPr>
        <w:pStyle w:val="728"/>
        <w:jc w:val="center"/>
        <w:spacing w:line="360" w:lineRule="auto"/>
        <w:rPr>
          <w:bCs/>
          <w:sz w:val="24"/>
          <w:szCs w:val="24"/>
          <w:highlight w:val="none"/>
        </w:rPr>
      </w:pPr>
      <w:r>
        <w:rPr>
          <w:bCs/>
          <w:sz w:val="24"/>
          <w:szCs w:val="24"/>
          <w:highlight w:val="none"/>
        </w:rPr>
        <w:t xml:space="preserve">2026年江苏省专业特色市场产品质量风险动态监测需求明细</w:t>
      </w:r>
      <w:r>
        <w:rPr>
          <w:bCs/>
          <w:sz w:val="24"/>
          <w:szCs w:val="24"/>
          <w:highlight w:val="none"/>
        </w:rPr>
      </w:r>
      <w:r/>
    </w:p>
    <w:p>
      <w:pPr>
        <w:pStyle w:val="728"/>
        <w:rPr>
          <w:bCs/>
          <w:sz w:val="24"/>
          <w:szCs w:val="24"/>
          <w:highlight w:val="none"/>
        </w:rPr>
      </w:pPr>
      <w:r>
        <w:rPr>
          <w:bCs/>
          <w:sz w:val="24"/>
          <w:szCs w:val="24"/>
          <w:highlight w:val="none"/>
        </w:rPr>
      </w:r>
      <w:r/>
    </w:p>
    <w:p>
      <w:pPr>
        <w:pStyle w:val="728"/>
        <w:rPr>
          <w:bCs/>
          <w:sz w:val="24"/>
          <w:szCs w:val="24"/>
          <w:highlight w:val="none"/>
        </w:rPr>
      </w:pPr>
      <w:r>
        <w:rPr>
          <w:bCs/>
          <w:sz w:val="24"/>
          <w:szCs w:val="24"/>
          <w:highlight w:val="none"/>
        </w:rPr>
        <w:t xml:space="preserve">1.</w:t>
      </w:r>
      <w:r>
        <w:rPr>
          <w:sz w:val="24"/>
          <w:szCs w:val="24"/>
          <w:highlight w:val="none"/>
          <w:lang w:bidi="ar"/>
        </w:rPr>
        <w:t xml:space="preserve">江苏陶都陶瓷城(</w:t>
      </w:r>
      <w:r>
        <w:rPr>
          <w:bCs/>
          <w:sz w:val="24"/>
          <w:szCs w:val="24"/>
          <w:highlight w:val="none"/>
        </w:rPr>
        <w:t xml:space="preserve">紫砂陶制品检测项目、依据及方法)</w:t>
      </w:r>
      <w:r>
        <w:rPr>
          <w:bCs/>
          <w:sz w:val="24"/>
          <w:szCs w:val="24"/>
          <w:highlight w:val="none"/>
        </w:rPr>
      </w:r>
      <w:r/>
    </w:p>
    <w:p>
      <w:pPr>
        <w:pStyle w:val="728"/>
        <w:rPr>
          <w:sz w:val="24"/>
          <w:szCs w:val="24"/>
          <w:highlight w:val="none"/>
          <w:lang w:bidi="ar"/>
        </w:rPr>
      </w:pPr>
      <w:r>
        <w:rPr>
          <w:sz w:val="24"/>
          <w:szCs w:val="24"/>
          <w:highlight w:val="none"/>
          <w:lang w:bidi="ar"/>
        </w:rPr>
      </w:r>
      <w:r/>
    </w:p>
    <w:tbl>
      <w:tblPr>
        <w:tblW w:w="96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2496"/>
        <w:gridCol w:w="2685"/>
        <w:gridCol w:w="3241"/>
      </w:tblGrid>
      <w:tr>
        <w:trPr>
          <w:trHeight w:val="567"/>
        </w:trPr>
        <w:tc>
          <w:tcPr>
            <w:tcW w:w="1178" w:type="dxa"/>
            <w:vAlign w:val="center"/>
            <w:textDirection w:val="lrTb"/>
            <w:noWrap w:val="false"/>
          </w:tcPr>
          <w:p>
            <w:pPr>
              <w:pStyle w:val="728"/>
              <w:jc w:val="center"/>
              <w:spacing w:after="0"/>
              <w:rPr>
                <w:bCs/>
                <w:sz w:val="21"/>
                <w:szCs w:val="21"/>
                <w:highlight w:val="none"/>
              </w:rPr>
            </w:pPr>
            <w:r>
              <w:rPr>
                <w:bCs/>
                <w:sz w:val="21"/>
                <w:highlight w:val="none"/>
              </w:rPr>
              <w:t xml:space="preserve">序号</w:t>
            </w:r>
            <w:r>
              <w:rPr>
                <w:bCs/>
                <w:sz w:val="21"/>
                <w:szCs w:val="21"/>
                <w:highlight w:val="none"/>
              </w:rPr>
            </w:r>
            <w:r/>
          </w:p>
        </w:tc>
        <w:tc>
          <w:tcPr>
            <w:tcW w:w="2496" w:type="dxa"/>
            <w:vAlign w:val="center"/>
            <w:textDirection w:val="lrTb"/>
            <w:noWrap w:val="false"/>
          </w:tcPr>
          <w:p>
            <w:pPr>
              <w:pStyle w:val="728"/>
              <w:jc w:val="center"/>
              <w:spacing w:after="0"/>
              <w:rPr>
                <w:bCs/>
                <w:sz w:val="21"/>
                <w:szCs w:val="21"/>
                <w:highlight w:val="none"/>
              </w:rPr>
            </w:pPr>
            <w:r>
              <w:rPr>
                <w:bCs/>
                <w:sz w:val="21"/>
                <w:highlight w:val="none"/>
              </w:rPr>
              <w:t xml:space="preserve">检验项目</w:t>
            </w:r>
            <w:r>
              <w:rPr>
                <w:bCs/>
                <w:sz w:val="21"/>
                <w:szCs w:val="21"/>
                <w:highlight w:val="none"/>
              </w:rPr>
            </w:r>
            <w:r/>
          </w:p>
        </w:tc>
        <w:tc>
          <w:tcPr>
            <w:tcW w:w="2685" w:type="dxa"/>
            <w:vAlign w:val="center"/>
            <w:textDirection w:val="lrTb"/>
            <w:noWrap w:val="false"/>
          </w:tcPr>
          <w:p>
            <w:pPr>
              <w:pStyle w:val="728"/>
              <w:jc w:val="center"/>
              <w:spacing w:after="0"/>
              <w:rPr>
                <w:bCs/>
                <w:sz w:val="21"/>
                <w:szCs w:val="21"/>
                <w:highlight w:val="none"/>
              </w:rPr>
            </w:pPr>
            <w:r>
              <w:rPr>
                <w:bCs/>
                <w:sz w:val="21"/>
                <w:highlight w:val="none"/>
              </w:rPr>
              <w:t xml:space="preserve">检验依据</w:t>
            </w:r>
            <w:r>
              <w:rPr>
                <w:bCs/>
                <w:sz w:val="21"/>
                <w:szCs w:val="21"/>
                <w:highlight w:val="none"/>
              </w:rPr>
            </w:r>
            <w:r/>
          </w:p>
        </w:tc>
        <w:tc>
          <w:tcPr>
            <w:tcW w:w="3241" w:type="dxa"/>
            <w:vAlign w:val="center"/>
            <w:textDirection w:val="lrTb"/>
            <w:noWrap w:val="false"/>
          </w:tcPr>
          <w:p>
            <w:pPr>
              <w:pStyle w:val="728"/>
              <w:jc w:val="center"/>
              <w:spacing w:after="0"/>
              <w:rPr>
                <w:bCs/>
                <w:sz w:val="21"/>
                <w:szCs w:val="21"/>
                <w:highlight w:val="none"/>
              </w:rPr>
            </w:pPr>
            <w:r>
              <w:rPr>
                <w:bCs/>
                <w:sz w:val="21"/>
                <w:highlight w:val="none"/>
              </w:rPr>
              <w:t xml:space="preserve">检验方法</w:t>
            </w:r>
            <w:r>
              <w:rPr>
                <w:bCs/>
                <w:sz w:val="21"/>
                <w:szCs w:val="21"/>
                <w:highlight w:val="none"/>
              </w:rPr>
            </w:r>
            <w:r/>
          </w:p>
        </w:tc>
      </w:tr>
      <w:tr>
        <w:trPr>
          <w:trHeight w:val="510"/>
        </w:trPr>
        <w:tc>
          <w:tcPr>
            <w:tcW w:w="1178" w:type="dxa"/>
            <w:vAlign w:val="center"/>
            <w:textDirection w:val="lrTb"/>
            <w:noWrap w:val="false"/>
          </w:tcPr>
          <w:p>
            <w:pPr>
              <w:pStyle w:val="728"/>
              <w:jc w:val="center"/>
              <w:spacing w:after="0"/>
              <w:rPr>
                <w:sz w:val="21"/>
                <w:szCs w:val="21"/>
                <w:highlight w:val="none"/>
              </w:rPr>
            </w:pPr>
            <w:r>
              <w:rPr>
                <w:sz w:val="21"/>
                <w:highlight w:val="none"/>
              </w:rPr>
              <w:t xml:space="preserve">1</w:t>
            </w:r>
            <w:r>
              <w:rPr>
                <w:sz w:val="21"/>
                <w:szCs w:val="21"/>
                <w:highlight w:val="none"/>
              </w:rPr>
            </w:r>
            <w:r/>
          </w:p>
        </w:tc>
        <w:tc>
          <w:tcPr>
            <w:tcW w:w="2496" w:type="dxa"/>
            <w:vAlign w:val="center"/>
            <w:textDirection w:val="lrTb"/>
            <w:noWrap w:val="false"/>
          </w:tcPr>
          <w:p>
            <w:pPr>
              <w:pStyle w:val="728"/>
              <w:jc w:val="center"/>
              <w:spacing w:after="0"/>
              <w:rPr>
                <w:sz w:val="21"/>
                <w:szCs w:val="21"/>
                <w:highlight w:val="none"/>
              </w:rPr>
            </w:pPr>
            <w:r>
              <w:rPr>
                <w:sz w:val="21"/>
                <w:highlight w:val="none"/>
              </w:rPr>
              <w:t xml:space="preserve">铅迁移量</w:t>
            </w:r>
            <w:r>
              <w:rPr>
                <w:sz w:val="21"/>
                <w:szCs w:val="21"/>
                <w:highlight w:val="none"/>
              </w:rPr>
            </w:r>
            <w:r/>
          </w:p>
        </w:tc>
        <w:tc>
          <w:tcPr>
            <w:tcW w:w="2685" w:type="dxa"/>
            <w:vAlign w:val="center"/>
            <w:vMerge w:val="restart"/>
            <w:textDirection w:val="lrTb"/>
            <w:noWrap w:val="false"/>
          </w:tcPr>
          <w:p>
            <w:pPr>
              <w:pStyle w:val="728"/>
              <w:jc w:val="center"/>
              <w:spacing w:after="0"/>
              <w:rPr>
                <w:sz w:val="21"/>
                <w:szCs w:val="21"/>
                <w:highlight w:val="none"/>
              </w:rPr>
            </w:pPr>
            <w:r>
              <w:rPr>
                <w:sz w:val="21"/>
                <w:highlight w:val="none"/>
              </w:rPr>
              <w:t xml:space="preserve">GB 4806.4-2016</w:t>
            </w:r>
            <w:r>
              <w:rPr>
                <w:sz w:val="21"/>
                <w:szCs w:val="21"/>
                <w:highlight w:val="none"/>
              </w:rPr>
            </w:r>
            <w:r/>
          </w:p>
        </w:tc>
        <w:tc>
          <w:tcPr>
            <w:tcW w:w="3241" w:type="dxa"/>
            <w:vAlign w:val="center"/>
            <w:textDirection w:val="lrTb"/>
            <w:noWrap w:val="false"/>
          </w:tcPr>
          <w:p>
            <w:pPr>
              <w:pStyle w:val="728"/>
              <w:jc w:val="center"/>
              <w:spacing w:after="0"/>
              <w:rPr>
                <w:sz w:val="21"/>
                <w:szCs w:val="21"/>
                <w:highlight w:val="none"/>
              </w:rPr>
            </w:pPr>
            <w:r>
              <w:rPr>
                <w:sz w:val="21"/>
                <w:highlight w:val="none"/>
              </w:rPr>
              <w:t xml:space="preserve">GB 31604.49-2016</w:t>
            </w:r>
            <w:r>
              <w:rPr>
                <w:sz w:val="21"/>
                <w:szCs w:val="21"/>
                <w:highlight w:val="none"/>
              </w:rPr>
            </w:r>
            <w:r/>
          </w:p>
        </w:tc>
      </w:tr>
      <w:tr>
        <w:trPr>
          <w:trHeight w:val="510"/>
        </w:trPr>
        <w:tc>
          <w:tcPr>
            <w:tcW w:w="1178" w:type="dxa"/>
            <w:vAlign w:val="center"/>
            <w:textDirection w:val="lrTb"/>
            <w:noWrap w:val="false"/>
          </w:tcPr>
          <w:p>
            <w:pPr>
              <w:pStyle w:val="728"/>
              <w:jc w:val="center"/>
              <w:spacing w:after="0"/>
              <w:rPr>
                <w:sz w:val="21"/>
                <w:szCs w:val="21"/>
                <w:highlight w:val="none"/>
              </w:rPr>
            </w:pPr>
            <w:r>
              <w:rPr>
                <w:sz w:val="21"/>
                <w:highlight w:val="none"/>
              </w:rPr>
              <w:t xml:space="preserve">2</w:t>
            </w:r>
            <w:r>
              <w:rPr>
                <w:sz w:val="21"/>
                <w:szCs w:val="21"/>
                <w:highlight w:val="none"/>
              </w:rPr>
            </w:r>
            <w:r/>
          </w:p>
        </w:tc>
        <w:tc>
          <w:tcPr>
            <w:tcW w:w="2496" w:type="dxa"/>
            <w:vAlign w:val="center"/>
            <w:textDirection w:val="lrTb"/>
            <w:noWrap w:val="false"/>
          </w:tcPr>
          <w:p>
            <w:pPr>
              <w:pStyle w:val="728"/>
              <w:jc w:val="center"/>
              <w:spacing w:after="0"/>
              <w:rPr>
                <w:sz w:val="21"/>
                <w:szCs w:val="21"/>
                <w:highlight w:val="none"/>
              </w:rPr>
            </w:pPr>
            <w:r>
              <w:rPr>
                <w:sz w:val="21"/>
                <w:highlight w:val="none"/>
              </w:rPr>
              <w:t xml:space="preserve">镉迁移量</w:t>
            </w:r>
            <w:r>
              <w:rPr>
                <w:sz w:val="21"/>
                <w:szCs w:val="21"/>
                <w:highlight w:val="none"/>
              </w:rPr>
            </w:r>
            <w:r/>
          </w:p>
        </w:tc>
        <w:tc>
          <w:tcPr>
            <w:tcW w:w="2685" w:type="dxa"/>
            <w:vAlign w:val="center"/>
            <w:vMerge w:val="continue"/>
            <w:textDirection w:val="lrTb"/>
            <w:noWrap w:val="false"/>
          </w:tcPr>
          <w:p>
            <w:pPr>
              <w:pStyle w:val="728"/>
              <w:jc w:val="center"/>
              <w:spacing w:after="0"/>
              <w:rPr>
                <w:sz w:val="21"/>
                <w:szCs w:val="21"/>
                <w:highlight w:val="none"/>
              </w:rPr>
            </w:pPr>
            <w:r>
              <w:rPr>
                <w:sz w:val="21"/>
                <w:szCs w:val="21"/>
                <w:highlight w:val="none"/>
              </w:rPr>
            </w:r>
            <w:r/>
          </w:p>
        </w:tc>
        <w:tc>
          <w:tcPr>
            <w:tcW w:w="3241" w:type="dxa"/>
            <w:vAlign w:val="center"/>
            <w:textDirection w:val="lrTb"/>
            <w:noWrap w:val="false"/>
          </w:tcPr>
          <w:p>
            <w:pPr>
              <w:pStyle w:val="728"/>
              <w:jc w:val="center"/>
              <w:spacing w:after="0"/>
              <w:rPr>
                <w:sz w:val="21"/>
                <w:szCs w:val="21"/>
                <w:highlight w:val="none"/>
              </w:rPr>
            </w:pPr>
            <w:r>
              <w:rPr>
                <w:sz w:val="21"/>
                <w:highlight w:val="none"/>
              </w:rPr>
              <w:t xml:space="preserve">GB 31604.49-2016</w:t>
            </w:r>
            <w:r>
              <w:rPr>
                <w:sz w:val="21"/>
                <w:szCs w:val="21"/>
                <w:highlight w:val="none"/>
              </w:rPr>
            </w:r>
            <w:r/>
          </w:p>
        </w:tc>
      </w:tr>
      <w:tr>
        <w:trPr>
          <w:trHeight w:val="510"/>
        </w:trPr>
        <w:tc>
          <w:tcPr>
            <w:tcW w:w="1178" w:type="dxa"/>
            <w:vAlign w:val="center"/>
            <w:textDirection w:val="lrTb"/>
            <w:noWrap w:val="false"/>
          </w:tcPr>
          <w:p>
            <w:pPr>
              <w:pStyle w:val="728"/>
              <w:jc w:val="center"/>
              <w:spacing w:after="0"/>
              <w:rPr>
                <w:sz w:val="21"/>
                <w:szCs w:val="21"/>
                <w:highlight w:val="none"/>
              </w:rPr>
            </w:pPr>
            <w:r>
              <w:rPr>
                <w:sz w:val="21"/>
                <w:highlight w:val="none"/>
              </w:rPr>
              <w:t xml:space="preserve">3</w:t>
            </w:r>
            <w:r>
              <w:rPr>
                <w:sz w:val="21"/>
                <w:szCs w:val="21"/>
                <w:highlight w:val="none"/>
              </w:rPr>
            </w:r>
            <w:r/>
          </w:p>
        </w:tc>
        <w:tc>
          <w:tcPr>
            <w:tcW w:w="2496" w:type="dxa"/>
            <w:vAlign w:val="center"/>
            <w:textDirection w:val="lrTb"/>
            <w:noWrap w:val="false"/>
          </w:tcPr>
          <w:p>
            <w:pPr>
              <w:pStyle w:val="728"/>
              <w:jc w:val="center"/>
              <w:spacing w:after="0"/>
              <w:rPr>
                <w:sz w:val="21"/>
                <w:szCs w:val="21"/>
                <w:highlight w:val="none"/>
              </w:rPr>
            </w:pPr>
            <w:r>
              <w:rPr>
                <w:sz w:val="21"/>
                <w:highlight w:val="none"/>
              </w:rPr>
              <w:t xml:space="preserve">吸水率</w:t>
            </w:r>
            <w:r>
              <w:rPr>
                <w:sz w:val="21"/>
                <w:szCs w:val="21"/>
                <w:highlight w:val="none"/>
              </w:rPr>
            </w:r>
            <w:r/>
          </w:p>
        </w:tc>
        <w:tc>
          <w:tcPr>
            <w:tcW w:w="2685" w:type="dxa"/>
            <w:vAlign w:val="center"/>
            <w:vMerge w:val="restart"/>
            <w:textDirection w:val="lrTb"/>
            <w:noWrap w:val="false"/>
          </w:tcPr>
          <w:p>
            <w:pPr>
              <w:pStyle w:val="728"/>
              <w:jc w:val="center"/>
              <w:spacing w:after="0"/>
              <w:rPr>
                <w:sz w:val="21"/>
                <w:szCs w:val="21"/>
                <w:highlight w:val="none"/>
              </w:rPr>
            </w:pPr>
            <w:r>
              <w:rPr>
                <w:sz w:val="21"/>
                <w:highlight w:val="none"/>
              </w:rPr>
              <w:t xml:space="preserve">GB/T 10816-2008</w:t>
            </w:r>
            <w:r>
              <w:rPr>
                <w:sz w:val="21"/>
                <w:szCs w:val="21"/>
                <w:highlight w:val="none"/>
              </w:rPr>
            </w:r>
            <w:r/>
          </w:p>
        </w:tc>
        <w:tc>
          <w:tcPr>
            <w:tcW w:w="3241" w:type="dxa"/>
            <w:vAlign w:val="center"/>
            <w:textDirection w:val="lrTb"/>
            <w:noWrap w:val="false"/>
          </w:tcPr>
          <w:p>
            <w:pPr>
              <w:pStyle w:val="728"/>
              <w:jc w:val="center"/>
              <w:spacing w:after="0"/>
              <w:rPr>
                <w:sz w:val="21"/>
                <w:szCs w:val="21"/>
                <w:highlight w:val="none"/>
              </w:rPr>
            </w:pPr>
            <w:r>
              <w:rPr>
                <w:sz w:val="21"/>
                <w:highlight w:val="none"/>
              </w:rPr>
              <w:t xml:space="preserve">GB/T 3299-2011</w:t>
            </w:r>
            <w:r>
              <w:rPr>
                <w:sz w:val="21"/>
                <w:szCs w:val="21"/>
                <w:highlight w:val="none"/>
              </w:rPr>
            </w:r>
            <w:r/>
          </w:p>
        </w:tc>
      </w:tr>
      <w:tr>
        <w:trPr>
          <w:trHeight w:val="510"/>
        </w:trPr>
        <w:tc>
          <w:tcPr>
            <w:tcW w:w="1178" w:type="dxa"/>
            <w:vAlign w:val="center"/>
            <w:textDirection w:val="lrTb"/>
            <w:noWrap w:val="false"/>
          </w:tcPr>
          <w:p>
            <w:pPr>
              <w:pStyle w:val="728"/>
              <w:jc w:val="center"/>
              <w:spacing w:after="0"/>
              <w:rPr>
                <w:sz w:val="21"/>
                <w:szCs w:val="21"/>
                <w:highlight w:val="none"/>
              </w:rPr>
            </w:pPr>
            <w:r>
              <w:rPr>
                <w:sz w:val="21"/>
                <w:highlight w:val="none"/>
              </w:rPr>
              <w:t xml:space="preserve">4</w:t>
            </w:r>
            <w:r>
              <w:rPr>
                <w:sz w:val="21"/>
                <w:szCs w:val="21"/>
                <w:highlight w:val="none"/>
              </w:rPr>
            </w:r>
            <w:r/>
          </w:p>
        </w:tc>
        <w:tc>
          <w:tcPr>
            <w:tcW w:w="2496" w:type="dxa"/>
            <w:vAlign w:val="center"/>
            <w:textDirection w:val="lrTb"/>
            <w:noWrap w:val="false"/>
          </w:tcPr>
          <w:p>
            <w:pPr>
              <w:pStyle w:val="728"/>
              <w:jc w:val="center"/>
              <w:spacing w:after="0"/>
              <w:rPr>
                <w:sz w:val="21"/>
                <w:szCs w:val="21"/>
                <w:highlight w:val="none"/>
              </w:rPr>
            </w:pPr>
            <w:r>
              <w:rPr>
                <w:sz w:val="21"/>
                <w:highlight w:val="none"/>
              </w:rPr>
              <w:t xml:space="preserve">抗热震性</w:t>
            </w:r>
            <w:r>
              <w:rPr>
                <w:sz w:val="21"/>
                <w:szCs w:val="21"/>
                <w:highlight w:val="none"/>
              </w:rPr>
            </w:r>
            <w:r/>
          </w:p>
        </w:tc>
        <w:tc>
          <w:tcPr>
            <w:tcW w:w="2685" w:type="dxa"/>
            <w:vAlign w:val="center"/>
            <w:vMerge w:val="continue"/>
            <w:textDirection w:val="lrTb"/>
            <w:noWrap w:val="false"/>
          </w:tcPr>
          <w:p>
            <w:pPr>
              <w:pStyle w:val="728"/>
              <w:jc w:val="center"/>
              <w:spacing w:after="0"/>
              <w:rPr>
                <w:sz w:val="21"/>
                <w:szCs w:val="21"/>
                <w:highlight w:val="none"/>
              </w:rPr>
            </w:pPr>
            <w:r>
              <w:rPr>
                <w:sz w:val="21"/>
                <w:szCs w:val="21"/>
                <w:highlight w:val="none"/>
              </w:rPr>
            </w:r>
            <w:r/>
          </w:p>
        </w:tc>
        <w:tc>
          <w:tcPr>
            <w:tcW w:w="3241" w:type="dxa"/>
            <w:vAlign w:val="center"/>
            <w:textDirection w:val="lrTb"/>
            <w:noWrap w:val="false"/>
          </w:tcPr>
          <w:p>
            <w:pPr>
              <w:pStyle w:val="728"/>
              <w:jc w:val="center"/>
              <w:spacing w:after="0"/>
              <w:rPr>
                <w:sz w:val="21"/>
                <w:szCs w:val="21"/>
                <w:highlight w:val="none"/>
              </w:rPr>
            </w:pPr>
            <w:r>
              <w:rPr>
                <w:sz w:val="21"/>
                <w:highlight w:val="none"/>
              </w:rPr>
              <w:t xml:space="preserve">GB/T 3298-2022</w:t>
            </w:r>
            <w:r>
              <w:rPr>
                <w:sz w:val="21"/>
                <w:szCs w:val="21"/>
                <w:highlight w:val="none"/>
              </w:rPr>
            </w:r>
            <w:r/>
          </w:p>
        </w:tc>
      </w:tr>
      <w:tr>
        <w:trPr>
          <w:trHeight w:val="510"/>
        </w:trPr>
        <w:tc>
          <w:tcPr>
            <w:tcW w:w="1178" w:type="dxa"/>
            <w:vAlign w:val="center"/>
            <w:textDirection w:val="lrTb"/>
            <w:noWrap w:val="false"/>
          </w:tcPr>
          <w:p>
            <w:pPr>
              <w:pStyle w:val="728"/>
              <w:jc w:val="center"/>
              <w:spacing w:after="0"/>
              <w:rPr>
                <w:sz w:val="21"/>
                <w:szCs w:val="21"/>
                <w:highlight w:val="none"/>
              </w:rPr>
            </w:pPr>
            <w:r>
              <w:rPr>
                <w:sz w:val="21"/>
                <w:highlight w:val="none"/>
              </w:rPr>
              <w:t xml:space="preserve">5</w:t>
            </w:r>
            <w:r>
              <w:rPr>
                <w:sz w:val="21"/>
                <w:szCs w:val="21"/>
                <w:highlight w:val="none"/>
              </w:rPr>
            </w:r>
            <w:r/>
          </w:p>
        </w:tc>
        <w:tc>
          <w:tcPr>
            <w:tcW w:w="2496" w:type="dxa"/>
            <w:vAlign w:val="center"/>
            <w:textDirection w:val="lrTb"/>
            <w:noWrap w:val="false"/>
          </w:tcPr>
          <w:p>
            <w:pPr>
              <w:pStyle w:val="728"/>
              <w:jc w:val="center"/>
              <w:spacing w:after="0"/>
              <w:rPr>
                <w:sz w:val="21"/>
                <w:szCs w:val="21"/>
                <w:highlight w:val="none"/>
              </w:rPr>
            </w:pPr>
            <w:r>
              <w:rPr>
                <w:sz w:val="21"/>
                <w:highlight w:val="none"/>
              </w:rPr>
              <w:t xml:space="preserve">口径误差</w:t>
            </w:r>
            <w:r>
              <w:rPr>
                <w:sz w:val="21"/>
                <w:szCs w:val="21"/>
                <w:highlight w:val="none"/>
              </w:rPr>
            </w:r>
            <w:r/>
          </w:p>
        </w:tc>
        <w:tc>
          <w:tcPr>
            <w:tcW w:w="2685" w:type="dxa"/>
            <w:vAlign w:val="center"/>
            <w:vMerge w:val="continue"/>
            <w:textDirection w:val="lrTb"/>
            <w:noWrap w:val="false"/>
          </w:tcPr>
          <w:p>
            <w:pPr>
              <w:pStyle w:val="728"/>
              <w:jc w:val="center"/>
              <w:spacing w:after="0"/>
              <w:rPr>
                <w:sz w:val="21"/>
                <w:szCs w:val="21"/>
                <w:highlight w:val="none"/>
              </w:rPr>
            </w:pPr>
            <w:r>
              <w:rPr>
                <w:sz w:val="21"/>
                <w:szCs w:val="21"/>
                <w:highlight w:val="none"/>
              </w:rPr>
            </w:r>
            <w:r/>
          </w:p>
        </w:tc>
        <w:tc>
          <w:tcPr>
            <w:tcW w:w="3241" w:type="dxa"/>
            <w:vAlign w:val="center"/>
            <w:textDirection w:val="lrTb"/>
            <w:noWrap w:val="false"/>
          </w:tcPr>
          <w:p>
            <w:pPr>
              <w:pStyle w:val="728"/>
              <w:jc w:val="center"/>
              <w:spacing w:after="0"/>
              <w:rPr>
                <w:sz w:val="21"/>
                <w:szCs w:val="21"/>
                <w:highlight w:val="none"/>
              </w:rPr>
            </w:pPr>
            <w:r>
              <w:rPr>
                <w:sz w:val="21"/>
                <w:highlight w:val="none"/>
              </w:rPr>
              <w:t xml:space="preserve">GB/T 3301-1999</w:t>
            </w:r>
            <w:r>
              <w:rPr>
                <w:sz w:val="21"/>
                <w:szCs w:val="21"/>
                <w:highlight w:val="none"/>
              </w:rPr>
            </w:r>
            <w:r/>
          </w:p>
        </w:tc>
      </w:tr>
      <w:tr>
        <w:trPr>
          <w:trHeight w:val="510"/>
        </w:trPr>
        <w:tc>
          <w:tcPr>
            <w:tcW w:w="1178" w:type="dxa"/>
            <w:vAlign w:val="center"/>
            <w:textDirection w:val="lrTb"/>
            <w:noWrap w:val="false"/>
          </w:tcPr>
          <w:p>
            <w:pPr>
              <w:pStyle w:val="728"/>
              <w:jc w:val="center"/>
              <w:spacing w:after="0"/>
              <w:rPr>
                <w:sz w:val="21"/>
                <w:szCs w:val="21"/>
                <w:highlight w:val="none"/>
              </w:rPr>
            </w:pPr>
            <w:r>
              <w:rPr>
                <w:sz w:val="21"/>
                <w:highlight w:val="none"/>
              </w:rPr>
              <w:t xml:space="preserve">6</w:t>
            </w:r>
            <w:r>
              <w:rPr>
                <w:sz w:val="21"/>
                <w:szCs w:val="21"/>
                <w:highlight w:val="none"/>
              </w:rPr>
            </w:r>
            <w:r/>
          </w:p>
        </w:tc>
        <w:tc>
          <w:tcPr>
            <w:tcW w:w="2496" w:type="dxa"/>
            <w:vAlign w:val="center"/>
            <w:textDirection w:val="lrTb"/>
            <w:noWrap w:val="false"/>
          </w:tcPr>
          <w:p>
            <w:pPr>
              <w:pStyle w:val="728"/>
              <w:jc w:val="center"/>
              <w:spacing w:after="0"/>
              <w:rPr>
                <w:sz w:val="21"/>
                <w:szCs w:val="21"/>
                <w:highlight w:val="none"/>
              </w:rPr>
            </w:pPr>
            <w:r>
              <w:rPr>
                <w:sz w:val="21"/>
                <w:highlight w:val="none"/>
              </w:rPr>
              <w:t xml:space="preserve">盖与口的要求</w:t>
            </w:r>
            <w:r>
              <w:rPr>
                <w:sz w:val="21"/>
                <w:szCs w:val="21"/>
                <w:highlight w:val="none"/>
              </w:rPr>
            </w:r>
            <w:r/>
          </w:p>
        </w:tc>
        <w:tc>
          <w:tcPr>
            <w:tcW w:w="2685" w:type="dxa"/>
            <w:vAlign w:val="center"/>
            <w:vMerge w:val="continue"/>
            <w:textDirection w:val="lrTb"/>
            <w:noWrap w:val="false"/>
          </w:tcPr>
          <w:p>
            <w:pPr>
              <w:pStyle w:val="728"/>
              <w:jc w:val="center"/>
              <w:spacing w:after="0"/>
              <w:rPr>
                <w:sz w:val="21"/>
                <w:szCs w:val="21"/>
                <w:highlight w:val="none"/>
              </w:rPr>
            </w:pPr>
            <w:r>
              <w:rPr>
                <w:sz w:val="21"/>
                <w:szCs w:val="21"/>
                <w:highlight w:val="none"/>
              </w:rPr>
            </w:r>
            <w:r/>
          </w:p>
        </w:tc>
        <w:tc>
          <w:tcPr>
            <w:tcW w:w="3241" w:type="dxa"/>
            <w:vAlign w:val="center"/>
            <w:textDirection w:val="lrTb"/>
            <w:noWrap w:val="false"/>
          </w:tcPr>
          <w:p>
            <w:pPr>
              <w:pStyle w:val="728"/>
              <w:jc w:val="center"/>
              <w:spacing w:after="0"/>
              <w:rPr>
                <w:sz w:val="21"/>
                <w:szCs w:val="21"/>
                <w:highlight w:val="none"/>
              </w:rPr>
            </w:pPr>
            <w:r>
              <w:rPr>
                <w:sz w:val="21"/>
                <w:highlight w:val="none"/>
              </w:rPr>
              <w:t xml:space="preserve">GB/T 10816-2008</w:t>
            </w:r>
            <w:r>
              <w:rPr>
                <w:sz w:val="21"/>
                <w:szCs w:val="21"/>
                <w:highlight w:val="none"/>
              </w:rPr>
            </w:r>
            <w:r/>
          </w:p>
        </w:tc>
      </w:tr>
      <w:tr>
        <w:trPr>
          <w:trHeight w:val="510"/>
        </w:trPr>
        <w:tc>
          <w:tcPr>
            <w:tcW w:w="1178" w:type="dxa"/>
            <w:vAlign w:val="center"/>
            <w:textDirection w:val="lrTb"/>
            <w:noWrap w:val="false"/>
          </w:tcPr>
          <w:p>
            <w:pPr>
              <w:pStyle w:val="728"/>
              <w:jc w:val="center"/>
              <w:spacing w:after="0"/>
              <w:rPr>
                <w:sz w:val="21"/>
                <w:szCs w:val="21"/>
                <w:highlight w:val="none"/>
              </w:rPr>
            </w:pPr>
            <w:r>
              <w:rPr>
                <w:sz w:val="21"/>
                <w:highlight w:val="none"/>
              </w:rPr>
              <w:t xml:space="preserve">7</w:t>
            </w:r>
            <w:r>
              <w:rPr>
                <w:sz w:val="21"/>
                <w:szCs w:val="21"/>
                <w:highlight w:val="none"/>
              </w:rPr>
            </w:r>
            <w:r/>
          </w:p>
        </w:tc>
        <w:tc>
          <w:tcPr>
            <w:tcW w:w="2496" w:type="dxa"/>
            <w:vAlign w:val="center"/>
            <w:textDirection w:val="lrTb"/>
            <w:noWrap w:val="false"/>
          </w:tcPr>
          <w:p>
            <w:pPr>
              <w:pStyle w:val="728"/>
              <w:jc w:val="center"/>
              <w:spacing w:after="0"/>
              <w:rPr>
                <w:sz w:val="21"/>
                <w:szCs w:val="21"/>
                <w:highlight w:val="none"/>
              </w:rPr>
            </w:pPr>
            <w:r>
              <w:rPr>
                <w:sz w:val="21"/>
                <w:highlight w:val="none"/>
              </w:rPr>
              <w:t xml:space="preserve">壶盖配套性</w:t>
            </w:r>
            <w:r>
              <w:rPr>
                <w:sz w:val="21"/>
                <w:szCs w:val="21"/>
                <w:highlight w:val="none"/>
              </w:rPr>
            </w:r>
            <w:r/>
          </w:p>
        </w:tc>
        <w:tc>
          <w:tcPr>
            <w:tcW w:w="2685" w:type="dxa"/>
            <w:vAlign w:val="center"/>
            <w:vMerge w:val="continue"/>
            <w:textDirection w:val="lrTb"/>
            <w:noWrap w:val="false"/>
          </w:tcPr>
          <w:p>
            <w:pPr>
              <w:pStyle w:val="728"/>
              <w:jc w:val="center"/>
              <w:spacing w:after="0"/>
              <w:rPr>
                <w:sz w:val="21"/>
                <w:szCs w:val="21"/>
                <w:highlight w:val="none"/>
              </w:rPr>
            </w:pPr>
            <w:r>
              <w:rPr>
                <w:sz w:val="21"/>
                <w:szCs w:val="21"/>
                <w:highlight w:val="none"/>
              </w:rPr>
            </w:r>
            <w:r/>
          </w:p>
        </w:tc>
        <w:tc>
          <w:tcPr>
            <w:tcW w:w="3241" w:type="dxa"/>
            <w:vAlign w:val="center"/>
            <w:textDirection w:val="lrTb"/>
            <w:noWrap w:val="false"/>
          </w:tcPr>
          <w:p>
            <w:pPr>
              <w:pStyle w:val="728"/>
              <w:jc w:val="center"/>
              <w:spacing w:after="0"/>
              <w:rPr>
                <w:sz w:val="21"/>
                <w:szCs w:val="21"/>
                <w:highlight w:val="none"/>
              </w:rPr>
            </w:pPr>
            <w:r>
              <w:rPr>
                <w:sz w:val="21"/>
                <w:highlight w:val="none"/>
              </w:rPr>
              <w:t xml:space="preserve">GB/T 10816-2008</w:t>
            </w:r>
            <w:r>
              <w:rPr>
                <w:sz w:val="21"/>
                <w:szCs w:val="21"/>
                <w:highlight w:val="none"/>
              </w:rPr>
            </w:r>
            <w:r/>
          </w:p>
        </w:tc>
      </w:tr>
      <w:tr>
        <w:trPr>
          <w:trHeight w:val="510"/>
        </w:trPr>
        <w:tc>
          <w:tcPr>
            <w:tcW w:w="1178" w:type="dxa"/>
            <w:vAlign w:val="center"/>
            <w:textDirection w:val="lrTb"/>
            <w:noWrap w:val="false"/>
          </w:tcPr>
          <w:p>
            <w:pPr>
              <w:pStyle w:val="728"/>
              <w:jc w:val="center"/>
              <w:spacing w:after="0"/>
              <w:rPr>
                <w:sz w:val="21"/>
                <w:szCs w:val="21"/>
                <w:highlight w:val="none"/>
              </w:rPr>
            </w:pPr>
            <w:r>
              <w:rPr>
                <w:sz w:val="21"/>
                <w:highlight w:val="none"/>
              </w:rPr>
              <w:t xml:space="preserve">8</w:t>
            </w:r>
            <w:r>
              <w:rPr>
                <w:sz w:val="21"/>
                <w:szCs w:val="21"/>
                <w:highlight w:val="none"/>
              </w:rPr>
            </w:r>
            <w:r/>
          </w:p>
        </w:tc>
        <w:tc>
          <w:tcPr>
            <w:tcW w:w="2496" w:type="dxa"/>
            <w:vAlign w:val="center"/>
            <w:textDirection w:val="lrTb"/>
            <w:noWrap w:val="false"/>
          </w:tcPr>
          <w:p>
            <w:pPr>
              <w:pStyle w:val="728"/>
              <w:jc w:val="center"/>
              <w:spacing w:after="0"/>
              <w:rPr>
                <w:sz w:val="21"/>
                <w:szCs w:val="21"/>
                <w:highlight w:val="none"/>
              </w:rPr>
            </w:pPr>
            <w:r>
              <w:rPr>
                <w:sz w:val="21"/>
                <w:highlight w:val="none"/>
              </w:rPr>
              <w:t xml:space="preserve">渗漏</w:t>
            </w:r>
            <w:r>
              <w:rPr>
                <w:sz w:val="21"/>
                <w:szCs w:val="21"/>
                <w:highlight w:val="none"/>
              </w:rPr>
            </w:r>
            <w:r/>
          </w:p>
        </w:tc>
        <w:tc>
          <w:tcPr>
            <w:tcW w:w="2685" w:type="dxa"/>
            <w:vAlign w:val="center"/>
            <w:vMerge w:val="continue"/>
            <w:textDirection w:val="lrTb"/>
            <w:noWrap w:val="false"/>
          </w:tcPr>
          <w:p>
            <w:pPr>
              <w:pStyle w:val="728"/>
              <w:jc w:val="center"/>
              <w:spacing w:after="0"/>
              <w:rPr>
                <w:sz w:val="21"/>
                <w:szCs w:val="21"/>
                <w:highlight w:val="none"/>
              </w:rPr>
            </w:pPr>
            <w:r>
              <w:rPr>
                <w:sz w:val="21"/>
                <w:szCs w:val="21"/>
                <w:highlight w:val="none"/>
              </w:rPr>
            </w:r>
            <w:r/>
          </w:p>
        </w:tc>
        <w:tc>
          <w:tcPr>
            <w:tcW w:w="3241" w:type="dxa"/>
            <w:vAlign w:val="center"/>
            <w:textDirection w:val="lrTb"/>
            <w:noWrap w:val="false"/>
          </w:tcPr>
          <w:p>
            <w:pPr>
              <w:pStyle w:val="728"/>
              <w:jc w:val="center"/>
              <w:spacing w:after="0"/>
              <w:rPr>
                <w:sz w:val="21"/>
                <w:szCs w:val="21"/>
                <w:highlight w:val="none"/>
              </w:rPr>
            </w:pPr>
            <w:r>
              <w:rPr>
                <w:sz w:val="21"/>
                <w:highlight w:val="none"/>
              </w:rPr>
              <w:t xml:space="preserve">GB/T 10816-2008</w:t>
            </w:r>
            <w:r>
              <w:rPr>
                <w:sz w:val="21"/>
                <w:szCs w:val="21"/>
                <w:highlight w:val="none"/>
              </w:rPr>
            </w:r>
            <w:r/>
          </w:p>
        </w:tc>
      </w:tr>
      <w:tr>
        <w:trPr>
          <w:trHeight w:val="510"/>
        </w:trPr>
        <w:tc>
          <w:tcPr>
            <w:tcW w:w="1178" w:type="dxa"/>
            <w:vAlign w:val="center"/>
            <w:textDirection w:val="lrTb"/>
            <w:noWrap w:val="false"/>
          </w:tcPr>
          <w:p>
            <w:pPr>
              <w:pStyle w:val="728"/>
              <w:jc w:val="center"/>
              <w:spacing w:after="0"/>
              <w:rPr>
                <w:sz w:val="21"/>
                <w:szCs w:val="21"/>
                <w:highlight w:val="none"/>
              </w:rPr>
            </w:pPr>
            <w:r>
              <w:rPr>
                <w:sz w:val="21"/>
                <w:highlight w:val="none"/>
              </w:rPr>
              <w:t xml:space="preserve">9</w:t>
            </w:r>
            <w:r>
              <w:rPr>
                <w:sz w:val="21"/>
                <w:szCs w:val="21"/>
                <w:highlight w:val="none"/>
              </w:rPr>
            </w:r>
            <w:r/>
          </w:p>
        </w:tc>
        <w:tc>
          <w:tcPr>
            <w:tcW w:w="2496" w:type="dxa"/>
            <w:vAlign w:val="center"/>
            <w:textDirection w:val="lrTb"/>
            <w:noWrap w:val="false"/>
          </w:tcPr>
          <w:p>
            <w:pPr>
              <w:pStyle w:val="728"/>
              <w:jc w:val="center"/>
              <w:spacing w:after="0"/>
              <w:rPr>
                <w:sz w:val="21"/>
                <w:szCs w:val="21"/>
                <w:highlight w:val="none"/>
              </w:rPr>
            </w:pPr>
            <w:r>
              <w:rPr>
                <w:sz w:val="21"/>
                <w:highlight w:val="none"/>
              </w:rPr>
              <w:t xml:space="preserve">磕碰</w:t>
            </w:r>
            <w:r>
              <w:rPr>
                <w:sz w:val="21"/>
                <w:szCs w:val="21"/>
                <w:highlight w:val="none"/>
              </w:rPr>
            </w:r>
            <w:r/>
          </w:p>
        </w:tc>
        <w:tc>
          <w:tcPr>
            <w:tcW w:w="2685" w:type="dxa"/>
            <w:vAlign w:val="center"/>
            <w:vMerge w:val="continue"/>
            <w:textDirection w:val="lrTb"/>
            <w:noWrap w:val="false"/>
          </w:tcPr>
          <w:p>
            <w:pPr>
              <w:pStyle w:val="728"/>
              <w:jc w:val="center"/>
              <w:spacing w:after="0"/>
              <w:rPr>
                <w:sz w:val="21"/>
                <w:szCs w:val="21"/>
                <w:highlight w:val="none"/>
              </w:rPr>
            </w:pPr>
            <w:r>
              <w:rPr>
                <w:sz w:val="21"/>
                <w:szCs w:val="21"/>
                <w:highlight w:val="none"/>
              </w:rPr>
            </w:r>
            <w:r/>
          </w:p>
        </w:tc>
        <w:tc>
          <w:tcPr>
            <w:tcW w:w="3241" w:type="dxa"/>
            <w:vAlign w:val="center"/>
            <w:textDirection w:val="lrTb"/>
            <w:noWrap w:val="false"/>
          </w:tcPr>
          <w:p>
            <w:pPr>
              <w:pStyle w:val="728"/>
              <w:jc w:val="center"/>
              <w:spacing w:after="0"/>
              <w:rPr>
                <w:sz w:val="21"/>
                <w:szCs w:val="21"/>
                <w:highlight w:val="none"/>
              </w:rPr>
            </w:pPr>
            <w:r>
              <w:rPr>
                <w:sz w:val="21"/>
                <w:highlight w:val="none"/>
              </w:rPr>
              <w:t xml:space="preserve">GB/T 10816-2008</w:t>
            </w:r>
            <w:r>
              <w:rPr>
                <w:sz w:val="21"/>
                <w:szCs w:val="21"/>
                <w:highlight w:val="none"/>
              </w:rPr>
            </w:r>
            <w:r/>
          </w:p>
        </w:tc>
      </w:tr>
      <w:tr>
        <w:trPr/>
        <w:tc>
          <w:tcPr>
            <w:tcW w:w="1178" w:type="dxa"/>
            <w:vAlign w:val="center"/>
            <w:textDirection w:val="lrTb"/>
            <w:noWrap w:val="false"/>
          </w:tcPr>
          <w:p>
            <w:pPr>
              <w:pStyle w:val="728"/>
              <w:jc w:val="center"/>
              <w:spacing w:after="0"/>
              <w:rPr>
                <w:sz w:val="21"/>
                <w:szCs w:val="21"/>
                <w:highlight w:val="none"/>
              </w:rPr>
            </w:pPr>
            <w:r>
              <w:rPr>
                <w:sz w:val="21"/>
                <w:highlight w:val="none"/>
              </w:rPr>
              <w:t xml:space="preserve">10</w:t>
            </w:r>
            <w:r>
              <w:rPr>
                <w:sz w:val="21"/>
                <w:szCs w:val="21"/>
                <w:highlight w:val="none"/>
              </w:rPr>
            </w:r>
            <w:r/>
          </w:p>
        </w:tc>
        <w:tc>
          <w:tcPr>
            <w:tcW w:w="2496" w:type="dxa"/>
            <w:vAlign w:val="center"/>
            <w:textDirection w:val="lrTb"/>
            <w:noWrap w:val="false"/>
          </w:tcPr>
          <w:p>
            <w:pPr>
              <w:pStyle w:val="728"/>
              <w:jc w:val="center"/>
              <w:spacing w:after="0"/>
              <w:rPr>
                <w:sz w:val="21"/>
                <w:szCs w:val="21"/>
                <w:highlight w:val="none"/>
              </w:rPr>
            </w:pPr>
            <w:r>
              <w:rPr>
                <w:sz w:val="21"/>
                <w:highlight w:val="none"/>
              </w:rPr>
              <w:t xml:space="preserve">外观质量</w:t>
            </w:r>
            <w:r>
              <w:rPr>
                <w:sz w:val="21"/>
                <w:szCs w:val="21"/>
                <w:highlight w:val="none"/>
              </w:rPr>
            </w:r>
            <w:r/>
          </w:p>
        </w:tc>
        <w:tc>
          <w:tcPr>
            <w:tcW w:w="2685" w:type="dxa"/>
            <w:vAlign w:val="center"/>
            <w:vMerge w:val="continue"/>
            <w:textDirection w:val="lrTb"/>
            <w:noWrap w:val="false"/>
          </w:tcPr>
          <w:p>
            <w:pPr>
              <w:pStyle w:val="728"/>
              <w:jc w:val="center"/>
              <w:spacing w:after="0"/>
              <w:rPr>
                <w:sz w:val="21"/>
                <w:szCs w:val="21"/>
                <w:highlight w:val="none"/>
              </w:rPr>
            </w:pPr>
            <w:r>
              <w:rPr>
                <w:sz w:val="21"/>
                <w:szCs w:val="21"/>
                <w:highlight w:val="none"/>
              </w:rPr>
            </w:r>
            <w:r/>
          </w:p>
        </w:tc>
        <w:tc>
          <w:tcPr>
            <w:tcW w:w="3241" w:type="dxa"/>
            <w:vAlign w:val="center"/>
            <w:textDirection w:val="lrTb"/>
            <w:noWrap w:val="false"/>
          </w:tcPr>
          <w:p>
            <w:pPr>
              <w:pStyle w:val="728"/>
              <w:jc w:val="center"/>
              <w:spacing w:after="0"/>
              <w:rPr>
                <w:sz w:val="21"/>
                <w:highlight w:val="none"/>
              </w:rPr>
            </w:pPr>
            <w:r>
              <w:rPr>
                <w:sz w:val="21"/>
                <w:highlight w:val="none"/>
              </w:rPr>
              <w:t xml:space="preserve">GB/T 3300-2008</w:t>
            </w:r>
            <w:r>
              <w:rPr>
                <w:sz w:val="21"/>
                <w:highlight w:val="none"/>
              </w:rPr>
            </w:r>
            <w:r/>
          </w:p>
          <w:p>
            <w:pPr>
              <w:pStyle w:val="728"/>
              <w:jc w:val="center"/>
              <w:spacing w:after="0"/>
              <w:rPr>
                <w:sz w:val="21"/>
                <w:szCs w:val="21"/>
                <w:highlight w:val="none"/>
              </w:rPr>
            </w:pPr>
            <w:r>
              <w:rPr>
                <w:sz w:val="21"/>
                <w:highlight w:val="none"/>
              </w:rPr>
              <w:t xml:space="preserve">GB/T 10816-2008</w:t>
            </w:r>
            <w:r>
              <w:rPr>
                <w:sz w:val="21"/>
                <w:szCs w:val="21"/>
                <w:highlight w:val="none"/>
              </w:rPr>
            </w:r>
            <w:r/>
          </w:p>
        </w:tc>
      </w:tr>
    </w:tbl>
    <w:p>
      <w:pPr>
        <w:pStyle w:val="728"/>
        <w:rPr>
          <w:sz w:val="24"/>
          <w:szCs w:val="24"/>
          <w:highlight w:val="none"/>
          <w:lang w:bidi="ar"/>
        </w:rPr>
      </w:pPr>
      <w:r>
        <w:rPr>
          <w:sz w:val="24"/>
          <w:szCs w:val="24"/>
          <w:highlight w:val="none"/>
          <w:lang w:bidi="ar"/>
        </w:rPr>
      </w:r>
      <w:r/>
    </w:p>
    <w:p>
      <w:pPr>
        <w:pStyle w:val="728"/>
        <w:rPr>
          <w:highlight w:val="none"/>
          <w:lang w:bidi="ar"/>
        </w:rPr>
      </w:pPr>
      <w:r>
        <w:rPr>
          <w:rFonts w:hint="eastAsia" w:ascii="宋体" w:hAnsi="宋体"/>
          <w:sz w:val="24"/>
          <w:szCs w:val="24"/>
          <w:highlight w:val="none"/>
          <w:lang w:bidi="ar"/>
        </w:rPr>
        <w:t xml:space="preserve">2</w:t>
      </w:r>
      <w:r>
        <w:rPr>
          <w:rFonts w:ascii="宋体" w:hAnsi="宋体"/>
          <w:sz w:val="24"/>
          <w:szCs w:val="24"/>
          <w:highlight w:val="none"/>
          <w:lang w:bidi="ar"/>
        </w:rPr>
        <w:t xml:space="preserve">. 苏州家具博览中心(家具产品检验项目、依据及方法)</w:t>
      </w:r>
      <w:r>
        <w:rPr>
          <w:highlight w:val="none"/>
          <w:lang w:bidi="ar"/>
        </w:rPr>
      </w:r>
      <w:r/>
    </w:p>
    <w:p>
      <w:pPr>
        <w:pStyle w:val="728"/>
        <w:rPr>
          <w:highlight w:val="none"/>
        </w:rPr>
      </w:pPr>
      <w:r>
        <w:rPr>
          <w:highlight w:val="none"/>
        </w:rPr>
        <w:t xml:space="preserve">木制家具产品（标注执行标准GB/T 3324-2017）</w:t>
      </w:r>
      <w:r>
        <w:rPr>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283"/>
        <w:gridCol w:w="641"/>
        <w:gridCol w:w="1924"/>
        <w:gridCol w:w="1923"/>
        <w:gridCol w:w="2013"/>
      </w:tblGrid>
      <w:tr>
        <w:trPr>
          <w:trHeight w:val="454"/>
          <w:tblHeader/>
        </w:trPr>
        <w:tc>
          <w:tcPr>
            <w:tcW w:w="433" w:type="dxa"/>
            <w:vAlign w:val="center"/>
            <w:textDirection w:val="lrTb"/>
            <w:noWrap w:val="false"/>
          </w:tcPr>
          <w:p>
            <w:pPr>
              <w:pStyle w:val="728"/>
              <w:jc w:val="center"/>
              <w:spacing w:after="0"/>
              <w:rPr>
                <w:highlight w:val="none"/>
              </w:rPr>
            </w:pPr>
            <w:r>
              <w:rPr>
                <w:highlight w:val="none"/>
                <w:lang w:bidi="ar"/>
              </w:rPr>
              <w:t xml:space="preserve">序号</w:t>
            </w:r>
            <w:r>
              <w:rPr>
                <w:highlight w:val="none"/>
              </w:rPr>
            </w:r>
            <w:r/>
          </w:p>
        </w:tc>
        <w:tc>
          <w:tcPr>
            <w:gridSpan w:val="3"/>
            <w:tcW w:w="3848" w:type="dxa"/>
            <w:vAlign w:val="center"/>
            <w:textDirection w:val="lrTb"/>
            <w:noWrap w:val="false"/>
          </w:tcPr>
          <w:p>
            <w:pPr>
              <w:pStyle w:val="728"/>
              <w:jc w:val="center"/>
              <w:spacing w:after="0"/>
              <w:rPr>
                <w:highlight w:val="none"/>
              </w:rPr>
            </w:pPr>
            <w:r>
              <w:rPr>
                <w:highlight w:val="none"/>
                <w:lang w:bidi="ar"/>
              </w:rPr>
              <w:t xml:space="preserve">检验项目</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检验依据</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检验方法</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w:t>
            </w:r>
            <w:r>
              <w:rPr>
                <w:highlight w:val="none"/>
              </w:rPr>
            </w:r>
            <w:r/>
          </w:p>
        </w:tc>
        <w:tc>
          <w:tcPr>
            <w:gridSpan w:val="3"/>
            <w:tcW w:w="3848" w:type="dxa"/>
            <w:vAlign w:val="center"/>
            <w:textDirection w:val="lrTb"/>
            <w:noWrap w:val="false"/>
          </w:tcPr>
          <w:p>
            <w:pPr>
              <w:pStyle w:val="728"/>
              <w:jc w:val="center"/>
              <w:spacing w:after="0"/>
              <w:rPr>
                <w:highlight w:val="none"/>
              </w:rPr>
            </w:pPr>
            <w:r>
              <w:rPr>
                <w:highlight w:val="none"/>
              </w:rPr>
              <w:t xml:space="preserve">木工要求</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3324—2017 </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2</w:t>
            </w:r>
            <w:r>
              <w:rPr>
                <w:highlight w:val="none"/>
              </w:rPr>
            </w:r>
            <w:r/>
          </w:p>
        </w:tc>
        <w:tc>
          <w:tcPr>
            <w:tcW w:w="753" w:type="dxa"/>
            <w:vAlign w:val="center"/>
            <w:vMerge w:val="restart"/>
            <w:textDirection w:val="lrTb"/>
            <w:noWrap w:val="false"/>
          </w:tcPr>
          <w:p>
            <w:pPr>
              <w:pStyle w:val="728"/>
              <w:jc w:val="center"/>
              <w:spacing w:after="0"/>
              <w:rPr>
                <w:highlight w:val="none"/>
              </w:rPr>
            </w:pPr>
            <w:r>
              <w:rPr>
                <w:highlight w:val="none"/>
                <w:lang w:bidi="ar"/>
              </w:rPr>
              <w:t xml:space="preserve">力学性能-柜类强度</w:t>
            </w: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结构和底架强度试验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10357.5-2011 </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3</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推拉构件结构强度试验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lang w:bidi="ar"/>
              </w:rPr>
            </w:pPr>
            <w:r>
              <w:rPr>
                <w:highlight w:val="none"/>
                <w:lang w:bidi="ar"/>
              </w:rPr>
              <w:t xml:space="preserve">GB/T 10357.5-2011</w:t>
            </w:r>
            <w:r>
              <w:rPr>
                <w:highlight w:val="none"/>
                <w:lang w:bidi="ar"/>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4</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推拉构件强度试验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lang w:bidi="ar"/>
              </w:rPr>
            </w:pPr>
            <w:r>
              <w:rPr>
                <w:highlight w:val="none"/>
                <w:lang w:bidi="ar"/>
              </w:rPr>
              <w:t xml:space="preserve">GB/T 10357.5-2011</w:t>
            </w:r>
            <w:r>
              <w:rPr>
                <w:highlight w:val="none"/>
                <w:lang w:bidi="ar"/>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5</w:t>
            </w:r>
            <w:r>
              <w:rPr>
                <w:highlight w:val="none"/>
              </w:rPr>
            </w:r>
            <w:r/>
          </w:p>
        </w:tc>
        <w:tc>
          <w:tcPr>
            <w:gridSpan w:val="3"/>
            <w:tcW w:w="3848" w:type="dxa"/>
            <w:vAlign w:val="center"/>
            <w:textDirection w:val="lrTb"/>
            <w:noWrap w:val="false"/>
          </w:tcPr>
          <w:p>
            <w:pPr>
              <w:pStyle w:val="728"/>
              <w:jc w:val="center"/>
              <w:spacing w:after="0"/>
              <w:rPr>
                <w:highlight w:val="none"/>
              </w:rPr>
            </w:pPr>
            <w:r>
              <w:rPr>
                <w:highlight w:val="none"/>
                <w:lang w:bidi="ar"/>
              </w:rPr>
              <w:t xml:space="preserve">力学性能-柜类稳定性</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10357.4-2013 </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6</w:t>
            </w:r>
            <w:r>
              <w:rPr>
                <w:highlight w:val="none"/>
              </w:rPr>
            </w:r>
            <w:r/>
          </w:p>
        </w:tc>
        <w:tc>
          <w:tcPr>
            <w:tcW w:w="753" w:type="dxa"/>
            <w:vAlign w:val="center"/>
            <w:vMerge w:val="restart"/>
            <w:textDirection w:val="lrTb"/>
            <w:noWrap w:val="false"/>
          </w:tcPr>
          <w:p>
            <w:pPr>
              <w:pStyle w:val="728"/>
              <w:jc w:val="center"/>
              <w:spacing w:after="0"/>
              <w:rPr>
                <w:highlight w:val="none"/>
              </w:rPr>
            </w:pPr>
            <w:r>
              <w:rPr>
                <w:highlight w:val="none"/>
                <w:lang w:bidi="ar"/>
              </w:rPr>
              <w:t xml:space="preserve">力学性能-桌类强度</w:t>
            </w: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桌面垂直静载荷试验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10357.1-2013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7</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水平静载荷试验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10357.1-2013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8</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桌面垂直冲击试验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10357.1-2013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9</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桌腿跌落试验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10357.1-2013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10</w:t>
            </w:r>
            <w:r>
              <w:rPr>
                <w:highlight w:val="none"/>
              </w:rPr>
            </w:r>
            <w:r/>
          </w:p>
        </w:tc>
        <w:tc>
          <w:tcPr>
            <w:gridSpan w:val="3"/>
            <w:tcW w:w="3848" w:type="dxa"/>
            <w:vAlign w:val="center"/>
            <w:textDirection w:val="lrTb"/>
            <w:noWrap w:val="false"/>
          </w:tcPr>
          <w:p>
            <w:pPr>
              <w:pStyle w:val="728"/>
              <w:jc w:val="center"/>
              <w:spacing w:after="0"/>
              <w:rPr>
                <w:highlight w:val="none"/>
              </w:rPr>
            </w:pPr>
            <w:r>
              <w:rPr>
                <w:highlight w:val="none"/>
                <w:lang w:bidi="ar"/>
              </w:rPr>
              <w:t xml:space="preserve">力学性能-桌类稳定性</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10357.7-2013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11</w:t>
            </w:r>
            <w:r>
              <w:rPr>
                <w:highlight w:val="none"/>
              </w:rPr>
            </w:r>
            <w:r/>
          </w:p>
        </w:tc>
        <w:tc>
          <w:tcPr>
            <w:tcW w:w="753" w:type="dxa"/>
            <w:vAlign w:val="center"/>
            <w:vMerge w:val="restart"/>
            <w:textDirection w:val="lrTb"/>
            <w:noWrap w:val="false"/>
          </w:tcPr>
          <w:p>
            <w:pPr>
              <w:pStyle w:val="728"/>
              <w:jc w:val="center"/>
              <w:spacing w:after="0"/>
              <w:rPr>
                <w:highlight w:val="none"/>
              </w:rPr>
            </w:pPr>
            <w:r>
              <w:rPr>
                <w:highlight w:val="none"/>
                <w:lang w:bidi="ar"/>
              </w:rPr>
              <w:t xml:space="preserve">力学性能-椅凳类强度</w:t>
            </w: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座面和椅背静载荷试验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10357.3-2013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12</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椅腿前向静载荷试验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10357.3-2013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13</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椅腿侧向静载荷试验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10357.3-2013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14</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座面冲击试验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10357.3-2013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15</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跌落试验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10357.3-2013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16</w:t>
            </w:r>
            <w:r>
              <w:rPr>
                <w:highlight w:val="none"/>
              </w:rPr>
            </w:r>
            <w:r/>
          </w:p>
        </w:tc>
        <w:tc>
          <w:tcPr>
            <w:gridSpan w:val="3"/>
            <w:tcW w:w="3848" w:type="dxa"/>
            <w:vAlign w:val="center"/>
            <w:textDirection w:val="lrTb"/>
            <w:noWrap w:val="false"/>
          </w:tcPr>
          <w:p>
            <w:pPr>
              <w:pStyle w:val="728"/>
              <w:jc w:val="center"/>
              <w:spacing w:after="0"/>
              <w:rPr>
                <w:highlight w:val="none"/>
              </w:rPr>
            </w:pPr>
            <w:r>
              <w:rPr>
                <w:highlight w:val="none"/>
                <w:lang w:bidi="ar"/>
              </w:rPr>
              <w:t xml:space="preserve">力学性能-椅凳类稳定性</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10357.2-2013</w:t>
            </w:r>
            <w:r>
              <w:rPr>
                <w:highlight w:val="none"/>
              </w:rPr>
            </w:r>
            <w:r/>
          </w:p>
          <w:p>
            <w:pPr>
              <w:pStyle w:val="728"/>
              <w:jc w:val="center"/>
              <w:spacing w:after="0"/>
              <w:rPr>
                <w:highlight w:val="none"/>
              </w:rPr>
            </w:pPr>
            <w:r>
              <w:rPr>
                <w:highlight w:val="none"/>
                <w:lang w:bidi="ar"/>
              </w:rPr>
              <w:t xml:space="preserve">GB/T 10357.8-2015</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17</w:t>
            </w:r>
            <w:r>
              <w:rPr>
                <w:highlight w:val="none"/>
              </w:rPr>
            </w:r>
            <w:r/>
          </w:p>
        </w:tc>
        <w:tc>
          <w:tcPr>
            <w:tcW w:w="753" w:type="dxa"/>
            <w:vAlign w:val="center"/>
            <w:vMerge w:val="restart"/>
            <w:textDirection w:val="lrTb"/>
            <w:noWrap w:val="false"/>
          </w:tcPr>
          <w:p>
            <w:pPr>
              <w:pStyle w:val="728"/>
              <w:jc w:val="center"/>
              <w:spacing w:after="0"/>
              <w:rPr>
                <w:highlight w:val="none"/>
              </w:rPr>
            </w:pPr>
            <w:r>
              <w:rPr>
                <w:highlight w:val="none"/>
                <w:lang w:bidi="ar"/>
              </w:rPr>
              <w:t xml:space="preserve">力学性能-单层床强度</w:t>
            </w: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床铺面集中静载荷试验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10357.6-2013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18</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床长边静载荷试验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10357.6-2013 </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19</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床铺面冲击载荷试验</w:t>
            </w:r>
            <w:r>
              <w:rPr>
                <w:highlight w:val="none"/>
              </w:rPr>
            </w:r>
            <w:r/>
          </w:p>
        </w:tc>
        <w:tc>
          <w:tcPr>
            <w:tcW w:w="1128" w:type="dxa"/>
            <w:vAlign w:val="center"/>
            <w:textDirection w:val="lrTb"/>
            <w:noWrap w:val="false"/>
          </w:tcPr>
          <w:p>
            <w:pPr>
              <w:pStyle w:val="728"/>
              <w:jc w:val="center"/>
              <w:spacing w:after="0"/>
              <w:rPr>
                <w:highlight w:val="none"/>
              </w:rPr>
            </w:pPr>
            <w:r>
              <w:rPr>
                <w:highlight w:val="none"/>
                <w:lang w:bidi="ar"/>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lang w:bidi="ar"/>
              </w:rPr>
              <w:t xml:space="preserve">GB/T 10357.6-2013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20</w:t>
            </w:r>
            <w:r>
              <w:rPr>
                <w:highlight w:val="none"/>
              </w:rPr>
            </w:r>
            <w:r/>
          </w:p>
        </w:tc>
        <w:tc>
          <w:tcPr>
            <w:gridSpan w:val="3"/>
            <w:tcW w:w="3848" w:type="dxa"/>
            <w:vAlign w:val="center"/>
            <w:textDirection w:val="lrTb"/>
            <w:noWrap w:val="false"/>
          </w:tcPr>
          <w:p>
            <w:pPr>
              <w:pStyle w:val="728"/>
              <w:jc w:val="center"/>
              <w:spacing w:after="0"/>
              <w:rPr>
                <w:highlight w:val="none"/>
              </w:rPr>
            </w:pPr>
            <w:r>
              <w:rPr>
                <w:highlight w:val="none"/>
                <w:lang w:bidi="ar"/>
              </w:rPr>
              <w:t xml:space="preserve">结构安全性</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28008-2024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28008-2024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21</w:t>
            </w:r>
            <w:r>
              <w:rPr>
                <w:highlight w:val="none"/>
                <w:lang w:bidi="ar"/>
              </w:rPr>
            </w:r>
            <w:r/>
          </w:p>
        </w:tc>
        <w:tc>
          <w:tcPr>
            <w:gridSpan w:val="3"/>
            <w:tcW w:w="3848" w:type="dxa"/>
            <w:vAlign w:val="center"/>
            <w:textDirection w:val="lrTb"/>
            <w:noWrap w:val="false"/>
          </w:tcPr>
          <w:p>
            <w:pPr>
              <w:pStyle w:val="728"/>
              <w:jc w:val="center"/>
              <w:spacing w:after="0"/>
              <w:rPr>
                <w:highlight w:val="none"/>
              </w:rPr>
            </w:pPr>
            <w:r>
              <w:rPr>
                <w:highlight w:val="none"/>
              </w:rPr>
              <w:t xml:space="preserve">甲醛</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18584-2024 </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22</w:t>
            </w:r>
            <w:r>
              <w:rPr>
                <w:highlight w:val="none"/>
                <w:lang w:bidi="ar"/>
              </w:rPr>
            </w:r>
            <w:r/>
          </w:p>
        </w:tc>
        <w:tc>
          <w:tcPr>
            <w:gridSpan w:val="3"/>
            <w:tcW w:w="3848" w:type="dxa"/>
            <w:vAlign w:val="center"/>
            <w:textDirection w:val="lrTb"/>
            <w:noWrap w:val="false"/>
          </w:tcPr>
          <w:p>
            <w:pPr>
              <w:pStyle w:val="728"/>
              <w:jc w:val="center"/>
              <w:spacing w:after="0"/>
              <w:rPr>
                <w:highlight w:val="none"/>
              </w:rPr>
            </w:pPr>
            <w:r>
              <w:rPr>
                <w:highlight w:val="none"/>
              </w:rPr>
              <w:t xml:space="preserve">苯</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23</w:t>
            </w:r>
            <w:r>
              <w:rPr>
                <w:highlight w:val="none"/>
                <w:lang w:bidi="ar"/>
              </w:rPr>
            </w:r>
            <w:r/>
          </w:p>
        </w:tc>
        <w:tc>
          <w:tcPr>
            <w:gridSpan w:val="3"/>
            <w:tcW w:w="3848" w:type="dxa"/>
            <w:vAlign w:val="center"/>
            <w:textDirection w:val="lrTb"/>
            <w:noWrap w:val="false"/>
          </w:tcPr>
          <w:p>
            <w:pPr>
              <w:pStyle w:val="728"/>
              <w:jc w:val="center"/>
              <w:spacing w:after="0"/>
              <w:rPr>
                <w:highlight w:val="none"/>
              </w:rPr>
            </w:pPr>
            <w:r>
              <w:rPr>
                <w:highlight w:val="none"/>
              </w:rPr>
              <w:t xml:space="preserve">甲苯</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24</w:t>
            </w:r>
            <w:r>
              <w:rPr>
                <w:highlight w:val="none"/>
                <w:lang w:bidi="ar"/>
              </w:rPr>
            </w:r>
            <w:r/>
          </w:p>
        </w:tc>
        <w:tc>
          <w:tcPr>
            <w:gridSpan w:val="3"/>
            <w:tcW w:w="3848" w:type="dxa"/>
            <w:vAlign w:val="center"/>
            <w:textDirection w:val="lrTb"/>
            <w:noWrap w:val="false"/>
          </w:tcPr>
          <w:p>
            <w:pPr>
              <w:pStyle w:val="728"/>
              <w:jc w:val="center"/>
              <w:spacing w:after="0"/>
              <w:rPr>
                <w:highlight w:val="none"/>
              </w:rPr>
            </w:pPr>
            <w:r>
              <w:rPr>
                <w:highlight w:val="none"/>
              </w:rPr>
              <w:t xml:space="preserve">二甲苯（邻、间、对二甲苯之和）</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25</w:t>
            </w:r>
            <w:r>
              <w:rPr>
                <w:highlight w:val="none"/>
                <w:lang w:bidi="ar"/>
              </w:rPr>
            </w:r>
            <w:r/>
          </w:p>
        </w:tc>
        <w:tc>
          <w:tcPr>
            <w:gridSpan w:val="3"/>
            <w:tcW w:w="3848" w:type="dxa"/>
            <w:vAlign w:val="center"/>
            <w:textDirection w:val="lrTb"/>
            <w:noWrap w:val="false"/>
          </w:tcPr>
          <w:p>
            <w:pPr>
              <w:pStyle w:val="728"/>
              <w:jc w:val="center"/>
              <w:spacing w:after="0"/>
              <w:rPr>
                <w:highlight w:val="none"/>
              </w:rPr>
            </w:pPr>
            <w:r>
              <w:rPr>
                <w:highlight w:val="none"/>
              </w:rPr>
              <w:t xml:space="preserve">总挥发性有机化合物（TVOC）</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26</w:t>
            </w:r>
            <w:r>
              <w:rPr>
                <w:highlight w:val="none"/>
                <w:lang w:bidi="ar"/>
              </w:rPr>
            </w:r>
            <w:r/>
          </w:p>
        </w:tc>
        <w:tc>
          <w:tcPr>
            <w:gridSpan w:val="2"/>
            <w:tcW w:w="1924" w:type="dxa"/>
            <w:vAlign w:val="center"/>
            <w:vMerge w:val="restart"/>
            <w:textDirection w:val="lrTb"/>
            <w:noWrap w:val="false"/>
          </w:tcPr>
          <w:p>
            <w:pPr>
              <w:pStyle w:val="728"/>
              <w:jc w:val="center"/>
              <w:spacing w:after="0"/>
              <w:rPr>
                <w:highlight w:val="none"/>
              </w:rPr>
            </w:pPr>
            <w:r>
              <w:rPr>
                <w:highlight w:val="none"/>
              </w:rPr>
              <w:t xml:space="preserve">可迁移有害元素（仅适用于色漆涂层）</w:t>
            </w:r>
            <w:r>
              <w:rPr>
                <w:highlight w:val="none"/>
              </w:rPr>
            </w:r>
            <w:r/>
          </w:p>
        </w:tc>
        <w:tc>
          <w:tcPr>
            <w:tcW w:w="1129" w:type="dxa"/>
            <w:vAlign w:val="center"/>
            <w:textDirection w:val="lrTb"/>
            <w:noWrap w:val="false"/>
          </w:tcPr>
          <w:p>
            <w:pPr>
              <w:pStyle w:val="728"/>
              <w:jc w:val="center"/>
              <w:spacing w:after="0"/>
              <w:rPr>
                <w:highlight w:val="none"/>
              </w:rPr>
            </w:pPr>
            <w:r>
              <w:rPr>
                <w:highlight w:val="none"/>
              </w:rPr>
              <w:t xml:space="preserve">锑（Sb）</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27</w:t>
            </w:r>
            <w:r>
              <w:rPr>
                <w:highlight w:val="none"/>
                <w:lang w:bidi="ar"/>
              </w:rPr>
            </w:r>
            <w:r/>
          </w:p>
        </w:tc>
        <w:tc>
          <w:tcPr>
            <w:gridSpan w:val="2"/>
            <w:tcW w:w="1924" w:type="dxa"/>
            <w:vAlign w:val="center"/>
            <w:vMerge w:val="continue"/>
            <w:textDirection w:val="lrTb"/>
            <w:noWrap w:val="false"/>
          </w:tcPr>
          <w:p>
            <w:pPr>
              <w:pStyle w:val="728"/>
              <w:spacing w:after="0"/>
              <w:rPr>
                <w:highlight w:val="none"/>
              </w:rPr>
            </w:pPr>
            <w:r>
              <w:rPr>
                <w:highlight w:val="none"/>
              </w:rPr>
            </w:r>
            <w:r/>
          </w:p>
        </w:tc>
        <w:tc>
          <w:tcPr>
            <w:tcW w:w="1129" w:type="dxa"/>
            <w:vAlign w:val="center"/>
            <w:textDirection w:val="lrTb"/>
            <w:noWrap w:val="false"/>
          </w:tcPr>
          <w:p>
            <w:pPr>
              <w:pStyle w:val="728"/>
              <w:jc w:val="center"/>
              <w:spacing w:after="0"/>
              <w:rPr>
                <w:highlight w:val="none"/>
              </w:rPr>
            </w:pPr>
            <w:r>
              <w:rPr>
                <w:highlight w:val="none"/>
              </w:rPr>
              <w:t xml:space="preserve">砷（As）</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28</w:t>
            </w:r>
            <w:r>
              <w:rPr>
                <w:highlight w:val="none"/>
                <w:lang w:bidi="ar"/>
              </w:rPr>
            </w:r>
            <w:r/>
          </w:p>
        </w:tc>
        <w:tc>
          <w:tcPr>
            <w:gridSpan w:val="2"/>
            <w:tcW w:w="1924" w:type="dxa"/>
            <w:vAlign w:val="center"/>
            <w:vMerge w:val="continue"/>
            <w:textDirection w:val="lrTb"/>
            <w:noWrap w:val="false"/>
          </w:tcPr>
          <w:p>
            <w:pPr>
              <w:pStyle w:val="728"/>
              <w:spacing w:after="0"/>
              <w:rPr>
                <w:highlight w:val="none"/>
              </w:rPr>
            </w:pPr>
            <w:r>
              <w:rPr>
                <w:highlight w:val="none"/>
              </w:rPr>
            </w:r>
            <w:r/>
          </w:p>
        </w:tc>
        <w:tc>
          <w:tcPr>
            <w:tcW w:w="1129" w:type="dxa"/>
            <w:vAlign w:val="center"/>
            <w:textDirection w:val="lrTb"/>
            <w:noWrap w:val="false"/>
          </w:tcPr>
          <w:p>
            <w:pPr>
              <w:pStyle w:val="728"/>
              <w:jc w:val="center"/>
              <w:spacing w:after="0"/>
              <w:rPr>
                <w:highlight w:val="none"/>
              </w:rPr>
            </w:pPr>
            <w:r>
              <w:rPr>
                <w:highlight w:val="none"/>
              </w:rPr>
              <w:t xml:space="preserve">钡（Ba）</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29</w:t>
            </w:r>
            <w:r>
              <w:rPr>
                <w:highlight w:val="none"/>
                <w:lang w:bidi="ar"/>
              </w:rPr>
            </w:r>
            <w:r/>
          </w:p>
        </w:tc>
        <w:tc>
          <w:tcPr>
            <w:gridSpan w:val="2"/>
            <w:tcW w:w="1924" w:type="dxa"/>
            <w:vAlign w:val="center"/>
            <w:vMerge w:val="continue"/>
            <w:textDirection w:val="lrTb"/>
            <w:noWrap w:val="false"/>
          </w:tcPr>
          <w:p>
            <w:pPr>
              <w:pStyle w:val="728"/>
              <w:spacing w:after="0"/>
              <w:rPr>
                <w:highlight w:val="none"/>
              </w:rPr>
            </w:pPr>
            <w:r>
              <w:rPr>
                <w:highlight w:val="none"/>
              </w:rPr>
            </w:r>
            <w:r/>
          </w:p>
        </w:tc>
        <w:tc>
          <w:tcPr>
            <w:tcW w:w="1129" w:type="dxa"/>
            <w:vAlign w:val="center"/>
            <w:textDirection w:val="lrTb"/>
            <w:noWrap w:val="false"/>
          </w:tcPr>
          <w:p>
            <w:pPr>
              <w:pStyle w:val="728"/>
              <w:jc w:val="center"/>
              <w:spacing w:after="0"/>
              <w:rPr>
                <w:highlight w:val="none"/>
              </w:rPr>
            </w:pPr>
            <w:r>
              <w:rPr>
                <w:highlight w:val="none"/>
              </w:rPr>
              <w:t xml:space="preserve">镉（Cd）</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30</w:t>
            </w:r>
            <w:r>
              <w:rPr>
                <w:highlight w:val="none"/>
                <w:lang w:bidi="ar"/>
              </w:rPr>
            </w:r>
            <w:r/>
          </w:p>
        </w:tc>
        <w:tc>
          <w:tcPr>
            <w:gridSpan w:val="2"/>
            <w:tcW w:w="1924" w:type="dxa"/>
            <w:vAlign w:val="center"/>
            <w:vMerge w:val="continue"/>
            <w:textDirection w:val="lrTb"/>
            <w:noWrap w:val="false"/>
          </w:tcPr>
          <w:p>
            <w:pPr>
              <w:pStyle w:val="728"/>
              <w:spacing w:after="0"/>
              <w:rPr>
                <w:highlight w:val="none"/>
              </w:rPr>
            </w:pPr>
            <w:r>
              <w:rPr>
                <w:highlight w:val="none"/>
              </w:rPr>
            </w:r>
            <w:r/>
          </w:p>
        </w:tc>
        <w:tc>
          <w:tcPr>
            <w:tcW w:w="1129" w:type="dxa"/>
            <w:vAlign w:val="center"/>
            <w:textDirection w:val="lrTb"/>
            <w:noWrap w:val="false"/>
          </w:tcPr>
          <w:p>
            <w:pPr>
              <w:pStyle w:val="728"/>
              <w:jc w:val="center"/>
              <w:spacing w:after="0"/>
              <w:rPr>
                <w:highlight w:val="none"/>
              </w:rPr>
            </w:pPr>
            <w:r>
              <w:rPr>
                <w:highlight w:val="none"/>
              </w:rPr>
              <w:t xml:space="preserve">铬（Cr）</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31</w:t>
            </w:r>
            <w:r>
              <w:rPr>
                <w:highlight w:val="none"/>
                <w:lang w:bidi="ar"/>
              </w:rPr>
            </w:r>
            <w:r/>
          </w:p>
        </w:tc>
        <w:tc>
          <w:tcPr>
            <w:gridSpan w:val="2"/>
            <w:tcW w:w="1924" w:type="dxa"/>
            <w:vAlign w:val="center"/>
            <w:vMerge w:val="restart"/>
            <w:textDirection w:val="lrTb"/>
            <w:noWrap w:val="false"/>
          </w:tcPr>
          <w:p>
            <w:pPr>
              <w:pStyle w:val="728"/>
              <w:jc w:val="center"/>
              <w:spacing w:after="0"/>
              <w:rPr>
                <w:highlight w:val="none"/>
              </w:rPr>
            </w:pPr>
            <w:r>
              <w:rPr>
                <w:highlight w:val="none"/>
              </w:rPr>
              <w:t xml:space="preserve">可迁移有害元素（仅适用于色漆涂层）</w:t>
            </w:r>
            <w:r>
              <w:rPr>
                <w:highlight w:val="none"/>
              </w:rPr>
            </w:r>
            <w:r/>
          </w:p>
        </w:tc>
        <w:tc>
          <w:tcPr>
            <w:tcW w:w="1129" w:type="dxa"/>
            <w:vAlign w:val="center"/>
            <w:textDirection w:val="lrTb"/>
            <w:noWrap w:val="false"/>
          </w:tcPr>
          <w:p>
            <w:pPr>
              <w:pStyle w:val="728"/>
              <w:jc w:val="center"/>
              <w:spacing w:after="0"/>
              <w:rPr>
                <w:highlight w:val="none"/>
              </w:rPr>
            </w:pPr>
            <w:r>
              <w:rPr>
                <w:highlight w:val="none"/>
              </w:rPr>
              <w:t xml:space="preserve">铅（Pb）</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32</w:t>
            </w:r>
            <w:r>
              <w:rPr>
                <w:highlight w:val="none"/>
                <w:lang w:bidi="ar"/>
              </w:rPr>
            </w:r>
            <w:r/>
          </w:p>
        </w:tc>
        <w:tc>
          <w:tcPr>
            <w:gridSpan w:val="2"/>
            <w:tcW w:w="1924" w:type="dxa"/>
            <w:vAlign w:val="center"/>
            <w:vMerge w:val="continue"/>
            <w:textDirection w:val="lrTb"/>
            <w:noWrap w:val="false"/>
          </w:tcPr>
          <w:p>
            <w:pPr>
              <w:pStyle w:val="728"/>
              <w:spacing w:after="0"/>
              <w:rPr>
                <w:highlight w:val="none"/>
              </w:rPr>
            </w:pPr>
            <w:r>
              <w:rPr>
                <w:highlight w:val="none"/>
              </w:rPr>
            </w:r>
            <w:r/>
          </w:p>
        </w:tc>
        <w:tc>
          <w:tcPr>
            <w:tcW w:w="1129" w:type="dxa"/>
            <w:vAlign w:val="center"/>
            <w:textDirection w:val="lrTb"/>
            <w:noWrap w:val="false"/>
          </w:tcPr>
          <w:p>
            <w:pPr>
              <w:pStyle w:val="728"/>
              <w:jc w:val="center"/>
              <w:spacing w:after="0"/>
              <w:rPr>
                <w:highlight w:val="none"/>
              </w:rPr>
            </w:pPr>
            <w:r>
              <w:rPr>
                <w:highlight w:val="none"/>
              </w:rPr>
              <w:t xml:space="preserve">汞（Hg）</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33</w:t>
            </w:r>
            <w:r>
              <w:rPr>
                <w:highlight w:val="none"/>
                <w:lang w:bidi="ar"/>
              </w:rPr>
            </w:r>
            <w:r/>
          </w:p>
        </w:tc>
        <w:tc>
          <w:tcPr>
            <w:gridSpan w:val="2"/>
            <w:tcW w:w="1924" w:type="dxa"/>
            <w:vAlign w:val="center"/>
            <w:vMerge w:val="continue"/>
            <w:textDirection w:val="lrTb"/>
            <w:noWrap w:val="false"/>
          </w:tcPr>
          <w:p>
            <w:pPr>
              <w:pStyle w:val="728"/>
              <w:spacing w:after="0"/>
              <w:rPr>
                <w:highlight w:val="none"/>
              </w:rPr>
            </w:pPr>
            <w:r>
              <w:rPr>
                <w:highlight w:val="none"/>
              </w:rPr>
            </w:r>
            <w:r/>
          </w:p>
        </w:tc>
        <w:tc>
          <w:tcPr>
            <w:tcW w:w="1129" w:type="dxa"/>
            <w:vAlign w:val="center"/>
            <w:textDirection w:val="lrTb"/>
            <w:noWrap w:val="false"/>
          </w:tcPr>
          <w:p>
            <w:pPr>
              <w:pStyle w:val="728"/>
              <w:jc w:val="center"/>
              <w:spacing w:after="0"/>
              <w:rPr>
                <w:highlight w:val="none"/>
              </w:rPr>
            </w:pPr>
            <w:r>
              <w:rPr>
                <w:highlight w:val="none"/>
              </w:rPr>
              <w:t xml:space="preserve">硒（Se）</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34</w:t>
            </w:r>
            <w:r>
              <w:rPr>
                <w:highlight w:val="none"/>
                <w:lang w:bidi="ar"/>
              </w:rPr>
            </w:r>
            <w:r/>
          </w:p>
        </w:tc>
        <w:tc>
          <w:tcPr>
            <w:gridSpan w:val="3"/>
            <w:tcW w:w="3848" w:type="dxa"/>
            <w:vAlign w:val="center"/>
            <w:textDirection w:val="lrTb"/>
            <w:noWrap w:val="false"/>
          </w:tcPr>
          <w:p>
            <w:pPr>
              <w:pStyle w:val="728"/>
              <w:jc w:val="center"/>
              <w:spacing w:after="0"/>
              <w:rPr>
                <w:highlight w:val="none"/>
                <w:lang w:bidi="ar"/>
              </w:rPr>
            </w:pPr>
            <w:r>
              <w:rPr>
                <w:highlight w:val="none"/>
                <w:lang w:bidi="ar"/>
              </w:rPr>
              <w:t xml:space="preserve">邻苯二甲酸酯</w:t>
            </w:r>
            <w:r>
              <w:rPr>
                <w:highlight w:val="none"/>
                <w:lang w:bidi="ar"/>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GB/T 40906-2021</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35</w:t>
            </w:r>
            <w:r>
              <w:rPr>
                <w:highlight w:val="none"/>
                <w:lang w:bidi="ar"/>
              </w:rPr>
            </w:r>
            <w:r/>
          </w:p>
        </w:tc>
        <w:tc>
          <w:tcPr>
            <w:gridSpan w:val="2"/>
            <w:tcW w:w="1924" w:type="dxa"/>
            <w:vAlign w:val="center"/>
            <w:vMerge w:val="restart"/>
            <w:textDirection w:val="lrTb"/>
            <w:noWrap w:val="false"/>
          </w:tcPr>
          <w:p>
            <w:pPr>
              <w:pStyle w:val="728"/>
              <w:jc w:val="center"/>
              <w:spacing w:after="0"/>
              <w:rPr>
                <w:highlight w:val="none"/>
                <w:lang w:bidi="ar"/>
              </w:rPr>
            </w:pPr>
            <w:r>
              <w:rPr>
                <w:highlight w:val="none"/>
                <w:lang w:bidi="ar"/>
              </w:rPr>
              <w:t xml:space="preserve">多环芳烃</w:t>
            </w:r>
            <w:r>
              <w:rPr>
                <w:highlight w:val="none"/>
                <w:lang w:bidi="ar"/>
              </w:rPr>
            </w:r>
            <w:r/>
          </w:p>
        </w:tc>
        <w:tc>
          <w:tcPr>
            <w:tcW w:w="1129" w:type="dxa"/>
            <w:vAlign w:val="center"/>
            <w:textDirection w:val="lrTb"/>
            <w:noWrap w:val="false"/>
          </w:tcPr>
          <w:p>
            <w:pPr>
              <w:pStyle w:val="728"/>
              <w:jc w:val="center"/>
              <w:spacing w:after="0"/>
              <w:rPr>
                <w:highlight w:val="none"/>
                <w:lang w:bidi="ar"/>
              </w:rPr>
            </w:pPr>
            <w:r>
              <w:rPr>
                <w:highlight w:val="none"/>
                <w:lang w:bidi="ar"/>
              </w:rPr>
              <w:t xml:space="preserve">苯并[α]芘</w:t>
            </w:r>
            <w:r>
              <w:rPr>
                <w:highlight w:val="none"/>
                <w:lang w:bidi="ar"/>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GB/T 40971-2021</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36</w:t>
            </w:r>
            <w:r>
              <w:rPr>
                <w:highlight w:val="none"/>
                <w:lang w:bidi="ar"/>
              </w:rPr>
            </w:r>
            <w:r/>
          </w:p>
        </w:tc>
        <w:tc>
          <w:tcPr>
            <w:gridSpan w:val="2"/>
            <w:tcW w:w="1924" w:type="dxa"/>
            <w:vAlign w:val="center"/>
            <w:vMerge w:val="continue"/>
            <w:textDirection w:val="lrTb"/>
            <w:noWrap w:val="false"/>
          </w:tcPr>
          <w:p>
            <w:pPr>
              <w:pStyle w:val="728"/>
              <w:jc w:val="center"/>
              <w:spacing w:after="0"/>
              <w:rPr>
                <w:highlight w:val="none"/>
                <w:lang w:bidi="ar"/>
              </w:rPr>
            </w:pPr>
            <w:r>
              <w:rPr>
                <w:highlight w:val="none"/>
                <w:lang w:bidi="ar"/>
              </w:rPr>
            </w:r>
            <w:r/>
          </w:p>
        </w:tc>
        <w:tc>
          <w:tcPr>
            <w:tcW w:w="1129" w:type="dxa"/>
            <w:vAlign w:val="center"/>
            <w:textDirection w:val="lrTb"/>
            <w:noWrap w:val="false"/>
          </w:tcPr>
          <w:p>
            <w:pPr>
              <w:pStyle w:val="728"/>
              <w:jc w:val="center"/>
              <w:spacing w:after="0"/>
              <w:rPr>
                <w:highlight w:val="none"/>
                <w:lang w:bidi="ar"/>
              </w:rPr>
            </w:pPr>
            <w:r>
              <w:rPr>
                <w:highlight w:val="none"/>
              </w:rPr>
              <w:t xml:space="preserve">18种多环芳烃（PAH）总量</w:t>
            </w:r>
            <w:r>
              <w:rPr>
                <w:highlight w:val="none"/>
                <w:lang w:bidi="ar"/>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GB/T 40971-2021</w:t>
            </w:r>
            <w:r>
              <w:rPr>
                <w:highlight w:val="none"/>
              </w:rPr>
            </w:r>
            <w:r/>
          </w:p>
        </w:tc>
      </w:tr>
      <w:tr>
        <w:trPr>
          <w:trHeight w:val="454"/>
        </w:trPr>
        <w:tc>
          <w:tcPr>
            <w:tcW w:w="433" w:type="dxa"/>
            <w:vAlign w:val="center"/>
            <w:textDirection w:val="lrTb"/>
            <w:noWrap w:val="false"/>
          </w:tcPr>
          <w:p>
            <w:pPr>
              <w:pStyle w:val="728"/>
              <w:jc w:val="center"/>
              <w:spacing w:after="0"/>
              <w:rPr>
                <w:highlight w:val="none"/>
                <w:lang w:bidi="ar"/>
              </w:rPr>
            </w:pPr>
            <w:r>
              <w:rPr>
                <w:highlight w:val="none"/>
                <w:lang w:bidi="ar"/>
              </w:rPr>
              <w:t xml:space="preserve">37</w:t>
            </w:r>
            <w:r>
              <w:rPr>
                <w:highlight w:val="none"/>
                <w:lang w:bidi="ar"/>
              </w:rPr>
            </w:r>
            <w:r/>
          </w:p>
        </w:tc>
        <w:tc>
          <w:tcPr>
            <w:gridSpan w:val="3"/>
            <w:tcW w:w="3848" w:type="dxa"/>
            <w:vAlign w:val="center"/>
            <w:textDirection w:val="lrTb"/>
            <w:noWrap w:val="false"/>
          </w:tcPr>
          <w:p>
            <w:pPr>
              <w:pStyle w:val="728"/>
              <w:jc w:val="center"/>
              <w:spacing w:after="0"/>
              <w:rPr>
                <w:highlight w:val="none"/>
                <w:lang w:bidi="ar"/>
              </w:rPr>
            </w:pPr>
            <w:r>
              <w:rPr>
                <w:highlight w:val="none"/>
                <w:lang w:bidi="ar"/>
              </w:rPr>
              <w:t xml:space="preserve">可分解芳香胺染料</w:t>
            </w:r>
            <w:r>
              <w:rPr>
                <w:highlight w:val="none"/>
                <w:lang w:bidi="ar"/>
              </w:rPr>
            </w:r>
            <w:r/>
          </w:p>
        </w:tc>
        <w:tc>
          <w:tcPr>
            <w:tcW w:w="112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GB/T 40904-2021</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38</w:t>
            </w:r>
            <w:r>
              <w:rPr>
                <w:highlight w:val="none"/>
              </w:rPr>
            </w:r>
            <w:r/>
          </w:p>
        </w:tc>
        <w:tc>
          <w:tcPr>
            <w:tcW w:w="753" w:type="dxa"/>
            <w:vAlign w:val="center"/>
            <w:vMerge w:val="restart"/>
            <w:textDirection w:val="lrTb"/>
            <w:noWrap w:val="false"/>
          </w:tcPr>
          <w:p>
            <w:pPr>
              <w:pStyle w:val="728"/>
              <w:jc w:val="center"/>
              <w:spacing w:after="0"/>
              <w:rPr>
                <w:highlight w:val="none"/>
              </w:rPr>
            </w:pPr>
            <w:r>
              <w:rPr>
                <w:highlight w:val="none"/>
                <w:lang w:bidi="ar"/>
              </w:rPr>
              <w:t xml:space="preserve">表面理化性能-漆膜</w:t>
            </w: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附着力</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GB/T 4893.4-2013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39</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耐磨性</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GB/T 4893.8-2013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40</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抗冲击</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GB/T 4893.9-2013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41</w:t>
            </w:r>
            <w:r>
              <w:rPr>
                <w:highlight w:val="none"/>
              </w:rPr>
            </w:r>
            <w:r/>
          </w:p>
        </w:tc>
        <w:tc>
          <w:tcPr>
            <w:tcW w:w="753" w:type="dxa"/>
            <w:vAlign w:val="center"/>
            <w:vMerge w:val="restart"/>
            <w:textDirection w:val="lrTb"/>
            <w:noWrap w:val="false"/>
          </w:tcPr>
          <w:p>
            <w:pPr>
              <w:pStyle w:val="728"/>
              <w:jc w:val="center"/>
              <w:spacing w:after="0"/>
              <w:rPr>
                <w:highlight w:val="none"/>
              </w:rPr>
            </w:pPr>
            <w:r>
              <w:rPr>
                <w:highlight w:val="none"/>
                <w:lang w:bidi="ar"/>
              </w:rPr>
              <w:t xml:space="preserve">表面理化性能-软、硬质覆面</w:t>
            </w: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表面耐磨性</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GB/T 17657-2013</w:t>
            </w:r>
            <w:r>
              <w:rPr>
                <w:highlight w:val="none"/>
              </w:rPr>
            </w:r>
            <w:r/>
          </w:p>
        </w:tc>
      </w:tr>
      <w:tr>
        <w:trPr>
          <w:trHeight w:val="454"/>
        </w:trPr>
        <w:tc>
          <w:tcPr>
            <w:tcW w:w="433" w:type="dxa"/>
            <w:vAlign w:val="center"/>
            <w:textDirection w:val="lrTb"/>
            <w:noWrap w:val="false"/>
          </w:tcPr>
          <w:p>
            <w:pPr>
              <w:pStyle w:val="728"/>
              <w:jc w:val="center"/>
              <w:spacing w:after="0"/>
              <w:rPr>
                <w:highlight w:val="none"/>
              </w:rPr>
            </w:pPr>
            <w:r>
              <w:rPr>
                <w:highlight w:val="none"/>
                <w:lang w:bidi="ar"/>
              </w:rPr>
              <w:t xml:space="preserve">42</w:t>
            </w:r>
            <w:r>
              <w:rPr>
                <w:highlight w:val="none"/>
              </w:rPr>
            </w:r>
            <w:r/>
          </w:p>
        </w:tc>
        <w:tc>
          <w:tcPr>
            <w:tcW w:w="753" w:type="dxa"/>
            <w:vAlign w:val="center"/>
            <w:vMerge w:val="continue"/>
            <w:textDirection w:val="lrTb"/>
            <w:noWrap w:val="false"/>
          </w:tcPr>
          <w:p>
            <w:pPr>
              <w:pStyle w:val="728"/>
              <w:spacing w:after="0"/>
              <w:rPr>
                <w:highlight w:val="none"/>
              </w:rPr>
            </w:pPr>
            <w:r>
              <w:rPr>
                <w:highlight w:val="none"/>
              </w:rPr>
            </w:r>
            <w:r/>
          </w:p>
        </w:tc>
        <w:tc>
          <w:tcPr>
            <w:gridSpan w:val="2"/>
            <w:tcW w:w="2565" w:type="dxa"/>
            <w:vAlign w:val="center"/>
            <w:textDirection w:val="lrTb"/>
            <w:noWrap w:val="false"/>
          </w:tcPr>
          <w:p>
            <w:pPr>
              <w:pStyle w:val="728"/>
              <w:jc w:val="center"/>
              <w:spacing w:after="0"/>
              <w:rPr>
                <w:highlight w:val="none"/>
              </w:rPr>
            </w:pPr>
            <w:r>
              <w:rPr>
                <w:highlight w:val="none"/>
                <w:lang w:bidi="ar"/>
              </w:rPr>
              <w:t xml:space="preserve">抗冲击</w:t>
            </w:r>
            <w:r>
              <w:rPr>
                <w:highlight w:val="none"/>
              </w:rPr>
            </w:r>
            <w:r/>
          </w:p>
        </w:tc>
        <w:tc>
          <w:tcPr>
            <w:tcW w:w="1128" w:type="dxa"/>
            <w:vAlign w:val="center"/>
            <w:textDirection w:val="lrTb"/>
            <w:noWrap w:val="false"/>
          </w:tcPr>
          <w:p>
            <w:pPr>
              <w:pStyle w:val="728"/>
              <w:jc w:val="center"/>
              <w:spacing w:after="0"/>
              <w:rPr>
                <w:highlight w:val="none"/>
              </w:rPr>
            </w:pPr>
            <w:r>
              <w:rPr>
                <w:highlight w:val="none"/>
              </w:rPr>
              <w:t xml:space="preserve">GB/T 3324-2017</w:t>
            </w:r>
            <w:r>
              <w:rPr>
                <w:highlight w:val="none"/>
              </w:rPr>
            </w:r>
            <w:r/>
          </w:p>
        </w:tc>
        <w:tc>
          <w:tcPr>
            <w:tcW w:w="1182" w:type="dxa"/>
            <w:vAlign w:val="center"/>
            <w:textDirection w:val="lrTb"/>
            <w:noWrap w:val="false"/>
          </w:tcPr>
          <w:p>
            <w:pPr>
              <w:pStyle w:val="728"/>
              <w:jc w:val="center"/>
              <w:spacing w:after="0"/>
              <w:rPr>
                <w:highlight w:val="none"/>
              </w:rPr>
            </w:pPr>
            <w:r>
              <w:rPr>
                <w:highlight w:val="none"/>
              </w:rPr>
              <w:t xml:space="preserve">GB/T 4893.9-2013</w:t>
            </w:r>
            <w:r>
              <w:rPr>
                <w:highlight w:val="none"/>
              </w:rPr>
            </w:r>
            <w:r/>
          </w:p>
        </w:tc>
      </w:tr>
      <w:tr>
        <w:trPr>
          <w:trHeight w:val="454"/>
        </w:trPr>
        <w:tc>
          <w:tcPr>
            <w:gridSpan w:val="6"/>
            <w:tcW w:w="8522" w:type="dxa"/>
            <w:vAlign w:val="center"/>
            <w:textDirection w:val="lrTb"/>
            <w:noWrap w:val="false"/>
          </w:tcPr>
          <w:p>
            <w:pPr>
              <w:pStyle w:val="728"/>
              <w:spacing w:after="0"/>
              <w:rPr>
                <w:highlight w:val="none"/>
              </w:rPr>
            </w:pPr>
            <w:r>
              <w:rPr>
                <w:highlight w:val="none"/>
                <w:lang w:bidi="ar"/>
              </w:rPr>
              <w:t xml:space="preserve">注：1、木工要求的检验项目为GB/T 3324—2017中表3序号27、28、34。</w:t>
            </w:r>
            <w:r>
              <w:rPr>
                <w:highlight w:val="none"/>
              </w:rPr>
            </w:r>
            <w:r/>
          </w:p>
        </w:tc>
      </w:tr>
    </w:tbl>
    <w:p>
      <w:pPr>
        <w:pStyle w:val="728"/>
        <w:ind w:left="720"/>
        <w:rPr>
          <w:sz w:val="24"/>
          <w:szCs w:val="24"/>
          <w:highlight w:val="none"/>
        </w:rPr>
      </w:pPr>
      <w:r>
        <w:rPr>
          <w:sz w:val="24"/>
          <w:szCs w:val="24"/>
          <w:highlight w:val="none"/>
        </w:rPr>
      </w:r>
      <w:r/>
    </w:p>
    <w:p>
      <w:pPr>
        <w:pStyle w:val="728"/>
        <w:rPr>
          <w:highlight w:val="none"/>
        </w:rPr>
      </w:pPr>
      <w:r>
        <w:rPr>
          <w:highlight w:val="none"/>
        </w:rPr>
        <w:t xml:space="preserve">木制家具产品（标注执行标准GB/T 3324-2024）</w:t>
      </w:r>
      <w:r>
        <w:rPr>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193"/>
        <w:gridCol w:w="1335"/>
        <w:gridCol w:w="1865"/>
        <w:gridCol w:w="1754"/>
        <w:gridCol w:w="1752"/>
      </w:tblGrid>
      <w:tr>
        <w:trPr>
          <w:trHeight w:val="454"/>
          <w:tblHeader/>
        </w:trPr>
        <w:tc>
          <w:tcPr>
            <w:tcW w:w="366" w:type="dxa"/>
            <w:vAlign w:val="center"/>
            <w:textDirection w:val="lrTb"/>
            <w:noWrap w:val="false"/>
          </w:tcPr>
          <w:p>
            <w:pPr>
              <w:pStyle w:val="728"/>
              <w:jc w:val="center"/>
              <w:spacing w:after="0"/>
              <w:rPr>
                <w:highlight w:val="none"/>
              </w:rPr>
            </w:pPr>
            <w:r>
              <w:rPr>
                <w:highlight w:val="none"/>
              </w:rPr>
              <w:t xml:space="preserve">序号</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检验项目</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检验依据</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检验方法</w:t>
            </w:r>
            <w:r>
              <w:rPr>
                <w:highlight w:val="none"/>
              </w:rPr>
            </w:r>
            <w:r/>
          </w:p>
        </w:tc>
        <w:tc>
          <w:tcPr>
            <w:tcW w:w="1028" w:type="dxa"/>
            <w:vAlign w:val="center"/>
            <w:textDirection w:val="lrTb"/>
            <w:noWrap w:val="false"/>
          </w:tcPr>
          <w:p>
            <w:pPr>
              <w:pStyle w:val="728"/>
              <w:jc w:val="center"/>
              <w:spacing w:after="0"/>
              <w:rPr>
                <w:highlight w:val="none"/>
              </w:rPr>
            </w:pPr>
            <w:r>
              <w:rPr>
                <w:highlight w:val="none"/>
              </w:rPr>
              <w:t xml:space="preserve">备注</w:t>
            </w: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1</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木工要求</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688"/>
        </w:trPr>
        <w:tc>
          <w:tcPr>
            <w:tcW w:w="366" w:type="dxa"/>
            <w:vAlign w:val="center"/>
            <w:textDirection w:val="lrTb"/>
            <w:noWrap w:val="false"/>
          </w:tcPr>
          <w:p>
            <w:pPr>
              <w:pStyle w:val="728"/>
              <w:jc w:val="center"/>
              <w:spacing w:after="0"/>
              <w:rPr>
                <w:highlight w:val="none"/>
              </w:rPr>
            </w:pPr>
            <w:r>
              <w:rPr>
                <w:highlight w:val="none"/>
              </w:rPr>
              <w:t xml:space="preserve">2</w:t>
            </w:r>
            <w:r>
              <w:rPr>
                <w:highlight w:val="none"/>
              </w:rPr>
            </w:r>
            <w:r/>
          </w:p>
        </w:tc>
        <w:tc>
          <w:tcPr>
            <w:tcW w:w="700" w:type="dxa"/>
            <w:vAlign w:val="center"/>
            <w:vMerge w:val="restart"/>
            <w:textDirection w:val="lrTb"/>
            <w:noWrap w:val="false"/>
          </w:tcPr>
          <w:p>
            <w:pPr>
              <w:pStyle w:val="728"/>
              <w:jc w:val="center"/>
              <w:spacing w:after="0"/>
              <w:rPr>
                <w:highlight w:val="none"/>
              </w:rPr>
            </w:pPr>
            <w:r>
              <w:rPr>
                <w:highlight w:val="none"/>
              </w:rPr>
              <w:t xml:space="preserve">力学性能-柜类强度</w:t>
            </w: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结构、底架和/或腿强度试验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10357.5-2023</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699"/>
        </w:trPr>
        <w:tc>
          <w:tcPr>
            <w:tcW w:w="366" w:type="dxa"/>
            <w:vAlign w:val="center"/>
            <w:textDirection w:val="lrTb"/>
            <w:noWrap w:val="false"/>
          </w:tcPr>
          <w:p>
            <w:pPr>
              <w:pStyle w:val="728"/>
              <w:jc w:val="center"/>
              <w:spacing w:after="0"/>
              <w:rPr>
                <w:highlight w:val="none"/>
              </w:rPr>
            </w:pPr>
            <w:r>
              <w:rPr>
                <w:highlight w:val="none"/>
              </w:rPr>
              <w:t xml:space="preserve">3</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推拉构件强度试验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10357.5-2023</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694"/>
        </w:trPr>
        <w:tc>
          <w:tcPr>
            <w:tcW w:w="366" w:type="dxa"/>
            <w:vAlign w:val="center"/>
            <w:textDirection w:val="lrTb"/>
            <w:noWrap w:val="false"/>
          </w:tcPr>
          <w:p>
            <w:pPr>
              <w:pStyle w:val="728"/>
              <w:jc w:val="center"/>
              <w:spacing w:after="0"/>
              <w:rPr>
                <w:highlight w:val="none"/>
              </w:rPr>
            </w:pPr>
            <w:r>
              <w:rPr>
                <w:highlight w:val="none"/>
              </w:rPr>
              <w:t xml:space="preserve">4</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推拉构件底板强度试验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10357.5-2023</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5</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力学性能-柜类稳定性</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10357.4-2023</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654"/>
        </w:trPr>
        <w:tc>
          <w:tcPr>
            <w:tcW w:w="366" w:type="dxa"/>
            <w:vAlign w:val="center"/>
            <w:textDirection w:val="lrTb"/>
            <w:noWrap w:val="false"/>
          </w:tcPr>
          <w:p>
            <w:pPr>
              <w:pStyle w:val="728"/>
              <w:jc w:val="center"/>
              <w:spacing w:after="0"/>
              <w:rPr>
                <w:highlight w:val="none"/>
              </w:rPr>
            </w:pPr>
            <w:r>
              <w:rPr>
                <w:highlight w:val="none"/>
              </w:rPr>
              <w:t xml:space="preserve">6</w:t>
            </w:r>
            <w:r>
              <w:rPr>
                <w:highlight w:val="none"/>
              </w:rPr>
            </w:r>
            <w:r/>
          </w:p>
        </w:tc>
        <w:tc>
          <w:tcPr>
            <w:tcW w:w="700" w:type="dxa"/>
            <w:vAlign w:val="center"/>
            <w:vMerge w:val="restart"/>
            <w:textDirection w:val="lrTb"/>
            <w:noWrap w:val="false"/>
          </w:tcPr>
          <w:p>
            <w:pPr>
              <w:pStyle w:val="728"/>
              <w:jc w:val="center"/>
              <w:spacing w:after="0"/>
              <w:rPr>
                <w:highlight w:val="none"/>
              </w:rPr>
            </w:pPr>
            <w:r>
              <w:rPr>
                <w:highlight w:val="none"/>
              </w:rPr>
              <w:t xml:space="preserve">力学性能-桌类强度</w:t>
            </w: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垂直静载荷试验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10357.1-2024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706"/>
        </w:trPr>
        <w:tc>
          <w:tcPr>
            <w:tcW w:w="366" w:type="dxa"/>
            <w:vAlign w:val="center"/>
            <w:textDirection w:val="lrTb"/>
            <w:noWrap w:val="false"/>
          </w:tcPr>
          <w:p>
            <w:pPr>
              <w:pStyle w:val="728"/>
              <w:jc w:val="center"/>
              <w:spacing w:after="0"/>
              <w:rPr>
                <w:highlight w:val="none"/>
              </w:rPr>
            </w:pPr>
            <w:r>
              <w:rPr>
                <w:highlight w:val="none"/>
              </w:rPr>
              <w:t xml:space="preserve">7</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水平静载荷试验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10357.1-2024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8</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垂直冲击试验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10357.1-2024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9</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跌落试验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10357.1-2024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10</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力学性能-桌类稳定性</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10357.7-2013</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665"/>
        </w:trPr>
        <w:tc>
          <w:tcPr>
            <w:tcW w:w="366" w:type="dxa"/>
            <w:vAlign w:val="center"/>
            <w:textDirection w:val="lrTb"/>
            <w:noWrap w:val="false"/>
          </w:tcPr>
          <w:p>
            <w:pPr>
              <w:pStyle w:val="728"/>
              <w:jc w:val="center"/>
              <w:spacing w:after="0"/>
              <w:rPr>
                <w:highlight w:val="none"/>
              </w:rPr>
            </w:pPr>
            <w:r>
              <w:rPr>
                <w:highlight w:val="none"/>
              </w:rPr>
              <w:t xml:space="preserve">11</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力学性能-椅凳类稳定性</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10357.2-2013</w:t>
            </w:r>
            <w:r>
              <w:rPr>
                <w:highlight w:val="none"/>
              </w:rPr>
            </w:r>
            <w:r/>
          </w:p>
          <w:p>
            <w:pPr>
              <w:pStyle w:val="728"/>
              <w:jc w:val="center"/>
              <w:spacing w:after="0"/>
              <w:rPr>
                <w:highlight w:val="none"/>
              </w:rPr>
            </w:pPr>
            <w:r>
              <w:rPr>
                <w:highlight w:val="none"/>
              </w:rPr>
              <w:t xml:space="preserve">GB/T 10357.8-2015</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703"/>
        </w:trPr>
        <w:tc>
          <w:tcPr>
            <w:tcW w:w="366" w:type="dxa"/>
            <w:vAlign w:val="center"/>
            <w:textDirection w:val="lrTb"/>
            <w:noWrap w:val="false"/>
          </w:tcPr>
          <w:p>
            <w:pPr>
              <w:pStyle w:val="728"/>
              <w:jc w:val="center"/>
              <w:spacing w:after="0"/>
              <w:rPr>
                <w:highlight w:val="none"/>
              </w:rPr>
            </w:pPr>
            <w:r>
              <w:rPr>
                <w:highlight w:val="none"/>
              </w:rPr>
              <w:t xml:space="preserve">12</w:t>
            </w:r>
            <w:r>
              <w:rPr>
                <w:highlight w:val="none"/>
              </w:rPr>
            </w:r>
            <w:r/>
          </w:p>
        </w:tc>
        <w:tc>
          <w:tcPr>
            <w:tcW w:w="700" w:type="dxa"/>
            <w:vAlign w:val="center"/>
            <w:vMerge w:val="restart"/>
            <w:textDirection w:val="lrTb"/>
            <w:noWrap w:val="false"/>
          </w:tcPr>
          <w:p>
            <w:pPr>
              <w:pStyle w:val="728"/>
              <w:jc w:val="center"/>
              <w:spacing w:after="0"/>
              <w:rPr>
                <w:highlight w:val="none"/>
              </w:rPr>
            </w:pPr>
            <w:r>
              <w:rPr>
                <w:highlight w:val="none"/>
              </w:rPr>
              <w:t xml:space="preserve">力学性能-单层床强度</w:t>
            </w: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床铺面垂直静载荷</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41650-2022</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698"/>
        </w:trPr>
        <w:tc>
          <w:tcPr>
            <w:tcW w:w="366" w:type="dxa"/>
            <w:vAlign w:val="center"/>
            <w:textDirection w:val="lrTb"/>
            <w:noWrap w:val="false"/>
          </w:tcPr>
          <w:p>
            <w:pPr>
              <w:pStyle w:val="728"/>
              <w:jc w:val="center"/>
              <w:spacing w:after="0"/>
              <w:rPr>
                <w:highlight w:val="none"/>
              </w:rPr>
            </w:pPr>
            <w:r>
              <w:rPr>
                <w:highlight w:val="none"/>
              </w:rPr>
              <w:t xml:space="preserve">13</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床侧边垂直静载荷</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41650-2022</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14</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水平静载荷</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41650-2022</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15</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结构安全性</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28008-2024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28008-2024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16</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甲醛</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17</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苯</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18</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甲苯</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656"/>
        </w:trPr>
        <w:tc>
          <w:tcPr>
            <w:tcW w:w="366" w:type="dxa"/>
            <w:vAlign w:val="center"/>
            <w:textDirection w:val="lrTb"/>
            <w:noWrap w:val="false"/>
          </w:tcPr>
          <w:p>
            <w:pPr>
              <w:pStyle w:val="728"/>
              <w:jc w:val="center"/>
              <w:spacing w:after="0"/>
              <w:rPr>
                <w:highlight w:val="none"/>
              </w:rPr>
            </w:pPr>
            <w:r>
              <w:rPr>
                <w:highlight w:val="none"/>
              </w:rPr>
              <w:t xml:space="preserve">19</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二甲苯（邻、间、对二甲苯之和）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20</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rPr>
              <w:t xml:space="preserve">总挥发性有机化合物（TVOC）</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21</w:t>
            </w:r>
            <w:r>
              <w:rPr>
                <w:highlight w:val="none"/>
              </w:rPr>
            </w:r>
            <w:r/>
          </w:p>
        </w:tc>
        <w:tc>
          <w:tcPr>
            <w:tcW w:w="700" w:type="dxa"/>
            <w:vAlign w:val="center"/>
            <w:vMerge w:val="restart"/>
            <w:textDirection w:val="lrTb"/>
            <w:noWrap w:val="false"/>
          </w:tcPr>
          <w:p>
            <w:pPr>
              <w:pStyle w:val="728"/>
              <w:jc w:val="center"/>
              <w:spacing w:after="0"/>
              <w:rPr>
                <w:highlight w:val="none"/>
              </w:rPr>
            </w:pPr>
            <w:r>
              <w:rPr>
                <w:highlight w:val="none"/>
              </w:rPr>
              <w:t xml:space="preserve">可迁移有害元素（仅适用于色漆涂层）</w:t>
            </w: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锑（Sb）</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22</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砷（As）</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23</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钡（Ba）</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24</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镉（Cd）</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25</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铬（Cr）</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26</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铅（Pb）</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27</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汞（Hg）</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28</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硒（Se）</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29</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lang w:bidi="ar"/>
              </w:rPr>
              <w:t xml:space="preserve">邻苯二甲酸酯</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40906-2021</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30</w:t>
            </w:r>
            <w:r>
              <w:rPr>
                <w:highlight w:val="none"/>
              </w:rPr>
            </w:r>
            <w:r/>
          </w:p>
        </w:tc>
        <w:tc>
          <w:tcPr>
            <w:tcW w:w="700" w:type="dxa"/>
            <w:vAlign w:val="center"/>
            <w:vMerge w:val="restart"/>
            <w:textDirection w:val="lrTb"/>
            <w:noWrap w:val="false"/>
          </w:tcPr>
          <w:p>
            <w:pPr>
              <w:pStyle w:val="728"/>
              <w:jc w:val="center"/>
              <w:spacing w:after="0"/>
              <w:rPr>
                <w:highlight w:val="none"/>
                <w:lang w:bidi="ar"/>
              </w:rPr>
            </w:pPr>
            <w:r>
              <w:rPr>
                <w:highlight w:val="none"/>
                <w:lang w:bidi="ar"/>
              </w:rPr>
              <w:t xml:space="preserve">多环芳烃</w:t>
            </w:r>
            <w:r>
              <w:rPr>
                <w:highlight w:val="none"/>
                <w:lang w:bidi="ar"/>
              </w:rPr>
            </w:r>
            <w:r/>
          </w:p>
        </w:tc>
        <w:tc>
          <w:tcPr>
            <w:tcW w:w="783" w:type="dxa"/>
            <w:vAlign w:val="center"/>
            <w:textDirection w:val="lrTb"/>
            <w:noWrap w:val="false"/>
          </w:tcPr>
          <w:p>
            <w:pPr>
              <w:pStyle w:val="728"/>
              <w:jc w:val="center"/>
              <w:spacing w:after="0"/>
              <w:rPr>
                <w:highlight w:val="none"/>
                <w:lang w:bidi="ar"/>
              </w:rPr>
            </w:pPr>
            <w:r>
              <w:rPr>
                <w:highlight w:val="none"/>
                <w:lang w:bidi="ar"/>
              </w:rPr>
              <w:t xml:space="preserve">苯并[α]芘</w:t>
            </w:r>
            <w:r>
              <w:rPr>
                <w:highlight w:val="none"/>
                <w:lang w:bidi="ar"/>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40971-2021</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667"/>
        </w:trPr>
        <w:tc>
          <w:tcPr>
            <w:tcW w:w="366" w:type="dxa"/>
            <w:vAlign w:val="center"/>
            <w:textDirection w:val="lrTb"/>
            <w:noWrap w:val="false"/>
          </w:tcPr>
          <w:p>
            <w:pPr>
              <w:pStyle w:val="728"/>
              <w:jc w:val="center"/>
              <w:spacing w:after="0"/>
              <w:rPr>
                <w:highlight w:val="none"/>
              </w:rPr>
            </w:pPr>
            <w:r>
              <w:rPr>
                <w:highlight w:val="none"/>
              </w:rPr>
              <w:t xml:space="preserve">31</w:t>
            </w:r>
            <w:r>
              <w:rPr>
                <w:highlight w:val="none"/>
              </w:rPr>
            </w:r>
            <w:r/>
          </w:p>
        </w:tc>
        <w:tc>
          <w:tcPr>
            <w:tcW w:w="700" w:type="dxa"/>
            <w:vAlign w:val="center"/>
            <w:vMerge w:val="continue"/>
            <w:textDirection w:val="lrTb"/>
            <w:noWrap w:val="false"/>
          </w:tcPr>
          <w:p>
            <w:pPr>
              <w:pStyle w:val="728"/>
              <w:jc w:val="center"/>
              <w:spacing w:after="0"/>
              <w:rPr>
                <w:highlight w:val="none"/>
                <w:lang w:bidi="ar"/>
              </w:rPr>
            </w:pPr>
            <w:r>
              <w:rPr>
                <w:highlight w:val="none"/>
                <w:lang w:bidi="ar"/>
              </w:rPr>
            </w:r>
            <w:r/>
          </w:p>
        </w:tc>
        <w:tc>
          <w:tcPr>
            <w:tcW w:w="783" w:type="dxa"/>
            <w:vAlign w:val="center"/>
            <w:textDirection w:val="lrTb"/>
            <w:noWrap w:val="false"/>
          </w:tcPr>
          <w:p>
            <w:pPr>
              <w:pStyle w:val="728"/>
              <w:jc w:val="center"/>
              <w:spacing w:after="0"/>
              <w:rPr>
                <w:highlight w:val="none"/>
                <w:lang w:bidi="ar"/>
              </w:rPr>
            </w:pPr>
            <w:r>
              <w:rPr>
                <w:highlight w:val="none"/>
              </w:rPr>
              <w:t xml:space="preserve">18种多环芳烃（PAH）总量</w:t>
            </w:r>
            <w:r>
              <w:rPr>
                <w:highlight w:val="none"/>
                <w:lang w:bidi="ar"/>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40971-2021</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32</w:t>
            </w:r>
            <w:r>
              <w:rPr>
                <w:highlight w:val="none"/>
              </w:rPr>
            </w:r>
            <w:r/>
          </w:p>
        </w:tc>
        <w:tc>
          <w:tcPr>
            <w:gridSpan w:val="2"/>
            <w:tcW w:w="2528" w:type="dxa"/>
            <w:vAlign w:val="center"/>
            <w:textDirection w:val="lrTb"/>
            <w:noWrap w:val="false"/>
          </w:tcPr>
          <w:p>
            <w:pPr>
              <w:pStyle w:val="728"/>
              <w:jc w:val="center"/>
              <w:spacing w:after="0"/>
              <w:rPr>
                <w:highlight w:val="none"/>
              </w:rPr>
            </w:pPr>
            <w:r>
              <w:rPr>
                <w:highlight w:val="none"/>
                <w:lang w:bidi="ar"/>
              </w:rPr>
              <w:t xml:space="preserve">可分解芳香胺染料</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40904-2021</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33</w:t>
            </w:r>
            <w:r>
              <w:rPr>
                <w:highlight w:val="none"/>
              </w:rPr>
            </w:r>
            <w:r/>
          </w:p>
        </w:tc>
        <w:tc>
          <w:tcPr>
            <w:tcW w:w="700" w:type="dxa"/>
            <w:vAlign w:val="center"/>
            <w:vMerge w:val="restart"/>
            <w:textDirection w:val="lrTb"/>
            <w:noWrap w:val="false"/>
          </w:tcPr>
          <w:p>
            <w:pPr>
              <w:pStyle w:val="728"/>
              <w:jc w:val="center"/>
              <w:spacing w:after="0"/>
              <w:rPr>
                <w:highlight w:val="none"/>
              </w:rPr>
            </w:pPr>
            <w:r>
              <w:rPr>
                <w:highlight w:val="none"/>
              </w:rPr>
              <w:t xml:space="preserve">表面理化性能-漆膜</w:t>
            </w: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附着力</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4893.4-2023</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34</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耐磨性</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4893.8-2023</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35</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抗冲击</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4893.9-2013</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688"/>
        </w:trPr>
        <w:tc>
          <w:tcPr>
            <w:tcW w:w="366" w:type="dxa"/>
            <w:vAlign w:val="center"/>
            <w:textDirection w:val="lrTb"/>
            <w:noWrap w:val="false"/>
          </w:tcPr>
          <w:p>
            <w:pPr>
              <w:pStyle w:val="728"/>
              <w:jc w:val="center"/>
              <w:spacing w:after="0"/>
              <w:rPr>
                <w:highlight w:val="none"/>
              </w:rPr>
            </w:pPr>
            <w:r>
              <w:rPr>
                <w:highlight w:val="none"/>
              </w:rPr>
              <w:t xml:space="preserve">36</w:t>
            </w:r>
            <w:r>
              <w:rPr>
                <w:highlight w:val="none"/>
              </w:rPr>
            </w:r>
            <w:r/>
          </w:p>
        </w:tc>
        <w:tc>
          <w:tcPr>
            <w:tcW w:w="700" w:type="dxa"/>
            <w:vAlign w:val="center"/>
            <w:vMerge w:val="restart"/>
            <w:textDirection w:val="lrTb"/>
            <w:noWrap w:val="false"/>
          </w:tcPr>
          <w:p>
            <w:pPr>
              <w:pStyle w:val="728"/>
              <w:jc w:val="center"/>
              <w:spacing w:after="0"/>
              <w:rPr>
                <w:highlight w:val="none"/>
              </w:rPr>
            </w:pPr>
            <w:r>
              <w:rPr>
                <w:highlight w:val="none"/>
              </w:rPr>
              <w:t xml:space="preserve">表面理化性能-软、硬质覆面</w:t>
            </w: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耐磨性</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17657-2022</w:t>
            </w:r>
            <w:r>
              <w:rPr>
                <w:highlight w:val="none"/>
              </w:rPr>
            </w:r>
            <w:r/>
          </w:p>
          <w:p>
            <w:pPr>
              <w:pStyle w:val="728"/>
              <w:jc w:val="center"/>
              <w:spacing w:after="0"/>
              <w:rPr>
                <w:highlight w:val="none"/>
              </w:rPr>
            </w:pPr>
            <w:r>
              <w:rPr>
                <w:highlight w:val="none"/>
              </w:rPr>
              <w:t xml:space="preserve">GB/T 4893.8-2023 </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37</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抗冲击</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4893.9-2013</w:t>
            </w:r>
            <w:r>
              <w:rPr>
                <w:highlight w:val="none"/>
              </w:rPr>
            </w:r>
            <w:r/>
          </w:p>
        </w:tc>
        <w:tc>
          <w:tcPr>
            <w:tcW w:w="1028" w:type="dxa"/>
            <w:vAlign w:val="top"/>
            <w:textDirection w:val="lrTb"/>
            <w:noWrap w:val="false"/>
          </w:tcPr>
          <w:p>
            <w:pPr>
              <w:pStyle w:val="728"/>
              <w:jc w:val="center"/>
              <w:spacing w:after="0"/>
              <w:rPr>
                <w:highlight w:val="none"/>
              </w:rPr>
            </w:pPr>
            <w:r>
              <w:rPr>
                <w:highlight w:val="none"/>
              </w:rPr>
            </w:r>
            <w:r/>
          </w:p>
        </w:tc>
      </w:tr>
      <w:tr>
        <w:trPr>
          <w:trHeight w:val="454"/>
        </w:trPr>
        <w:tc>
          <w:tcPr>
            <w:gridSpan w:val="6"/>
            <w:tcW w:w="8522" w:type="dxa"/>
            <w:vAlign w:val="center"/>
            <w:textDirection w:val="lrTb"/>
            <w:noWrap w:val="false"/>
          </w:tcPr>
          <w:p>
            <w:pPr>
              <w:pStyle w:val="728"/>
              <w:jc w:val="center"/>
              <w:spacing w:after="0"/>
              <w:rPr>
                <w:highlight w:val="none"/>
              </w:rPr>
            </w:pPr>
            <w:r>
              <w:rPr>
                <w:highlight w:val="none"/>
              </w:rPr>
              <w:t xml:space="preserve">以下按生产日期进行区分</w:t>
            </w: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38</w:t>
            </w:r>
            <w:r>
              <w:rPr>
                <w:highlight w:val="none"/>
              </w:rPr>
            </w:r>
            <w:r/>
          </w:p>
        </w:tc>
        <w:tc>
          <w:tcPr>
            <w:tcW w:w="700" w:type="dxa"/>
            <w:vAlign w:val="center"/>
            <w:vMerge w:val="restart"/>
            <w:textDirection w:val="lrTb"/>
            <w:noWrap w:val="false"/>
          </w:tcPr>
          <w:p>
            <w:pPr>
              <w:pStyle w:val="728"/>
              <w:jc w:val="center"/>
              <w:spacing w:after="0"/>
              <w:rPr>
                <w:highlight w:val="none"/>
              </w:rPr>
            </w:pPr>
            <w:r>
              <w:rPr>
                <w:highlight w:val="none"/>
              </w:rPr>
              <w:t xml:space="preserve">力学性能-椅凳类强度</w:t>
            </w: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座面和椅背静载荷试验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10357.3-2013</w:t>
            </w:r>
            <w:r>
              <w:rPr>
                <w:highlight w:val="none"/>
              </w:rPr>
            </w:r>
            <w:r/>
          </w:p>
        </w:tc>
        <w:tc>
          <w:tcPr>
            <w:tcW w:w="1028" w:type="dxa"/>
            <w:vAlign w:val="center"/>
            <w:vMerge w:val="restart"/>
            <w:textDirection w:val="lrTb"/>
            <w:noWrap w:val="false"/>
          </w:tcPr>
          <w:p>
            <w:pPr>
              <w:pStyle w:val="728"/>
              <w:jc w:val="center"/>
              <w:spacing w:after="0"/>
              <w:rPr>
                <w:highlight w:val="none"/>
              </w:rPr>
            </w:pPr>
            <w:r>
              <w:rPr>
                <w:highlight w:val="none"/>
              </w:rPr>
              <w:t xml:space="preserve">生产日期在2026年2月1日前</w:t>
            </w: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39</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椅腿前向静载荷试验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10357.3-2013</w:t>
            </w:r>
            <w:r>
              <w:rPr>
                <w:highlight w:val="none"/>
              </w:rPr>
            </w:r>
            <w:r/>
          </w:p>
        </w:tc>
        <w:tc>
          <w:tcPr>
            <w:tcW w:w="1028" w:type="dxa"/>
            <w:vAlign w:val="center"/>
            <w:vMerge w:val="continue"/>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40</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椅腿侧向静载荷试验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10357.3-2013</w:t>
            </w:r>
            <w:r>
              <w:rPr>
                <w:highlight w:val="none"/>
              </w:rPr>
            </w:r>
            <w:r/>
          </w:p>
        </w:tc>
        <w:tc>
          <w:tcPr>
            <w:tcW w:w="1028" w:type="dxa"/>
            <w:vAlign w:val="center"/>
            <w:vMerge w:val="continue"/>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41</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座面冲击试验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10357.3-2013</w:t>
            </w:r>
            <w:r>
              <w:rPr>
                <w:highlight w:val="none"/>
              </w:rPr>
            </w:r>
            <w:r/>
          </w:p>
        </w:tc>
        <w:tc>
          <w:tcPr>
            <w:tcW w:w="1028" w:type="dxa"/>
            <w:vAlign w:val="center"/>
            <w:vMerge w:val="continue"/>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42</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跌落试验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10357.3-2013</w:t>
            </w:r>
            <w:r>
              <w:rPr>
                <w:highlight w:val="none"/>
              </w:rPr>
            </w:r>
            <w:r/>
          </w:p>
        </w:tc>
        <w:tc>
          <w:tcPr>
            <w:tcW w:w="1028" w:type="dxa"/>
            <w:vAlign w:val="center"/>
            <w:vMerge w:val="continue"/>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43</w:t>
            </w:r>
            <w:r>
              <w:rPr>
                <w:highlight w:val="none"/>
              </w:rPr>
            </w:r>
            <w:r/>
          </w:p>
        </w:tc>
        <w:tc>
          <w:tcPr>
            <w:tcW w:w="700" w:type="dxa"/>
            <w:vAlign w:val="center"/>
            <w:vMerge w:val="restart"/>
            <w:textDirection w:val="lrTb"/>
            <w:noWrap w:val="false"/>
          </w:tcPr>
          <w:p>
            <w:pPr>
              <w:pStyle w:val="728"/>
              <w:jc w:val="center"/>
              <w:spacing w:after="0"/>
              <w:rPr>
                <w:highlight w:val="none"/>
              </w:rPr>
            </w:pPr>
            <w:r>
              <w:rPr>
                <w:highlight w:val="none"/>
              </w:rPr>
              <w:t xml:space="preserve">力学性能-椅凳类强度</w:t>
            </w: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座面和椅背静载荷试验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10357.3-2025</w:t>
            </w:r>
            <w:r>
              <w:rPr>
                <w:highlight w:val="none"/>
              </w:rPr>
            </w:r>
            <w:r/>
          </w:p>
        </w:tc>
        <w:tc>
          <w:tcPr>
            <w:tcW w:w="1028" w:type="dxa"/>
            <w:vAlign w:val="center"/>
            <w:vMerge w:val="restart"/>
            <w:textDirection w:val="lrTb"/>
            <w:noWrap w:val="false"/>
          </w:tcPr>
          <w:p>
            <w:pPr>
              <w:pStyle w:val="728"/>
              <w:jc w:val="center"/>
              <w:spacing w:after="0"/>
              <w:rPr>
                <w:highlight w:val="none"/>
              </w:rPr>
            </w:pPr>
            <w:r>
              <w:rPr>
                <w:highlight w:val="none"/>
              </w:rPr>
              <w:t xml:space="preserve">生产日期在2026年2月1日后</w:t>
            </w: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44</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椅凳腿前向静载荷试验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10357.3-2025</w:t>
            </w:r>
            <w:r>
              <w:rPr>
                <w:highlight w:val="none"/>
              </w:rPr>
            </w:r>
            <w:r/>
          </w:p>
        </w:tc>
        <w:tc>
          <w:tcPr>
            <w:tcW w:w="1028" w:type="dxa"/>
            <w:vAlign w:val="top"/>
            <w:vMerge w:val="continue"/>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45</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椅凳腿侧向静载荷试验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10357.3-2025</w:t>
            </w:r>
            <w:r>
              <w:rPr>
                <w:highlight w:val="none"/>
              </w:rPr>
            </w:r>
            <w:r/>
          </w:p>
        </w:tc>
        <w:tc>
          <w:tcPr>
            <w:tcW w:w="1028" w:type="dxa"/>
            <w:vAlign w:val="top"/>
            <w:vMerge w:val="continue"/>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46</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座面冲击试验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10357.3-2025</w:t>
            </w:r>
            <w:r>
              <w:rPr>
                <w:highlight w:val="none"/>
              </w:rPr>
            </w:r>
            <w:r/>
          </w:p>
        </w:tc>
        <w:tc>
          <w:tcPr>
            <w:tcW w:w="1028" w:type="dxa"/>
            <w:vAlign w:val="top"/>
            <w:vMerge w:val="continue"/>
            <w:textDirection w:val="lrTb"/>
            <w:noWrap w:val="false"/>
          </w:tcPr>
          <w:p>
            <w:pPr>
              <w:pStyle w:val="728"/>
              <w:jc w:val="center"/>
              <w:spacing w:after="0"/>
              <w:rPr>
                <w:highlight w:val="none"/>
              </w:rPr>
            </w:pPr>
            <w:r>
              <w:rPr>
                <w:highlight w:val="none"/>
              </w:rPr>
            </w:r>
            <w:r/>
          </w:p>
        </w:tc>
      </w:tr>
      <w:tr>
        <w:trPr>
          <w:trHeight w:val="454"/>
        </w:trPr>
        <w:tc>
          <w:tcPr>
            <w:tcW w:w="366" w:type="dxa"/>
            <w:vAlign w:val="center"/>
            <w:textDirection w:val="lrTb"/>
            <w:noWrap w:val="false"/>
          </w:tcPr>
          <w:p>
            <w:pPr>
              <w:pStyle w:val="728"/>
              <w:jc w:val="center"/>
              <w:spacing w:after="0"/>
              <w:rPr>
                <w:highlight w:val="none"/>
              </w:rPr>
            </w:pPr>
            <w:r>
              <w:rPr>
                <w:highlight w:val="none"/>
              </w:rPr>
              <w:t xml:space="preserve">47</w:t>
            </w:r>
            <w:r>
              <w:rPr>
                <w:highlight w:val="none"/>
              </w:rPr>
            </w:r>
            <w:r/>
          </w:p>
        </w:tc>
        <w:tc>
          <w:tcPr>
            <w:tcW w:w="700" w:type="dxa"/>
            <w:vAlign w:val="center"/>
            <w:vMerge w:val="continue"/>
            <w:textDirection w:val="lrTb"/>
            <w:noWrap w:val="false"/>
          </w:tcPr>
          <w:p>
            <w:pPr>
              <w:pStyle w:val="728"/>
              <w:spacing w:after="0"/>
              <w:rPr>
                <w:highlight w:val="none"/>
              </w:rPr>
            </w:pPr>
            <w:r>
              <w:rPr>
                <w:highlight w:val="none"/>
              </w:rPr>
            </w:r>
            <w:r/>
          </w:p>
        </w:tc>
        <w:tc>
          <w:tcPr>
            <w:tcW w:w="783" w:type="dxa"/>
            <w:vAlign w:val="center"/>
            <w:textDirection w:val="lrTb"/>
            <w:noWrap w:val="false"/>
          </w:tcPr>
          <w:p>
            <w:pPr>
              <w:pStyle w:val="728"/>
              <w:jc w:val="center"/>
              <w:spacing w:after="0"/>
              <w:rPr>
                <w:highlight w:val="none"/>
              </w:rPr>
            </w:pPr>
            <w:r>
              <w:rPr>
                <w:highlight w:val="none"/>
              </w:rPr>
              <w:t xml:space="preserve">跌落试验</w:t>
            </w:r>
            <w:r>
              <w:rPr>
                <w:highlight w:val="none"/>
              </w:rPr>
            </w:r>
            <w:r/>
          </w:p>
        </w:tc>
        <w:tc>
          <w:tcPr>
            <w:tcW w:w="1094" w:type="dxa"/>
            <w:vAlign w:val="center"/>
            <w:textDirection w:val="lrTb"/>
            <w:noWrap w:val="false"/>
          </w:tcPr>
          <w:p>
            <w:pPr>
              <w:pStyle w:val="728"/>
              <w:jc w:val="center"/>
              <w:spacing w:after="0"/>
              <w:rPr>
                <w:highlight w:val="none"/>
              </w:rPr>
            </w:pPr>
            <w:r>
              <w:rPr>
                <w:highlight w:val="none"/>
              </w:rPr>
              <w:t xml:space="preserve">GB/T 3324—2024</w:t>
            </w:r>
            <w:r>
              <w:rPr>
                <w:highlight w:val="none"/>
              </w:rPr>
            </w:r>
            <w:r/>
          </w:p>
        </w:tc>
        <w:tc>
          <w:tcPr>
            <w:tcW w:w="1029" w:type="dxa"/>
            <w:vAlign w:val="center"/>
            <w:textDirection w:val="lrTb"/>
            <w:noWrap w:val="false"/>
          </w:tcPr>
          <w:p>
            <w:pPr>
              <w:pStyle w:val="728"/>
              <w:jc w:val="center"/>
              <w:spacing w:after="0"/>
              <w:rPr>
                <w:highlight w:val="none"/>
              </w:rPr>
            </w:pPr>
            <w:r>
              <w:rPr>
                <w:highlight w:val="none"/>
              </w:rPr>
              <w:t xml:space="preserve">GB/T 10357.3-2025</w:t>
            </w:r>
            <w:r>
              <w:rPr>
                <w:highlight w:val="none"/>
              </w:rPr>
            </w:r>
            <w:r/>
          </w:p>
        </w:tc>
        <w:tc>
          <w:tcPr>
            <w:tcW w:w="1028" w:type="dxa"/>
            <w:vAlign w:val="top"/>
            <w:vMerge w:val="continue"/>
            <w:textDirection w:val="lrTb"/>
            <w:noWrap w:val="false"/>
          </w:tcPr>
          <w:p>
            <w:pPr>
              <w:pStyle w:val="728"/>
              <w:jc w:val="center"/>
              <w:spacing w:after="0"/>
              <w:rPr>
                <w:highlight w:val="none"/>
              </w:rPr>
            </w:pPr>
            <w:r>
              <w:rPr>
                <w:highlight w:val="none"/>
              </w:rPr>
            </w:r>
            <w:r/>
          </w:p>
        </w:tc>
      </w:tr>
      <w:tr>
        <w:trPr>
          <w:trHeight w:val="454"/>
        </w:trPr>
        <w:tc>
          <w:tcPr>
            <w:gridSpan w:val="6"/>
            <w:tcW w:w="8522" w:type="dxa"/>
            <w:vAlign w:val="center"/>
            <w:textDirection w:val="lrTb"/>
            <w:noWrap w:val="false"/>
          </w:tcPr>
          <w:p>
            <w:pPr>
              <w:pStyle w:val="728"/>
              <w:spacing w:after="0"/>
              <w:rPr>
                <w:highlight w:val="none"/>
              </w:rPr>
            </w:pPr>
            <w:r>
              <w:rPr>
                <w:highlight w:val="none"/>
              </w:rPr>
              <w:t xml:space="preserve">注：木工要求的检验项目为GB/T 3324—2024中表3序号35、36、42。</w:t>
            </w:r>
            <w:r>
              <w:rPr>
                <w:highlight w:val="none"/>
              </w:rPr>
            </w:r>
            <w:r/>
          </w:p>
        </w:tc>
      </w:tr>
    </w:tbl>
    <w:p>
      <w:pPr>
        <w:pStyle w:val="728"/>
        <w:rPr>
          <w:sz w:val="24"/>
          <w:szCs w:val="24"/>
          <w:highlight w:val="none"/>
        </w:rPr>
      </w:pPr>
      <w:r>
        <w:rPr>
          <w:sz w:val="24"/>
          <w:szCs w:val="24"/>
          <w:highlight w:val="none"/>
        </w:rPr>
      </w:r>
      <w:r/>
    </w:p>
    <w:p>
      <w:pPr>
        <w:pStyle w:val="728"/>
        <w:rPr>
          <w:highlight w:val="none"/>
        </w:rPr>
      </w:pPr>
      <w:r>
        <w:rPr>
          <w:highlight w:val="none"/>
        </w:rPr>
        <w:t xml:space="preserve">儿童家具产品</w:t>
      </w:r>
      <w:r>
        <w:rPr>
          <w:highlight w:val="none"/>
        </w:rPr>
      </w:r>
      <w:r/>
    </w:p>
    <w:tbl>
      <w:tblPr>
        <w:tblW w:w="9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76"/>
        <w:gridCol w:w="1417"/>
        <w:gridCol w:w="161"/>
        <w:gridCol w:w="1540"/>
        <w:gridCol w:w="2410"/>
        <w:gridCol w:w="2355"/>
      </w:tblGrid>
      <w:tr>
        <w:trPr>
          <w:trHeight w:val="488"/>
          <w:tblHeader/>
        </w:trPr>
        <w:tc>
          <w:tcPr>
            <w:tcW w:w="832" w:type="dxa"/>
            <w:vAlign w:val="center"/>
            <w:textDirection w:val="lrTb"/>
            <w:noWrap/>
          </w:tcPr>
          <w:p>
            <w:pPr>
              <w:pStyle w:val="728"/>
              <w:jc w:val="center"/>
              <w:spacing w:after="0"/>
              <w:rPr>
                <w:highlight w:val="none"/>
              </w:rPr>
            </w:pPr>
            <w:r>
              <w:rPr>
                <w:highlight w:val="none"/>
              </w:rPr>
              <w:t xml:space="preserve">序号</w:t>
            </w:r>
            <w:r>
              <w:rPr>
                <w:highlight w:val="none"/>
              </w:rPr>
            </w:r>
            <w:r/>
          </w:p>
        </w:tc>
        <w:tc>
          <w:tcPr>
            <w:gridSpan w:val="4"/>
            <w:tcW w:w="4394" w:type="dxa"/>
            <w:vAlign w:val="center"/>
            <w:textDirection w:val="lrTb"/>
            <w:noWrap/>
          </w:tcPr>
          <w:p>
            <w:pPr>
              <w:pStyle w:val="728"/>
              <w:jc w:val="center"/>
              <w:spacing w:after="0"/>
              <w:rPr>
                <w:highlight w:val="none"/>
              </w:rPr>
            </w:pPr>
            <w:r>
              <w:rPr>
                <w:highlight w:val="none"/>
              </w:rPr>
              <w:t xml:space="preserve">检验项目</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检验依据</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检验方法</w:t>
            </w:r>
            <w:r>
              <w:rPr>
                <w:highlight w:val="none"/>
              </w:rPr>
            </w:r>
            <w:r/>
          </w:p>
        </w:tc>
      </w:tr>
      <w:tr>
        <w:trPr>
          <w:trHeight w:val="591"/>
        </w:trPr>
        <w:tc>
          <w:tcPr>
            <w:tcW w:w="832" w:type="dxa"/>
            <w:vAlign w:val="center"/>
            <w:textDirection w:val="lrTb"/>
            <w:noWrap/>
          </w:tcPr>
          <w:p>
            <w:pPr>
              <w:pStyle w:val="728"/>
              <w:jc w:val="center"/>
              <w:spacing w:after="0"/>
              <w:rPr>
                <w:highlight w:val="none"/>
              </w:rPr>
            </w:pPr>
            <w:r>
              <w:rPr>
                <w:highlight w:val="none"/>
              </w:rPr>
              <w:t xml:space="preserve">1</w:t>
            </w:r>
            <w:r>
              <w:rPr>
                <w:highlight w:val="none"/>
              </w:rPr>
            </w:r>
            <w:r/>
          </w:p>
        </w:tc>
        <w:tc>
          <w:tcPr>
            <w:gridSpan w:val="4"/>
            <w:tcW w:w="4394" w:type="dxa"/>
            <w:vAlign w:val="center"/>
            <w:textDirection w:val="lrTb"/>
            <w:noWrap/>
          </w:tcPr>
          <w:p>
            <w:pPr>
              <w:pStyle w:val="728"/>
              <w:jc w:val="center"/>
              <w:spacing w:after="0"/>
              <w:rPr>
                <w:highlight w:val="none"/>
              </w:rPr>
            </w:pPr>
            <w:r>
              <w:rPr>
                <w:highlight w:val="none"/>
              </w:rPr>
              <w:t xml:space="preserve">材料</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r>
        <w:trPr>
          <w:trHeight w:val="698"/>
        </w:trPr>
        <w:tc>
          <w:tcPr>
            <w:tcW w:w="832" w:type="dxa"/>
            <w:vAlign w:val="center"/>
            <w:textDirection w:val="lrTb"/>
            <w:noWrap/>
          </w:tcPr>
          <w:p>
            <w:pPr>
              <w:pStyle w:val="728"/>
              <w:jc w:val="center"/>
              <w:spacing w:after="0"/>
              <w:rPr>
                <w:highlight w:val="none"/>
              </w:rPr>
            </w:pPr>
            <w:r>
              <w:rPr>
                <w:highlight w:val="none"/>
              </w:rPr>
              <w:t xml:space="preserve">2</w:t>
            </w:r>
            <w:r>
              <w:rPr>
                <w:highlight w:val="none"/>
              </w:rPr>
            </w:r>
            <w:r/>
          </w:p>
        </w:tc>
        <w:tc>
          <w:tcPr>
            <w:tcW w:w="1276" w:type="dxa"/>
            <w:vAlign w:val="center"/>
            <w:vMerge w:val="restart"/>
            <w:textDirection w:val="lrTb"/>
            <w:noWrap/>
          </w:tcPr>
          <w:p>
            <w:pPr>
              <w:pStyle w:val="728"/>
              <w:jc w:val="center"/>
              <w:spacing w:after="0"/>
              <w:rPr>
                <w:highlight w:val="none"/>
              </w:rPr>
            </w:pPr>
            <w:r>
              <w:rPr>
                <w:highlight w:val="none"/>
              </w:rPr>
              <w:t xml:space="preserve">结构</w:t>
            </w:r>
            <w:r>
              <w:rPr>
                <w:highlight w:val="none"/>
              </w:rPr>
            </w:r>
            <w:r/>
          </w:p>
        </w:tc>
        <w:tc>
          <w:tcPr>
            <w:gridSpan w:val="3"/>
            <w:tcW w:w="3118" w:type="dxa"/>
            <w:vAlign w:val="center"/>
            <w:textDirection w:val="lrTb"/>
            <w:noWrap/>
          </w:tcPr>
          <w:p>
            <w:pPr>
              <w:pStyle w:val="728"/>
              <w:jc w:val="center"/>
              <w:spacing w:after="0"/>
              <w:rPr>
                <w:highlight w:val="none"/>
              </w:rPr>
            </w:pPr>
            <w:r>
              <w:rPr>
                <w:highlight w:val="none"/>
              </w:rPr>
              <w:t xml:space="preserve">边缘、尖端及外角</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r>
        <w:trPr>
          <w:trHeight w:val="550"/>
        </w:trPr>
        <w:tc>
          <w:tcPr>
            <w:tcW w:w="832" w:type="dxa"/>
            <w:vAlign w:val="center"/>
            <w:textDirection w:val="lrTb"/>
            <w:noWrap/>
          </w:tcPr>
          <w:p>
            <w:pPr>
              <w:pStyle w:val="728"/>
              <w:jc w:val="center"/>
              <w:spacing w:after="0"/>
              <w:rPr>
                <w:highlight w:val="none"/>
              </w:rPr>
            </w:pPr>
            <w:r>
              <w:rPr>
                <w:highlight w:val="none"/>
              </w:rPr>
              <w:t xml:space="preserve">3</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tcPr>
          <w:p>
            <w:pPr>
              <w:pStyle w:val="728"/>
              <w:jc w:val="center"/>
              <w:spacing w:after="0"/>
              <w:rPr>
                <w:highlight w:val="none"/>
              </w:rPr>
            </w:pPr>
            <w:r>
              <w:rPr>
                <w:highlight w:val="none"/>
              </w:rPr>
              <w:t xml:space="preserve">突出物</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r>
        <w:trPr>
          <w:trHeight w:val="614"/>
        </w:trPr>
        <w:tc>
          <w:tcPr>
            <w:tcW w:w="832" w:type="dxa"/>
            <w:vAlign w:val="center"/>
            <w:textDirection w:val="lrTb"/>
            <w:noWrap/>
          </w:tcPr>
          <w:p>
            <w:pPr>
              <w:pStyle w:val="728"/>
              <w:jc w:val="center"/>
              <w:spacing w:after="0"/>
              <w:rPr>
                <w:highlight w:val="none"/>
              </w:rPr>
            </w:pPr>
            <w:r>
              <w:rPr>
                <w:highlight w:val="none"/>
              </w:rPr>
              <w:t xml:space="preserve">4</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tcPr>
          <w:p>
            <w:pPr>
              <w:pStyle w:val="728"/>
              <w:jc w:val="center"/>
              <w:spacing w:after="0"/>
              <w:rPr>
                <w:highlight w:val="none"/>
              </w:rPr>
            </w:pPr>
            <w:r>
              <w:rPr>
                <w:highlight w:val="none"/>
              </w:rPr>
              <w:t xml:space="preserve">孔、间隙及开口</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r>
        <w:trPr>
          <w:trHeight w:val="592"/>
        </w:trPr>
        <w:tc>
          <w:tcPr>
            <w:tcW w:w="832" w:type="dxa"/>
            <w:vAlign w:val="center"/>
            <w:textDirection w:val="lrTb"/>
            <w:noWrap/>
          </w:tcPr>
          <w:p>
            <w:pPr>
              <w:pStyle w:val="728"/>
              <w:jc w:val="center"/>
              <w:spacing w:after="0"/>
              <w:rPr>
                <w:highlight w:val="none"/>
              </w:rPr>
            </w:pPr>
            <w:r>
              <w:rPr>
                <w:highlight w:val="none"/>
              </w:rPr>
              <w:t xml:space="preserve">5</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2"/>
            <w:tcW w:w="1578" w:type="dxa"/>
            <w:vAlign w:val="center"/>
            <w:vMerge w:val="restart"/>
            <w:textDirection w:val="lrTb"/>
            <w:noWrap/>
          </w:tcPr>
          <w:p>
            <w:pPr>
              <w:pStyle w:val="728"/>
              <w:jc w:val="center"/>
              <w:spacing w:after="0"/>
              <w:rPr>
                <w:highlight w:val="none"/>
              </w:rPr>
            </w:pPr>
            <w:r>
              <w:rPr>
                <w:highlight w:val="none"/>
              </w:rPr>
              <w:t xml:space="preserve">剪切和挤压</w:t>
            </w:r>
            <w:r>
              <w:rPr>
                <w:highlight w:val="none"/>
              </w:rPr>
            </w:r>
            <w:r/>
          </w:p>
        </w:tc>
        <w:tc>
          <w:tcPr>
            <w:tcW w:w="1540" w:type="dxa"/>
            <w:vAlign w:val="center"/>
            <w:textDirection w:val="lrTb"/>
            <w:noWrap/>
          </w:tcPr>
          <w:p>
            <w:pPr>
              <w:pStyle w:val="728"/>
              <w:jc w:val="center"/>
              <w:spacing w:after="0"/>
              <w:rPr>
                <w:highlight w:val="none"/>
              </w:rPr>
            </w:pPr>
            <w:r>
              <w:rPr>
                <w:highlight w:val="none"/>
              </w:rPr>
              <w:t xml:space="preserve">活动部件</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 </w:t>
            </w:r>
            <w:r>
              <w:rPr>
                <w:highlight w:val="none"/>
              </w:rPr>
            </w:r>
            <w:r/>
          </w:p>
        </w:tc>
      </w:tr>
      <w:tr>
        <w:trPr>
          <w:trHeight w:val="1072"/>
        </w:trPr>
        <w:tc>
          <w:tcPr>
            <w:tcW w:w="832" w:type="dxa"/>
            <w:vAlign w:val="center"/>
            <w:textDirection w:val="lrTb"/>
            <w:noWrap/>
          </w:tcPr>
          <w:p>
            <w:pPr>
              <w:pStyle w:val="728"/>
              <w:jc w:val="center"/>
              <w:spacing w:after="0"/>
              <w:rPr>
                <w:highlight w:val="none"/>
              </w:rPr>
            </w:pPr>
            <w:r>
              <w:rPr>
                <w:highlight w:val="none"/>
              </w:rPr>
              <w:t xml:space="preserve">6</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2"/>
            <w:tcW w:w="1578" w:type="dxa"/>
            <w:vAlign w:val="center"/>
            <w:vMerge w:val="continue"/>
            <w:textDirection w:val="lrTb"/>
            <w:noWrap/>
          </w:tcPr>
          <w:p>
            <w:pPr>
              <w:pStyle w:val="728"/>
              <w:jc w:val="center"/>
              <w:spacing w:after="0"/>
              <w:rPr>
                <w:highlight w:val="none"/>
              </w:rPr>
            </w:pPr>
            <w:r>
              <w:rPr>
                <w:highlight w:val="none"/>
              </w:rPr>
            </w:r>
            <w:r/>
          </w:p>
        </w:tc>
        <w:tc>
          <w:tcPr>
            <w:tcW w:w="1540" w:type="dxa"/>
            <w:vAlign w:val="center"/>
            <w:textDirection w:val="lrTb"/>
            <w:noWrap/>
          </w:tcPr>
          <w:p>
            <w:pPr>
              <w:pStyle w:val="728"/>
              <w:jc w:val="center"/>
              <w:spacing w:after="0"/>
              <w:rPr>
                <w:highlight w:val="none"/>
              </w:rPr>
            </w:pPr>
            <w:r>
              <w:rPr>
                <w:highlight w:val="none"/>
              </w:rPr>
              <w:t xml:space="preserve">座位高度小于380mm的折叠椅凳</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 </w:t>
            </w:r>
            <w:r>
              <w:rPr>
                <w:highlight w:val="none"/>
              </w:rPr>
            </w:r>
            <w:r/>
          </w:p>
        </w:tc>
      </w:tr>
      <w:tr>
        <w:trPr>
          <w:trHeight w:val="666"/>
        </w:trPr>
        <w:tc>
          <w:tcPr>
            <w:tcW w:w="832" w:type="dxa"/>
            <w:vAlign w:val="center"/>
            <w:textDirection w:val="lrTb"/>
            <w:noWrap/>
          </w:tcPr>
          <w:p>
            <w:pPr>
              <w:pStyle w:val="728"/>
              <w:jc w:val="center"/>
              <w:spacing w:after="0"/>
              <w:rPr>
                <w:highlight w:val="none"/>
              </w:rPr>
            </w:pPr>
            <w:r>
              <w:rPr>
                <w:highlight w:val="none"/>
              </w:rPr>
              <w:t xml:space="preserve">7</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2"/>
            <w:tcW w:w="1578" w:type="dxa"/>
            <w:vAlign w:val="center"/>
            <w:vMerge w:val="continue"/>
            <w:textDirection w:val="lrTb"/>
            <w:noWrap/>
          </w:tcPr>
          <w:p>
            <w:pPr>
              <w:pStyle w:val="728"/>
              <w:jc w:val="center"/>
              <w:spacing w:after="0"/>
              <w:rPr>
                <w:highlight w:val="none"/>
              </w:rPr>
            </w:pPr>
            <w:r>
              <w:rPr>
                <w:highlight w:val="none"/>
              </w:rPr>
            </w:r>
            <w:r/>
          </w:p>
        </w:tc>
        <w:tc>
          <w:tcPr>
            <w:tcW w:w="1540" w:type="dxa"/>
            <w:vAlign w:val="center"/>
            <w:textDirection w:val="lrTb"/>
            <w:noWrap/>
          </w:tcPr>
          <w:p>
            <w:pPr>
              <w:pStyle w:val="728"/>
              <w:jc w:val="center"/>
              <w:spacing w:after="0"/>
              <w:rPr>
                <w:highlight w:val="none"/>
              </w:rPr>
            </w:pPr>
            <w:r>
              <w:rPr>
                <w:highlight w:val="none"/>
              </w:rPr>
              <w:t xml:space="preserve">支撑作用的折叠机构</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 </w:t>
            </w:r>
            <w:r>
              <w:rPr>
                <w:highlight w:val="none"/>
              </w:rPr>
            </w:r>
            <w:r/>
          </w:p>
        </w:tc>
      </w:tr>
      <w:tr>
        <w:trPr>
          <w:trHeight w:val="692"/>
        </w:trPr>
        <w:tc>
          <w:tcPr>
            <w:tcW w:w="832" w:type="dxa"/>
            <w:vAlign w:val="center"/>
            <w:textDirection w:val="lrTb"/>
            <w:noWrap/>
          </w:tcPr>
          <w:p>
            <w:pPr>
              <w:pStyle w:val="728"/>
              <w:jc w:val="center"/>
              <w:spacing w:after="0"/>
              <w:rPr>
                <w:highlight w:val="none"/>
              </w:rPr>
            </w:pPr>
            <w:r>
              <w:rPr>
                <w:highlight w:val="none"/>
              </w:rPr>
              <w:t xml:space="preserve">8</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2"/>
            <w:tcW w:w="1578" w:type="dxa"/>
            <w:vAlign w:val="center"/>
            <w:vMerge w:val="continue"/>
            <w:textDirection w:val="lrTb"/>
            <w:noWrap/>
          </w:tcPr>
          <w:p>
            <w:pPr>
              <w:pStyle w:val="728"/>
              <w:jc w:val="center"/>
              <w:spacing w:after="0"/>
              <w:rPr>
                <w:highlight w:val="none"/>
              </w:rPr>
            </w:pPr>
            <w:r>
              <w:rPr>
                <w:highlight w:val="none"/>
              </w:rPr>
            </w:r>
            <w:r/>
          </w:p>
        </w:tc>
        <w:tc>
          <w:tcPr>
            <w:tcW w:w="1540" w:type="dxa"/>
            <w:vAlign w:val="center"/>
            <w:textDirection w:val="lrTb"/>
            <w:noWrap/>
          </w:tcPr>
          <w:p>
            <w:pPr>
              <w:pStyle w:val="728"/>
              <w:jc w:val="center"/>
              <w:spacing w:after="0"/>
              <w:rPr>
                <w:highlight w:val="none"/>
              </w:rPr>
            </w:pPr>
            <w:r>
              <w:rPr>
                <w:highlight w:val="none"/>
              </w:rPr>
              <w:t xml:space="preserve">垂直开启的翻门、翻板</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r>
        <w:trPr>
          <w:trHeight w:val="730"/>
        </w:trPr>
        <w:tc>
          <w:tcPr>
            <w:tcW w:w="832" w:type="dxa"/>
            <w:vAlign w:val="center"/>
            <w:textDirection w:val="lrTb"/>
            <w:noWrap/>
          </w:tcPr>
          <w:p>
            <w:pPr>
              <w:pStyle w:val="728"/>
              <w:jc w:val="center"/>
              <w:spacing w:after="0"/>
              <w:rPr>
                <w:highlight w:val="none"/>
              </w:rPr>
            </w:pPr>
            <w:r>
              <w:rPr>
                <w:highlight w:val="none"/>
              </w:rPr>
              <w:t xml:space="preserve">9</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2"/>
            <w:tcW w:w="1578" w:type="dxa"/>
            <w:vAlign w:val="center"/>
            <w:textDirection w:val="lrTb"/>
            <w:noWrap/>
          </w:tcPr>
          <w:p>
            <w:pPr>
              <w:pStyle w:val="728"/>
              <w:jc w:val="center"/>
              <w:spacing w:after="0"/>
              <w:rPr>
                <w:highlight w:val="none"/>
              </w:rPr>
            </w:pPr>
            <w:r>
              <w:rPr>
                <w:highlight w:val="none"/>
              </w:rPr>
              <w:t xml:space="preserve">窒息危险结构</w:t>
            </w:r>
            <w:r>
              <w:rPr>
                <w:highlight w:val="none"/>
              </w:rPr>
            </w:r>
            <w:r/>
          </w:p>
        </w:tc>
        <w:tc>
          <w:tcPr>
            <w:tcW w:w="1540" w:type="dxa"/>
            <w:vAlign w:val="center"/>
            <w:textDirection w:val="lrTb"/>
            <w:noWrap/>
          </w:tcPr>
          <w:p>
            <w:pPr>
              <w:pStyle w:val="728"/>
              <w:jc w:val="center"/>
              <w:spacing w:after="0"/>
              <w:rPr>
                <w:highlight w:val="none"/>
              </w:rPr>
            </w:pPr>
            <w:r>
              <w:rPr>
                <w:highlight w:val="none"/>
              </w:rPr>
              <w:t xml:space="preserve">危险的封闭空间</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 </w:t>
            </w:r>
            <w:r>
              <w:rPr>
                <w:highlight w:val="none"/>
              </w:rPr>
            </w:r>
            <w:r/>
          </w:p>
        </w:tc>
      </w:tr>
      <w:tr>
        <w:trPr>
          <w:trHeight w:val="672"/>
        </w:trPr>
        <w:tc>
          <w:tcPr>
            <w:tcW w:w="832" w:type="dxa"/>
            <w:vAlign w:val="center"/>
            <w:textDirection w:val="lrTb"/>
            <w:noWrap/>
          </w:tcPr>
          <w:p>
            <w:pPr>
              <w:pStyle w:val="728"/>
              <w:jc w:val="center"/>
              <w:spacing w:after="0"/>
              <w:rPr>
                <w:highlight w:val="none"/>
              </w:rPr>
            </w:pPr>
            <w:r>
              <w:rPr>
                <w:highlight w:val="none"/>
              </w:rPr>
              <w:t xml:space="preserve">10</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tcPr>
          <w:p>
            <w:pPr>
              <w:pStyle w:val="728"/>
              <w:jc w:val="center"/>
              <w:spacing w:after="0"/>
              <w:rPr>
                <w:highlight w:val="none"/>
              </w:rPr>
            </w:pPr>
            <w:r>
              <w:rPr>
                <w:highlight w:val="none"/>
              </w:rPr>
              <w:t xml:space="preserve">防拉脱装置</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r>
        <w:trPr>
          <w:trHeight w:val="554"/>
        </w:trPr>
        <w:tc>
          <w:tcPr>
            <w:tcW w:w="832" w:type="dxa"/>
            <w:vAlign w:val="center"/>
            <w:textDirection w:val="lrTb"/>
            <w:noWrap/>
          </w:tcPr>
          <w:p>
            <w:pPr>
              <w:pStyle w:val="728"/>
              <w:jc w:val="center"/>
              <w:spacing w:after="0"/>
              <w:rPr>
                <w:highlight w:val="none"/>
              </w:rPr>
            </w:pPr>
            <w:r>
              <w:rPr>
                <w:highlight w:val="none"/>
              </w:rPr>
              <w:t xml:space="preserve">11</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tcPr>
          <w:p>
            <w:pPr>
              <w:pStyle w:val="728"/>
              <w:jc w:val="center"/>
              <w:spacing w:after="0"/>
              <w:rPr>
                <w:highlight w:val="none"/>
              </w:rPr>
            </w:pPr>
            <w:r>
              <w:rPr>
                <w:highlight w:val="none"/>
              </w:rPr>
              <w:t xml:space="preserve">防滑移装置</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r>
        <w:trPr>
          <w:trHeight w:val="566"/>
        </w:trPr>
        <w:tc>
          <w:tcPr>
            <w:tcW w:w="832" w:type="dxa"/>
            <w:vAlign w:val="center"/>
            <w:textDirection w:val="lrTb"/>
            <w:noWrap/>
          </w:tcPr>
          <w:p>
            <w:pPr>
              <w:pStyle w:val="728"/>
              <w:jc w:val="center"/>
              <w:spacing w:after="0"/>
              <w:rPr>
                <w:highlight w:val="none"/>
              </w:rPr>
            </w:pPr>
            <w:r>
              <w:rPr>
                <w:highlight w:val="none"/>
              </w:rPr>
              <w:t xml:space="preserve">12</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tcPr>
          <w:p>
            <w:pPr>
              <w:pStyle w:val="728"/>
              <w:jc w:val="center"/>
              <w:spacing w:after="0"/>
              <w:rPr>
                <w:highlight w:val="none"/>
              </w:rPr>
            </w:pPr>
            <w:r>
              <w:rPr>
                <w:highlight w:val="none"/>
              </w:rPr>
              <w:t xml:space="preserve">升降装置</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r>
        <w:trPr>
          <w:trHeight w:val="573"/>
        </w:trPr>
        <w:tc>
          <w:tcPr>
            <w:tcW w:w="832" w:type="dxa"/>
            <w:vAlign w:val="center"/>
            <w:textDirection w:val="lrTb"/>
            <w:noWrap/>
          </w:tcPr>
          <w:p>
            <w:pPr>
              <w:pStyle w:val="728"/>
              <w:jc w:val="center"/>
              <w:spacing w:after="0"/>
              <w:rPr>
                <w:highlight w:val="none"/>
              </w:rPr>
            </w:pPr>
            <w:r>
              <w:rPr>
                <w:highlight w:val="none"/>
              </w:rPr>
              <w:t xml:space="preserve">13</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tcPr>
          <w:p>
            <w:pPr>
              <w:pStyle w:val="728"/>
              <w:jc w:val="center"/>
              <w:spacing w:after="0"/>
              <w:rPr>
                <w:highlight w:val="none"/>
              </w:rPr>
            </w:pPr>
            <w:r>
              <w:rPr>
                <w:highlight w:val="none"/>
              </w:rPr>
              <w:t xml:space="preserve">玻璃部件</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r>
        <w:trPr>
          <w:trHeight w:val="679"/>
        </w:trPr>
        <w:tc>
          <w:tcPr>
            <w:tcW w:w="832" w:type="dxa"/>
            <w:vAlign w:val="center"/>
            <w:textDirection w:val="lrTb"/>
            <w:noWrap/>
          </w:tcPr>
          <w:p>
            <w:pPr>
              <w:pStyle w:val="728"/>
              <w:jc w:val="center"/>
              <w:spacing w:after="0"/>
              <w:rPr>
                <w:highlight w:val="none"/>
              </w:rPr>
            </w:pPr>
            <w:r>
              <w:rPr>
                <w:highlight w:val="none"/>
              </w:rPr>
              <w:t xml:space="preserve">14</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tcPr>
          <w:p>
            <w:pPr>
              <w:pStyle w:val="728"/>
              <w:jc w:val="center"/>
              <w:spacing w:after="0"/>
              <w:rPr>
                <w:highlight w:val="none"/>
              </w:rPr>
            </w:pPr>
            <w:r>
              <w:rPr>
                <w:highlight w:val="none"/>
              </w:rPr>
              <w:t xml:space="preserve">稳定性</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r>
        <w:trPr>
          <w:trHeight w:val="554"/>
        </w:trPr>
        <w:tc>
          <w:tcPr>
            <w:tcW w:w="832" w:type="dxa"/>
            <w:vAlign w:val="center"/>
            <w:textDirection w:val="lrTb"/>
            <w:noWrap/>
          </w:tcPr>
          <w:p>
            <w:pPr>
              <w:pStyle w:val="728"/>
              <w:jc w:val="center"/>
              <w:spacing w:after="0"/>
              <w:rPr>
                <w:highlight w:val="none"/>
              </w:rPr>
            </w:pPr>
            <w:r>
              <w:rPr>
                <w:highlight w:val="none"/>
              </w:rPr>
              <w:t xml:space="preserve">15</w:t>
            </w:r>
            <w:r>
              <w:rPr>
                <w:highlight w:val="none"/>
              </w:rPr>
            </w:r>
            <w:r/>
          </w:p>
        </w:tc>
        <w:tc>
          <w:tcPr>
            <w:gridSpan w:val="4"/>
            <w:tcW w:w="4394" w:type="dxa"/>
            <w:vAlign w:val="center"/>
            <w:textDirection w:val="lrTb"/>
            <w:noWrap/>
          </w:tcPr>
          <w:p>
            <w:pPr>
              <w:pStyle w:val="728"/>
              <w:jc w:val="center"/>
              <w:spacing w:after="0"/>
              <w:rPr>
                <w:highlight w:val="none"/>
              </w:rPr>
            </w:pPr>
            <w:r>
              <w:rPr>
                <w:highlight w:val="none"/>
              </w:rPr>
              <w:t xml:space="preserve">阻燃性能</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28007-2011</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6675.3-2014</w:t>
            </w:r>
            <w:r>
              <w:rPr>
                <w:highlight w:val="none"/>
              </w:rPr>
            </w:r>
            <w:r/>
          </w:p>
        </w:tc>
      </w:tr>
      <w:tr>
        <w:trPr>
          <w:trHeight w:val="441"/>
        </w:trPr>
        <w:tc>
          <w:tcPr>
            <w:tcW w:w="832" w:type="dxa"/>
            <w:vAlign w:val="center"/>
            <w:textDirection w:val="lrTb"/>
            <w:noWrap/>
          </w:tcPr>
          <w:p>
            <w:pPr>
              <w:pStyle w:val="728"/>
              <w:jc w:val="center"/>
              <w:spacing w:after="0"/>
              <w:rPr>
                <w:highlight w:val="none"/>
              </w:rPr>
            </w:pPr>
            <w:r>
              <w:rPr>
                <w:highlight w:val="none"/>
              </w:rPr>
              <w:t xml:space="preserve">16</w:t>
            </w:r>
            <w:r>
              <w:rPr>
                <w:highlight w:val="none"/>
              </w:rPr>
            </w:r>
            <w:r/>
          </w:p>
        </w:tc>
        <w:tc>
          <w:tcPr>
            <w:tcW w:w="1276" w:type="dxa"/>
            <w:vAlign w:val="center"/>
            <w:vMerge w:val="restart"/>
            <w:textDirection w:val="lrTb"/>
            <w:noWrap/>
          </w:tcPr>
          <w:p>
            <w:pPr>
              <w:pStyle w:val="728"/>
              <w:jc w:val="center"/>
              <w:spacing w:after="0"/>
              <w:rPr>
                <w:highlight w:val="none"/>
              </w:rPr>
            </w:pPr>
            <w:r>
              <w:rPr>
                <w:highlight w:val="none"/>
              </w:rPr>
              <w:t xml:space="preserve">有害物质限量</w:t>
            </w:r>
            <w:r>
              <w:rPr>
                <w:highlight w:val="none"/>
              </w:rPr>
            </w:r>
            <w:r/>
          </w:p>
        </w:tc>
        <w:tc>
          <w:tcPr>
            <w:gridSpan w:val="3"/>
            <w:tcW w:w="3118" w:type="dxa"/>
            <w:vAlign w:val="center"/>
            <w:textDirection w:val="lrTb"/>
            <w:noWrap w:val="false"/>
          </w:tcPr>
          <w:p>
            <w:pPr>
              <w:pStyle w:val="728"/>
              <w:jc w:val="center"/>
              <w:spacing w:after="0"/>
              <w:rPr>
                <w:highlight w:val="none"/>
              </w:rPr>
            </w:pPr>
            <w:r>
              <w:rPr>
                <w:highlight w:val="none"/>
              </w:rPr>
              <w:t xml:space="preserve">甲醛</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18584-2024</w:t>
            </w:r>
            <w:r>
              <w:rPr>
                <w:highlight w:val="none"/>
              </w:rPr>
            </w:r>
            <w:r/>
          </w:p>
        </w:tc>
      </w:tr>
      <w:tr>
        <w:trPr>
          <w:trHeight w:val="403"/>
        </w:trPr>
        <w:tc>
          <w:tcPr>
            <w:tcW w:w="832" w:type="dxa"/>
            <w:vAlign w:val="center"/>
            <w:textDirection w:val="lrTb"/>
            <w:noWrap/>
          </w:tcPr>
          <w:p>
            <w:pPr>
              <w:pStyle w:val="728"/>
              <w:jc w:val="center"/>
              <w:spacing w:after="0"/>
              <w:rPr>
                <w:highlight w:val="none"/>
              </w:rPr>
            </w:pPr>
            <w:r>
              <w:rPr>
                <w:highlight w:val="none"/>
              </w:rPr>
              <w:t xml:space="preserve">17</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val="false"/>
          </w:tcPr>
          <w:p>
            <w:pPr>
              <w:pStyle w:val="728"/>
              <w:jc w:val="center"/>
              <w:spacing w:after="0"/>
              <w:rPr>
                <w:highlight w:val="none"/>
              </w:rPr>
            </w:pPr>
            <w:r>
              <w:rPr>
                <w:highlight w:val="none"/>
              </w:rPr>
              <w:t xml:space="preserve">苯</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18584-2024</w:t>
            </w:r>
            <w:r>
              <w:rPr>
                <w:highlight w:val="none"/>
              </w:rPr>
            </w:r>
            <w:r/>
          </w:p>
        </w:tc>
      </w:tr>
      <w:tr>
        <w:trPr>
          <w:trHeight w:val="424"/>
        </w:trPr>
        <w:tc>
          <w:tcPr>
            <w:tcW w:w="832" w:type="dxa"/>
            <w:vAlign w:val="center"/>
            <w:textDirection w:val="lrTb"/>
            <w:noWrap/>
          </w:tcPr>
          <w:p>
            <w:pPr>
              <w:pStyle w:val="728"/>
              <w:jc w:val="center"/>
              <w:spacing w:after="0"/>
              <w:rPr>
                <w:highlight w:val="none"/>
              </w:rPr>
            </w:pPr>
            <w:r>
              <w:rPr>
                <w:highlight w:val="none"/>
              </w:rPr>
              <w:t xml:space="preserve">18</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val="false"/>
          </w:tcPr>
          <w:p>
            <w:pPr>
              <w:pStyle w:val="728"/>
              <w:jc w:val="center"/>
              <w:spacing w:after="0"/>
              <w:rPr>
                <w:highlight w:val="none"/>
              </w:rPr>
            </w:pPr>
            <w:r>
              <w:rPr>
                <w:highlight w:val="none"/>
              </w:rPr>
              <w:t xml:space="preserve">甲苯</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18584-2024</w:t>
            </w:r>
            <w:r>
              <w:rPr>
                <w:highlight w:val="none"/>
              </w:rPr>
            </w:r>
            <w:r/>
          </w:p>
        </w:tc>
      </w:tr>
      <w:tr>
        <w:trPr>
          <w:trHeight w:val="738"/>
        </w:trPr>
        <w:tc>
          <w:tcPr>
            <w:tcW w:w="832" w:type="dxa"/>
            <w:vAlign w:val="center"/>
            <w:textDirection w:val="lrTb"/>
            <w:noWrap/>
          </w:tcPr>
          <w:p>
            <w:pPr>
              <w:pStyle w:val="728"/>
              <w:jc w:val="center"/>
              <w:spacing w:after="0"/>
              <w:rPr>
                <w:highlight w:val="none"/>
              </w:rPr>
            </w:pPr>
            <w:r>
              <w:rPr>
                <w:highlight w:val="none"/>
              </w:rPr>
              <w:t xml:space="preserve">19</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val="false"/>
          </w:tcPr>
          <w:p>
            <w:pPr>
              <w:pStyle w:val="728"/>
              <w:jc w:val="center"/>
              <w:spacing w:after="0"/>
              <w:rPr>
                <w:highlight w:val="none"/>
              </w:rPr>
            </w:pPr>
            <w:r>
              <w:rPr>
                <w:highlight w:val="none"/>
              </w:rPr>
              <w:t xml:space="preserve">二甲苯（邻、间、对二甲苯之和）</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18584-2024</w:t>
            </w:r>
            <w:r>
              <w:rPr>
                <w:highlight w:val="none"/>
              </w:rPr>
            </w:r>
            <w:r/>
          </w:p>
        </w:tc>
      </w:tr>
      <w:tr>
        <w:trPr>
          <w:trHeight w:val="654"/>
        </w:trPr>
        <w:tc>
          <w:tcPr>
            <w:tcW w:w="832" w:type="dxa"/>
            <w:vAlign w:val="center"/>
            <w:textDirection w:val="lrTb"/>
            <w:noWrap/>
          </w:tcPr>
          <w:p>
            <w:pPr>
              <w:pStyle w:val="728"/>
              <w:jc w:val="center"/>
              <w:spacing w:after="0"/>
              <w:rPr>
                <w:highlight w:val="none"/>
              </w:rPr>
            </w:pPr>
            <w:r>
              <w:rPr>
                <w:highlight w:val="none"/>
              </w:rPr>
              <w:t xml:space="preserve">20</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val="false"/>
          </w:tcPr>
          <w:p>
            <w:pPr>
              <w:pStyle w:val="728"/>
              <w:jc w:val="center"/>
              <w:spacing w:after="0"/>
              <w:rPr>
                <w:highlight w:val="none"/>
              </w:rPr>
            </w:pPr>
            <w:r>
              <w:rPr>
                <w:highlight w:val="none"/>
              </w:rPr>
              <w:t xml:space="preserve">总挥发性有机化合物（TVOC）</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18584-2024</w:t>
            </w:r>
            <w:r>
              <w:rPr>
                <w:highlight w:val="none"/>
              </w:rPr>
            </w:r>
            <w:r/>
          </w:p>
        </w:tc>
      </w:tr>
      <w:tr>
        <w:trPr>
          <w:trHeight w:val="416"/>
        </w:trPr>
        <w:tc>
          <w:tcPr>
            <w:tcW w:w="832" w:type="dxa"/>
            <w:vAlign w:val="center"/>
            <w:textDirection w:val="lrTb"/>
            <w:noWrap/>
          </w:tcPr>
          <w:p>
            <w:pPr>
              <w:pStyle w:val="728"/>
              <w:jc w:val="center"/>
              <w:spacing w:after="0"/>
              <w:rPr>
                <w:highlight w:val="none"/>
              </w:rPr>
            </w:pPr>
            <w:r>
              <w:rPr>
                <w:highlight w:val="none"/>
              </w:rPr>
              <w:t xml:space="preserve">21</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tcW w:w="1417" w:type="dxa"/>
            <w:vAlign w:val="center"/>
            <w:vMerge w:val="restart"/>
            <w:textDirection w:val="lrTb"/>
            <w:noWrap w:val="false"/>
          </w:tcPr>
          <w:p>
            <w:pPr>
              <w:pStyle w:val="728"/>
              <w:jc w:val="center"/>
              <w:spacing w:after="0"/>
              <w:rPr>
                <w:highlight w:val="none"/>
              </w:rPr>
            </w:pPr>
            <w:r>
              <w:rPr>
                <w:highlight w:val="none"/>
              </w:rPr>
              <w:t xml:space="preserve">可迁移有害元素</w:t>
            </w:r>
            <w:r>
              <w:rPr>
                <w:highlight w:val="none"/>
              </w:rPr>
            </w:r>
            <w:r/>
          </w:p>
        </w:tc>
        <w:tc>
          <w:tcPr>
            <w:gridSpan w:val="2"/>
            <w:tcW w:w="1701" w:type="dxa"/>
            <w:vAlign w:val="center"/>
            <w:textDirection w:val="lrTb"/>
            <w:noWrap w:val="false"/>
          </w:tcPr>
          <w:p>
            <w:pPr>
              <w:pStyle w:val="728"/>
              <w:jc w:val="center"/>
              <w:spacing w:after="0"/>
              <w:rPr>
                <w:highlight w:val="none"/>
              </w:rPr>
            </w:pPr>
            <w:r>
              <w:rPr>
                <w:highlight w:val="none"/>
              </w:rPr>
              <w:t xml:space="preserve">锑（Sb）</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6675.4-2014</w:t>
            </w:r>
            <w:r>
              <w:rPr>
                <w:highlight w:val="none"/>
              </w:rPr>
            </w:r>
            <w:r/>
          </w:p>
        </w:tc>
      </w:tr>
      <w:tr>
        <w:trPr>
          <w:trHeight w:val="421"/>
        </w:trPr>
        <w:tc>
          <w:tcPr>
            <w:tcW w:w="832" w:type="dxa"/>
            <w:vAlign w:val="center"/>
            <w:textDirection w:val="lrTb"/>
            <w:noWrap/>
          </w:tcPr>
          <w:p>
            <w:pPr>
              <w:pStyle w:val="728"/>
              <w:jc w:val="center"/>
              <w:spacing w:after="0"/>
              <w:rPr>
                <w:highlight w:val="none"/>
              </w:rPr>
            </w:pPr>
            <w:r>
              <w:rPr>
                <w:highlight w:val="none"/>
              </w:rPr>
              <w:t xml:space="preserve">22</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tcW w:w="1417" w:type="dxa"/>
            <w:vAlign w:val="center"/>
            <w:vMerge w:val="continue"/>
            <w:textDirection w:val="lrTb"/>
            <w:noWrap w:val="false"/>
          </w:tcPr>
          <w:p>
            <w:pPr>
              <w:pStyle w:val="728"/>
              <w:jc w:val="center"/>
              <w:spacing w:after="0"/>
              <w:rPr>
                <w:highlight w:val="none"/>
              </w:rPr>
            </w:pPr>
            <w:r>
              <w:rPr>
                <w:highlight w:val="none"/>
              </w:rPr>
            </w:r>
            <w:r/>
          </w:p>
        </w:tc>
        <w:tc>
          <w:tcPr>
            <w:gridSpan w:val="2"/>
            <w:tcW w:w="1701" w:type="dxa"/>
            <w:vAlign w:val="center"/>
            <w:textDirection w:val="lrTb"/>
            <w:noWrap w:val="false"/>
          </w:tcPr>
          <w:p>
            <w:pPr>
              <w:pStyle w:val="728"/>
              <w:jc w:val="center"/>
              <w:spacing w:after="0"/>
              <w:rPr>
                <w:highlight w:val="none"/>
              </w:rPr>
            </w:pPr>
            <w:r>
              <w:rPr>
                <w:highlight w:val="none"/>
              </w:rPr>
              <w:t xml:space="preserve">砷（As）</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6675.4-2014</w:t>
            </w:r>
            <w:r>
              <w:rPr>
                <w:highlight w:val="none"/>
              </w:rPr>
            </w:r>
            <w:r/>
          </w:p>
        </w:tc>
      </w:tr>
      <w:tr>
        <w:trPr>
          <w:trHeight w:val="413"/>
        </w:trPr>
        <w:tc>
          <w:tcPr>
            <w:tcW w:w="832" w:type="dxa"/>
            <w:vAlign w:val="center"/>
            <w:textDirection w:val="lrTb"/>
            <w:noWrap/>
          </w:tcPr>
          <w:p>
            <w:pPr>
              <w:pStyle w:val="728"/>
              <w:jc w:val="center"/>
              <w:spacing w:after="0"/>
              <w:rPr>
                <w:highlight w:val="none"/>
              </w:rPr>
            </w:pPr>
            <w:r>
              <w:rPr>
                <w:highlight w:val="none"/>
              </w:rPr>
              <w:t xml:space="preserve">23</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tcW w:w="1417" w:type="dxa"/>
            <w:vAlign w:val="center"/>
            <w:vMerge w:val="continue"/>
            <w:textDirection w:val="lrTb"/>
            <w:noWrap w:val="false"/>
          </w:tcPr>
          <w:p>
            <w:pPr>
              <w:pStyle w:val="728"/>
              <w:jc w:val="center"/>
              <w:spacing w:after="0"/>
              <w:rPr>
                <w:highlight w:val="none"/>
              </w:rPr>
            </w:pPr>
            <w:r>
              <w:rPr>
                <w:highlight w:val="none"/>
              </w:rPr>
            </w:r>
            <w:r/>
          </w:p>
        </w:tc>
        <w:tc>
          <w:tcPr>
            <w:gridSpan w:val="2"/>
            <w:tcW w:w="1701" w:type="dxa"/>
            <w:vAlign w:val="center"/>
            <w:textDirection w:val="lrTb"/>
            <w:noWrap w:val="false"/>
          </w:tcPr>
          <w:p>
            <w:pPr>
              <w:pStyle w:val="728"/>
              <w:jc w:val="center"/>
              <w:spacing w:after="0"/>
              <w:rPr>
                <w:highlight w:val="none"/>
              </w:rPr>
            </w:pPr>
            <w:r>
              <w:rPr>
                <w:highlight w:val="none"/>
              </w:rPr>
              <w:t xml:space="preserve">钡（Ba）</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6675.4-2014</w:t>
            </w:r>
            <w:r>
              <w:rPr>
                <w:highlight w:val="none"/>
              </w:rPr>
            </w:r>
            <w:r/>
          </w:p>
        </w:tc>
      </w:tr>
      <w:tr>
        <w:trPr>
          <w:trHeight w:val="419"/>
        </w:trPr>
        <w:tc>
          <w:tcPr>
            <w:tcW w:w="832" w:type="dxa"/>
            <w:vAlign w:val="center"/>
            <w:textDirection w:val="lrTb"/>
            <w:noWrap/>
          </w:tcPr>
          <w:p>
            <w:pPr>
              <w:pStyle w:val="728"/>
              <w:jc w:val="center"/>
              <w:spacing w:after="0"/>
              <w:rPr>
                <w:highlight w:val="none"/>
              </w:rPr>
            </w:pPr>
            <w:r>
              <w:rPr>
                <w:highlight w:val="none"/>
              </w:rPr>
              <w:t xml:space="preserve">24</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tcW w:w="1417" w:type="dxa"/>
            <w:vAlign w:val="center"/>
            <w:vMerge w:val="continue"/>
            <w:textDirection w:val="lrTb"/>
            <w:noWrap w:val="false"/>
          </w:tcPr>
          <w:p>
            <w:pPr>
              <w:pStyle w:val="728"/>
              <w:jc w:val="center"/>
              <w:spacing w:after="0"/>
              <w:rPr>
                <w:highlight w:val="none"/>
              </w:rPr>
            </w:pPr>
            <w:r>
              <w:rPr>
                <w:highlight w:val="none"/>
              </w:rPr>
            </w:r>
            <w:r/>
          </w:p>
        </w:tc>
        <w:tc>
          <w:tcPr>
            <w:gridSpan w:val="2"/>
            <w:tcW w:w="1701" w:type="dxa"/>
            <w:vAlign w:val="center"/>
            <w:textDirection w:val="lrTb"/>
            <w:noWrap w:val="false"/>
          </w:tcPr>
          <w:p>
            <w:pPr>
              <w:pStyle w:val="728"/>
              <w:jc w:val="center"/>
              <w:spacing w:after="0"/>
              <w:rPr>
                <w:highlight w:val="none"/>
              </w:rPr>
            </w:pPr>
            <w:r>
              <w:rPr>
                <w:highlight w:val="none"/>
              </w:rPr>
              <w:t xml:space="preserve">镉（Cd）</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6675.4-2014</w:t>
            </w:r>
            <w:r>
              <w:rPr>
                <w:highlight w:val="none"/>
              </w:rPr>
            </w:r>
            <w:r/>
          </w:p>
        </w:tc>
      </w:tr>
      <w:tr>
        <w:trPr>
          <w:trHeight w:val="425"/>
        </w:trPr>
        <w:tc>
          <w:tcPr>
            <w:tcW w:w="832" w:type="dxa"/>
            <w:vAlign w:val="center"/>
            <w:textDirection w:val="lrTb"/>
            <w:noWrap/>
          </w:tcPr>
          <w:p>
            <w:pPr>
              <w:pStyle w:val="728"/>
              <w:jc w:val="center"/>
              <w:spacing w:after="0"/>
              <w:rPr>
                <w:highlight w:val="none"/>
              </w:rPr>
            </w:pPr>
            <w:r>
              <w:rPr>
                <w:highlight w:val="none"/>
              </w:rPr>
              <w:t xml:space="preserve">25</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tcW w:w="1417" w:type="dxa"/>
            <w:vAlign w:val="center"/>
            <w:vMerge w:val="continue"/>
            <w:textDirection w:val="lrTb"/>
            <w:noWrap w:val="false"/>
          </w:tcPr>
          <w:p>
            <w:pPr>
              <w:pStyle w:val="728"/>
              <w:jc w:val="center"/>
              <w:spacing w:after="0"/>
              <w:rPr>
                <w:highlight w:val="none"/>
              </w:rPr>
            </w:pPr>
            <w:r>
              <w:rPr>
                <w:highlight w:val="none"/>
              </w:rPr>
            </w:r>
            <w:r/>
          </w:p>
        </w:tc>
        <w:tc>
          <w:tcPr>
            <w:gridSpan w:val="2"/>
            <w:tcW w:w="1701" w:type="dxa"/>
            <w:vAlign w:val="center"/>
            <w:textDirection w:val="lrTb"/>
            <w:noWrap w:val="false"/>
          </w:tcPr>
          <w:p>
            <w:pPr>
              <w:pStyle w:val="728"/>
              <w:jc w:val="center"/>
              <w:spacing w:after="0"/>
              <w:rPr>
                <w:highlight w:val="none"/>
              </w:rPr>
            </w:pPr>
            <w:r>
              <w:rPr>
                <w:highlight w:val="none"/>
              </w:rPr>
              <w:t xml:space="preserve">铬（Cr）</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6675.4-2014</w:t>
            </w:r>
            <w:r>
              <w:rPr>
                <w:highlight w:val="none"/>
              </w:rPr>
            </w:r>
            <w:r/>
          </w:p>
        </w:tc>
      </w:tr>
      <w:tr>
        <w:trPr>
          <w:trHeight w:val="402"/>
        </w:trPr>
        <w:tc>
          <w:tcPr>
            <w:tcW w:w="832" w:type="dxa"/>
            <w:vAlign w:val="center"/>
            <w:textDirection w:val="lrTb"/>
            <w:noWrap/>
          </w:tcPr>
          <w:p>
            <w:pPr>
              <w:pStyle w:val="728"/>
              <w:jc w:val="center"/>
              <w:spacing w:after="0"/>
              <w:rPr>
                <w:highlight w:val="none"/>
              </w:rPr>
            </w:pPr>
            <w:r>
              <w:rPr>
                <w:highlight w:val="none"/>
              </w:rPr>
              <w:t xml:space="preserve">26</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tcW w:w="1417" w:type="dxa"/>
            <w:vAlign w:val="center"/>
            <w:vMerge w:val="continue"/>
            <w:textDirection w:val="lrTb"/>
            <w:noWrap w:val="false"/>
          </w:tcPr>
          <w:p>
            <w:pPr>
              <w:pStyle w:val="728"/>
              <w:jc w:val="center"/>
              <w:spacing w:after="0"/>
              <w:rPr>
                <w:highlight w:val="none"/>
              </w:rPr>
            </w:pPr>
            <w:r>
              <w:rPr>
                <w:highlight w:val="none"/>
              </w:rPr>
            </w:r>
            <w:r/>
          </w:p>
        </w:tc>
        <w:tc>
          <w:tcPr>
            <w:gridSpan w:val="2"/>
            <w:tcW w:w="1701" w:type="dxa"/>
            <w:vAlign w:val="center"/>
            <w:textDirection w:val="lrTb"/>
            <w:noWrap w:val="false"/>
          </w:tcPr>
          <w:p>
            <w:pPr>
              <w:pStyle w:val="728"/>
              <w:jc w:val="center"/>
              <w:spacing w:after="0"/>
              <w:rPr>
                <w:highlight w:val="none"/>
              </w:rPr>
            </w:pPr>
            <w:r>
              <w:rPr>
                <w:highlight w:val="none"/>
              </w:rPr>
              <w:t xml:space="preserve">铅（Pb）</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6675.4-2014</w:t>
            </w:r>
            <w:r>
              <w:rPr>
                <w:highlight w:val="none"/>
              </w:rPr>
            </w:r>
            <w:r/>
          </w:p>
        </w:tc>
      </w:tr>
      <w:tr>
        <w:trPr>
          <w:trHeight w:val="408"/>
        </w:trPr>
        <w:tc>
          <w:tcPr>
            <w:tcW w:w="832" w:type="dxa"/>
            <w:vAlign w:val="center"/>
            <w:textDirection w:val="lrTb"/>
            <w:noWrap/>
          </w:tcPr>
          <w:p>
            <w:pPr>
              <w:pStyle w:val="728"/>
              <w:jc w:val="center"/>
              <w:spacing w:after="0"/>
              <w:rPr>
                <w:highlight w:val="none"/>
              </w:rPr>
            </w:pPr>
            <w:r>
              <w:rPr>
                <w:highlight w:val="none"/>
              </w:rPr>
              <w:t xml:space="preserve">27</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tcW w:w="1417" w:type="dxa"/>
            <w:vAlign w:val="center"/>
            <w:vMerge w:val="continue"/>
            <w:textDirection w:val="lrTb"/>
            <w:noWrap w:val="false"/>
          </w:tcPr>
          <w:p>
            <w:pPr>
              <w:pStyle w:val="728"/>
              <w:jc w:val="center"/>
              <w:spacing w:after="0"/>
              <w:rPr>
                <w:highlight w:val="none"/>
              </w:rPr>
            </w:pPr>
            <w:r>
              <w:rPr>
                <w:highlight w:val="none"/>
              </w:rPr>
            </w:r>
            <w:r/>
          </w:p>
        </w:tc>
        <w:tc>
          <w:tcPr>
            <w:gridSpan w:val="2"/>
            <w:tcW w:w="1701" w:type="dxa"/>
            <w:vAlign w:val="center"/>
            <w:textDirection w:val="lrTb"/>
            <w:noWrap w:val="false"/>
          </w:tcPr>
          <w:p>
            <w:pPr>
              <w:pStyle w:val="728"/>
              <w:jc w:val="center"/>
              <w:spacing w:after="0"/>
              <w:rPr>
                <w:highlight w:val="none"/>
              </w:rPr>
            </w:pPr>
            <w:r>
              <w:rPr>
                <w:highlight w:val="none"/>
              </w:rPr>
              <w:t xml:space="preserve">汞（Hg）</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6675.4-2014</w:t>
            </w:r>
            <w:r>
              <w:rPr>
                <w:highlight w:val="none"/>
              </w:rPr>
            </w:r>
            <w:r/>
          </w:p>
        </w:tc>
      </w:tr>
      <w:tr>
        <w:trPr>
          <w:trHeight w:val="429"/>
        </w:trPr>
        <w:tc>
          <w:tcPr>
            <w:tcW w:w="832" w:type="dxa"/>
            <w:vAlign w:val="center"/>
            <w:textDirection w:val="lrTb"/>
            <w:noWrap/>
          </w:tcPr>
          <w:p>
            <w:pPr>
              <w:pStyle w:val="728"/>
              <w:jc w:val="center"/>
              <w:spacing w:after="0"/>
              <w:rPr>
                <w:highlight w:val="none"/>
              </w:rPr>
            </w:pPr>
            <w:r>
              <w:rPr>
                <w:highlight w:val="none"/>
              </w:rPr>
              <w:t xml:space="preserve">28</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tcW w:w="1417" w:type="dxa"/>
            <w:vAlign w:val="center"/>
            <w:vMerge w:val="continue"/>
            <w:textDirection w:val="lrTb"/>
            <w:noWrap w:val="false"/>
          </w:tcPr>
          <w:p>
            <w:pPr>
              <w:pStyle w:val="728"/>
              <w:jc w:val="center"/>
              <w:spacing w:after="0"/>
              <w:rPr>
                <w:highlight w:val="none"/>
              </w:rPr>
            </w:pPr>
            <w:r>
              <w:rPr>
                <w:highlight w:val="none"/>
              </w:rPr>
            </w:r>
            <w:r/>
          </w:p>
        </w:tc>
        <w:tc>
          <w:tcPr>
            <w:gridSpan w:val="2"/>
            <w:tcW w:w="1701" w:type="dxa"/>
            <w:vAlign w:val="center"/>
            <w:textDirection w:val="lrTb"/>
            <w:noWrap w:val="false"/>
          </w:tcPr>
          <w:p>
            <w:pPr>
              <w:pStyle w:val="728"/>
              <w:jc w:val="center"/>
              <w:spacing w:after="0"/>
              <w:rPr>
                <w:highlight w:val="none"/>
              </w:rPr>
            </w:pPr>
            <w:r>
              <w:rPr>
                <w:highlight w:val="none"/>
              </w:rPr>
              <w:t xml:space="preserve">硒（Se）</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6675.4-2014</w:t>
            </w:r>
            <w:r>
              <w:rPr>
                <w:highlight w:val="none"/>
              </w:rPr>
            </w:r>
            <w:r/>
          </w:p>
        </w:tc>
      </w:tr>
      <w:tr>
        <w:trPr>
          <w:trHeight w:val="471"/>
        </w:trPr>
        <w:tc>
          <w:tcPr>
            <w:tcW w:w="832" w:type="dxa"/>
            <w:vAlign w:val="center"/>
            <w:textDirection w:val="lrTb"/>
            <w:noWrap/>
          </w:tcPr>
          <w:p>
            <w:pPr>
              <w:pStyle w:val="728"/>
              <w:jc w:val="center"/>
              <w:spacing w:after="0"/>
              <w:rPr>
                <w:highlight w:val="none"/>
              </w:rPr>
            </w:pPr>
            <w:r>
              <w:rPr>
                <w:highlight w:val="none"/>
              </w:rPr>
              <w:t xml:space="preserve">29</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gridSpan w:val="3"/>
            <w:tcW w:w="3118" w:type="dxa"/>
            <w:vAlign w:val="center"/>
            <w:textDirection w:val="lrTb"/>
            <w:noWrap w:val="false"/>
          </w:tcPr>
          <w:p>
            <w:pPr>
              <w:pStyle w:val="728"/>
              <w:jc w:val="center"/>
              <w:spacing w:after="0"/>
              <w:rPr>
                <w:highlight w:val="none"/>
              </w:rPr>
            </w:pPr>
            <w:r>
              <w:rPr>
                <w:highlight w:val="none"/>
              </w:rPr>
              <w:t xml:space="preserve">邻苯二甲酸酯</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GB/T 40906-2021</w:t>
            </w:r>
            <w:r>
              <w:rPr>
                <w:highlight w:val="none"/>
              </w:rPr>
            </w:r>
            <w:r/>
          </w:p>
        </w:tc>
      </w:tr>
      <w:tr>
        <w:trPr>
          <w:trHeight w:val="407"/>
        </w:trPr>
        <w:tc>
          <w:tcPr>
            <w:tcW w:w="832" w:type="dxa"/>
            <w:vAlign w:val="center"/>
            <w:textDirection w:val="lrTb"/>
            <w:noWrap/>
          </w:tcPr>
          <w:p>
            <w:pPr>
              <w:pStyle w:val="728"/>
              <w:jc w:val="center"/>
              <w:spacing w:after="0"/>
              <w:rPr>
                <w:highlight w:val="none"/>
              </w:rPr>
            </w:pPr>
            <w:r>
              <w:rPr>
                <w:highlight w:val="none"/>
              </w:rPr>
              <w:t xml:space="preserve">30</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tcW w:w="1417" w:type="dxa"/>
            <w:vAlign w:val="center"/>
            <w:vMerge w:val="restart"/>
            <w:textDirection w:val="lrTb"/>
            <w:noWrap w:val="false"/>
          </w:tcPr>
          <w:p>
            <w:pPr>
              <w:pStyle w:val="728"/>
              <w:jc w:val="center"/>
              <w:spacing w:after="0"/>
              <w:rPr>
                <w:highlight w:val="none"/>
              </w:rPr>
            </w:pPr>
            <w:r>
              <w:rPr>
                <w:highlight w:val="none"/>
              </w:rPr>
              <w:t xml:space="preserve">多环芳烃</w:t>
            </w:r>
            <w:r>
              <w:rPr>
                <w:highlight w:val="none"/>
              </w:rPr>
            </w:r>
            <w:r/>
          </w:p>
        </w:tc>
        <w:tc>
          <w:tcPr>
            <w:gridSpan w:val="2"/>
            <w:tcW w:w="1701" w:type="dxa"/>
            <w:vAlign w:val="center"/>
            <w:textDirection w:val="lrTb"/>
            <w:noWrap w:val="false"/>
          </w:tcPr>
          <w:p>
            <w:pPr>
              <w:pStyle w:val="728"/>
              <w:jc w:val="center"/>
              <w:spacing w:after="0"/>
              <w:rPr>
                <w:highlight w:val="none"/>
              </w:rPr>
            </w:pPr>
            <w:r>
              <w:rPr>
                <w:highlight w:val="none"/>
              </w:rPr>
              <w:t xml:space="preserve">苯并[α]芘</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GB/T 40971-2021</w:t>
            </w:r>
            <w:r>
              <w:rPr>
                <w:highlight w:val="none"/>
              </w:rPr>
            </w:r>
            <w:r/>
          </w:p>
        </w:tc>
      </w:tr>
      <w:tr>
        <w:trPr>
          <w:trHeight w:val="852"/>
        </w:trPr>
        <w:tc>
          <w:tcPr>
            <w:tcW w:w="832" w:type="dxa"/>
            <w:vAlign w:val="center"/>
            <w:textDirection w:val="lrTb"/>
            <w:noWrap/>
          </w:tcPr>
          <w:p>
            <w:pPr>
              <w:pStyle w:val="728"/>
              <w:jc w:val="center"/>
              <w:spacing w:after="0"/>
              <w:rPr>
                <w:highlight w:val="none"/>
              </w:rPr>
            </w:pPr>
            <w:r>
              <w:rPr>
                <w:highlight w:val="none"/>
              </w:rPr>
              <w:t xml:space="preserve">31</w:t>
            </w:r>
            <w:r>
              <w:rPr>
                <w:highlight w:val="none"/>
              </w:rPr>
            </w:r>
            <w:r/>
          </w:p>
        </w:tc>
        <w:tc>
          <w:tcPr>
            <w:tcW w:w="1276" w:type="dxa"/>
            <w:vAlign w:val="center"/>
            <w:vMerge w:val="continue"/>
            <w:textDirection w:val="lrTb"/>
            <w:noWrap/>
          </w:tcPr>
          <w:p>
            <w:pPr>
              <w:pStyle w:val="728"/>
              <w:jc w:val="center"/>
              <w:spacing w:after="0"/>
              <w:rPr>
                <w:highlight w:val="none"/>
              </w:rPr>
            </w:pPr>
            <w:r>
              <w:rPr>
                <w:highlight w:val="none"/>
              </w:rPr>
            </w:r>
            <w:r/>
          </w:p>
        </w:tc>
        <w:tc>
          <w:tcPr>
            <w:tcW w:w="1417" w:type="dxa"/>
            <w:vAlign w:val="center"/>
            <w:vMerge w:val="continue"/>
            <w:textDirection w:val="lrTb"/>
            <w:noWrap w:val="false"/>
          </w:tcPr>
          <w:p>
            <w:pPr>
              <w:pStyle w:val="728"/>
              <w:jc w:val="center"/>
              <w:spacing w:after="0"/>
              <w:rPr>
                <w:highlight w:val="none"/>
              </w:rPr>
            </w:pPr>
            <w:r>
              <w:rPr>
                <w:highlight w:val="none"/>
              </w:rPr>
            </w:r>
            <w:r/>
          </w:p>
        </w:tc>
        <w:tc>
          <w:tcPr>
            <w:gridSpan w:val="2"/>
            <w:tcW w:w="1701" w:type="dxa"/>
            <w:vAlign w:val="center"/>
            <w:textDirection w:val="lrTb"/>
            <w:noWrap w:val="false"/>
          </w:tcPr>
          <w:p>
            <w:pPr>
              <w:pStyle w:val="728"/>
              <w:jc w:val="center"/>
              <w:spacing w:after="0"/>
              <w:rPr>
                <w:highlight w:val="none"/>
              </w:rPr>
            </w:pPr>
            <w:r>
              <w:rPr>
                <w:highlight w:val="none"/>
              </w:rPr>
              <w:t xml:space="preserve">18种多环芳烃（PAH）总量</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GB/T 40971-2021</w:t>
            </w:r>
            <w:r>
              <w:rPr>
                <w:highlight w:val="none"/>
              </w:rPr>
            </w:r>
            <w:r/>
          </w:p>
        </w:tc>
      </w:tr>
      <w:tr>
        <w:trPr>
          <w:trHeight w:val="637"/>
        </w:trPr>
        <w:tc>
          <w:tcPr>
            <w:tcW w:w="832" w:type="dxa"/>
            <w:vAlign w:val="center"/>
            <w:textDirection w:val="lrTb"/>
            <w:noWrap/>
          </w:tcPr>
          <w:p>
            <w:pPr>
              <w:pStyle w:val="728"/>
              <w:jc w:val="center"/>
              <w:spacing w:after="0"/>
              <w:rPr>
                <w:highlight w:val="none"/>
              </w:rPr>
            </w:pPr>
            <w:r>
              <w:rPr>
                <w:highlight w:val="none"/>
              </w:rPr>
              <w:t xml:space="preserve">32</w:t>
            </w:r>
            <w:r>
              <w:rPr>
                <w:highlight w:val="none"/>
              </w:rPr>
            </w:r>
            <w:r/>
          </w:p>
        </w:tc>
        <w:tc>
          <w:tcPr>
            <w:tcW w:w="1276" w:type="dxa"/>
            <w:vAlign w:val="center"/>
            <w:textDirection w:val="lrTb"/>
            <w:noWrap/>
          </w:tcPr>
          <w:p>
            <w:pPr>
              <w:pStyle w:val="728"/>
              <w:jc w:val="center"/>
              <w:spacing w:after="0"/>
              <w:rPr>
                <w:highlight w:val="none"/>
              </w:rPr>
            </w:pPr>
            <w:r>
              <w:rPr>
                <w:highlight w:val="none"/>
              </w:rPr>
              <w:t xml:space="preserve">有害物质限量</w:t>
            </w:r>
            <w:r>
              <w:rPr>
                <w:highlight w:val="none"/>
              </w:rPr>
            </w:r>
            <w:r/>
          </w:p>
        </w:tc>
        <w:tc>
          <w:tcPr>
            <w:gridSpan w:val="3"/>
            <w:tcW w:w="3118" w:type="dxa"/>
            <w:vAlign w:val="center"/>
            <w:textDirection w:val="lrTb"/>
            <w:noWrap w:val="false"/>
          </w:tcPr>
          <w:p>
            <w:pPr>
              <w:pStyle w:val="728"/>
              <w:jc w:val="center"/>
              <w:spacing w:after="0"/>
              <w:rPr>
                <w:highlight w:val="none"/>
              </w:rPr>
            </w:pPr>
            <w:r>
              <w:rPr>
                <w:highlight w:val="none"/>
              </w:rPr>
              <w:t xml:space="preserve">可分解芳香胺染料</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18584-2024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GB/T 40904-2021</w:t>
            </w:r>
            <w:r>
              <w:rPr>
                <w:highlight w:val="none"/>
              </w:rPr>
            </w:r>
            <w:r/>
          </w:p>
        </w:tc>
      </w:tr>
      <w:tr>
        <w:trPr>
          <w:trHeight w:val="529"/>
        </w:trPr>
        <w:tc>
          <w:tcPr>
            <w:tcW w:w="832" w:type="dxa"/>
            <w:vAlign w:val="center"/>
            <w:textDirection w:val="lrTb"/>
            <w:noWrap/>
          </w:tcPr>
          <w:p>
            <w:pPr>
              <w:pStyle w:val="728"/>
              <w:jc w:val="center"/>
              <w:spacing w:after="0"/>
              <w:rPr>
                <w:highlight w:val="none"/>
              </w:rPr>
            </w:pPr>
            <w:r>
              <w:rPr>
                <w:highlight w:val="none"/>
              </w:rPr>
              <w:t xml:space="preserve">33</w:t>
            </w:r>
            <w:r>
              <w:rPr>
                <w:highlight w:val="none"/>
              </w:rPr>
            </w:r>
            <w:r/>
          </w:p>
        </w:tc>
        <w:tc>
          <w:tcPr>
            <w:gridSpan w:val="4"/>
            <w:tcW w:w="4394" w:type="dxa"/>
            <w:vAlign w:val="center"/>
            <w:textDirection w:val="lrTb"/>
            <w:noWrap/>
          </w:tcPr>
          <w:p>
            <w:pPr>
              <w:pStyle w:val="728"/>
              <w:jc w:val="center"/>
              <w:spacing w:after="0"/>
              <w:rPr>
                <w:highlight w:val="none"/>
              </w:rPr>
            </w:pPr>
            <w:r>
              <w:rPr>
                <w:highlight w:val="none"/>
              </w:rPr>
              <w:t xml:space="preserve">警示标识</w:t>
            </w:r>
            <w:r>
              <w:rPr>
                <w:highlight w:val="none"/>
              </w:rPr>
            </w:r>
            <w:r/>
          </w:p>
        </w:tc>
        <w:tc>
          <w:tcPr>
            <w:tcW w:w="2410" w:type="dxa"/>
            <w:vAlign w:val="center"/>
            <w:textDirection w:val="lrTb"/>
            <w:noWrap/>
          </w:tcPr>
          <w:p>
            <w:pPr>
              <w:pStyle w:val="728"/>
              <w:jc w:val="center"/>
              <w:spacing w:after="0"/>
              <w:rPr>
                <w:highlight w:val="none"/>
              </w:rPr>
            </w:pPr>
            <w:r>
              <w:rPr>
                <w:highlight w:val="none"/>
              </w:rPr>
              <w:t xml:space="preserve">GB 28007-2024</w:t>
            </w:r>
            <w:r>
              <w:rPr>
                <w:highlight w:val="none"/>
              </w:rPr>
            </w:r>
            <w:r/>
          </w:p>
        </w:tc>
        <w:tc>
          <w:tcPr>
            <w:tcW w:w="2355" w:type="dxa"/>
            <w:vAlign w:val="center"/>
            <w:textDirection w:val="lrTb"/>
            <w:noWrap/>
          </w:tcPr>
          <w:p>
            <w:pPr>
              <w:pStyle w:val="728"/>
              <w:jc w:val="center"/>
              <w:spacing w:after="0"/>
              <w:rPr>
                <w:highlight w:val="none"/>
              </w:rPr>
            </w:pPr>
            <w:r>
              <w:rPr>
                <w:highlight w:val="none"/>
              </w:rPr>
              <w:t xml:space="preserve">GB 28007-2024</w:t>
            </w:r>
            <w:r>
              <w:rPr>
                <w:highlight w:val="none"/>
              </w:rPr>
            </w:r>
            <w:r/>
          </w:p>
        </w:tc>
      </w:tr>
    </w:tbl>
    <w:p>
      <w:pPr>
        <w:pStyle w:val="728"/>
        <w:rPr>
          <w:sz w:val="24"/>
          <w:szCs w:val="24"/>
          <w:highlight w:val="none"/>
        </w:rPr>
      </w:pPr>
      <w:r>
        <w:rPr>
          <w:sz w:val="24"/>
          <w:szCs w:val="24"/>
          <w:highlight w:val="none"/>
        </w:rPr>
      </w:r>
      <w:r/>
    </w:p>
    <w:p>
      <w:pPr>
        <w:pStyle w:val="728"/>
        <w:rPr>
          <w:highlight w:val="none"/>
        </w:rPr>
      </w:pPr>
      <w:r>
        <w:rPr>
          <w:highlight w:val="none"/>
        </w:rPr>
        <w:t xml:space="preserve">弹簧软床垫产品</w:t>
      </w:r>
      <w:r>
        <w:rPr>
          <w:highlight w:val="none"/>
        </w:rPr>
      </w:r>
      <w:r/>
    </w:p>
    <w:tbl>
      <w:tblPr>
        <w:tblW w:w="5046"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664"/>
        <w:gridCol w:w="907"/>
        <w:gridCol w:w="1094"/>
        <w:gridCol w:w="913"/>
        <w:gridCol w:w="913"/>
        <w:gridCol w:w="2034"/>
        <w:gridCol w:w="1972"/>
      </w:tblGrid>
      <w:tr>
        <w:trPr>
          <w:trHeight w:val="454"/>
          <w:tblHeader/>
        </w:trPr>
        <w:tc>
          <w:tcPr>
            <w:tcW w:w="755" w:type="dxa"/>
            <w:vAlign w:val="center"/>
            <w:textDirection w:val="lrTb"/>
            <w:noWrap w:val="false"/>
          </w:tcPr>
          <w:p>
            <w:pPr>
              <w:pStyle w:val="728"/>
              <w:jc w:val="center"/>
              <w:spacing w:after="0"/>
              <w:rPr>
                <w:highlight w:val="none"/>
              </w:rPr>
            </w:pPr>
            <w:r>
              <w:rPr>
                <w:highlight w:val="none"/>
              </w:rPr>
              <w:t xml:space="preserve">序号</w:t>
            </w:r>
            <w:r>
              <w:rPr>
                <w:highlight w:val="none"/>
              </w:rPr>
            </w:r>
            <w:r/>
          </w:p>
        </w:tc>
        <w:tc>
          <w:tcPr>
            <w:gridSpan w:val="4"/>
            <w:tcW w:w="4439" w:type="dxa"/>
            <w:vAlign w:val="center"/>
            <w:textDirection w:val="lrTb"/>
            <w:noWrap w:val="false"/>
          </w:tcPr>
          <w:p>
            <w:pPr>
              <w:pStyle w:val="728"/>
              <w:jc w:val="center"/>
              <w:spacing w:after="0"/>
              <w:rPr>
                <w:highlight w:val="none"/>
              </w:rPr>
            </w:pPr>
            <w:r>
              <w:rPr>
                <w:highlight w:val="none"/>
              </w:rPr>
              <w:t xml:space="preserve">检验项目</w:t>
            </w:r>
            <w:r>
              <w:rPr>
                <w:highlight w:val="none"/>
              </w:rPr>
            </w:r>
            <w:r/>
          </w:p>
        </w:tc>
        <w:tc>
          <w:tcPr>
            <w:tcW w:w="2416" w:type="dxa"/>
            <w:vAlign w:val="center"/>
            <w:textDirection w:val="lrTb"/>
            <w:noWrap w:val="false"/>
          </w:tcPr>
          <w:p>
            <w:pPr>
              <w:pStyle w:val="728"/>
              <w:jc w:val="center"/>
              <w:spacing w:after="0"/>
              <w:rPr>
                <w:highlight w:val="none"/>
              </w:rPr>
            </w:pPr>
            <w:r>
              <w:rPr>
                <w:highlight w:val="none"/>
              </w:rPr>
              <w:t xml:space="preserve">检验依据</w:t>
            </w:r>
            <w:r>
              <w:rPr>
                <w:highlight w:val="none"/>
              </w:rPr>
            </w:r>
            <w:r/>
          </w:p>
        </w:tc>
        <w:tc>
          <w:tcPr>
            <w:tcW w:w="2341" w:type="dxa"/>
            <w:vAlign w:val="center"/>
            <w:textDirection w:val="lrTb"/>
            <w:noWrap w:val="false"/>
          </w:tcPr>
          <w:p>
            <w:pPr>
              <w:pStyle w:val="728"/>
              <w:jc w:val="center"/>
              <w:spacing w:after="0"/>
              <w:rPr>
                <w:highlight w:val="none"/>
              </w:rPr>
            </w:pPr>
            <w:r>
              <w:rPr>
                <w:highlight w:val="none"/>
              </w:rPr>
              <w:t xml:space="preserve">检验方法</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1</w:t>
            </w:r>
            <w:r>
              <w:rPr>
                <w:highlight w:val="none"/>
              </w:rPr>
            </w:r>
            <w:r/>
          </w:p>
        </w:tc>
        <w:tc>
          <w:tcPr>
            <w:tcW w:w="1049" w:type="dxa"/>
            <w:vAlign w:val="center"/>
            <w:vMerge w:val="restart"/>
            <w:textDirection w:val="lrTb"/>
            <w:noWrap w:val="false"/>
          </w:tcPr>
          <w:p>
            <w:pPr>
              <w:pStyle w:val="728"/>
              <w:jc w:val="center"/>
              <w:spacing w:after="0"/>
              <w:rPr>
                <w:highlight w:val="none"/>
              </w:rPr>
            </w:pPr>
            <w:r>
              <w:rPr>
                <w:highlight w:val="none"/>
              </w:rPr>
              <w:t xml:space="preserve">外观性能</w:t>
            </w: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复合面料</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2</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缝边</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3</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拉链</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4</w:t>
            </w:r>
            <w:r>
              <w:rPr>
                <w:highlight w:val="none"/>
              </w:rPr>
            </w:r>
            <w:r/>
          </w:p>
        </w:tc>
        <w:tc>
          <w:tcPr>
            <w:tcW w:w="1049" w:type="dxa"/>
            <w:vAlign w:val="center"/>
            <w:vMerge w:val="restart"/>
            <w:textDirection w:val="lrTb"/>
            <w:noWrap w:val="false"/>
          </w:tcPr>
          <w:p>
            <w:pPr>
              <w:pStyle w:val="728"/>
              <w:jc w:val="center"/>
              <w:spacing w:after="0"/>
              <w:rPr>
                <w:highlight w:val="none"/>
              </w:rPr>
            </w:pPr>
            <w:r>
              <w:rPr>
                <w:highlight w:val="none"/>
              </w:rPr>
              <w:t xml:space="preserve">安全性能</w:t>
            </w: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霉变</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5</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害虫及其污染物</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6</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废旧制品</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696"/>
        </w:trPr>
        <w:tc>
          <w:tcPr>
            <w:tcW w:w="755" w:type="dxa"/>
            <w:vAlign w:val="center"/>
            <w:textDirection w:val="lrTb"/>
            <w:noWrap w:val="false"/>
          </w:tcPr>
          <w:p>
            <w:pPr>
              <w:pStyle w:val="728"/>
              <w:jc w:val="center"/>
              <w:spacing w:after="0"/>
              <w:rPr>
                <w:highlight w:val="none"/>
              </w:rPr>
            </w:pPr>
            <w:r>
              <w:rPr>
                <w:highlight w:val="none"/>
              </w:rPr>
              <w:t xml:space="preserve">7</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纤维性工业下脚料或用其加工的再生纤维状物质</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8</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杂物</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9</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异味</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GB 18401-2010</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10</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甲醛释放量</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11</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苯释放量</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12</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甲苯释放量</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655"/>
        </w:trPr>
        <w:tc>
          <w:tcPr>
            <w:tcW w:w="755" w:type="dxa"/>
            <w:vAlign w:val="center"/>
            <w:textDirection w:val="lrTb"/>
            <w:noWrap w:val="false"/>
          </w:tcPr>
          <w:p>
            <w:pPr>
              <w:pStyle w:val="728"/>
              <w:jc w:val="center"/>
              <w:spacing w:after="0"/>
              <w:rPr>
                <w:highlight w:val="none"/>
              </w:rPr>
            </w:pPr>
            <w:r>
              <w:rPr>
                <w:highlight w:val="none"/>
              </w:rPr>
              <w:t xml:space="preserve">13</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二甲苯（邻、间、对二甲苯之和）释放量</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14</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总挥发性有机化合物(TVOC)释放量</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657"/>
        </w:trPr>
        <w:tc>
          <w:tcPr>
            <w:tcW w:w="755" w:type="dxa"/>
            <w:vAlign w:val="center"/>
            <w:textDirection w:val="lrTb"/>
            <w:noWrap w:val="false"/>
          </w:tcPr>
          <w:p>
            <w:pPr>
              <w:pStyle w:val="728"/>
              <w:jc w:val="center"/>
              <w:spacing w:after="0"/>
              <w:rPr>
                <w:highlight w:val="none"/>
              </w:rPr>
            </w:pPr>
            <w:r>
              <w:rPr>
                <w:highlight w:val="none"/>
              </w:rPr>
              <w:t xml:space="preserve">15</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可分解芳香胺染料</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GB/T 40904-2021</w:t>
            </w:r>
            <w:r>
              <w:rPr>
                <w:highlight w:val="none"/>
              </w:rPr>
            </w:r>
            <w:r/>
          </w:p>
          <w:p>
            <w:pPr>
              <w:pStyle w:val="728"/>
              <w:ind w:left="-110" w:right="-110"/>
              <w:jc w:val="center"/>
              <w:spacing w:after="0"/>
              <w:rPr>
                <w:highlight w:val="none"/>
              </w:rPr>
            </w:pPr>
            <w:r>
              <w:rPr>
                <w:highlight w:val="none"/>
              </w:rPr>
              <w:t xml:space="preserve">GB/T 40907-2021</w:t>
            </w:r>
            <w:r>
              <w:rPr>
                <w:highlight w:val="none"/>
              </w:rPr>
            </w:r>
            <w:r/>
          </w:p>
        </w:tc>
      </w:tr>
      <w:tr>
        <w:trPr>
          <w:trHeight w:val="553"/>
        </w:trPr>
        <w:tc>
          <w:tcPr>
            <w:tcW w:w="755" w:type="dxa"/>
            <w:vAlign w:val="center"/>
            <w:textDirection w:val="lrTb"/>
            <w:noWrap w:val="false"/>
          </w:tcPr>
          <w:p>
            <w:pPr>
              <w:pStyle w:val="728"/>
              <w:jc w:val="center"/>
              <w:spacing w:after="0"/>
              <w:rPr>
                <w:highlight w:val="none"/>
              </w:rPr>
            </w:pPr>
            <w:r>
              <w:rPr>
                <w:highlight w:val="none"/>
              </w:rPr>
              <w:t xml:space="preserve">16</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阻燃剂</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GB/T 40908-2021</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17</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弹簧</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18</w:t>
            </w:r>
            <w:r>
              <w:rPr>
                <w:highlight w:val="none"/>
              </w:rPr>
            </w:r>
            <w:r/>
          </w:p>
        </w:tc>
        <w:tc>
          <w:tcPr>
            <w:gridSpan w:val="4"/>
            <w:tcW w:w="4439" w:type="dxa"/>
            <w:vAlign w:val="center"/>
            <w:textDirection w:val="lrTb"/>
            <w:noWrap w:val="false"/>
          </w:tcPr>
          <w:p>
            <w:pPr>
              <w:pStyle w:val="728"/>
              <w:jc w:val="center"/>
              <w:spacing w:after="0"/>
              <w:rPr>
                <w:highlight w:val="none"/>
              </w:rPr>
            </w:pPr>
            <w:r>
              <w:rPr>
                <w:highlight w:val="none"/>
              </w:rPr>
              <w:t xml:space="preserve">阻燃性</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GB 17927-2024</w:t>
            </w:r>
            <w:r>
              <w:rPr>
                <w:highlight w:val="none"/>
              </w:rPr>
            </w:r>
            <w:r/>
          </w:p>
        </w:tc>
      </w:tr>
      <w:tr>
        <w:trPr>
          <w:trHeight w:val="622"/>
        </w:trPr>
        <w:tc>
          <w:tcPr>
            <w:tcW w:w="755" w:type="dxa"/>
            <w:vAlign w:val="center"/>
            <w:textDirection w:val="lrTb"/>
            <w:noWrap w:val="false"/>
          </w:tcPr>
          <w:p>
            <w:pPr>
              <w:pStyle w:val="728"/>
              <w:jc w:val="center"/>
              <w:spacing w:after="0"/>
              <w:rPr>
                <w:highlight w:val="none"/>
              </w:rPr>
            </w:pPr>
            <w:r>
              <w:rPr>
                <w:highlight w:val="none"/>
              </w:rPr>
              <w:t xml:space="preserve">19</w:t>
            </w:r>
            <w:r>
              <w:rPr>
                <w:highlight w:val="none"/>
              </w:rPr>
            </w:r>
            <w:r/>
          </w:p>
        </w:tc>
        <w:tc>
          <w:tcPr>
            <w:tcW w:w="1049" w:type="dxa"/>
            <w:vAlign w:val="center"/>
            <w:vMerge w:val="restart"/>
            <w:textDirection w:val="lrTb"/>
            <w:noWrap w:val="false"/>
          </w:tcPr>
          <w:p>
            <w:pPr>
              <w:pStyle w:val="728"/>
              <w:jc w:val="center"/>
              <w:spacing w:after="0"/>
              <w:rPr>
                <w:highlight w:val="none"/>
              </w:rPr>
            </w:pPr>
            <w:r>
              <w:rPr>
                <w:highlight w:val="none"/>
              </w:rPr>
              <w:t xml:space="preserve">理化性能</w:t>
            </w:r>
            <w:r>
              <w:rPr>
                <w:highlight w:val="none"/>
              </w:rPr>
            </w:r>
            <w:r/>
          </w:p>
        </w:tc>
        <w:tc>
          <w:tcPr>
            <w:tcW w:w="1276" w:type="dxa"/>
            <w:vAlign w:val="center"/>
            <w:vMerge w:val="restart"/>
            <w:textDirection w:val="lrTb"/>
            <w:noWrap w:val="false"/>
          </w:tcPr>
          <w:p>
            <w:pPr>
              <w:pStyle w:val="728"/>
              <w:jc w:val="center"/>
              <w:spacing w:after="0"/>
              <w:rPr>
                <w:highlight w:val="none"/>
              </w:rPr>
            </w:pPr>
            <w:r>
              <w:rPr>
                <w:highlight w:val="none"/>
              </w:rPr>
              <w:t xml:space="preserve">复合面料</w:t>
            </w:r>
            <w:r>
              <w:rPr>
                <w:highlight w:val="none"/>
              </w:rPr>
            </w:r>
            <w:r/>
          </w:p>
        </w:tc>
        <w:tc>
          <w:tcPr>
            <w:tcW w:w="1057" w:type="dxa"/>
            <w:vAlign w:val="center"/>
            <w:vMerge w:val="restart"/>
            <w:textDirection w:val="lrTb"/>
            <w:noWrap w:val="false"/>
          </w:tcPr>
          <w:p>
            <w:pPr>
              <w:pStyle w:val="728"/>
              <w:jc w:val="center"/>
              <w:spacing w:after="0"/>
              <w:rPr>
                <w:highlight w:val="none"/>
              </w:rPr>
            </w:pPr>
            <w:r>
              <w:rPr>
                <w:highlight w:val="none"/>
              </w:rPr>
              <w:t xml:space="preserve">面料</w:t>
            </w:r>
            <w:r>
              <w:rPr>
                <w:highlight w:val="none"/>
              </w:rPr>
            </w:r>
            <w:r/>
          </w:p>
        </w:tc>
        <w:tc>
          <w:tcPr>
            <w:tcW w:w="1057" w:type="dxa"/>
            <w:vAlign w:val="center"/>
            <w:textDirection w:val="lrTb"/>
            <w:noWrap w:val="false"/>
          </w:tcPr>
          <w:p>
            <w:pPr>
              <w:pStyle w:val="728"/>
              <w:jc w:val="center"/>
              <w:spacing w:after="0"/>
              <w:rPr>
                <w:highlight w:val="none"/>
              </w:rPr>
            </w:pPr>
            <w:r>
              <w:rPr>
                <w:highlight w:val="none"/>
              </w:rPr>
              <w:t xml:space="preserve">耐干摩擦色牢度</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GB/T 3920-2008</w:t>
            </w:r>
            <w:r>
              <w:rPr>
                <w:highlight w:val="none"/>
              </w:rPr>
            </w:r>
            <w:r/>
          </w:p>
        </w:tc>
      </w:tr>
      <w:tr>
        <w:trPr>
          <w:trHeight w:val="688"/>
        </w:trPr>
        <w:tc>
          <w:tcPr>
            <w:tcW w:w="755" w:type="dxa"/>
            <w:vAlign w:val="center"/>
            <w:textDirection w:val="lrTb"/>
            <w:noWrap w:val="false"/>
          </w:tcPr>
          <w:p>
            <w:pPr>
              <w:pStyle w:val="728"/>
              <w:jc w:val="center"/>
              <w:spacing w:after="0"/>
              <w:rPr>
                <w:highlight w:val="none"/>
              </w:rPr>
            </w:pPr>
            <w:r>
              <w:rPr>
                <w:highlight w:val="none"/>
              </w:rPr>
              <w:t xml:space="preserve">20</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tcW w:w="1276" w:type="dxa"/>
            <w:vAlign w:val="center"/>
            <w:vMerge w:val="continue"/>
            <w:textDirection w:val="lrTb"/>
            <w:noWrap w:val="false"/>
          </w:tcPr>
          <w:p>
            <w:pPr>
              <w:pStyle w:val="728"/>
              <w:jc w:val="center"/>
              <w:spacing w:after="0"/>
              <w:rPr>
                <w:highlight w:val="none"/>
              </w:rPr>
            </w:pPr>
            <w:r>
              <w:rPr>
                <w:highlight w:val="none"/>
              </w:rPr>
            </w:r>
            <w:r/>
          </w:p>
        </w:tc>
        <w:tc>
          <w:tcPr>
            <w:tcW w:w="1057" w:type="dxa"/>
            <w:vAlign w:val="center"/>
            <w:vMerge w:val="continue"/>
            <w:textDirection w:val="lrTb"/>
            <w:noWrap w:val="false"/>
          </w:tcPr>
          <w:p>
            <w:pPr>
              <w:pStyle w:val="728"/>
              <w:jc w:val="center"/>
              <w:spacing w:after="0"/>
              <w:rPr>
                <w:highlight w:val="none"/>
              </w:rPr>
            </w:pPr>
            <w:r>
              <w:rPr>
                <w:highlight w:val="none"/>
              </w:rPr>
            </w:r>
            <w:r/>
          </w:p>
        </w:tc>
        <w:tc>
          <w:tcPr>
            <w:tcW w:w="1057" w:type="dxa"/>
            <w:vAlign w:val="center"/>
            <w:textDirection w:val="lrTb"/>
            <w:noWrap w:val="false"/>
          </w:tcPr>
          <w:p>
            <w:pPr>
              <w:pStyle w:val="728"/>
              <w:jc w:val="center"/>
              <w:spacing w:after="0"/>
              <w:rPr>
                <w:highlight w:val="none"/>
              </w:rPr>
            </w:pPr>
            <w:r>
              <w:rPr>
                <w:highlight w:val="none"/>
              </w:rPr>
              <w:t xml:space="preserve">抗起毛、起球</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GB/T 4802.2-2008</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21</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tcW w:w="1276" w:type="dxa"/>
            <w:vAlign w:val="center"/>
            <w:vMerge w:val="continue"/>
            <w:textDirection w:val="lrTb"/>
            <w:noWrap w:val="false"/>
          </w:tcPr>
          <w:p>
            <w:pPr>
              <w:pStyle w:val="728"/>
              <w:jc w:val="center"/>
              <w:spacing w:after="0"/>
              <w:rPr>
                <w:highlight w:val="none"/>
              </w:rPr>
            </w:pPr>
            <w:r>
              <w:rPr>
                <w:highlight w:val="none"/>
              </w:rPr>
            </w:r>
            <w:r/>
          </w:p>
        </w:tc>
        <w:tc>
          <w:tcPr>
            <w:tcW w:w="1057" w:type="dxa"/>
            <w:vAlign w:val="center"/>
            <w:vMerge w:val="continue"/>
            <w:textDirection w:val="lrTb"/>
            <w:noWrap w:val="false"/>
          </w:tcPr>
          <w:p>
            <w:pPr>
              <w:pStyle w:val="728"/>
              <w:jc w:val="center"/>
              <w:spacing w:after="0"/>
              <w:rPr>
                <w:highlight w:val="none"/>
              </w:rPr>
            </w:pPr>
            <w:r>
              <w:rPr>
                <w:highlight w:val="none"/>
              </w:rPr>
            </w:r>
            <w:r/>
          </w:p>
        </w:tc>
        <w:tc>
          <w:tcPr>
            <w:tcW w:w="1057" w:type="dxa"/>
            <w:vAlign w:val="center"/>
            <w:textDirection w:val="lrTb"/>
            <w:noWrap w:val="false"/>
          </w:tcPr>
          <w:p>
            <w:pPr>
              <w:pStyle w:val="728"/>
              <w:jc w:val="center"/>
              <w:spacing w:after="0"/>
              <w:rPr>
                <w:highlight w:val="none"/>
              </w:rPr>
            </w:pPr>
            <w:r>
              <w:rPr>
                <w:highlight w:val="none"/>
              </w:rPr>
              <w:t xml:space="preserve">耐磨损</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bCs/>
                <w:highlight w:val="none"/>
              </w:rPr>
              <w:t xml:space="preserve">GB/T 21196.2-2007</w:t>
            </w:r>
            <w:r>
              <w:rPr>
                <w:highlight w:val="none"/>
              </w:rPr>
            </w:r>
            <w:r/>
          </w:p>
        </w:tc>
      </w:tr>
      <w:tr>
        <w:trPr>
          <w:trHeight w:val="949"/>
        </w:trPr>
        <w:tc>
          <w:tcPr>
            <w:tcW w:w="755" w:type="dxa"/>
            <w:vAlign w:val="center"/>
            <w:textDirection w:val="lrTb"/>
            <w:noWrap w:val="false"/>
          </w:tcPr>
          <w:p>
            <w:pPr>
              <w:pStyle w:val="728"/>
              <w:jc w:val="center"/>
              <w:spacing w:after="0"/>
              <w:rPr>
                <w:highlight w:val="none"/>
              </w:rPr>
            </w:pPr>
            <w:r>
              <w:rPr>
                <w:highlight w:val="none"/>
              </w:rPr>
              <w:t xml:space="preserve">22</w:t>
            </w:r>
            <w:r>
              <w:rPr>
                <w:highlight w:val="none"/>
              </w:rPr>
            </w:r>
            <w:r/>
          </w:p>
        </w:tc>
        <w:tc>
          <w:tcPr>
            <w:tcW w:w="1049" w:type="dxa"/>
            <w:vAlign w:val="center"/>
            <w:vMerge w:val="restart"/>
            <w:textDirection w:val="lrTb"/>
            <w:noWrap w:val="false"/>
          </w:tcPr>
          <w:p>
            <w:pPr>
              <w:pStyle w:val="728"/>
              <w:jc w:val="center"/>
              <w:spacing w:after="0"/>
              <w:rPr>
                <w:highlight w:val="none"/>
              </w:rPr>
            </w:pPr>
            <w:r>
              <w:rPr>
                <w:highlight w:val="none"/>
              </w:rPr>
              <w:t xml:space="preserve">理化性能</w:t>
            </w:r>
            <w:r>
              <w:rPr>
                <w:highlight w:val="none"/>
              </w:rPr>
            </w:r>
            <w:r/>
          </w:p>
        </w:tc>
        <w:tc>
          <w:tcPr>
            <w:tcW w:w="1276" w:type="dxa"/>
            <w:vAlign w:val="center"/>
            <w:vMerge w:val="restart"/>
            <w:textDirection w:val="lrTb"/>
            <w:noWrap w:val="false"/>
          </w:tcPr>
          <w:p>
            <w:pPr>
              <w:pStyle w:val="728"/>
              <w:jc w:val="center"/>
              <w:spacing w:after="0"/>
              <w:rPr>
                <w:highlight w:val="none"/>
              </w:rPr>
            </w:pPr>
            <w:r>
              <w:rPr>
                <w:highlight w:val="none"/>
              </w:rPr>
              <w:t xml:space="preserve">铺垫料</w:t>
            </w:r>
            <w:r>
              <w:rPr>
                <w:highlight w:val="none"/>
              </w:rPr>
            </w:r>
            <w:r/>
          </w:p>
        </w:tc>
        <w:tc>
          <w:tcPr>
            <w:tcW w:w="1057" w:type="dxa"/>
            <w:vAlign w:val="center"/>
            <w:vMerge w:val="restart"/>
            <w:textDirection w:val="lrTb"/>
            <w:noWrap w:val="false"/>
          </w:tcPr>
          <w:p>
            <w:pPr>
              <w:pStyle w:val="728"/>
              <w:jc w:val="center"/>
              <w:spacing w:after="0"/>
              <w:rPr>
                <w:highlight w:val="none"/>
              </w:rPr>
            </w:pPr>
            <w:r>
              <w:rPr>
                <w:highlight w:val="none"/>
              </w:rPr>
              <w:t xml:space="preserve">毡垫</w:t>
            </w:r>
            <w:r>
              <w:rPr>
                <w:highlight w:val="none"/>
              </w:rPr>
            </w:r>
            <w:r/>
          </w:p>
        </w:tc>
        <w:tc>
          <w:tcPr>
            <w:tcW w:w="1057" w:type="dxa"/>
            <w:vAlign w:val="center"/>
            <w:textDirection w:val="lrTb"/>
            <w:noWrap w:val="false"/>
          </w:tcPr>
          <w:p>
            <w:pPr>
              <w:pStyle w:val="728"/>
              <w:jc w:val="center"/>
              <w:spacing w:after="0"/>
              <w:rPr>
                <w:highlight w:val="none"/>
              </w:rPr>
            </w:pPr>
            <w:r>
              <w:rPr>
                <w:highlight w:val="none"/>
              </w:rPr>
              <w:t xml:space="preserve">棕纤维垫、椰丝垫强度</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989"/>
        </w:trPr>
        <w:tc>
          <w:tcPr>
            <w:tcW w:w="755" w:type="dxa"/>
            <w:vAlign w:val="center"/>
            <w:textDirection w:val="lrTb"/>
            <w:noWrap w:val="false"/>
          </w:tcPr>
          <w:p>
            <w:pPr>
              <w:pStyle w:val="728"/>
              <w:jc w:val="center"/>
              <w:spacing w:after="0"/>
              <w:rPr>
                <w:highlight w:val="none"/>
              </w:rPr>
            </w:pPr>
            <w:r>
              <w:rPr>
                <w:highlight w:val="none"/>
              </w:rPr>
              <w:t xml:space="preserve">23</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tcW w:w="1276" w:type="dxa"/>
            <w:vAlign w:val="center"/>
            <w:vMerge w:val="continue"/>
            <w:textDirection w:val="lrTb"/>
            <w:noWrap w:val="false"/>
          </w:tcPr>
          <w:p>
            <w:pPr>
              <w:pStyle w:val="728"/>
              <w:jc w:val="center"/>
              <w:spacing w:after="0"/>
              <w:rPr>
                <w:highlight w:val="none"/>
              </w:rPr>
            </w:pPr>
            <w:r>
              <w:rPr>
                <w:highlight w:val="none"/>
              </w:rPr>
            </w:r>
            <w:r/>
          </w:p>
        </w:tc>
        <w:tc>
          <w:tcPr>
            <w:tcW w:w="1057" w:type="dxa"/>
            <w:vAlign w:val="center"/>
            <w:vMerge w:val="continue"/>
            <w:textDirection w:val="lrTb"/>
            <w:noWrap w:val="false"/>
          </w:tcPr>
          <w:p>
            <w:pPr>
              <w:pStyle w:val="728"/>
              <w:jc w:val="center"/>
              <w:spacing w:after="0"/>
              <w:rPr>
                <w:highlight w:val="none"/>
              </w:rPr>
            </w:pPr>
            <w:r>
              <w:rPr>
                <w:highlight w:val="none"/>
              </w:rPr>
            </w:r>
            <w:r/>
          </w:p>
        </w:tc>
        <w:tc>
          <w:tcPr>
            <w:tcW w:w="1057" w:type="dxa"/>
            <w:vAlign w:val="center"/>
            <w:textDirection w:val="lrTb"/>
            <w:noWrap w:val="false"/>
          </w:tcPr>
          <w:p>
            <w:pPr>
              <w:pStyle w:val="728"/>
              <w:jc w:val="center"/>
              <w:spacing w:after="0"/>
              <w:rPr>
                <w:highlight w:val="none"/>
              </w:rPr>
            </w:pPr>
            <w:r>
              <w:rPr>
                <w:highlight w:val="none"/>
              </w:rPr>
              <w:t xml:space="preserve">化纤（棉、毛）毡强度</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986"/>
        </w:trPr>
        <w:tc>
          <w:tcPr>
            <w:tcW w:w="755" w:type="dxa"/>
            <w:vAlign w:val="center"/>
            <w:textDirection w:val="lrTb"/>
            <w:noWrap w:val="false"/>
          </w:tcPr>
          <w:p>
            <w:pPr>
              <w:pStyle w:val="728"/>
              <w:jc w:val="center"/>
              <w:spacing w:after="0"/>
              <w:rPr>
                <w:highlight w:val="none"/>
              </w:rPr>
            </w:pPr>
            <w:r>
              <w:rPr>
                <w:highlight w:val="none"/>
              </w:rPr>
              <w:t xml:space="preserve">24</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tcW w:w="1276" w:type="dxa"/>
            <w:vAlign w:val="center"/>
            <w:vMerge w:val="continue"/>
            <w:textDirection w:val="lrTb"/>
            <w:noWrap w:val="false"/>
          </w:tcPr>
          <w:p>
            <w:pPr>
              <w:pStyle w:val="728"/>
              <w:jc w:val="center"/>
              <w:spacing w:after="0"/>
              <w:rPr>
                <w:highlight w:val="none"/>
              </w:rPr>
            </w:pPr>
            <w:r>
              <w:rPr>
                <w:highlight w:val="none"/>
              </w:rPr>
            </w:r>
            <w:r/>
          </w:p>
        </w:tc>
        <w:tc>
          <w:tcPr>
            <w:tcW w:w="1057" w:type="dxa"/>
            <w:vAlign w:val="center"/>
            <w:textDirection w:val="lrTb"/>
            <w:noWrap w:val="false"/>
          </w:tcPr>
          <w:p>
            <w:pPr>
              <w:pStyle w:val="728"/>
              <w:jc w:val="center"/>
              <w:spacing w:after="0"/>
              <w:rPr>
                <w:highlight w:val="none"/>
              </w:rPr>
            </w:pPr>
            <w:r>
              <w:rPr>
                <w:highlight w:val="none"/>
              </w:rPr>
              <w:t xml:space="preserve">软质泡沫塑料垫-其他</w:t>
            </w:r>
            <w:r>
              <w:rPr>
                <w:highlight w:val="none"/>
              </w:rPr>
            </w:r>
            <w:r/>
          </w:p>
        </w:tc>
        <w:tc>
          <w:tcPr>
            <w:tcW w:w="1057" w:type="dxa"/>
            <w:vAlign w:val="center"/>
            <w:textDirection w:val="lrTb"/>
            <w:noWrap w:val="false"/>
          </w:tcPr>
          <w:p>
            <w:pPr>
              <w:pStyle w:val="728"/>
              <w:jc w:val="center"/>
              <w:spacing w:after="0"/>
              <w:rPr>
                <w:highlight w:val="none"/>
              </w:rPr>
            </w:pPr>
            <w:r>
              <w:rPr>
                <w:highlight w:val="none"/>
              </w:rPr>
              <w:t xml:space="preserve">拉伸强度</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GB/T 6344-2008</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25</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弹簧芯</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26</w:t>
            </w:r>
            <w:r>
              <w:rPr>
                <w:highlight w:val="none"/>
              </w:rPr>
            </w:r>
            <w:r/>
          </w:p>
        </w:tc>
        <w:tc>
          <w:tcPr>
            <w:tcW w:w="1049" w:type="dxa"/>
            <w:vAlign w:val="center"/>
            <w:vMerge w:val="restart"/>
            <w:textDirection w:val="lrTb"/>
            <w:noWrap w:val="false"/>
          </w:tcPr>
          <w:p>
            <w:pPr>
              <w:pStyle w:val="728"/>
              <w:jc w:val="center"/>
              <w:spacing w:after="0"/>
              <w:rPr>
                <w:highlight w:val="none"/>
              </w:rPr>
            </w:pPr>
            <w:r>
              <w:rPr>
                <w:highlight w:val="none"/>
              </w:rPr>
              <w:t xml:space="preserve">耐久性</w:t>
            </w: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垫面（睡眠区域中心）</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tcW w:w="755" w:type="dxa"/>
            <w:vAlign w:val="center"/>
            <w:textDirection w:val="lrTb"/>
            <w:noWrap w:val="false"/>
          </w:tcPr>
          <w:p>
            <w:pPr>
              <w:pStyle w:val="728"/>
              <w:jc w:val="center"/>
              <w:spacing w:after="0"/>
              <w:rPr>
                <w:highlight w:val="none"/>
              </w:rPr>
            </w:pPr>
            <w:r>
              <w:rPr>
                <w:highlight w:val="none"/>
              </w:rPr>
              <w:t xml:space="preserve">27</w:t>
            </w:r>
            <w:r>
              <w:rPr>
                <w:highlight w:val="none"/>
              </w:rPr>
            </w:r>
            <w:r/>
          </w:p>
        </w:tc>
        <w:tc>
          <w:tcPr>
            <w:tcW w:w="1049" w:type="dxa"/>
            <w:vAlign w:val="center"/>
            <w:vMerge w:val="continue"/>
            <w:textDirection w:val="lrTb"/>
            <w:noWrap w:val="false"/>
          </w:tcPr>
          <w:p>
            <w:pPr>
              <w:pStyle w:val="728"/>
              <w:jc w:val="center"/>
              <w:spacing w:after="0"/>
              <w:rPr>
                <w:highlight w:val="none"/>
              </w:rPr>
            </w:pPr>
            <w:r>
              <w:rPr>
                <w:highlight w:val="none"/>
              </w:rPr>
            </w:r>
            <w:r/>
          </w:p>
        </w:tc>
        <w:tc>
          <w:tcPr>
            <w:gridSpan w:val="3"/>
            <w:tcW w:w="3390" w:type="dxa"/>
            <w:vAlign w:val="center"/>
            <w:textDirection w:val="lrTb"/>
            <w:noWrap w:val="false"/>
          </w:tcPr>
          <w:p>
            <w:pPr>
              <w:pStyle w:val="728"/>
              <w:jc w:val="center"/>
              <w:spacing w:after="0"/>
              <w:rPr>
                <w:highlight w:val="none"/>
              </w:rPr>
            </w:pPr>
            <w:r>
              <w:rPr>
                <w:highlight w:val="none"/>
              </w:rPr>
              <w:t xml:space="preserve">边部</w:t>
            </w:r>
            <w:r>
              <w:rPr>
                <w:highlight w:val="none"/>
              </w:rPr>
            </w:r>
            <w:r/>
          </w:p>
        </w:tc>
        <w:tc>
          <w:tcPr>
            <w:tcW w:w="2416"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c>
          <w:tcPr>
            <w:tcW w:w="2341" w:type="dxa"/>
            <w:vAlign w:val="center"/>
            <w:textDirection w:val="lrTb"/>
            <w:noWrap w:val="false"/>
          </w:tcPr>
          <w:p>
            <w:pPr>
              <w:pStyle w:val="728"/>
              <w:ind w:left="-110" w:right="-110"/>
              <w:jc w:val="center"/>
              <w:spacing w:after="0"/>
              <w:rPr>
                <w:highlight w:val="none"/>
              </w:rPr>
            </w:pPr>
            <w:r>
              <w:rPr>
                <w:highlight w:val="none"/>
              </w:rPr>
              <w:t xml:space="preserve">QB/T 1952.2-2023</w:t>
            </w:r>
            <w:r>
              <w:rPr>
                <w:highlight w:val="none"/>
              </w:rPr>
            </w:r>
            <w:r/>
          </w:p>
        </w:tc>
      </w:tr>
      <w:tr>
        <w:trPr>
          <w:trHeight w:val="454"/>
        </w:trPr>
        <w:tc>
          <w:tcPr>
            <w:gridSpan w:val="7"/>
            <w:tcW w:w="9951" w:type="dxa"/>
            <w:vAlign w:val="center"/>
            <w:textDirection w:val="lrTb"/>
            <w:noWrap w:val="false"/>
          </w:tcPr>
          <w:p>
            <w:pPr>
              <w:pStyle w:val="728"/>
              <w:spacing w:after="0"/>
              <w:rPr>
                <w:highlight w:val="none"/>
              </w:rPr>
            </w:pPr>
            <w:r>
              <w:rPr>
                <w:highlight w:val="none"/>
              </w:rPr>
              <w:t xml:space="preserve">注：1.复合面料的检验项目为QB/T 1952.2-2023标准中表3序号5、10和12；</w:t>
            </w:r>
            <w:r>
              <w:rPr>
                <w:highlight w:val="none"/>
              </w:rPr>
            </w:r>
            <w:r/>
          </w:p>
          <w:p>
            <w:pPr>
              <w:pStyle w:val="728"/>
              <w:ind w:firstLine="440"/>
              <w:spacing w:after="0"/>
              <w:rPr>
                <w:highlight w:val="none"/>
              </w:rPr>
            </w:pPr>
            <w:r>
              <w:rPr>
                <w:highlight w:val="none"/>
              </w:rPr>
              <w:t xml:space="preserve">2.缝边的检验项目为QB/T 1952.2-2023标准中表3序号19；</w:t>
            </w:r>
            <w:r>
              <w:rPr>
                <w:highlight w:val="none"/>
              </w:rPr>
            </w:r>
            <w:r/>
          </w:p>
          <w:p>
            <w:pPr>
              <w:pStyle w:val="728"/>
              <w:ind w:firstLine="440"/>
              <w:spacing w:after="0"/>
              <w:rPr>
                <w:highlight w:val="none"/>
              </w:rPr>
            </w:pPr>
            <w:r>
              <w:rPr>
                <w:highlight w:val="none"/>
              </w:rPr>
              <w:t xml:space="preserve">3.拉链的检验项目为QB/T 1952.2-2023标准中表3序号22～24；</w:t>
            </w:r>
            <w:r>
              <w:rPr>
                <w:highlight w:val="none"/>
              </w:rPr>
            </w:r>
            <w:r/>
          </w:p>
          <w:p>
            <w:pPr>
              <w:pStyle w:val="728"/>
              <w:ind w:firstLine="440"/>
              <w:spacing w:after="0"/>
              <w:rPr>
                <w:highlight w:val="none"/>
              </w:rPr>
            </w:pPr>
            <w:r>
              <w:rPr>
                <w:highlight w:val="none"/>
              </w:rPr>
              <w:t xml:space="preserve">4.弹簧芯的检验项目为QB/T 1952.2-2023标准中表3序号60；</w:t>
            </w:r>
            <w:r>
              <w:rPr>
                <w:highlight w:val="none"/>
              </w:rPr>
            </w:r>
            <w:r/>
          </w:p>
          <w:p>
            <w:pPr>
              <w:pStyle w:val="728"/>
              <w:ind w:firstLine="435"/>
              <w:spacing w:after="0"/>
              <w:rPr>
                <w:highlight w:val="none"/>
              </w:rPr>
            </w:pPr>
            <w:r>
              <w:rPr>
                <w:highlight w:val="none"/>
              </w:rPr>
              <w:t xml:space="preserve">5.阻燃性项目检验时：如果试件两铺面用料、工艺、软硬度不一致且两面均可使用时，应分别在产品的两铺面进行测定；</w:t>
            </w:r>
            <w:r>
              <w:rPr>
                <w:highlight w:val="none"/>
              </w:rPr>
            </w:r>
            <w:r/>
          </w:p>
          <w:p>
            <w:pPr>
              <w:pStyle w:val="728"/>
              <w:ind w:firstLine="435"/>
              <w:spacing w:after="0"/>
              <w:rPr>
                <w:highlight w:val="none"/>
              </w:rPr>
            </w:pPr>
            <w:r>
              <w:rPr>
                <w:highlight w:val="none"/>
              </w:rPr>
              <w:t xml:space="preserve">6.如未标注产品使用场所，按家庭用进行检验并判定；</w:t>
            </w:r>
            <w:r>
              <w:rPr>
                <w:highlight w:val="none"/>
              </w:rPr>
            </w:r>
            <w:r/>
          </w:p>
          <w:p>
            <w:pPr>
              <w:pStyle w:val="728"/>
              <w:ind w:firstLine="435"/>
              <w:spacing w:after="0"/>
              <w:rPr>
                <w:highlight w:val="none"/>
              </w:rPr>
            </w:pPr>
            <w:r>
              <w:rPr>
                <w:highlight w:val="none"/>
              </w:rPr>
              <w:t xml:space="preserve">7.如未标注产品等级，按合格品进行检验并判定。</w:t>
            </w:r>
            <w:r>
              <w:rPr>
                <w:highlight w:val="none"/>
              </w:rPr>
            </w:r>
            <w:r/>
          </w:p>
        </w:tc>
      </w:tr>
    </w:tbl>
    <w:p>
      <w:pPr>
        <w:pStyle w:val="728"/>
        <w:jc w:val="center"/>
        <w:rPr>
          <w:highlight w:val="none"/>
        </w:rPr>
      </w:pPr>
      <w:r>
        <w:rPr>
          <w:highlight w:val="none"/>
        </w:rPr>
      </w:r>
      <w:r/>
    </w:p>
    <w:p>
      <w:pPr>
        <w:pStyle w:val="728"/>
        <w:rPr>
          <w:highlight w:val="none"/>
        </w:rPr>
      </w:pPr>
      <w:r>
        <w:rPr>
          <w:highlight w:val="none"/>
        </w:rPr>
        <w:t xml:space="preserve">棕纤维弹性床垫产品（标注执行标准GB/T 26706-2011）</w:t>
      </w:r>
      <w:r>
        <w:rPr>
          <w:highlight w:val="none"/>
        </w:rPr>
      </w:r>
      <w:r/>
    </w:p>
    <w:tbl>
      <w:tblPr>
        <w:tblW w:w="4983" w:type="pct"/>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591"/>
        <w:gridCol w:w="1129"/>
        <w:gridCol w:w="1574"/>
        <w:gridCol w:w="2415"/>
        <w:gridCol w:w="2682"/>
      </w:tblGrid>
      <w:tr>
        <w:trPr>
          <w:cantSplit/>
          <w:trHeight w:val="454"/>
          <w:tblHeader/>
        </w:trPr>
        <w:tc>
          <w:tcPr>
            <w:tcW w:w="352" w:type="dxa"/>
            <w:vAlign w:val="center"/>
            <w:textDirection w:val="lrTb"/>
            <w:noWrap w:val="false"/>
          </w:tcPr>
          <w:p>
            <w:pPr>
              <w:pStyle w:val="728"/>
              <w:jc w:val="center"/>
              <w:spacing w:after="0"/>
              <w:rPr>
                <w:highlight w:val="none"/>
              </w:rPr>
            </w:pPr>
            <w:r>
              <w:rPr>
                <w:highlight w:val="none"/>
              </w:rPr>
              <w:t xml:space="preserve">序号</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检验项目</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检验依据</w:t>
            </w:r>
            <w:r>
              <w:rPr>
                <w:highlight w:val="none"/>
              </w:rPr>
            </w:r>
            <w:r/>
          </w:p>
        </w:tc>
        <w:tc>
          <w:tcPr>
            <w:tcW w:w="1598" w:type="dxa"/>
            <w:vAlign w:val="center"/>
            <w:textDirection w:val="lrTb"/>
            <w:noWrap w:val="false"/>
          </w:tcPr>
          <w:p>
            <w:pPr>
              <w:pStyle w:val="728"/>
              <w:jc w:val="center"/>
              <w:spacing w:after="0"/>
              <w:rPr>
                <w:highlight w:val="none"/>
              </w:rPr>
            </w:pPr>
            <w:r>
              <w:rPr>
                <w:highlight w:val="none"/>
              </w:rPr>
              <w:t xml:space="preserve">检验方法</w:t>
            </w:r>
            <w:r>
              <w:rPr>
                <w:highlight w:val="none"/>
              </w:rPr>
            </w:r>
            <w:r/>
          </w:p>
        </w:tc>
      </w:tr>
      <w:tr>
        <w:trPr>
          <w:trHeight w:val="714"/>
        </w:trPr>
        <w:tc>
          <w:tcPr>
            <w:tcW w:w="352" w:type="dxa"/>
            <w:vAlign w:val="center"/>
            <w:textDirection w:val="lrTb"/>
            <w:noWrap w:val="false"/>
          </w:tcPr>
          <w:p>
            <w:pPr>
              <w:pStyle w:val="728"/>
              <w:jc w:val="center"/>
              <w:spacing w:after="0"/>
              <w:rPr>
                <w:highlight w:val="none"/>
              </w:rPr>
            </w:pPr>
            <w:r>
              <w:rPr>
                <w:highlight w:val="none"/>
              </w:rPr>
              <w:t xml:space="preserve">1</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面料及复合面料物理性能-耐摩擦色牢度</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GB/T 26706-2011</w:t>
            </w:r>
            <w:r>
              <w:rPr>
                <w:highlight w:val="none"/>
              </w:rPr>
            </w:r>
            <w:r/>
          </w:p>
        </w:tc>
        <w:tc>
          <w:tcPr>
            <w:tcW w:w="1598" w:type="dxa"/>
            <w:vAlign w:val="center"/>
            <w:textDirection w:val="lrTb"/>
            <w:noWrap w:val="false"/>
          </w:tcPr>
          <w:p>
            <w:pPr>
              <w:pStyle w:val="728"/>
              <w:ind w:left="-110" w:right="-110"/>
              <w:jc w:val="center"/>
              <w:spacing w:after="0"/>
              <w:rPr>
                <w:highlight w:val="none"/>
              </w:rPr>
            </w:pPr>
            <w:r>
              <w:rPr>
                <w:highlight w:val="none"/>
              </w:rPr>
              <w:t xml:space="preserve">GB/T 3920-2008</w:t>
            </w:r>
            <w:r>
              <w:rPr>
                <w:highlight w:val="none"/>
              </w:rPr>
            </w:r>
            <w:r/>
          </w:p>
        </w:tc>
      </w:tr>
      <w:tr>
        <w:trPr>
          <w:trHeight w:val="454"/>
        </w:trPr>
        <w:tc>
          <w:tcPr>
            <w:tcW w:w="352" w:type="dxa"/>
            <w:vAlign w:val="center"/>
            <w:textDirection w:val="lrTb"/>
            <w:noWrap w:val="false"/>
          </w:tcPr>
          <w:p>
            <w:pPr>
              <w:pStyle w:val="728"/>
              <w:jc w:val="center"/>
              <w:spacing w:after="0"/>
              <w:rPr>
                <w:highlight w:val="none"/>
              </w:rPr>
            </w:pPr>
            <w:r>
              <w:rPr>
                <w:highlight w:val="none"/>
              </w:rPr>
              <w:t xml:space="preserve">2</w:t>
            </w:r>
            <w:r>
              <w:rPr>
                <w:highlight w:val="none"/>
              </w:rPr>
            </w:r>
            <w:r/>
          </w:p>
        </w:tc>
        <w:tc>
          <w:tcPr>
            <w:tcW w:w="673" w:type="dxa"/>
            <w:vAlign w:val="center"/>
            <w:vMerge w:val="restart"/>
            <w:textDirection w:val="lrTb"/>
            <w:noWrap w:val="false"/>
          </w:tcPr>
          <w:p>
            <w:pPr>
              <w:pStyle w:val="728"/>
              <w:jc w:val="center"/>
              <w:spacing w:after="0"/>
              <w:rPr>
                <w:highlight w:val="none"/>
              </w:rPr>
            </w:pPr>
            <w:r>
              <w:rPr>
                <w:highlight w:val="none"/>
              </w:rPr>
              <w:t xml:space="preserve">芯料物理性能</w:t>
            </w:r>
            <w:r>
              <w:rPr>
                <w:highlight w:val="none"/>
              </w:rPr>
            </w:r>
            <w:r/>
          </w:p>
        </w:tc>
        <w:tc>
          <w:tcPr>
            <w:tcW w:w="938" w:type="dxa"/>
            <w:vAlign w:val="center"/>
            <w:textDirection w:val="lrTb"/>
            <w:noWrap w:val="false"/>
          </w:tcPr>
          <w:p>
            <w:pPr>
              <w:pStyle w:val="728"/>
              <w:jc w:val="center"/>
              <w:spacing w:after="0"/>
              <w:rPr>
                <w:highlight w:val="none"/>
              </w:rPr>
            </w:pPr>
            <w:r>
              <w:rPr>
                <w:highlight w:val="none"/>
              </w:rPr>
              <w:t xml:space="preserve">含水率</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GB/T 26706-2011</w:t>
            </w:r>
            <w:r>
              <w:rPr>
                <w:highlight w:val="none"/>
              </w:rPr>
            </w:r>
            <w:r/>
          </w:p>
        </w:tc>
        <w:tc>
          <w:tcPr>
            <w:tcW w:w="1598" w:type="dxa"/>
            <w:vAlign w:val="center"/>
            <w:textDirection w:val="lrTb"/>
            <w:noWrap w:val="false"/>
          </w:tcPr>
          <w:p>
            <w:pPr>
              <w:pStyle w:val="728"/>
              <w:ind w:left="-110" w:right="-110"/>
              <w:jc w:val="center"/>
              <w:spacing w:after="0"/>
              <w:rPr>
                <w:highlight w:val="none"/>
              </w:rPr>
            </w:pPr>
            <w:r>
              <w:rPr>
                <w:highlight w:val="none"/>
              </w:rPr>
              <w:t xml:space="preserve">GB/T 26706-2011</w:t>
            </w:r>
            <w:r>
              <w:rPr>
                <w:highlight w:val="none"/>
              </w:rPr>
            </w:r>
            <w:r/>
          </w:p>
        </w:tc>
      </w:tr>
      <w:tr>
        <w:trPr>
          <w:trHeight w:val="454"/>
        </w:trPr>
        <w:tc>
          <w:tcPr>
            <w:tcW w:w="352" w:type="dxa"/>
            <w:vAlign w:val="center"/>
            <w:textDirection w:val="lrTb"/>
            <w:noWrap w:val="false"/>
          </w:tcPr>
          <w:p>
            <w:pPr>
              <w:pStyle w:val="728"/>
              <w:jc w:val="center"/>
              <w:spacing w:after="0"/>
              <w:rPr>
                <w:highlight w:val="none"/>
              </w:rPr>
            </w:pPr>
            <w:r>
              <w:rPr>
                <w:highlight w:val="none"/>
              </w:rPr>
              <w:t xml:space="preserve">3</w:t>
            </w:r>
            <w:r>
              <w:rPr>
                <w:highlight w:val="none"/>
              </w:rPr>
            </w:r>
            <w:r/>
          </w:p>
        </w:tc>
        <w:tc>
          <w:tcPr>
            <w:tcW w:w="673" w:type="dxa"/>
            <w:vAlign w:val="center"/>
            <w:vMerge w:val="continue"/>
            <w:textDirection w:val="lrTb"/>
            <w:noWrap w:val="false"/>
          </w:tcPr>
          <w:p>
            <w:pPr>
              <w:pStyle w:val="728"/>
              <w:jc w:val="center"/>
              <w:spacing w:after="0"/>
              <w:rPr>
                <w:highlight w:val="none"/>
              </w:rPr>
            </w:pPr>
            <w:r>
              <w:rPr>
                <w:highlight w:val="none"/>
              </w:rPr>
            </w:r>
            <w:r/>
          </w:p>
        </w:tc>
        <w:tc>
          <w:tcPr>
            <w:tcW w:w="938" w:type="dxa"/>
            <w:vAlign w:val="center"/>
            <w:textDirection w:val="lrTb"/>
            <w:noWrap w:val="false"/>
          </w:tcPr>
          <w:p>
            <w:pPr>
              <w:pStyle w:val="728"/>
              <w:jc w:val="center"/>
              <w:spacing w:after="0"/>
              <w:rPr>
                <w:highlight w:val="none"/>
              </w:rPr>
            </w:pPr>
            <w:r>
              <w:rPr>
                <w:highlight w:val="none"/>
              </w:rPr>
              <w:t xml:space="preserve">压缩永久变形</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GB/T 26706-2011</w:t>
            </w:r>
            <w:r>
              <w:rPr>
                <w:highlight w:val="none"/>
              </w:rPr>
            </w:r>
            <w:r/>
          </w:p>
        </w:tc>
        <w:tc>
          <w:tcPr>
            <w:tcW w:w="1598" w:type="dxa"/>
            <w:vAlign w:val="center"/>
            <w:textDirection w:val="lrTb"/>
            <w:noWrap w:val="false"/>
          </w:tcPr>
          <w:p>
            <w:pPr>
              <w:pStyle w:val="728"/>
              <w:ind w:left="-110" w:right="-110"/>
              <w:jc w:val="center"/>
              <w:spacing w:after="0"/>
              <w:rPr>
                <w:highlight w:val="none"/>
              </w:rPr>
            </w:pPr>
            <w:r>
              <w:rPr>
                <w:highlight w:val="none"/>
              </w:rPr>
              <w:t xml:space="preserve">GB/T 26706-2011</w:t>
            </w:r>
            <w:r>
              <w:rPr>
                <w:highlight w:val="none"/>
              </w:rPr>
            </w:r>
            <w:r/>
          </w:p>
        </w:tc>
      </w:tr>
      <w:tr>
        <w:trPr>
          <w:trHeight w:val="526"/>
        </w:trPr>
        <w:tc>
          <w:tcPr>
            <w:tcW w:w="352" w:type="dxa"/>
            <w:vAlign w:val="center"/>
            <w:textDirection w:val="lrTb"/>
            <w:noWrap w:val="false"/>
          </w:tcPr>
          <w:p>
            <w:pPr>
              <w:pStyle w:val="728"/>
              <w:jc w:val="center"/>
              <w:spacing w:after="0"/>
              <w:rPr>
                <w:highlight w:val="none"/>
              </w:rPr>
            </w:pPr>
            <w:r>
              <w:rPr>
                <w:highlight w:val="none"/>
              </w:rPr>
              <w:t xml:space="preserve">4</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安全卫生要求</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GB/T 26706-2011</w:t>
            </w:r>
            <w:r>
              <w:rPr>
                <w:highlight w:val="none"/>
              </w:rPr>
            </w:r>
            <w:r/>
          </w:p>
        </w:tc>
        <w:tc>
          <w:tcPr>
            <w:tcW w:w="1598" w:type="dxa"/>
            <w:vAlign w:val="center"/>
            <w:textDirection w:val="lrTb"/>
            <w:noWrap w:val="false"/>
          </w:tcPr>
          <w:p>
            <w:pPr>
              <w:pStyle w:val="728"/>
              <w:ind w:left="-110" w:right="-110"/>
              <w:jc w:val="center"/>
              <w:spacing w:after="0"/>
              <w:rPr>
                <w:highlight w:val="none"/>
              </w:rPr>
            </w:pPr>
            <w:r>
              <w:rPr>
                <w:highlight w:val="none"/>
              </w:rPr>
              <w:t xml:space="preserve">GB/T 26706-2011</w:t>
            </w:r>
            <w:r>
              <w:rPr>
                <w:highlight w:val="none"/>
              </w:rPr>
            </w:r>
            <w:r/>
          </w:p>
        </w:tc>
      </w:tr>
      <w:tr>
        <w:trPr>
          <w:trHeight w:val="454"/>
        </w:trPr>
        <w:tc>
          <w:tcPr>
            <w:tcW w:w="352" w:type="dxa"/>
            <w:vAlign w:val="center"/>
            <w:textDirection w:val="lrTb"/>
            <w:noWrap w:val="false"/>
          </w:tcPr>
          <w:p>
            <w:pPr>
              <w:pStyle w:val="728"/>
              <w:jc w:val="center"/>
              <w:spacing w:after="0"/>
              <w:rPr>
                <w:highlight w:val="none"/>
              </w:rPr>
            </w:pPr>
            <w:r>
              <w:rPr>
                <w:highlight w:val="none"/>
              </w:rPr>
              <w:t xml:space="preserve">5</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耐久性要求</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GB/T 26706-2011</w:t>
            </w:r>
            <w:r>
              <w:rPr>
                <w:highlight w:val="none"/>
              </w:rPr>
            </w:r>
            <w:r/>
          </w:p>
        </w:tc>
        <w:tc>
          <w:tcPr>
            <w:tcW w:w="1598" w:type="dxa"/>
            <w:vAlign w:val="center"/>
            <w:textDirection w:val="lrTb"/>
            <w:noWrap w:val="false"/>
          </w:tcPr>
          <w:p>
            <w:pPr>
              <w:pStyle w:val="728"/>
              <w:ind w:left="-110" w:right="-110"/>
              <w:jc w:val="center"/>
              <w:spacing w:after="0"/>
              <w:rPr>
                <w:highlight w:val="none"/>
              </w:rPr>
            </w:pPr>
            <w:r>
              <w:rPr>
                <w:highlight w:val="none"/>
              </w:rPr>
              <w:t xml:space="preserve">GB/T 26706-2011</w:t>
            </w:r>
            <w:r>
              <w:rPr>
                <w:highlight w:val="none"/>
              </w:rPr>
            </w:r>
            <w:r/>
          </w:p>
        </w:tc>
      </w:tr>
      <w:tr>
        <w:trPr>
          <w:trHeight w:val="454"/>
        </w:trPr>
        <w:tc>
          <w:tcPr>
            <w:tcW w:w="352" w:type="dxa"/>
            <w:vAlign w:val="center"/>
            <w:textDirection w:val="lrTb"/>
            <w:noWrap w:val="false"/>
          </w:tcPr>
          <w:p>
            <w:pPr>
              <w:pStyle w:val="728"/>
              <w:jc w:val="center"/>
              <w:spacing w:after="0"/>
              <w:rPr>
                <w:highlight w:val="none"/>
              </w:rPr>
            </w:pPr>
            <w:r>
              <w:rPr>
                <w:highlight w:val="none"/>
              </w:rPr>
              <w:t xml:space="preserve">6</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阻燃性要求（抗引燃特性）</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GB/T 26706-2011</w:t>
            </w:r>
            <w:r>
              <w:rPr>
                <w:highlight w:val="none"/>
              </w:rPr>
            </w:r>
            <w:r/>
          </w:p>
        </w:tc>
        <w:tc>
          <w:tcPr>
            <w:tcW w:w="1598" w:type="dxa"/>
            <w:vAlign w:val="center"/>
            <w:textDirection w:val="lrTb"/>
            <w:noWrap w:val="false"/>
          </w:tcPr>
          <w:p>
            <w:pPr>
              <w:pStyle w:val="728"/>
              <w:ind w:left="-110" w:right="-110"/>
              <w:jc w:val="center"/>
              <w:spacing w:after="0"/>
              <w:rPr>
                <w:highlight w:val="none"/>
              </w:rPr>
            </w:pPr>
            <w:r>
              <w:rPr>
                <w:highlight w:val="none"/>
              </w:rPr>
              <w:t xml:space="preserve">GB 17927-2024</w:t>
            </w:r>
            <w:r>
              <w:rPr>
                <w:highlight w:val="none"/>
              </w:rPr>
            </w:r>
            <w:r/>
          </w:p>
        </w:tc>
      </w:tr>
      <w:tr>
        <w:trPr>
          <w:trHeight w:val="454"/>
        </w:trPr>
        <w:tc>
          <w:tcPr>
            <w:tcW w:w="352" w:type="dxa"/>
            <w:vAlign w:val="center"/>
            <w:textDirection w:val="lrTb"/>
            <w:noWrap w:val="false"/>
          </w:tcPr>
          <w:p>
            <w:pPr>
              <w:pStyle w:val="728"/>
              <w:jc w:val="center"/>
              <w:spacing w:after="0"/>
              <w:rPr>
                <w:highlight w:val="none"/>
              </w:rPr>
            </w:pPr>
            <w:r>
              <w:rPr>
                <w:highlight w:val="none"/>
              </w:rPr>
              <w:t xml:space="preserve">7</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甲醛</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5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trHeight w:val="454"/>
        </w:trPr>
        <w:tc>
          <w:tcPr>
            <w:tcW w:w="352" w:type="dxa"/>
            <w:vAlign w:val="center"/>
            <w:textDirection w:val="lrTb"/>
            <w:noWrap w:val="false"/>
          </w:tcPr>
          <w:p>
            <w:pPr>
              <w:pStyle w:val="728"/>
              <w:jc w:val="center"/>
              <w:spacing w:after="0"/>
              <w:rPr>
                <w:highlight w:val="none"/>
              </w:rPr>
            </w:pPr>
            <w:r>
              <w:rPr>
                <w:highlight w:val="none"/>
              </w:rPr>
              <w:t xml:space="preserve">8</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苯</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5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trHeight w:val="454"/>
        </w:trPr>
        <w:tc>
          <w:tcPr>
            <w:tcW w:w="352" w:type="dxa"/>
            <w:vAlign w:val="center"/>
            <w:textDirection w:val="lrTb"/>
            <w:noWrap w:val="false"/>
          </w:tcPr>
          <w:p>
            <w:pPr>
              <w:pStyle w:val="728"/>
              <w:jc w:val="center"/>
              <w:spacing w:after="0"/>
              <w:rPr>
                <w:highlight w:val="none"/>
              </w:rPr>
            </w:pPr>
            <w:r>
              <w:rPr>
                <w:highlight w:val="none"/>
              </w:rPr>
              <w:t xml:space="preserve">9</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甲苯</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5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trHeight w:val="454"/>
        </w:trPr>
        <w:tc>
          <w:tcPr>
            <w:tcW w:w="352" w:type="dxa"/>
            <w:vAlign w:val="center"/>
            <w:textDirection w:val="lrTb"/>
            <w:noWrap w:val="false"/>
          </w:tcPr>
          <w:p>
            <w:pPr>
              <w:pStyle w:val="728"/>
              <w:jc w:val="center"/>
              <w:spacing w:after="0"/>
              <w:rPr>
                <w:highlight w:val="none"/>
              </w:rPr>
            </w:pPr>
            <w:r>
              <w:rPr>
                <w:highlight w:val="none"/>
              </w:rPr>
              <w:t xml:space="preserve">10</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二甲苯（邻、间、对二甲苯之和）</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5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trHeight w:val="454"/>
        </w:trPr>
        <w:tc>
          <w:tcPr>
            <w:tcW w:w="352" w:type="dxa"/>
            <w:vAlign w:val="center"/>
            <w:textDirection w:val="lrTb"/>
            <w:noWrap w:val="false"/>
          </w:tcPr>
          <w:p>
            <w:pPr>
              <w:pStyle w:val="728"/>
              <w:jc w:val="center"/>
              <w:spacing w:after="0"/>
              <w:rPr>
                <w:highlight w:val="none"/>
              </w:rPr>
            </w:pPr>
            <w:r>
              <w:rPr>
                <w:highlight w:val="none"/>
              </w:rPr>
              <w:t xml:space="preserve">11</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总挥发性有机化合物（TVOC）</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5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trHeight w:val="454"/>
        </w:trPr>
        <w:tc>
          <w:tcPr>
            <w:tcW w:w="352" w:type="dxa"/>
            <w:vAlign w:val="center"/>
            <w:textDirection w:val="lrTb"/>
            <w:noWrap w:val="false"/>
          </w:tcPr>
          <w:p>
            <w:pPr>
              <w:pStyle w:val="728"/>
              <w:jc w:val="center"/>
              <w:spacing w:after="0"/>
              <w:rPr>
                <w:highlight w:val="none"/>
              </w:rPr>
            </w:pPr>
            <w:r>
              <w:rPr>
                <w:highlight w:val="none"/>
              </w:rPr>
              <w:t xml:space="preserve">12</w:t>
            </w:r>
            <w:r>
              <w:rPr>
                <w:highlight w:val="none"/>
              </w:rPr>
            </w:r>
            <w:r/>
          </w:p>
        </w:tc>
        <w:tc>
          <w:tcPr>
            <w:gridSpan w:val="2"/>
            <w:tcW w:w="2703" w:type="dxa"/>
            <w:vAlign w:val="center"/>
            <w:textDirection w:val="lrTb"/>
            <w:noWrap w:val="false"/>
          </w:tcPr>
          <w:p>
            <w:pPr>
              <w:pStyle w:val="728"/>
              <w:jc w:val="center"/>
              <w:spacing w:after="0"/>
              <w:rPr>
                <w:highlight w:val="none"/>
              </w:rPr>
            </w:pPr>
            <w:r>
              <w:rPr>
                <w:highlight w:val="none"/>
              </w:rPr>
              <w:t xml:space="preserve">可分解芳香胺染料</w:t>
            </w:r>
            <w:r>
              <w:rPr>
                <w:highlight w:val="none"/>
              </w:rPr>
            </w:r>
            <w:r/>
          </w:p>
        </w:tc>
        <w:tc>
          <w:tcPr>
            <w:tcW w:w="1439"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598" w:type="dxa"/>
            <w:vAlign w:val="center"/>
            <w:textDirection w:val="lrTb"/>
            <w:noWrap w:val="false"/>
          </w:tcPr>
          <w:p>
            <w:pPr>
              <w:pStyle w:val="728"/>
              <w:jc w:val="center"/>
              <w:spacing w:after="0"/>
              <w:rPr>
                <w:highlight w:val="none"/>
              </w:rPr>
            </w:pPr>
            <w:r>
              <w:rPr>
                <w:highlight w:val="none"/>
              </w:rPr>
              <w:t xml:space="preserve">GB/T 40904-2021</w:t>
            </w:r>
            <w:r>
              <w:rPr>
                <w:highlight w:val="none"/>
              </w:rPr>
            </w:r>
            <w:r/>
          </w:p>
        </w:tc>
      </w:tr>
      <w:tr>
        <w:trPr>
          <w:trHeight w:val="454"/>
        </w:trPr>
        <w:tc>
          <w:tcPr>
            <w:gridSpan w:val="5"/>
            <w:tcW w:w="8391" w:type="dxa"/>
            <w:vAlign w:val="center"/>
            <w:textDirection w:val="lrTb"/>
            <w:noWrap w:val="false"/>
          </w:tcPr>
          <w:p>
            <w:pPr>
              <w:pStyle w:val="728"/>
              <w:spacing w:after="0"/>
              <w:rPr>
                <w:highlight w:val="none"/>
              </w:rPr>
            </w:pPr>
            <w:r>
              <w:rPr>
                <w:highlight w:val="none"/>
              </w:rPr>
              <w:t xml:space="preserve">注：1.安全卫生要求的检验项目为GB/T 26706—2011中序号31、33～37；</w:t>
            </w:r>
            <w:r>
              <w:rPr>
                <w:highlight w:val="none"/>
              </w:rPr>
            </w:r>
            <w:r/>
          </w:p>
          <w:p>
            <w:pPr>
              <w:pStyle w:val="728"/>
              <w:ind w:left="-110" w:right="-110"/>
              <w:spacing w:after="0"/>
              <w:rPr>
                <w:highlight w:val="none"/>
              </w:rPr>
            </w:pPr>
            <w:r>
              <w:rPr>
                <w:highlight w:val="none"/>
              </w:rPr>
              <w:t xml:space="preserve">     2.如未标注产品使用场所，按家庭用进行检验并判定。</w:t>
            </w:r>
            <w:r>
              <w:rPr>
                <w:highlight w:val="none"/>
              </w:rPr>
            </w:r>
            <w:r/>
          </w:p>
        </w:tc>
      </w:tr>
    </w:tbl>
    <w:p>
      <w:pPr>
        <w:pStyle w:val="728"/>
        <w:jc w:val="center"/>
        <w:rPr>
          <w:highlight w:val="none"/>
        </w:rPr>
      </w:pPr>
      <w:r>
        <w:rPr>
          <w:highlight w:val="none"/>
        </w:rPr>
      </w:r>
      <w:r/>
    </w:p>
    <w:p>
      <w:pPr>
        <w:pStyle w:val="728"/>
        <w:rPr>
          <w:highlight w:val="none"/>
        </w:rPr>
      </w:pPr>
      <w:r>
        <w:rPr>
          <w:highlight w:val="none"/>
        </w:rPr>
        <w:t xml:space="preserve">棕纤维弹性床垫产品（标注执行标准GB/T 26706-2025）</w:t>
      </w:r>
      <w:r>
        <w:rPr>
          <w:highlight w:val="none"/>
        </w:rPr>
      </w:r>
      <w:r/>
    </w:p>
    <w:tbl>
      <w:tblPr>
        <w:tblW w:w="494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893"/>
        <w:gridCol w:w="1353"/>
        <w:gridCol w:w="2780"/>
        <w:gridCol w:w="2799"/>
      </w:tblGrid>
      <w:tr>
        <w:trPr>
          <w:cantSplit/>
          <w:trHeight w:val="454"/>
        </w:trPr>
        <w:tc>
          <w:tcPr>
            <w:tcW w:w="356" w:type="dxa"/>
            <w:vAlign w:val="center"/>
            <w:textDirection w:val="lrTb"/>
            <w:noWrap w:val="false"/>
          </w:tcPr>
          <w:p>
            <w:pPr>
              <w:pStyle w:val="728"/>
              <w:jc w:val="center"/>
              <w:spacing w:after="0"/>
              <w:rPr>
                <w:highlight w:val="none"/>
              </w:rPr>
            </w:pPr>
            <w:r>
              <w:rPr>
                <w:highlight w:val="none"/>
              </w:rPr>
              <w:t xml:space="preserve">序号</w:t>
            </w:r>
            <w:r>
              <w:rPr>
                <w:highlight w:val="none"/>
              </w:rPr>
            </w:r>
            <w:r/>
          </w:p>
        </w:tc>
        <w:tc>
          <w:tcPr>
            <w:gridSpan w:val="2"/>
            <w:tcW w:w="2246" w:type="dxa"/>
            <w:vAlign w:val="center"/>
            <w:textDirection w:val="lrTb"/>
            <w:noWrap w:val="false"/>
          </w:tcPr>
          <w:p>
            <w:pPr>
              <w:pStyle w:val="728"/>
              <w:jc w:val="center"/>
              <w:spacing w:after="0"/>
              <w:rPr>
                <w:highlight w:val="none"/>
              </w:rPr>
            </w:pPr>
            <w:r>
              <w:rPr>
                <w:highlight w:val="none"/>
              </w:rPr>
              <w:t xml:space="preserve">检验项目</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检验依据</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检验方法</w:t>
            </w:r>
            <w:r>
              <w:rPr>
                <w:highlight w:val="none"/>
              </w:rPr>
            </w:r>
            <w:r/>
          </w:p>
        </w:tc>
      </w:tr>
      <w:tr>
        <w:trPr>
          <w:cantSplit/>
          <w:trHeight w:val="454"/>
        </w:trPr>
        <w:tc>
          <w:tcPr>
            <w:tcW w:w="356" w:type="dxa"/>
            <w:vAlign w:val="center"/>
            <w:textDirection w:val="lrTb"/>
            <w:noWrap w:val="false"/>
          </w:tcPr>
          <w:p>
            <w:pPr>
              <w:pStyle w:val="728"/>
              <w:jc w:val="center"/>
              <w:spacing w:after="0"/>
              <w:rPr>
                <w:highlight w:val="none"/>
              </w:rPr>
            </w:pPr>
            <w:r>
              <w:rPr>
                <w:highlight w:val="none"/>
              </w:rPr>
              <w:t xml:space="preserve">1</w:t>
            </w:r>
            <w:r>
              <w:rPr>
                <w:highlight w:val="none"/>
              </w:rPr>
            </w:r>
            <w:r/>
          </w:p>
        </w:tc>
        <w:tc>
          <w:tcPr>
            <w:gridSpan w:val="2"/>
            <w:tcW w:w="2246" w:type="dxa"/>
            <w:vAlign w:val="center"/>
            <w:textDirection w:val="lrTb"/>
            <w:noWrap w:val="false"/>
          </w:tcPr>
          <w:p>
            <w:pPr>
              <w:pStyle w:val="728"/>
              <w:jc w:val="center"/>
              <w:spacing w:after="0"/>
              <w:rPr>
                <w:highlight w:val="none"/>
              </w:rPr>
            </w:pPr>
            <w:r>
              <w:rPr>
                <w:highlight w:val="none"/>
              </w:rPr>
              <w:t xml:space="preserve">外观性能</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GB/T 26706-2025</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GB/T 26706-2025</w:t>
            </w:r>
            <w:r>
              <w:rPr>
                <w:highlight w:val="none"/>
              </w:rPr>
            </w:r>
            <w:r/>
          </w:p>
        </w:tc>
      </w:tr>
      <w:tr>
        <w:trPr>
          <w:cantSplit/>
          <w:trHeight w:val="454"/>
        </w:trPr>
        <w:tc>
          <w:tcPr>
            <w:tcW w:w="356" w:type="dxa"/>
            <w:vAlign w:val="center"/>
            <w:textDirection w:val="lrTb"/>
            <w:noWrap w:val="false"/>
          </w:tcPr>
          <w:p>
            <w:pPr>
              <w:pStyle w:val="728"/>
              <w:jc w:val="center"/>
              <w:spacing w:after="0"/>
              <w:rPr>
                <w:highlight w:val="none"/>
              </w:rPr>
            </w:pPr>
            <w:r>
              <w:rPr>
                <w:highlight w:val="none"/>
              </w:rPr>
              <w:t xml:space="preserve">2</w:t>
            </w:r>
            <w:r>
              <w:rPr>
                <w:highlight w:val="none"/>
              </w:rPr>
            </w:r>
            <w:r/>
          </w:p>
        </w:tc>
        <w:tc>
          <w:tcPr>
            <w:gridSpan w:val="2"/>
            <w:tcW w:w="2246" w:type="dxa"/>
            <w:vAlign w:val="center"/>
            <w:textDirection w:val="lrTb"/>
            <w:noWrap w:val="false"/>
          </w:tcPr>
          <w:p>
            <w:pPr>
              <w:pStyle w:val="728"/>
              <w:jc w:val="center"/>
              <w:spacing w:after="0"/>
              <w:rPr>
                <w:highlight w:val="none"/>
              </w:rPr>
            </w:pPr>
            <w:r>
              <w:rPr>
                <w:highlight w:val="none"/>
              </w:rPr>
              <w:t xml:space="preserve">安全卫生性能</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GB/T 26706-2025</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GB/T 26706-2025</w:t>
            </w:r>
            <w:r>
              <w:rPr>
                <w:highlight w:val="none"/>
              </w:rPr>
            </w:r>
            <w:r/>
          </w:p>
        </w:tc>
      </w:tr>
      <w:tr>
        <w:trPr>
          <w:cantSplit/>
          <w:trHeight w:val="454"/>
        </w:trPr>
        <w:tc>
          <w:tcPr>
            <w:tcW w:w="356" w:type="dxa"/>
            <w:vAlign w:val="center"/>
            <w:textDirection w:val="lrTb"/>
            <w:noWrap w:val="false"/>
          </w:tcPr>
          <w:p>
            <w:pPr>
              <w:pStyle w:val="728"/>
              <w:jc w:val="center"/>
              <w:spacing w:after="0"/>
              <w:rPr>
                <w:highlight w:val="none"/>
              </w:rPr>
            </w:pPr>
            <w:r>
              <w:rPr>
                <w:highlight w:val="none"/>
              </w:rPr>
              <w:t xml:space="preserve">3</w:t>
            </w:r>
            <w:r>
              <w:rPr>
                <w:highlight w:val="none"/>
              </w:rPr>
            </w:r>
            <w:r/>
          </w:p>
        </w:tc>
        <w:tc>
          <w:tcPr>
            <w:gridSpan w:val="2"/>
            <w:tcW w:w="2246" w:type="dxa"/>
            <w:vAlign w:val="center"/>
            <w:textDirection w:val="lrTb"/>
            <w:noWrap w:val="false"/>
          </w:tcPr>
          <w:p>
            <w:pPr>
              <w:pStyle w:val="728"/>
              <w:jc w:val="center"/>
              <w:spacing w:after="0"/>
              <w:rPr>
                <w:highlight w:val="none"/>
              </w:rPr>
            </w:pPr>
            <w:r>
              <w:rPr>
                <w:highlight w:val="none"/>
              </w:rPr>
              <w:t xml:space="preserve">安全卫生性能-阻燃性</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GB/T 26706-2025</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 17927-2024</w:t>
            </w:r>
            <w:r>
              <w:rPr>
                <w:highlight w:val="none"/>
              </w:rPr>
            </w:r>
            <w:r/>
          </w:p>
        </w:tc>
      </w:tr>
      <w:tr>
        <w:trPr>
          <w:cantSplit/>
          <w:trHeight w:val="665"/>
        </w:trPr>
        <w:tc>
          <w:tcPr>
            <w:tcW w:w="356" w:type="dxa"/>
            <w:vAlign w:val="center"/>
            <w:textDirection w:val="lrTb"/>
            <w:noWrap w:val="false"/>
          </w:tcPr>
          <w:p>
            <w:pPr>
              <w:pStyle w:val="728"/>
              <w:jc w:val="center"/>
              <w:spacing w:after="0"/>
              <w:rPr>
                <w:highlight w:val="none"/>
              </w:rPr>
            </w:pPr>
            <w:r>
              <w:rPr>
                <w:highlight w:val="none"/>
              </w:rPr>
              <w:t xml:space="preserve">4</w:t>
            </w:r>
            <w:r>
              <w:rPr>
                <w:highlight w:val="none"/>
              </w:rPr>
            </w:r>
            <w:r/>
          </w:p>
        </w:tc>
        <w:tc>
          <w:tcPr>
            <w:gridSpan w:val="2"/>
            <w:tcW w:w="2246" w:type="dxa"/>
            <w:vAlign w:val="center"/>
            <w:textDirection w:val="lrTb"/>
            <w:noWrap w:val="false"/>
          </w:tcPr>
          <w:p>
            <w:pPr>
              <w:pStyle w:val="728"/>
              <w:jc w:val="center"/>
              <w:spacing w:after="0"/>
              <w:rPr>
                <w:highlight w:val="none"/>
              </w:rPr>
            </w:pPr>
            <w:r>
              <w:rPr>
                <w:highlight w:val="none"/>
              </w:rPr>
              <w:t xml:space="preserve">理化性能-复合面料-面料-耐干摩擦色牢度</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GB/T 26706-2025</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GB/T 3920-2008</w:t>
            </w:r>
            <w:r>
              <w:rPr>
                <w:highlight w:val="none"/>
              </w:rPr>
            </w:r>
            <w:r/>
          </w:p>
        </w:tc>
      </w:tr>
      <w:tr>
        <w:trPr>
          <w:cantSplit/>
          <w:trHeight w:val="673"/>
        </w:trPr>
        <w:tc>
          <w:tcPr>
            <w:tcW w:w="356" w:type="dxa"/>
            <w:vAlign w:val="center"/>
            <w:textDirection w:val="lrTb"/>
            <w:noWrap w:val="false"/>
          </w:tcPr>
          <w:p>
            <w:pPr>
              <w:pStyle w:val="728"/>
              <w:jc w:val="center"/>
              <w:spacing w:after="0"/>
              <w:rPr>
                <w:highlight w:val="none"/>
              </w:rPr>
            </w:pPr>
            <w:r>
              <w:rPr>
                <w:highlight w:val="none"/>
              </w:rPr>
              <w:t xml:space="preserve">5</w:t>
            </w:r>
            <w:r>
              <w:rPr>
                <w:highlight w:val="none"/>
              </w:rPr>
            </w:r>
            <w:r/>
          </w:p>
        </w:tc>
        <w:tc>
          <w:tcPr>
            <w:gridSpan w:val="2"/>
            <w:tcW w:w="2246" w:type="dxa"/>
            <w:vAlign w:val="center"/>
            <w:textDirection w:val="lrTb"/>
            <w:noWrap w:val="false"/>
          </w:tcPr>
          <w:p>
            <w:pPr>
              <w:pStyle w:val="728"/>
              <w:jc w:val="center"/>
              <w:spacing w:after="0"/>
              <w:rPr>
                <w:highlight w:val="none"/>
              </w:rPr>
            </w:pPr>
            <w:r>
              <w:rPr>
                <w:highlight w:val="none"/>
              </w:rPr>
              <w:t xml:space="preserve">理化性能-芯料-棕纤维弹性材料含水率</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GB/T 26706-2025</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GB/T 26706-2025</w:t>
            </w:r>
            <w:r>
              <w:rPr>
                <w:highlight w:val="none"/>
              </w:rPr>
            </w:r>
            <w:r/>
          </w:p>
        </w:tc>
      </w:tr>
      <w:tr>
        <w:trPr>
          <w:cantSplit/>
          <w:trHeight w:val="454"/>
        </w:trPr>
        <w:tc>
          <w:tcPr>
            <w:tcW w:w="356" w:type="dxa"/>
            <w:vAlign w:val="center"/>
            <w:textDirection w:val="lrTb"/>
            <w:noWrap w:val="false"/>
          </w:tcPr>
          <w:p>
            <w:pPr>
              <w:pStyle w:val="728"/>
              <w:jc w:val="center"/>
              <w:spacing w:after="0"/>
              <w:rPr>
                <w:highlight w:val="none"/>
              </w:rPr>
            </w:pPr>
            <w:r>
              <w:rPr>
                <w:highlight w:val="none"/>
              </w:rPr>
              <w:t xml:space="preserve">6</w:t>
            </w:r>
            <w:r>
              <w:rPr>
                <w:highlight w:val="none"/>
              </w:rPr>
            </w:r>
            <w:r/>
          </w:p>
        </w:tc>
        <w:tc>
          <w:tcPr>
            <w:gridSpan w:val="2"/>
            <w:tcW w:w="2246" w:type="dxa"/>
            <w:vAlign w:val="center"/>
            <w:textDirection w:val="lrTb"/>
            <w:noWrap w:val="false"/>
          </w:tcPr>
          <w:p>
            <w:pPr>
              <w:pStyle w:val="728"/>
              <w:jc w:val="center"/>
              <w:spacing w:after="0"/>
              <w:rPr>
                <w:highlight w:val="none"/>
              </w:rPr>
            </w:pPr>
            <w:r>
              <w:rPr>
                <w:highlight w:val="none"/>
              </w:rPr>
              <w:t xml:space="preserve">耐久性要求</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GB/T 26706-2025</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GB/T 26706-2025</w:t>
            </w:r>
            <w:r>
              <w:rPr>
                <w:highlight w:val="none"/>
              </w:rPr>
            </w:r>
            <w:r/>
          </w:p>
        </w:tc>
      </w:tr>
      <w:tr>
        <w:trPr>
          <w:cantSplit/>
          <w:trHeight w:val="454"/>
        </w:trPr>
        <w:tc>
          <w:tcPr>
            <w:tcW w:w="356" w:type="dxa"/>
            <w:vAlign w:val="center"/>
            <w:textDirection w:val="lrTb"/>
            <w:noWrap w:val="false"/>
          </w:tcPr>
          <w:p>
            <w:pPr>
              <w:pStyle w:val="728"/>
              <w:jc w:val="center"/>
              <w:spacing w:after="0"/>
              <w:rPr>
                <w:highlight w:val="none"/>
              </w:rPr>
            </w:pPr>
            <w:r>
              <w:rPr>
                <w:highlight w:val="none"/>
              </w:rPr>
              <w:t xml:space="preserve">7</w:t>
            </w:r>
            <w:r>
              <w:rPr>
                <w:highlight w:val="none"/>
              </w:rPr>
            </w:r>
            <w:r/>
          </w:p>
        </w:tc>
        <w:tc>
          <w:tcPr>
            <w:tcW w:w="530" w:type="dxa"/>
            <w:vAlign w:val="center"/>
            <w:vMerge w:val="restart"/>
            <w:textDirection w:val="lrTb"/>
            <w:noWrap w:val="false"/>
          </w:tcPr>
          <w:p>
            <w:pPr>
              <w:pStyle w:val="728"/>
              <w:jc w:val="center"/>
              <w:spacing w:after="0"/>
              <w:rPr>
                <w:highlight w:val="none"/>
              </w:rPr>
            </w:pPr>
            <w:r>
              <w:rPr>
                <w:highlight w:val="none"/>
              </w:rPr>
              <w:t xml:space="preserve">有害物质限量</w:t>
            </w:r>
            <w:r>
              <w:rPr>
                <w:highlight w:val="none"/>
              </w:rPr>
            </w:r>
            <w:r/>
          </w:p>
        </w:tc>
        <w:tc>
          <w:tcPr>
            <w:tcW w:w="803" w:type="dxa"/>
            <w:vAlign w:val="center"/>
            <w:textDirection w:val="lrTb"/>
            <w:noWrap w:val="false"/>
          </w:tcPr>
          <w:p>
            <w:pPr>
              <w:pStyle w:val="728"/>
              <w:jc w:val="center"/>
              <w:spacing w:after="0"/>
              <w:rPr>
                <w:highlight w:val="none"/>
              </w:rPr>
            </w:pPr>
            <w:r>
              <w:rPr>
                <w:highlight w:val="none"/>
              </w:rPr>
              <w:t xml:space="preserve">甲醛</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cantSplit/>
          <w:trHeight w:val="454"/>
        </w:trPr>
        <w:tc>
          <w:tcPr>
            <w:tcW w:w="356" w:type="dxa"/>
            <w:vAlign w:val="center"/>
            <w:textDirection w:val="lrTb"/>
            <w:noWrap w:val="false"/>
          </w:tcPr>
          <w:p>
            <w:pPr>
              <w:pStyle w:val="728"/>
              <w:jc w:val="center"/>
              <w:spacing w:after="0"/>
              <w:rPr>
                <w:highlight w:val="none"/>
              </w:rPr>
            </w:pPr>
            <w:r>
              <w:rPr>
                <w:highlight w:val="none"/>
              </w:rPr>
              <w:t xml:space="preserve">8</w:t>
            </w:r>
            <w:r>
              <w:rPr>
                <w:highlight w:val="none"/>
              </w:rPr>
            </w:r>
            <w:r/>
          </w:p>
        </w:tc>
        <w:tc>
          <w:tcPr>
            <w:tcW w:w="530" w:type="dxa"/>
            <w:vAlign w:val="center"/>
            <w:vMerge w:val="continue"/>
            <w:textDirection w:val="lrTb"/>
            <w:noWrap w:val="false"/>
          </w:tcPr>
          <w:p>
            <w:pPr>
              <w:pStyle w:val="728"/>
              <w:jc w:val="center"/>
              <w:spacing w:after="0"/>
              <w:rPr>
                <w:highlight w:val="none"/>
              </w:rPr>
            </w:pPr>
            <w:r>
              <w:rPr>
                <w:highlight w:val="none"/>
              </w:rPr>
            </w:r>
            <w:r/>
          </w:p>
        </w:tc>
        <w:tc>
          <w:tcPr>
            <w:tcW w:w="803" w:type="dxa"/>
            <w:vAlign w:val="center"/>
            <w:textDirection w:val="lrTb"/>
            <w:noWrap w:val="false"/>
          </w:tcPr>
          <w:p>
            <w:pPr>
              <w:pStyle w:val="728"/>
              <w:jc w:val="center"/>
              <w:spacing w:after="0"/>
              <w:rPr>
                <w:highlight w:val="none"/>
              </w:rPr>
            </w:pPr>
            <w:r>
              <w:rPr>
                <w:highlight w:val="none"/>
              </w:rPr>
              <w:t xml:space="preserve">苯</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cantSplit/>
          <w:trHeight w:val="454"/>
        </w:trPr>
        <w:tc>
          <w:tcPr>
            <w:tcW w:w="356" w:type="dxa"/>
            <w:vAlign w:val="center"/>
            <w:textDirection w:val="lrTb"/>
            <w:noWrap w:val="false"/>
          </w:tcPr>
          <w:p>
            <w:pPr>
              <w:pStyle w:val="728"/>
              <w:jc w:val="center"/>
              <w:spacing w:after="0"/>
              <w:rPr>
                <w:highlight w:val="none"/>
              </w:rPr>
            </w:pPr>
            <w:r>
              <w:rPr>
                <w:highlight w:val="none"/>
              </w:rPr>
              <w:t xml:space="preserve">9</w:t>
            </w:r>
            <w:r>
              <w:rPr>
                <w:highlight w:val="none"/>
              </w:rPr>
            </w:r>
            <w:r/>
          </w:p>
        </w:tc>
        <w:tc>
          <w:tcPr>
            <w:tcW w:w="530" w:type="dxa"/>
            <w:vAlign w:val="center"/>
            <w:vMerge w:val="continue"/>
            <w:textDirection w:val="lrTb"/>
            <w:noWrap w:val="false"/>
          </w:tcPr>
          <w:p>
            <w:pPr>
              <w:pStyle w:val="728"/>
              <w:jc w:val="center"/>
              <w:spacing w:after="0"/>
              <w:rPr>
                <w:highlight w:val="none"/>
              </w:rPr>
            </w:pPr>
            <w:r>
              <w:rPr>
                <w:highlight w:val="none"/>
              </w:rPr>
            </w:r>
            <w:r/>
          </w:p>
        </w:tc>
        <w:tc>
          <w:tcPr>
            <w:tcW w:w="803" w:type="dxa"/>
            <w:vAlign w:val="center"/>
            <w:textDirection w:val="lrTb"/>
            <w:noWrap w:val="false"/>
          </w:tcPr>
          <w:p>
            <w:pPr>
              <w:pStyle w:val="728"/>
              <w:jc w:val="center"/>
              <w:spacing w:after="0"/>
              <w:rPr>
                <w:highlight w:val="none"/>
              </w:rPr>
            </w:pPr>
            <w:r>
              <w:rPr>
                <w:highlight w:val="none"/>
              </w:rPr>
              <w:t xml:space="preserve">甲苯</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cantSplit/>
          <w:trHeight w:val="724"/>
        </w:trPr>
        <w:tc>
          <w:tcPr>
            <w:tcW w:w="356" w:type="dxa"/>
            <w:vAlign w:val="center"/>
            <w:textDirection w:val="lrTb"/>
            <w:noWrap w:val="false"/>
          </w:tcPr>
          <w:p>
            <w:pPr>
              <w:pStyle w:val="728"/>
              <w:jc w:val="center"/>
              <w:spacing w:after="0"/>
              <w:rPr>
                <w:highlight w:val="none"/>
              </w:rPr>
            </w:pPr>
            <w:r>
              <w:rPr>
                <w:highlight w:val="none"/>
              </w:rPr>
              <w:t xml:space="preserve">10</w:t>
            </w:r>
            <w:r>
              <w:rPr>
                <w:highlight w:val="none"/>
              </w:rPr>
            </w:r>
            <w:r/>
          </w:p>
        </w:tc>
        <w:tc>
          <w:tcPr>
            <w:tcW w:w="530" w:type="dxa"/>
            <w:vAlign w:val="center"/>
            <w:vMerge w:val="continue"/>
            <w:textDirection w:val="lrTb"/>
            <w:noWrap w:val="false"/>
          </w:tcPr>
          <w:p>
            <w:pPr>
              <w:pStyle w:val="728"/>
              <w:jc w:val="center"/>
              <w:spacing w:after="0"/>
              <w:rPr>
                <w:highlight w:val="none"/>
              </w:rPr>
            </w:pPr>
            <w:r>
              <w:rPr>
                <w:highlight w:val="none"/>
              </w:rPr>
            </w:r>
            <w:r/>
          </w:p>
        </w:tc>
        <w:tc>
          <w:tcPr>
            <w:tcW w:w="803" w:type="dxa"/>
            <w:vAlign w:val="center"/>
            <w:textDirection w:val="lrTb"/>
            <w:noWrap w:val="false"/>
          </w:tcPr>
          <w:p>
            <w:pPr>
              <w:pStyle w:val="728"/>
              <w:jc w:val="center"/>
              <w:spacing w:after="0"/>
              <w:rPr>
                <w:highlight w:val="none"/>
              </w:rPr>
            </w:pPr>
            <w:r>
              <w:rPr>
                <w:highlight w:val="none"/>
              </w:rPr>
              <w:t xml:space="preserve">二甲苯（邻、间、对二甲苯之和）</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cantSplit/>
          <w:trHeight w:val="692"/>
        </w:trPr>
        <w:tc>
          <w:tcPr>
            <w:tcW w:w="356" w:type="dxa"/>
            <w:vAlign w:val="center"/>
            <w:textDirection w:val="lrTb"/>
            <w:noWrap w:val="false"/>
          </w:tcPr>
          <w:p>
            <w:pPr>
              <w:pStyle w:val="728"/>
              <w:jc w:val="center"/>
              <w:spacing w:after="0"/>
              <w:rPr>
                <w:highlight w:val="none"/>
              </w:rPr>
            </w:pPr>
            <w:r>
              <w:rPr>
                <w:highlight w:val="none"/>
              </w:rPr>
              <w:t xml:space="preserve">11</w:t>
            </w:r>
            <w:r>
              <w:rPr>
                <w:highlight w:val="none"/>
              </w:rPr>
            </w:r>
            <w:r/>
          </w:p>
        </w:tc>
        <w:tc>
          <w:tcPr>
            <w:tcW w:w="530" w:type="dxa"/>
            <w:vAlign w:val="center"/>
            <w:vMerge w:val="continue"/>
            <w:textDirection w:val="lrTb"/>
            <w:noWrap w:val="false"/>
          </w:tcPr>
          <w:p>
            <w:pPr>
              <w:pStyle w:val="728"/>
              <w:jc w:val="center"/>
              <w:spacing w:after="0"/>
              <w:rPr>
                <w:highlight w:val="none"/>
              </w:rPr>
            </w:pPr>
            <w:r>
              <w:rPr>
                <w:highlight w:val="none"/>
              </w:rPr>
            </w:r>
            <w:r/>
          </w:p>
        </w:tc>
        <w:tc>
          <w:tcPr>
            <w:tcW w:w="803" w:type="dxa"/>
            <w:vAlign w:val="center"/>
            <w:textDirection w:val="lrTb"/>
            <w:noWrap w:val="false"/>
          </w:tcPr>
          <w:p>
            <w:pPr>
              <w:pStyle w:val="728"/>
              <w:jc w:val="center"/>
              <w:spacing w:after="0"/>
              <w:rPr>
                <w:highlight w:val="none"/>
              </w:rPr>
            </w:pPr>
            <w:r>
              <w:rPr>
                <w:highlight w:val="none"/>
              </w:rPr>
              <w:t xml:space="preserve">总挥发性有机化合物（TVOC）</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cantSplit/>
          <w:trHeight w:val="702"/>
        </w:trPr>
        <w:tc>
          <w:tcPr>
            <w:tcW w:w="356" w:type="dxa"/>
            <w:vAlign w:val="center"/>
            <w:textDirection w:val="lrTb"/>
            <w:noWrap w:val="false"/>
          </w:tcPr>
          <w:p>
            <w:pPr>
              <w:pStyle w:val="728"/>
              <w:jc w:val="center"/>
              <w:spacing w:after="0"/>
              <w:rPr>
                <w:highlight w:val="none"/>
              </w:rPr>
            </w:pPr>
            <w:r>
              <w:rPr>
                <w:highlight w:val="none"/>
              </w:rPr>
              <w:t xml:space="preserve">12</w:t>
            </w:r>
            <w:r>
              <w:rPr>
                <w:highlight w:val="none"/>
              </w:rPr>
            </w:r>
            <w:r/>
          </w:p>
        </w:tc>
        <w:tc>
          <w:tcPr>
            <w:tcW w:w="530" w:type="dxa"/>
            <w:vAlign w:val="center"/>
            <w:vMerge w:val="continue"/>
            <w:textDirection w:val="lrTb"/>
            <w:noWrap w:val="false"/>
          </w:tcPr>
          <w:p>
            <w:pPr>
              <w:pStyle w:val="728"/>
              <w:jc w:val="center"/>
              <w:spacing w:after="0"/>
              <w:rPr>
                <w:highlight w:val="none"/>
              </w:rPr>
            </w:pPr>
            <w:r>
              <w:rPr>
                <w:highlight w:val="none"/>
              </w:rPr>
            </w:r>
            <w:r/>
          </w:p>
        </w:tc>
        <w:tc>
          <w:tcPr>
            <w:tcW w:w="803" w:type="dxa"/>
            <w:vAlign w:val="center"/>
            <w:textDirection w:val="lrTb"/>
            <w:noWrap w:val="false"/>
          </w:tcPr>
          <w:p>
            <w:pPr>
              <w:pStyle w:val="728"/>
              <w:jc w:val="center"/>
              <w:spacing w:after="0"/>
              <w:rPr>
                <w:highlight w:val="none"/>
              </w:rPr>
            </w:pPr>
            <w:r>
              <w:rPr>
                <w:highlight w:val="none"/>
              </w:rPr>
              <w:t xml:space="preserve">可分解芳香胺染料</w:t>
            </w:r>
            <w:r>
              <w:rPr>
                <w:highlight w:val="none"/>
              </w:rPr>
            </w:r>
            <w:r/>
          </w:p>
        </w:tc>
        <w:tc>
          <w:tcPr>
            <w:tcW w:w="1650"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0" w:type="dxa"/>
            <w:vAlign w:val="center"/>
            <w:textDirection w:val="lrTb"/>
            <w:noWrap w:val="false"/>
          </w:tcPr>
          <w:p>
            <w:pPr>
              <w:pStyle w:val="728"/>
              <w:jc w:val="center"/>
              <w:spacing w:after="0"/>
              <w:rPr>
                <w:highlight w:val="none"/>
              </w:rPr>
            </w:pPr>
            <w:r>
              <w:rPr>
                <w:highlight w:val="none"/>
              </w:rPr>
              <w:t xml:space="preserve">GB/T 40904-2021</w:t>
            </w:r>
            <w:r>
              <w:rPr>
                <w:highlight w:val="none"/>
              </w:rPr>
            </w:r>
            <w:r/>
          </w:p>
        </w:tc>
      </w:tr>
      <w:tr>
        <w:trPr>
          <w:cantSplit/>
          <w:trHeight w:val="454"/>
        </w:trPr>
        <w:tc>
          <w:tcPr>
            <w:gridSpan w:val="5"/>
            <w:tcW w:w="8425" w:type="dxa"/>
            <w:vAlign w:val="center"/>
            <w:textDirection w:val="lrTb"/>
            <w:noWrap w:val="false"/>
          </w:tcPr>
          <w:p>
            <w:pPr>
              <w:pStyle w:val="728"/>
              <w:spacing w:after="0"/>
              <w:rPr>
                <w:highlight w:val="none"/>
              </w:rPr>
            </w:pPr>
            <w:r>
              <w:rPr>
                <w:highlight w:val="none"/>
              </w:rPr>
              <w:t xml:space="preserve">注：1.外观性能的检验项目为GB/T 26706-2025表3中序号5、10～14、18～24。</w:t>
            </w:r>
            <w:r>
              <w:rPr>
                <w:highlight w:val="none"/>
              </w:rPr>
            </w:r>
            <w:r/>
          </w:p>
          <w:p>
            <w:pPr>
              <w:pStyle w:val="728"/>
              <w:spacing w:after="0"/>
              <w:rPr>
                <w:highlight w:val="none"/>
              </w:rPr>
            </w:pPr>
            <w:r>
              <w:rPr>
                <w:highlight w:val="none"/>
              </w:rPr>
              <w:t xml:space="preserve">2.安全卫生性能的检验项目为GB/T 26706-2025表3中序号26～31、34。</w:t>
            </w:r>
            <w:r>
              <w:rPr>
                <w:highlight w:val="none"/>
              </w:rPr>
            </w:r>
            <w:r/>
          </w:p>
        </w:tc>
      </w:tr>
    </w:tbl>
    <w:p>
      <w:pPr>
        <w:pStyle w:val="728"/>
        <w:rPr>
          <w:highlight w:val="none"/>
        </w:rPr>
      </w:pPr>
      <w:r>
        <w:rPr>
          <w:highlight w:val="none"/>
        </w:rPr>
        <w:t xml:space="preserve">办公椅产品</w:t>
      </w:r>
      <w:r>
        <w:rPr>
          <w:highlight w:val="none"/>
        </w:rPr>
      </w:r>
      <w:r/>
    </w:p>
    <w:tbl>
      <w:tblPr>
        <w:tblW w:w="494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124"/>
        <w:gridCol w:w="1719"/>
        <w:gridCol w:w="2187"/>
        <w:gridCol w:w="2800"/>
      </w:tblGrid>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序号</w:t>
            </w:r>
            <w:r>
              <w:rPr>
                <w:highlight w:val="none"/>
              </w:rPr>
            </w:r>
            <w:r/>
          </w:p>
        </w:tc>
        <w:tc>
          <w:tcPr>
            <w:gridSpan w:val="2"/>
            <w:tcW w:w="2843" w:type="dxa"/>
            <w:vAlign w:val="center"/>
            <w:textDirection w:val="lrTb"/>
            <w:noWrap w:val="false"/>
          </w:tcPr>
          <w:p>
            <w:pPr>
              <w:pStyle w:val="728"/>
              <w:jc w:val="center"/>
              <w:spacing w:after="0"/>
              <w:rPr>
                <w:highlight w:val="none"/>
              </w:rPr>
            </w:pPr>
            <w:r>
              <w:rPr>
                <w:highlight w:val="none"/>
              </w:rPr>
              <w:t xml:space="preserve">检验项目</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检验依据</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检验方法</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w:t>
            </w:r>
            <w:r>
              <w:rPr>
                <w:highlight w:val="none"/>
              </w:rPr>
            </w:r>
            <w:r/>
          </w:p>
        </w:tc>
        <w:tc>
          <w:tcPr>
            <w:tcW w:w="667" w:type="dxa"/>
            <w:vAlign w:val="center"/>
            <w:vMerge w:val="restart"/>
            <w:textDirection w:val="lrTb"/>
            <w:noWrap w:val="false"/>
          </w:tcPr>
          <w:p>
            <w:pPr>
              <w:pStyle w:val="728"/>
              <w:jc w:val="center"/>
              <w:spacing w:after="0"/>
              <w:rPr>
                <w:highlight w:val="none"/>
              </w:rPr>
            </w:pPr>
            <w:r>
              <w:rPr>
                <w:highlight w:val="none"/>
              </w:rPr>
              <w:t xml:space="preserve">软质聚氨酯泡沫塑料</w:t>
            </w: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密度</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GB/T 6343-2009</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2</w:t>
            </w:r>
            <w:r>
              <w:rPr>
                <w:highlight w:val="none"/>
              </w:rPr>
            </w:r>
            <w:r/>
          </w:p>
        </w:tc>
        <w:tc>
          <w:tcPr>
            <w:tcW w:w="667" w:type="dxa"/>
            <w:vAlign w:val="center"/>
            <w:vMerge w:val="continue"/>
            <w:textDirection w:val="lrTb"/>
            <w:noWrap w:val="false"/>
          </w:tcPr>
          <w:p>
            <w:pPr>
              <w:pStyle w:val="728"/>
              <w:jc w:val="center"/>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回弹性</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GB/T 6670-2008</w:t>
            </w:r>
            <w:r>
              <w:rPr>
                <w:highlight w:val="none"/>
              </w:rPr>
            </w:r>
            <w:r/>
          </w:p>
        </w:tc>
      </w:tr>
      <w:tr>
        <w:trPr>
          <w:cantSplit/>
          <w:trHeight w:val="465"/>
        </w:trPr>
        <w:tc>
          <w:tcPr>
            <w:tcW w:w="353" w:type="dxa"/>
            <w:vAlign w:val="center"/>
            <w:textDirection w:val="lrTb"/>
            <w:noWrap w:val="false"/>
          </w:tcPr>
          <w:p>
            <w:pPr>
              <w:pStyle w:val="728"/>
              <w:jc w:val="center"/>
              <w:spacing w:after="0"/>
              <w:rPr>
                <w:highlight w:val="none"/>
              </w:rPr>
            </w:pPr>
            <w:r>
              <w:rPr>
                <w:highlight w:val="none"/>
              </w:rPr>
              <w:t xml:space="preserve">3</w:t>
            </w:r>
            <w:r>
              <w:rPr>
                <w:highlight w:val="none"/>
              </w:rPr>
            </w:r>
            <w:r/>
          </w:p>
        </w:tc>
        <w:tc>
          <w:tcPr>
            <w:tcW w:w="667" w:type="dxa"/>
            <w:vAlign w:val="center"/>
            <w:vMerge w:val="continue"/>
            <w:textDirection w:val="lrTb"/>
            <w:noWrap w:val="false"/>
          </w:tcPr>
          <w:p>
            <w:pPr>
              <w:pStyle w:val="728"/>
              <w:jc w:val="center"/>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75%压缩永久变形</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GB/T 6669-2008</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4</w:t>
            </w:r>
            <w:r>
              <w:rPr>
                <w:highlight w:val="none"/>
              </w:rPr>
            </w:r>
            <w:r/>
          </w:p>
        </w:tc>
        <w:tc>
          <w:tcPr>
            <w:tcW w:w="667" w:type="dxa"/>
            <w:vAlign w:val="center"/>
            <w:vMerge w:val="restart"/>
            <w:textDirection w:val="lrTb"/>
            <w:noWrap w:val="false"/>
          </w:tcPr>
          <w:p>
            <w:pPr>
              <w:pStyle w:val="728"/>
              <w:jc w:val="center"/>
              <w:spacing w:after="0"/>
              <w:rPr>
                <w:highlight w:val="none"/>
              </w:rPr>
            </w:pPr>
            <w:r>
              <w:rPr>
                <w:highlight w:val="none"/>
              </w:rPr>
              <w:t xml:space="preserve">力学性能</w:t>
            </w: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稳定性</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GB/T 10357.2-2013</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5</w:t>
            </w:r>
            <w:r>
              <w:rPr>
                <w:highlight w:val="none"/>
              </w:rPr>
            </w:r>
            <w:r/>
          </w:p>
        </w:tc>
        <w:tc>
          <w:tcPr>
            <w:tcW w:w="667" w:type="dxa"/>
            <w:vAlign w:val="center"/>
            <w:vMerge w:val="continue"/>
            <w:textDirection w:val="lrTb"/>
            <w:noWrap w:val="false"/>
          </w:tcPr>
          <w:p>
            <w:pPr>
              <w:pStyle w:val="728"/>
              <w:jc w:val="center"/>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座面冲击</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6</w:t>
            </w:r>
            <w:r>
              <w:rPr>
                <w:highlight w:val="none"/>
              </w:rPr>
            </w:r>
            <w:r/>
          </w:p>
        </w:tc>
        <w:tc>
          <w:tcPr>
            <w:tcW w:w="667" w:type="dxa"/>
            <w:vAlign w:val="center"/>
            <w:vMerge w:val="continue"/>
            <w:textDirection w:val="lrTb"/>
            <w:noWrap w:val="false"/>
          </w:tcPr>
          <w:p>
            <w:pPr>
              <w:pStyle w:val="728"/>
              <w:jc w:val="center"/>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底座静载荷</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7</w:t>
            </w:r>
            <w:r>
              <w:rPr>
                <w:highlight w:val="none"/>
              </w:rPr>
            </w:r>
            <w:r/>
          </w:p>
        </w:tc>
        <w:tc>
          <w:tcPr>
            <w:tcW w:w="667" w:type="dxa"/>
            <w:vAlign w:val="center"/>
            <w:vMerge w:val="restart"/>
            <w:textDirection w:val="lrTb"/>
            <w:noWrap w:val="false"/>
          </w:tcPr>
          <w:p>
            <w:pPr>
              <w:pStyle w:val="728"/>
              <w:jc w:val="center"/>
              <w:spacing w:after="0"/>
              <w:rPr>
                <w:highlight w:val="none"/>
              </w:rPr>
            </w:pPr>
            <w:r>
              <w:rPr>
                <w:highlight w:val="none"/>
              </w:rPr>
              <w:t xml:space="preserve">安全性</w:t>
            </w: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基本安全</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8</w:t>
            </w:r>
            <w:r>
              <w:rPr>
                <w:highlight w:val="none"/>
              </w:rPr>
            </w:r>
            <w:r/>
          </w:p>
        </w:tc>
        <w:tc>
          <w:tcPr>
            <w:tcW w:w="667" w:type="dxa"/>
            <w:vAlign w:val="center"/>
            <w:vMerge w:val="continue"/>
            <w:textDirection w:val="lrTb"/>
            <w:noWrap w:val="false"/>
          </w:tcPr>
          <w:p>
            <w:pPr>
              <w:pStyle w:val="728"/>
              <w:jc w:val="center"/>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密封性能</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QB/T 2280-2016</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9</w:t>
            </w:r>
            <w:r>
              <w:rPr>
                <w:highlight w:val="none"/>
              </w:rPr>
            </w:r>
            <w:r/>
          </w:p>
        </w:tc>
        <w:tc>
          <w:tcPr>
            <w:gridSpan w:val="2"/>
            <w:tcW w:w="2843" w:type="dxa"/>
            <w:vAlign w:val="center"/>
            <w:textDirection w:val="lrTb"/>
            <w:noWrap w:val="false"/>
          </w:tcPr>
          <w:p>
            <w:pPr>
              <w:pStyle w:val="728"/>
              <w:jc w:val="center"/>
              <w:spacing w:after="0"/>
              <w:rPr>
                <w:highlight w:val="none"/>
              </w:rPr>
            </w:pPr>
            <w:r>
              <w:rPr>
                <w:highlight w:val="none"/>
              </w:rPr>
              <w:t xml:space="preserve">结构安全性</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28008-2024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28008-2024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10</w:t>
            </w:r>
            <w:r>
              <w:rPr>
                <w:highlight w:val="none"/>
              </w:rPr>
            </w:r>
            <w:r/>
          </w:p>
        </w:tc>
        <w:tc>
          <w:tcPr>
            <w:gridSpan w:val="2"/>
            <w:tcW w:w="2843" w:type="dxa"/>
            <w:vAlign w:val="center"/>
            <w:textDirection w:val="lrTb"/>
            <w:noWrap w:val="false"/>
          </w:tcPr>
          <w:p>
            <w:pPr>
              <w:pStyle w:val="728"/>
              <w:jc w:val="center"/>
              <w:spacing w:after="0"/>
              <w:rPr>
                <w:highlight w:val="none"/>
              </w:rPr>
            </w:pPr>
            <w:r>
              <w:rPr>
                <w:highlight w:val="none"/>
              </w:rPr>
              <w:t xml:space="preserve">阻燃性</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17927-2024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17927-2024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11</w:t>
            </w:r>
            <w:r>
              <w:rPr>
                <w:highlight w:val="none"/>
              </w:rPr>
            </w:r>
            <w:r/>
          </w:p>
        </w:tc>
        <w:tc>
          <w:tcPr>
            <w:gridSpan w:val="2"/>
            <w:tcW w:w="2843" w:type="dxa"/>
            <w:vAlign w:val="center"/>
            <w:textDirection w:val="lrTb"/>
            <w:noWrap w:val="false"/>
          </w:tcPr>
          <w:p>
            <w:pPr>
              <w:pStyle w:val="728"/>
              <w:jc w:val="center"/>
              <w:spacing w:after="0"/>
              <w:rPr>
                <w:highlight w:val="none"/>
              </w:rPr>
            </w:pPr>
            <w:r>
              <w:rPr>
                <w:highlight w:val="none"/>
              </w:rPr>
              <w:t xml:space="preserve">甲醛</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18584-2024 </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12</w:t>
            </w:r>
            <w:r>
              <w:rPr>
                <w:highlight w:val="none"/>
              </w:rPr>
            </w:r>
            <w:r/>
          </w:p>
        </w:tc>
        <w:tc>
          <w:tcPr>
            <w:gridSpan w:val="2"/>
            <w:tcW w:w="2843" w:type="dxa"/>
            <w:vAlign w:val="center"/>
            <w:textDirection w:val="lrTb"/>
            <w:noWrap w:val="false"/>
          </w:tcPr>
          <w:p>
            <w:pPr>
              <w:pStyle w:val="728"/>
              <w:jc w:val="center"/>
              <w:spacing w:after="0"/>
              <w:rPr>
                <w:highlight w:val="none"/>
              </w:rPr>
            </w:pPr>
            <w:r>
              <w:rPr>
                <w:highlight w:val="none"/>
              </w:rPr>
              <w:t xml:space="preserve">苯</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13</w:t>
            </w:r>
            <w:r>
              <w:rPr>
                <w:highlight w:val="none"/>
              </w:rPr>
            </w:r>
            <w:r/>
          </w:p>
        </w:tc>
        <w:tc>
          <w:tcPr>
            <w:gridSpan w:val="2"/>
            <w:tcW w:w="2843" w:type="dxa"/>
            <w:vAlign w:val="center"/>
            <w:textDirection w:val="lrTb"/>
            <w:noWrap w:val="false"/>
          </w:tcPr>
          <w:p>
            <w:pPr>
              <w:pStyle w:val="728"/>
              <w:jc w:val="center"/>
              <w:spacing w:after="0"/>
              <w:rPr>
                <w:highlight w:val="none"/>
              </w:rPr>
            </w:pPr>
            <w:r>
              <w:rPr>
                <w:highlight w:val="none"/>
              </w:rPr>
              <w:t xml:space="preserve">甲苯</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14</w:t>
            </w:r>
            <w:r>
              <w:rPr>
                <w:highlight w:val="none"/>
              </w:rPr>
            </w:r>
            <w:r/>
          </w:p>
        </w:tc>
        <w:tc>
          <w:tcPr>
            <w:gridSpan w:val="2"/>
            <w:tcW w:w="2843" w:type="dxa"/>
            <w:vAlign w:val="center"/>
            <w:textDirection w:val="lrTb"/>
            <w:noWrap w:val="false"/>
          </w:tcPr>
          <w:p>
            <w:pPr>
              <w:pStyle w:val="728"/>
              <w:jc w:val="center"/>
              <w:spacing w:after="0"/>
              <w:rPr>
                <w:highlight w:val="none"/>
              </w:rPr>
            </w:pPr>
            <w:r>
              <w:rPr>
                <w:highlight w:val="none"/>
              </w:rPr>
              <w:t xml:space="preserve">二甲苯（邻、间、对二甲苯之和）</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15</w:t>
            </w:r>
            <w:r>
              <w:rPr>
                <w:highlight w:val="none"/>
              </w:rPr>
            </w:r>
            <w:r/>
          </w:p>
        </w:tc>
        <w:tc>
          <w:tcPr>
            <w:gridSpan w:val="2"/>
            <w:tcW w:w="2843" w:type="dxa"/>
            <w:vAlign w:val="center"/>
            <w:textDirection w:val="lrTb"/>
            <w:noWrap w:val="false"/>
          </w:tcPr>
          <w:p>
            <w:pPr>
              <w:pStyle w:val="728"/>
              <w:jc w:val="center"/>
              <w:spacing w:after="0"/>
              <w:rPr>
                <w:highlight w:val="none"/>
              </w:rPr>
            </w:pPr>
            <w:r>
              <w:rPr>
                <w:highlight w:val="none"/>
              </w:rPr>
              <w:t xml:space="preserve">总挥发性有机化合物（TVOC）</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16</w:t>
            </w:r>
            <w:r>
              <w:rPr>
                <w:highlight w:val="none"/>
              </w:rPr>
            </w:r>
            <w:r/>
          </w:p>
        </w:tc>
        <w:tc>
          <w:tcPr>
            <w:tcW w:w="667" w:type="dxa"/>
            <w:vAlign w:val="center"/>
            <w:vMerge w:val="restart"/>
            <w:textDirection w:val="lrTb"/>
            <w:noWrap w:val="false"/>
          </w:tcPr>
          <w:p>
            <w:pPr>
              <w:pStyle w:val="728"/>
              <w:jc w:val="center"/>
              <w:spacing w:after="0"/>
              <w:rPr>
                <w:highlight w:val="none"/>
              </w:rPr>
            </w:pPr>
            <w:r>
              <w:rPr>
                <w:highlight w:val="none"/>
              </w:rPr>
              <w:t xml:space="preserve">可迁移有害元素（仅适用于色漆涂层）</w:t>
            </w: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锑（Sb）</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17</w:t>
            </w:r>
            <w:r>
              <w:rPr>
                <w:highlight w:val="none"/>
              </w:rPr>
            </w:r>
            <w:r/>
          </w:p>
        </w:tc>
        <w:tc>
          <w:tcPr>
            <w:tcW w:w="667" w:type="dxa"/>
            <w:vAlign w:val="center"/>
            <w:vMerge w:val="continue"/>
            <w:textDirection w:val="lrTb"/>
            <w:noWrap w:val="false"/>
          </w:tcPr>
          <w:p>
            <w:pPr>
              <w:pStyle w:val="728"/>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砷（As）</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18</w:t>
            </w:r>
            <w:r>
              <w:rPr>
                <w:highlight w:val="none"/>
              </w:rPr>
            </w:r>
            <w:r/>
          </w:p>
        </w:tc>
        <w:tc>
          <w:tcPr>
            <w:tcW w:w="667" w:type="dxa"/>
            <w:vAlign w:val="center"/>
            <w:vMerge w:val="continue"/>
            <w:textDirection w:val="lrTb"/>
            <w:noWrap w:val="false"/>
          </w:tcPr>
          <w:p>
            <w:pPr>
              <w:pStyle w:val="728"/>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钡（Ba）</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19</w:t>
            </w:r>
            <w:r>
              <w:rPr>
                <w:highlight w:val="none"/>
              </w:rPr>
            </w:r>
            <w:r/>
          </w:p>
        </w:tc>
        <w:tc>
          <w:tcPr>
            <w:tcW w:w="667" w:type="dxa"/>
            <w:vAlign w:val="center"/>
            <w:vMerge w:val="continue"/>
            <w:textDirection w:val="lrTb"/>
            <w:noWrap w:val="false"/>
          </w:tcPr>
          <w:p>
            <w:pPr>
              <w:pStyle w:val="728"/>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镉（Cd）</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20</w:t>
            </w:r>
            <w:r>
              <w:rPr>
                <w:highlight w:val="none"/>
              </w:rPr>
            </w:r>
            <w:r/>
          </w:p>
        </w:tc>
        <w:tc>
          <w:tcPr>
            <w:tcW w:w="667" w:type="dxa"/>
            <w:vAlign w:val="center"/>
            <w:vMerge w:val="continue"/>
            <w:textDirection w:val="lrTb"/>
            <w:noWrap w:val="false"/>
          </w:tcPr>
          <w:p>
            <w:pPr>
              <w:pStyle w:val="728"/>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铬（Cr）</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21</w:t>
            </w:r>
            <w:r>
              <w:rPr>
                <w:highlight w:val="none"/>
              </w:rPr>
            </w:r>
            <w:r/>
          </w:p>
        </w:tc>
        <w:tc>
          <w:tcPr>
            <w:tcW w:w="667" w:type="dxa"/>
            <w:vAlign w:val="center"/>
            <w:vMerge w:val="continue"/>
            <w:textDirection w:val="lrTb"/>
            <w:noWrap w:val="false"/>
          </w:tcPr>
          <w:p>
            <w:pPr>
              <w:pStyle w:val="728"/>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铅（Pb）</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22</w:t>
            </w:r>
            <w:r>
              <w:rPr>
                <w:highlight w:val="none"/>
              </w:rPr>
            </w:r>
            <w:r/>
          </w:p>
        </w:tc>
        <w:tc>
          <w:tcPr>
            <w:tcW w:w="667" w:type="dxa"/>
            <w:vAlign w:val="center"/>
            <w:vMerge w:val="continue"/>
            <w:textDirection w:val="lrTb"/>
            <w:noWrap w:val="false"/>
          </w:tcPr>
          <w:p>
            <w:pPr>
              <w:pStyle w:val="728"/>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汞（Hg）</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23</w:t>
            </w:r>
            <w:r>
              <w:rPr>
                <w:highlight w:val="none"/>
              </w:rPr>
            </w:r>
            <w:r/>
          </w:p>
        </w:tc>
        <w:tc>
          <w:tcPr>
            <w:tcW w:w="667" w:type="dxa"/>
            <w:vAlign w:val="center"/>
            <w:vMerge w:val="continue"/>
            <w:textDirection w:val="lrTb"/>
            <w:noWrap w:val="false"/>
          </w:tcPr>
          <w:p>
            <w:pPr>
              <w:pStyle w:val="728"/>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硒（Se）</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 6675.4-2014</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24</w:t>
            </w:r>
            <w:r>
              <w:rPr>
                <w:highlight w:val="none"/>
              </w:rPr>
            </w:r>
            <w:r/>
          </w:p>
        </w:tc>
        <w:tc>
          <w:tcPr>
            <w:gridSpan w:val="2"/>
            <w:tcW w:w="2843" w:type="dxa"/>
            <w:vAlign w:val="center"/>
            <w:textDirection w:val="lrTb"/>
            <w:noWrap w:val="false"/>
          </w:tcPr>
          <w:p>
            <w:pPr>
              <w:pStyle w:val="728"/>
              <w:jc w:val="center"/>
              <w:spacing w:after="0"/>
              <w:rPr>
                <w:highlight w:val="none"/>
              </w:rPr>
            </w:pPr>
            <w:r>
              <w:rPr>
                <w:highlight w:val="none"/>
              </w:rPr>
              <w:t xml:space="preserve">邻苯二甲酸酯</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GB/T 40906-2021</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25</w:t>
            </w:r>
            <w:r>
              <w:rPr>
                <w:highlight w:val="none"/>
              </w:rPr>
            </w:r>
            <w:r/>
          </w:p>
        </w:tc>
        <w:tc>
          <w:tcPr>
            <w:tcW w:w="667" w:type="dxa"/>
            <w:vAlign w:val="center"/>
            <w:vMerge w:val="restart"/>
            <w:textDirection w:val="lrTb"/>
            <w:noWrap w:val="false"/>
          </w:tcPr>
          <w:p>
            <w:pPr>
              <w:pStyle w:val="728"/>
              <w:jc w:val="center"/>
              <w:spacing w:after="0"/>
              <w:rPr>
                <w:highlight w:val="none"/>
              </w:rPr>
            </w:pPr>
            <w:r>
              <w:rPr>
                <w:highlight w:val="none"/>
              </w:rPr>
              <w:t xml:space="preserve">多环芳烃</w:t>
            </w: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苯并[α]芘</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GB/T 40971-2021</w:t>
            </w:r>
            <w:r>
              <w:rPr>
                <w:highlight w:val="none"/>
              </w:rPr>
            </w:r>
            <w:r/>
          </w:p>
        </w:tc>
      </w:tr>
      <w:tr>
        <w:trPr>
          <w:cantSplit/>
          <w:trHeight w:val="666"/>
        </w:trPr>
        <w:tc>
          <w:tcPr>
            <w:tcW w:w="353" w:type="dxa"/>
            <w:vAlign w:val="center"/>
            <w:textDirection w:val="lrTb"/>
            <w:noWrap w:val="false"/>
          </w:tcPr>
          <w:p>
            <w:pPr>
              <w:pStyle w:val="728"/>
              <w:jc w:val="center"/>
              <w:spacing w:after="0"/>
              <w:rPr>
                <w:highlight w:val="none"/>
              </w:rPr>
            </w:pPr>
            <w:r>
              <w:rPr>
                <w:highlight w:val="none"/>
              </w:rPr>
              <w:t xml:space="preserve">26</w:t>
            </w:r>
            <w:r>
              <w:rPr>
                <w:highlight w:val="none"/>
              </w:rPr>
            </w:r>
            <w:r/>
          </w:p>
        </w:tc>
        <w:tc>
          <w:tcPr>
            <w:tcW w:w="667" w:type="dxa"/>
            <w:vAlign w:val="center"/>
            <w:vMerge w:val="continue"/>
            <w:textDirection w:val="lrTb"/>
            <w:noWrap w:val="false"/>
          </w:tcPr>
          <w:p>
            <w:pPr>
              <w:pStyle w:val="728"/>
              <w:jc w:val="center"/>
              <w:spacing w:after="0"/>
              <w:rPr>
                <w:highlight w:val="none"/>
              </w:rPr>
            </w:pPr>
            <w:r>
              <w:rPr>
                <w:highlight w:val="none"/>
              </w:rPr>
            </w:r>
            <w:r/>
          </w:p>
        </w:tc>
        <w:tc>
          <w:tcPr>
            <w:tcW w:w="1020" w:type="dxa"/>
            <w:vAlign w:val="center"/>
            <w:textDirection w:val="lrTb"/>
            <w:noWrap w:val="false"/>
          </w:tcPr>
          <w:p>
            <w:pPr>
              <w:pStyle w:val="728"/>
              <w:jc w:val="center"/>
              <w:spacing w:after="0"/>
              <w:rPr>
                <w:highlight w:val="none"/>
              </w:rPr>
            </w:pPr>
            <w:r>
              <w:rPr>
                <w:highlight w:val="none"/>
              </w:rPr>
              <w:t xml:space="preserve">18种多环芳烃（PAH）总量</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GB/T 40971-2021</w:t>
            </w:r>
            <w:r>
              <w:rPr>
                <w:highlight w:val="none"/>
              </w:rPr>
            </w:r>
            <w:r/>
          </w:p>
        </w:tc>
      </w:tr>
      <w:tr>
        <w:trPr>
          <w:cantSplit/>
          <w:trHeight w:val="454"/>
        </w:trPr>
        <w:tc>
          <w:tcPr>
            <w:tcW w:w="353" w:type="dxa"/>
            <w:vAlign w:val="center"/>
            <w:textDirection w:val="lrTb"/>
            <w:noWrap w:val="false"/>
          </w:tcPr>
          <w:p>
            <w:pPr>
              <w:pStyle w:val="728"/>
              <w:jc w:val="center"/>
              <w:spacing w:after="0"/>
              <w:rPr>
                <w:highlight w:val="none"/>
              </w:rPr>
            </w:pPr>
            <w:r>
              <w:rPr>
                <w:highlight w:val="none"/>
              </w:rPr>
              <w:t xml:space="preserve">27</w:t>
            </w:r>
            <w:r>
              <w:rPr>
                <w:highlight w:val="none"/>
              </w:rPr>
            </w:r>
            <w:r/>
          </w:p>
        </w:tc>
        <w:tc>
          <w:tcPr>
            <w:gridSpan w:val="2"/>
            <w:tcW w:w="2843" w:type="dxa"/>
            <w:vAlign w:val="center"/>
            <w:textDirection w:val="lrTb"/>
            <w:noWrap w:val="false"/>
          </w:tcPr>
          <w:p>
            <w:pPr>
              <w:pStyle w:val="728"/>
              <w:jc w:val="center"/>
              <w:spacing w:after="0"/>
              <w:rPr>
                <w:highlight w:val="none"/>
              </w:rPr>
            </w:pPr>
            <w:r>
              <w:rPr>
                <w:highlight w:val="none"/>
              </w:rPr>
              <w:t xml:space="preserve">可分解芳香胺染料</w:t>
            </w:r>
            <w:r>
              <w:rPr>
                <w:highlight w:val="none"/>
              </w:rPr>
            </w:r>
            <w:r/>
          </w:p>
        </w:tc>
        <w:tc>
          <w:tcPr>
            <w:tcW w:w="1298" w:type="dxa"/>
            <w:vAlign w:val="center"/>
            <w:textDirection w:val="lrTb"/>
            <w:noWrap w:val="false"/>
          </w:tcPr>
          <w:p>
            <w:pPr>
              <w:pStyle w:val="728"/>
              <w:jc w:val="center"/>
              <w:spacing w:after="0"/>
              <w:rPr>
                <w:highlight w:val="none"/>
              </w:rPr>
            </w:pPr>
            <w:r>
              <w:rPr>
                <w:highlight w:val="none"/>
              </w:rPr>
              <w:t xml:space="preserve">GB 18584-2024</w:t>
            </w:r>
            <w:r>
              <w:rPr>
                <w:highlight w:val="none"/>
              </w:rPr>
            </w:r>
            <w:r/>
          </w:p>
        </w:tc>
        <w:tc>
          <w:tcPr>
            <w:tcW w:w="1662" w:type="dxa"/>
            <w:vAlign w:val="center"/>
            <w:textDirection w:val="lrTb"/>
            <w:noWrap w:val="false"/>
          </w:tcPr>
          <w:p>
            <w:pPr>
              <w:pStyle w:val="728"/>
              <w:jc w:val="center"/>
              <w:spacing w:after="0"/>
              <w:rPr>
                <w:highlight w:val="none"/>
              </w:rPr>
            </w:pPr>
            <w:r>
              <w:rPr>
                <w:highlight w:val="none"/>
              </w:rPr>
              <w:t xml:space="preserve">GB/T 40904-2021</w:t>
            </w:r>
            <w:r>
              <w:rPr>
                <w:highlight w:val="none"/>
              </w:rPr>
            </w:r>
            <w:r/>
          </w:p>
        </w:tc>
      </w:tr>
      <w:tr>
        <w:trPr>
          <w:cantSplit/>
          <w:trHeight w:val="454"/>
        </w:trPr>
        <w:tc>
          <w:tcPr>
            <w:gridSpan w:val="5"/>
            <w:tcW w:w="8425" w:type="dxa"/>
            <w:vAlign w:val="center"/>
            <w:textDirection w:val="lrTb"/>
            <w:noWrap w:val="false"/>
          </w:tcPr>
          <w:p>
            <w:pPr>
              <w:pStyle w:val="728"/>
              <w:spacing w:after="0"/>
              <w:rPr>
                <w:highlight w:val="none"/>
              </w:rPr>
            </w:pPr>
            <w:r>
              <w:rPr>
                <w:highlight w:val="none"/>
              </w:rPr>
              <w:t xml:space="preserve">注：如未标注产品使用场所，阻燃性按家庭用进行检验并判定。</w:t>
            </w:r>
            <w:r>
              <w:rPr>
                <w:highlight w:val="none"/>
              </w:rPr>
            </w:r>
            <w:r/>
          </w:p>
        </w:tc>
      </w:tr>
    </w:tbl>
    <w:p>
      <w:pPr>
        <w:pStyle w:val="728"/>
        <w:rPr>
          <w:b/>
          <w:bCs/>
          <w:sz w:val="32"/>
          <w:szCs w:val="32"/>
          <w:highlight w:val="none"/>
        </w:rPr>
      </w:pPr>
      <w:r>
        <w:rPr>
          <w:b/>
          <w:bCs/>
          <w:sz w:val="32"/>
          <w:szCs w:val="32"/>
          <w:highlight w:val="none"/>
        </w:rPr>
      </w:r>
      <w:r/>
    </w:p>
    <w:p>
      <w:pPr>
        <w:pStyle w:val="728"/>
        <w:rPr>
          <w:sz w:val="21"/>
          <w:szCs w:val="21"/>
          <w:highlight w:val="none"/>
        </w:rPr>
      </w:pPr>
      <w:r>
        <w:rPr>
          <w:highlight w:val="none"/>
        </w:rPr>
        <w:br w:type="page" w:clear="all"/>
      </w:r>
      <w:r>
        <w:rPr>
          <w:rFonts w:hint="eastAsia"/>
          <w:sz w:val="21"/>
          <w:szCs w:val="21"/>
          <w:highlight w:val="none"/>
        </w:rPr>
        <w:t xml:space="preserve">沙发产品</w:t>
      </w:r>
      <w:r>
        <w:rPr>
          <w:sz w:val="21"/>
          <w:szCs w:val="21"/>
          <w:highlight w:val="none"/>
        </w:rPr>
      </w:r>
      <w:r/>
    </w:p>
    <w:tbl>
      <w:tblPr>
        <w:tblW w:w="4998" w:type="pct"/>
        <w:tblInd w:w="1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301"/>
        <w:gridCol w:w="2172"/>
        <w:gridCol w:w="2099"/>
        <w:gridCol w:w="2243"/>
      </w:tblGrid>
      <w:tr>
        <w:trPr>
          <w:cantSplit/>
          <w:trHeight w:val="454"/>
          <w:tblHeader/>
        </w:trPr>
        <w:tc>
          <w:tcPr>
            <w:tcW w:w="830"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序号</w:t>
            </w:r>
            <w:r>
              <w:rPr>
                <w:sz w:val="21"/>
                <w:szCs w:val="21"/>
                <w:highlight w:val="none"/>
              </w:rPr>
            </w:r>
            <w:r/>
          </w:p>
        </w:tc>
        <w:tc>
          <w:tcPr>
            <w:gridSpan w:val="2"/>
            <w:tcW w:w="4113"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检验项目</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检验依据</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检验方法</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w:t>
            </w:r>
            <w:r>
              <w:rPr>
                <w:sz w:val="21"/>
                <w:szCs w:val="21"/>
                <w:highlight w:val="none"/>
              </w:rPr>
            </w:r>
            <w:r/>
          </w:p>
        </w:tc>
        <w:tc>
          <w:tcPr>
            <w:tcW w:w="1506" w:type="dxa"/>
            <w:vAlign w:val="center"/>
            <w:vMerge w:val="restart"/>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产品用料、加工</w:t>
            </w: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木制件</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2</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金属件</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3</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铺垫料</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739"/>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4</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泡沫塑料</w:t>
            </w:r>
            <w:r>
              <w:rPr>
                <w:sz w:val="21"/>
                <w:szCs w:val="21"/>
                <w:highlight w:val="none"/>
              </w:rPr>
              <w:t xml:space="preserve">—</w:t>
            </w:r>
            <w:r>
              <w:rPr>
                <w:rFonts w:hint="eastAsia"/>
                <w:sz w:val="21"/>
                <w:szCs w:val="21"/>
                <w:highlight w:val="none"/>
              </w:rPr>
              <w:t xml:space="preserve">表观密度</w:t>
            </w:r>
            <w:r>
              <w:rPr>
                <w:sz w:val="21"/>
                <w:szCs w:val="21"/>
                <w:highlight w:val="none"/>
              </w:rPr>
              <w:t xml:space="preserve">/</w:t>
            </w:r>
            <w:r>
              <w:rPr>
                <w:rFonts w:hint="eastAsia"/>
                <w:sz w:val="21"/>
                <w:szCs w:val="21"/>
                <w:highlight w:val="none"/>
              </w:rPr>
              <w:t xml:space="preserve">座面</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6343—2009</w:t>
            </w:r>
            <w:r>
              <w:rPr>
                <w:sz w:val="21"/>
                <w:szCs w:val="21"/>
                <w:highlight w:val="none"/>
              </w:rPr>
            </w:r>
            <w:r/>
          </w:p>
        </w:tc>
      </w:tr>
      <w:tr>
        <w:trPr>
          <w:cantSplit/>
          <w:trHeight w:val="646"/>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5</w:t>
            </w:r>
            <w:r>
              <w:rPr>
                <w:sz w:val="21"/>
                <w:szCs w:val="21"/>
                <w:highlight w:val="none"/>
              </w:rPr>
            </w:r>
            <w:r/>
          </w:p>
        </w:tc>
        <w:tc>
          <w:tcPr>
            <w:tcW w:w="1506" w:type="dxa"/>
            <w:vAlign w:val="center"/>
            <w:vMerge w:val="restart"/>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产品用料、加工</w:t>
            </w: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泡沫塑料</w:t>
            </w:r>
            <w:r>
              <w:rPr>
                <w:sz w:val="21"/>
                <w:szCs w:val="21"/>
                <w:highlight w:val="none"/>
              </w:rPr>
              <w:t xml:space="preserve">—</w:t>
            </w:r>
            <w:r>
              <w:rPr>
                <w:rFonts w:hint="eastAsia"/>
                <w:sz w:val="21"/>
                <w:szCs w:val="21"/>
                <w:highlight w:val="none"/>
              </w:rPr>
              <w:t xml:space="preserve">回弹性能（慢回弹泡沫塑料除外）</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6670-2008</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6</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泡沫塑料</w:t>
            </w:r>
            <w:r>
              <w:rPr>
                <w:sz w:val="21"/>
                <w:szCs w:val="21"/>
                <w:highlight w:val="none"/>
              </w:rPr>
              <w:t xml:space="preserve">—</w:t>
            </w:r>
            <w:r>
              <w:rPr>
                <w:rFonts w:hint="eastAsia"/>
                <w:sz w:val="21"/>
                <w:szCs w:val="21"/>
                <w:highlight w:val="none"/>
              </w:rPr>
              <w:t xml:space="preserve">压缩永久变形</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6669-2008</w:t>
            </w:r>
            <w:r>
              <w:rPr>
                <w:sz w:val="21"/>
                <w:szCs w:val="21"/>
                <w:highlight w:val="none"/>
              </w:rPr>
            </w:r>
            <w:r/>
          </w:p>
        </w:tc>
      </w:tr>
      <w:tr>
        <w:trPr>
          <w:cantSplit/>
          <w:trHeight w:val="661"/>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7</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泡沫塑料</w:t>
            </w:r>
            <w:r>
              <w:rPr>
                <w:sz w:val="21"/>
                <w:szCs w:val="21"/>
                <w:highlight w:val="none"/>
              </w:rPr>
              <w:t xml:space="preserve">—</w:t>
            </w:r>
            <w:r>
              <w:rPr>
                <w:rFonts w:hint="eastAsia"/>
                <w:sz w:val="21"/>
                <w:szCs w:val="21"/>
                <w:highlight w:val="none"/>
              </w:rPr>
              <w:t xml:space="preserve">再生黏合泡沫塑料</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8</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防锈处理</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9</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摩擦声</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10</w:t>
            </w:r>
            <w:r>
              <w:rPr>
                <w:sz w:val="21"/>
                <w:szCs w:val="21"/>
                <w:highlight w:val="none"/>
              </w:rPr>
            </w:r>
            <w:r/>
          </w:p>
        </w:tc>
        <w:tc>
          <w:tcPr>
            <w:tcW w:w="1506" w:type="dxa"/>
            <w:vAlign w:val="center"/>
            <w:vMerge w:val="restart"/>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表面涂层理化性能</w:t>
            </w:r>
            <w:r>
              <w:rPr>
                <w:sz w:val="21"/>
                <w:szCs w:val="21"/>
                <w:highlight w:val="none"/>
              </w:rPr>
              <w:t xml:space="preserve">—</w:t>
            </w:r>
            <w:r>
              <w:rPr>
                <w:rFonts w:hint="eastAsia"/>
                <w:sz w:val="21"/>
                <w:szCs w:val="21"/>
                <w:highlight w:val="none"/>
              </w:rPr>
              <w:t xml:space="preserve">木制件漆膜涂层</w:t>
            </w: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附着力（交叉切割法）</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4893.4-2023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11</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耐磨性</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4893.8-2023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12</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抗冲击</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4893.9-2013</w:t>
            </w:r>
            <w:r>
              <w:rPr>
                <w:sz w:val="21"/>
                <w:szCs w:val="21"/>
                <w:highlight w:val="none"/>
              </w:rPr>
            </w:r>
            <w:r/>
          </w:p>
        </w:tc>
      </w:tr>
      <w:tr>
        <w:trPr>
          <w:cantSplit/>
          <w:trHeight w:val="619"/>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13</w:t>
            </w:r>
            <w:r>
              <w:rPr>
                <w:sz w:val="21"/>
                <w:szCs w:val="21"/>
                <w:highlight w:val="none"/>
              </w:rPr>
            </w:r>
            <w:r/>
          </w:p>
        </w:tc>
        <w:tc>
          <w:tcPr>
            <w:tcW w:w="1506" w:type="dxa"/>
            <w:vAlign w:val="center"/>
            <w:vMerge w:val="restart"/>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覆面材料理化性能</w:t>
            </w:r>
            <w:r>
              <w:rPr>
                <w:sz w:val="21"/>
                <w:szCs w:val="21"/>
                <w:highlight w:val="none"/>
              </w:rPr>
              <w:t xml:space="preserve">—</w:t>
            </w:r>
            <w:r>
              <w:rPr>
                <w:rFonts w:hint="eastAsia"/>
                <w:sz w:val="21"/>
                <w:szCs w:val="21"/>
                <w:highlight w:val="none"/>
              </w:rPr>
              <w:t xml:space="preserve">纺织面料</w:t>
            </w: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色牢度</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3920-2008</w:t>
            </w:r>
            <w:r>
              <w:rPr>
                <w:sz w:val="21"/>
                <w:szCs w:val="21"/>
                <w:highlight w:val="none"/>
              </w:rPr>
            </w:r>
            <w:r/>
          </w:p>
          <w:p>
            <w:pPr>
              <w:pStyle w:val="728"/>
              <w:jc w:val="center"/>
              <w:spacing w:after="0" w:line="240" w:lineRule="auto"/>
              <w:widowControl w:val="off"/>
              <w:rPr>
                <w:sz w:val="21"/>
                <w:szCs w:val="21"/>
                <w:highlight w:val="none"/>
              </w:rPr>
            </w:pPr>
            <w:r>
              <w:rPr>
                <w:sz w:val="21"/>
                <w:szCs w:val="21"/>
                <w:highlight w:val="none"/>
              </w:rPr>
              <w:t xml:space="preserve">GB/T 3922-2013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14</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起毛起球</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4802.2-2008</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15</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耐磨性</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ind w:left="-110" w:right="-110"/>
              <w:jc w:val="center"/>
              <w:spacing w:after="0" w:line="240" w:lineRule="auto"/>
              <w:widowControl w:val="off"/>
              <w:rPr>
                <w:sz w:val="21"/>
                <w:szCs w:val="21"/>
                <w:highlight w:val="none"/>
              </w:rPr>
            </w:pPr>
            <w:r>
              <w:rPr>
                <w:bCs/>
                <w:sz w:val="21"/>
                <w:szCs w:val="21"/>
                <w:highlight w:val="none"/>
              </w:rPr>
              <w:t xml:space="preserve">GB/T 21196.2-2007</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16</w:t>
            </w:r>
            <w:r>
              <w:rPr>
                <w:sz w:val="21"/>
                <w:szCs w:val="21"/>
                <w:highlight w:val="none"/>
              </w:rPr>
            </w:r>
            <w:r/>
          </w:p>
        </w:tc>
        <w:tc>
          <w:tcPr>
            <w:tcW w:w="1506" w:type="dxa"/>
            <w:vAlign w:val="center"/>
            <w:vMerge w:val="restart"/>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覆面材料理化性能</w:t>
            </w:r>
            <w:r>
              <w:rPr>
                <w:sz w:val="21"/>
                <w:szCs w:val="21"/>
                <w:highlight w:val="none"/>
              </w:rPr>
              <w:t xml:space="preserve">—</w:t>
            </w:r>
            <w:r>
              <w:rPr>
                <w:rFonts w:hint="eastAsia"/>
                <w:sz w:val="21"/>
                <w:szCs w:val="21"/>
                <w:highlight w:val="none"/>
              </w:rPr>
              <w:t xml:space="preserve">皮革</w:t>
            </w:r>
            <w:r>
              <w:rPr>
                <w:sz w:val="21"/>
                <w:szCs w:val="21"/>
                <w:highlight w:val="none"/>
              </w:rPr>
              <w:t xml:space="preserve">/</w:t>
            </w:r>
            <w:r>
              <w:rPr>
                <w:rFonts w:hint="eastAsia"/>
                <w:sz w:val="21"/>
                <w:szCs w:val="21"/>
                <w:highlight w:val="none"/>
              </w:rPr>
              <w:t xml:space="preserve">再生皮（革）</w:t>
            </w: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摩擦色牢度</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2537-2001</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17</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耐磨性</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2726-2005</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18</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涂层黏着牢度</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39452-2020</w:t>
            </w:r>
            <w:r>
              <w:rPr>
                <w:sz w:val="21"/>
                <w:szCs w:val="21"/>
                <w:highlight w:val="none"/>
              </w:rPr>
            </w:r>
            <w:r/>
          </w:p>
        </w:tc>
      </w:tr>
      <w:tr>
        <w:trPr>
          <w:cantSplit/>
          <w:trHeight w:val="621"/>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19</w:t>
            </w:r>
            <w:r>
              <w:rPr>
                <w:sz w:val="21"/>
                <w:szCs w:val="21"/>
                <w:highlight w:val="none"/>
              </w:rPr>
            </w:r>
            <w:r/>
          </w:p>
        </w:tc>
        <w:tc>
          <w:tcPr>
            <w:tcW w:w="1506"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覆面材料理化性能</w:t>
            </w:r>
            <w:r>
              <w:rPr>
                <w:sz w:val="21"/>
                <w:szCs w:val="21"/>
                <w:highlight w:val="none"/>
              </w:rPr>
              <w:t xml:space="preserve">—</w:t>
            </w:r>
            <w:r>
              <w:rPr>
                <w:rFonts w:hint="eastAsia"/>
                <w:sz w:val="21"/>
                <w:szCs w:val="21"/>
                <w:highlight w:val="none"/>
              </w:rPr>
              <w:t xml:space="preserve">人工革</w:t>
            </w: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摩擦色牢度</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3920-2008</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20</w:t>
            </w:r>
            <w:r>
              <w:rPr>
                <w:sz w:val="21"/>
                <w:szCs w:val="21"/>
                <w:highlight w:val="none"/>
              </w:rPr>
            </w:r>
            <w:r/>
          </w:p>
        </w:tc>
        <w:tc>
          <w:tcPr>
            <w:tcW w:w="1506"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力学性能</w:t>
            </w: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沙发座背及扶手耐久性</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21</w:t>
            </w:r>
            <w:r>
              <w:rPr>
                <w:sz w:val="21"/>
                <w:szCs w:val="21"/>
                <w:highlight w:val="none"/>
              </w:rPr>
            </w:r>
            <w:r/>
          </w:p>
        </w:tc>
        <w:tc>
          <w:tcPr>
            <w:tcW w:w="1506" w:type="dxa"/>
            <w:vAlign w:val="center"/>
            <w:vMerge w:val="restart"/>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安全性能（有害物质限量）</w:t>
            </w: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甲醛释放量</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22</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苯</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23</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甲苯</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671"/>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24</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二甲苯（邻、间、对二甲苯之和）</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695"/>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25</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总挥发性有机化合物（</w:t>
            </w:r>
            <w:r>
              <w:rPr>
                <w:sz w:val="21"/>
                <w:szCs w:val="21"/>
                <w:highlight w:val="none"/>
              </w:rPr>
              <w:t xml:space="preserve">TVOC</w:t>
            </w:r>
            <w:r>
              <w:rPr>
                <w:rFonts w:hint="eastAsia"/>
                <w:sz w:val="21"/>
                <w:szCs w:val="21"/>
                <w:highlight w:val="none"/>
              </w:rPr>
              <w:t xml:space="preserve">）</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695"/>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26</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可分解致癌芳香胺染料</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GB/T 40904-2021</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27</w:t>
            </w:r>
            <w:r>
              <w:rPr>
                <w:sz w:val="21"/>
                <w:szCs w:val="21"/>
                <w:highlight w:val="none"/>
              </w:rPr>
            </w:r>
            <w:r/>
          </w:p>
        </w:tc>
        <w:tc>
          <w:tcPr>
            <w:tcW w:w="1506" w:type="dxa"/>
            <w:vAlign w:val="center"/>
            <w:vMerge w:val="restart"/>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安全性能</w:t>
            </w: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结构安全性</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r>
      <w:tr>
        <w:trPr>
          <w:cantSplit/>
          <w:trHeight w:val="454"/>
        </w:trPr>
        <w:tc>
          <w:tcPr>
            <w:tcW w:w="830"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28</w:t>
            </w:r>
            <w:r>
              <w:rPr>
                <w:sz w:val="21"/>
                <w:szCs w:val="21"/>
                <w:highlight w:val="none"/>
              </w:rPr>
            </w:r>
            <w:r/>
          </w:p>
        </w:tc>
        <w:tc>
          <w:tcPr>
            <w:tcW w:w="1301" w:type="dxa"/>
            <w:vAlign w:val="center"/>
            <w:vMerge w:val="continue"/>
            <w:textDirection w:val="lrTb"/>
            <w:noWrap w:val="false"/>
          </w:tcPr>
          <w:p>
            <w:pPr>
              <w:pStyle w:val="728"/>
              <w:spacing w:after="0" w:line="240" w:lineRule="auto"/>
              <w:rPr>
                <w:sz w:val="21"/>
                <w:szCs w:val="21"/>
                <w:highlight w:val="none"/>
              </w:rPr>
            </w:pPr>
            <w:r>
              <w:rPr>
                <w:sz w:val="21"/>
                <w:szCs w:val="21"/>
                <w:highlight w:val="none"/>
              </w:rPr>
            </w:r>
            <w:r/>
          </w:p>
        </w:tc>
        <w:tc>
          <w:tcPr>
            <w:tcW w:w="2607" w:type="dxa"/>
            <w:vAlign w:val="center"/>
            <w:textDirection w:val="lrTb"/>
            <w:noWrap w:val="false"/>
          </w:tcPr>
          <w:p>
            <w:pPr>
              <w:pStyle w:val="728"/>
              <w:jc w:val="center"/>
              <w:spacing w:after="0" w:line="240" w:lineRule="auto"/>
              <w:widowControl w:val="off"/>
              <w:rPr>
                <w:sz w:val="21"/>
                <w:szCs w:val="21"/>
                <w:highlight w:val="none"/>
              </w:rPr>
            </w:pPr>
            <w:r>
              <w:rPr>
                <w:rFonts w:hint="eastAsia"/>
                <w:sz w:val="21"/>
                <w:szCs w:val="21"/>
                <w:highlight w:val="none"/>
              </w:rPr>
              <w:t xml:space="preserve">阻燃性</w:t>
            </w:r>
            <w:r>
              <w:rPr>
                <w:sz w:val="21"/>
                <w:szCs w:val="21"/>
                <w:highlight w:val="none"/>
              </w:rPr>
            </w:r>
            <w:r/>
          </w:p>
        </w:tc>
        <w:tc>
          <w:tcPr>
            <w:tcW w:w="2404"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QB/T 1952.1—2023</w:t>
            </w:r>
            <w:r>
              <w:rPr>
                <w:sz w:val="21"/>
                <w:szCs w:val="21"/>
                <w:highlight w:val="none"/>
              </w:rPr>
            </w:r>
            <w:r/>
          </w:p>
        </w:tc>
        <w:tc>
          <w:tcPr>
            <w:tcW w:w="2611" w:type="dxa"/>
            <w:vAlign w:val="center"/>
            <w:textDirection w:val="lrTb"/>
            <w:noWrap w:val="false"/>
          </w:tcPr>
          <w:p>
            <w:pPr>
              <w:pStyle w:val="728"/>
              <w:jc w:val="center"/>
              <w:spacing w:after="0" w:line="240" w:lineRule="auto"/>
              <w:widowControl w:val="off"/>
              <w:rPr>
                <w:sz w:val="21"/>
                <w:szCs w:val="21"/>
                <w:highlight w:val="none"/>
              </w:rPr>
            </w:pPr>
            <w:r>
              <w:rPr>
                <w:sz w:val="21"/>
                <w:szCs w:val="21"/>
                <w:highlight w:val="none"/>
              </w:rPr>
              <w:t xml:space="preserve">GB 17927-2024</w:t>
            </w:r>
            <w:r>
              <w:rPr>
                <w:sz w:val="21"/>
                <w:szCs w:val="21"/>
                <w:highlight w:val="none"/>
              </w:rPr>
            </w:r>
            <w:r/>
          </w:p>
        </w:tc>
      </w:tr>
      <w:tr>
        <w:trPr>
          <w:cantSplit/>
          <w:trHeight w:val="454"/>
        </w:trPr>
        <w:tc>
          <w:tcPr>
            <w:gridSpan w:val="5"/>
            <w:tcW w:w="9958" w:type="dxa"/>
            <w:vAlign w:val="center"/>
            <w:textDirection w:val="lrTb"/>
            <w:noWrap w:val="false"/>
          </w:tcPr>
          <w:p>
            <w:pPr>
              <w:pStyle w:val="728"/>
              <w:spacing w:after="0" w:line="240" w:lineRule="auto"/>
              <w:widowControl w:val="off"/>
              <w:rPr>
                <w:sz w:val="21"/>
                <w:szCs w:val="21"/>
                <w:highlight w:val="none"/>
              </w:rPr>
            </w:pPr>
            <w:r>
              <w:rPr>
                <w:rFonts w:hint="eastAsia"/>
                <w:sz w:val="21"/>
                <w:szCs w:val="21"/>
                <w:highlight w:val="none"/>
              </w:rPr>
              <w:t xml:space="preserve">注：</w:t>
            </w:r>
            <w:r>
              <w:rPr>
                <w:sz w:val="21"/>
                <w:szCs w:val="21"/>
                <w:highlight w:val="none"/>
              </w:rPr>
              <w:t xml:space="preserve">1.</w:t>
            </w:r>
            <w:r>
              <w:rPr>
                <w:rFonts w:hint="eastAsia"/>
                <w:sz w:val="21"/>
                <w:szCs w:val="21"/>
                <w:highlight w:val="none"/>
              </w:rPr>
              <w:t xml:space="preserve">木制件的检验项目为</w:t>
            </w:r>
            <w:r>
              <w:rPr>
                <w:sz w:val="21"/>
                <w:szCs w:val="21"/>
                <w:highlight w:val="none"/>
              </w:rPr>
              <w:t xml:space="preserve">QB/T 1952.1—2023</w:t>
            </w:r>
            <w:r>
              <w:rPr>
                <w:rFonts w:hint="eastAsia"/>
                <w:sz w:val="21"/>
                <w:szCs w:val="21"/>
                <w:highlight w:val="none"/>
              </w:rPr>
              <w:t xml:space="preserve">中表</w:t>
            </w:r>
            <w:r>
              <w:rPr>
                <w:sz w:val="21"/>
                <w:szCs w:val="21"/>
                <w:highlight w:val="none"/>
              </w:rPr>
              <w:t xml:space="preserve">3</w:t>
            </w:r>
            <w:r>
              <w:rPr>
                <w:rFonts w:hint="eastAsia"/>
                <w:sz w:val="21"/>
                <w:szCs w:val="21"/>
                <w:highlight w:val="none"/>
              </w:rPr>
              <w:t xml:space="preserve">序号</w:t>
            </w:r>
            <w:r>
              <w:rPr>
                <w:sz w:val="21"/>
                <w:szCs w:val="21"/>
                <w:highlight w:val="none"/>
              </w:rPr>
              <w:t xml:space="preserve">2</w:t>
            </w:r>
            <w:r>
              <w:rPr>
                <w:rFonts w:hint="eastAsia"/>
                <w:sz w:val="21"/>
                <w:szCs w:val="21"/>
                <w:highlight w:val="none"/>
              </w:rPr>
              <w:t xml:space="preserve">、</w:t>
            </w:r>
            <w:r>
              <w:rPr>
                <w:sz w:val="21"/>
                <w:szCs w:val="21"/>
                <w:highlight w:val="none"/>
              </w:rPr>
              <w:t xml:space="preserve">3</w:t>
            </w:r>
            <w:r>
              <w:rPr>
                <w:rFonts w:hint="eastAsia"/>
                <w:sz w:val="21"/>
                <w:szCs w:val="21"/>
                <w:highlight w:val="none"/>
              </w:rPr>
              <w:t xml:space="preserve">、</w:t>
            </w:r>
            <w:r>
              <w:rPr>
                <w:sz w:val="21"/>
                <w:szCs w:val="21"/>
                <w:highlight w:val="none"/>
              </w:rPr>
              <w:t xml:space="preserve">4</w:t>
            </w:r>
            <w:r>
              <w:rPr>
                <w:rFonts w:hint="eastAsia"/>
                <w:sz w:val="21"/>
                <w:szCs w:val="21"/>
                <w:highlight w:val="none"/>
              </w:rPr>
              <w:t xml:space="preserve">。</w:t>
            </w:r>
            <w:r>
              <w:rPr>
                <w:sz w:val="21"/>
                <w:szCs w:val="21"/>
                <w:highlight w:val="none"/>
              </w:rPr>
            </w:r>
            <w:r/>
          </w:p>
          <w:p>
            <w:pPr>
              <w:pStyle w:val="728"/>
              <w:spacing w:after="0" w:line="240" w:lineRule="auto"/>
              <w:widowControl w:val="off"/>
              <w:rPr>
                <w:sz w:val="21"/>
                <w:szCs w:val="21"/>
                <w:highlight w:val="none"/>
              </w:rPr>
            </w:pPr>
            <w:r>
              <w:rPr>
                <w:sz w:val="21"/>
                <w:szCs w:val="21"/>
                <w:highlight w:val="none"/>
              </w:rPr>
              <w:t xml:space="preserve">2. </w:t>
            </w:r>
            <w:r>
              <w:rPr>
                <w:rFonts w:hint="eastAsia"/>
                <w:sz w:val="21"/>
                <w:szCs w:val="21"/>
                <w:highlight w:val="none"/>
              </w:rPr>
              <w:t xml:space="preserve">覆面材料理化性能</w:t>
            </w:r>
            <w:r>
              <w:rPr>
                <w:sz w:val="21"/>
                <w:szCs w:val="21"/>
                <w:highlight w:val="none"/>
              </w:rPr>
              <w:t xml:space="preserve">—</w:t>
            </w:r>
            <w:r>
              <w:rPr>
                <w:rFonts w:hint="eastAsia"/>
                <w:sz w:val="21"/>
                <w:szCs w:val="21"/>
                <w:highlight w:val="none"/>
              </w:rPr>
              <w:t xml:space="preserve">纺织面料</w:t>
            </w:r>
            <w:r>
              <w:rPr>
                <w:sz w:val="21"/>
                <w:szCs w:val="21"/>
                <w:highlight w:val="none"/>
              </w:rPr>
              <w:t xml:space="preserve">-</w:t>
            </w:r>
            <w:r>
              <w:rPr>
                <w:rFonts w:hint="eastAsia"/>
                <w:sz w:val="21"/>
                <w:szCs w:val="21"/>
                <w:highlight w:val="none"/>
              </w:rPr>
              <w:t xml:space="preserve">色牢度检验项目为</w:t>
            </w:r>
            <w:r>
              <w:rPr>
                <w:sz w:val="21"/>
                <w:szCs w:val="21"/>
                <w:highlight w:val="none"/>
              </w:rPr>
              <w:t xml:space="preserve">QB/T 1952.1-2023</w:t>
            </w:r>
            <w:r>
              <w:rPr>
                <w:rFonts w:hint="eastAsia"/>
                <w:sz w:val="21"/>
                <w:szCs w:val="21"/>
                <w:highlight w:val="none"/>
              </w:rPr>
              <w:t xml:space="preserve">中表</w:t>
            </w:r>
            <w:r>
              <w:rPr>
                <w:sz w:val="21"/>
                <w:szCs w:val="21"/>
                <w:highlight w:val="none"/>
              </w:rPr>
              <w:t xml:space="preserve">6</w:t>
            </w:r>
            <w:r>
              <w:rPr>
                <w:rFonts w:hint="eastAsia"/>
                <w:sz w:val="21"/>
                <w:szCs w:val="21"/>
                <w:highlight w:val="none"/>
              </w:rPr>
              <w:t xml:space="preserve">序号</w:t>
            </w:r>
            <w:r>
              <w:rPr>
                <w:sz w:val="21"/>
                <w:szCs w:val="21"/>
                <w:highlight w:val="none"/>
              </w:rPr>
              <w:t xml:space="preserve">1</w:t>
            </w:r>
            <w:r>
              <w:rPr>
                <w:rFonts w:hint="eastAsia"/>
                <w:sz w:val="21"/>
                <w:szCs w:val="21"/>
                <w:highlight w:val="none"/>
              </w:rPr>
              <w:t xml:space="preserve">、</w:t>
            </w:r>
            <w:r>
              <w:rPr>
                <w:sz w:val="21"/>
                <w:szCs w:val="21"/>
                <w:highlight w:val="none"/>
              </w:rPr>
              <w:t xml:space="preserve">2</w:t>
            </w:r>
            <w:r>
              <w:rPr>
                <w:rFonts w:hint="eastAsia"/>
                <w:sz w:val="21"/>
                <w:szCs w:val="21"/>
                <w:highlight w:val="none"/>
              </w:rPr>
              <w:t xml:space="preserve">、</w:t>
            </w:r>
            <w:r>
              <w:rPr>
                <w:sz w:val="21"/>
                <w:szCs w:val="21"/>
                <w:highlight w:val="none"/>
              </w:rPr>
              <w:t xml:space="preserve">3</w:t>
            </w:r>
            <w:r>
              <w:rPr>
                <w:rFonts w:hint="eastAsia"/>
                <w:sz w:val="21"/>
                <w:szCs w:val="21"/>
                <w:highlight w:val="none"/>
              </w:rPr>
              <w:t xml:space="preserve">。</w:t>
            </w:r>
            <w:r>
              <w:rPr>
                <w:sz w:val="21"/>
                <w:szCs w:val="21"/>
                <w:highlight w:val="none"/>
              </w:rPr>
            </w:r>
            <w:r/>
          </w:p>
        </w:tc>
      </w:tr>
    </w:tbl>
    <w:p>
      <w:pPr>
        <w:pStyle w:val="728"/>
        <w:rPr>
          <w:b/>
          <w:bCs/>
          <w:sz w:val="24"/>
          <w:szCs w:val="24"/>
          <w:highlight w:val="none"/>
          <w:lang w:bidi="ar"/>
        </w:rPr>
      </w:pPr>
      <w:r>
        <w:rPr>
          <w:b/>
          <w:bCs/>
          <w:sz w:val="24"/>
          <w:szCs w:val="24"/>
          <w:highlight w:val="none"/>
          <w:lang w:bidi="ar"/>
        </w:rPr>
      </w:r>
      <w:r/>
    </w:p>
    <w:p>
      <w:pPr>
        <w:pStyle w:val="728"/>
        <w:rPr>
          <w:highlight w:val="none"/>
        </w:rPr>
      </w:pPr>
      <w:r>
        <w:rPr>
          <w:highlight w:val="none"/>
        </w:rPr>
      </w:r>
      <w:r/>
    </w:p>
    <w:p>
      <w:pPr>
        <w:pStyle w:val="728"/>
        <w:rPr>
          <w:rFonts w:ascii="宋体" w:hAnsi="宋体"/>
          <w:highlight w:val="none"/>
          <w:lang w:bidi="ar"/>
        </w:rPr>
      </w:pPr>
      <w:r>
        <w:rPr>
          <w:rFonts w:hint="eastAsia" w:ascii="宋体" w:hAnsi="宋体"/>
          <w:sz w:val="24"/>
          <w:szCs w:val="24"/>
          <w:highlight w:val="none"/>
          <w:lang w:bidi="ar"/>
        </w:rPr>
        <w:t xml:space="preserve">3</w:t>
      </w:r>
      <w:r>
        <w:rPr>
          <w:rFonts w:ascii="宋体" w:hAnsi="宋体"/>
          <w:sz w:val="24"/>
          <w:szCs w:val="24"/>
          <w:highlight w:val="none"/>
          <w:lang w:bidi="ar"/>
        </w:rPr>
        <w:t xml:space="preserve">.中国丹阳眼镜城（眼镜产品检验项目、依据及方法）</w:t>
      </w:r>
      <w:r>
        <w:rPr>
          <w:rFonts w:ascii="宋体" w:hAnsi="宋体"/>
          <w:highlight w:val="none"/>
          <w:lang w:bidi="ar"/>
        </w:rPr>
      </w:r>
      <w:r/>
    </w:p>
    <w:p>
      <w:pPr>
        <w:pStyle w:val="728"/>
        <w:rPr>
          <w:highlight w:val="none"/>
        </w:rPr>
      </w:pPr>
      <w:r>
        <w:rPr>
          <w:highlight w:val="none"/>
        </w:rPr>
        <w:t xml:space="preserve">配装眼镜产品</w:t>
      </w:r>
      <w:r>
        <w:rPr>
          <w:highlight w:val="none"/>
        </w:rPr>
      </w:r>
      <w:r/>
    </w:p>
    <w:tbl>
      <w:tblPr>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9"/>
        <w:gridCol w:w="2956"/>
        <w:gridCol w:w="2340"/>
        <w:gridCol w:w="2396"/>
      </w:tblGrid>
      <w:tr>
        <w:trPr>
          <w:trHeight w:val="454"/>
          <w:tblHeader/>
        </w:trPr>
        <w:tc>
          <w:tcPr>
            <w:tcW w:w="372" w:type="dxa"/>
            <w:vAlign w:val="center"/>
            <w:textDirection w:val="lrTb"/>
            <w:noWrap w:val="false"/>
          </w:tcPr>
          <w:p>
            <w:pPr>
              <w:pStyle w:val="728"/>
              <w:jc w:val="center"/>
              <w:spacing w:after="0"/>
              <w:rPr>
                <w:sz w:val="21"/>
                <w:szCs w:val="21"/>
                <w:highlight w:val="none"/>
              </w:rPr>
            </w:pPr>
            <w:r>
              <w:rPr>
                <w:sz w:val="21"/>
                <w:szCs w:val="21"/>
                <w:highlight w:val="none"/>
              </w:rPr>
              <w:t xml:space="preserve">序号</w:t>
            </w:r>
            <w:r>
              <w:rPr>
                <w:sz w:val="21"/>
                <w:szCs w:val="21"/>
                <w:highlight w:val="none"/>
              </w:rPr>
            </w:r>
            <w:r/>
          </w:p>
        </w:tc>
        <w:tc>
          <w:tcPr>
            <w:tcW w:w="1778" w:type="dxa"/>
            <w:vAlign w:val="center"/>
            <w:textDirection w:val="lrTb"/>
            <w:noWrap w:val="false"/>
          </w:tcPr>
          <w:p>
            <w:pPr>
              <w:pStyle w:val="728"/>
              <w:jc w:val="center"/>
              <w:spacing w:after="0"/>
              <w:rPr>
                <w:sz w:val="21"/>
                <w:szCs w:val="21"/>
                <w:highlight w:val="none"/>
              </w:rPr>
            </w:pPr>
            <w:r>
              <w:rPr>
                <w:sz w:val="21"/>
                <w:szCs w:val="21"/>
                <w:highlight w:val="none"/>
              </w:rPr>
              <w:t xml:space="preserve">检验项目</w:t>
            </w:r>
            <w:r>
              <w:rPr>
                <w:sz w:val="21"/>
                <w:szCs w:val="21"/>
                <w:highlight w:val="none"/>
              </w:rPr>
            </w:r>
            <w:r/>
          </w:p>
        </w:tc>
        <w:tc>
          <w:tcPr>
            <w:tcW w:w="1407" w:type="dxa"/>
            <w:vAlign w:val="center"/>
            <w:textDirection w:val="lrTb"/>
            <w:noWrap w:val="false"/>
          </w:tcPr>
          <w:p>
            <w:pPr>
              <w:pStyle w:val="728"/>
              <w:jc w:val="center"/>
              <w:spacing w:after="0"/>
              <w:rPr>
                <w:sz w:val="21"/>
                <w:szCs w:val="21"/>
                <w:highlight w:val="none"/>
              </w:rPr>
            </w:pPr>
            <w:r>
              <w:rPr>
                <w:sz w:val="21"/>
                <w:szCs w:val="21"/>
                <w:highlight w:val="none"/>
              </w:rPr>
              <w:t xml:space="preserve">检验依据</w:t>
            </w:r>
            <w:r>
              <w:rPr>
                <w:sz w:val="21"/>
                <w:szCs w:val="21"/>
                <w:highlight w:val="none"/>
              </w:rPr>
            </w:r>
            <w:r/>
          </w:p>
        </w:tc>
        <w:tc>
          <w:tcPr>
            <w:tcW w:w="1441" w:type="dxa"/>
            <w:vAlign w:val="center"/>
            <w:textDirection w:val="lrTb"/>
            <w:noWrap w:val="false"/>
          </w:tcPr>
          <w:p>
            <w:pPr>
              <w:pStyle w:val="728"/>
              <w:jc w:val="center"/>
              <w:spacing w:after="0"/>
              <w:rPr>
                <w:sz w:val="21"/>
                <w:szCs w:val="21"/>
                <w:highlight w:val="none"/>
              </w:rPr>
            </w:pPr>
            <w:r>
              <w:rPr>
                <w:sz w:val="21"/>
                <w:szCs w:val="21"/>
                <w:highlight w:val="none"/>
              </w:rPr>
              <w:t xml:space="preserve">检测方法</w:t>
            </w:r>
            <w:r>
              <w:rPr>
                <w:sz w:val="21"/>
                <w:szCs w:val="21"/>
                <w:highlight w:val="none"/>
              </w:rPr>
            </w:r>
            <w:r/>
          </w:p>
        </w:tc>
      </w:tr>
      <w:tr>
        <w:trPr>
          <w:trHeight w:val="454"/>
        </w:trPr>
        <w:tc>
          <w:tcPr>
            <w:tcW w:w="372" w:type="dxa"/>
            <w:vAlign w:val="center"/>
            <w:textDirection w:val="lrTb"/>
            <w:noWrap/>
          </w:tcPr>
          <w:p>
            <w:pPr>
              <w:pStyle w:val="728"/>
              <w:jc w:val="center"/>
              <w:spacing w:after="0"/>
              <w:rPr>
                <w:highlight w:val="none"/>
              </w:rPr>
            </w:pPr>
            <w:r>
              <w:rPr>
                <w:rFonts w:hint="eastAsia"/>
                <w:highlight w:val="none"/>
              </w:rPr>
              <w:t xml:space="preserve">1</w:t>
            </w:r>
            <w:r>
              <w:rPr>
                <w:highlight w:val="none"/>
              </w:rPr>
            </w:r>
            <w:r/>
          </w:p>
        </w:tc>
        <w:tc>
          <w:tcPr>
            <w:tcW w:w="1778" w:type="dxa"/>
            <w:vAlign w:val="center"/>
            <w:textDirection w:val="lrTb"/>
            <w:noWrap/>
          </w:tcPr>
          <w:p>
            <w:pPr>
              <w:pStyle w:val="728"/>
              <w:jc w:val="center"/>
              <w:spacing w:after="0" w:line="320" w:lineRule="exact"/>
              <w:rPr>
                <w:highlight w:val="none"/>
              </w:rPr>
            </w:pPr>
            <w:r>
              <w:rPr>
                <w:rFonts w:hint="eastAsia"/>
                <w:highlight w:val="none"/>
              </w:rPr>
              <w:t xml:space="preserve">主子午面一球镜顶焦度偏差</w:t>
            </w:r>
            <w:r>
              <w:rPr>
                <w:highlight w:val="none"/>
              </w:rPr>
            </w:r>
            <w:r/>
          </w:p>
        </w:tc>
        <w:tc>
          <w:tcPr>
            <w:tcW w:w="1407"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c>
          <w:tcPr>
            <w:tcW w:w="1441"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r>
      <w:tr>
        <w:trPr>
          <w:trHeight w:val="454"/>
        </w:trPr>
        <w:tc>
          <w:tcPr>
            <w:tcW w:w="372" w:type="dxa"/>
            <w:vAlign w:val="center"/>
            <w:textDirection w:val="lrTb"/>
            <w:noWrap/>
          </w:tcPr>
          <w:p>
            <w:pPr>
              <w:pStyle w:val="728"/>
              <w:jc w:val="center"/>
              <w:spacing w:after="0"/>
              <w:rPr>
                <w:highlight w:val="none"/>
              </w:rPr>
            </w:pPr>
            <w:r>
              <w:rPr>
                <w:rFonts w:hint="eastAsia"/>
                <w:highlight w:val="none"/>
              </w:rPr>
              <w:t xml:space="preserve">2</w:t>
            </w:r>
            <w:r>
              <w:rPr>
                <w:highlight w:val="none"/>
              </w:rPr>
            </w:r>
            <w:r/>
          </w:p>
        </w:tc>
        <w:tc>
          <w:tcPr>
            <w:tcW w:w="1778" w:type="dxa"/>
            <w:vAlign w:val="center"/>
            <w:textDirection w:val="lrTb"/>
            <w:noWrap/>
          </w:tcPr>
          <w:p>
            <w:pPr>
              <w:pStyle w:val="728"/>
              <w:jc w:val="center"/>
              <w:spacing w:after="0" w:line="320" w:lineRule="exact"/>
              <w:rPr>
                <w:highlight w:val="none"/>
              </w:rPr>
            </w:pPr>
            <w:r>
              <w:rPr>
                <w:rFonts w:hint="eastAsia"/>
                <w:highlight w:val="none"/>
              </w:rPr>
              <w:t xml:space="preserve">主子午面二球镜顶焦度偏差</w:t>
            </w:r>
            <w:r>
              <w:rPr>
                <w:highlight w:val="none"/>
              </w:rPr>
            </w:r>
            <w:r/>
          </w:p>
        </w:tc>
        <w:tc>
          <w:tcPr>
            <w:tcW w:w="1407"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c>
          <w:tcPr>
            <w:tcW w:w="1441"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r>
      <w:tr>
        <w:trPr>
          <w:trHeight w:val="454"/>
        </w:trPr>
        <w:tc>
          <w:tcPr>
            <w:tcW w:w="372" w:type="dxa"/>
            <w:vAlign w:val="center"/>
            <w:textDirection w:val="lrTb"/>
            <w:noWrap/>
          </w:tcPr>
          <w:p>
            <w:pPr>
              <w:pStyle w:val="728"/>
              <w:jc w:val="center"/>
              <w:spacing w:after="0"/>
              <w:rPr>
                <w:highlight w:val="none"/>
              </w:rPr>
            </w:pPr>
            <w:r>
              <w:rPr>
                <w:rFonts w:hint="eastAsia"/>
                <w:highlight w:val="none"/>
              </w:rPr>
              <w:t xml:space="preserve">3</w:t>
            </w:r>
            <w:r>
              <w:rPr>
                <w:highlight w:val="none"/>
              </w:rPr>
            </w:r>
            <w:r/>
          </w:p>
        </w:tc>
        <w:tc>
          <w:tcPr>
            <w:tcW w:w="1778" w:type="dxa"/>
            <w:vAlign w:val="center"/>
            <w:textDirection w:val="lrTb"/>
            <w:noWrap/>
          </w:tcPr>
          <w:p>
            <w:pPr>
              <w:pStyle w:val="728"/>
              <w:jc w:val="center"/>
              <w:spacing w:after="0"/>
              <w:rPr>
                <w:highlight w:val="none"/>
              </w:rPr>
            </w:pPr>
            <w:r>
              <w:rPr>
                <w:highlight w:val="none"/>
              </w:rPr>
              <w:t xml:space="preserve">柱镜顶焦度偏差</w:t>
            </w:r>
            <w:r>
              <w:rPr>
                <w:highlight w:val="none"/>
              </w:rPr>
            </w:r>
            <w:r/>
          </w:p>
        </w:tc>
        <w:tc>
          <w:tcPr>
            <w:tcW w:w="1407"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c>
          <w:tcPr>
            <w:tcW w:w="1441"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r>
      <w:tr>
        <w:trPr>
          <w:trHeight w:val="454"/>
        </w:trPr>
        <w:tc>
          <w:tcPr>
            <w:tcW w:w="372" w:type="dxa"/>
            <w:vAlign w:val="center"/>
            <w:textDirection w:val="lrTb"/>
            <w:noWrap/>
          </w:tcPr>
          <w:p>
            <w:pPr>
              <w:pStyle w:val="728"/>
              <w:jc w:val="center"/>
              <w:spacing w:after="0"/>
              <w:rPr>
                <w:highlight w:val="none"/>
              </w:rPr>
            </w:pPr>
            <w:r>
              <w:rPr>
                <w:rFonts w:hint="eastAsia"/>
                <w:highlight w:val="none"/>
              </w:rPr>
              <w:t xml:space="preserve">4</w:t>
            </w:r>
            <w:r>
              <w:rPr>
                <w:highlight w:val="none"/>
              </w:rPr>
            </w:r>
            <w:r/>
          </w:p>
        </w:tc>
        <w:tc>
          <w:tcPr>
            <w:tcW w:w="1778" w:type="dxa"/>
            <w:vAlign w:val="center"/>
            <w:textDirection w:val="lrTb"/>
            <w:noWrap/>
          </w:tcPr>
          <w:p>
            <w:pPr>
              <w:pStyle w:val="728"/>
              <w:jc w:val="center"/>
              <w:spacing w:after="0"/>
              <w:rPr>
                <w:highlight w:val="none"/>
              </w:rPr>
            </w:pPr>
            <w:r>
              <w:rPr>
                <w:highlight w:val="none"/>
              </w:rPr>
              <w:t xml:space="preserve">柱镜轴位</w:t>
            </w:r>
            <w:r>
              <w:rPr>
                <w:rFonts w:hint="eastAsia"/>
                <w:highlight w:val="none"/>
              </w:rPr>
              <w:t xml:space="preserve">方向</w:t>
            </w:r>
            <w:r>
              <w:rPr>
                <w:highlight w:val="none"/>
              </w:rPr>
              <w:t xml:space="preserve">偏差</w:t>
            </w:r>
            <w:r>
              <w:rPr>
                <w:highlight w:val="none"/>
              </w:rPr>
            </w:r>
            <w:r/>
          </w:p>
        </w:tc>
        <w:tc>
          <w:tcPr>
            <w:tcW w:w="1407"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c>
          <w:tcPr>
            <w:tcW w:w="1441"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r>
      <w:tr>
        <w:trPr>
          <w:trHeight w:val="454"/>
        </w:trPr>
        <w:tc>
          <w:tcPr>
            <w:tcW w:w="372" w:type="dxa"/>
            <w:vAlign w:val="center"/>
            <w:textDirection w:val="lrTb"/>
            <w:noWrap/>
          </w:tcPr>
          <w:p>
            <w:pPr>
              <w:pStyle w:val="728"/>
              <w:jc w:val="center"/>
              <w:spacing w:after="0"/>
              <w:rPr>
                <w:highlight w:val="none"/>
              </w:rPr>
            </w:pPr>
            <w:r>
              <w:rPr>
                <w:rFonts w:hint="eastAsia"/>
                <w:highlight w:val="none"/>
              </w:rPr>
              <w:t xml:space="preserve">5</w:t>
            </w:r>
            <w:r>
              <w:rPr>
                <w:highlight w:val="none"/>
              </w:rPr>
            </w:r>
            <w:r/>
          </w:p>
        </w:tc>
        <w:tc>
          <w:tcPr>
            <w:tcW w:w="1778" w:type="dxa"/>
            <w:vAlign w:val="center"/>
            <w:textDirection w:val="lrTb"/>
            <w:noWrap/>
          </w:tcPr>
          <w:p>
            <w:pPr>
              <w:pStyle w:val="728"/>
              <w:jc w:val="center"/>
              <w:spacing w:after="0" w:line="320" w:lineRule="exact"/>
              <w:rPr>
                <w:highlight w:val="none"/>
              </w:rPr>
            </w:pPr>
            <w:r>
              <w:rPr>
                <w:rFonts w:hint="eastAsia"/>
                <w:highlight w:val="none"/>
              </w:rPr>
              <w:t xml:space="preserve">中心点水平距离偏差</w:t>
            </w:r>
            <w:r>
              <w:rPr>
                <w:highlight w:val="none"/>
              </w:rPr>
            </w:r>
            <w:r/>
          </w:p>
        </w:tc>
        <w:tc>
          <w:tcPr>
            <w:tcW w:w="1407"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c>
          <w:tcPr>
            <w:tcW w:w="1441"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r>
      <w:tr>
        <w:trPr>
          <w:trHeight w:val="454"/>
        </w:trPr>
        <w:tc>
          <w:tcPr>
            <w:tcW w:w="372" w:type="dxa"/>
            <w:vAlign w:val="center"/>
            <w:textDirection w:val="lrTb"/>
            <w:noWrap/>
          </w:tcPr>
          <w:p>
            <w:pPr>
              <w:pStyle w:val="728"/>
              <w:jc w:val="center"/>
              <w:spacing w:after="0"/>
              <w:rPr>
                <w:highlight w:val="none"/>
              </w:rPr>
            </w:pPr>
            <w:r>
              <w:rPr>
                <w:rFonts w:hint="eastAsia"/>
                <w:highlight w:val="none"/>
              </w:rPr>
              <w:t xml:space="preserve">6</w:t>
            </w:r>
            <w:r>
              <w:rPr>
                <w:highlight w:val="none"/>
              </w:rPr>
            </w:r>
            <w:r/>
          </w:p>
        </w:tc>
        <w:tc>
          <w:tcPr>
            <w:tcW w:w="1778" w:type="dxa"/>
            <w:vAlign w:val="center"/>
            <w:textDirection w:val="lrTb"/>
            <w:noWrap/>
          </w:tcPr>
          <w:p>
            <w:pPr>
              <w:pStyle w:val="728"/>
              <w:jc w:val="center"/>
              <w:spacing w:after="0" w:line="320" w:lineRule="exact"/>
              <w:rPr>
                <w:highlight w:val="none"/>
              </w:rPr>
            </w:pPr>
            <w:r>
              <w:rPr>
                <w:rFonts w:hint="eastAsia"/>
                <w:highlight w:val="none"/>
              </w:rPr>
              <w:t xml:space="preserve">中心点单侧水平距离偏差</w:t>
            </w:r>
            <w:r>
              <w:rPr>
                <w:highlight w:val="none"/>
              </w:rPr>
            </w:r>
            <w:r/>
          </w:p>
        </w:tc>
        <w:tc>
          <w:tcPr>
            <w:tcW w:w="1407"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c>
          <w:tcPr>
            <w:tcW w:w="1441"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r>
      <w:tr>
        <w:trPr>
          <w:trHeight w:val="454"/>
        </w:trPr>
        <w:tc>
          <w:tcPr>
            <w:tcW w:w="372" w:type="dxa"/>
            <w:vAlign w:val="center"/>
            <w:textDirection w:val="lrTb"/>
            <w:noWrap/>
          </w:tcPr>
          <w:p>
            <w:pPr>
              <w:pStyle w:val="728"/>
              <w:jc w:val="center"/>
              <w:spacing w:after="0"/>
              <w:rPr>
                <w:highlight w:val="none"/>
              </w:rPr>
            </w:pPr>
            <w:r>
              <w:rPr>
                <w:rFonts w:hint="eastAsia"/>
                <w:highlight w:val="none"/>
              </w:rPr>
              <w:t xml:space="preserve">7</w:t>
            </w:r>
            <w:r>
              <w:rPr>
                <w:highlight w:val="none"/>
              </w:rPr>
            </w:r>
            <w:r/>
          </w:p>
        </w:tc>
        <w:tc>
          <w:tcPr>
            <w:tcW w:w="1778" w:type="dxa"/>
            <w:vAlign w:val="center"/>
            <w:textDirection w:val="lrTb"/>
            <w:noWrap/>
          </w:tcPr>
          <w:p>
            <w:pPr>
              <w:pStyle w:val="728"/>
              <w:jc w:val="center"/>
              <w:spacing w:after="0" w:line="320" w:lineRule="exact"/>
              <w:rPr>
                <w:highlight w:val="none"/>
              </w:rPr>
            </w:pPr>
            <w:r>
              <w:rPr>
                <w:rFonts w:hint="eastAsia"/>
                <w:highlight w:val="none"/>
              </w:rPr>
              <w:t xml:space="preserve">中心点垂直互差</w:t>
            </w:r>
            <w:r>
              <w:rPr>
                <w:highlight w:val="none"/>
              </w:rPr>
            </w:r>
            <w:r/>
          </w:p>
        </w:tc>
        <w:tc>
          <w:tcPr>
            <w:tcW w:w="1407"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c>
          <w:tcPr>
            <w:tcW w:w="1441"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r>
      <w:tr>
        <w:trPr>
          <w:trHeight w:val="454"/>
        </w:trPr>
        <w:tc>
          <w:tcPr>
            <w:tcW w:w="372" w:type="dxa"/>
            <w:vAlign w:val="center"/>
            <w:textDirection w:val="lrTb"/>
            <w:noWrap/>
          </w:tcPr>
          <w:p>
            <w:pPr>
              <w:pStyle w:val="728"/>
              <w:jc w:val="center"/>
              <w:spacing w:after="0"/>
              <w:rPr>
                <w:highlight w:val="none"/>
              </w:rPr>
            </w:pPr>
            <w:r>
              <w:rPr>
                <w:rFonts w:hint="eastAsia"/>
                <w:highlight w:val="none"/>
              </w:rPr>
              <w:t xml:space="preserve">8</w:t>
            </w:r>
            <w:r>
              <w:rPr>
                <w:highlight w:val="none"/>
              </w:rPr>
            </w:r>
            <w:r/>
          </w:p>
        </w:tc>
        <w:tc>
          <w:tcPr>
            <w:tcW w:w="1778" w:type="dxa"/>
            <w:vAlign w:val="center"/>
            <w:textDirection w:val="lrTb"/>
            <w:noWrap/>
          </w:tcPr>
          <w:p>
            <w:pPr>
              <w:pStyle w:val="728"/>
              <w:jc w:val="center"/>
              <w:spacing w:after="0"/>
              <w:rPr>
                <w:highlight w:val="none"/>
              </w:rPr>
            </w:pPr>
            <w:r>
              <w:rPr>
                <w:rFonts w:hint="eastAsia"/>
                <w:highlight w:val="none"/>
              </w:rPr>
              <w:t xml:space="preserve">相对视觉衰减因子</w:t>
            </w:r>
            <w:r>
              <w:rPr>
                <w:highlight w:val="none"/>
              </w:rPr>
              <w:t xml:space="preserve">(Q)</w:t>
            </w:r>
            <w:r>
              <w:rPr>
                <w:highlight w:val="none"/>
              </w:rPr>
            </w:r>
            <w:r/>
          </w:p>
        </w:tc>
        <w:tc>
          <w:tcPr>
            <w:tcW w:w="1407"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c>
          <w:tcPr>
            <w:tcW w:w="1441" w:type="dxa"/>
            <w:vAlign w:val="center"/>
            <w:textDirection w:val="lrTb"/>
            <w:noWrap/>
          </w:tcPr>
          <w:p>
            <w:pPr>
              <w:pStyle w:val="728"/>
              <w:jc w:val="center"/>
              <w:spacing w:after="0" w:line="320" w:lineRule="exact"/>
              <w:rPr>
                <w:highlight w:val="none"/>
              </w:rPr>
            </w:pPr>
            <w:r>
              <w:rPr>
                <w:highlight w:val="none"/>
              </w:rPr>
              <w:t xml:space="preserve">GB45185</w:t>
            </w:r>
            <w:r>
              <w:rPr>
                <w:rFonts w:hint="eastAsia"/>
                <w:highlight w:val="none"/>
              </w:rPr>
              <w:t xml:space="preserve">-</w:t>
            </w:r>
            <w:r>
              <w:rPr>
                <w:highlight w:val="none"/>
              </w:rPr>
              <w:t xml:space="preserve">2024</w:t>
            </w:r>
            <w:r>
              <w:rPr>
                <w:highlight w:val="none"/>
              </w:rPr>
            </w:r>
            <w:r/>
          </w:p>
        </w:tc>
      </w:tr>
    </w:tbl>
    <w:p>
      <w:pPr>
        <w:pStyle w:val="728"/>
        <w:rPr>
          <w:b/>
          <w:bCs/>
          <w:sz w:val="32"/>
          <w:szCs w:val="32"/>
          <w:highlight w:val="none"/>
        </w:rPr>
      </w:pPr>
      <w:r>
        <w:rPr>
          <w:b/>
          <w:bCs/>
          <w:sz w:val="32"/>
          <w:szCs w:val="32"/>
          <w:highlight w:val="none"/>
        </w:rPr>
      </w:r>
      <w:r/>
    </w:p>
    <w:p>
      <w:pPr>
        <w:pStyle w:val="728"/>
        <w:rPr>
          <w:highlight w:val="none"/>
        </w:rPr>
      </w:pPr>
      <w:r>
        <w:rPr>
          <w:highlight w:val="none"/>
        </w:rPr>
        <w:t xml:space="preserve">眼镜镜片产品</w:t>
      </w:r>
      <w:r>
        <w:rPr>
          <w:highlight w:val="none"/>
        </w:rPr>
      </w:r>
      <w:r/>
    </w:p>
    <w:tbl>
      <w:tblPr>
        <w:tblW w:w="95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710"/>
        <w:gridCol w:w="2964"/>
        <w:gridCol w:w="2091"/>
        <w:gridCol w:w="2119"/>
      </w:tblGrid>
      <w:tr>
        <w:trPr>
          <w:trHeight w:val="362"/>
          <w:tblHeader/>
        </w:trPr>
        <w:tc>
          <w:tcPr>
            <w:tcW w:w="703" w:type="dxa"/>
            <w:vAlign w:val="center"/>
            <w:textDirection w:val="lrTb"/>
            <w:noWrap/>
          </w:tcPr>
          <w:p>
            <w:pPr>
              <w:pStyle w:val="728"/>
              <w:jc w:val="center"/>
              <w:spacing w:after="0"/>
              <w:rPr>
                <w:highlight w:val="none"/>
              </w:rPr>
            </w:pPr>
            <w:r>
              <w:rPr>
                <w:highlight w:val="none"/>
              </w:rPr>
              <w:t xml:space="preserve">序号</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检验项目</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检验依据</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检验方法</w:t>
            </w:r>
            <w:r>
              <w:rPr>
                <w:highlight w:val="none"/>
              </w:rPr>
            </w:r>
            <w:r/>
          </w:p>
        </w:tc>
      </w:tr>
      <w:tr>
        <w:trPr>
          <w:trHeight w:val="408"/>
        </w:trPr>
        <w:tc>
          <w:tcPr>
            <w:tcW w:w="703" w:type="dxa"/>
            <w:vAlign w:val="center"/>
            <w:textDirection w:val="lrTb"/>
            <w:noWrap/>
          </w:tcPr>
          <w:p>
            <w:pPr>
              <w:pStyle w:val="728"/>
              <w:jc w:val="center"/>
              <w:spacing w:after="0"/>
              <w:rPr>
                <w:highlight w:val="none"/>
              </w:rPr>
            </w:pPr>
            <w:r>
              <w:rPr>
                <w:highlight w:val="none"/>
              </w:rPr>
              <w:t xml:space="preserve">1</w:t>
            </w:r>
            <w:r>
              <w:rPr>
                <w:highlight w:val="none"/>
              </w:rPr>
            </w:r>
            <w:r/>
          </w:p>
        </w:tc>
        <w:tc>
          <w:tcPr>
            <w:tcW w:w="1710" w:type="dxa"/>
            <w:vAlign w:val="center"/>
            <w:vMerge w:val="restart"/>
            <w:textDirection w:val="lrTb"/>
            <w:noWrap/>
          </w:tcPr>
          <w:p>
            <w:pPr>
              <w:pStyle w:val="728"/>
              <w:jc w:val="center"/>
              <w:spacing w:after="0"/>
              <w:rPr>
                <w:highlight w:val="none"/>
              </w:rPr>
            </w:pPr>
            <w:r>
              <w:rPr>
                <w:highlight w:val="none"/>
              </w:rPr>
              <w:t xml:space="preserve">顶焦度</w:t>
            </w:r>
            <w:r>
              <w:rPr>
                <w:highlight w:val="none"/>
              </w:rPr>
            </w:r>
            <w:r/>
          </w:p>
        </w:tc>
        <w:tc>
          <w:tcPr>
            <w:tcW w:w="2964" w:type="dxa"/>
            <w:vAlign w:val="center"/>
            <w:textDirection w:val="lrTb"/>
            <w:noWrap/>
          </w:tcPr>
          <w:p>
            <w:pPr>
              <w:pStyle w:val="728"/>
              <w:jc w:val="center"/>
              <w:spacing w:after="0"/>
              <w:rPr>
                <w:highlight w:val="none"/>
              </w:rPr>
            </w:pPr>
            <w:r>
              <w:rPr>
                <w:rFonts w:hint="eastAsia"/>
                <w:highlight w:val="none"/>
              </w:rPr>
              <w:t xml:space="preserve">主子午面一顶焦度偏差</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highlight w:val="none"/>
              </w:rPr>
              <w:t xml:space="preserve">2</w:t>
            </w:r>
            <w:r>
              <w:rPr>
                <w:highlight w:val="none"/>
              </w:rPr>
            </w:r>
            <w:r/>
          </w:p>
        </w:tc>
        <w:tc>
          <w:tcPr>
            <w:tcW w:w="1710" w:type="dxa"/>
            <w:vAlign w:val="center"/>
            <w:vMerge w:val="continue"/>
            <w:textDirection w:val="lrTb"/>
            <w:noWrap/>
          </w:tcPr>
          <w:p>
            <w:pPr>
              <w:pStyle w:val="728"/>
              <w:jc w:val="center"/>
              <w:spacing w:after="0"/>
              <w:rPr>
                <w:highlight w:val="none"/>
              </w:rPr>
            </w:pPr>
            <w:r>
              <w:rPr>
                <w:highlight w:val="none"/>
              </w:rPr>
            </w:r>
            <w:r/>
          </w:p>
        </w:tc>
        <w:tc>
          <w:tcPr>
            <w:tcW w:w="2964" w:type="dxa"/>
            <w:vAlign w:val="center"/>
            <w:textDirection w:val="lrTb"/>
            <w:noWrap/>
          </w:tcPr>
          <w:p>
            <w:pPr>
              <w:pStyle w:val="728"/>
              <w:jc w:val="center"/>
              <w:spacing w:after="0"/>
              <w:rPr>
                <w:highlight w:val="none"/>
              </w:rPr>
            </w:pPr>
            <w:r>
              <w:rPr>
                <w:rFonts w:hint="eastAsia"/>
                <w:highlight w:val="none"/>
              </w:rPr>
              <w:t xml:space="preserve">主子午面二顶焦度偏差</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highlight w:val="none"/>
              </w:rPr>
              <w:t xml:space="preserve">3</w:t>
            </w:r>
            <w:r>
              <w:rPr>
                <w:highlight w:val="none"/>
              </w:rPr>
            </w:r>
            <w:r/>
          </w:p>
        </w:tc>
        <w:tc>
          <w:tcPr>
            <w:tcW w:w="1710" w:type="dxa"/>
            <w:vAlign w:val="center"/>
            <w:vMerge w:val="continue"/>
            <w:textDirection w:val="lrTb"/>
            <w:noWrap/>
          </w:tcPr>
          <w:p>
            <w:pPr>
              <w:pStyle w:val="728"/>
              <w:jc w:val="center"/>
              <w:spacing w:after="0"/>
              <w:rPr>
                <w:highlight w:val="none"/>
              </w:rPr>
            </w:pPr>
            <w:r>
              <w:rPr>
                <w:highlight w:val="none"/>
              </w:rPr>
            </w:r>
            <w:r/>
          </w:p>
        </w:tc>
        <w:tc>
          <w:tcPr>
            <w:tcW w:w="2964" w:type="dxa"/>
            <w:vAlign w:val="center"/>
            <w:textDirection w:val="lrTb"/>
            <w:noWrap/>
          </w:tcPr>
          <w:p>
            <w:pPr>
              <w:pStyle w:val="728"/>
              <w:jc w:val="center"/>
              <w:spacing w:after="0"/>
              <w:rPr>
                <w:highlight w:val="none"/>
              </w:rPr>
            </w:pPr>
            <w:r>
              <w:rPr>
                <w:highlight w:val="none"/>
              </w:rPr>
              <w:t xml:space="preserve">柱镜顶焦度偏差</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4</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柱镜轴位方向偏差</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5</w:t>
            </w:r>
            <w:r>
              <w:rPr>
                <w:highlight w:val="none"/>
              </w:rPr>
            </w:r>
            <w:r/>
          </w:p>
        </w:tc>
        <w:tc>
          <w:tcPr>
            <w:gridSpan w:val="2"/>
            <w:tcW w:w="4674" w:type="dxa"/>
            <w:vAlign w:val="center"/>
            <w:textDirection w:val="lrTb"/>
            <w:noWrap/>
          </w:tcPr>
          <w:p>
            <w:pPr>
              <w:pStyle w:val="728"/>
              <w:jc w:val="center"/>
              <w:spacing w:after="0"/>
              <w:rPr>
                <w:highlight w:val="none"/>
              </w:rPr>
            </w:pPr>
            <w:r>
              <w:rPr>
                <w:rFonts w:hint="eastAsia"/>
                <w:highlight w:val="none"/>
              </w:rPr>
              <w:t xml:space="preserve">棱镜度</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highlight w:val="none"/>
              </w:rPr>
              <w:t xml:space="preserve">6</w:t>
            </w:r>
            <w:r>
              <w:rPr>
                <w:highlight w:val="none"/>
              </w:rPr>
            </w:r>
            <w:r/>
          </w:p>
        </w:tc>
        <w:tc>
          <w:tcPr>
            <w:gridSpan w:val="2"/>
            <w:tcW w:w="4674" w:type="dxa"/>
            <w:vAlign w:val="center"/>
            <w:textDirection w:val="lrTb"/>
            <w:noWrap/>
          </w:tcPr>
          <w:p>
            <w:pPr>
              <w:pStyle w:val="728"/>
              <w:jc w:val="center"/>
              <w:spacing w:after="0"/>
              <w:rPr>
                <w:highlight w:val="none"/>
              </w:rPr>
            </w:pPr>
            <w:r>
              <w:rPr>
                <w:rFonts w:hint="eastAsia"/>
                <w:highlight w:val="none"/>
              </w:rPr>
              <w:t xml:space="preserve">可见光谱范围（光透射比</w:t>
            </w:r>
            <w:r>
              <w:rPr>
                <w:highlight w:val="none"/>
              </w:rPr>
              <w:t xml:space="preserve">τ</w:t>
            </w:r>
            <w:r>
              <w:rPr>
                <w:highlight w:val="none"/>
                <w:vertAlign w:val="subscript"/>
              </w:rPr>
              <w:t xml:space="preserve">V</w:t>
            </w:r>
            <w:r>
              <w:rPr>
                <w:rFonts w:hint="eastAsia"/>
                <w:highlight w:val="none"/>
              </w:rPr>
              <w:t xml:space="preserve">）</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7</w:t>
            </w:r>
            <w:r>
              <w:rPr>
                <w:highlight w:val="none"/>
              </w:rPr>
            </w:r>
            <w:r/>
          </w:p>
        </w:tc>
        <w:tc>
          <w:tcPr>
            <w:tcW w:w="1710" w:type="dxa"/>
            <w:vAlign w:val="center"/>
            <w:vMerge w:val="restart"/>
            <w:textDirection w:val="lrTb"/>
            <w:noWrap/>
          </w:tcPr>
          <w:p>
            <w:pPr>
              <w:pStyle w:val="728"/>
              <w:jc w:val="center"/>
              <w:spacing w:after="0"/>
              <w:rPr>
                <w:highlight w:val="none"/>
              </w:rPr>
            </w:pPr>
            <w:r>
              <w:rPr>
                <w:rFonts w:hint="eastAsia"/>
                <w:highlight w:val="none"/>
              </w:rPr>
              <w:t xml:space="preserve">紫外光谱范围</w:t>
            </w:r>
            <w:r>
              <w:rPr>
                <w:highlight w:val="none"/>
              </w:rPr>
            </w:r>
            <w:r/>
          </w:p>
        </w:tc>
        <w:tc>
          <w:tcPr>
            <w:tcW w:w="2964" w:type="dxa"/>
            <w:vAlign w:val="center"/>
            <w:textDirection w:val="lrTb"/>
            <w:noWrap w:val="false"/>
          </w:tcPr>
          <w:p>
            <w:pPr>
              <w:pStyle w:val="728"/>
              <w:jc w:val="center"/>
              <w:spacing w:after="0"/>
              <w:rPr>
                <w:highlight w:val="none"/>
              </w:rPr>
            </w:pPr>
            <w:r>
              <w:rPr>
                <w:highlight w:val="none"/>
              </w:rPr>
              <w:t xml:space="preserve">UV-A</w:t>
            </w:r>
            <w:r>
              <w:rPr>
                <w:rFonts w:hint="eastAsia"/>
                <w:highlight w:val="none"/>
              </w:rPr>
              <w:t xml:space="preserve">波段透射比最大值</w:t>
            </w:r>
            <w:r>
              <w:rPr>
                <w:highlight w:val="none"/>
              </w:rPr>
              <w:t xml:space="preserve">τ</w:t>
            </w:r>
            <w:r>
              <w:rPr>
                <w:highlight w:val="none"/>
                <w:vertAlign w:val="subscript"/>
              </w:rPr>
              <w:t xml:space="preserve">SUVA</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8</w:t>
            </w:r>
            <w:r>
              <w:rPr>
                <w:highlight w:val="none"/>
              </w:rPr>
            </w:r>
            <w:r/>
          </w:p>
        </w:tc>
        <w:tc>
          <w:tcPr>
            <w:tcW w:w="1710" w:type="dxa"/>
            <w:vAlign w:val="center"/>
            <w:vMerge w:val="continue"/>
            <w:textDirection w:val="lrTb"/>
            <w:noWrap/>
          </w:tcPr>
          <w:p>
            <w:pPr>
              <w:pStyle w:val="728"/>
              <w:jc w:val="center"/>
              <w:spacing w:after="0"/>
              <w:rPr>
                <w:highlight w:val="none"/>
              </w:rPr>
            </w:pPr>
            <w:r>
              <w:rPr>
                <w:highlight w:val="none"/>
              </w:rPr>
            </w:r>
            <w:r/>
          </w:p>
        </w:tc>
        <w:tc>
          <w:tcPr>
            <w:tcW w:w="2964" w:type="dxa"/>
            <w:vAlign w:val="center"/>
            <w:textDirection w:val="lrTb"/>
            <w:noWrap w:val="false"/>
          </w:tcPr>
          <w:p>
            <w:pPr>
              <w:pStyle w:val="728"/>
              <w:jc w:val="center"/>
              <w:spacing w:after="0"/>
              <w:rPr>
                <w:highlight w:val="none"/>
              </w:rPr>
            </w:pPr>
            <w:r>
              <w:rPr>
                <w:highlight w:val="none"/>
              </w:rPr>
              <w:t xml:space="preserve">UV-</w:t>
            </w:r>
            <w:r>
              <w:rPr>
                <w:rFonts w:hint="eastAsia"/>
                <w:highlight w:val="none"/>
              </w:rPr>
              <w:t xml:space="preserve">B波段透射比最大值</w:t>
            </w:r>
            <w:r>
              <w:rPr>
                <w:highlight w:val="none"/>
              </w:rPr>
              <w:t xml:space="preserve">τ</w:t>
            </w:r>
            <w:r>
              <w:rPr>
                <w:highlight w:val="none"/>
                <w:vertAlign w:val="subscript"/>
              </w:rPr>
              <w:t xml:space="preserve">SUV</w:t>
            </w:r>
            <w:r>
              <w:rPr>
                <w:rFonts w:hint="eastAsia"/>
                <w:highlight w:val="none"/>
                <w:vertAlign w:val="subscript"/>
              </w:rPr>
              <w:t xml:space="preserve">B</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9</w:t>
            </w:r>
            <w:r>
              <w:rPr>
                <w:highlight w:val="none"/>
              </w:rPr>
            </w:r>
            <w:r/>
          </w:p>
        </w:tc>
        <w:tc>
          <w:tcPr>
            <w:gridSpan w:val="2"/>
            <w:tcW w:w="4674" w:type="dxa"/>
            <w:vAlign w:val="center"/>
            <w:textDirection w:val="lrTb"/>
            <w:noWrap/>
          </w:tcPr>
          <w:p>
            <w:pPr>
              <w:pStyle w:val="728"/>
              <w:jc w:val="center"/>
              <w:spacing w:after="0"/>
              <w:rPr>
                <w:highlight w:val="none"/>
              </w:rPr>
            </w:pPr>
            <w:r>
              <w:rPr>
                <w:rFonts w:hint="eastAsia"/>
                <w:highlight w:val="none"/>
              </w:rPr>
              <w:t xml:space="preserve">光谱透射比</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10</w:t>
            </w:r>
            <w:r>
              <w:rPr>
                <w:highlight w:val="none"/>
              </w:rPr>
            </w:r>
            <w:r/>
          </w:p>
        </w:tc>
        <w:tc>
          <w:tcPr>
            <w:gridSpan w:val="2"/>
            <w:tcW w:w="4674" w:type="dxa"/>
            <w:vAlign w:val="center"/>
            <w:textDirection w:val="lrTb"/>
            <w:noWrap/>
          </w:tcPr>
          <w:p>
            <w:pPr>
              <w:pStyle w:val="728"/>
              <w:jc w:val="center"/>
              <w:spacing w:after="0"/>
              <w:rPr>
                <w:highlight w:val="none"/>
              </w:rPr>
            </w:pPr>
            <w:r>
              <w:rPr>
                <w:rFonts w:hint="eastAsia"/>
                <w:highlight w:val="none"/>
              </w:rPr>
              <w:t xml:space="preserve">相对视觉衰减因子</w:t>
            </w:r>
            <w:r>
              <w:rPr>
                <w:highlight w:val="none"/>
              </w:rPr>
              <w:t xml:space="preserve">(Q)</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11</w:t>
            </w:r>
            <w:r>
              <w:rPr>
                <w:highlight w:val="none"/>
              </w:rPr>
            </w:r>
            <w:r/>
          </w:p>
        </w:tc>
        <w:tc>
          <w:tcPr>
            <w:gridSpan w:val="2"/>
            <w:tcW w:w="4674" w:type="dxa"/>
            <w:vAlign w:val="center"/>
            <w:textDirection w:val="lrTb"/>
            <w:noWrap/>
          </w:tcPr>
          <w:p>
            <w:pPr>
              <w:pStyle w:val="728"/>
              <w:jc w:val="center"/>
              <w:spacing w:after="0"/>
              <w:rPr>
                <w:highlight w:val="none"/>
              </w:rPr>
            </w:pPr>
            <w:r>
              <w:rPr>
                <w:rFonts w:hint="eastAsia"/>
                <w:highlight w:val="none"/>
              </w:rPr>
              <w:t xml:space="preserve">镜片强度</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 </w:t>
            </w:r>
            <w:r>
              <w:rPr>
                <w:rFonts w:hint="eastAsia"/>
                <w:highlight w:val="none"/>
              </w:rPr>
              <w:t xml:space="preserve">45184—</w:t>
            </w:r>
            <w:r>
              <w:rPr>
                <w:highlight w:val="none"/>
              </w:rPr>
              <w:t xml:space="preserve">20</w:t>
            </w:r>
            <w:r>
              <w:rPr>
                <w:rFonts w:hint="eastAsia"/>
                <w:highlight w:val="none"/>
              </w:rPr>
              <w:t xml:space="preserve">24</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12</w:t>
            </w:r>
            <w:r>
              <w:rPr>
                <w:highlight w:val="none"/>
              </w:rPr>
            </w:r>
            <w:r/>
          </w:p>
        </w:tc>
        <w:tc>
          <w:tcPr>
            <w:tcW w:w="1710" w:type="dxa"/>
            <w:vAlign w:val="center"/>
            <w:vMerge w:val="restart"/>
            <w:textDirection w:val="lrTb"/>
            <w:noWrap/>
          </w:tcPr>
          <w:p>
            <w:pPr>
              <w:pStyle w:val="728"/>
              <w:jc w:val="center"/>
              <w:spacing w:after="0"/>
              <w:rPr>
                <w:highlight w:val="none"/>
              </w:rPr>
            </w:pPr>
            <w:r>
              <w:rPr>
                <w:highlight w:val="none"/>
              </w:rPr>
              <w:t xml:space="preserve">镜片尺寸</w:t>
            </w:r>
            <w:r>
              <w:rPr>
                <w:highlight w:val="none"/>
              </w:rPr>
            </w:r>
            <w:r/>
          </w:p>
        </w:tc>
        <w:tc>
          <w:tcPr>
            <w:tcW w:w="2964" w:type="dxa"/>
            <w:vAlign w:val="center"/>
            <w:textDirection w:val="lrTb"/>
            <w:noWrap/>
          </w:tcPr>
          <w:p>
            <w:pPr>
              <w:pStyle w:val="728"/>
              <w:jc w:val="center"/>
              <w:spacing w:after="0"/>
              <w:rPr>
                <w:highlight w:val="none"/>
              </w:rPr>
            </w:pPr>
            <w:r>
              <w:rPr>
                <w:highlight w:val="none"/>
              </w:rPr>
              <w:t xml:space="preserve">有效尺寸偏差</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w:t>
            </w:r>
            <w:r>
              <w:rPr>
                <w:rFonts w:hint="eastAsia"/>
                <w:highlight w:val="none"/>
              </w:rPr>
              <w:t xml:space="preserve">/T</w:t>
            </w:r>
            <w:r>
              <w:rPr>
                <w:highlight w:val="none"/>
              </w:rPr>
              <w:t xml:space="preserve"> 10810.1</w:t>
            </w:r>
            <w:r>
              <w:rPr>
                <w:rFonts w:hint="eastAsia"/>
                <w:highlight w:val="none"/>
              </w:rPr>
              <w:t xml:space="preserve">—</w:t>
            </w:r>
            <w:r>
              <w:rPr>
                <w:highlight w:val="none"/>
              </w:rPr>
              <w:t xml:space="preserve">20</w:t>
            </w:r>
            <w:r>
              <w:rPr>
                <w:rFonts w:hint="eastAsia"/>
                <w:highlight w:val="none"/>
              </w:rPr>
              <w:t xml:space="preserve">25</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13</w:t>
            </w:r>
            <w:r>
              <w:rPr>
                <w:highlight w:val="none"/>
              </w:rPr>
            </w:r>
            <w:r/>
          </w:p>
        </w:tc>
        <w:tc>
          <w:tcPr>
            <w:tcW w:w="1710" w:type="dxa"/>
            <w:vAlign w:val="center"/>
            <w:vMerge w:val="continue"/>
            <w:textDirection w:val="lrTb"/>
            <w:noWrap/>
          </w:tcPr>
          <w:p>
            <w:pPr>
              <w:pStyle w:val="728"/>
              <w:jc w:val="center"/>
              <w:spacing w:after="0"/>
              <w:rPr>
                <w:highlight w:val="none"/>
              </w:rPr>
            </w:pPr>
            <w:r>
              <w:rPr>
                <w:highlight w:val="none"/>
              </w:rPr>
            </w:r>
            <w:r/>
          </w:p>
        </w:tc>
        <w:tc>
          <w:tcPr>
            <w:tcW w:w="2964" w:type="dxa"/>
            <w:vAlign w:val="center"/>
            <w:textDirection w:val="lrTb"/>
            <w:noWrap/>
          </w:tcPr>
          <w:p>
            <w:pPr>
              <w:pStyle w:val="728"/>
              <w:jc w:val="center"/>
              <w:spacing w:after="0"/>
              <w:rPr>
                <w:highlight w:val="none"/>
              </w:rPr>
            </w:pPr>
            <w:r>
              <w:rPr>
                <w:highlight w:val="none"/>
              </w:rPr>
              <w:t xml:space="preserve">使用尺寸偏差</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w:t>
            </w:r>
            <w:r>
              <w:rPr>
                <w:rFonts w:hint="eastAsia"/>
                <w:highlight w:val="none"/>
              </w:rPr>
              <w:t xml:space="preserve">/T</w:t>
            </w:r>
            <w:r>
              <w:rPr>
                <w:highlight w:val="none"/>
              </w:rPr>
              <w:t xml:space="preserve"> 10810.1</w:t>
            </w:r>
            <w:r>
              <w:rPr>
                <w:rFonts w:hint="eastAsia"/>
                <w:highlight w:val="none"/>
              </w:rPr>
              <w:t xml:space="preserve">—</w:t>
            </w:r>
            <w:r>
              <w:rPr>
                <w:highlight w:val="none"/>
              </w:rPr>
              <w:t xml:space="preserve">20</w:t>
            </w:r>
            <w:r>
              <w:rPr>
                <w:rFonts w:hint="eastAsia"/>
                <w:highlight w:val="none"/>
              </w:rPr>
              <w:t xml:space="preserve">25</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14</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基准点厚度</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w:t>
            </w:r>
            <w:r>
              <w:rPr>
                <w:rFonts w:hint="eastAsia"/>
                <w:highlight w:val="none"/>
              </w:rPr>
              <w:t xml:space="preserve">/T</w:t>
            </w:r>
            <w:r>
              <w:rPr>
                <w:highlight w:val="none"/>
              </w:rPr>
              <w:t xml:space="preserve"> 10810.1</w:t>
            </w:r>
            <w:r>
              <w:rPr>
                <w:rFonts w:hint="eastAsia"/>
                <w:highlight w:val="none"/>
              </w:rPr>
              <w:t xml:space="preserve">—</w:t>
            </w:r>
            <w:r>
              <w:rPr>
                <w:highlight w:val="none"/>
              </w:rPr>
              <w:t xml:space="preserve">20</w:t>
            </w:r>
            <w:r>
              <w:rPr>
                <w:rFonts w:hint="eastAsia"/>
                <w:highlight w:val="none"/>
              </w:rPr>
              <w:t xml:space="preserve">25</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15</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厚度偏差</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w:t>
            </w:r>
            <w:r>
              <w:rPr>
                <w:rFonts w:hint="eastAsia"/>
                <w:highlight w:val="none"/>
              </w:rPr>
              <w:t xml:space="preserve">/T</w:t>
            </w:r>
            <w:r>
              <w:rPr>
                <w:highlight w:val="none"/>
              </w:rPr>
              <w:t xml:space="preserve"> 10810.1</w:t>
            </w:r>
            <w:r>
              <w:rPr>
                <w:rFonts w:hint="eastAsia"/>
                <w:highlight w:val="none"/>
              </w:rPr>
              <w:t xml:space="preserve">—</w:t>
            </w:r>
            <w:r>
              <w:rPr>
                <w:highlight w:val="none"/>
              </w:rPr>
              <w:t xml:space="preserve">20</w:t>
            </w:r>
            <w:r>
              <w:rPr>
                <w:rFonts w:hint="eastAsia"/>
                <w:highlight w:val="none"/>
              </w:rPr>
              <w:t xml:space="preserve">25</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16</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折射率</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17</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阿贝数</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18</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变色状态下光透射比</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w:t>
            </w:r>
            <w:r>
              <w:rPr>
                <w:rFonts w:hint="eastAsia"/>
                <w:highlight w:val="none"/>
              </w:rPr>
              <w:t xml:space="preserve">/T</w:t>
            </w:r>
            <w:r>
              <w:rPr>
                <w:highlight w:val="none"/>
              </w:rPr>
              <w:t xml:space="preserve"> 10810.</w:t>
            </w:r>
            <w:r>
              <w:rPr>
                <w:rFonts w:hint="eastAsia"/>
                <w:highlight w:val="none"/>
              </w:rPr>
              <w:t xml:space="preserve">3—</w:t>
            </w:r>
            <w:r>
              <w:rPr>
                <w:highlight w:val="none"/>
              </w:rPr>
              <w:t xml:space="preserve">20</w:t>
            </w:r>
            <w:r>
              <w:rPr>
                <w:rFonts w:hint="eastAsia"/>
                <w:highlight w:val="none"/>
              </w:rPr>
              <w:t xml:space="preserve">25</w:t>
            </w:r>
            <w:r>
              <w:rPr>
                <w:highlight w:val="none"/>
              </w:rPr>
            </w:r>
            <w:r/>
          </w:p>
        </w:tc>
      </w:tr>
      <w:tr>
        <w:trPr>
          <w:trHeight w:val="408"/>
        </w:trPr>
        <w:tc>
          <w:tcPr>
            <w:tcW w:w="703" w:type="dxa"/>
            <w:vAlign w:val="center"/>
            <w:textDirection w:val="lrTb"/>
            <w:noWrap/>
          </w:tcPr>
          <w:p>
            <w:pPr>
              <w:pStyle w:val="728"/>
              <w:jc w:val="center"/>
              <w:spacing w:after="0"/>
              <w:rPr>
                <w:highlight w:val="none"/>
              </w:rPr>
            </w:pPr>
            <w:r>
              <w:rPr>
                <w:rFonts w:hint="eastAsia"/>
                <w:highlight w:val="none"/>
              </w:rPr>
              <w:t xml:space="preserve">19</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光致变色响应值</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w:t>
            </w:r>
            <w:r>
              <w:rPr>
                <w:rFonts w:hint="eastAsia"/>
                <w:highlight w:val="none"/>
              </w:rPr>
              <w:t xml:space="preserve">/T</w:t>
            </w:r>
            <w:r>
              <w:rPr>
                <w:highlight w:val="none"/>
              </w:rPr>
              <w:t xml:space="preserve"> 10810.</w:t>
            </w:r>
            <w:r>
              <w:rPr>
                <w:rFonts w:hint="eastAsia"/>
                <w:highlight w:val="none"/>
              </w:rPr>
              <w:t xml:space="preserve">3—</w:t>
            </w:r>
            <w:r>
              <w:rPr>
                <w:highlight w:val="none"/>
              </w:rPr>
              <w:t xml:space="preserve">20</w:t>
            </w:r>
            <w:r>
              <w:rPr>
                <w:rFonts w:hint="eastAsia"/>
                <w:highlight w:val="none"/>
              </w:rPr>
              <w:t xml:space="preserve">25</w:t>
            </w:r>
            <w:r>
              <w:rPr>
                <w:highlight w:val="none"/>
              </w:rPr>
            </w:r>
            <w:r/>
          </w:p>
        </w:tc>
      </w:tr>
      <w:tr>
        <w:trPr>
          <w:trHeight w:val="408"/>
        </w:trPr>
        <w:tc>
          <w:tcPr>
            <w:tcW w:w="703" w:type="dxa"/>
            <w:vAlign w:val="center"/>
            <w:textDirection w:val="lrTb"/>
            <w:noWrap/>
          </w:tcPr>
          <w:p>
            <w:pPr>
              <w:pStyle w:val="728"/>
              <w:jc w:val="center"/>
              <w:spacing w:after="0"/>
              <w:rPr>
                <w:highlight w:val="none"/>
              </w:rPr>
            </w:pPr>
            <w:r>
              <w:rPr>
                <w:highlight w:val="none"/>
              </w:rPr>
              <w:t xml:space="preserve">20</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明示透射比（紫外吸收比）</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w:t>
            </w:r>
            <w:r>
              <w:rPr>
                <w:rFonts w:hint="eastAsia"/>
                <w:highlight w:val="none"/>
              </w:rPr>
              <w:t xml:space="preserve">/T</w:t>
            </w:r>
            <w:r>
              <w:rPr>
                <w:highlight w:val="none"/>
              </w:rPr>
              <w:t xml:space="preserve"> 10810.</w:t>
            </w:r>
            <w:r>
              <w:rPr>
                <w:rFonts w:hint="eastAsia"/>
                <w:highlight w:val="none"/>
              </w:rPr>
              <w:t xml:space="preserve">3—</w:t>
            </w:r>
            <w:r>
              <w:rPr>
                <w:highlight w:val="none"/>
              </w:rPr>
              <w:t xml:space="preserve">20</w:t>
            </w:r>
            <w:r>
              <w:rPr>
                <w:rFonts w:hint="eastAsia"/>
                <w:highlight w:val="none"/>
              </w:rPr>
              <w:t xml:space="preserve">25</w:t>
            </w:r>
            <w:r>
              <w:rPr>
                <w:highlight w:val="none"/>
              </w:rPr>
            </w:r>
            <w:r/>
          </w:p>
        </w:tc>
      </w:tr>
      <w:tr>
        <w:trPr>
          <w:trHeight w:val="408"/>
        </w:trPr>
        <w:tc>
          <w:tcPr>
            <w:tcW w:w="703" w:type="dxa"/>
            <w:vAlign w:val="center"/>
            <w:textDirection w:val="lrTb"/>
            <w:noWrap/>
          </w:tcPr>
          <w:p>
            <w:pPr>
              <w:pStyle w:val="728"/>
              <w:jc w:val="center"/>
              <w:spacing w:after="0"/>
              <w:rPr>
                <w:highlight w:val="none"/>
              </w:rPr>
            </w:pPr>
            <w:r>
              <w:rPr>
                <w:highlight w:val="none"/>
              </w:rPr>
              <w:t xml:space="preserve">21</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明示透射比（截止波长）</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GB</w:t>
            </w:r>
            <w:r>
              <w:rPr>
                <w:rFonts w:hint="eastAsia"/>
                <w:highlight w:val="none"/>
              </w:rPr>
              <w:t xml:space="preserve">/T</w:t>
            </w:r>
            <w:r>
              <w:rPr>
                <w:highlight w:val="none"/>
              </w:rPr>
              <w:t xml:space="preserve"> 10810.</w:t>
            </w:r>
            <w:r>
              <w:rPr>
                <w:rFonts w:hint="eastAsia"/>
                <w:highlight w:val="none"/>
              </w:rPr>
              <w:t xml:space="preserve">3—</w:t>
            </w:r>
            <w:r>
              <w:rPr>
                <w:highlight w:val="none"/>
              </w:rPr>
              <w:t xml:space="preserve">20</w:t>
            </w:r>
            <w:r>
              <w:rPr>
                <w:rFonts w:hint="eastAsia"/>
                <w:highlight w:val="none"/>
              </w:rPr>
              <w:t xml:space="preserve">25</w:t>
            </w:r>
            <w:r>
              <w:rPr>
                <w:highlight w:val="none"/>
              </w:rPr>
            </w:r>
            <w:r/>
          </w:p>
        </w:tc>
      </w:tr>
      <w:tr>
        <w:trPr>
          <w:trHeight w:val="408"/>
        </w:trPr>
        <w:tc>
          <w:tcPr>
            <w:tcW w:w="703" w:type="dxa"/>
            <w:vAlign w:val="center"/>
            <w:textDirection w:val="lrTb"/>
            <w:noWrap/>
          </w:tcPr>
          <w:p>
            <w:pPr>
              <w:pStyle w:val="728"/>
              <w:jc w:val="center"/>
              <w:spacing w:after="0"/>
              <w:rPr>
                <w:highlight w:val="none"/>
              </w:rPr>
            </w:pPr>
            <w:r>
              <w:rPr>
                <w:highlight w:val="none"/>
              </w:rPr>
              <w:t xml:space="preserve">22</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蓝光性能</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r>
      <w:tr>
        <w:trPr>
          <w:trHeight w:val="408"/>
        </w:trPr>
        <w:tc>
          <w:tcPr>
            <w:tcW w:w="703" w:type="dxa"/>
            <w:vAlign w:val="center"/>
            <w:textDirection w:val="lrTb"/>
            <w:noWrap/>
          </w:tcPr>
          <w:p>
            <w:pPr>
              <w:pStyle w:val="728"/>
              <w:jc w:val="center"/>
              <w:spacing w:after="0"/>
              <w:rPr>
                <w:highlight w:val="none"/>
              </w:rPr>
            </w:pPr>
            <w:r>
              <w:rPr>
                <w:highlight w:val="none"/>
              </w:rPr>
              <w:t xml:space="preserve">23</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耐光辐照</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r>
      <w:tr>
        <w:trPr>
          <w:trHeight w:val="408"/>
        </w:trPr>
        <w:tc>
          <w:tcPr>
            <w:tcW w:w="703" w:type="dxa"/>
            <w:vAlign w:val="center"/>
            <w:textDirection w:val="lrTb"/>
            <w:noWrap/>
          </w:tcPr>
          <w:p>
            <w:pPr>
              <w:pStyle w:val="728"/>
              <w:jc w:val="center"/>
              <w:spacing w:after="0"/>
              <w:rPr>
                <w:highlight w:val="none"/>
              </w:rPr>
            </w:pPr>
            <w:r>
              <w:rPr>
                <w:highlight w:val="none"/>
              </w:rPr>
              <w:t xml:space="preserve">24</w:t>
            </w:r>
            <w:r>
              <w:rPr>
                <w:highlight w:val="none"/>
              </w:rPr>
            </w:r>
            <w:r/>
          </w:p>
        </w:tc>
        <w:tc>
          <w:tcPr>
            <w:gridSpan w:val="2"/>
            <w:tcW w:w="4674" w:type="dxa"/>
            <w:vAlign w:val="center"/>
            <w:textDirection w:val="lrTb"/>
            <w:noWrap/>
          </w:tcPr>
          <w:p>
            <w:pPr>
              <w:pStyle w:val="728"/>
              <w:jc w:val="center"/>
              <w:spacing w:after="0"/>
              <w:rPr>
                <w:highlight w:val="none"/>
              </w:rPr>
            </w:pPr>
            <w:r>
              <w:rPr>
                <w:highlight w:val="none"/>
              </w:rPr>
              <w:t xml:space="preserve">阻燃性</w:t>
            </w:r>
            <w:r>
              <w:rPr>
                <w:highlight w:val="none"/>
              </w:rPr>
            </w:r>
            <w:r/>
          </w:p>
        </w:tc>
        <w:tc>
          <w:tcPr>
            <w:tcW w:w="2091"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c>
          <w:tcPr>
            <w:tcW w:w="2119" w:type="dxa"/>
            <w:vAlign w:val="center"/>
            <w:textDirection w:val="lrTb"/>
            <w:noWrap/>
          </w:tcPr>
          <w:p>
            <w:pPr>
              <w:pStyle w:val="728"/>
              <w:jc w:val="center"/>
              <w:spacing w:after="0"/>
              <w:rPr>
                <w:highlight w:val="none"/>
              </w:rPr>
            </w:pPr>
            <w:r>
              <w:rPr>
                <w:highlight w:val="none"/>
              </w:rPr>
              <w:t xml:space="preserve">QB/T 2506</w:t>
            </w:r>
            <w:r>
              <w:rPr>
                <w:rFonts w:hint="eastAsia"/>
                <w:highlight w:val="none"/>
              </w:rPr>
              <w:t xml:space="preserve">—</w:t>
            </w:r>
            <w:r>
              <w:rPr>
                <w:highlight w:val="none"/>
              </w:rPr>
              <w:t xml:space="preserve">2017</w:t>
            </w:r>
            <w:r>
              <w:rPr>
                <w:highlight w:val="none"/>
              </w:rPr>
            </w:r>
            <w:r/>
          </w:p>
          <w:p>
            <w:pPr>
              <w:pStyle w:val="728"/>
              <w:jc w:val="center"/>
              <w:spacing w:after="0"/>
              <w:rPr>
                <w:highlight w:val="none"/>
              </w:rPr>
            </w:pPr>
            <w:r>
              <w:rPr>
                <w:highlight w:val="none"/>
              </w:rPr>
              <w:t xml:space="preserve">QB/T 2506</w:t>
            </w:r>
            <w:r>
              <w:rPr>
                <w:rFonts w:hint="eastAsia"/>
                <w:highlight w:val="none"/>
              </w:rPr>
              <w:t xml:space="preserve">—2025</w:t>
            </w:r>
            <w:r>
              <w:rPr>
                <w:highlight w:val="none"/>
              </w:rPr>
            </w:r>
            <w:r/>
          </w:p>
        </w:tc>
      </w:tr>
    </w:tbl>
    <w:p>
      <w:pPr>
        <w:pStyle w:val="728"/>
        <w:rPr>
          <w:b/>
          <w:bCs/>
          <w:sz w:val="32"/>
          <w:szCs w:val="32"/>
          <w:highlight w:val="none"/>
        </w:rPr>
      </w:pPr>
      <w:r>
        <w:rPr>
          <w:b/>
          <w:bCs/>
          <w:sz w:val="32"/>
          <w:szCs w:val="32"/>
          <w:highlight w:val="none"/>
        </w:rPr>
      </w:r>
      <w:r/>
    </w:p>
    <w:p>
      <w:pPr>
        <w:pStyle w:val="728"/>
        <w:rPr>
          <w:highlight w:val="none"/>
        </w:rPr>
      </w:pPr>
      <w:r>
        <w:rPr>
          <w:highlight w:val="none"/>
        </w:rPr>
        <w:t xml:space="preserve">眼镜架产品</w:t>
      </w:r>
      <w:r>
        <w:rPr>
          <w:highlight w:val="none"/>
        </w:rPr>
      </w:r>
      <w:r/>
    </w:p>
    <w:tbl>
      <w:tblPr>
        <w:tblW w:w="94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3425"/>
        <w:gridCol w:w="2259"/>
        <w:gridCol w:w="2801"/>
      </w:tblGrid>
      <w:tr>
        <w:trPr>
          <w:tblHeader/>
        </w:trPr>
        <w:tc>
          <w:tcPr>
            <w:tcW w:w="1008" w:type="dxa"/>
            <w:vAlign w:val="top"/>
            <w:textDirection w:val="lrTb"/>
            <w:noWrap/>
          </w:tcPr>
          <w:p>
            <w:pPr>
              <w:pStyle w:val="728"/>
              <w:jc w:val="center"/>
              <w:spacing w:after="0" w:line="440" w:lineRule="exact"/>
              <w:rPr>
                <w:highlight w:val="none"/>
              </w:rPr>
            </w:pPr>
            <w:r>
              <w:rPr>
                <w:highlight w:val="none"/>
              </w:rPr>
              <w:t xml:space="preserve">序号</w:t>
            </w:r>
            <w:r>
              <w:rPr>
                <w:highlight w:val="none"/>
              </w:rPr>
            </w:r>
            <w:r/>
          </w:p>
        </w:tc>
        <w:tc>
          <w:tcPr>
            <w:tcW w:w="3425" w:type="dxa"/>
            <w:vAlign w:val="top"/>
            <w:textDirection w:val="lrTb"/>
            <w:noWrap/>
          </w:tcPr>
          <w:p>
            <w:pPr>
              <w:pStyle w:val="728"/>
              <w:jc w:val="center"/>
              <w:spacing w:after="0" w:line="440" w:lineRule="exact"/>
              <w:rPr>
                <w:highlight w:val="none"/>
              </w:rPr>
            </w:pPr>
            <w:r>
              <w:rPr>
                <w:highlight w:val="none"/>
              </w:rPr>
              <w:t xml:space="preserve">检验项目</w:t>
            </w:r>
            <w:r>
              <w:rPr>
                <w:highlight w:val="none"/>
              </w:rPr>
            </w:r>
            <w:r/>
          </w:p>
        </w:tc>
        <w:tc>
          <w:tcPr>
            <w:tcW w:w="2259" w:type="dxa"/>
            <w:vAlign w:val="top"/>
            <w:textDirection w:val="lrTb"/>
            <w:noWrap/>
          </w:tcPr>
          <w:p>
            <w:pPr>
              <w:pStyle w:val="728"/>
              <w:jc w:val="center"/>
              <w:spacing w:after="0" w:line="440" w:lineRule="exact"/>
              <w:rPr>
                <w:highlight w:val="none"/>
              </w:rPr>
            </w:pPr>
            <w:r>
              <w:rPr>
                <w:highlight w:val="none"/>
              </w:rPr>
              <w:t xml:space="preserve">检验依据</w:t>
            </w:r>
            <w:r>
              <w:rPr>
                <w:highlight w:val="none"/>
              </w:rPr>
            </w:r>
            <w:r/>
          </w:p>
        </w:tc>
        <w:tc>
          <w:tcPr>
            <w:tcW w:w="2801" w:type="dxa"/>
            <w:vAlign w:val="top"/>
            <w:textDirection w:val="lrTb"/>
            <w:noWrap/>
          </w:tcPr>
          <w:p>
            <w:pPr>
              <w:pStyle w:val="728"/>
              <w:jc w:val="center"/>
              <w:spacing w:after="0" w:line="440" w:lineRule="exact"/>
              <w:rPr>
                <w:highlight w:val="none"/>
              </w:rPr>
            </w:pPr>
            <w:r>
              <w:rPr>
                <w:highlight w:val="none"/>
              </w:rPr>
              <w:t xml:space="preserve">检验方法</w:t>
            </w:r>
            <w:r>
              <w:rPr>
                <w:highlight w:val="none"/>
              </w:rPr>
            </w:r>
            <w:r/>
          </w:p>
        </w:tc>
      </w:tr>
      <w:tr>
        <w:trPr>
          <w:trHeight w:val="408"/>
        </w:trPr>
        <w:tc>
          <w:tcPr>
            <w:tcW w:w="1008" w:type="dxa"/>
            <w:vAlign w:val="center"/>
            <w:textDirection w:val="lrTb"/>
            <w:noWrap/>
          </w:tcPr>
          <w:p>
            <w:pPr>
              <w:pStyle w:val="728"/>
              <w:jc w:val="center"/>
              <w:spacing w:after="0"/>
              <w:rPr>
                <w:highlight w:val="none"/>
              </w:rPr>
            </w:pPr>
            <w:r>
              <w:rPr>
                <w:highlight w:val="none"/>
              </w:rPr>
              <w:t xml:space="preserve">1</w:t>
            </w:r>
            <w:r>
              <w:rPr>
                <w:highlight w:val="none"/>
              </w:rPr>
            </w:r>
            <w:r/>
          </w:p>
        </w:tc>
        <w:tc>
          <w:tcPr>
            <w:tcW w:w="3425" w:type="dxa"/>
            <w:vAlign w:val="center"/>
            <w:textDirection w:val="lrTb"/>
            <w:noWrap/>
          </w:tcPr>
          <w:p>
            <w:pPr>
              <w:pStyle w:val="728"/>
              <w:jc w:val="center"/>
              <w:spacing w:after="0"/>
              <w:rPr>
                <w:highlight w:val="none"/>
              </w:rPr>
            </w:pPr>
            <w:r>
              <w:rPr>
                <w:highlight w:val="none"/>
              </w:rPr>
              <w:t xml:space="preserve">抗汗腐蚀</w:t>
            </w:r>
            <w:r>
              <w:rPr>
                <w:highlight w:val="none"/>
              </w:rPr>
            </w:r>
            <w:r/>
          </w:p>
        </w:tc>
        <w:tc>
          <w:tcPr>
            <w:tcW w:w="2259" w:type="dxa"/>
            <w:vAlign w:val="center"/>
            <w:textDirection w:val="lrTb"/>
            <w:noWrap/>
          </w:tcPr>
          <w:p>
            <w:pPr>
              <w:pStyle w:val="728"/>
              <w:jc w:val="center"/>
              <w:spacing w:after="0" w:line="280" w:lineRule="exact"/>
              <w:rPr>
                <w:highlight w:val="none"/>
              </w:rPr>
            </w:pPr>
            <w:r>
              <w:rPr>
                <w:rFonts w:hint="eastAsia"/>
                <w:highlight w:val="none"/>
              </w:rPr>
              <w:t xml:space="preserve">GB45184-2024 </w:t>
            </w:r>
            <w:r>
              <w:rPr>
                <w:highlight w:val="none"/>
              </w:rPr>
            </w:r>
            <w:r/>
          </w:p>
        </w:tc>
        <w:tc>
          <w:tcPr>
            <w:tcW w:w="2801" w:type="dxa"/>
            <w:vAlign w:val="center"/>
            <w:textDirection w:val="lrTb"/>
            <w:noWrap/>
          </w:tcPr>
          <w:p>
            <w:pPr>
              <w:pStyle w:val="728"/>
              <w:jc w:val="center"/>
              <w:spacing w:after="0" w:line="280" w:lineRule="exact"/>
              <w:rPr>
                <w:highlight w:val="none"/>
              </w:rPr>
            </w:pPr>
            <w:r>
              <w:rPr>
                <w:rFonts w:hint="eastAsia"/>
                <w:highlight w:val="none"/>
              </w:rPr>
              <w:t xml:space="preserve">GB45184-2024</w:t>
            </w:r>
            <w:r>
              <w:rPr>
                <w:highlight w:val="none"/>
              </w:rPr>
            </w:r>
            <w:r/>
          </w:p>
        </w:tc>
      </w:tr>
      <w:tr>
        <w:trPr>
          <w:trHeight w:val="408"/>
        </w:trPr>
        <w:tc>
          <w:tcPr>
            <w:tcW w:w="1008" w:type="dxa"/>
            <w:vAlign w:val="center"/>
            <w:textDirection w:val="lrTb"/>
            <w:noWrap/>
          </w:tcPr>
          <w:p>
            <w:pPr>
              <w:pStyle w:val="728"/>
              <w:jc w:val="center"/>
              <w:spacing w:after="0"/>
              <w:rPr>
                <w:highlight w:val="none"/>
              </w:rPr>
            </w:pPr>
            <w:r>
              <w:rPr>
                <w:highlight w:val="none"/>
              </w:rPr>
              <w:t xml:space="preserve">2</w:t>
            </w:r>
            <w:r>
              <w:rPr>
                <w:highlight w:val="none"/>
              </w:rPr>
            </w:r>
            <w:r/>
          </w:p>
        </w:tc>
        <w:tc>
          <w:tcPr>
            <w:tcW w:w="3425" w:type="dxa"/>
            <w:vAlign w:val="center"/>
            <w:textDirection w:val="lrTb"/>
            <w:noWrap/>
          </w:tcPr>
          <w:p>
            <w:pPr>
              <w:pStyle w:val="728"/>
              <w:jc w:val="center"/>
              <w:spacing w:after="0"/>
              <w:rPr>
                <w:highlight w:val="none"/>
              </w:rPr>
            </w:pPr>
            <w:r>
              <w:rPr>
                <w:highlight w:val="none"/>
              </w:rPr>
              <w:t xml:space="preserve">机械稳定性—鼻梁变形</w:t>
            </w:r>
            <w:r>
              <w:rPr>
                <w:highlight w:val="none"/>
              </w:rPr>
            </w:r>
            <w:r/>
          </w:p>
        </w:tc>
        <w:tc>
          <w:tcPr>
            <w:tcW w:w="2259" w:type="dxa"/>
            <w:vAlign w:val="center"/>
            <w:textDirection w:val="lrTb"/>
            <w:noWrap/>
          </w:tcPr>
          <w:p>
            <w:pPr>
              <w:pStyle w:val="728"/>
              <w:jc w:val="center"/>
              <w:spacing w:after="0" w:line="280" w:lineRule="exact"/>
              <w:rPr>
                <w:highlight w:val="none"/>
              </w:rPr>
            </w:pPr>
            <w:r>
              <w:rPr>
                <w:rFonts w:hint="eastAsia"/>
                <w:highlight w:val="none"/>
              </w:rPr>
              <w:t xml:space="preserve">GB45184-2024 </w:t>
            </w:r>
            <w:r>
              <w:rPr>
                <w:highlight w:val="none"/>
              </w:rPr>
            </w:r>
            <w:r/>
          </w:p>
        </w:tc>
        <w:tc>
          <w:tcPr>
            <w:tcW w:w="2801" w:type="dxa"/>
            <w:vAlign w:val="center"/>
            <w:textDirection w:val="lrTb"/>
            <w:noWrap/>
          </w:tcPr>
          <w:p>
            <w:pPr>
              <w:pStyle w:val="728"/>
              <w:jc w:val="center"/>
              <w:spacing w:after="0" w:line="280" w:lineRule="exact"/>
              <w:rPr>
                <w:highlight w:val="none"/>
              </w:rPr>
            </w:pPr>
            <w:r>
              <w:rPr>
                <w:rFonts w:hint="eastAsia"/>
                <w:highlight w:val="none"/>
              </w:rPr>
              <w:t xml:space="preserve">GB45184-2024</w:t>
            </w:r>
            <w:r>
              <w:rPr>
                <w:highlight w:val="none"/>
              </w:rPr>
            </w:r>
            <w:r/>
          </w:p>
        </w:tc>
      </w:tr>
      <w:tr>
        <w:trPr>
          <w:trHeight w:val="408"/>
        </w:trPr>
        <w:tc>
          <w:tcPr>
            <w:tcW w:w="1008" w:type="dxa"/>
            <w:vAlign w:val="center"/>
            <w:textDirection w:val="lrTb"/>
            <w:noWrap/>
          </w:tcPr>
          <w:p>
            <w:pPr>
              <w:pStyle w:val="728"/>
              <w:jc w:val="center"/>
              <w:spacing w:after="0"/>
              <w:rPr>
                <w:highlight w:val="none"/>
              </w:rPr>
            </w:pPr>
            <w:r>
              <w:rPr>
                <w:highlight w:val="none"/>
              </w:rPr>
              <w:t xml:space="preserve">3</w:t>
            </w:r>
            <w:r>
              <w:rPr>
                <w:highlight w:val="none"/>
              </w:rPr>
            </w:r>
            <w:r/>
          </w:p>
        </w:tc>
        <w:tc>
          <w:tcPr>
            <w:tcW w:w="3425" w:type="dxa"/>
            <w:vAlign w:val="center"/>
            <w:textDirection w:val="lrTb"/>
            <w:noWrap/>
          </w:tcPr>
          <w:p>
            <w:pPr>
              <w:pStyle w:val="728"/>
              <w:jc w:val="center"/>
              <w:spacing w:after="0"/>
              <w:rPr>
                <w:highlight w:val="none"/>
              </w:rPr>
            </w:pPr>
            <w:r>
              <w:rPr>
                <w:highlight w:val="none"/>
              </w:rPr>
              <w:t xml:space="preserve">机械稳定性—镜片夹持力</w:t>
            </w:r>
            <w:r>
              <w:rPr>
                <w:highlight w:val="none"/>
              </w:rPr>
            </w:r>
            <w:r/>
          </w:p>
        </w:tc>
        <w:tc>
          <w:tcPr>
            <w:tcW w:w="2259" w:type="dxa"/>
            <w:vAlign w:val="center"/>
            <w:textDirection w:val="lrTb"/>
            <w:noWrap/>
          </w:tcPr>
          <w:p>
            <w:pPr>
              <w:pStyle w:val="728"/>
              <w:jc w:val="center"/>
              <w:spacing w:after="0" w:line="280" w:lineRule="exact"/>
              <w:rPr>
                <w:highlight w:val="none"/>
              </w:rPr>
            </w:pPr>
            <w:r>
              <w:rPr>
                <w:rFonts w:hint="eastAsia"/>
                <w:highlight w:val="none"/>
              </w:rPr>
              <w:t xml:space="preserve">GB45184-2024 </w:t>
            </w:r>
            <w:r>
              <w:rPr>
                <w:highlight w:val="none"/>
              </w:rPr>
            </w:r>
            <w:r/>
          </w:p>
        </w:tc>
        <w:tc>
          <w:tcPr>
            <w:tcW w:w="2801" w:type="dxa"/>
            <w:vAlign w:val="center"/>
            <w:textDirection w:val="lrTb"/>
            <w:noWrap/>
          </w:tcPr>
          <w:p>
            <w:pPr>
              <w:pStyle w:val="728"/>
              <w:jc w:val="center"/>
              <w:spacing w:after="0" w:line="280" w:lineRule="exact"/>
              <w:rPr>
                <w:highlight w:val="none"/>
              </w:rPr>
            </w:pPr>
            <w:r>
              <w:rPr>
                <w:rFonts w:hint="eastAsia"/>
                <w:highlight w:val="none"/>
              </w:rPr>
              <w:t xml:space="preserve">GB45184-2024</w:t>
            </w:r>
            <w:r>
              <w:rPr>
                <w:highlight w:val="none"/>
              </w:rPr>
            </w:r>
            <w:r/>
          </w:p>
        </w:tc>
      </w:tr>
      <w:tr>
        <w:trPr>
          <w:trHeight w:val="408"/>
        </w:trPr>
        <w:tc>
          <w:tcPr>
            <w:tcW w:w="1008" w:type="dxa"/>
            <w:vAlign w:val="center"/>
            <w:textDirection w:val="lrTb"/>
            <w:noWrap/>
          </w:tcPr>
          <w:p>
            <w:pPr>
              <w:pStyle w:val="728"/>
              <w:jc w:val="center"/>
              <w:spacing w:after="0"/>
              <w:rPr>
                <w:highlight w:val="none"/>
              </w:rPr>
            </w:pPr>
            <w:r>
              <w:rPr>
                <w:highlight w:val="none"/>
              </w:rPr>
              <w:t xml:space="preserve">4</w:t>
            </w:r>
            <w:r>
              <w:rPr>
                <w:highlight w:val="none"/>
              </w:rPr>
            </w:r>
            <w:r/>
          </w:p>
        </w:tc>
        <w:tc>
          <w:tcPr>
            <w:tcW w:w="3425" w:type="dxa"/>
            <w:vAlign w:val="center"/>
            <w:textDirection w:val="lrTb"/>
            <w:noWrap/>
          </w:tcPr>
          <w:p>
            <w:pPr>
              <w:pStyle w:val="728"/>
              <w:jc w:val="center"/>
              <w:spacing w:after="0"/>
              <w:rPr>
                <w:highlight w:val="none"/>
              </w:rPr>
            </w:pPr>
            <w:r>
              <w:rPr>
                <w:rFonts w:hint="eastAsia"/>
                <w:highlight w:val="none"/>
              </w:rPr>
              <w:t xml:space="preserve">镍析出量</w:t>
            </w:r>
            <w:r>
              <w:rPr>
                <w:highlight w:val="none"/>
              </w:rPr>
            </w:r>
            <w:r/>
          </w:p>
        </w:tc>
        <w:tc>
          <w:tcPr>
            <w:tcW w:w="2259" w:type="dxa"/>
            <w:vAlign w:val="center"/>
            <w:textDirection w:val="lrTb"/>
            <w:noWrap/>
          </w:tcPr>
          <w:p>
            <w:pPr>
              <w:pStyle w:val="728"/>
              <w:jc w:val="center"/>
              <w:spacing w:after="0" w:line="280" w:lineRule="exact"/>
              <w:rPr>
                <w:highlight w:val="none"/>
              </w:rPr>
            </w:pPr>
            <w:r>
              <w:rPr>
                <w:rFonts w:hint="eastAsia"/>
                <w:highlight w:val="none"/>
              </w:rPr>
              <w:t xml:space="preserve">GB45184-2024 </w:t>
            </w:r>
            <w:r>
              <w:rPr>
                <w:highlight w:val="none"/>
              </w:rPr>
            </w:r>
            <w:r/>
          </w:p>
        </w:tc>
        <w:tc>
          <w:tcPr>
            <w:tcW w:w="2801" w:type="dxa"/>
            <w:vAlign w:val="center"/>
            <w:textDirection w:val="lrTb"/>
            <w:noWrap/>
          </w:tcPr>
          <w:p>
            <w:pPr>
              <w:pStyle w:val="728"/>
              <w:jc w:val="center"/>
              <w:spacing w:after="0" w:line="280" w:lineRule="exact"/>
              <w:rPr>
                <w:highlight w:val="none"/>
              </w:rPr>
            </w:pPr>
            <w:r>
              <w:rPr>
                <w:rFonts w:hint="eastAsia"/>
                <w:highlight w:val="none"/>
              </w:rPr>
              <w:t xml:space="preserve">GB45184-2024</w:t>
            </w:r>
            <w:r>
              <w:rPr>
                <w:highlight w:val="none"/>
              </w:rPr>
            </w:r>
            <w:r/>
          </w:p>
        </w:tc>
      </w:tr>
      <w:tr>
        <w:trPr>
          <w:trHeight w:val="408"/>
        </w:trPr>
        <w:tc>
          <w:tcPr>
            <w:tcW w:w="1008" w:type="dxa"/>
            <w:vAlign w:val="center"/>
            <w:textDirection w:val="lrTb"/>
            <w:noWrap/>
          </w:tcPr>
          <w:p>
            <w:pPr>
              <w:pStyle w:val="728"/>
              <w:jc w:val="center"/>
              <w:spacing w:after="0"/>
              <w:rPr>
                <w:highlight w:val="none"/>
              </w:rPr>
            </w:pPr>
            <w:r>
              <w:rPr>
                <w:highlight w:val="none"/>
              </w:rPr>
              <w:t xml:space="preserve">5</w:t>
            </w:r>
            <w:r>
              <w:rPr>
                <w:highlight w:val="none"/>
              </w:rPr>
            </w:r>
            <w:r/>
          </w:p>
        </w:tc>
        <w:tc>
          <w:tcPr>
            <w:tcW w:w="3425" w:type="dxa"/>
            <w:vAlign w:val="center"/>
            <w:textDirection w:val="lrTb"/>
            <w:noWrap/>
          </w:tcPr>
          <w:p>
            <w:pPr>
              <w:pStyle w:val="728"/>
              <w:jc w:val="center"/>
              <w:spacing w:after="0"/>
              <w:rPr>
                <w:highlight w:val="none"/>
              </w:rPr>
            </w:pPr>
            <w:r>
              <w:rPr>
                <w:highlight w:val="none"/>
              </w:rPr>
              <w:t xml:space="preserve">机械稳定性—耐疲劳</w:t>
            </w:r>
            <w:r>
              <w:rPr>
                <w:highlight w:val="none"/>
              </w:rPr>
            </w:r>
            <w:r/>
          </w:p>
        </w:tc>
        <w:tc>
          <w:tcPr>
            <w:tcW w:w="2259" w:type="dxa"/>
            <w:vAlign w:val="center"/>
            <w:textDirection w:val="lrTb"/>
            <w:noWrap/>
          </w:tcPr>
          <w:p>
            <w:pPr>
              <w:pStyle w:val="728"/>
              <w:ind w:left="1260" w:hanging="1338"/>
              <w:jc w:val="center"/>
              <w:spacing w:after="0"/>
              <w:rPr>
                <w:highlight w:val="none"/>
              </w:rPr>
            </w:pPr>
            <w:r>
              <w:rPr>
                <w:highlight w:val="none"/>
              </w:rPr>
              <w:t xml:space="preserve">GB/T 14214—2019</w:t>
            </w:r>
            <w:r>
              <w:rPr>
                <w:highlight w:val="none"/>
              </w:rPr>
            </w:r>
            <w:r/>
          </w:p>
        </w:tc>
        <w:tc>
          <w:tcPr>
            <w:tcW w:w="2801" w:type="dxa"/>
            <w:vAlign w:val="center"/>
            <w:textDirection w:val="lrTb"/>
            <w:noWrap/>
          </w:tcPr>
          <w:p>
            <w:pPr>
              <w:pStyle w:val="728"/>
              <w:ind w:left="1260" w:hanging="1338"/>
              <w:jc w:val="center"/>
              <w:spacing w:after="0"/>
              <w:rPr>
                <w:highlight w:val="none"/>
              </w:rPr>
            </w:pPr>
            <w:r>
              <w:rPr>
                <w:highlight w:val="none"/>
              </w:rPr>
              <w:t xml:space="preserve">GB/T 14214—2019</w:t>
            </w:r>
            <w:r>
              <w:rPr>
                <w:highlight w:val="none"/>
              </w:rPr>
            </w:r>
            <w:r/>
          </w:p>
        </w:tc>
      </w:tr>
      <w:tr>
        <w:trPr>
          <w:trHeight w:val="408"/>
        </w:trPr>
        <w:tc>
          <w:tcPr>
            <w:tcW w:w="1008" w:type="dxa"/>
            <w:vAlign w:val="center"/>
            <w:textDirection w:val="lrTb"/>
            <w:noWrap/>
          </w:tcPr>
          <w:p>
            <w:pPr>
              <w:pStyle w:val="728"/>
              <w:jc w:val="center"/>
              <w:spacing w:after="0"/>
              <w:rPr>
                <w:highlight w:val="none"/>
              </w:rPr>
            </w:pPr>
            <w:r>
              <w:rPr>
                <w:highlight w:val="none"/>
              </w:rPr>
              <w:t xml:space="preserve">6</w:t>
            </w:r>
            <w:r>
              <w:rPr>
                <w:highlight w:val="none"/>
              </w:rPr>
            </w:r>
            <w:r/>
          </w:p>
        </w:tc>
        <w:tc>
          <w:tcPr>
            <w:tcW w:w="3425" w:type="dxa"/>
            <w:vAlign w:val="center"/>
            <w:textDirection w:val="lrTb"/>
            <w:noWrap/>
          </w:tcPr>
          <w:p>
            <w:pPr>
              <w:pStyle w:val="728"/>
              <w:jc w:val="center"/>
              <w:spacing w:after="0"/>
              <w:rPr>
                <w:highlight w:val="none"/>
              </w:rPr>
            </w:pPr>
            <w:r>
              <w:rPr>
                <w:highlight w:val="none"/>
              </w:rPr>
              <w:t xml:space="preserve">高温尺寸稳定性</w:t>
            </w:r>
            <w:r>
              <w:rPr>
                <w:highlight w:val="none"/>
              </w:rPr>
            </w:r>
            <w:r/>
          </w:p>
        </w:tc>
        <w:tc>
          <w:tcPr>
            <w:tcW w:w="2259" w:type="dxa"/>
            <w:vAlign w:val="center"/>
            <w:textDirection w:val="lrTb"/>
            <w:noWrap/>
          </w:tcPr>
          <w:p>
            <w:pPr>
              <w:pStyle w:val="728"/>
              <w:ind w:left="1260" w:hanging="1338"/>
              <w:jc w:val="center"/>
              <w:spacing w:after="0"/>
              <w:rPr>
                <w:highlight w:val="none"/>
              </w:rPr>
            </w:pPr>
            <w:r>
              <w:rPr>
                <w:highlight w:val="none"/>
              </w:rPr>
              <w:t xml:space="preserve">GB/T 14214—2019</w:t>
            </w:r>
            <w:r>
              <w:rPr>
                <w:highlight w:val="none"/>
              </w:rPr>
            </w:r>
            <w:r/>
          </w:p>
        </w:tc>
        <w:tc>
          <w:tcPr>
            <w:tcW w:w="2801" w:type="dxa"/>
            <w:vAlign w:val="center"/>
            <w:textDirection w:val="lrTb"/>
            <w:noWrap/>
          </w:tcPr>
          <w:p>
            <w:pPr>
              <w:pStyle w:val="728"/>
              <w:ind w:left="1260" w:hanging="1338"/>
              <w:jc w:val="center"/>
              <w:spacing w:after="0"/>
              <w:rPr>
                <w:highlight w:val="none"/>
              </w:rPr>
            </w:pPr>
            <w:r>
              <w:rPr>
                <w:highlight w:val="none"/>
              </w:rPr>
              <w:t xml:space="preserve">GB/T 14214—2019</w:t>
            </w:r>
            <w:r>
              <w:rPr>
                <w:highlight w:val="none"/>
              </w:rPr>
            </w:r>
            <w:r/>
          </w:p>
        </w:tc>
      </w:tr>
      <w:tr>
        <w:trPr>
          <w:trHeight w:val="408"/>
        </w:trPr>
        <w:tc>
          <w:tcPr>
            <w:tcW w:w="1008" w:type="dxa"/>
            <w:vAlign w:val="center"/>
            <w:textDirection w:val="lrTb"/>
            <w:noWrap/>
          </w:tcPr>
          <w:p>
            <w:pPr>
              <w:pStyle w:val="728"/>
              <w:jc w:val="center"/>
              <w:spacing w:after="0"/>
              <w:rPr>
                <w:highlight w:val="none"/>
              </w:rPr>
            </w:pPr>
            <w:r>
              <w:rPr>
                <w:highlight w:val="none"/>
              </w:rPr>
              <w:t xml:space="preserve">7</w:t>
            </w:r>
            <w:r>
              <w:rPr>
                <w:highlight w:val="none"/>
              </w:rPr>
            </w:r>
            <w:r/>
          </w:p>
        </w:tc>
        <w:tc>
          <w:tcPr>
            <w:tcW w:w="3425" w:type="dxa"/>
            <w:vAlign w:val="center"/>
            <w:textDirection w:val="lrTb"/>
            <w:noWrap/>
          </w:tcPr>
          <w:p>
            <w:pPr>
              <w:pStyle w:val="728"/>
              <w:jc w:val="center"/>
              <w:spacing w:after="0"/>
              <w:rPr>
                <w:highlight w:val="none"/>
              </w:rPr>
            </w:pPr>
            <w:r>
              <w:rPr>
                <w:highlight w:val="none"/>
              </w:rPr>
              <w:t xml:space="preserve">阻燃性</w:t>
            </w:r>
            <w:r>
              <w:rPr>
                <w:highlight w:val="none"/>
              </w:rPr>
            </w:r>
            <w:r/>
          </w:p>
        </w:tc>
        <w:tc>
          <w:tcPr>
            <w:tcW w:w="2259" w:type="dxa"/>
            <w:vAlign w:val="center"/>
            <w:textDirection w:val="lrTb"/>
            <w:noWrap/>
          </w:tcPr>
          <w:p>
            <w:pPr>
              <w:pStyle w:val="728"/>
              <w:ind w:left="1260" w:hanging="1338"/>
              <w:jc w:val="center"/>
              <w:spacing w:after="0"/>
              <w:rPr>
                <w:highlight w:val="none"/>
              </w:rPr>
            </w:pPr>
            <w:r>
              <w:rPr>
                <w:highlight w:val="none"/>
              </w:rPr>
              <w:t xml:space="preserve">GB/T 14214—2019</w:t>
            </w:r>
            <w:r>
              <w:rPr>
                <w:highlight w:val="none"/>
              </w:rPr>
            </w:r>
            <w:r/>
          </w:p>
        </w:tc>
        <w:tc>
          <w:tcPr>
            <w:tcW w:w="2801" w:type="dxa"/>
            <w:vAlign w:val="center"/>
            <w:textDirection w:val="lrTb"/>
            <w:noWrap/>
          </w:tcPr>
          <w:p>
            <w:pPr>
              <w:pStyle w:val="728"/>
              <w:ind w:left="1260" w:hanging="1338"/>
              <w:jc w:val="center"/>
              <w:spacing w:after="0"/>
              <w:rPr>
                <w:highlight w:val="none"/>
              </w:rPr>
            </w:pPr>
            <w:r>
              <w:rPr>
                <w:highlight w:val="none"/>
              </w:rPr>
              <w:t xml:space="preserve">GB/T 14214—2019</w:t>
            </w:r>
            <w:r>
              <w:rPr>
                <w:highlight w:val="none"/>
              </w:rPr>
            </w:r>
            <w:r/>
          </w:p>
        </w:tc>
      </w:tr>
      <w:tr>
        <w:trPr>
          <w:trHeight w:val="408"/>
        </w:trPr>
        <w:tc>
          <w:tcPr>
            <w:tcW w:w="1008" w:type="dxa"/>
            <w:vAlign w:val="center"/>
            <w:textDirection w:val="lrTb"/>
            <w:noWrap/>
          </w:tcPr>
          <w:p>
            <w:pPr>
              <w:pStyle w:val="728"/>
              <w:jc w:val="center"/>
              <w:spacing w:after="0"/>
              <w:rPr>
                <w:rFonts w:hint="eastAsia"/>
                <w:highlight w:val="none"/>
              </w:rPr>
            </w:pPr>
            <w:r>
              <w:rPr>
                <w:rFonts w:hint="eastAsia"/>
                <w:highlight w:val="none"/>
              </w:rPr>
              <w:t xml:space="preserve">8</w:t>
            </w:r>
            <w:r>
              <w:rPr>
                <w:rFonts w:hint="eastAsia"/>
                <w:highlight w:val="none"/>
              </w:rPr>
            </w:r>
            <w:r/>
          </w:p>
        </w:tc>
        <w:tc>
          <w:tcPr>
            <w:tcW w:w="3425" w:type="dxa"/>
            <w:vAlign w:val="center"/>
            <w:textDirection w:val="lrTb"/>
            <w:noWrap/>
          </w:tcPr>
          <w:p>
            <w:pPr>
              <w:pStyle w:val="728"/>
              <w:jc w:val="center"/>
              <w:spacing w:after="0"/>
              <w:rPr>
                <w:highlight w:val="none"/>
              </w:rPr>
            </w:pPr>
            <w:r>
              <w:rPr>
                <w:highlight w:val="none"/>
              </w:rPr>
              <w:t xml:space="preserve">尺寸偏差</w:t>
            </w:r>
            <w:r>
              <w:rPr>
                <w:highlight w:val="none"/>
              </w:rPr>
            </w:r>
            <w:r/>
          </w:p>
        </w:tc>
        <w:tc>
          <w:tcPr>
            <w:tcW w:w="2259" w:type="dxa"/>
            <w:vAlign w:val="center"/>
            <w:textDirection w:val="lrTb"/>
            <w:noWrap/>
          </w:tcPr>
          <w:p>
            <w:pPr>
              <w:pStyle w:val="728"/>
              <w:ind w:left="1260" w:hanging="1338"/>
              <w:jc w:val="center"/>
              <w:spacing w:after="0"/>
              <w:rPr>
                <w:highlight w:val="none"/>
              </w:rPr>
            </w:pPr>
            <w:r>
              <w:rPr>
                <w:highlight w:val="none"/>
              </w:rPr>
              <w:t xml:space="preserve">GB/T 14214</w:t>
            </w:r>
            <w:r>
              <w:rPr>
                <w:sz w:val="18"/>
                <w:highlight w:val="none"/>
              </w:rPr>
              <w:t xml:space="preserve">—</w:t>
            </w:r>
            <w:r>
              <w:rPr>
                <w:highlight w:val="none"/>
              </w:rPr>
              <w:t xml:space="preserve">2019</w:t>
            </w:r>
            <w:r>
              <w:rPr>
                <w:highlight w:val="none"/>
              </w:rPr>
            </w:r>
            <w:r/>
          </w:p>
        </w:tc>
        <w:tc>
          <w:tcPr>
            <w:tcW w:w="2801" w:type="dxa"/>
            <w:vAlign w:val="center"/>
            <w:textDirection w:val="lrTb"/>
            <w:noWrap/>
          </w:tcPr>
          <w:p>
            <w:pPr>
              <w:pStyle w:val="728"/>
              <w:ind w:left="1260" w:hanging="1338"/>
              <w:jc w:val="center"/>
              <w:spacing w:after="0"/>
              <w:rPr>
                <w:highlight w:val="none"/>
              </w:rPr>
            </w:pPr>
            <w:r>
              <w:rPr>
                <w:highlight w:val="none"/>
              </w:rPr>
              <w:t xml:space="preserve">GB/T 14214</w:t>
            </w:r>
            <w:r>
              <w:rPr>
                <w:sz w:val="18"/>
                <w:highlight w:val="none"/>
              </w:rPr>
              <w:t xml:space="preserve">—</w:t>
            </w:r>
            <w:r>
              <w:rPr>
                <w:highlight w:val="none"/>
              </w:rPr>
              <w:t xml:space="preserve">2019</w:t>
            </w:r>
            <w:r>
              <w:rPr>
                <w:highlight w:val="none"/>
              </w:rPr>
            </w:r>
            <w:r/>
          </w:p>
        </w:tc>
      </w:tr>
    </w:tbl>
    <w:p>
      <w:pPr>
        <w:pStyle w:val="728"/>
        <w:rPr>
          <w:highlight w:val="none"/>
        </w:rPr>
      </w:pPr>
      <w:r>
        <w:rPr>
          <w:highlight w:val="none"/>
        </w:rPr>
      </w:r>
      <w:r/>
    </w:p>
    <w:p>
      <w:pPr>
        <w:pStyle w:val="728"/>
        <w:rPr>
          <w:rFonts w:hint="eastAsia" w:ascii="宋体" w:hAnsi="宋体" w:cs="宋体"/>
          <w:sz w:val="24"/>
          <w:szCs w:val="24"/>
          <w:highlight w:val="none"/>
          <w:lang w:bidi="ar"/>
        </w:rPr>
      </w:pPr>
      <w:r>
        <w:rPr>
          <w:rFonts w:hint="eastAsia" w:ascii="宋体" w:hAnsi="宋体"/>
          <w:sz w:val="24"/>
          <w:szCs w:val="24"/>
          <w:highlight w:val="none"/>
          <w:lang w:bidi="ar"/>
        </w:rPr>
        <w:t xml:space="preserve">4</w:t>
      </w:r>
      <w:r>
        <w:rPr>
          <w:rFonts w:ascii="宋体" w:hAnsi="宋体"/>
          <w:sz w:val="24"/>
          <w:szCs w:val="24"/>
          <w:highlight w:val="none"/>
          <w:lang w:bidi="ar"/>
        </w:rPr>
        <w:t xml:space="preserve">.</w:t>
      </w:r>
      <w:r>
        <w:rPr>
          <w:rFonts w:hint="eastAsia" w:ascii="宋体" w:hAnsi="宋体" w:cs="宋体"/>
          <w:sz w:val="24"/>
          <w:szCs w:val="24"/>
          <w:highlight w:val="none"/>
          <w:lang w:bidi="ar"/>
        </w:rPr>
        <w:t xml:space="preserve">泰州黄桥乐器文化产业园（乐器产品检验项目、依据及方法）</w:t>
      </w:r>
      <w:r>
        <w:rPr>
          <w:rFonts w:hint="eastAsia" w:ascii="宋体" w:hAnsi="宋体" w:cs="宋体"/>
          <w:sz w:val="24"/>
          <w:szCs w:val="24"/>
          <w:highlight w:val="none"/>
          <w:lang w:bidi="ar"/>
        </w:rPr>
      </w:r>
      <w:r/>
    </w:p>
    <w:tbl>
      <w:tblPr>
        <w:tblW w:w="82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2271"/>
        <w:gridCol w:w="2469"/>
        <w:gridCol w:w="2651"/>
      </w:tblGrid>
      <w:tr>
        <w:trPr/>
        <w:tc>
          <w:tcPr>
            <w:tcW w:w="879" w:type="dxa"/>
            <w:vAlign w:val="center"/>
            <w:textDirection w:val="lrTb"/>
            <w:noWrap w:val="false"/>
          </w:tcPr>
          <w:p>
            <w:pPr>
              <w:pStyle w:val="728"/>
              <w:jc w:val="center"/>
              <w:rPr>
                <w:rFonts w:hint="eastAsia" w:ascii="宋体" w:hAnsi="Calibri" w:cs="宋体"/>
                <w:sz w:val="21"/>
                <w:szCs w:val="21"/>
                <w:highlight w:val="none"/>
              </w:rPr>
            </w:pPr>
            <w:r>
              <w:rPr>
                <w:rFonts w:hint="eastAsia" w:ascii="宋体" w:hAnsi="Calibri" w:cs="宋体"/>
                <w:sz w:val="21"/>
                <w:szCs w:val="21"/>
                <w:highlight w:val="none"/>
              </w:rPr>
              <w:t xml:space="preserve">序号</w:t>
            </w:r>
            <w:r>
              <w:rPr>
                <w:rFonts w:hint="eastAsia" w:ascii="宋体" w:hAnsi="Calibri" w:cs="宋体"/>
                <w:sz w:val="21"/>
                <w:szCs w:val="21"/>
                <w:highlight w:val="none"/>
              </w:rPr>
            </w:r>
            <w:r/>
          </w:p>
        </w:tc>
        <w:tc>
          <w:tcPr>
            <w:tcW w:w="2271" w:type="dxa"/>
            <w:vAlign w:val="center"/>
            <w:textDirection w:val="lrTb"/>
            <w:noWrap w:val="false"/>
          </w:tcPr>
          <w:p>
            <w:pPr>
              <w:pStyle w:val="728"/>
              <w:jc w:val="center"/>
              <w:rPr>
                <w:rFonts w:hint="eastAsia" w:ascii="宋体" w:hAnsi="Calibri" w:cs="宋体"/>
                <w:sz w:val="21"/>
                <w:szCs w:val="21"/>
                <w:highlight w:val="none"/>
              </w:rPr>
            </w:pPr>
            <w:r>
              <w:rPr>
                <w:rFonts w:hint="eastAsia" w:ascii="宋体" w:hAnsi="Calibri" w:cs="宋体"/>
                <w:sz w:val="21"/>
                <w:szCs w:val="21"/>
                <w:highlight w:val="none"/>
              </w:rPr>
              <w:t xml:space="preserve">检验项目</w:t>
            </w:r>
            <w:r>
              <w:rPr>
                <w:rFonts w:hint="eastAsia" w:ascii="宋体" w:hAnsi="Calibri" w:cs="宋体"/>
                <w:sz w:val="21"/>
                <w:szCs w:val="21"/>
                <w:highlight w:val="none"/>
              </w:rPr>
            </w:r>
            <w:r/>
          </w:p>
        </w:tc>
        <w:tc>
          <w:tcPr>
            <w:tcW w:w="2469" w:type="dxa"/>
            <w:vAlign w:val="center"/>
            <w:textDirection w:val="lrTb"/>
            <w:noWrap w:val="false"/>
          </w:tcPr>
          <w:p>
            <w:pPr>
              <w:pStyle w:val="728"/>
              <w:jc w:val="center"/>
              <w:rPr>
                <w:rFonts w:hint="eastAsia" w:ascii="宋体" w:hAnsi="Calibri" w:cs="宋体"/>
                <w:sz w:val="21"/>
                <w:szCs w:val="21"/>
                <w:highlight w:val="none"/>
              </w:rPr>
            </w:pPr>
            <w:r>
              <w:rPr>
                <w:rFonts w:hint="eastAsia" w:ascii="宋体" w:hAnsi="Calibri" w:cs="宋体"/>
                <w:sz w:val="21"/>
                <w:szCs w:val="21"/>
                <w:highlight w:val="none"/>
              </w:rPr>
              <w:t xml:space="preserve">检验依据</w:t>
            </w:r>
            <w:r>
              <w:rPr>
                <w:rFonts w:hint="eastAsia" w:ascii="宋体" w:hAnsi="Calibri" w:cs="宋体"/>
                <w:sz w:val="21"/>
                <w:szCs w:val="21"/>
                <w:highlight w:val="none"/>
              </w:rPr>
            </w:r>
            <w:r/>
          </w:p>
        </w:tc>
        <w:tc>
          <w:tcPr>
            <w:tcW w:w="2651" w:type="dxa"/>
            <w:vAlign w:val="center"/>
            <w:textDirection w:val="lrTb"/>
            <w:noWrap w:val="false"/>
          </w:tcPr>
          <w:p>
            <w:pPr>
              <w:pStyle w:val="728"/>
              <w:jc w:val="center"/>
              <w:rPr>
                <w:rFonts w:hint="eastAsia" w:ascii="宋体" w:hAnsi="Calibri" w:cs="宋体"/>
                <w:sz w:val="21"/>
                <w:szCs w:val="21"/>
                <w:highlight w:val="none"/>
              </w:rPr>
            </w:pPr>
            <w:r>
              <w:rPr>
                <w:rFonts w:hint="eastAsia" w:ascii="宋体" w:hAnsi="Calibri" w:cs="宋体"/>
                <w:sz w:val="21"/>
                <w:szCs w:val="21"/>
                <w:highlight w:val="none"/>
              </w:rPr>
              <w:t xml:space="preserve">检验方法</w:t>
            </w:r>
            <w:r>
              <w:rPr>
                <w:rFonts w:hint="eastAsia" w:ascii="宋体" w:hAnsi="Calibri" w:cs="宋体"/>
                <w:sz w:val="21"/>
                <w:szCs w:val="21"/>
                <w:highlight w:val="none"/>
              </w:rPr>
            </w:r>
            <w:r/>
          </w:p>
        </w:tc>
      </w:tr>
      <w:tr>
        <w:trPr/>
        <w:tc>
          <w:tcPr>
            <w:tcW w:w="87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1</w:t>
            </w:r>
            <w:r>
              <w:rPr>
                <w:rFonts w:hint="eastAsia"/>
                <w:sz w:val="21"/>
                <w:szCs w:val="21"/>
                <w:highlight w:val="none"/>
              </w:rPr>
            </w:r>
            <w:r/>
          </w:p>
        </w:tc>
        <w:tc>
          <w:tcPr>
            <w:tcW w:w="227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邻苯二甲酸酯类</w:t>
            </w:r>
            <w:r>
              <w:rPr>
                <w:rFonts w:hint="eastAsia"/>
                <w:sz w:val="21"/>
                <w:szCs w:val="21"/>
                <w:highlight w:val="none"/>
              </w:rPr>
            </w:r>
            <w:r/>
          </w:p>
        </w:tc>
        <w:tc>
          <w:tcPr>
            <w:tcW w:w="246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c>
          <w:tcPr>
            <w:tcW w:w="265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GB/T 22048-2022</w:t>
            </w:r>
            <w:r>
              <w:rPr>
                <w:rFonts w:hint="eastAsia"/>
                <w:sz w:val="21"/>
                <w:szCs w:val="21"/>
                <w:highlight w:val="none"/>
              </w:rPr>
            </w:r>
            <w:r/>
          </w:p>
        </w:tc>
      </w:tr>
      <w:tr>
        <w:trPr/>
        <w:tc>
          <w:tcPr>
            <w:tcW w:w="87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2</w:t>
            </w:r>
            <w:r>
              <w:rPr>
                <w:rFonts w:hint="eastAsia"/>
                <w:sz w:val="21"/>
                <w:szCs w:val="21"/>
                <w:highlight w:val="none"/>
              </w:rPr>
            </w:r>
            <w:r/>
          </w:p>
        </w:tc>
        <w:tc>
          <w:tcPr>
            <w:tcW w:w="227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多环芳烃类</w:t>
            </w:r>
            <w:r>
              <w:rPr>
                <w:rFonts w:hint="eastAsia"/>
                <w:sz w:val="21"/>
                <w:szCs w:val="21"/>
                <w:highlight w:val="none"/>
              </w:rPr>
            </w:r>
            <w:r/>
          </w:p>
        </w:tc>
        <w:tc>
          <w:tcPr>
            <w:tcW w:w="246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c>
          <w:tcPr>
            <w:tcW w:w="265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GB/T 40968-2021</w:t>
            </w:r>
            <w:r>
              <w:rPr>
                <w:rFonts w:hint="eastAsia"/>
                <w:sz w:val="21"/>
                <w:szCs w:val="21"/>
                <w:highlight w:val="none"/>
              </w:rPr>
            </w:r>
            <w:r/>
          </w:p>
        </w:tc>
      </w:tr>
      <w:tr>
        <w:trPr/>
        <w:tc>
          <w:tcPr>
            <w:tcW w:w="87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3</w:t>
            </w:r>
            <w:r>
              <w:rPr>
                <w:rFonts w:hint="eastAsia"/>
                <w:sz w:val="21"/>
                <w:szCs w:val="21"/>
                <w:highlight w:val="none"/>
              </w:rPr>
            </w:r>
            <w:r/>
          </w:p>
        </w:tc>
        <w:tc>
          <w:tcPr>
            <w:tcW w:w="227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可迁移元素物质</w:t>
            </w:r>
            <w:r>
              <w:rPr>
                <w:rFonts w:hint="eastAsia"/>
                <w:sz w:val="21"/>
                <w:szCs w:val="21"/>
                <w:highlight w:val="none"/>
              </w:rPr>
            </w:r>
            <w:r/>
          </w:p>
        </w:tc>
        <w:tc>
          <w:tcPr>
            <w:tcW w:w="246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c>
          <w:tcPr>
            <w:tcW w:w="265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r>
      <w:tr>
        <w:trPr/>
        <w:tc>
          <w:tcPr>
            <w:tcW w:w="87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4</w:t>
            </w:r>
            <w:r>
              <w:rPr>
                <w:rFonts w:hint="eastAsia"/>
                <w:sz w:val="21"/>
                <w:szCs w:val="21"/>
                <w:highlight w:val="none"/>
              </w:rPr>
            </w:r>
            <w:r/>
          </w:p>
        </w:tc>
        <w:tc>
          <w:tcPr>
            <w:tcW w:w="227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苯系物</w:t>
            </w:r>
            <w:r>
              <w:rPr>
                <w:rFonts w:hint="eastAsia"/>
                <w:sz w:val="21"/>
                <w:szCs w:val="21"/>
                <w:highlight w:val="none"/>
              </w:rPr>
            </w:r>
            <w:r/>
          </w:p>
        </w:tc>
        <w:tc>
          <w:tcPr>
            <w:tcW w:w="246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c>
          <w:tcPr>
            <w:tcW w:w="265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r>
      <w:tr>
        <w:trPr/>
        <w:tc>
          <w:tcPr>
            <w:tcW w:w="87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5</w:t>
            </w:r>
            <w:r>
              <w:rPr>
                <w:rFonts w:hint="eastAsia"/>
                <w:sz w:val="21"/>
                <w:szCs w:val="21"/>
                <w:highlight w:val="none"/>
              </w:rPr>
            </w:r>
            <w:r/>
          </w:p>
        </w:tc>
        <w:tc>
          <w:tcPr>
            <w:tcW w:w="227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总挥发有机化合物</w:t>
            </w:r>
            <w:r>
              <w:rPr>
                <w:rFonts w:hint="eastAsia"/>
                <w:sz w:val="21"/>
                <w:szCs w:val="21"/>
                <w:highlight w:val="none"/>
              </w:rPr>
            </w:r>
            <w:r/>
          </w:p>
        </w:tc>
        <w:tc>
          <w:tcPr>
            <w:tcW w:w="246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c>
          <w:tcPr>
            <w:tcW w:w="265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r>
      <w:tr>
        <w:trPr/>
        <w:tc>
          <w:tcPr>
            <w:tcW w:w="87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6</w:t>
            </w:r>
            <w:r>
              <w:rPr>
                <w:rFonts w:hint="eastAsia"/>
                <w:sz w:val="21"/>
                <w:szCs w:val="21"/>
                <w:highlight w:val="none"/>
              </w:rPr>
            </w:r>
            <w:r/>
          </w:p>
        </w:tc>
        <w:tc>
          <w:tcPr>
            <w:tcW w:w="227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甲醛</w:t>
            </w:r>
            <w:r>
              <w:rPr>
                <w:rFonts w:hint="eastAsia"/>
                <w:sz w:val="21"/>
                <w:szCs w:val="21"/>
                <w:highlight w:val="none"/>
              </w:rPr>
            </w:r>
            <w:r/>
          </w:p>
        </w:tc>
        <w:tc>
          <w:tcPr>
            <w:tcW w:w="246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c>
          <w:tcPr>
            <w:tcW w:w="265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r>
      <w:tr>
        <w:trPr/>
        <w:tc>
          <w:tcPr>
            <w:tcW w:w="87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7</w:t>
            </w:r>
            <w:r>
              <w:rPr>
                <w:rFonts w:hint="eastAsia"/>
                <w:sz w:val="21"/>
                <w:szCs w:val="21"/>
                <w:highlight w:val="none"/>
              </w:rPr>
            </w:r>
            <w:r/>
          </w:p>
        </w:tc>
        <w:tc>
          <w:tcPr>
            <w:tcW w:w="227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五氯苯酚（PCP）物质</w:t>
            </w:r>
            <w:r>
              <w:rPr>
                <w:rFonts w:hint="eastAsia"/>
                <w:sz w:val="21"/>
                <w:szCs w:val="21"/>
                <w:highlight w:val="none"/>
              </w:rPr>
            </w:r>
            <w:r/>
          </w:p>
        </w:tc>
        <w:tc>
          <w:tcPr>
            <w:tcW w:w="2469"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 28489-2022</w:t>
            </w:r>
            <w:r>
              <w:rPr>
                <w:rFonts w:hint="eastAsia"/>
                <w:sz w:val="21"/>
                <w:szCs w:val="21"/>
                <w:highlight w:val="none"/>
              </w:rPr>
            </w:r>
            <w:r/>
          </w:p>
        </w:tc>
        <w:tc>
          <w:tcPr>
            <w:tcW w:w="2651" w:type="dxa"/>
            <w:vAlign w:val="center"/>
            <w:textDirection w:val="lrTb"/>
            <w:noWrap w:val="false"/>
          </w:tcPr>
          <w:p>
            <w:pPr>
              <w:pStyle w:val="728"/>
              <w:jc w:val="center"/>
              <w:rPr>
                <w:rFonts w:hint="eastAsia"/>
                <w:sz w:val="21"/>
                <w:szCs w:val="21"/>
                <w:highlight w:val="none"/>
              </w:rPr>
            </w:pPr>
            <w:r>
              <w:rPr>
                <w:rFonts w:hint="eastAsia"/>
                <w:sz w:val="21"/>
                <w:szCs w:val="21"/>
                <w:highlight w:val="none"/>
              </w:rPr>
              <w:t xml:space="preserve">GB/T 18414.1-2006</w:t>
            </w:r>
            <w:r>
              <w:rPr>
                <w:rFonts w:hint="eastAsia"/>
                <w:sz w:val="21"/>
                <w:szCs w:val="21"/>
                <w:highlight w:val="none"/>
              </w:rPr>
            </w:r>
            <w:r/>
          </w:p>
          <w:p>
            <w:pPr>
              <w:pStyle w:val="728"/>
              <w:jc w:val="center"/>
              <w:rPr>
                <w:rFonts w:hint="eastAsia"/>
                <w:sz w:val="21"/>
                <w:szCs w:val="21"/>
                <w:highlight w:val="none"/>
              </w:rPr>
            </w:pPr>
            <w:r>
              <w:rPr>
                <w:rFonts w:hint="eastAsia"/>
                <w:sz w:val="21"/>
                <w:szCs w:val="21"/>
                <w:highlight w:val="none"/>
              </w:rPr>
              <w:t xml:space="preserve">GB/T 22808-2021</w:t>
            </w:r>
            <w:r>
              <w:rPr>
                <w:rFonts w:hint="eastAsia"/>
                <w:sz w:val="21"/>
                <w:szCs w:val="21"/>
                <w:highlight w:val="none"/>
              </w:rPr>
            </w:r>
            <w:r/>
          </w:p>
          <w:p>
            <w:pPr>
              <w:pStyle w:val="728"/>
              <w:jc w:val="center"/>
              <w:rPr>
                <w:rFonts w:hint="eastAsia"/>
                <w:sz w:val="21"/>
                <w:szCs w:val="21"/>
                <w:highlight w:val="none"/>
              </w:rPr>
            </w:pPr>
            <w:r>
              <w:rPr>
                <w:rFonts w:hint="eastAsia"/>
                <w:sz w:val="21"/>
                <w:szCs w:val="21"/>
                <w:highlight w:val="none"/>
              </w:rPr>
              <w:t xml:space="preserve">LY/T 1985-2011</w:t>
            </w:r>
            <w:r>
              <w:rPr>
                <w:rFonts w:hint="eastAsia"/>
                <w:sz w:val="21"/>
                <w:szCs w:val="21"/>
                <w:highlight w:val="none"/>
              </w:rPr>
            </w:r>
            <w:r/>
          </w:p>
        </w:tc>
      </w:tr>
    </w:tbl>
    <w:p>
      <w:pPr>
        <w:pStyle w:val="728"/>
        <w:rPr>
          <w:highlight w:val="none"/>
        </w:rPr>
      </w:pPr>
      <w:r>
        <w:rPr>
          <w:highlight w:val="none"/>
        </w:rPr>
      </w:r>
      <w:r/>
    </w:p>
    <w:p>
      <w:pPr>
        <w:pStyle w:val="729"/>
        <w:jc w:val="center"/>
        <w:keepLines w:val="0"/>
        <w:spacing w:before="0" w:line="240" w:lineRule="auto"/>
        <w:widowControl w:val="off"/>
        <w:rPr>
          <w:rFonts w:hint="eastAsia"/>
          <w:highlight w:val="none"/>
        </w:rPr>
      </w:pPr>
      <w:r>
        <w:rPr>
          <w:highlight w:val="none"/>
        </w:rPr>
        <w:br w:type="page" w:clear="all"/>
      </w:r>
      <w:bookmarkStart w:id="95" w:name="_Toc227942467"/>
      <w:r>
        <w:rPr>
          <w:rFonts w:hint="eastAsia" w:ascii="黑体" w:hAnsi="楷体_GB2312" w:eastAsia="黑体"/>
          <w:color w:val="000000"/>
          <w:sz w:val="44"/>
          <w:szCs w:val="44"/>
          <w:highlight w:val="none"/>
        </w:rPr>
        <w:t xml:space="preserve">第五章  评标方法与评标标准</w:t>
      </w:r>
      <w:bookmarkEnd w:id="95"/>
      <w:r>
        <w:rPr>
          <w:rFonts w:hint="eastAsia"/>
          <w:highlight w:val="none"/>
        </w:rPr>
      </w:r>
      <w:r/>
    </w:p>
    <w:p>
      <w:pPr>
        <w:pStyle w:val="728"/>
        <w:ind w:firstLine="480"/>
        <w:rPr>
          <w:rFonts w:hint="eastAsia"/>
          <w:highlight w:val="none"/>
        </w:rPr>
      </w:pPr>
      <w:r/>
      <w:bookmarkEnd w:id="79"/>
      <w:r/>
      <w:bookmarkEnd w:id="80"/>
      <w:r>
        <w:rPr>
          <w:rFonts w:hint="eastAsia" w:ascii="Arial" w:hAnsi="Arial" w:cs="Arial"/>
          <w:sz w:val="24"/>
          <w:szCs w:val="24"/>
          <w:highlight w:val="none"/>
        </w:rPr>
        <w:t xml:space="preserve">本项目采用综合评分法，总分为100分，将所有评委的评分进行算术平均计算，按四舍五入规则小数点后保留两位。评标结果按评审后得分由高到低顺序排列。得分相同的，按投标报价由低到高顺序排列。得分且投标报价相同的，</w:t>
      </w:r>
      <w:bookmarkStart w:id="96" w:name="_Hlk227216020"/>
      <w:r>
        <w:rPr>
          <w:rFonts w:hint="eastAsia" w:ascii="Arial" w:hAnsi="Arial" w:cs="Arial"/>
          <w:sz w:val="24"/>
          <w:szCs w:val="24"/>
          <w:highlight w:val="none"/>
        </w:rPr>
        <w:t xml:space="preserve">按主要技术指标优劣顺序排列，</w:t>
      </w:r>
      <w:bookmarkEnd w:id="96"/>
      <w:r>
        <w:rPr>
          <w:rFonts w:hint="eastAsia" w:ascii="Arial" w:hAnsi="Arial" w:cs="Arial"/>
          <w:sz w:val="24"/>
          <w:szCs w:val="24"/>
          <w:highlight w:val="none"/>
        </w:rPr>
        <w:t xml:space="preserve">由评标委员会推荐中标候选人。</w:t>
      </w:r>
      <w:r>
        <w:rPr>
          <w:rFonts w:hint="eastAsia" w:ascii="Arial" w:hAnsi="Arial" w:cs="Arial"/>
          <w:b/>
          <w:bCs/>
          <w:sz w:val="24"/>
          <w:szCs w:val="24"/>
          <w:highlight w:val="none"/>
        </w:rPr>
        <w:t xml:space="preserve">本评分标准适用所有采购包，每个采购包选择1名中标供应商。</w:t>
      </w:r>
      <w:r>
        <w:rPr>
          <w:rFonts w:hint="eastAsia"/>
          <w:highlight w:val="none"/>
        </w:rPr>
      </w:r>
      <w:r/>
    </w:p>
    <w:tbl>
      <w:tblPr>
        <w:tblW w:w="94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54"/>
        <w:gridCol w:w="6238"/>
        <w:gridCol w:w="604"/>
        <w:gridCol w:w="850"/>
      </w:tblGrid>
      <w:tr>
        <w:trPr>
          <w:trHeight w:val="639"/>
          <w:tblHeader/>
        </w:trPr>
        <w:tc>
          <w:tcPr>
            <w:tcW w:w="817" w:type="dxa"/>
            <w:vAlign w:val="center"/>
            <w:textDirection w:val="lrTb"/>
            <w:noWrap w:val="false"/>
          </w:tcPr>
          <w:p>
            <w:pPr>
              <w:pStyle w:val="728"/>
              <w:jc w:val="center"/>
              <w:spacing w:after="0" w:line="240" w:lineRule="auto"/>
              <w:widowControl w:val="off"/>
              <w:rPr>
                <w:rFonts w:ascii="宋体" w:hAnsi="宋体" w:cs="宋体"/>
                <w:b/>
                <w:sz w:val="21"/>
                <w:szCs w:val="21"/>
                <w:highlight w:val="none"/>
              </w:rPr>
              <w:outlineLvl w:val="1"/>
            </w:pPr>
            <w:r/>
            <w:bookmarkStart w:id="97" w:name="_Toc192946456"/>
            <w:r/>
            <w:bookmarkStart w:id="98" w:name="_Toc227942468"/>
            <w:r/>
            <w:bookmarkStart w:id="99" w:name="_Hlk227216073"/>
            <w:r>
              <w:rPr>
                <w:rFonts w:hint="eastAsia" w:ascii="宋体" w:hAnsi="宋体" w:cs="宋体"/>
                <w:b/>
                <w:sz w:val="21"/>
                <w:szCs w:val="21"/>
                <w:highlight w:val="none"/>
              </w:rPr>
              <w:t xml:space="preserve">类别</w:t>
            </w:r>
            <w:bookmarkEnd w:id="97"/>
            <w:r/>
            <w:bookmarkEnd w:id="98"/>
            <w:r>
              <w:rPr>
                <w:rFonts w:ascii="宋体" w:hAnsi="宋体" w:cs="宋体"/>
                <w:b/>
                <w:sz w:val="21"/>
                <w:szCs w:val="21"/>
                <w:highlight w:val="none"/>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b/>
                <w:sz w:val="21"/>
                <w:szCs w:val="21"/>
                <w:highlight w:val="none"/>
              </w:rPr>
              <w:outlineLvl w:val="1"/>
            </w:pPr>
            <w:r/>
            <w:bookmarkStart w:id="100" w:name="_Toc192946457"/>
            <w:r/>
            <w:bookmarkStart w:id="101" w:name="_Toc227942469"/>
            <w:r>
              <w:rPr>
                <w:rFonts w:hint="eastAsia" w:ascii="宋体" w:hAnsi="宋体" w:cs="宋体"/>
                <w:b/>
                <w:sz w:val="21"/>
                <w:szCs w:val="21"/>
                <w:highlight w:val="none"/>
              </w:rPr>
              <w:t xml:space="preserve">评分内容</w:t>
            </w:r>
            <w:bookmarkEnd w:id="100"/>
            <w:r/>
            <w:bookmarkEnd w:id="101"/>
            <w:r>
              <w:rPr>
                <w:rFonts w:hint="eastAsia" w:ascii="宋体" w:hAnsi="宋体" w:cs="宋体"/>
                <w:b/>
                <w:sz w:val="21"/>
                <w:szCs w:val="21"/>
                <w:highlight w:val="none"/>
              </w:rPr>
            </w:r>
            <w:r/>
          </w:p>
        </w:tc>
        <w:tc>
          <w:tcPr>
            <w:tcW w:w="6238" w:type="dxa"/>
            <w:vAlign w:val="center"/>
            <w:textDirection w:val="lrTb"/>
            <w:noWrap w:val="false"/>
          </w:tcPr>
          <w:p>
            <w:pPr>
              <w:pStyle w:val="728"/>
              <w:jc w:val="center"/>
              <w:spacing w:after="0" w:line="240" w:lineRule="auto"/>
              <w:widowControl w:val="off"/>
              <w:rPr>
                <w:rFonts w:hint="eastAsia" w:ascii="宋体" w:hAnsi="宋体" w:cs="宋体"/>
                <w:b/>
                <w:sz w:val="21"/>
                <w:szCs w:val="21"/>
                <w:highlight w:val="none"/>
              </w:rPr>
              <w:outlineLvl w:val="1"/>
            </w:pPr>
            <w:r/>
            <w:bookmarkStart w:id="102" w:name="_Toc192946458"/>
            <w:r/>
            <w:bookmarkStart w:id="103" w:name="_Toc227942470"/>
            <w:r>
              <w:rPr>
                <w:rFonts w:hint="eastAsia" w:ascii="宋体" w:hAnsi="宋体" w:cs="宋体"/>
                <w:b/>
                <w:sz w:val="21"/>
                <w:szCs w:val="21"/>
                <w:highlight w:val="none"/>
              </w:rPr>
              <w:t xml:space="preserve">评分标准（适用所有采购包）</w:t>
            </w:r>
            <w:bookmarkEnd w:id="102"/>
            <w:r/>
            <w:bookmarkEnd w:id="103"/>
            <w:r>
              <w:rPr>
                <w:rFonts w:hint="eastAsia" w:ascii="宋体" w:hAnsi="宋体" w:cs="宋体"/>
                <w:b/>
                <w:sz w:val="21"/>
                <w:szCs w:val="21"/>
                <w:highlight w:val="none"/>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b/>
                <w:sz w:val="21"/>
                <w:szCs w:val="21"/>
                <w:highlight w:val="none"/>
              </w:rPr>
              <w:outlineLvl w:val="1"/>
            </w:pPr>
            <w:r/>
            <w:bookmarkStart w:id="104" w:name="_Toc192946459"/>
            <w:r/>
            <w:bookmarkStart w:id="105" w:name="_Toc227942471"/>
            <w:r>
              <w:rPr>
                <w:rFonts w:hint="eastAsia" w:ascii="宋体" w:hAnsi="宋体" w:cs="宋体"/>
                <w:b/>
                <w:sz w:val="21"/>
                <w:szCs w:val="21"/>
                <w:highlight w:val="none"/>
              </w:rPr>
              <w:t xml:space="preserve">分值</w:t>
            </w:r>
            <w:bookmarkEnd w:id="104"/>
            <w:r/>
            <w:bookmarkEnd w:id="105"/>
            <w:r>
              <w:rPr>
                <w:rFonts w:hint="eastAsia" w:ascii="宋体" w:hAnsi="宋体" w:cs="宋体"/>
                <w:b/>
                <w:sz w:val="21"/>
                <w:szCs w:val="21"/>
                <w:highlight w:val="none"/>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b/>
                <w:sz w:val="21"/>
                <w:szCs w:val="21"/>
                <w:highlight w:val="none"/>
              </w:rPr>
              <w:outlineLvl w:val="1"/>
            </w:pPr>
            <w:r/>
            <w:bookmarkStart w:id="106" w:name="_Toc227942472"/>
            <w:r>
              <w:rPr>
                <w:rFonts w:hint="eastAsia" w:ascii="宋体" w:hAnsi="宋体" w:cs="宋体"/>
                <w:b/>
                <w:sz w:val="21"/>
                <w:szCs w:val="21"/>
                <w:highlight w:val="none"/>
              </w:rPr>
              <w:t xml:space="preserve">备注</w:t>
            </w:r>
            <w:bookmarkEnd w:id="106"/>
            <w:r>
              <w:rPr>
                <w:rFonts w:hint="eastAsia" w:ascii="宋体" w:hAnsi="宋体" w:cs="宋体"/>
                <w:b/>
                <w:sz w:val="21"/>
                <w:szCs w:val="21"/>
                <w:highlight w:val="none"/>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val="zh-CN" w:bidi="zh-CN"/>
              </w:rPr>
            </w:pPr>
            <w:r>
              <w:rPr>
                <w:rFonts w:hint="eastAsia" w:ascii="宋体" w:hAnsi="宋体" w:cs="宋体"/>
                <w:sz w:val="21"/>
                <w:szCs w:val="21"/>
                <w:highlight w:val="none"/>
                <w:lang w:val="zh-CN" w:bidi="zh-CN"/>
              </w:rPr>
              <w:t xml:space="preserve">1</w:t>
            </w:r>
            <w:r>
              <w:rPr>
                <w:rFonts w:hint="eastAsia" w:ascii="宋体" w:hAnsi="宋体" w:cs="宋体"/>
                <w:sz w:val="21"/>
                <w:szCs w:val="21"/>
                <w:highlight w:val="none"/>
                <w:lang w:val="zh-CN"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val="zh-CN" w:bidi="zh-CN"/>
              </w:rPr>
            </w:pPr>
            <w:r>
              <w:rPr>
                <w:rFonts w:hint="eastAsia" w:ascii="宋体" w:hAnsi="宋体" w:cs="宋体"/>
                <w:sz w:val="21"/>
                <w:szCs w:val="21"/>
                <w:highlight w:val="none"/>
                <w:lang w:val="zh-CN" w:bidi="zh-CN"/>
              </w:rPr>
              <w:t xml:space="preserve">价格</w:t>
            </w:r>
            <w:r>
              <w:rPr>
                <w:rFonts w:hint="eastAsia" w:ascii="宋体" w:hAnsi="宋体" w:cs="宋体"/>
                <w:sz w:val="21"/>
                <w:szCs w:val="21"/>
                <w:highlight w:val="none"/>
                <w:lang w:val="zh-CN" w:bidi="zh-CN"/>
              </w:rPr>
            </w:r>
            <w:r/>
          </w:p>
        </w:tc>
        <w:tc>
          <w:tcPr>
            <w:tcW w:w="6238" w:type="dxa"/>
            <w:vAlign w:val="top"/>
            <w:textDirection w:val="lrTb"/>
            <w:noWrap w:val="false"/>
          </w:tcPr>
          <w:p>
            <w:pPr>
              <w:pStyle w:val="728"/>
              <w:spacing w:after="0" w:line="240" w:lineRule="auto"/>
              <w:widowControl w:val="off"/>
              <w:rPr>
                <w:rFonts w:hint="eastAsia" w:ascii="宋体" w:hAnsi="宋体" w:cs="宋体"/>
                <w:sz w:val="21"/>
                <w:szCs w:val="21"/>
                <w:highlight w:val="none"/>
                <w:lang w:val="zh-CN" w:bidi="zh-CN"/>
              </w:rPr>
            </w:pPr>
            <w:r>
              <w:rPr>
                <w:rFonts w:hint="eastAsia" w:ascii="宋体" w:hAnsi="宋体" w:cs="宋体"/>
                <w:sz w:val="21"/>
                <w:szCs w:val="21"/>
                <w:highlight w:val="none"/>
                <w:lang w:val="zh-CN" w:bidi="zh-CN"/>
              </w:rPr>
              <w:t xml:space="preserve">价格分统一采用低价优先法，即满足招标文件要求且投标评审价格最低的投标报价为评标基准价，其价格分为满分。其他投标人的价格分统一按照下列公式计算：投标报价得分＝（评标基准价/投标报价）×10。小数点后按四舍五入规则保留2位小数。</w:t>
            </w:r>
            <w:r>
              <w:rPr>
                <w:rFonts w:hint="eastAsia" w:ascii="宋体" w:hAnsi="宋体" w:cs="宋体"/>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val="zh-CN" w:bidi="zh-CN"/>
              </w:rPr>
              <w:outlineLvl w:val="1"/>
            </w:pPr>
            <w:r/>
            <w:bookmarkStart w:id="107" w:name="_Toc227942473"/>
            <w:r/>
            <w:bookmarkStart w:id="108" w:name="_Toc192946460"/>
            <w:r>
              <w:rPr>
                <w:rFonts w:hint="eastAsia" w:ascii="宋体" w:hAnsi="宋体" w:cs="宋体"/>
                <w:spacing w:val="-6"/>
                <w:sz w:val="21"/>
                <w:szCs w:val="21"/>
                <w:highlight w:val="none"/>
                <w:lang w:val="zh-CN" w:bidi="zh-CN"/>
              </w:rPr>
              <w:t xml:space="preserve">1</w:t>
            </w:r>
            <w:r>
              <w:rPr>
                <w:rFonts w:ascii="宋体" w:hAnsi="宋体" w:cs="宋体"/>
                <w:spacing w:val="-6"/>
                <w:sz w:val="21"/>
                <w:szCs w:val="21"/>
                <w:highlight w:val="none"/>
                <w:lang w:val="zh-CN" w:bidi="zh-CN"/>
              </w:rPr>
              <w:t xml:space="preserve">0</w:t>
            </w:r>
            <w:r>
              <w:rPr>
                <w:rFonts w:hint="eastAsia" w:ascii="宋体" w:hAnsi="宋体" w:cs="宋体"/>
                <w:spacing w:val="-6"/>
                <w:sz w:val="21"/>
                <w:szCs w:val="21"/>
                <w:highlight w:val="none"/>
                <w:lang w:val="zh-CN" w:bidi="zh-CN"/>
              </w:rPr>
              <w:t xml:space="preserve">分</w:t>
            </w:r>
            <w:bookmarkEnd w:id="107"/>
            <w:r/>
            <w:bookmarkEnd w:id="108"/>
            <w:r>
              <w:rPr>
                <w:rFonts w:hint="eastAsia" w:ascii="宋体" w:hAnsi="宋体" w:cs="宋体"/>
                <w:spacing w:val="-6"/>
                <w:sz w:val="21"/>
                <w:szCs w:val="21"/>
                <w:highlight w:val="none"/>
                <w:lang w:val="zh-CN" w:bidi="zh-CN"/>
              </w:rPr>
            </w:r>
            <w:r/>
          </w:p>
        </w:tc>
        <w:tc>
          <w:tcPr>
            <w:tcW w:w="850"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09" w:name="_Toc227942474"/>
            <w:r>
              <w:rPr>
                <w:rFonts w:hint="eastAsia" w:ascii="宋体" w:hAnsi="宋体" w:cs="宋体"/>
                <w:spacing w:val="-6"/>
                <w:sz w:val="21"/>
                <w:szCs w:val="21"/>
                <w:highlight w:val="none"/>
                <w:lang w:val="zh-CN" w:bidi="zh-CN"/>
              </w:rPr>
              <w:t xml:space="preserve">价格</w:t>
            </w:r>
            <w:r>
              <w:rPr>
                <w:rFonts w:hint="eastAsia" w:ascii="宋体" w:hAnsi="宋体" w:cs="宋体"/>
                <w:spacing w:val="-6"/>
                <w:sz w:val="21"/>
                <w:szCs w:val="21"/>
                <w:highlight w:val="none"/>
                <w:lang w:bidi="zh-CN"/>
              </w:rPr>
              <w:t xml:space="preserve">分</w:t>
            </w:r>
            <w:bookmarkEnd w:id="109"/>
            <w:r>
              <w:rPr>
                <w:rFonts w:ascii="宋体" w:hAnsi="宋体" w:cs="宋体"/>
                <w:spacing w:val="-6"/>
                <w:sz w:val="21"/>
                <w:szCs w:val="21"/>
                <w:highlight w:val="none"/>
                <w:lang w:bidi="zh-CN"/>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10" w:name="_Toc227942475"/>
            <w:r/>
            <w:bookmarkStart w:id="111" w:name="_Toc192946461"/>
            <w:r>
              <w:rPr>
                <w:rFonts w:hint="eastAsia" w:ascii="宋体" w:hAnsi="宋体" w:cs="宋体"/>
                <w:sz w:val="21"/>
                <w:szCs w:val="21"/>
                <w:highlight w:val="none"/>
                <w:lang w:bidi="zh-CN"/>
              </w:rPr>
              <w:t xml:space="preserve">2</w:t>
            </w:r>
            <w:bookmarkEnd w:id="110"/>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12" w:name="_Toc227942476"/>
            <w:r>
              <w:rPr>
                <w:rFonts w:hint="eastAsia" w:ascii="宋体" w:hAnsi="宋体" w:cs="宋体"/>
                <w:sz w:val="21"/>
                <w:szCs w:val="21"/>
                <w:highlight w:val="none"/>
                <w:lang w:bidi="zh-CN"/>
              </w:rPr>
              <w:t xml:space="preserve">供应商履约信用情况</w:t>
            </w:r>
            <w:bookmarkEnd w:id="112"/>
            <w:r>
              <w:rPr>
                <w:rFonts w:ascii="宋体" w:hAnsi="宋体" w:cs="宋体"/>
                <w:sz w:val="21"/>
                <w:szCs w:val="21"/>
                <w:highlight w:val="none"/>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bidi="zh-CN"/>
              </w:rPr>
              <w:t xml:space="preserve">（1）</w:t>
            </w:r>
            <w:r>
              <w:rPr>
                <w:rFonts w:hint="eastAsia" w:ascii="宋体" w:hAnsi="宋体" w:cs="宋体"/>
                <w:spacing w:val="-3"/>
                <w:sz w:val="21"/>
                <w:szCs w:val="21"/>
                <w:highlight w:val="none"/>
                <w:lang w:val="zh-CN" w:bidi="zh-CN"/>
              </w:rPr>
              <w:t xml:space="preserve">从2023年1月1日起（以</w:t>
            </w:r>
            <w:r>
              <w:rPr>
                <w:rFonts w:hint="eastAsia" w:ascii="宋体" w:hAnsi="宋体" w:cs="宋体"/>
                <w:spacing w:val="-3"/>
                <w:sz w:val="21"/>
                <w:szCs w:val="21"/>
                <w:highlight w:val="none"/>
                <w:lang w:bidi="zh-CN"/>
              </w:rPr>
              <w:t xml:space="preserve">通报发布</w:t>
            </w:r>
            <w:r>
              <w:rPr>
                <w:rFonts w:hint="eastAsia" w:ascii="宋体" w:hAnsi="宋体" w:cs="宋体"/>
                <w:spacing w:val="-3"/>
                <w:sz w:val="21"/>
                <w:szCs w:val="21"/>
                <w:highlight w:val="none"/>
                <w:lang w:val="zh-CN" w:bidi="zh-CN"/>
              </w:rPr>
              <w:t xml:space="preserve">时间为准）至投标截止之日止，投标人在市场监管领域相关产品质量监督抽查任务中，没有因工作质量问题被通报的，得3分；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需提供承诺函，否则不得分。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（2）</w:t>
            </w:r>
            <w:r>
              <w:rPr>
                <w:rFonts w:ascii="宋体" w:hAnsi="宋体" w:cs="宋体"/>
                <w:spacing w:val="-3"/>
                <w:sz w:val="21"/>
                <w:szCs w:val="21"/>
                <w:highlight w:val="none"/>
                <w:lang w:bidi="zh-CN"/>
              </w:rPr>
              <w:t xml:space="preserve">从2023年1月1日起至投标截止之日止，投标人在市场监管领域无产品质量监督抽查任务的，视为无工作质量问题，得3分；需提供承诺函，否则不得分。</w:t>
            </w:r>
            <w:r>
              <w:rPr>
                <w:rFonts w:ascii="宋体" w:hAnsi="宋体" w:cs="宋体"/>
                <w:spacing w:val="-3"/>
                <w:sz w:val="21"/>
                <w:szCs w:val="21"/>
                <w:highlight w:val="none"/>
                <w:lang w:bidi="zh-CN"/>
              </w:rPr>
            </w:r>
            <w:r/>
          </w:p>
          <w:p>
            <w:pPr>
              <w:pStyle w:val="728"/>
              <w:jc w:val="both"/>
              <w:spacing w:after="0" w:line="240" w:lineRule="auto"/>
              <w:widowControl w:val="off"/>
              <w:rPr>
                <w:rFonts w:ascii="宋体" w:hAnsi="宋体" w:cs="宋体"/>
                <w:spacing w:val="-3"/>
                <w:sz w:val="21"/>
                <w:szCs w:val="21"/>
                <w:highlight w:val="none"/>
                <w:lang w:val="zh-CN" w:bidi="zh-CN"/>
              </w:rPr>
            </w:pPr>
            <w:r>
              <w:rPr>
                <w:rFonts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该评分点供应商如不实承诺，一经发现则按提供虚假材料谋取中标报财政监管部门。</w:t>
            </w:r>
            <w:r>
              <w:rPr>
                <w:rFonts w:hint="eastAsia" w:ascii="宋体" w:hAnsi="宋体" w:cs="宋体"/>
                <w:spacing w:val="-3"/>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13" w:name="_Toc227942477"/>
            <w:r>
              <w:rPr>
                <w:rFonts w:hint="eastAsia" w:ascii="宋体" w:hAnsi="宋体" w:cs="宋体"/>
                <w:spacing w:val="-6"/>
                <w:sz w:val="21"/>
                <w:szCs w:val="21"/>
                <w:highlight w:val="none"/>
                <w:lang w:bidi="zh-CN"/>
              </w:rPr>
              <w:t xml:space="preserve">3分</w:t>
            </w:r>
            <w:bookmarkEnd w:id="113"/>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14" w:name="_Toc227942478"/>
            <w:r/>
            <w:bookmarkStart w:id="115" w:name="OLE_LINK4"/>
            <w:r>
              <w:rPr>
                <w:rFonts w:hint="eastAsia" w:ascii="宋体" w:hAnsi="宋体" w:cs="宋体"/>
                <w:spacing w:val="-6"/>
                <w:sz w:val="21"/>
                <w:szCs w:val="21"/>
                <w:highlight w:val="none"/>
                <w:lang w:bidi="zh-CN"/>
              </w:rPr>
              <w:t xml:space="preserve">客观分</w:t>
            </w:r>
            <w:bookmarkEnd w:id="114"/>
            <w:r/>
            <w:bookmarkEnd w:id="115"/>
            <w:r>
              <w:rPr>
                <w:rFonts w:hint="eastAsia" w:ascii="宋体" w:hAnsi="宋体" w:cs="宋体"/>
                <w:spacing w:val="-6"/>
                <w:sz w:val="21"/>
                <w:szCs w:val="21"/>
                <w:highlight w:val="none"/>
                <w:lang w:bidi="zh-CN"/>
              </w:rPr>
            </w:r>
            <w:r/>
          </w:p>
        </w:tc>
      </w:tr>
      <w:tr>
        <w:trPr>
          <w:trHeight w:val="2087"/>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16" w:name="_Toc227942479"/>
            <w:r>
              <w:rPr>
                <w:rFonts w:hint="eastAsia" w:ascii="宋体" w:hAnsi="宋体" w:cs="宋体"/>
                <w:sz w:val="21"/>
                <w:szCs w:val="21"/>
                <w:highlight w:val="none"/>
                <w:lang w:bidi="zh-CN"/>
              </w:rPr>
              <w:t xml:space="preserve">3</w:t>
            </w:r>
            <w:bookmarkEnd w:id="116"/>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17" w:name="_Toc227942480"/>
            <w:r>
              <w:rPr>
                <w:rFonts w:hint="eastAsia" w:ascii="宋体" w:hAnsi="宋体" w:cs="宋体"/>
                <w:sz w:val="21"/>
                <w:szCs w:val="21"/>
                <w:highlight w:val="none"/>
                <w:lang w:bidi="zh-CN"/>
              </w:rPr>
              <w:t xml:space="preserve">业绩</w:t>
            </w:r>
            <w:bookmarkEnd w:id="117"/>
            <w:r>
              <w:rPr>
                <w:rFonts w:ascii="宋体" w:hAnsi="宋体" w:cs="宋体"/>
                <w:sz w:val="21"/>
                <w:szCs w:val="21"/>
                <w:highlight w:val="none"/>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从2023年1月1日起（以合同或合作协议签订时间为准）至投标截止之日止，投标人有承担过</w:t>
            </w:r>
            <w:r>
              <w:rPr>
                <w:rFonts w:hint="eastAsia" w:ascii="宋体" w:hAnsi="宋体" w:cs="宋体"/>
                <w:spacing w:val="-3"/>
                <w:sz w:val="21"/>
                <w:szCs w:val="21"/>
                <w:highlight w:val="none"/>
                <w:lang w:bidi="zh-CN"/>
              </w:rPr>
              <w:t xml:space="preserve">与本项目类似</w:t>
            </w:r>
            <w:r>
              <w:rPr>
                <w:rFonts w:hint="eastAsia" w:ascii="宋体" w:hAnsi="宋体" w:cs="宋体"/>
                <w:spacing w:val="-3"/>
                <w:sz w:val="21"/>
                <w:szCs w:val="21"/>
                <w:highlight w:val="none"/>
                <w:lang w:val="zh-CN" w:bidi="zh-CN"/>
              </w:rPr>
              <w:t xml:space="preserve">案例产品质量监督抽查</w:t>
            </w:r>
            <w:r>
              <w:rPr>
                <w:rFonts w:hint="eastAsia" w:ascii="宋体" w:hAnsi="宋体" w:cs="宋体"/>
                <w:spacing w:val="-3"/>
                <w:sz w:val="21"/>
                <w:szCs w:val="21"/>
                <w:highlight w:val="none"/>
                <w:lang w:bidi="zh-CN"/>
              </w:rPr>
              <w:t xml:space="preserve">业绩</w:t>
            </w:r>
            <w:r>
              <w:rPr>
                <w:rFonts w:hint="eastAsia" w:ascii="宋体" w:hAnsi="宋体" w:cs="宋体"/>
                <w:spacing w:val="-3"/>
                <w:sz w:val="21"/>
                <w:szCs w:val="21"/>
                <w:highlight w:val="none"/>
                <w:lang w:val="zh-CN" w:bidi="zh-CN"/>
              </w:rPr>
              <w:t xml:space="preserve">的，每例得3分，本项最高得9分。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需提供相关项目合同（或合作协议）复印件并加盖投标供应商公章，需体现签约单位及盖章内容、合同（或合作协议）签订时间、主要服务内容及其他主要条款，未提供证明文件或者证明文件不清晰不完整或不符合要求的不得分。同一合同甲方的多份合同仅按一份计算。</w:t>
            </w:r>
            <w:r>
              <w:rPr>
                <w:rFonts w:hint="eastAsia" w:ascii="宋体" w:hAnsi="宋体" w:cs="宋体"/>
                <w:spacing w:val="-3"/>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18" w:name="_Toc227942481"/>
            <w:r>
              <w:rPr>
                <w:rFonts w:hint="eastAsia" w:ascii="宋体" w:hAnsi="宋体" w:cs="宋体"/>
                <w:spacing w:val="-6"/>
                <w:sz w:val="21"/>
                <w:szCs w:val="21"/>
                <w:highlight w:val="none"/>
                <w:lang w:bidi="zh-CN"/>
              </w:rPr>
              <w:t xml:space="preserve">9分</w:t>
            </w:r>
            <w:bookmarkEnd w:id="118"/>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19" w:name="_Toc227942482"/>
            <w:r>
              <w:rPr>
                <w:rFonts w:hint="eastAsia" w:ascii="宋体" w:hAnsi="宋体" w:cs="宋体"/>
                <w:spacing w:val="-6"/>
                <w:sz w:val="21"/>
                <w:szCs w:val="21"/>
                <w:highlight w:val="none"/>
                <w:lang w:bidi="zh-CN"/>
              </w:rPr>
              <w:t xml:space="preserve">客观分</w:t>
            </w:r>
            <w:bookmarkEnd w:id="119"/>
            <w:r>
              <w:rPr>
                <w:rFonts w:hint="eastAsia" w:ascii="宋体" w:hAnsi="宋体" w:cs="宋体"/>
                <w:spacing w:val="-6"/>
                <w:sz w:val="21"/>
                <w:szCs w:val="21"/>
                <w:highlight w:val="none"/>
                <w:lang w:bidi="zh-CN"/>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20" w:name="_Toc227942483"/>
            <w:r>
              <w:rPr>
                <w:rFonts w:hint="eastAsia" w:ascii="宋体" w:hAnsi="宋体" w:cs="宋体"/>
                <w:sz w:val="21"/>
                <w:szCs w:val="21"/>
                <w:highlight w:val="none"/>
                <w:lang w:bidi="zh-CN"/>
              </w:rPr>
              <w:t xml:space="preserve">4</w:t>
            </w:r>
            <w:bookmarkEnd w:id="120"/>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bidi="zh-CN"/>
              </w:rPr>
              <w:outlineLvl w:val="1"/>
            </w:pPr>
            <w:r/>
            <w:bookmarkStart w:id="121" w:name="_Toc227942484"/>
            <w:r>
              <w:rPr>
                <w:rFonts w:hint="eastAsia" w:ascii="宋体" w:hAnsi="宋体" w:cs="宋体"/>
                <w:sz w:val="21"/>
                <w:szCs w:val="21"/>
                <w:highlight w:val="none"/>
                <w:lang w:bidi="zh-CN"/>
              </w:rPr>
              <w:t xml:space="preserve">项目团队负责人</w:t>
            </w:r>
            <w:bookmarkEnd w:id="121"/>
            <w:r>
              <w:rPr>
                <w:rFonts w:hint="eastAsia" w:ascii="宋体" w:hAnsi="宋体" w:cs="宋体"/>
                <w:sz w:val="21"/>
                <w:szCs w:val="21"/>
                <w:highlight w:val="none"/>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根据供应商拟投入本项目的项目负责人专业技术职称评分：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项目负责人具有副高级</w:t>
            </w:r>
            <w:bookmarkStart w:id="122" w:name="OLE_LINK9"/>
            <w:r>
              <w:rPr>
                <w:rFonts w:hint="eastAsia" w:ascii="宋体" w:hAnsi="宋体" w:cs="宋体"/>
                <w:spacing w:val="-3"/>
                <w:sz w:val="21"/>
                <w:szCs w:val="21"/>
                <w:highlight w:val="none"/>
                <w:lang w:val="zh-CN" w:bidi="zh-CN"/>
              </w:rPr>
              <w:t xml:space="preserve">(含)</w:t>
            </w:r>
            <w:bookmarkEnd w:id="122"/>
            <w:r>
              <w:rPr>
                <w:rFonts w:hint="eastAsia" w:ascii="宋体" w:hAnsi="宋体" w:cs="宋体"/>
                <w:spacing w:val="-3"/>
                <w:sz w:val="21"/>
                <w:szCs w:val="21"/>
                <w:highlight w:val="none"/>
                <w:lang w:bidi="zh-CN"/>
              </w:rPr>
              <w:t xml:space="preserve">以上</w:t>
            </w:r>
            <w:r>
              <w:rPr>
                <w:rFonts w:hint="eastAsia" w:ascii="宋体" w:hAnsi="宋体" w:cs="宋体"/>
                <w:spacing w:val="-3"/>
                <w:sz w:val="21"/>
                <w:szCs w:val="21"/>
                <w:highlight w:val="none"/>
                <w:lang w:val="zh-CN" w:bidi="zh-CN"/>
              </w:rPr>
              <w:t xml:space="preserve">专业技术职称，得</w:t>
            </w:r>
            <w:r>
              <w:rPr>
                <w:rFonts w:hint="eastAsia" w:ascii="宋体" w:hAnsi="宋体" w:cs="宋体"/>
                <w:spacing w:val="-3"/>
                <w:sz w:val="21"/>
                <w:szCs w:val="21"/>
                <w:highlight w:val="none"/>
                <w:lang w:bidi="zh-CN"/>
              </w:rPr>
              <w:t xml:space="preserve">5</w:t>
            </w:r>
            <w:r>
              <w:rPr>
                <w:rFonts w:hint="eastAsia" w:ascii="宋体" w:hAnsi="宋体" w:cs="宋体"/>
                <w:spacing w:val="-3"/>
                <w:sz w:val="21"/>
                <w:szCs w:val="21"/>
                <w:highlight w:val="none"/>
                <w:lang w:val="zh-CN" w:bidi="zh-CN"/>
              </w:rPr>
              <w:t xml:space="preserve">分；具有中级专业技术职称，得2分。</w:t>
            </w:r>
            <w:r>
              <w:rPr>
                <w:rFonts w:ascii="宋体" w:hAnsi="宋体" w:cs="宋体"/>
                <w:spacing w:val="-3"/>
                <w:sz w:val="21"/>
                <w:szCs w:val="21"/>
                <w:highlight w:val="none"/>
                <w:lang w:val="zh-CN" w:bidi="zh-CN"/>
              </w:rPr>
            </w:r>
            <w:r/>
          </w:p>
          <w:p>
            <w:pPr>
              <w:pStyle w:val="728"/>
              <w:jc w:val="both"/>
              <w:spacing w:after="0" w:line="240" w:lineRule="auto"/>
              <w:widowControl w:val="off"/>
              <w:rPr>
                <w:rFonts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须同时提供：</w:t>
            </w:r>
            <w:r>
              <w:rPr>
                <w:rFonts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①人员名单 </w:t>
            </w:r>
            <w:r>
              <w:rPr>
                <w:rFonts w:hint="eastAsia" w:ascii="宋体" w:hAnsi="宋体" w:cs="宋体"/>
                <w:spacing w:val="-3"/>
                <w:sz w:val="21"/>
                <w:szCs w:val="21"/>
                <w:highlight w:val="none"/>
                <w:lang w:bidi="zh-CN"/>
              </w:rPr>
              <w:t xml:space="preserve">②</w:t>
            </w:r>
            <w:r>
              <w:rPr>
                <w:rFonts w:hint="eastAsia" w:ascii="宋体" w:hAnsi="宋体" w:cs="宋体"/>
                <w:spacing w:val="-3"/>
                <w:sz w:val="21"/>
                <w:szCs w:val="21"/>
                <w:highlight w:val="none"/>
                <w:lang w:val="zh-CN" w:bidi="zh-CN"/>
              </w:rPr>
              <w:t xml:space="preserve">职称证明材料复印件 </w:t>
            </w:r>
            <w:r>
              <w:rPr>
                <w:rFonts w:hint="eastAsia" w:ascii="宋体" w:hAnsi="宋体" w:cs="宋体"/>
                <w:spacing w:val="-3"/>
                <w:sz w:val="21"/>
                <w:szCs w:val="21"/>
                <w:highlight w:val="none"/>
                <w:lang w:bidi="zh-CN"/>
              </w:rPr>
              <w:t xml:space="preserve">③</w:t>
            </w:r>
            <w:r>
              <w:rPr>
                <w:rFonts w:hint="eastAsia" w:ascii="宋体" w:hAnsi="宋体" w:cs="宋体"/>
                <w:spacing w:val="-3"/>
                <w:sz w:val="21"/>
                <w:szCs w:val="21"/>
                <w:highlight w:val="none"/>
                <w:lang w:val="zh-CN" w:bidi="zh-CN"/>
              </w:rPr>
              <w:t xml:space="preserve">供应商为其缴纳社保的证明材料：如为供应商自有在职人员，需同时提供2026年01月至递交投标文件截止之日期间任意一月由投标人为其缴纳社保基金的证明材料；若为劳务派遣人员，需同时提供项目负责人个人的劳动合同、投标人与人事代理（劳务外包）公司签订的人事代理（劳务外包）合同、2026年01月至递交投标文件截止之日期间任意一月人事代理（劳务外包）公司为其缴纳社保证明材料。退休返聘人员不得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上述评分点证明资料不完整或不一致或不符合要求的不计分。</w:t>
            </w:r>
            <w:r>
              <w:rPr>
                <w:rFonts w:hint="eastAsia" w:ascii="宋体" w:hAnsi="宋体" w:cs="宋体"/>
                <w:spacing w:val="-3"/>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23" w:name="_Toc227942485"/>
            <w:r>
              <w:rPr>
                <w:rFonts w:hint="eastAsia" w:ascii="宋体" w:hAnsi="宋体" w:cs="宋体"/>
                <w:spacing w:val="-6"/>
                <w:sz w:val="21"/>
                <w:szCs w:val="21"/>
                <w:highlight w:val="none"/>
                <w:lang w:bidi="zh-CN"/>
              </w:rPr>
              <w:t xml:space="preserve">5分</w:t>
            </w:r>
            <w:bookmarkEnd w:id="123"/>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24" w:name="_Toc227942486"/>
            <w:r>
              <w:rPr>
                <w:rFonts w:hint="eastAsia" w:ascii="宋体" w:hAnsi="宋体" w:cs="宋体"/>
                <w:spacing w:val="-6"/>
                <w:sz w:val="21"/>
                <w:szCs w:val="21"/>
                <w:highlight w:val="none"/>
                <w:lang w:bidi="zh-CN"/>
              </w:rPr>
              <w:t xml:space="preserve">客观分分</w:t>
            </w:r>
            <w:bookmarkEnd w:id="124"/>
            <w:r>
              <w:rPr>
                <w:rFonts w:hint="eastAsia" w:ascii="宋体" w:hAnsi="宋体" w:cs="宋体"/>
                <w:spacing w:val="-6"/>
                <w:sz w:val="21"/>
                <w:szCs w:val="21"/>
                <w:highlight w:val="none"/>
                <w:lang w:bidi="zh-CN"/>
              </w:rPr>
            </w:r>
            <w:r/>
          </w:p>
        </w:tc>
      </w:tr>
      <w:tr>
        <w:trPr>
          <w:trHeight w:val="5772"/>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25" w:name="_Toc227942487"/>
            <w:r>
              <w:rPr>
                <w:rFonts w:hint="eastAsia" w:ascii="宋体" w:hAnsi="宋体" w:cs="宋体"/>
                <w:sz w:val="21"/>
                <w:szCs w:val="21"/>
                <w:highlight w:val="none"/>
                <w:lang w:bidi="zh-CN"/>
              </w:rPr>
              <w:t xml:space="preserve">5</w:t>
            </w:r>
            <w:bookmarkEnd w:id="125"/>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bidi="zh-CN"/>
              </w:rPr>
              <w:outlineLvl w:val="1"/>
            </w:pPr>
            <w:r/>
            <w:bookmarkStart w:id="126" w:name="_Toc227942488"/>
            <w:r>
              <w:rPr>
                <w:rFonts w:hint="eastAsia" w:ascii="宋体" w:hAnsi="宋体" w:cs="宋体"/>
                <w:sz w:val="21"/>
                <w:szCs w:val="21"/>
                <w:highlight w:val="none"/>
                <w:lang w:bidi="zh-CN"/>
              </w:rPr>
              <w:t xml:space="preserve">项目团队成员</w:t>
            </w:r>
            <w:bookmarkEnd w:id="126"/>
            <w:r>
              <w:rPr>
                <w:rFonts w:hint="eastAsia" w:ascii="宋体" w:hAnsi="宋体" w:cs="宋体"/>
                <w:sz w:val="21"/>
                <w:szCs w:val="21"/>
                <w:highlight w:val="none"/>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供应商拟投入本项目的项目组成员（</w:t>
            </w:r>
            <w:r>
              <w:rPr>
                <w:rFonts w:hint="eastAsia" w:ascii="宋体" w:hAnsi="宋体" w:cs="宋体"/>
                <w:spacing w:val="-3"/>
                <w:sz w:val="21"/>
                <w:szCs w:val="21"/>
                <w:highlight w:val="none"/>
                <w:lang w:bidi="zh-CN"/>
              </w:rPr>
              <w:t xml:space="preserve">不</w:t>
            </w:r>
            <w:r>
              <w:rPr>
                <w:rFonts w:hint="eastAsia" w:ascii="宋体" w:hAnsi="宋体" w:cs="宋体"/>
                <w:spacing w:val="-3"/>
                <w:sz w:val="21"/>
                <w:szCs w:val="21"/>
                <w:highlight w:val="none"/>
                <w:lang w:val="zh-CN" w:bidi="zh-CN"/>
              </w:rPr>
              <w:t xml:space="preserve">含项目负责人）</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（1）具有中级（含）以上专业技术职称的检验人员或具有8年以上所投包产品检验工作经历的人员数量≥8人，同时抽样人员数量≥10人，同时满足上述两点得</w:t>
            </w:r>
            <w:r>
              <w:rPr>
                <w:rFonts w:hint="eastAsia" w:ascii="宋体" w:hAnsi="宋体" w:cs="宋体"/>
                <w:spacing w:val="-3"/>
                <w:sz w:val="21"/>
                <w:szCs w:val="21"/>
                <w:highlight w:val="none"/>
                <w:lang w:bidi="zh-CN"/>
              </w:rPr>
              <w:t xml:space="preserve">7</w:t>
            </w:r>
            <w:r>
              <w:rPr>
                <w:rFonts w:hint="eastAsia" w:ascii="宋体" w:hAnsi="宋体" w:cs="宋体"/>
                <w:spacing w:val="-3"/>
                <w:sz w:val="21"/>
                <w:szCs w:val="21"/>
                <w:highlight w:val="none"/>
                <w:lang w:val="zh-CN" w:bidi="zh-CN"/>
              </w:rPr>
              <w:t xml:space="preserve">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（2）具有中级（含）以上专业技术职称的检验人员或具有8年以上所投包产品检验工作经历的人员数量介于5（含）人-7（含）人之间的，同时抽样人员数量在7（含）人-9（含）人之间的，同时满足上述两点得</w:t>
            </w:r>
            <w:r>
              <w:rPr>
                <w:rFonts w:hint="eastAsia" w:ascii="宋体" w:hAnsi="宋体" w:cs="宋体"/>
                <w:spacing w:val="-3"/>
                <w:sz w:val="21"/>
                <w:szCs w:val="21"/>
                <w:highlight w:val="none"/>
                <w:lang w:bidi="zh-CN"/>
              </w:rPr>
              <w:t xml:space="preserve">4</w:t>
            </w:r>
            <w:r>
              <w:rPr>
                <w:rFonts w:hint="eastAsia" w:ascii="宋体" w:hAnsi="宋体" w:cs="宋体"/>
                <w:spacing w:val="-3"/>
                <w:sz w:val="21"/>
                <w:szCs w:val="21"/>
                <w:highlight w:val="none"/>
                <w:lang w:val="zh-CN" w:bidi="zh-CN"/>
              </w:rPr>
              <w:t xml:space="preserve">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（3）其他</w:t>
            </w:r>
            <w:r>
              <w:rPr>
                <w:rFonts w:hint="eastAsia" w:ascii="宋体" w:hAnsi="宋体" w:cs="宋体"/>
                <w:spacing w:val="-3"/>
                <w:sz w:val="21"/>
                <w:szCs w:val="21"/>
                <w:highlight w:val="none"/>
                <w:lang w:bidi="zh-CN"/>
              </w:rPr>
              <w:t xml:space="preserve">或未提供或不符合要求不得分</w:t>
            </w:r>
            <w:r>
              <w:rPr>
                <w:rFonts w:hint="eastAsia" w:ascii="宋体" w:hAnsi="宋体" w:cs="宋体"/>
                <w:spacing w:val="-3"/>
                <w:sz w:val="21"/>
                <w:szCs w:val="21"/>
                <w:highlight w:val="none"/>
                <w:lang w:val="zh-CN" w:bidi="zh-CN"/>
              </w:rPr>
              <w:t xml:space="preserve">。</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ascii="宋体" w:hAnsi="宋体" w:cs="宋体"/>
                <w:spacing w:val="-3"/>
                <w:sz w:val="21"/>
                <w:szCs w:val="21"/>
                <w:highlight w:val="none"/>
                <w:lang w:val="zh-CN" w:bidi="zh-CN"/>
              </w:rPr>
            </w:pPr>
            <w:r>
              <w:rPr>
                <w:rFonts w:ascii="宋体" w:hAnsi="宋体" w:cs="宋体"/>
                <w:spacing w:val="-3"/>
                <w:sz w:val="21"/>
                <w:szCs w:val="21"/>
                <w:highlight w:val="none"/>
                <w:lang w:val="zh-CN" w:bidi="zh-CN"/>
              </w:rPr>
            </w:r>
            <w:r/>
          </w:p>
          <w:p>
            <w:pPr>
              <w:pStyle w:val="728"/>
              <w:jc w:val="both"/>
              <w:spacing w:after="0" w:line="240" w:lineRule="auto"/>
              <w:widowControl w:val="off"/>
              <w:rPr>
                <w:rFonts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须同时提供：</w:t>
            </w:r>
            <w:r>
              <w:rPr>
                <w:rFonts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①人员清单 ②职称或工作经验证明材料 ③供应商为其缴纳社保的证明材料，所有参与评分的人员：如为供应商自有在职人员，均需同时提供一一对应的2026年01月至递交投标文件截止之日期间任意一月由投标人为其缴纳社保基金的证明材料；若为劳务派遣人员，均需同时提供一一对应的团队成员个人的劳动合同、投标人与人事代理（劳务外包）公司签订的人事代理（劳务外包）合同、2026年01月至递交投标文件截止之日期间任意一月人事代理（劳务外包）公司为团队成员缴纳社保证明材料。退休返聘人员不得分。</w:t>
            </w:r>
            <w:r>
              <w:rPr>
                <w:rFonts w:hint="eastAsia" w:ascii="宋体" w:hAnsi="宋体" w:cs="宋体"/>
                <w:spacing w:val="-3"/>
                <w:sz w:val="21"/>
                <w:szCs w:val="21"/>
                <w:highlight w:val="none"/>
                <w:lang w:val="zh-CN" w:bidi="zh-CN"/>
              </w:rPr>
            </w:r>
            <w:r/>
          </w:p>
          <w:p>
            <w:pPr>
              <w:pStyle w:val="728"/>
              <w:jc w:val="both"/>
              <w:spacing w:after="0" w:line="240" w:lineRule="auto"/>
              <w:widowControl w:val="off"/>
              <w:rPr>
                <w:highlight w:val="none"/>
              </w:rPr>
            </w:pPr>
            <w:r>
              <w:rPr>
                <w:rFonts w:hint="eastAsia" w:ascii="宋体" w:hAnsi="宋体" w:cs="宋体"/>
                <w:spacing w:val="-3"/>
                <w:sz w:val="21"/>
                <w:szCs w:val="21"/>
                <w:highlight w:val="none"/>
                <w:lang w:val="zh-CN" w:bidi="zh-CN"/>
              </w:rPr>
              <w:t xml:space="preserve">上述评分点证明资料不完整或不一致或不符合要求的不计分。</w:t>
            </w:r>
            <w:r>
              <w:rPr>
                <w:highlight w:val="none"/>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highlight w:val="none"/>
                <w:lang w:val="zh-CN"/>
              </w:rPr>
              <w:t xml:space="preserve">此评分点中抽样人员与检验人员不得重复，如有重复在符合人员要求的前提下优先按检验人员计算，不重复计算。</w:t>
            </w:r>
            <w:r>
              <w:rPr>
                <w:rFonts w:hint="eastAsia" w:ascii="宋体" w:hAnsi="宋体" w:cs="宋体"/>
                <w:spacing w:val="-3"/>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27" w:name="_Toc227942489"/>
            <w:r>
              <w:rPr>
                <w:rFonts w:hint="eastAsia" w:ascii="宋体" w:hAnsi="宋体" w:cs="宋体"/>
                <w:spacing w:val="-6"/>
                <w:sz w:val="21"/>
                <w:szCs w:val="21"/>
                <w:highlight w:val="none"/>
                <w:lang w:bidi="zh-CN"/>
              </w:rPr>
              <w:t xml:space="preserve">7分</w:t>
            </w:r>
            <w:bookmarkEnd w:id="127"/>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28" w:name="_Toc227942490"/>
            <w:r>
              <w:rPr>
                <w:rFonts w:hint="eastAsia" w:ascii="宋体" w:hAnsi="宋体" w:cs="宋体"/>
                <w:spacing w:val="-6"/>
                <w:sz w:val="21"/>
                <w:szCs w:val="21"/>
                <w:highlight w:val="none"/>
                <w:lang w:bidi="zh-CN"/>
              </w:rPr>
              <w:t xml:space="preserve">客观分</w:t>
            </w:r>
            <w:bookmarkEnd w:id="128"/>
            <w:r>
              <w:rPr>
                <w:rFonts w:hint="eastAsia" w:ascii="宋体" w:hAnsi="宋体" w:cs="宋体"/>
                <w:spacing w:val="-6"/>
                <w:sz w:val="21"/>
                <w:szCs w:val="21"/>
                <w:highlight w:val="none"/>
                <w:lang w:bidi="zh-CN"/>
              </w:rPr>
            </w:r>
            <w:r/>
          </w:p>
        </w:tc>
      </w:tr>
      <w:tr>
        <w:trPr>
          <w:trHeight w:val="1148"/>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29" w:name="_Toc227942491"/>
            <w:r>
              <w:rPr>
                <w:rFonts w:hint="eastAsia" w:ascii="宋体" w:hAnsi="宋体" w:cs="宋体"/>
                <w:sz w:val="21"/>
                <w:szCs w:val="21"/>
                <w:highlight w:val="none"/>
                <w:lang w:bidi="zh-CN"/>
              </w:rPr>
              <w:t xml:space="preserve">6</w:t>
            </w:r>
            <w:bookmarkEnd w:id="129"/>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bidi="zh-CN"/>
              </w:rPr>
              <w:outlineLvl w:val="1"/>
            </w:pPr>
            <w:r/>
            <w:bookmarkStart w:id="130" w:name="_Toc227942492"/>
            <w:r>
              <w:rPr>
                <w:rFonts w:hint="eastAsia" w:ascii="宋体" w:hAnsi="宋体" w:cs="宋体"/>
                <w:sz w:val="21"/>
                <w:szCs w:val="21"/>
                <w:highlight w:val="none"/>
                <w:lang w:bidi="zh-CN"/>
              </w:rPr>
              <w:t xml:space="preserve">快速响应服务时效</w:t>
            </w:r>
            <w:bookmarkEnd w:id="130"/>
            <w:r>
              <w:rPr>
                <w:rFonts w:hint="eastAsia" w:ascii="宋体" w:hAnsi="宋体" w:cs="宋体"/>
                <w:sz w:val="21"/>
                <w:szCs w:val="21"/>
                <w:highlight w:val="none"/>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根据供应商在出现突发状况时到达</w:t>
            </w:r>
            <w:r>
              <w:rPr>
                <w:rFonts w:hint="eastAsia" w:ascii="宋体" w:hAnsi="宋体" w:cs="宋体"/>
                <w:spacing w:val="-3"/>
                <w:sz w:val="21"/>
                <w:szCs w:val="21"/>
                <w:highlight w:val="none"/>
                <w:lang w:bidi="zh-CN"/>
              </w:rPr>
              <w:t xml:space="preserve">各采购包的</w:t>
            </w:r>
            <w:r>
              <w:rPr>
                <w:rFonts w:hint="eastAsia" w:ascii="宋体" w:hAnsi="宋体" w:cs="宋体"/>
                <w:spacing w:val="-3"/>
                <w:sz w:val="21"/>
                <w:szCs w:val="21"/>
                <w:highlight w:val="none"/>
                <w:lang w:val="zh-CN" w:bidi="zh-CN"/>
              </w:rPr>
              <w:t xml:space="preserve">专业市场所在地开展工作所需要的快速响应时间进行评分。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w:t>
            </w:r>
            <w:r>
              <w:rPr>
                <w:rFonts w:hint="eastAsia" w:ascii="宋体" w:hAnsi="宋体" w:cs="宋体"/>
                <w:spacing w:val="-3"/>
                <w:sz w:val="21"/>
                <w:szCs w:val="21"/>
                <w:highlight w:val="none"/>
                <w:lang w:bidi="zh-CN"/>
              </w:rPr>
              <w:t xml:space="preserve">1</w:t>
            </w:r>
            <w:r>
              <w:rPr>
                <w:rFonts w:hint="eastAsia" w:ascii="宋体" w:hAnsi="宋体" w:cs="宋体"/>
                <w:spacing w:val="-3"/>
                <w:sz w:val="21"/>
                <w:szCs w:val="21"/>
                <w:highlight w:val="none"/>
                <w:lang w:val="zh-CN" w:bidi="zh-CN"/>
              </w:rPr>
              <w:t xml:space="preserve">）</w:t>
            </w:r>
            <w:r>
              <w:rPr>
                <w:rFonts w:hint="eastAsia" w:ascii="宋体" w:hAnsi="宋体" w:cs="宋体"/>
                <w:spacing w:val="-3"/>
                <w:sz w:val="21"/>
                <w:szCs w:val="21"/>
                <w:highlight w:val="none"/>
                <w:lang w:bidi="zh-CN"/>
              </w:rPr>
              <w:t xml:space="preserve">4</w:t>
            </w:r>
            <w:r>
              <w:rPr>
                <w:rFonts w:hint="eastAsia" w:ascii="宋体" w:hAnsi="宋体" w:cs="宋体"/>
                <w:spacing w:val="-3"/>
                <w:sz w:val="21"/>
                <w:szCs w:val="21"/>
                <w:highlight w:val="none"/>
                <w:lang w:val="zh-CN" w:bidi="zh-CN"/>
              </w:rPr>
              <w:t xml:space="preserve">小时内及时响应并到达所投采购包的专业市场所在地开展工作的，得</w:t>
            </w:r>
            <w:r>
              <w:rPr>
                <w:rFonts w:hint="eastAsia" w:ascii="宋体" w:hAnsi="宋体" w:cs="宋体"/>
                <w:spacing w:val="-3"/>
                <w:sz w:val="21"/>
                <w:szCs w:val="21"/>
                <w:highlight w:val="none"/>
                <w:lang w:bidi="zh-CN"/>
              </w:rPr>
              <w:t xml:space="preserve">4</w:t>
            </w:r>
            <w:r>
              <w:rPr>
                <w:rFonts w:hint="eastAsia" w:ascii="宋体" w:hAnsi="宋体" w:cs="宋体"/>
                <w:spacing w:val="-3"/>
                <w:sz w:val="21"/>
                <w:szCs w:val="21"/>
                <w:highlight w:val="none"/>
                <w:lang w:val="zh-CN" w:bidi="zh-CN"/>
              </w:rPr>
              <w:t xml:space="preserve">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w:t>
            </w:r>
            <w:r>
              <w:rPr>
                <w:rFonts w:hint="eastAsia" w:ascii="宋体" w:hAnsi="宋体" w:cs="宋体"/>
                <w:spacing w:val="-3"/>
                <w:sz w:val="21"/>
                <w:szCs w:val="21"/>
                <w:highlight w:val="none"/>
                <w:lang w:bidi="zh-CN"/>
              </w:rPr>
              <w:t xml:space="preserve">2</w:t>
            </w:r>
            <w:r>
              <w:rPr>
                <w:rFonts w:hint="eastAsia" w:ascii="宋体" w:hAnsi="宋体" w:cs="宋体"/>
                <w:spacing w:val="-3"/>
                <w:sz w:val="21"/>
                <w:szCs w:val="21"/>
                <w:highlight w:val="none"/>
                <w:lang w:val="zh-CN" w:bidi="zh-CN"/>
              </w:rPr>
              <w:t xml:space="preserve">）</w:t>
            </w:r>
            <w:r>
              <w:rPr>
                <w:rFonts w:hint="eastAsia" w:ascii="宋体" w:hAnsi="宋体" w:cs="宋体"/>
                <w:spacing w:val="-3"/>
                <w:sz w:val="21"/>
                <w:szCs w:val="21"/>
                <w:highlight w:val="none"/>
                <w:lang w:bidi="zh-CN"/>
              </w:rPr>
              <w:t xml:space="preserve">6</w:t>
            </w:r>
            <w:r>
              <w:rPr>
                <w:rFonts w:hint="eastAsia" w:ascii="宋体" w:hAnsi="宋体" w:cs="宋体"/>
                <w:spacing w:val="-3"/>
                <w:sz w:val="21"/>
                <w:szCs w:val="21"/>
                <w:highlight w:val="none"/>
                <w:lang w:val="zh-CN" w:bidi="zh-CN"/>
              </w:rPr>
              <w:t xml:space="preserve">小时内及时响应并到达所投采购包的专业市场所在地开展工作的，得2分；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w:t>
            </w:r>
            <w:r>
              <w:rPr>
                <w:rFonts w:hint="eastAsia" w:ascii="宋体" w:hAnsi="宋体" w:cs="宋体"/>
                <w:spacing w:val="-3"/>
                <w:sz w:val="21"/>
                <w:szCs w:val="21"/>
                <w:highlight w:val="none"/>
                <w:lang w:bidi="zh-CN"/>
              </w:rPr>
              <w:t xml:space="preserve">3</w:t>
            </w:r>
            <w:r>
              <w:rPr>
                <w:rFonts w:hint="eastAsia" w:ascii="宋体" w:hAnsi="宋体" w:cs="宋体"/>
                <w:spacing w:val="-3"/>
                <w:sz w:val="21"/>
                <w:szCs w:val="21"/>
                <w:highlight w:val="none"/>
                <w:lang w:val="zh-CN" w:bidi="zh-CN"/>
              </w:rPr>
              <w:t xml:space="preserve">）</w:t>
            </w:r>
            <w:r>
              <w:rPr>
                <w:rFonts w:hint="eastAsia" w:ascii="宋体" w:hAnsi="宋体" w:cs="宋体"/>
                <w:spacing w:val="-3"/>
                <w:sz w:val="21"/>
                <w:szCs w:val="21"/>
                <w:highlight w:val="none"/>
                <w:lang w:bidi="zh-CN"/>
              </w:rPr>
              <w:t xml:space="preserve">8</w:t>
            </w:r>
            <w:r>
              <w:rPr>
                <w:rFonts w:hint="eastAsia" w:ascii="宋体" w:hAnsi="宋体" w:cs="宋体"/>
                <w:spacing w:val="-3"/>
                <w:sz w:val="21"/>
                <w:szCs w:val="21"/>
                <w:highlight w:val="none"/>
                <w:lang w:val="zh-CN" w:bidi="zh-CN"/>
              </w:rPr>
              <w:t xml:space="preserve">小时内及时响应并到达所投采购包的专业市场所在地开展工作的，得1分；</w:t>
            </w:r>
            <w:r>
              <w:rPr>
                <w:rFonts w:hint="eastAsia" w:ascii="宋体" w:hAnsi="宋体" w:cs="宋体"/>
                <w:spacing w:val="-3"/>
                <w:sz w:val="21"/>
                <w:szCs w:val="21"/>
                <w:highlight w:val="none"/>
                <w:lang w:val="zh-CN" w:bidi="zh-CN"/>
              </w:rPr>
            </w:r>
            <w:r/>
          </w:p>
          <w:p>
            <w:pPr>
              <w:pStyle w:val="728"/>
              <w:ind w:firstLine="204"/>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不符合上述要求的，不得分。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注：供应商须提交以供应商实验室为起点至所投采购包的专业市场所在地为终点（各专业市场所在地见附件1）的全部行程导航截图，若更换交通工具，须分段截图，行程方式包括飞机、火车、汽车等。</w:t>
            </w:r>
            <w:r>
              <w:rPr>
                <w:rFonts w:hint="eastAsia" w:ascii="宋体" w:hAnsi="宋体" w:cs="宋体"/>
                <w:spacing w:val="-3"/>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31" w:name="_Toc227942493"/>
            <w:r>
              <w:rPr>
                <w:rFonts w:hint="eastAsia" w:ascii="宋体" w:hAnsi="宋体" w:cs="宋体"/>
                <w:spacing w:val="-6"/>
                <w:sz w:val="21"/>
                <w:szCs w:val="21"/>
                <w:highlight w:val="none"/>
                <w:lang w:bidi="zh-CN"/>
              </w:rPr>
              <w:t xml:space="preserve">4分</w:t>
            </w:r>
            <w:bookmarkEnd w:id="131"/>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32" w:name="_Toc227942494"/>
            <w:r>
              <w:rPr>
                <w:rFonts w:hint="eastAsia" w:ascii="宋体" w:hAnsi="宋体" w:cs="宋体"/>
                <w:spacing w:val="-6"/>
                <w:sz w:val="21"/>
                <w:szCs w:val="21"/>
                <w:highlight w:val="none"/>
                <w:lang w:bidi="zh-CN"/>
              </w:rPr>
              <w:t xml:space="preserve">客观分</w:t>
            </w:r>
            <w:bookmarkEnd w:id="132"/>
            <w:r>
              <w:rPr>
                <w:rFonts w:hint="eastAsia" w:ascii="宋体" w:hAnsi="宋体" w:cs="宋体"/>
                <w:spacing w:val="-6"/>
                <w:sz w:val="21"/>
                <w:szCs w:val="21"/>
                <w:highlight w:val="none"/>
                <w:lang w:bidi="zh-CN"/>
              </w:rPr>
            </w:r>
            <w:r/>
          </w:p>
        </w:tc>
      </w:tr>
      <w:tr>
        <w:trPr>
          <w:trHeight w:val="340"/>
          <w:tblHeader/>
        </w:trPr>
        <w:tc>
          <w:tcPr>
            <w:tcW w:w="817" w:type="dxa"/>
            <w:vAlign w:val="center"/>
            <w:textDirection w:val="lrTb"/>
            <w:noWrap w:val="false"/>
          </w:tcPr>
          <w:p>
            <w:pPr>
              <w:pStyle w:val="728"/>
              <w:jc w:val="center"/>
              <w:spacing w:after="0" w:line="240" w:lineRule="auto"/>
              <w:rPr>
                <w:rFonts w:ascii="宋体" w:hAnsi="宋体" w:cs="宋体"/>
                <w:sz w:val="21"/>
                <w:szCs w:val="21"/>
                <w:highlight w:val="none"/>
                <w:lang w:bidi="zh-CN"/>
              </w:rPr>
            </w:pPr>
            <w:r>
              <w:rPr>
                <w:rFonts w:hint="eastAsia" w:ascii="宋体" w:hAnsi="宋体" w:cs="宋体"/>
                <w:sz w:val="21"/>
                <w:szCs w:val="21"/>
                <w:highlight w:val="none"/>
                <w:lang w:bidi="zh-CN"/>
              </w:rPr>
              <w:t xml:space="preserve">7</w:t>
            </w:r>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val="zh-CN" w:bidi="zh-CN"/>
              </w:rPr>
            </w:pPr>
            <w:r>
              <w:rPr>
                <w:rFonts w:hint="eastAsia" w:ascii="宋体" w:hAnsi="宋体" w:cs="宋体"/>
                <w:sz w:val="21"/>
                <w:szCs w:val="21"/>
                <w:highlight w:val="none"/>
                <w:lang w:val="zh-CN" w:bidi="zh-CN"/>
              </w:rPr>
              <w:t xml:space="preserve">实验室检测设备配置情况</w:t>
            </w:r>
            <w:r>
              <w:rPr>
                <w:rFonts w:hint="eastAsia" w:ascii="宋体" w:hAnsi="宋体" w:cs="宋体"/>
                <w:sz w:val="21"/>
                <w:szCs w:val="21"/>
                <w:highlight w:val="none"/>
                <w:lang w:val="zh-CN" w:bidi="zh-CN"/>
              </w:rPr>
            </w:r>
            <w:r/>
          </w:p>
        </w:tc>
        <w:tc>
          <w:tcPr>
            <w:tcW w:w="6238" w:type="dxa"/>
            <w:vAlign w:val="top"/>
            <w:textDirection w:val="lrTb"/>
            <w:noWrap w:val="false"/>
          </w:tcPr>
          <w:p>
            <w:pPr>
              <w:pStyle w:val="728"/>
              <w:spacing w:after="0" w:line="240" w:lineRule="auto"/>
              <w:widowControl w:val="off"/>
              <w:rPr>
                <w:rFonts w:hint="eastAsia" w:ascii="宋体" w:hAnsi="宋体" w:cs="宋体"/>
                <w:sz w:val="21"/>
                <w:szCs w:val="21"/>
                <w:highlight w:val="none"/>
                <w:lang w:val="zh-CN" w:bidi="zh-CN"/>
              </w:rPr>
            </w:pPr>
            <w:r/>
            <w:bookmarkStart w:id="133" w:name="OLE_LINK10"/>
            <w:r>
              <w:rPr>
                <w:rFonts w:hint="eastAsia" w:ascii="宋体" w:hAnsi="宋体" w:cs="宋体"/>
                <w:sz w:val="21"/>
                <w:szCs w:val="21"/>
                <w:highlight w:val="none"/>
                <w:lang w:bidi="zh-CN"/>
              </w:rPr>
              <w:t xml:space="preserve">供应商应承诺在服务期间</w:t>
            </w:r>
            <w:r>
              <w:rPr>
                <w:rFonts w:hint="eastAsia" w:ascii="宋体" w:hAnsi="宋体" w:cs="宋体"/>
                <w:sz w:val="21"/>
                <w:szCs w:val="21"/>
                <w:highlight w:val="none"/>
                <w:lang w:val="zh-CN" w:bidi="zh-CN"/>
              </w:rPr>
              <w:t xml:space="preserve">投入的所有仪器设备在计量（校准）有效期内，覆盖所投采购包风险动态监测产品全部检验项目，精度适宜、数量充足，能够满足所投采购包产品所有检验项目的检测需要。</w:t>
            </w:r>
            <w:r>
              <w:rPr>
                <w:rFonts w:hint="eastAsia" w:ascii="宋体" w:hAnsi="宋体" w:cs="宋体"/>
                <w:sz w:val="21"/>
                <w:szCs w:val="21"/>
                <w:highlight w:val="none"/>
                <w:lang w:val="zh-CN" w:bidi="zh-CN"/>
              </w:rPr>
            </w:r>
            <w:r/>
          </w:p>
          <w:p>
            <w:pPr>
              <w:pStyle w:val="728"/>
              <w:spacing w:after="0" w:line="240" w:lineRule="auto"/>
              <w:widowControl w:val="off"/>
              <w:rPr>
                <w:rFonts w:hint="eastAsia" w:ascii="宋体" w:hAnsi="宋体" w:cs="宋体"/>
                <w:b/>
                <w:bCs/>
                <w:sz w:val="21"/>
                <w:szCs w:val="21"/>
                <w:highlight w:val="none"/>
                <w:lang w:val="zh-CN" w:bidi="zh-CN"/>
              </w:rPr>
            </w:pPr>
            <w:r>
              <w:rPr>
                <w:rFonts w:hint="eastAsia" w:ascii="宋体" w:hAnsi="宋体" w:cs="宋体"/>
                <w:sz w:val="21"/>
                <w:szCs w:val="21"/>
                <w:highlight w:val="none"/>
                <w:lang w:val="zh-CN" w:bidi="zh-CN"/>
              </w:rPr>
              <w:t xml:space="preserve">需提供书面承诺函并加盖</w:t>
            </w:r>
            <w:r>
              <w:rPr>
                <w:rFonts w:hint="eastAsia" w:ascii="宋体" w:hAnsi="宋体" w:cs="宋体"/>
                <w:sz w:val="21"/>
                <w:szCs w:val="21"/>
                <w:highlight w:val="none"/>
                <w:lang w:bidi="zh-CN"/>
              </w:rPr>
              <w:t xml:space="preserve">CA</w:t>
            </w:r>
            <w:r>
              <w:rPr>
                <w:rFonts w:hint="eastAsia" w:ascii="宋体" w:hAnsi="宋体" w:cs="宋体"/>
                <w:sz w:val="21"/>
                <w:szCs w:val="21"/>
                <w:highlight w:val="none"/>
                <w:lang w:val="zh-CN" w:bidi="zh-CN"/>
              </w:rPr>
              <w:t xml:space="preserve">公章。未提供或不符合要求者不得分。</w:t>
            </w:r>
            <w:bookmarkEnd w:id="133"/>
            <w:r>
              <w:rPr>
                <w:rFonts w:hint="eastAsia" w:ascii="宋体" w:hAnsi="宋体" w:cs="宋体"/>
                <w:b/>
                <w:bCs/>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val="zh-CN" w:bidi="zh-CN"/>
              </w:rPr>
              <w:outlineLvl w:val="1"/>
            </w:pPr>
            <w:r/>
            <w:bookmarkStart w:id="134" w:name="_Toc227942495"/>
            <w:r>
              <w:rPr>
                <w:rFonts w:hint="eastAsia" w:ascii="宋体" w:hAnsi="宋体" w:cs="宋体"/>
                <w:spacing w:val="-6"/>
                <w:sz w:val="21"/>
                <w:szCs w:val="21"/>
                <w:highlight w:val="none"/>
                <w:lang w:bidi="zh-CN"/>
              </w:rPr>
              <w:t xml:space="preserve">3</w:t>
            </w:r>
            <w:r>
              <w:rPr>
                <w:rFonts w:hint="eastAsia" w:ascii="宋体" w:hAnsi="宋体" w:cs="宋体"/>
                <w:spacing w:val="-6"/>
                <w:sz w:val="21"/>
                <w:szCs w:val="21"/>
                <w:highlight w:val="none"/>
                <w:lang w:val="zh-CN" w:bidi="zh-CN"/>
              </w:rPr>
              <w:t xml:space="preserve">分</w:t>
            </w:r>
            <w:bookmarkEnd w:id="134"/>
            <w:r>
              <w:rPr>
                <w:rFonts w:hint="eastAsia" w:ascii="宋体" w:hAnsi="宋体" w:cs="宋体"/>
                <w:spacing w:val="-6"/>
                <w:sz w:val="21"/>
                <w:szCs w:val="21"/>
                <w:highlight w:val="none"/>
                <w:lang w:val="zh-CN"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val="zh-CN" w:bidi="zh-CN"/>
              </w:rPr>
              <w:outlineLvl w:val="1"/>
            </w:pPr>
            <w:r/>
            <w:bookmarkStart w:id="135" w:name="_Toc227942496"/>
            <w:r>
              <w:rPr>
                <w:rFonts w:hint="eastAsia" w:ascii="宋体" w:hAnsi="宋体" w:cs="宋体"/>
                <w:spacing w:val="-6"/>
                <w:sz w:val="21"/>
                <w:szCs w:val="21"/>
                <w:highlight w:val="none"/>
                <w:lang w:bidi="zh-CN"/>
              </w:rPr>
              <w:t xml:space="preserve">客</w:t>
            </w:r>
            <w:r>
              <w:rPr>
                <w:rFonts w:hint="eastAsia" w:ascii="宋体" w:hAnsi="宋体" w:cs="宋体"/>
                <w:spacing w:val="-6"/>
                <w:sz w:val="21"/>
                <w:szCs w:val="21"/>
                <w:highlight w:val="none"/>
                <w:lang w:val="zh-CN" w:bidi="zh-CN"/>
              </w:rPr>
              <w:t xml:space="preserve">观分</w:t>
            </w:r>
            <w:bookmarkEnd w:id="135"/>
            <w:r>
              <w:rPr>
                <w:rFonts w:hint="eastAsia" w:ascii="宋体" w:hAnsi="宋体" w:cs="宋体"/>
                <w:spacing w:val="-6"/>
                <w:sz w:val="21"/>
                <w:szCs w:val="21"/>
                <w:highlight w:val="none"/>
                <w:lang w:val="zh-CN"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End w:id="111"/>
            <w:r/>
            <w:bookmarkStart w:id="136" w:name="_Toc227942497"/>
            <w:r>
              <w:rPr>
                <w:rFonts w:hint="eastAsia" w:ascii="宋体" w:hAnsi="宋体" w:cs="宋体"/>
                <w:sz w:val="21"/>
                <w:szCs w:val="21"/>
                <w:highlight w:val="none"/>
                <w:lang w:bidi="zh-CN"/>
              </w:rPr>
              <w:t xml:space="preserve">8</w:t>
            </w:r>
            <w:bookmarkEnd w:id="136"/>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val="zh-CN" w:bidi="zh-CN"/>
              </w:rPr>
              <w:outlineLvl w:val="1"/>
            </w:pPr>
            <w:r/>
            <w:bookmarkStart w:id="137" w:name="_Toc227942498"/>
            <w:r>
              <w:rPr>
                <w:rFonts w:hint="eastAsia" w:ascii="宋体" w:hAnsi="宋体" w:cs="宋体"/>
                <w:sz w:val="21"/>
                <w:szCs w:val="21"/>
                <w:highlight w:val="none"/>
                <w:lang w:val="zh-CN" w:bidi="zh-CN"/>
              </w:rPr>
              <w:t xml:space="preserve">抽样、检验工作管理制度</w:t>
            </w:r>
            <w:bookmarkEnd w:id="137"/>
            <w:r>
              <w:rPr>
                <w:rFonts w:hint="eastAsia" w:ascii="宋体" w:hAnsi="宋体" w:cs="宋体"/>
                <w:sz w:val="21"/>
                <w:szCs w:val="21"/>
                <w:highlight w:val="none"/>
                <w:lang w:val="zh-CN"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根据需求响应方案中供应商针对本项目拟定的抽样、检验工作管理制度予以评审，</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（1）优于需求得6分；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（2）满足需求得4分；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（3）内容有欠缺需进一步修改完善的得2分；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（4）其他或未提供不得分。</w:t>
            </w:r>
            <w:r>
              <w:rPr>
                <w:rFonts w:hint="eastAsia" w:ascii="宋体" w:hAnsi="宋体" w:cs="宋体"/>
                <w:spacing w:val="-3"/>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38" w:name="_Toc227942499"/>
            <w:r>
              <w:rPr>
                <w:rFonts w:hint="eastAsia" w:ascii="宋体" w:hAnsi="宋体" w:cs="宋体"/>
                <w:spacing w:val="-6"/>
                <w:sz w:val="21"/>
                <w:szCs w:val="21"/>
                <w:highlight w:val="none"/>
                <w:lang w:bidi="zh-CN"/>
              </w:rPr>
              <w:t xml:space="preserve">6分</w:t>
            </w:r>
            <w:bookmarkEnd w:id="138"/>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39" w:name="_Toc227942500"/>
            <w:r>
              <w:rPr>
                <w:rFonts w:hint="eastAsia" w:ascii="宋体" w:hAnsi="宋体" w:cs="宋体"/>
                <w:spacing w:val="-6"/>
                <w:sz w:val="21"/>
                <w:szCs w:val="21"/>
                <w:highlight w:val="none"/>
                <w:lang w:bidi="zh-CN"/>
              </w:rPr>
              <w:t xml:space="preserve">主观分</w:t>
            </w:r>
            <w:bookmarkEnd w:id="139"/>
            <w:r>
              <w:rPr>
                <w:rFonts w:hint="eastAsia" w:ascii="宋体" w:hAnsi="宋体" w:cs="宋体"/>
                <w:spacing w:val="-6"/>
                <w:sz w:val="21"/>
                <w:szCs w:val="21"/>
                <w:highlight w:val="none"/>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40" w:name="_Toc227942501"/>
            <w:r>
              <w:rPr>
                <w:rFonts w:hint="eastAsia" w:ascii="宋体" w:hAnsi="宋体" w:cs="宋体"/>
                <w:sz w:val="21"/>
                <w:szCs w:val="21"/>
                <w:highlight w:val="none"/>
                <w:lang w:bidi="zh-CN"/>
              </w:rPr>
              <w:t xml:space="preserve">9</w:t>
            </w:r>
            <w:bookmarkEnd w:id="140"/>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val="zh-CN" w:bidi="zh-CN"/>
              </w:rPr>
              <w:outlineLvl w:val="1"/>
            </w:pPr>
            <w:r/>
            <w:bookmarkStart w:id="141" w:name="_Toc227942502"/>
            <w:r>
              <w:rPr>
                <w:rFonts w:hint="eastAsia" w:ascii="宋体" w:hAnsi="宋体" w:cs="宋体"/>
                <w:sz w:val="21"/>
                <w:szCs w:val="21"/>
                <w:highlight w:val="none"/>
                <w:lang w:val="zh-CN" w:bidi="zh-CN"/>
              </w:rPr>
              <w:t xml:space="preserve">样品管理、处置工作管理制度</w:t>
            </w:r>
            <w:bookmarkEnd w:id="141"/>
            <w:r>
              <w:rPr>
                <w:rFonts w:hint="eastAsia" w:ascii="宋体" w:hAnsi="宋体" w:cs="宋体"/>
                <w:sz w:val="21"/>
                <w:szCs w:val="21"/>
                <w:highlight w:val="none"/>
                <w:lang w:val="zh-CN"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根据需求响应方案中供应商针对本项目拟定的样品管理、处置工作管理制度予以评审，</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（1）优于需求得6分；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（2）满足需求得4分；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（3）内容有欠缺需进一步修改完善的得2分；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（4）其他或未提供不得分。</w:t>
            </w:r>
            <w:r>
              <w:rPr>
                <w:rFonts w:hint="eastAsia" w:ascii="宋体" w:hAnsi="宋体" w:cs="宋体"/>
                <w:spacing w:val="-3"/>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42" w:name="_Toc227942503"/>
            <w:r>
              <w:rPr>
                <w:rFonts w:hint="eastAsia" w:ascii="宋体" w:hAnsi="宋体" w:cs="宋体"/>
                <w:spacing w:val="-6"/>
                <w:sz w:val="21"/>
                <w:szCs w:val="21"/>
                <w:highlight w:val="none"/>
                <w:lang w:bidi="zh-CN"/>
              </w:rPr>
              <w:t xml:space="preserve">6分</w:t>
            </w:r>
            <w:bookmarkEnd w:id="142"/>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43" w:name="_Toc227942504"/>
            <w:r>
              <w:rPr>
                <w:rFonts w:hint="eastAsia" w:ascii="宋体" w:hAnsi="宋体" w:cs="宋体"/>
                <w:spacing w:val="-6"/>
                <w:sz w:val="21"/>
                <w:szCs w:val="21"/>
                <w:highlight w:val="none"/>
                <w:lang w:bidi="zh-CN"/>
              </w:rPr>
              <w:t xml:space="preserve">主观分</w:t>
            </w:r>
            <w:bookmarkEnd w:id="143"/>
            <w:r>
              <w:rPr>
                <w:rFonts w:hint="eastAsia" w:ascii="宋体" w:hAnsi="宋体" w:cs="宋体"/>
                <w:spacing w:val="-6"/>
                <w:sz w:val="21"/>
                <w:szCs w:val="21"/>
                <w:highlight w:val="none"/>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44" w:name="_Toc227942505"/>
            <w:r>
              <w:rPr>
                <w:rFonts w:hint="eastAsia" w:ascii="宋体" w:hAnsi="宋体" w:cs="宋体"/>
                <w:sz w:val="21"/>
                <w:szCs w:val="21"/>
                <w:highlight w:val="none"/>
                <w:lang w:bidi="zh-CN"/>
              </w:rPr>
              <w:t xml:space="preserve">10</w:t>
            </w:r>
            <w:bookmarkEnd w:id="144"/>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val="zh-CN" w:bidi="zh-CN"/>
              </w:rPr>
              <w:outlineLvl w:val="1"/>
            </w:pPr>
            <w:r/>
            <w:bookmarkStart w:id="145" w:name="_Toc227942506"/>
            <w:r>
              <w:rPr>
                <w:rFonts w:hint="eastAsia" w:ascii="宋体" w:hAnsi="宋体" w:cs="宋体"/>
                <w:sz w:val="21"/>
                <w:szCs w:val="21"/>
                <w:highlight w:val="none"/>
                <w:lang w:val="zh-CN" w:bidi="zh-CN"/>
              </w:rPr>
              <w:t xml:space="preserve">结果上报管理制度</w:t>
            </w:r>
            <w:bookmarkEnd w:id="145"/>
            <w:r>
              <w:rPr>
                <w:rFonts w:hint="eastAsia" w:ascii="宋体" w:hAnsi="宋体" w:cs="宋体"/>
                <w:sz w:val="21"/>
                <w:szCs w:val="21"/>
                <w:highlight w:val="none"/>
                <w:lang w:val="zh-CN" w:bidi="zh-CN"/>
              </w:rPr>
            </w:r>
            <w:r/>
          </w:p>
          <w:p>
            <w:pPr>
              <w:pStyle w:val="728"/>
              <w:jc w:val="center"/>
              <w:spacing w:after="0" w:line="240" w:lineRule="auto"/>
              <w:widowControl w:val="off"/>
              <w:rPr>
                <w:rFonts w:hint="eastAsia" w:ascii="宋体" w:hAnsi="宋体" w:cs="宋体"/>
                <w:sz w:val="21"/>
                <w:szCs w:val="21"/>
                <w:highlight w:val="none"/>
                <w:lang w:val="zh-CN" w:bidi="zh-CN"/>
              </w:rPr>
              <w:outlineLvl w:val="1"/>
            </w:pPr>
            <w:r>
              <w:rPr>
                <w:rFonts w:hint="eastAsia" w:ascii="宋体" w:hAnsi="宋体" w:cs="宋体"/>
                <w:sz w:val="21"/>
                <w:szCs w:val="21"/>
                <w:highlight w:val="none"/>
                <w:lang w:val="zh-CN"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根据需求响应方案中供应商针对本项目拟定的结果上报管理制度予以评审，</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（1）优于需求得</w:t>
            </w:r>
            <w:r>
              <w:rPr>
                <w:rFonts w:hint="eastAsia" w:ascii="宋体" w:hAnsi="宋体" w:cs="宋体"/>
                <w:spacing w:val="-3"/>
                <w:sz w:val="21"/>
                <w:szCs w:val="21"/>
                <w:highlight w:val="none"/>
                <w:lang w:bidi="zh-CN"/>
              </w:rPr>
              <w:t xml:space="preserve">6</w:t>
            </w:r>
            <w:r>
              <w:rPr>
                <w:rFonts w:hint="eastAsia" w:ascii="宋体" w:hAnsi="宋体" w:cs="宋体"/>
                <w:spacing w:val="-3"/>
                <w:sz w:val="21"/>
                <w:szCs w:val="21"/>
                <w:highlight w:val="none"/>
                <w:lang w:val="zh-CN" w:bidi="zh-CN"/>
              </w:rPr>
              <w:t xml:space="preserve">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（2）满足需求得</w:t>
            </w:r>
            <w:r>
              <w:rPr>
                <w:rFonts w:hint="eastAsia" w:ascii="宋体" w:hAnsi="宋体" w:cs="宋体"/>
                <w:spacing w:val="-3"/>
                <w:sz w:val="21"/>
                <w:szCs w:val="21"/>
                <w:highlight w:val="none"/>
                <w:lang w:bidi="zh-CN"/>
              </w:rPr>
              <w:t xml:space="preserve">4</w:t>
            </w:r>
            <w:r>
              <w:rPr>
                <w:rFonts w:hint="eastAsia" w:ascii="宋体" w:hAnsi="宋体" w:cs="宋体"/>
                <w:spacing w:val="-3"/>
                <w:sz w:val="21"/>
                <w:szCs w:val="21"/>
                <w:highlight w:val="none"/>
                <w:lang w:val="zh-CN" w:bidi="zh-CN"/>
              </w:rPr>
              <w:t xml:space="preserve">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（3）内容有欠缺需进一步修改完善的得</w:t>
            </w:r>
            <w:r>
              <w:rPr>
                <w:rFonts w:hint="eastAsia" w:ascii="宋体" w:hAnsi="宋体" w:cs="宋体"/>
                <w:spacing w:val="-3"/>
                <w:sz w:val="21"/>
                <w:szCs w:val="21"/>
                <w:highlight w:val="none"/>
                <w:lang w:bidi="zh-CN"/>
              </w:rPr>
              <w:t xml:space="preserve">2</w:t>
            </w:r>
            <w:r>
              <w:rPr>
                <w:rFonts w:hint="eastAsia" w:ascii="宋体" w:hAnsi="宋体" w:cs="宋体"/>
                <w:spacing w:val="-3"/>
                <w:sz w:val="21"/>
                <w:szCs w:val="21"/>
                <w:highlight w:val="none"/>
                <w:lang w:val="zh-CN" w:bidi="zh-CN"/>
              </w:rPr>
              <w:t xml:space="preserve">分；</w:t>
            </w:r>
            <w:r>
              <w:rPr>
                <w:rFonts w:hint="eastAsia" w:ascii="宋体" w:hAnsi="宋体" w:cs="宋体"/>
                <w:spacing w:val="-3"/>
                <w:sz w:val="21"/>
                <w:szCs w:val="21"/>
                <w:highlight w:val="none"/>
                <w:lang w:val="zh-CN" w:bidi="zh-CN"/>
              </w:rPr>
            </w:r>
            <w:r/>
          </w:p>
          <w:p>
            <w:pPr>
              <w:pStyle w:val="728"/>
              <w:jc w:val="both"/>
              <w:spacing w:after="0" w:line="240" w:lineRule="auto"/>
              <w:widowControl w:val="off"/>
              <w:rPr>
                <w:rFonts w:hint="eastAsia" w:ascii="宋体" w:hAnsi="宋体" w:cs="宋体"/>
                <w:spacing w:val="-3"/>
                <w:sz w:val="21"/>
                <w:szCs w:val="21"/>
                <w:highlight w:val="none"/>
                <w:lang w:val="zh-CN" w:bidi="zh-CN"/>
              </w:rPr>
            </w:pPr>
            <w:r>
              <w:rPr>
                <w:rFonts w:hint="eastAsia" w:ascii="宋体" w:hAnsi="宋体" w:cs="宋体"/>
                <w:spacing w:val="-3"/>
                <w:sz w:val="21"/>
                <w:szCs w:val="21"/>
                <w:highlight w:val="none"/>
                <w:lang w:val="zh-CN" w:bidi="zh-CN"/>
              </w:rPr>
              <w:t xml:space="preserve">（4）其他或未提供不得分。</w:t>
            </w:r>
            <w:r>
              <w:rPr>
                <w:rFonts w:hint="eastAsia" w:ascii="宋体" w:hAnsi="宋体" w:cs="宋体"/>
                <w:spacing w:val="-3"/>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46" w:name="_Toc227942507"/>
            <w:r>
              <w:rPr>
                <w:rFonts w:hint="eastAsia" w:ascii="宋体" w:hAnsi="宋体" w:cs="宋体"/>
                <w:spacing w:val="-6"/>
                <w:sz w:val="21"/>
                <w:szCs w:val="21"/>
                <w:highlight w:val="none"/>
                <w:lang w:bidi="zh-CN"/>
              </w:rPr>
              <w:t xml:space="preserve">6分</w:t>
            </w:r>
            <w:bookmarkEnd w:id="146"/>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47" w:name="_Toc227942508"/>
            <w:r>
              <w:rPr>
                <w:rFonts w:hint="eastAsia" w:ascii="宋体" w:hAnsi="宋体" w:cs="宋体"/>
                <w:spacing w:val="-6"/>
                <w:sz w:val="21"/>
                <w:szCs w:val="21"/>
                <w:highlight w:val="none"/>
                <w:lang w:bidi="zh-CN"/>
              </w:rPr>
              <w:t xml:space="preserve">主观分</w:t>
            </w:r>
            <w:bookmarkEnd w:id="147"/>
            <w:r>
              <w:rPr>
                <w:rFonts w:hint="eastAsia" w:ascii="宋体" w:hAnsi="宋体" w:cs="宋体"/>
                <w:spacing w:val="-6"/>
                <w:sz w:val="21"/>
                <w:szCs w:val="21"/>
                <w:highlight w:val="none"/>
                <w:lang w:bidi="zh-CN"/>
              </w:rPr>
            </w:r>
            <w:r/>
          </w:p>
        </w:tc>
      </w:tr>
      <w:tr>
        <w:trPr>
          <w:trHeight w:val="1939"/>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48" w:name="_Toc227942509"/>
            <w:r>
              <w:rPr>
                <w:rFonts w:hint="eastAsia" w:ascii="宋体" w:hAnsi="宋体" w:cs="宋体"/>
                <w:sz w:val="21"/>
                <w:szCs w:val="21"/>
                <w:highlight w:val="none"/>
                <w:lang w:bidi="zh-CN"/>
              </w:rPr>
              <w:t xml:space="preserve">11</w:t>
            </w:r>
            <w:bookmarkEnd w:id="148"/>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bidi="zh-CN"/>
              </w:rPr>
              <w:outlineLvl w:val="1"/>
            </w:pPr>
            <w:r/>
            <w:bookmarkStart w:id="149" w:name="_Toc227942510"/>
            <w:r>
              <w:rPr>
                <w:rFonts w:hint="eastAsia" w:ascii="宋体" w:hAnsi="宋体" w:cs="宋体"/>
                <w:sz w:val="21"/>
                <w:szCs w:val="21"/>
                <w:highlight w:val="none"/>
                <w:lang w:bidi="zh-CN"/>
              </w:rPr>
              <w:t xml:space="preserve">产业行业了解情况</w:t>
            </w:r>
            <w:bookmarkEnd w:id="149"/>
            <w:r>
              <w:rPr>
                <w:rFonts w:hint="eastAsia" w:ascii="宋体" w:hAnsi="宋体" w:cs="宋体"/>
                <w:sz w:val="21"/>
                <w:szCs w:val="21"/>
                <w:highlight w:val="none"/>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bidi="zh-CN"/>
              </w:rPr>
            </w:pPr>
            <w:r>
              <w:rPr>
                <w:rFonts w:hint="eastAsia" w:ascii="宋体" w:hAnsi="宋体" w:cs="宋体"/>
                <w:spacing w:val="-3"/>
                <w:sz w:val="21"/>
                <w:szCs w:val="21"/>
                <w:highlight w:val="none"/>
                <w:lang w:val="zh-CN" w:bidi="zh-CN"/>
              </w:rPr>
              <w:t xml:space="preserve">根据需求响应方案中供应商针对监测产品相关产业行业分析</w:t>
            </w:r>
            <w:r>
              <w:rPr>
                <w:rFonts w:hint="eastAsia" w:ascii="宋体" w:hAnsi="宋体" w:cs="宋体"/>
                <w:spacing w:val="-3"/>
                <w:sz w:val="21"/>
                <w:szCs w:val="21"/>
                <w:highlight w:val="none"/>
                <w:lang w:bidi="zh-CN"/>
              </w:rPr>
              <w:t xml:space="preserve">情况予以评审，</w:t>
            </w:r>
            <w:r>
              <w:rPr>
                <w:rFonts w:hint="eastAsia" w:ascii="宋体" w:hAnsi="宋体" w:cs="宋体"/>
                <w:spacing w:val="-3"/>
                <w:sz w:val="21"/>
                <w:szCs w:val="21"/>
                <w:highlight w:val="none"/>
                <w:lang w:val="zh-CN" w:bidi="zh-CN"/>
              </w:rPr>
              <w:t xml:space="preserve">内容需包含产业分布状况、监测产品产业当前状态、专业市场现状、产品的质量现状、存在的风险点、应用前景和发展趋势</w:t>
            </w:r>
            <w:r>
              <w:rPr>
                <w:rFonts w:hint="eastAsia" w:ascii="宋体" w:hAnsi="宋体" w:cs="宋体"/>
                <w:spacing w:val="-3"/>
                <w:sz w:val="21"/>
                <w:szCs w:val="21"/>
                <w:highlight w:val="none"/>
                <w:lang w:bidi="zh-CN"/>
              </w:rPr>
              <w:t xml:space="preserve">等。</w:t>
            </w:r>
            <w:r>
              <w:rPr>
                <w:rFonts w:hint="eastAsia" w:ascii="宋体" w:hAnsi="宋体" w:cs="宋体"/>
                <w:spacing w:val="-3"/>
                <w:sz w:val="21"/>
                <w:szCs w:val="21"/>
                <w:highlight w:val="none"/>
                <w:lang w:bidi="zh-CN"/>
              </w:rPr>
            </w:r>
            <w:r/>
          </w:p>
          <w:p>
            <w:pPr>
              <w:pStyle w:val="728"/>
              <w:ind w:left="425" w:hanging="425"/>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w:t>
            </w:r>
            <w:r>
              <w:rPr>
                <w:rFonts w:ascii="宋体" w:hAnsi="宋体" w:cs="宋体"/>
                <w:spacing w:val="-3"/>
                <w:sz w:val="21"/>
                <w:szCs w:val="21"/>
                <w:highlight w:val="none"/>
                <w:lang w:bidi="zh-CN"/>
              </w:rPr>
              <w:t xml:space="preserve">1</w:t>
            </w:r>
            <w:r>
              <w:rPr>
                <w:rFonts w:hint="eastAsia" w:ascii="宋体" w:hAnsi="宋体" w:cs="宋体"/>
                <w:spacing w:val="-3"/>
                <w:sz w:val="21"/>
                <w:szCs w:val="21"/>
                <w:highlight w:val="none"/>
                <w:lang w:bidi="zh-CN"/>
              </w:rPr>
              <w:t xml:space="preserve">）</w:t>
            </w:r>
            <w:r>
              <w:rPr>
                <w:rFonts w:ascii="宋体" w:hAnsi="宋体" w:cs="宋体"/>
                <w:spacing w:val="-3"/>
                <w:sz w:val="21"/>
                <w:szCs w:val="21"/>
                <w:highlight w:val="none"/>
                <w:lang w:bidi="zh-CN"/>
              </w:rPr>
              <w:t xml:space="preserve">优于需求得</w:t>
            </w:r>
            <w:r>
              <w:rPr>
                <w:rFonts w:hint="eastAsia" w:ascii="宋体" w:hAnsi="宋体" w:cs="宋体"/>
                <w:spacing w:val="-3"/>
                <w:sz w:val="21"/>
                <w:szCs w:val="21"/>
                <w:highlight w:val="none"/>
                <w:lang w:bidi="zh-CN"/>
              </w:rPr>
              <w:t xml:space="preserve">9</w:t>
            </w:r>
            <w:r>
              <w:rPr>
                <w:rFonts w:ascii="宋体" w:hAnsi="宋体" w:cs="宋体"/>
                <w:spacing w:val="-3"/>
                <w:sz w:val="21"/>
                <w:szCs w:val="21"/>
                <w:highlight w:val="none"/>
                <w:lang w:bidi="zh-CN"/>
              </w:rPr>
              <w:t xml:space="preserve">分；</w:t>
            </w:r>
            <w:r>
              <w:rPr>
                <w:rFonts w:ascii="宋体" w:hAnsi="宋体" w:cs="宋体"/>
                <w:spacing w:val="-3"/>
                <w:sz w:val="21"/>
                <w:szCs w:val="21"/>
                <w:highlight w:val="none"/>
                <w:lang w:bidi="zh-CN"/>
              </w:rPr>
            </w:r>
            <w:r/>
          </w:p>
          <w:p>
            <w:pPr>
              <w:pStyle w:val="728"/>
              <w:ind w:left="425" w:hanging="425"/>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w:t>
            </w:r>
            <w:r>
              <w:rPr>
                <w:rFonts w:ascii="宋体" w:hAnsi="宋体" w:cs="宋体"/>
                <w:spacing w:val="-3"/>
                <w:sz w:val="21"/>
                <w:szCs w:val="21"/>
                <w:highlight w:val="none"/>
                <w:lang w:bidi="zh-CN"/>
              </w:rPr>
              <w:t xml:space="preserve">2</w:t>
            </w:r>
            <w:r>
              <w:rPr>
                <w:rFonts w:hint="eastAsia" w:ascii="宋体" w:hAnsi="宋体" w:cs="宋体"/>
                <w:spacing w:val="-3"/>
                <w:sz w:val="21"/>
                <w:szCs w:val="21"/>
                <w:highlight w:val="none"/>
                <w:lang w:bidi="zh-CN"/>
              </w:rPr>
              <w:t xml:space="preserve">）</w:t>
            </w:r>
            <w:r>
              <w:rPr>
                <w:rFonts w:ascii="宋体" w:hAnsi="宋体" w:cs="宋体"/>
                <w:spacing w:val="-3"/>
                <w:sz w:val="21"/>
                <w:szCs w:val="21"/>
                <w:highlight w:val="none"/>
                <w:lang w:bidi="zh-CN"/>
              </w:rPr>
              <w:t xml:space="preserve">满足需求得</w:t>
            </w:r>
            <w:r>
              <w:rPr>
                <w:rFonts w:hint="eastAsia" w:ascii="宋体" w:hAnsi="宋体" w:cs="宋体"/>
                <w:spacing w:val="-3"/>
                <w:sz w:val="21"/>
                <w:szCs w:val="21"/>
                <w:highlight w:val="none"/>
                <w:lang w:bidi="zh-CN"/>
              </w:rPr>
              <w:t xml:space="preserve">6</w:t>
            </w:r>
            <w:r>
              <w:rPr>
                <w:rFonts w:ascii="宋体" w:hAnsi="宋体" w:cs="宋体"/>
                <w:spacing w:val="-3"/>
                <w:sz w:val="21"/>
                <w:szCs w:val="21"/>
                <w:highlight w:val="none"/>
                <w:lang w:bidi="zh-CN"/>
              </w:rPr>
              <w:t xml:space="preserve">分；</w:t>
            </w:r>
            <w:r>
              <w:rPr>
                <w:rFonts w:ascii="宋体" w:hAnsi="宋体" w:cs="宋体"/>
                <w:spacing w:val="-3"/>
                <w:sz w:val="21"/>
                <w:szCs w:val="21"/>
                <w:highlight w:val="none"/>
                <w:lang w:bidi="zh-CN"/>
              </w:rPr>
            </w:r>
            <w:r/>
          </w:p>
          <w:p>
            <w:pPr>
              <w:pStyle w:val="728"/>
              <w:ind w:left="425" w:hanging="425"/>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w:t>
            </w:r>
            <w:r>
              <w:rPr>
                <w:rFonts w:ascii="宋体" w:hAnsi="宋体" w:cs="宋体"/>
                <w:spacing w:val="-3"/>
                <w:sz w:val="21"/>
                <w:szCs w:val="21"/>
                <w:highlight w:val="none"/>
                <w:lang w:bidi="zh-CN"/>
              </w:rPr>
              <w:t xml:space="preserve">3</w:t>
            </w:r>
            <w:r>
              <w:rPr>
                <w:rFonts w:hint="eastAsia" w:ascii="宋体" w:hAnsi="宋体" w:cs="宋体"/>
                <w:spacing w:val="-3"/>
                <w:sz w:val="21"/>
                <w:szCs w:val="21"/>
                <w:highlight w:val="none"/>
                <w:lang w:bidi="zh-CN"/>
              </w:rPr>
              <w:t xml:space="preserve">）</w:t>
            </w:r>
            <w:r>
              <w:rPr>
                <w:rFonts w:ascii="宋体" w:hAnsi="宋体" w:cs="宋体"/>
                <w:spacing w:val="-3"/>
                <w:sz w:val="21"/>
                <w:szCs w:val="21"/>
                <w:highlight w:val="none"/>
                <w:lang w:bidi="zh-CN"/>
              </w:rPr>
              <w:t xml:space="preserve">内容有欠缺需进一步修改完善的得</w:t>
            </w:r>
            <w:r>
              <w:rPr>
                <w:rFonts w:hint="eastAsia" w:ascii="宋体" w:hAnsi="宋体" w:cs="宋体"/>
                <w:spacing w:val="-3"/>
                <w:sz w:val="21"/>
                <w:szCs w:val="21"/>
                <w:highlight w:val="none"/>
                <w:lang w:bidi="zh-CN"/>
              </w:rPr>
              <w:t xml:space="preserve">3</w:t>
            </w:r>
            <w:r>
              <w:rPr>
                <w:rFonts w:ascii="宋体" w:hAnsi="宋体" w:cs="宋体"/>
                <w:spacing w:val="-3"/>
                <w:sz w:val="21"/>
                <w:szCs w:val="21"/>
                <w:highlight w:val="none"/>
                <w:lang w:bidi="zh-CN"/>
              </w:rPr>
              <w:t xml:space="preserve">分；</w:t>
            </w:r>
            <w:r>
              <w:rPr>
                <w:rFonts w:ascii="宋体" w:hAnsi="宋体" w:cs="宋体"/>
                <w:spacing w:val="-3"/>
                <w:sz w:val="21"/>
                <w:szCs w:val="21"/>
                <w:highlight w:val="none"/>
                <w:lang w:bidi="zh-CN"/>
              </w:rPr>
            </w:r>
            <w:r/>
          </w:p>
          <w:p>
            <w:pPr>
              <w:pStyle w:val="728"/>
              <w:ind w:left="425" w:hanging="425"/>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w:t>
            </w:r>
            <w:r>
              <w:rPr>
                <w:rFonts w:ascii="宋体" w:hAnsi="宋体" w:cs="宋体"/>
                <w:spacing w:val="-3"/>
                <w:sz w:val="21"/>
                <w:szCs w:val="21"/>
                <w:highlight w:val="none"/>
                <w:lang w:bidi="zh-CN"/>
              </w:rPr>
              <w:t xml:space="preserve">4</w:t>
            </w:r>
            <w:r>
              <w:rPr>
                <w:rFonts w:hint="eastAsia" w:ascii="宋体" w:hAnsi="宋体" w:cs="宋体"/>
                <w:spacing w:val="-3"/>
                <w:sz w:val="21"/>
                <w:szCs w:val="21"/>
                <w:highlight w:val="none"/>
                <w:lang w:bidi="zh-CN"/>
              </w:rPr>
              <w:t xml:space="preserve">）</w:t>
            </w:r>
            <w:r>
              <w:rPr>
                <w:rFonts w:ascii="宋体" w:hAnsi="宋体" w:cs="宋体"/>
                <w:spacing w:val="-3"/>
                <w:sz w:val="21"/>
                <w:szCs w:val="21"/>
                <w:highlight w:val="none"/>
                <w:lang w:bidi="zh-CN"/>
              </w:rPr>
              <w:t xml:space="preserve">其他或未提供不得分。</w:t>
            </w:r>
            <w:r>
              <w:rPr>
                <w:rFonts w:ascii="宋体" w:hAnsi="宋体" w:cs="宋体"/>
                <w:spacing w:val="-3"/>
                <w:sz w:val="21"/>
                <w:szCs w:val="21"/>
                <w:highlight w:val="none"/>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50" w:name="_Toc227942511"/>
            <w:r>
              <w:rPr>
                <w:rFonts w:hint="eastAsia" w:ascii="宋体" w:hAnsi="宋体" w:cs="宋体"/>
                <w:spacing w:val="-6"/>
                <w:sz w:val="21"/>
                <w:szCs w:val="21"/>
                <w:highlight w:val="none"/>
                <w:lang w:bidi="zh-CN"/>
              </w:rPr>
              <w:t xml:space="preserve">9分</w:t>
            </w:r>
            <w:bookmarkEnd w:id="150"/>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51" w:name="_Toc227942512"/>
            <w:r>
              <w:rPr>
                <w:rFonts w:hint="eastAsia" w:ascii="宋体" w:hAnsi="宋体" w:cs="宋体"/>
                <w:spacing w:val="-6"/>
                <w:sz w:val="21"/>
                <w:szCs w:val="21"/>
                <w:highlight w:val="none"/>
                <w:lang w:bidi="zh-CN"/>
              </w:rPr>
              <w:t xml:space="preserve">主观分</w:t>
            </w:r>
            <w:bookmarkEnd w:id="151"/>
            <w:r>
              <w:rPr>
                <w:rFonts w:hint="eastAsia" w:ascii="宋体" w:hAnsi="宋体" w:cs="宋体"/>
                <w:spacing w:val="-6"/>
                <w:sz w:val="21"/>
                <w:szCs w:val="21"/>
                <w:highlight w:val="none"/>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52" w:name="_Toc227942513"/>
            <w:r>
              <w:rPr>
                <w:rFonts w:hint="eastAsia" w:ascii="宋体" w:hAnsi="宋体" w:cs="宋体"/>
                <w:sz w:val="21"/>
                <w:szCs w:val="21"/>
                <w:highlight w:val="none"/>
                <w:lang w:bidi="zh-CN"/>
              </w:rPr>
              <w:t xml:space="preserve">12</w:t>
            </w:r>
            <w:bookmarkEnd w:id="152"/>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53" w:name="_Toc227942514"/>
            <w:r>
              <w:rPr>
                <w:rFonts w:hint="eastAsia" w:ascii="宋体" w:hAnsi="宋体" w:cs="宋体"/>
                <w:sz w:val="21"/>
                <w:szCs w:val="21"/>
                <w:highlight w:val="none"/>
                <w:lang w:bidi="zh-CN"/>
              </w:rPr>
              <w:t xml:space="preserve">服务方案(前期准备工作)</w:t>
            </w:r>
            <w:bookmarkEnd w:id="153"/>
            <w:r>
              <w:rPr>
                <w:rFonts w:ascii="宋体" w:hAnsi="宋体" w:cs="宋体"/>
                <w:sz w:val="21"/>
                <w:szCs w:val="21"/>
                <w:highlight w:val="none"/>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根据需求响应方案中供应商针对本次产品质量风险动态监测服务的前期准备工作予以评审，具体包括工作部署、抽样工作的详细内容及组织安排、样品购买、样品接收及核查方案等。</w:t>
            </w:r>
            <w:r>
              <w:rPr>
                <w:rFonts w:hint="eastAsia" w:ascii="宋体" w:hAnsi="宋体" w:cs="宋体"/>
                <w:spacing w:val="-3"/>
                <w:sz w:val="21"/>
                <w:szCs w:val="21"/>
                <w:highlight w:val="none"/>
                <w:lang w:bidi="zh-CN"/>
              </w:rPr>
            </w:r>
            <w:r/>
          </w:p>
          <w:p>
            <w:pPr>
              <w:pStyle w:val="728"/>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（1）</w:t>
            </w:r>
            <w:r>
              <w:rPr>
                <w:rFonts w:ascii="宋体" w:hAnsi="宋体" w:cs="宋体"/>
                <w:spacing w:val="-3"/>
                <w:sz w:val="21"/>
                <w:szCs w:val="21"/>
                <w:highlight w:val="none"/>
                <w:lang w:bidi="zh-CN"/>
              </w:rPr>
              <w:t xml:space="preserve">优于需求得8分；</w:t>
            </w:r>
            <w:r>
              <w:rPr>
                <w:rFonts w:ascii="宋体" w:hAnsi="宋体" w:cs="宋体"/>
                <w:spacing w:val="-3"/>
                <w:sz w:val="21"/>
                <w:szCs w:val="21"/>
                <w:highlight w:val="none"/>
                <w:lang w:bidi="zh-CN"/>
              </w:rPr>
            </w:r>
            <w:r/>
          </w:p>
          <w:p>
            <w:pPr>
              <w:pStyle w:val="728"/>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（2）</w:t>
            </w:r>
            <w:r>
              <w:rPr>
                <w:rFonts w:ascii="宋体" w:hAnsi="宋体" w:cs="宋体"/>
                <w:spacing w:val="-3"/>
                <w:sz w:val="21"/>
                <w:szCs w:val="21"/>
                <w:highlight w:val="none"/>
                <w:lang w:bidi="zh-CN"/>
              </w:rPr>
              <w:t xml:space="preserve">满足需求得5分；</w:t>
            </w:r>
            <w:r>
              <w:rPr>
                <w:rFonts w:ascii="宋体" w:hAnsi="宋体" w:cs="宋体"/>
                <w:spacing w:val="-3"/>
                <w:sz w:val="21"/>
                <w:szCs w:val="21"/>
                <w:highlight w:val="none"/>
                <w:lang w:bidi="zh-CN"/>
              </w:rPr>
            </w:r>
            <w:r/>
          </w:p>
          <w:p>
            <w:pPr>
              <w:pStyle w:val="728"/>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（3）</w:t>
            </w:r>
            <w:r>
              <w:rPr>
                <w:rFonts w:ascii="宋体" w:hAnsi="宋体" w:cs="宋体"/>
                <w:spacing w:val="-3"/>
                <w:sz w:val="21"/>
                <w:szCs w:val="21"/>
                <w:highlight w:val="none"/>
                <w:lang w:bidi="zh-CN"/>
              </w:rPr>
              <w:t xml:space="preserve">内容有欠缺需进一步修改完善的得2分；</w:t>
            </w:r>
            <w:r>
              <w:rPr>
                <w:rFonts w:ascii="宋体" w:hAnsi="宋体" w:cs="宋体"/>
                <w:spacing w:val="-3"/>
                <w:sz w:val="21"/>
                <w:szCs w:val="21"/>
                <w:highlight w:val="none"/>
                <w:lang w:bidi="zh-CN"/>
              </w:rPr>
            </w:r>
            <w:r/>
          </w:p>
          <w:p>
            <w:pPr>
              <w:pStyle w:val="728"/>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（4）</w:t>
            </w:r>
            <w:r>
              <w:rPr>
                <w:rFonts w:ascii="宋体" w:hAnsi="宋体" w:cs="宋体"/>
                <w:spacing w:val="-3"/>
                <w:sz w:val="21"/>
                <w:szCs w:val="21"/>
                <w:highlight w:val="none"/>
                <w:lang w:bidi="zh-CN"/>
              </w:rPr>
              <w:t xml:space="preserve">其他或未提供不得分。</w:t>
            </w:r>
            <w:r>
              <w:rPr>
                <w:rFonts w:ascii="宋体" w:hAnsi="宋体" w:cs="宋体"/>
                <w:spacing w:val="-3"/>
                <w:sz w:val="21"/>
                <w:szCs w:val="21"/>
                <w:highlight w:val="none"/>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54" w:name="_Toc227942515"/>
            <w:r>
              <w:rPr>
                <w:rFonts w:hint="eastAsia" w:ascii="宋体" w:hAnsi="宋体" w:cs="宋体"/>
                <w:spacing w:val="-6"/>
                <w:sz w:val="21"/>
                <w:szCs w:val="21"/>
                <w:highlight w:val="none"/>
                <w:lang w:bidi="zh-CN"/>
              </w:rPr>
              <w:t xml:space="preserve">8分</w:t>
            </w:r>
            <w:bookmarkEnd w:id="154"/>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55" w:name="_Toc227942516"/>
            <w:r>
              <w:rPr>
                <w:rFonts w:hint="eastAsia" w:ascii="宋体" w:hAnsi="宋体" w:cs="宋体"/>
                <w:spacing w:val="-6"/>
                <w:sz w:val="21"/>
                <w:szCs w:val="21"/>
                <w:highlight w:val="none"/>
                <w:lang w:bidi="zh-CN"/>
              </w:rPr>
              <w:t xml:space="preserve">主观分</w:t>
            </w:r>
            <w:bookmarkEnd w:id="155"/>
            <w:r>
              <w:rPr>
                <w:rFonts w:hint="eastAsia" w:ascii="宋体" w:hAnsi="宋体" w:cs="宋体"/>
                <w:spacing w:val="-6"/>
                <w:sz w:val="21"/>
                <w:szCs w:val="21"/>
                <w:highlight w:val="none"/>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56" w:name="_Toc227942517"/>
            <w:r>
              <w:rPr>
                <w:rFonts w:hint="eastAsia" w:ascii="宋体" w:hAnsi="宋体" w:cs="宋体"/>
                <w:sz w:val="21"/>
                <w:szCs w:val="21"/>
                <w:highlight w:val="none"/>
                <w:lang w:bidi="zh-CN"/>
              </w:rPr>
              <w:t xml:space="preserve">13</w:t>
            </w:r>
            <w:bookmarkEnd w:id="156"/>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bidi="zh-CN"/>
              </w:rPr>
              <w:outlineLvl w:val="1"/>
            </w:pPr>
            <w:r/>
            <w:bookmarkStart w:id="157" w:name="_Toc227942518"/>
            <w:r>
              <w:rPr>
                <w:rFonts w:hint="eastAsia" w:ascii="宋体" w:hAnsi="宋体" w:cs="宋体"/>
                <w:sz w:val="21"/>
                <w:szCs w:val="21"/>
                <w:highlight w:val="none"/>
                <w:lang w:bidi="zh-CN"/>
              </w:rPr>
              <w:t xml:space="preserve">服务方案(后期准备工作)</w:t>
            </w:r>
            <w:bookmarkEnd w:id="157"/>
            <w:r>
              <w:rPr>
                <w:rFonts w:hint="eastAsia" w:ascii="宋体" w:hAnsi="宋体" w:cs="宋体"/>
                <w:sz w:val="21"/>
                <w:szCs w:val="21"/>
                <w:highlight w:val="none"/>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根据需求响应方案中供应商针对本次产品质量风险动态监测服务的后期准备工作予以评审，</w:t>
            </w:r>
            <w:bookmarkStart w:id="158" w:name="OLE_LINK19"/>
            <w:r>
              <w:rPr>
                <w:rFonts w:ascii="宋体" w:hAnsi="宋体" w:cs="宋体"/>
                <w:spacing w:val="-3"/>
                <w:sz w:val="21"/>
                <w:szCs w:val="21"/>
                <w:highlight w:val="none"/>
                <w:lang w:bidi="zh-CN"/>
              </w:rPr>
              <w:t xml:space="preserve">具体包括检验工作安排、检验结果报送、样品处置及保密工作等方案</w:t>
            </w:r>
            <w:r>
              <w:rPr>
                <w:rFonts w:hint="eastAsia" w:ascii="宋体" w:hAnsi="宋体" w:cs="宋体"/>
                <w:spacing w:val="-3"/>
                <w:sz w:val="21"/>
                <w:szCs w:val="21"/>
                <w:highlight w:val="none"/>
                <w:lang w:bidi="zh-CN"/>
              </w:rPr>
              <w:t xml:space="preserve">。</w:t>
            </w:r>
            <w:bookmarkEnd w:id="158"/>
            <w:r>
              <w:rPr>
                <w:rFonts w:hint="eastAsia" w:ascii="宋体" w:hAnsi="宋体" w:cs="宋体"/>
                <w:spacing w:val="-3"/>
                <w:sz w:val="21"/>
                <w:szCs w:val="21"/>
                <w:highlight w:val="none"/>
                <w:lang w:bidi="zh-CN"/>
              </w:rPr>
            </w:r>
            <w:r/>
          </w:p>
          <w:p>
            <w:pPr>
              <w:pStyle w:val="728"/>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（1）</w:t>
            </w:r>
            <w:r>
              <w:rPr>
                <w:rFonts w:ascii="宋体" w:hAnsi="宋体" w:cs="宋体"/>
                <w:spacing w:val="-3"/>
                <w:sz w:val="21"/>
                <w:szCs w:val="21"/>
                <w:highlight w:val="none"/>
                <w:lang w:bidi="zh-CN"/>
              </w:rPr>
              <w:t xml:space="preserve">优于需求得8分；</w:t>
            </w:r>
            <w:r>
              <w:rPr>
                <w:rFonts w:ascii="宋体" w:hAnsi="宋体" w:cs="宋体"/>
                <w:spacing w:val="-3"/>
                <w:sz w:val="21"/>
                <w:szCs w:val="21"/>
                <w:highlight w:val="none"/>
                <w:lang w:bidi="zh-CN"/>
              </w:rPr>
            </w:r>
            <w:r/>
          </w:p>
          <w:p>
            <w:pPr>
              <w:pStyle w:val="728"/>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（2）</w:t>
            </w:r>
            <w:r>
              <w:rPr>
                <w:rFonts w:ascii="宋体" w:hAnsi="宋体" w:cs="宋体"/>
                <w:spacing w:val="-3"/>
                <w:sz w:val="21"/>
                <w:szCs w:val="21"/>
                <w:highlight w:val="none"/>
                <w:lang w:bidi="zh-CN"/>
              </w:rPr>
              <w:t xml:space="preserve">满足需求得5分；</w:t>
            </w:r>
            <w:r>
              <w:rPr>
                <w:rFonts w:ascii="宋体" w:hAnsi="宋体" w:cs="宋体"/>
                <w:spacing w:val="-3"/>
                <w:sz w:val="21"/>
                <w:szCs w:val="21"/>
                <w:highlight w:val="none"/>
                <w:lang w:bidi="zh-CN"/>
              </w:rPr>
            </w:r>
            <w:r/>
          </w:p>
          <w:p>
            <w:pPr>
              <w:pStyle w:val="728"/>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（3）</w:t>
            </w:r>
            <w:r>
              <w:rPr>
                <w:rFonts w:ascii="宋体" w:hAnsi="宋体" w:cs="宋体"/>
                <w:spacing w:val="-3"/>
                <w:sz w:val="21"/>
                <w:szCs w:val="21"/>
                <w:highlight w:val="none"/>
                <w:lang w:bidi="zh-CN"/>
              </w:rPr>
              <w:t xml:space="preserve">内容有欠缺需进一步修改完善的得2分；</w:t>
            </w:r>
            <w:r>
              <w:rPr>
                <w:rFonts w:ascii="宋体" w:hAnsi="宋体" w:cs="宋体"/>
                <w:spacing w:val="-3"/>
                <w:sz w:val="21"/>
                <w:szCs w:val="21"/>
                <w:highlight w:val="none"/>
                <w:lang w:bidi="zh-CN"/>
              </w:rPr>
            </w:r>
            <w:r/>
          </w:p>
          <w:p>
            <w:pPr>
              <w:pStyle w:val="728"/>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（4）</w:t>
            </w:r>
            <w:r>
              <w:rPr>
                <w:rFonts w:ascii="宋体" w:hAnsi="宋体" w:cs="宋体"/>
                <w:spacing w:val="-3"/>
                <w:sz w:val="21"/>
                <w:szCs w:val="21"/>
                <w:highlight w:val="none"/>
                <w:lang w:bidi="zh-CN"/>
              </w:rPr>
              <w:t xml:space="preserve">其他或未提供不得分。</w:t>
            </w:r>
            <w:r>
              <w:rPr>
                <w:rFonts w:ascii="宋体" w:hAnsi="宋体" w:cs="宋体"/>
                <w:spacing w:val="-3"/>
                <w:sz w:val="21"/>
                <w:szCs w:val="21"/>
                <w:highlight w:val="none"/>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59" w:name="_Toc227942519"/>
            <w:r>
              <w:rPr>
                <w:rFonts w:hint="eastAsia" w:ascii="宋体" w:hAnsi="宋体" w:cs="宋体"/>
                <w:spacing w:val="-6"/>
                <w:sz w:val="21"/>
                <w:szCs w:val="21"/>
                <w:highlight w:val="none"/>
                <w:lang w:bidi="zh-CN"/>
              </w:rPr>
              <w:t xml:space="preserve">8分</w:t>
            </w:r>
            <w:bookmarkEnd w:id="159"/>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60" w:name="_Toc227942520"/>
            <w:r>
              <w:rPr>
                <w:rFonts w:hint="eastAsia" w:ascii="宋体" w:hAnsi="宋体" w:cs="宋体"/>
                <w:spacing w:val="-6"/>
                <w:sz w:val="21"/>
                <w:szCs w:val="21"/>
                <w:highlight w:val="none"/>
                <w:lang w:bidi="zh-CN"/>
              </w:rPr>
              <w:t xml:space="preserve">主观分</w:t>
            </w:r>
            <w:bookmarkEnd w:id="160"/>
            <w:r>
              <w:rPr>
                <w:rFonts w:hint="eastAsia" w:ascii="宋体" w:hAnsi="宋体" w:cs="宋体"/>
                <w:spacing w:val="-6"/>
                <w:sz w:val="21"/>
                <w:szCs w:val="21"/>
                <w:highlight w:val="none"/>
                <w:lang w:bidi="zh-CN"/>
              </w:rPr>
            </w:r>
            <w:r/>
          </w:p>
        </w:tc>
      </w:tr>
      <w:tr>
        <w:trPr>
          <w:trHeight w:val="340"/>
          <w:tblHeader/>
        </w:trPr>
        <w:tc>
          <w:tcPr>
            <w:tcW w:w="817" w:type="dxa"/>
            <w:vAlign w:val="center"/>
            <w:textDirection w:val="lrTb"/>
            <w:noWrap w:val="false"/>
          </w:tcPr>
          <w:p>
            <w:pPr>
              <w:pStyle w:val="728"/>
              <w:jc w:val="center"/>
              <w:spacing w:after="0" w:line="240" w:lineRule="auto"/>
              <w:widowControl w:val="off"/>
              <w:rPr>
                <w:rFonts w:ascii="宋体" w:hAnsi="宋体" w:cs="宋体"/>
                <w:sz w:val="21"/>
                <w:szCs w:val="21"/>
                <w:highlight w:val="none"/>
                <w:lang w:bidi="zh-CN"/>
              </w:rPr>
              <w:outlineLvl w:val="1"/>
            </w:pPr>
            <w:r/>
            <w:bookmarkStart w:id="161" w:name="_Toc227942521"/>
            <w:r>
              <w:rPr>
                <w:rFonts w:hint="eastAsia" w:ascii="宋体" w:hAnsi="宋体" w:cs="宋体"/>
                <w:sz w:val="21"/>
                <w:szCs w:val="21"/>
                <w:highlight w:val="none"/>
                <w:lang w:bidi="zh-CN"/>
              </w:rPr>
              <w:t xml:space="preserve">14</w:t>
            </w:r>
            <w:bookmarkEnd w:id="161"/>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bidi="zh-CN"/>
              </w:rPr>
              <w:outlineLvl w:val="1"/>
            </w:pPr>
            <w:r/>
            <w:bookmarkStart w:id="162" w:name="_Toc227942522"/>
            <w:r>
              <w:rPr>
                <w:rFonts w:hint="eastAsia" w:ascii="宋体" w:hAnsi="宋体" w:cs="宋体"/>
                <w:sz w:val="21"/>
                <w:szCs w:val="21"/>
                <w:highlight w:val="none"/>
                <w:lang w:bidi="zh-CN"/>
              </w:rPr>
              <w:t xml:space="preserve">重点难点问题分析及解决方案</w:t>
            </w:r>
            <w:bookmarkEnd w:id="162"/>
            <w:r>
              <w:rPr>
                <w:rFonts w:hint="eastAsia" w:ascii="宋体" w:hAnsi="宋体" w:cs="宋体"/>
                <w:sz w:val="21"/>
                <w:szCs w:val="21"/>
                <w:highlight w:val="none"/>
                <w:lang w:bidi="zh-CN"/>
              </w:rPr>
            </w:r>
            <w:r/>
          </w:p>
        </w:tc>
        <w:tc>
          <w:tcPr>
            <w:tcW w:w="6238" w:type="dxa"/>
            <w:vAlign w:val="center"/>
            <w:textDirection w:val="lrTb"/>
            <w:noWrap w:val="false"/>
          </w:tcPr>
          <w:p>
            <w:pPr>
              <w:pStyle w:val="728"/>
              <w:jc w:val="both"/>
              <w:spacing w:after="0" w:line="240" w:lineRule="auto"/>
              <w:widowControl w:val="off"/>
              <w:rPr>
                <w:rFonts w:hint="eastAsia"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根据需求响应方案中供应商针对本次产品质量风险动态监测服务的重点难点问题分析及解决方案予以评审。</w:t>
            </w:r>
            <w:r>
              <w:rPr>
                <w:rFonts w:hint="eastAsia" w:ascii="宋体" w:hAnsi="宋体" w:cs="宋体"/>
                <w:spacing w:val="-3"/>
                <w:sz w:val="21"/>
                <w:szCs w:val="21"/>
                <w:highlight w:val="none"/>
                <w:lang w:bidi="zh-CN"/>
              </w:rPr>
            </w:r>
            <w:r/>
          </w:p>
          <w:p>
            <w:pPr>
              <w:pStyle w:val="728"/>
              <w:jc w:val="both"/>
              <w:spacing w:after="0" w:line="240" w:lineRule="auto"/>
              <w:widowControl w:val="off"/>
              <w:rPr>
                <w:rFonts w:hint="eastAsia"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（1）优于需求得8分；</w:t>
            </w:r>
            <w:r>
              <w:rPr>
                <w:rFonts w:hint="eastAsia" w:ascii="宋体" w:hAnsi="宋体" w:cs="宋体"/>
                <w:spacing w:val="-3"/>
                <w:sz w:val="21"/>
                <w:szCs w:val="21"/>
                <w:highlight w:val="none"/>
                <w:lang w:bidi="zh-CN"/>
              </w:rPr>
            </w:r>
            <w:r/>
          </w:p>
          <w:p>
            <w:pPr>
              <w:pStyle w:val="728"/>
              <w:jc w:val="both"/>
              <w:spacing w:after="0" w:line="240" w:lineRule="auto"/>
              <w:widowControl w:val="off"/>
              <w:rPr>
                <w:rFonts w:hint="eastAsia"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（2）满足需求得5分；</w:t>
            </w:r>
            <w:r>
              <w:rPr>
                <w:rFonts w:hint="eastAsia" w:ascii="宋体" w:hAnsi="宋体" w:cs="宋体"/>
                <w:spacing w:val="-3"/>
                <w:sz w:val="21"/>
                <w:szCs w:val="21"/>
                <w:highlight w:val="none"/>
                <w:lang w:bidi="zh-CN"/>
              </w:rPr>
            </w:r>
            <w:r/>
          </w:p>
          <w:p>
            <w:pPr>
              <w:pStyle w:val="728"/>
              <w:jc w:val="both"/>
              <w:spacing w:after="0" w:line="240" w:lineRule="auto"/>
              <w:widowControl w:val="off"/>
              <w:rPr>
                <w:rFonts w:hint="eastAsia"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（3）内容有欠缺需进一步修改完善的得2分；</w:t>
            </w:r>
            <w:r>
              <w:rPr>
                <w:rFonts w:hint="eastAsia" w:ascii="宋体" w:hAnsi="宋体" w:cs="宋体"/>
                <w:spacing w:val="-3"/>
                <w:sz w:val="21"/>
                <w:szCs w:val="21"/>
                <w:highlight w:val="none"/>
                <w:lang w:bidi="zh-CN"/>
              </w:rPr>
            </w:r>
            <w:r/>
          </w:p>
          <w:p>
            <w:pPr>
              <w:pStyle w:val="728"/>
              <w:jc w:val="both"/>
              <w:spacing w:after="0" w:line="240" w:lineRule="auto"/>
              <w:widowControl w:val="off"/>
              <w:rPr>
                <w:rFonts w:ascii="宋体" w:hAnsi="宋体" w:cs="宋体"/>
                <w:spacing w:val="-3"/>
                <w:sz w:val="21"/>
                <w:szCs w:val="21"/>
                <w:highlight w:val="none"/>
                <w:lang w:bidi="zh-CN"/>
              </w:rPr>
            </w:pPr>
            <w:r>
              <w:rPr>
                <w:rFonts w:hint="eastAsia" w:ascii="宋体" w:hAnsi="宋体" w:cs="宋体"/>
                <w:spacing w:val="-3"/>
                <w:sz w:val="21"/>
                <w:szCs w:val="21"/>
                <w:highlight w:val="none"/>
                <w:lang w:bidi="zh-CN"/>
              </w:rPr>
              <w:t xml:space="preserve">（4）其他或未提供不得分。</w:t>
            </w:r>
            <w:r>
              <w:rPr>
                <w:rFonts w:ascii="宋体" w:hAnsi="宋体" w:cs="宋体"/>
                <w:spacing w:val="-3"/>
                <w:sz w:val="21"/>
                <w:szCs w:val="21"/>
                <w:highlight w:val="none"/>
                <w:lang w:bidi="zh-CN"/>
              </w:rPr>
            </w:r>
            <w:r/>
          </w:p>
        </w:tc>
        <w:tc>
          <w:tcPr>
            <w:tcW w:w="604" w:type="dxa"/>
            <w:vAlign w:val="center"/>
            <w:textDirection w:val="lrTb"/>
            <w:noWrap w:val="false"/>
          </w:tcPr>
          <w:p>
            <w:pPr>
              <w:pStyle w:val="728"/>
              <w:jc w:val="center"/>
              <w:spacing w:after="0" w:line="240" w:lineRule="auto"/>
              <w:widowControl w:val="off"/>
              <w:rPr>
                <w:rFonts w:ascii="宋体" w:hAnsi="宋体" w:cs="宋体"/>
                <w:spacing w:val="-6"/>
                <w:sz w:val="21"/>
                <w:szCs w:val="21"/>
                <w:highlight w:val="none"/>
                <w:lang w:bidi="zh-CN"/>
              </w:rPr>
              <w:outlineLvl w:val="1"/>
            </w:pPr>
            <w:r/>
            <w:bookmarkStart w:id="163" w:name="_Toc227942523"/>
            <w:r>
              <w:rPr>
                <w:rFonts w:hint="eastAsia" w:ascii="宋体" w:hAnsi="宋体" w:cs="宋体"/>
                <w:spacing w:val="-6"/>
                <w:sz w:val="21"/>
                <w:szCs w:val="21"/>
                <w:highlight w:val="none"/>
                <w:lang w:bidi="zh-CN"/>
              </w:rPr>
              <w:t xml:space="preserve">8分</w:t>
            </w:r>
            <w:bookmarkEnd w:id="163"/>
            <w:r>
              <w:rPr>
                <w:rFonts w:ascii="宋体" w:hAnsi="宋体" w:cs="宋体"/>
                <w:spacing w:val="-6"/>
                <w:sz w:val="21"/>
                <w:szCs w:val="21"/>
                <w:highlight w:val="none"/>
                <w:lang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64" w:name="_Toc227942524"/>
            <w:r>
              <w:rPr>
                <w:rFonts w:hint="eastAsia" w:ascii="宋体" w:hAnsi="宋体" w:cs="宋体"/>
                <w:spacing w:val="-6"/>
                <w:sz w:val="21"/>
                <w:szCs w:val="21"/>
                <w:highlight w:val="none"/>
                <w:lang w:bidi="zh-CN"/>
              </w:rPr>
              <w:t xml:space="preserve">主观分</w:t>
            </w:r>
            <w:bookmarkEnd w:id="164"/>
            <w:r>
              <w:rPr>
                <w:rFonts w:hint="eastAsia" w:ascii="宋体" w:hAnsi="宋体" w:cs="宋体"/>
                <w:spacing w:val="-6"/>
                <w:sz w:val="21"/>
                <w:szCs w:val="21"/>
                <w:highlight w:val="none"/>
                <w:lang w:bidi="zh-CN"/>
              </w:rPr>
            </w:r>
            <w:r/>
          </w:p>
        </w:tc>
      </w:tr>
      <w:tr>
        <w:trPr>
          <w:trHeight w:val="90"/>
          <w:tblHeader/>
        </w:trPr>
        <w:tc>
          <w:tcPr>
            <w:tcW w:w="817" w:type="dxa"/>
            <w:vAlign w:val="center"/>
            <w:textDirection w:val="lrTb"/>
            <w:noWrap w:val="false"/>
          </w:tcPr>
          <w:p>
            <w:pPr>
              <w:pStyle w:val="728"/>
              <w:jc w:val="center"/>
              <w:rPr>
                <w:rFonts w:ascii="宋体" w:hAnsi="宋体" w:cs="宋体"/>
                <w:sz w:val="21"/>
                <w:szCs w:val="21"/>
                <w:highlight w:val="none"/>
                <w:lang w:bidi="zh-CN"/>
              </w:rPr>
            </w:pPr>
            <w:r>
              <w:rPr>
                <w:rFonts w:hint="eastAsia" w:ascii="宋体" w:hAnsi="宋体" w:cs="宋体"/>
                <w:sz w:val="21"/>
                <w:szCs w:val="21"/>
                <w:highlight w:val="none"/>
                <w:lang w:bidi="zh-CN"/>
              </w:rPr>
              <w:t xml:space="preserve">15</w:t>
            </w:r>
            <w:r>
              <w:rPr>
                <w:rFonts w:ascii="宋体" w:hAnsi="宋体" w:cs="宋体"/>
                <w:sz w:val="21"/>
                <w:szCs w:val="21"/>
                <w:highlight w:val="none"/>
                <w:lang w:bidi="zh-CN"/>
              </w:rPr>
            </w:r>
            <w:r/>
          </w:p>
        </w:tc>
        <w:tc>
          <w:tcPr>
            <w:tcW w:w="954" w:type="dxa"/>
            <w:vAlign w:val="center"/>
            <w:textDirection w:val="lrTb"/>
            <w:noWrap w:val="false"/>
          </w:tcPr>
          <w:p>
            <w:pPr>
              <w:pStyle w:val="728"/>
              <w:jc w:val="center"/>
              <w:spacing w:after="0" w:line="240" w:lineRule="auto"/>
              <w:widowControl w:val="off"/>
              <w:rPr>
                <w:rFonts w:hint="eastAsia" w:ascii="宋体" w:hAnsi="宋体" w:cs="宋体"/>
                <w:sz w:val="21"/>
                <w:szCs w:val="21"/>
                <w:highlight w:val="none"/>
                <w:lang w:val="zh-CN" w:bidi="zh-CN"/>
              </w:rPr>
            </w:pPr>
            <w:r>
              <w:rPr>
                <w:rFonts w:hint="eastAsia" w:ascii="宋体" w:hAnsi="宋体" w:cs="宋体"/>
                <w:sz w:val="21"/>
                <w:szCs w:val="21"/>
                <w:highlight w:val="none"/>
                <w:lang w:val="zh-CN" w:bidi="zh-CN"/>
              </w:rPr>
              <w:t xml:space="preserve">突发事件应急处置预案</w:t>
            </w:r>
            <w:r>
              <w:rPr>
                <w:rFonts w:hint="eastAsia" w:ascii="宋体" w:hAnsi="宋体" w:cs="宋体"/>
                <w:sz w:val="21"/>
                <w:szCs w:val="21"/>
                <w:highlight w:val="none"/>
                <w:lang w:val="zh-CN" w:bidi="zh-CN"/>
              </w:rPr>
            </w:r>
            <w:r/>
          </w:p>
        </w:tc>
        <w:tc>
          <w:tcPr>
            <w:tcW w:w="6238" w:type="dxa"/>
            <w:vAlign w:val="top"/>
            <w:textDirection w:val="lrTb"/>
            <w:noWrap w:val="false"/>
          </w:tcPr>
          <w:p>
            <w:pPr>
              <w:pStyle w:val="728"/>
              <w:spacing w:after="0" w:line="240" w:lineRule="auto"/>
              <w:widowControl w:val="off"/>
              <w:rPr>
                <w:rFonts w:hint="eastAsia" w:ascii="宋体" w:hAnsi="宋体" w:cs="宋体"/>
                <w:sz w:val="21"/>
                <w:szCs w:val="21"/>
                <w:highlight w:val="none"/>
                <w:lang w:val="zh-CN" w:bidi="zh-CN"/>
              </w:rPr>
            </w:pPr>
            <w:r>
              <w:rPr>
                <w:rFonts w:hint="eastAsia" w:ascii="宋体" w:hAnsi="宋体" w:cs="宋体"/>
                <w:sz w:val="21"/>
                <w:szCs w:val="21"/>
                <w:highlight w:val="none"/>
                <w:lang w:val="zh-CN" w:bidi="zh-CN"/>
              </w:rPr>
              <w:t xml:space="preserve">根据供应商突发事件应急处置预案进行评分。突发事件应急处置预案</w:t>
            </w:r>
            <w:r>
              <w:rPr>
                <w:rFonts w:hint="eastAsia" w:ascii="宋体" w:hAnsi="宋体" w:cs="宋体"/>
                <w:sz w:val="21"/>
                <w:szCs w:val="21"/>
                <w:highlight w:val="none"/>
                <w:lang w:bidi="zh-CN"/>
              </w:rPr>
              <w:t xml:space="preserve">内容主要</w:t>
            </w:r>
            <w:r>
              <w:rPr>
                <w:rFonts w:hint="eastAsia" w:ascii="宋体" w:hAnsi="宋体" w:cs="宋体"/>
                <w:sz w:val="21"/>
                <w:szCs w:val="21"/>
                <w:highlight w:val="none"/>
                <w:lang w:val="zh-CN" w:bidi="zh-CN"/>
              </w:rPr>
              <w:t xml:space="preserve">包括抽检过程中可能遇到的各类突发情况，以及对应的应急解决处置措施。</w:t>
            </w:r>
            <w:r>
              <w:rPr>
                <w:rFonts w:hint="eastAsia" w:ascii="宋体" w:hAnsi="宋体" w:cs="宋体"/>
                <w:sz w:val="21"/>
                <w:szCs w:val="21"/>
                <w:highlight w:val="none"/>
                <w:lang w:val="zh-CN" w:bidi="zh-CN"/>
              </w:rPr>
            </w:r>
            <w:r/>
          </w:p>
          <w:p>
            <w:pPr>
              <w:pStyle w:val="728"/>
              <w:numPr>
                <w:ilvl w:val="0"/>
                <w:numId w:val="2"/>
              </w:numPr>
              <w:spacing w:after="0" w:line="240" w:lineRule="auto"/>
              <w:widowControl w:val="off"/>
              <w:rPr>
                <w:rFonts w:hint="eastAsia" w:ascii="宋体" w:hAnsi="宋体" w:cs="宋体"/>
                <w:sz w:val="21"/>
                <w:szCs w:val="21"/>
                <w:highlight w:val="none"/>
                <w:lang w:val="zh-CN" w:bidi="zh-CN"/>
              </w:rPr>
            </w:pPr>
            <w:r>
              <w:rPr>
                <w:rFonts w:hint="eastAsia" w:ascii="宋体" w:hAnsi="宋体" w:cs="宋体"/>
                <w:sz w:val="21"/>
                <w:szCs w:val="21"/>
                <w:highlight w:val="none"/>
                <w:lang w:val="zh-CN" w:bidi="zh-CN"/>
              </w:rPr>
              <w:t xml:space="preserve">优于需求得8分；</w:t>
            </w:r>
            <w:r>
              <w:rPr>
                <w:rFonts w:hint="eastAsia" w:ascii="宋体" w:hAnsi="宋体" w:cs="宋体"/>
                <w:sz w:val="21"/>
                <w:szCs w:val="21"/>
                <w:highlight w:val="none"/>
                <w:lang w:val="zh-CN" w:bidi="zh-CN"/>
              </w:rPr>
            </w:r>
            <w:r/>
          </w:p>
          <w:p>
            <w:pPr>
              <w:pStyle w:val="728"/>
              <w:numPr>
                <w:ilvl w:val="0"/>
                <w:numId w:val="2"/>
              </w:numPr>
              <w:spacing w:after="0" w:line="240" w:lineRule="auto"/>
              <w:widowControl w:val="off"/>
              <w:rPr>
                <w:rFonts w:hint="eastAsia" w:ascii="宋体" w:hAnsi="宋体" w:cs="宋体"/>
                <w:sz w:val="21"/>
                <w:szCs w:val="21"/>
                <w:highlight w:val="none"/>
                <w:lang w:val="zh-CN" w:bidi="zh-CN"/>
              </w:rPr>
            </w:pPr>
            <w:r>
              <w:rPr>
                <w:rFonts w:hint="eastAsia" w:ascii="宋体" w:hAnsi="宋体" w:cs="宋体"/>
                <w:sz w:val="21"/>
                <w:szCs w:val="21"/>
                <w:highlight w:val="none"/>
                <w:lang w:val="zh-CN" w:bidi="zh-CN"/>
              </w:rPr>
              <w:t xml:space="preserve">满足需求得5分；</w:t>
            </w:r>
            <w:r>
              <w:rPr>
                <w:rFonts w:hint="eastAsia" w:ascii="宋体" w:hAnsi="宋体" w:cs="宋体"/>
                <w:sz w:val="21"/>
                <w:szCs w:val="21"/>
                <w:highlight w:val="none"/>
                <w:lang w:val="zh-CN" w:bidi="zh-CN"/>
              </w:rPr>
            </w:r>
            <w:r/>
          </w:p>
          <w:p>
            <w:pPr>
              <w:pStyle w:val="728"/>
              <w:numPr>
                <w:ilvl w:val="0"/>
                <w:numId w:val="2"/>
              </w:numPr>
              <w:spacing w:after="0" w:line="240" w:lineRule="auto"/>
              <w:widowControl w:val="off"/>
              <w:rPr>
                <w:rFonts w:hint="eastAsia" w:ascii="宋体" w:hAnsi="宋体" w:cs="宋体"/>
                <w:sz w:val="21"/>
                <w:szCs w:val="21"/>
                <w:highlight w:val="none"/>
                <w:lang w:val="zh-CN" w:bidi="zh-CN"/>
              </w:rPr>
            </w:pPr>
            <w:r>
              <w:rPr>
                <w:rFonts w:hint="eastAsia" w:ascii="宋体" w:hAnsi="宋体" w:cs="宋体"/>
                <w:sz w:val="21"/>
                <w:szCs w:val="21"/>
                <w:highlight w:val="none"/>
                <w:lang w:val="zh-CN" w:bidi="zh-CN"/>
              </w:rPr>
              <w:t xml:space="preserve">内容有欠缺需进一步修改完善的得2分；</w:t>
            </w:r>
            <w:r>
              <w:rPr>
                <w:rFonts w:hint="eastAsia" w:ascii="宋体" w:hAnsi="宋体" w:cs="宋体"/>
                <w:sz w:val="21"/>
                <w:szCs w:val="21"/>
                <w:highlight w:val="none"/>
                <w:lang w:val="zh-CN" w:bidi="zh-CN"/>
              </w:rPr>
            </w:r>
            <w:r/>
          </w:p>
          <w:p>
            <w:pPr>
              <w:pStyle w:val="728"/>
              <w:spacing w:after="0" w:line="240" w:lineRule="auto"/>
              <w:widowControl w:val="off"/>
              <w:rPr>
                <w:rFonts w:hint="eastAsia" w:ascii="宋体" w:hAnsi="宋体" w:cs="宋体"/>
                <w:b/>
                <w:bCs/>
                <w:sz w:val="21"/>
                <w:szCs w:val="21"/>
                <w:highlight w:val="none"/>
                <w:lang w:val="zh-CN" w:bidi="zh-CN"/>
              </w:rPr>
            </w:pPr>
            <w:r>
              <w:rPr>
                <w:rFonts w:hint="eastAsia" w:ascii="宋体" w:hAnsi="宋体" w:cs="宋体"/>
                <w:sz w:val="21"/>
                <w:szCs w:val="21"/>
                <w:highlight w:val="none"/>
                <w:lang w:bidi="zh-CN"/>
              </w:rPr>
              <w:t xml:space="preserve">(4)</w:t>
            </w:r>
            <w:r>
              <w:rPr>
                <w:rFonts w:hint="eastAsia" w:ascii="宋体" w:hAnsi="宋体" w:cs="宋体"/>
                <w:sz w:val="21"/>
                <w:szCs w:val="21"/>
                <w:highlight w:val="none"/>
                <w:lang w:val="zh-CN" w:bidi="zh-CN"/>
              </w:rPr>
              <w:t xml:space="preserve">其他或未提供不得分。</w:t>
            </w:r>
            <w:r>
              <w:rPr>
                <w:rFonts w:hint="eastAsia" w:ascii="宋体" w:hAnsi="宋体" w:cs="宋体"/>
                <w:b/>
                <w:bCs/>
                <w:sz w:val="21"/>
                <w:szCs w:val="21"/>
                <w:highlight w:val="none"/>
                <w:lang w:val="zh-CN" w:bidi="zh-CN"/>
              </w:rPr>
            </w:r>
            <w:r/>
          </w:p>
        </w:tc>
        <w:tc>
          <w:tcPr>
            <w:tcW w:w="604"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val="zh-CN" w:bidi="zh-CN"/>
              </w:rPr>
              <w:outlineLvl w:val="1"/>
            </w:pPr>
            <w:r/>
            <w:bookmarkStart w:id="165" w:name="_Toc192946467"/>
            <w:r/>
            <w:bookmarkStart w:id="166" w:name="_Toc227942525"/>
            <w:r>
              <w:rPr>
                <w:rFonts w:hint="eastAsia" w:ascii="宋体" w:hAnsi="宋体" w:cs="宋体"/>
                <w:spacing w:val="-6"/>
                <w:sz w:val="21"/>
                <w:szCs w:val="21"/>
                <w:highlight w:val="none"/>
                <w:lang w:bidi="zh-CN"/>
              </w:rPr>
              <w:t xml:space="preserve">8</w:t>
            </w:r>
            <w:r>
              <w:rPr>
                <w:rFonts w:hint="eastAsia" w:ascii="宋体" w:hAnsi="宋体" w:cs="宋体"/>
                <w:spacing w:val="-6"/>
                <w:sz w:val="21"/>
                <w:szCs w:val="21"/>
                <w:highlight w:val="none"/>
                <w:lang w:val="zh-CN" w:bidi="zh-CN"/>
              </w:rPr>
              <w:t xml:space="preserve">分</w:t>
            </w:r>
            <w:bookmarkEnd w:id="165"/>
            <w:r/>
            <w:bookmarkEnd w:id="166"/>
            <w:r>
              <w:rPr>
                <w:rFonts w:hint="eastAsia" w:ascii="宋体" w:hAnsi="宋体" w:cs="宋体"/>
                <w:spacing w:val="-6"/>
                <w:sz w:val="21"/>
                <w:szCs w:val="21"/>
                <w:highlight w:val="none"/>
                <w:lang w:val="zh-CN" w:bidi="zh-CN"/>
              </w:rPr>
            </w:r>
            <w:r/>
          </w:p>
        </w:tc>
        <w:tc>
          <w:tcPr>
            <w:tcW w:w="850" w:type="dxa"/>
            <w:vAlign w:val="center"/>
            <w:textDirection w:val="lrTb"/>
            <w:noWrap w:val="false"/>
          </w:tcPr>
          <w:p>
            <w:pPr>
              <w:pStyle w:val="728"/>
              <w:jc w:val="center"/>
              <w:spacing w:after="0" w:line="240" w:lineRule="auto"/>
              <w:widowControl w:val="off"/>
              <w:rPr>
                <w:rFonts w:hint="eastAsia" w:ascii="宋体" w:hAnsi="宋体" w:cs="宋体"/>
                <w:spacing w:val="-6"/>
                <w:sz w:val="21"/>
                <w:szCs w:val="21"/>
                <w:highlight w:val="none"/>
                <w:lang w:bidi="zh-CN"/>
              </w:rPr>
              <w:outlineLvl w:val="1"/>
            </w:pPr>
            <w:r/>
            <w:bookmarkStart w:id="167" w:name="_Toc227942526"/>
            <w:r>
              <w:rPr>
                <w:rFonts w:hint="eastAsia" w:ascii="宋体" w:hAnsi="宋体" w:cs="宋体"/>
                <w:spacing w:val="-6"/>
                <w:sz w:val="21"/>
                <w:szCs w:val="21"/>
                <w:highlight w:val="none"/>
                <w:lang w:bidi="zh-CN"/>
              </w:rPr>
              <w:t xml:space="preserve">主观分</w:t>
            </w:r>
            <w:bookmarkEnd w:id="167"/>
            <w:r>
              <w:rPr>
                <w:rFonts w:hint="eastAsia" w:ascii="宋体" w:hAnsi="宋体" w:cs="宋体"/>
                <w:spacing w:val="-6"/>
                <w:sz w:val="21"/>
                <w:szCs w:val="21"/>
                <w:highlight w:val="none"/>
                <w:lang w:bidi="zh-CN"/>
              </w:rPr>
            </w:r>
            <w:r/>
          </w:p>
        </w:tc>
      </w:tr>
    </w:tbl>
    <w:p>
      <w:pPr>
        <w:pStyle w:val="728"/>
        <w:spacing w:before="120" w:after="120" w:line="360" w:lineRule="auto"/>
        <w:widowControl w:val="off"/>
        <w:rPr>
          <w:rFonts w:ascii="Arial" w:hAnsi="Arial" w:cs="Arial"/>
          <w:sz w:val="24"/>
          <w:szCs w:val="24"/>
          <w:highlight w:val="none"/>
        </w:rPr>
      </w:pPr>
      <w:r/>
      <w:bookmarkEnd w:id="99"/>
      <w:r>
        <w:rPr>
          <w:rFonts w:ascii="Arial" w:hAnsi="Arial" w:cs="Arial"/>
          <w:sz w:val="24"/>
          <w:szCs w:val="24"/>
          <w:highlight w:val="none"/>
        </w:rPr>
      </w:r>
      <w:r/>
    </w:p>
    <w:p>
      <w:pPr>
        <w:pStyle w:val="728"/>
        <w:spacing w:before="120" w:after="120" w:line="360" w:lineRule="auto"/>
        <w:widowControl w:val="off"/>
        <w:rPr>
          <w:rFonts w:ascii="Arial" w:hAnsi="Arial" w:cs="Arial"/>
          <w:sz w:val="24"/>
          <w:szCs w:val="24"/>
          <w:highlight w:val="none"/>
        </w:rPr>
      </w:pPr>
      <w:r>
        <w:rPr>
          <w:rFonts w:hint="eastAsia" w:ascii="Arial" w:hAnsi="Arial" w:cs="Arial"/>
          <w:sz w:val="24"/>
          <w:szCs w:val="24"/>
          <w:highlight w:val="none"/>
        </w:rPr>
        <w:t xml:space="preserve">说明：</w:t>
      </w:r>
      <w:r>
        <w:rPr>
          <w:rFonts w:ascii="Arial" w:hAnsi="Arial" w:cs="Arial"/>
          <w:sz w:val="24"/>
          <w:szCs w:val="24"/>
          <w:highlight w:val="none"/>
        </w:rPr>
      </w:r>
      <w:r/>
    </w:p>
    <w:p>
      <w:pPr>
        <w:pStyle w:val="728"/>
        <w:spacing w:before="120" w:after="120" w:line="360" w:lineRule="auto"/>
        <w:widowControl w:val="off"/>
        <w:rPr>
          <w:rFonts w:ascii="Arial" w:hAnsi="Arial" w:cs="Arial"/>
          <w:sz w:val="24"/>
          <w:szCs w:val="24"/>
          <w:highlight w:val="none"/>
        </w:rPr>
      </w:pPr>
      <w:r>
        <w:rPr>
          <w:rFonts w:hint="eastAsia" w:ascii="Arial" w:hAnsi="Arial" w:cs="Arial"/>
          <w:sz w:val="24"/>
          <w:szCs w:val="24"/>
          <w:highlight w:val="none"/>
        </w:rPr>
        <w:t xml:space="preserve">1、小微型企业价格扣除</w:t>
      </w:r>
      <w:r>
        <w:rPr>
          <w:rFonts w:ascii="Arial" w:hAnsi="Arial" w:cs="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（1）对小型和微型企业提供的产品在价格上给予10%的扣除，用扣除后的价格参与评审。</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（2）供应商需按照采购文件的要求提供相应的《中小企业声明函》。</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（3）企业标准请参照《关于印发中小企业划型标准规定的通知》（工信部联企业【2011】300号）文件规定自行填写。</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2、残疾人福利单位价格扣除</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（1）本项目对残疾人福利性单位视同小型、微型企业，给予</w:t>
      </w:r>
      <w:r>
        <w:rPr>
          <w:rFonts w:ascii="宋体" w:hAnsi="Arial"/>
          <w:sz w:val="24"/>
          <w:szCs w:val="24"/>
          <w:highlight w:val="none"/>
        </w:rPr>
        <w:t xml:space="preserve">10</w:t>
      </w:r>
      <w:r>
        <w:rPr>
          <w:rFonts w:hint="eastAsia" w:ascii="宋体" w:hAnsi="Arial"/>
          <w:sz w:val="24"/>
          <w:szCs w:val="24"/>
          <w:highlight w:val="none"/>
        </w:rPr>
        <w:t xml:space="preserve">%的价格扣除，用扣除后的价格参与评审。</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（2）残疾人福利单位需按照采购文件的要求提供《残疾人福利性单位声明函》。</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（3）残疾人福利单位标准请参照《关于促进残疾人就业政府采购政策的通知》（财库〔2017〕141号）。</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3、监狱和戒毒企业价格扣除</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（1）本项目对监狱和戒毒企业（简称监狱企业）视同小型、微型企业，给予</w:t>
      </w:r>
      <w:r>
        <w:rPr>
          <w:rFonts w:ascii="宋体" w:hAnsi="Arial"/>
          <w:sz w:val="24"/>
          <w:szCs w:val="24"/>
          <w:highlight w:val="none"/>
        </w:rPr>
        <w:t xml:space="preserve">10</w:t>
      </w:r>
      <w:r>
        <w:rPr>
          <w:rFonts w:hint="eastAsia" w:ascii="宋体" w:hAnsi="Arial"/>
          <w:sz w:val="24"/>
          <w:szCs w:val="24"/>
          <w:highlight w:val="none"/>
        </w:rPr>
        <w:t xml:space="preserve">%的价格扣除，用扣除后的价格参与评审。</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（3）监狱企业标准请参照《关于政府采购支持监狱企业发展有关问题的通知》（财库[2014]68号）。</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4、残疾人福利单位、监狱企业属于小型、微型企业的，不重复享受政策。</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5、采购节能产品、环境标志产品相关政策</w:t>
      </w:r>
      <w:r>
        <w:rPr>
          <w:rFonts w:ascii="宋体" w:hAnsi="Arial"/>
          <w:sz w:val="24"/>
          <w:szCs w:val="24"/>
          <w:highlight w:val="none"/>
        </w:rPr>
      </w:r>
      <w:r/>
    </w:p>
    <w:p>
      <w:pPr>
        <w:pStyle w:val="728"/>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5.1为发挥政府采购的政策导向作用，根据《财政部发展改革委生态环境部市场监管总局关于调整优化节能产品 环境标志产品 政</w:t>
      </w:r>
      <w:r>
        <w:rPr>
          <w:rFonts w:hint="eastAsia" w:ascii="宋体" w:hAnsi="Arial"/>
          <w:sz w:val="24"/>
          <w:szCs w:val="24"/>
          <w:highlight w:val="none"/>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highlight w:val="none"/>
        </w:rPr>
      </w:r>
      <w:r/>
    </w:p>
    <w:p>
      <w:pPr>
        <w:pStyle w:val="728"/>
        <w:ind w:firstLine="480"/>
        <w:spacing w:before="120" w:after="120" w:line="360" w:lineRule="auto"/>
        <w:widowControl w:val="off"/>
        <w:rPr>
          <w:rFonts w:ascii="宋体" w:hAnsi="Arial"/>
          <w:sz w:val="24"/>
          <w:szCs w:val="24"/>
          <w:highlight w:val="none"/>
        </w:rPr>
      </w:pPr>
      <w:r>
        <w:rPr>
          <w:rFonts w:hint="eastAsia" w:ascii="宋体" w:hAnsi="Arial"/>
          <w:sz w:val="24"/>
          <w:szCs w:val="24"/>
          <w:highlight w:val="none"/>
        </w:rPr>
        <w:t xml:space="preserve">5.</w:t>
      </w:r>
      <w:r>
        <w:rPr>
          <w:rFonts w:hint="eastAsia" w:ascii="宋体" w:hAnsi="Arial"/>
          <w:sz w:val="24"/>
          <w:szCs w:val="24"/>
          <w:highlight w:val="none"/>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highlight w:val="none"/>
        </w:rPr>
      </w:r>
      <w:r/>
    </w:p>
    <w:p>
      <w:pPr>
        <w:pStyle w:val="728"/>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5.3节能产品、环境标志产品价格扣除</w:t>
      </w:r>
      <w:r>
        <w:rPr>
          <w:rFonts w:ascii="宋体" w:hAnsi="Arial"/>
          <w:sz w:val="24"/>
          <w:szCs w:val="24"/>
          <w:highlight w:val="none"/>
        </w:rPr>
      </w:r>
      <w:r/>
    </w:p>
    <w:p>
      <w:pPr>
        <w:pStyle w:val="728"/>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a、投标人所投产品被列入优先采购的节能产品政府采购品目清单中产品，其投标报价将给予 1%的价格扣除(强制采购节能产品除外)。 </w:t>
      </w:r>
      <w:r>
        <w:rPr>
          <w:rFonts w:ascii="宋体" w:hAnsi="Arial"/>
          <w:sz w:val="24"/>
          <w:szCs w:val="24"/>
          <w:highlight w:val="none"/>
        </w:rPr>
      </w:r>
      <w:r/>
    </w:p>
    <w:p>
      <w:pPr>
        <w:pStyle w:val="728"/>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highlight w:val="none"/>
        </w:rPr>
      </w:r>
      <w:r/>
    </w:p>
    <w:p>
      <w:pPr>
        <w:pStyle w:val="728"/>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 b、投标人所投产品被列入优先采购的环境标志产品政府采购品目清单中产品，其投标报价将给予 1%的价格扣除。</w:t>
      </w:r>
      <w:r>
        <w:rPr>
          <w:rFonts w:ascii="宋体" w:hAnsi="Arial"/>
          <w:sz w:val="24"/>
          <w:szCs w:val="24"/>
          <w:highlight w:val="none"/>
        </w:rPr>
      </w:r>
      <w:r/>
    </w:p>
    <w:p>
      <w:pPr>
        <w:pStyle w:val="728"/>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highlight w:val="none"/>
        </w:rPr>
      </w:r>
      <w:r/>
    </w:p>
    <w:p>
      <w:pPr>
        <w:pStyle w:val="728"/>
        <w:ind w:firstLine="480"/>
        <w:spacing w:before="120" w:after="120" w:line="400" w:lineRule="exact"/>
        <w:widowControl w:val="off"/>
        <w:rPr>
          <w:rFonts w:ascii="宋体" w:hAnsi="Arial"/>
          <w:sz w:val="24"/>
          <w:szCs w:val="24"/>
          <w:highlight w:val="none"/>
        </w:rPr>
      </w:pPr>
      <w:r>
        <w:rPr>
          <w:rFonts w:hint="eastAsia" w:ascii="宋体" w:hAnsi="Arial"/>
          <w:sz w:val="24"/>
          <w:szCs w:val="24"/>
          <w:highlight w:val="none"/>
        </w:rPr>
        <w:t xml:space="preserve">6、所有认证、证明或业绩均以有效的证明文件的复印件并加盖CA电子公章为依据，原件备查。</w:t>
      </w: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ascii="宋体" w:hAnsi="Arial"/>
          <w:sz w:val="24"/>
          <w:szCs w:val="24"/>
          <w:highlight w:val="none"/>
        </w:rPr>
      </w:r>
      <w:r/>
    </w:p>
    <w:p>
      <w:pPr>
        <w:pStyle w:val="728"/>
        <w:spacing w:before="120" w:after="120" w:line="400" w:lineRule="exact"/>
        <w:widowControl w:val="off"/>
        <w:rPr>
          <w:rFonts w:ascii="宋体" w:hAnsi="Arial"/>
          <w:sz w:val="24"/>
          <w:szCs w:val="24"/>
          <w:highlight w:val="none"/>
        </w:rPr>
      </w:pPr>
      <w:r>
        <w:rPr>
          <w:rFonts w:ascii="宋体" w:hAnsi="Arial"/>
          <w:sz w:val="24"/>
          <w:szCs w:val="24"/>
          <w:highlight w:val="none"/>
        </w:rPr>
      </w:r>
      <w:r/>
    </w:p>
    <w:p>
      <w:pPr>
        <w:pStyle w:val="729"/>
        <w:jc w:val="center"/>
        <w:keepLines w:val="0"/>
        <w:spacing w:before="0" w:line="240" w:lineRule="auto"/>
        <w:widowControl w:val="off"/>
        <w:rPr>
          <w:rFonts w:ascii="黑体" w:hAnsi="楷体_GB2312" w:eastAsia="黑体"/>
          <w:b w:val="0"/>
          <w:bCs w:val="0"/>
          <w:color w:val="000000"/>
          <w:sz w:val="44"/>
          <w:szCs w:val="44"/>
          <w:highlight w:val="none"/>
        </w:rPr>
      </w:pPr>
      <w:r/>
      <w:bookmarkStart w:id="168" w:name="_Toc17291678"/>
      <w:r/>
      <w:bookmarkStart w:id="169" w:name="_Toc227942527"/>
      <w:r/>
      <w:bookmarkStart w:id="170" w:name="_Toc17291090"/>
      <w:r>
        <w:rPr>
          <w:rFonts w:hint="eastAsia" w:ascii="黑体" w:hAnsi="楷体_GB2312" w:eastAsia="黑体"/>
          <w:b w:val="0"/>
          <w:bCs w:val="0"/>
          <w:color w:val="000000"/>
          <w:sz w:val="44"/>
          <w:szCs w:val="44"/>
          <w:highlight w:val="none"/>
        </w:rPr>
        <w:t xml:space="preserve">第六章  投标</w:t>
      </w:r>
      <w:bookmarkEnd w:id="78"/>
      <w:r/>
      <w:bookmarkEnd w:id="81"/>
      <w:r/>
      <w:bookmarkEnd w:id="82"/>
      <w:r>
        <w:rPr>
          <w:rFonts w:hint="eastAsia" w:ascii="黑体" w:hAnsi="楷体_GB2312" w:eastAsia="黑体"/>
          <w:b w:val="0"/>
          <w:bCs w:val="0"/>
          <w:color w:val="000000"/>
          <w:sz w:val="44"/>
          <w:szCs w:val="44"/>
          <w:highlight w:val="none"/>
        </w:rPr>
        <w:t xml:space="preserve">文件格式</w:t>
      </w:r>
      <w:bookmarkEnd w:id="168"/>
      <w:r/>
      <w:bookmarkEnd w:id="169"/>
      <w:r/>
      <w:bookmarkEnd w:id="170"/>
      <w:r>
        <w:rPr>
          <w:rFonts w:hint="eastAsia" w:ascii="黑体" w:hAnsi="楷体_GB2312" w:eastAsia="黑体"/>
          <w:b w:val="0"/>
          <w:bCs w:val="0"/>
          <w:color w:val="000000"/>
          <w:sz w:val="44"/>
          <w:szCs w:val="44"/>
          <w:highlight w:val="none"/>
        </w:rPr>
        <w:t xml:space="preserve"> </w:t>
      </w:r>
      <w:r>
        <w:rPr>
          <w:rFonts w:ascii="黑体" w:hAnsi="楷体_GB2312" w:eastAsia="黑体"/>
          <w:b w:val="0"/>
          <w:bCs w:val="0"/>
          <w:color w:val="000000"/>
          <w:sz w:val="44"/>
          <w:szCs w:val="44"/>
          <w:highlight w:val="none"/>
        </w:rPr>
      </w:r>
      <w:r/>
    </w:p>
    <w:p>
      <w:pPr>
        <w:pStyle w:val="728"/>
        <w:jc w:val="center"/>
        <w:spacing w:after="0" w:line="240" w:lineRule="auto"/>
        <w:widowControl w:val="off"/>
        <w:rPr>
          <w:rFonts w:ascii="宋体"/>
          <w:b/>
          <w:sz w:val="72"/>
          <w:highlight w:val="none"/>
        </w:rPr>
      </w:pPr>
      <w:r/>
      <w:bookmarkStart w:id="171" w:name="_Hlt26671244"/>
      <w:r/>
      <w:bookmarkEnd w:id="171"/>
      <w:r/>
      <w:bookmarkStart w:id="172" w:name="_Hlt26955039"/>
      <w:r/>
      <w:bookmarkEnd w:id="172"/>
      <w:r>
        <w:rPr>
          <w:rFonts w:ascii="宋体"/>
          <w:b/>
          <w:sz w:val="72"/>
          <w:highlight w:val="none"/>
        </w:rPr>
      </w:r>
      <w:r/>
    </w:p>
    <w:p>
      <w:pPr>
        <w:pStyle w:val="728"/>
        <w:jc w:val="center"/>
        <w:spacing w:after="0" w:line="240" w:lineRule="auto"/>
        <w:widowControl w:val="off"/>
        <w:rPr>
          <w:rFonts w:ascii="宋体"/>
          <w:b/>
          <w:sz w:val="72"/>
          <w:highlight w:val="none"/>
        </w:rPr>
      </w:pPr>
      <w:r>
        <w:rPr>
          <w:rFonts w:hint="eastAsia" w:ascii="宋体"/>
          <w:b/>
          <w:sz w:val="72"/>
          <w:highlight w:val="none"/>
        </w:rPr>
        <w:t xml:space="preserve">投  标  文  件</w:t>
      </w:r>
      <w:r>
        <w:rPr>
          <w:rFonts w:ascii="宋体"/>
          <w:b/>
          <w:sz w:val="72"/>
          <w:highlight w:val="none"/>
        </w:rPr>
      </w:r>
      <w:r/>
    </w:p>
    <w:p>
      <w:pPr>
        <w:pStyle w:val="728"/>
        <w:jc w:val="center"/>
        <w:spacing w:after="0" w:line="240" w:lineRule="auto"/>
        <w:widowControl w:val="off"/>
        <w:rPr>
          <w:rFonts w:ascii="宋体"/>
          <w:b/>
          <w:sz w:val="72"/>
          <w:highlight w:val="none"/>
        </w:rPr>
      </w:pPr>
      <w:r>
        <w:rPr>
          <w:rFonts w:ascii="宋体"/>
          <w:b/>
          <w:sz w:val="72"/>
          <w:highlight w:val="none"/>
        </w:rPr>
      </w:r>
      <w:r/>
    </w:p>
    <w:p>
      <w:pPr>
        <w:pStyle w:val="728"/>
        <w:jc w:val="center"/>
        <w:spacing w:after="0" w:line="240" w:lineRule="auto"/>
        <w:widowControl w:val="off"/>
        <w:rPr>
          <w:rFonts w:ascii="宋体"/>
          <w:b/>
          <w:sz w:val="72"/>
          <w:highlight w:val="none"/>
        </w:rPr>
      </w:pPr>
      <w:r>
        <w:rPr>
          <w:rFonts w:ascii="宋体"/>
          <w:b/>
          <w:sz w:val="72"/>
          <w:highlight w:val="none"/>
        </w:rPr>
      </w:r>
      <w:r/>
    </w:p>
    <w:p>
      <w:pPr>
        <w:pStyle w:val="728"/>
        <w:jc w:val="center"/>
        <w:spacing w:after="0" w:line="240" w:lineRule="auto"/>
        <w:widowControl w:val="off"/>
        <w:rPr>
          <w:rFonts w:ascii="宋体"/>
          <w:b/>
          <w:sz w:val="36"/>
          <w:highlight w:val="none"/>
        </w:rPr>
      </w:pPr>
      <w:r>
        <w:rPr>
          <w:rFonts w:hint="eastAsia" w:ascii="宋体"/>
          <w:b/>
          <w:sz w:val="36"/>
          <w:highlight w:val="none"/>
        </w:rPr>
        <w:t xml:space="preserve">  </w:t>
      </w:r>
      <w:r>
        <w:rPr>
          <w:rFonts w:ascii="宋体"/>
          <w:b/>
          <w:sz w:val="36"/>
          <w:highlight w:val="none"/>
        </w:rPr>
      </w:r>
      <w:r/>
    </w:p>
    <w:p>
      <w:pPr>
        <w:pStyle w:val="728"/>
        <w:jc w:val="center"/>
        <w:spacing w:after="0" w:line="240" w:lineRule="auto"/>
        <w:widowControl w:val="off"/>
        <w:rPr>
          <w:rFonts w:ascii="宋体"/>
          <w:b/>
          <w:sz w:val="36"/>
          <w:highlight w:val="none"/>
        </w:rPr>
      </w:pPr>
      <w:r>
        <w:rPr>
          <w:rFonts w:ascii="宋体"/>
          <w:b/>
          <w:sz w:val="36"/>
          <w:highlight w:val="none"/>
        </w:rPr>
      </w:r>
      <w:r/>
    </w:p>
    <w:p>
      <w:pPr>
        <w:pStyle w:val="728"/>
        <w:jc w:val="center"/>
        <w:spacing w:after="0" w:line="240" w:lineRule="auto"/>
        <w:widowControl w:val="off"/>
        <w:rPr>
          <w:rFonts w:ascii="宋体"/>
          <w:b/>
          <w:sz w:val="36"/>
          <w:highlight w:val="none"/>
        </w:rPr>
      </w:pPr>
      <w:r>
        <w:rPr>
          <w:rFonts w:ascii="宋体"/>
          <w:b/>
          <w:sz w:val="36"/>
          <w:highlight w:val="none"/>
        </w:rPr>
      </w:r>
      <w:r/>
    </w:p>
    <w:p>
      <w:pPr>
        <w:pStyle w:val="728"/>
        <w:ind w:firstLine="1084"/>
        <w:jc w:val="both"/>
        <w:spacing w:after="0" w:line="240" w:lineRule="auto"/>
        <w:widowControl w:val="off"/>
        <w:rPr>
          <w:rFonts w:ascii="宋体"/>
          <w:b/>
          <w:sz w:val="36"/>
          <w:highlight w:val="none"/>
        </w:rPr>
      </w:pPr>
      <w:r>
        <w:rPr>
          <w:rFonts w:hint="eastAsia" w:ascii="宋体"/>
          <w:b/>
          <w:sz w:val="36"/>
          <w:highlight w:val="none"/>
        </w:rPr>
        <w:t xml:space="preserve">项 目 名 称：</w:t>
      </w:r>
      <w:r>
        <w:rPr>
          <w:rFonts w:hint="eastAsia" w:ascii="宋体"/>
          <w:b/>
          <w:sz w:val="36"/>
          <w:highlight w:val="none"/>
          <w:u w:val="single"/>
        </w:rPr>
        <w:t xml:space="preserve">             </w:t>
      </w:r>
      <w:r>
        <w:rPr>
          <w:rFonts w:ascii="宋体"/>
          <w:b/>
          <w:sz w:val="36"/>
          <w:highlight w:val="none"/>
          <w:u w:val="single"/>
        </w:rPr>
        <w:t xml:space="preserve">           </w:t>
      </w:r>
      <w:r>
        <w:rPr>
          <w:rFonts w:hint="eastAsia" w:ascii="宋体"/>
          <w:b/>
          <w:sz w:val="36"/>
          <w:highlight w:val="none"/>
          <w:u w:val="single"/>
        </w:rPr>
        <w:t xml:space="preserve">  </w:t>
      </w:r>
      <w:r>
        <w:rPr>
          <w:rFonts w:ascii="宋体"/>
          <w:b/>
          <w:sz w:val="36"/>
          <w:highlight w:val="none"/>
        </w:rPr>
      </w:r>
      <w:r/>
    </w:p>
    <w:p>
      <w:pPr>
        <w:pStyle w:val="728"/>
        <w:ind w:firstLine="1084"/>
        <w:jc w:val="both"/>
        <w:spacing w:after="0" w:line="240" w:lineRule="auto"/>
        <w:widowControl w:val="off"/>
        <w:rPr>
          <w:rFonts w:ascii="宋体"/>
          <w:b/>
          <w:sz w:val="36"/>
          <w:highlight w:val="none"/>
          <w:u w:val="single"/>
        </w:rPr>
      </w:pPr>
      <w:r>
        <w:rPr>
          <w:rFonts w:hint="eastAsia" w:ascii="宋体"/>
          <w:b/>
          <w:sz w:val="36"/>
          <w:highlight w:val="none"/>
        </w:rPr>
        <w:t xml:space="preserve">项 目 编 号：</w:t>
      </w:r>
      <w:r>
        <w:rPr>
          <w:rFonts w:hint="eastAsia" w:ascii="宋体"/>
          <w:b/>
          <w:sz w:val="36"/>
          <w:highlight w:val="none"/>
          <w:u w:val="single"/>
        </w:rPr>
        <w:t xml:space="preserve">             </w:t>
      </w:r>
      <w:r>
        <w:rPr>
          <w:rFonts w:ascii="宋体"/>
          <w:b/>
          <w:sz w:val="36"/>
          <w:highlight w:val="none"/>
          <w:u w:val="single"/>
        </w:rPr>
        <w:t xml:space="preserve">           </w:t>
      </w:r>
      <w:r>
        <w:rPr>
          <w:rFonts w:hint="eastAsia" w:ascii="宋体"/>
          <w:b/>
          <w:sz w:val="36"/>
          <w:highlight w:val="none"/>
          <w:u w:val="single"/>
        </w:rPr>
        <w:t xml:space="preserve">  </w:t>
      </w:r>
      <w:r>
        <w:rPr>
          <w:rFonts w:ascii="宋体"/>
          <w:b/>
          <w:sz w:val="36"/>
          <w:highlight w:val="none"/>
          <w:u w:val="single"/>
        </w:rPr>
      </w:r>
      <w:r/>
    </w:p>
    <w:p>
      <w:pPr>
        <w:pStyle w:val="728"/>
        <w:ind w:firstLine="1084"/>
        <w:jc w:val="both"/>
        <w:spacing w:after="0" w:line="240" w:lineRule="auto"/>
        <w:widowControl w:val="off"/>
        <w:rPr>
          <w:rFonts w:ascii="宋体" w:hAnsi="Arial" w:eastAsia="楷体_GB2312"/>
          <w:b/>
          <w:sz w:val="36"/>
          <w:szCs w:val="28"/>
          <w:highlight w:val="none"/>
          <w:lang w:val="zh-CN"/>
        </w:rPr>
      </w:pPr>
      <w:r>
        <w:rPr>
          <w:rFonts w:hint="eastAsia" w:ascii="宋体"/>
          <w:b/>
          <w:sz w:val="36"/>
          <w:highlight w:val="none"/>
        </w:rPr>
        <w:t xml:space="preserve">采购包号：</w:t>
      </w:r>
      <w:r>
        <w:rPr>
          <w:rFonts w:ascii="宋体"/>
          <w:b/>
          <w:sz w:val="36"/>
          <w:highlight w:val="none"/>
          <w:u w:val="single"/>
        </w:rPr>
        <w:t xml:space="preserve">                             </w:t>
      </w:r>
      <w:r>
        <w:rPr>
          <w:rFonts w:ascii="宋体" w:hAnsi="Arial" w:eastAsia="楷体_GB2312"/>
          <w:b/>
          <w:sz w:val="36"/>
          <w:szCs w:val="28"/>
          <w:highlight w:val="none"/>
          <w:lang w:val="zh-CN"/>
        </w:rPr>
      </w:r>
      <w:r/>
    </w:p>
    <w:p>
      <w:pPr>
        <w:pStyle w:val="728"/>
        <w:jc w:val="both"/>
        <w:spacing w:after="0" w:line="240" w:lineRule="auto"/>
        <w:widowControl w:val="off"/>
        <w:rPr>
          <w:rFonts w:ascii="宋体"/>
          <w:b/>
          <w:sz w:val="36"/>
          <w:highlight w:val="none"/>
          <w:u w:val="single"/>
        </w:rPr>
      </w:pPr>
      <w:r>
        <w:rPr>
          <w:rFonts w:hint="eastAsia" w:ascii="宋体"/>
          <w:b/>
          <w:sz w:val="36"/>
          <w:highlight w:val="none"/>
        </w:rPr>
        <w:t xml:space="preserve">      投标人名称（CA电子公章）：</w:t>
      </w:r>
      <w:r>
        <w:rPr>
          <w:rFonts w:ascii="宋体"/>
          <w:b/>
          <w:sz w:val="36"/>
          <w:highlight w:val="none"/>
          <w:u w:val="single"/>
        </w:rPr>
        <w:t xml:space="preserve">               </w:t>
      </w:r>
      <w:r>
        <w:rPr>
          <w:rFonts w:ascii="宋体"/>
          <w:b/>
          <w:sz w:val="36"/>
          <w:highlight w:val="none"/>
          <w:u w:val="single"/>
        </w:rPr>
      </w:r>
      <w:r/>
    </w:p>
    <w:p>
      <w:pPr>
        <w:pStyle w:val="728"/>
        <w:jc w:val="both"/>
        <w:spacing w:after="0" w:line="240" w:lineRule="auto"/>
        <w:widowControl w:val="off"/>
        <w:rPr>
          <w:rFonts w:ascii="宋体"/>
          <w:b/>
          <w:sz w:val="36"/>
          <w:highlight w:val="none"/>
        </w:rPr>
      </w:pPr>
      <w:r>
        <w:rPr>
          <w:rFonts w:ascii="宋体"/>
          <w:b/>
          <w:sz w:val="36"/>
          <w:highlight w:val="none"/>
        </w:rPr>
        <w:t xml:space="preserve">      </w:t>
      </w:r>
      <w:r>
        <w:rPr>
          <w:rFonts w:hint="eastAsia" w:ascii="宋体"/>
          <w:b/>
          <w:sz w:val="36"/>
          <w:highlight w:val="none"/>
        </w:rPr>
        <w:t xml:space="preserve">法定代表人或授权代表（签名）：</w:t>
      </w:r>
      <w:r>
        <w:rPr>
          <w:rFonts w:hint="eastAsia" w:ascii="宋体"/>
          <w:b/>
          <w:sz w:val="36"/>
          <w:highlight w:val="none"/>
          <w:u w:val="single"/>
        </w:rPr>
        <w:t xml:space="preserve"> </w:t>
      </w:r>
      <w:r>
        <w:rPr>
          <w:rFonts w:ascii="宋体"/>
          <w:b/>
          <w:sz w:val="36"/>
          <w:highlight w:val="none"/>
          <w:u w:val="single"/>
        </w:rPr>
        <w:t xml:space="preserve">         </w:t>
      </w:r>
      <w:r>
        <w:rPr>
          <w:rFonts w:ascii="宋体"/>
          <w:b/>
          <w:sz w:val="36"/>
          <w:highlight w:val="none"/>
        </w:rPr>
      </w:r>
      <w:r/>
    </w:p>
    <w:p>
      <w:pPr>
        <w:pStyle w:val="728"/>
        <w:jc w:val="both"/>
        <w:spacing w:after="0" w:line="240" w:lineRule="auto"/>
        <w:widowControl w:val="off"/>
        <w:rPr>
          <w:rFonts w:ascii="宋体"/>
          <w:b/>
          <w:sz w:val="36"/>
          <w:highlight w:val="none"/>
        </w:rPr>
      </w:pPr>
      <w:r>
        <w:rPr>
          <w:rFonts w:hint="eastAsia" w:ascii="宋体"/>
          <w:b/>
          <w:sz w:val="36"/>
          <w:highlight w:val="none"/>
        </w:rPr>
        <w:t xml:space="preserve">      日      期 ：</w:t>
      </w:r>
      <w:r>
        <w:rPr>
          <w:rFonts w:hint="eastAsia" w:ascii="宋体"/>
          <w:b/>
          <w:sz w:val="36"/>
          <w:highlight w:val="none"/>
          <w:u w:val="single"/>
        </w:rPr>
        <w:t xml:space="preserve">              </w:t>
      </w:r>
      <w:r>
        <w:rPr>
          <w:rFonts w:ascii="宋体"/>
          <w:b/>
          <w:sz w:val="36"/>
          <w:highlight w:val="none"/>
          <w:u w:val="single"/>
        </w:rPr>
        <w:t xml:space="preserve">           </w:t>
      </w:r>
      <w:r>
        <w:rPr>
          <w:rFonts w:hint="eastAsia" w:ascii="宋体"/>
          <w:b/>
          <w:sz w:val="36"/>
          <w:highlight w:val="none"/>
          <w:u w:val="single"/>
        </w:rPr>
        <w:t xml:space="preserve"> </w:t>
      </w:r>
      <w:r>
        <w:rPr>
          <w:rFonts w:ascii="宋体"/>
          <w:b/>
          <w:sz w:val="36"/>
          <w:highlight w:val="none"/>
        </w:rPr>
      </w:r>
      <w:r/>
    </w:p>
    <w:p>
      <w:pPr>
        <w:pStyle w:val="728"/>
        <w:jc w:val="center"/>
        <w:spacing w:after="0" w:line="440" w:lineRule="exact"/>
        <w:widowControl w:val="off"/>
        <w:rPr>
          <w:rFonts w:ascii="宋体"/>
          <w:b/>
          <w:bCs/>
          <w:sz w:val="32"/>
          <w:szCs w:val="32"/>
          <w:highlight w:val="none"/>
        </w:rPr>
      </w:pPr>
      <w:r>
        <w:rPr>
          <w:rFonts w:ascii="宋体"/>
          <w:b/>
          <w:bCs/>
          <w:sz w:val="32"/>
          <w:szCs w:val="32"/>
          <w:highlight w:val="none"/>
        </w:rPr>
      </w:r>
      <w:r/>
    </w:p>
    <w:p>
      <w:pPr>
        <w:pStyle w:val="728"/>
        <w:jc w:val="center"/>
        <w:spacing w:after="0" w:line="440" w:lineRule="exact"/>
        <w:widowControl w:val="off"/>
        <w:rPr>
          <w:rFonts w:ascii="宋体"/>
          <w:b/>
          <w:bCs/>
          <w:sz w:val="32"/>
          <w:szCs w:val="32"/>
          <w:highlight w:val="none"/>
        </w:rPr>
      </w:pPr>
      <w:r>
        <w:rPr>
          <w:rFonts w:ascii="宋体"/>
          <w:b/>
          <w:bCs/>
          <w:sz w:val="32"/>
          <w:szCs w:val="32"/>
          <w:highlight w:val="none"/>
        </w:rPr>
      </w:r>
      <w:r/>
    </w:p>
    <w:p>
      <w:pPr>
        <w:pStyle w:val="728"/>
        <w:jc w:val="center"/>
        <w:spacing w:after="0" w:line="440" w:lineRule="exact"/>
        <w:widowControl w:val="off"/>
        <w:rPr>
          <w:rFonts w:ascii="宋体"/>
          <w:b/>
          <w:bCs/>
          <w:sz w:val="32"/>
          <w:szCs w:val="32"/>
          <w:highlight w:val="none"/>
        </w:rPr>
      </w:pPr>
      <w:r>
        <w:rPr>
          <w:rFonts w:ascii="宋体"/>
          <w:b/>
          <w:bCs/>
          <w:sz w:val="32"/>
          <w:szCs w:val="32"/>
          <w:highlight w:val="none"/>
        </w:rPr>
      </w:r>
      <w:r/>
    </w:p>
    <w:p>
      <w:pPr>
        <w:pStyle w:val="728"/>
        <w:jc w:val="center"/>
        <w:spacing w:after="0" w:line="440" w:lineRule="exact"/>
        <w:widowControl w:val="off"/>
        <w:rPr>
          <w:rFonts w:ascii="宋体"/>
          <w:b/>
          <w:bCs/>
          <w:sz w:val="32"/>
          <w:szCs w:val="32"/>
          <w:highlight w:val="none"/>
        </w:rPr>
      </w:pPr>
      <w:r>
        <w:rPr>
          <w:rFonts w:ascii="宋体"/>
          <w:b/>
          <w:bCs/>
          <w:sz w:val="32"/>
          <w:szCs w:val="32"/>
          <w:highlight w:val="none"/>
        </w:rPr>
      </w:r>
      <w:r/>
    </w:p>
    <w:p>
      <w:pPr>
        <w:pStyle w:val="728"/>
        <w:spacing w:after="0" w:line="440" w:lineRule="exact"/>
        <w:widowControl w:val="off"/>
        <w:rPr>
          <w:rFonts w:ascii="宋体"/>
          <w:b/>
          <w:bCs/>
          <w:sz w:val="32"/>
          <w:szCs w:val="32"/>
          <w:highlight w:val="none"/>
        </w:rPr>
      </w:pPr>
      <w:r>
        <w:rPr>
          <w:rFonts w:ascii="宋体"/>
          <w:b/>
          <w:bCs/>
          <w:sz w:val="32"/>
          <w:szCs w:val="32"/>
          <w:highlight w:val="none"/>
        </w:rPr>
      </w:r>
      <w:r/>
    </w:p>
    <w:p>
      <w:pPr>
        <w:pStyle w:val="728"/>
        <w:spacing w:after="0" w:line="440" w:lineRule="exact"/>
        <w:widowControl w:val="off"/>
        <w:rPr>
          <w:rFonts w:ascii="宋体"/>
          <w:b/>
          <w:bCs/>
          <w:sz w:val="32"/>
          <w:szCs w:val="32"/>
          <w:highlight w:val="none"/>
        </w:rPr>
      </w:pPr>
      <w:r>
        <w:rPr>
          <w:rFonts w:ascii="宋体"/>
          <w:b/>
          <w:bCs/>
          <w:sz w:val="32"/>
          <w:szCs w:val="32"/>
          <w:highlight w:val="none"/>
        </w:rPr>
      </w:r>
      <w:r/>
    </w:p>
    <w:p>
      <w:pPr>
        <w:pStyle w:val="728"/>
        <w:jc w:val="both"/>
        <w:spacing w:after="0" w:line="240" w:lineRule="auto"/>
        <w:widowControl w:val="off"/>
        <w:rPr>
          <w:rFonts w:ascii="楷体_GB2312" w:hAnsi="Arial" w:eastAsia="楷体_GB2312"/>
          <w:sz w:val="28"/>
          <w:szCs w:val="28"/>
          <w:highlight w:val="none"/>
        </w:rPr>
      </w:pPr>
      <w:r>
        <w:rPr>
          <w:rFonts w:ascii="楷体_GB2312" w:hAnsi="Arial" w:eastAsia="楷体_GB2312"/>
          <w:sz w:val="28"/>
          <w:szCs w:val="28"/>
          <w:highlight w:val="none"/>
        </w:rPr>
      </w:r>
      <w:r/>
    </w:p>
    <w:p>
      <w:pPr>
        <w:pStyle w:val="728"/>
        <w:jc w:val="center"/>
        <w:spacing w:after="0" w:line="240" w:lineRule="auto"/>
        <w:widowControl w:val="off"/>
        <w:rPr>
          <w:rFonts w:hint="eastAsia" w:ascii="黑体" w:hAnsi="黑体" w:eastAsia="黑体"/>
          <w:b/>
          <w:bCs/>
          <w:sz w:val="32"/>
          <w:szCs w:val="32"/>
          <w:highlight w:val="none"/>
        </w:rPr>
      </w:pPr>
      <w:r>
        <w:rPr>
          <w:rFonts w:hint="eastAsia" w:ascii="黑体" w:hAnsi="黑体" w:eastAsia="黑体"/>
          <w:b/>
          <w:bCs/>
          <w:sz w:val="32"/>
          <w:szCs w:val="32"/>
          <w:highlight w:val="none"/>
        </w:rPr>
        <w:t xml:space="preserve">投标文件主要目录</w:t>
      </w:r>
      <w:r>
        <w:rPr>
          <w:rFonts w:hint="eastAsia" w:ascii="黑体" w:hAnsi="黑体" w:eastAsia="黑体"/>
          <w:b/>
          <w:bCs/>
          <w:sz w:val="32"/>
          <w:szCs w:val="32"/>
          <w:highlight w:val="none"/>
        </w:rPr>
      </w:r>
      <w:r/>
    </w:p>
    <w:p>
      <w:pPr>
        <w:pStyle w:val="728"/>
        <w:jc w:val="center"/>
        <w:spacing w:after="0" w:line="560" w:lineRule="exact"/>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一、评分索引表</w:t>
      </w:r>
      <w:r>
        <w:rPr>
          <w:rFonts w:ascii="宋体" w:hAnsi="宋体"/>
          <w:sz w:val="24"/>
          <w:szCs w:val="24"/>
          <w:highlight w:val="none"/>
        </w:rPr>
        <w:t xml:space="preserve">………………………………………………………</w:t>
      </w:r>
      <w:r>
        <w:rPr>
          <w:rFonts w:hint="eastAsia" w:ascii="宋体" w:hAnsi="宋体"/>
          <w:sz w:val="24"/>
          <w:szCs w:val="24"/>
          <w:highlight w:val="none"/>
        </w:rPr>
        <w:t xml:space="preserve">页码（下同）</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二、资格性和符合性检查响应对照表</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（一）资格性检查证明材料（自行添加子目录）</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（二）符合性检查证明材料</w:t>
      </w:r>
      <w:r>
        <w:rPr>
          <w:rFonts w:ascii="宋体" w:hAnsi="宋体"/>
          <w:sz w:val="24"/>
          <w:szCs w:val="24"/>
          <w:highlight w:val="none"/>
        </w:rPr>
        <w:t xml:space="preserve">(</w:t>
      </w:r>
      <w:r>
        <w:rPr>
          <w:rFonts w:hint="eastAsia" w:ascii="宋体" w:hAnsi="宋体"/>
          <w:sz w:val="24"/>
          <w:szCs w:val="24"/>
          <w:highlight w:val="none"/>
        </w:rPr>
        <w:t xml:space="preserve">自行添加子目录)</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t xml:space="preserve">三、投标产品配置及分项报价表</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四、</w:t>
      </w:r>
      <w:r>
        <w:rPr>
          <w:rFonts w:hint="eastAsia" w:ascii="宋体" w:hAnsi="宋体"/>
          <w:sz w:val="24"/>
          <w:szCs w:val="24"/>
          <w:highlight w:val="none"/>
        </w:rPr>
        <w:t xml:space="preserve">非实质性资信证明文件目录</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五</w:t>
      </w:r>
      <w:r>
        <w:rPr>
          <w:rFonts w:hint="eastAsia" w:ascii="宋体" w:hAnsi="宋体"/>
          <w:sz w:val="24"/>
          <w:szCs w:val="24"/>
          <w:highlight w:val="none"/>
        </w:rPr>
        <w:t xml:space="preserve">、投入人员一览表</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六</w:t>
      </w:r>
      <w:r>
        <w:rPr>
          <w:rFonts w:hint="eastAsia" w:ascii="宋体" w:hAnsi="宋体"/>
          <w:sz w:val="24"/>
          <w:szCs w:val="24"/>
          <w:highlight w:val="none"/>
        </w:rPr>
        <w:t xml:space="preserve">、技术（服务）条款响应及偏离表</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七</w:t>
      </w:r>
      <w:r>
        <w:rPr>
          <w:rFonts w:hint="eastAsia" w:ascii="宋体" w:hAnsi="宋体"/>
          <w:sz w:val="24"/>
          <w:szCs w:val="24"/>
          <w:highlight w:val="none"/>
        </w:rPr>
        <w:t xml:space="preserve">、商务条款响应及偏离表</w:t>
      </w:r>
      <w:r>
        <w:rPr>
          <w:rFonts w:hint="eastAsia" w:ascii="宋体" w:hAnsi="宋体"/>
          <w:sz w:val="24"/>
          <w:szCs w:val="24"/>
          <w:highlight w:val="none"/>
        </w:rPr>
      </w:r>
      <w:r/>
    </w:p>
    <w:p>
      <w:pPr>
        <w:pStyle w:val="728"/>
        <w:ind w:firstLine="480"/>
        <w:jc w:val="both"/>
        <w:spacing w:after="0" w:line="560" w:lineRule="exact"/>
        <w:widowControl w:val="off"/>
        <w:rPr>
          <w:rFonts w:ascii="宋体" w:hAnsi="宋体"/>
          <w:b/>
          <w:sz w:val="24"/>
          <w:szCs w:val="24"/>
          <w:highlight w:val="none"/>
        </w:rPr>
      </w:pPr>
      <w:r>
        <w:rPr>
          <w:rFonts w:hint="eastAsia" w:ascii="宋体" w:hAnsi="宋体"/>
          <w:sz w:val="24"/>
          <w:szCs w:val="24"/>
          <w:highlight w:val="none"/>
          <w:lang w:val="en-US" w:eastAsia="zh-CN"/>
        </w:rPr>
        <w:t xml:space="preserve">八</w:t>
      </w:r>
      <w:r>
        <w:rPr>
          <w:rFonts w:hint="eastAsia" w:ascii="宋体" w:hAnsi="宋体"/>
          <w:sz w:val="24"/>
          <w:szCs w:val="24"/>
          <w:highlight w:val="none"/>
        </w:rPr>
        <w:t xml:space="preserve">、</w:t>
      </w:r>
      <w:r>
        <w:rPr>
          <w:rFonts w:hint="eastAsia" w:ascii="宋体" w:hAnsi="宋体"/>
          <w:bCs/>
          <w:sz w:val="24"/>
          <w:szCs w:val="24"/>
          <w:highlight w:val="none"/>
        </w:rPr>
        <w:t xml:space="preserve">业绩一览表</w:t>
      </w:r>
      <w:r>
        <w:rPr>
          <w:rFonts w:ascii="宋体" w:hAnsi="宋体"/>
          <w:b/>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bCs/>
          <w:sz w:val="24"/>
          <w:szCs w:val="24"/>
          <w:highlight w:val="none"/>
          <w:lang w:val="en-US" w:eastAsia="zh-CN"/>
        </w:rPr>
        <w:t xml:space="preserve">九</w:t>
      </w:r>
      <w:r>
        <w:rPr>
          <w:rFonts w:hint="eastAsia" w:ascii="宋体" w:hAnsi="宋体"/>
          <w:bCs/>
          <w:sz w:val="24"/>
          <w:szCs w:val="24"/>
          <w:highlight w:val="none"/>
        </w:rPr>
        <w:t xml:space="preserve">、</w:t>
      </w:r>
      <w:r>
        <w:rPr>
          <w:rFonts w:hint="eastAsia" w:ascii="宋体" w:hAnsi="宋体"/>
          <w:sz w:val="24"/>
          <w:szCs w:val="24"/>
          <w:highlight w:val="none"/>
        </w:rPr>
        <w:t xml:space="preserve">项目需求响应方案</w:t>
      </w:r>
      <w:r>
        <w:rPr>
          <w:rFonts w:hint="eastAsia" w:ascii="宋体" w:hAnsi="宋体"/>
          <w:sz w:val="24"/>
          <w:szCs w:val="24"/>
          <w:highlight w:val="none"/>
        </w:rPr>
      </w:r>
      <w:r/>
    </w:p>
    <w:p>
      <w:pPr>
        <w:pStyle w:val="728"/>
        <w:ind w:firstLine="48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十</w:t>
      </w:r>
      <w:r>
        <w:rPr>
          <w:rFonts w:hint="eastAsia" w:ascii="宋体" w:hAnsi="宋体"/>
          <w:sz w:val="24"/>
          <w:szCs w:val="24"/>
          <w:highlight w:val="none"/>
        </w:rPr>
        <w:t xml:space="preserve">、供应商认为需提供或采购文件要求的其他证明材料或实施方案</w:t>
      </w:r>
      <w:r>
        <w:rPr>
          <w:rFonts w:hint="eastAsia" w:ascii="宋体" w:hAnsi="宋体"/>
          <w:sz w:val="24"/>
          <w:szCs w:val="24"/>
          <w:highlight w:val="none"/>
        </w:rPr>
      </w:r>
      <w:r/>
    </w:p>
    <w:p>
      <w:pPr>
        <w:pStyle w:val="728"/>
        <w:ind w:firstLine="480"/>
        <w:jc w:val="both"/>
        <w:spacing w:after="0" w:line="440" w:lineRule="exact"/>
        <w:widowControl w:val="off"/>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p>
      <w:pPr>
        <w:pStyle w:val="728"/>
        <w:ind w:firstLine="480"/>
        <w:jc w:val="both"/>
        <w:spacing w:after="0" w:line="440" w:lineRule="exact"/>
        <w:widowControl w:val="off"/>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p>
      <w:pPr>
        <w:pStyle w:val="728"/>
        <w:ind w:firstLine="480"/>
        <w:jc w:val="both"/>
        <w:spacing w:after="0" w:line="440" w:lineRule="exact"/>
        <w:widowControl w:val="off"/>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p>
      <w:pPr>
        <w:pStyle w:val="728"/>
        <w:jc w:val="center"/>
        <w:spacing w:after="0" w:line="440" w:lineRule="exact"/>
        <w:widowControl w:val="off"/>
        <w:rPr>
          <w:rFonts w:hint="eastAsia" w:ascii="黑体" w:hAnsi="黑体" w:eastAsia="黑体"/>
          <w:b/>
          <w:sz w:val="32"/>
          <w:szCs w:val="32"/>
          <w:highlight w:val="none"/>
        </w:rPr>
      </w:pPr>
      <w:r>
        <w:rPr>
          <w:rFonts w:ascii="宋体" w:hAnsi="宋体"/>
          <w:b/>
          <w:color w:val="000000"/>
          <w:sz w:val="32"/>
          <w:szCs w:val="32"/>
          <w:highlight w:val="none"/>
        </w:rPr>
        <w:br w:type="page" w:clear="all"/>
      </w:r>
      <w:r>
        <w:rPr>
          <w:rFonts w:hint="eastAsia" w:ascii="黑体" w:hAnsi="黑体" w:eastAsia="黑体"/>
          <w:b/>
          <w:color w:val="000000"/>
          <w:sz w:val="32"/>
          <w:szCs w:val="32"/>
          <w:highlight w:val="none"/>
        </w:rPr>
        <w:t xml:space="preserve">一、</w:t>
      </w:r>
      <w:r>
        <w:rPr>
          <w:rFonts w:hint="eastAsia" w:ascii="黑体" w:hAnsi="黑体" w:eastAsia="黑体"/>
          <w:b/>
          <w:sz w:val="32"/>
          <w:szCs w:val="32"/>
          <w:highlight w:val="none"/>
        </w:rPr>
        <w:t xml:space="preserve">评分索引表</w:t>
      </w:r>
      <w:r>
        <w:rPr>
          <w:rFonts w:hint="eastAsia" w:ascii="黑体" w:hAnsi="黑体" w:eastAsia="黑体"/>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28"/>
              <w:contextualSpacing/>
              <w:jc w:val="center"/>
              <w:spacing w:line="265" w:lineRule="atLeast"/>
              <w:shd w:val="clear" w:color="auto" w:fill="ffffff"/>
              <w:rPr>
                <w:rFonts w:hint="eastAsia" w:ascii="宋体" w:hAnsi="宋体"/>
                <w:b/>
                <w:bCs/>
                <w:sz w:val="24"/>
                <w:szCs w:val="24"/>
                <w:highlight w:val="none"/>
                <w:lang w:bidi="en-US"/>
              </w:rPr>
            </w:pPr>
            <w:r>
              <w:rPr>
                <w:rFonts w:hint="eastAsia" w:ascii="宋体" w:hAnsi="宋体" w:cs="宋体"/>
                <w:b/>
                <w:bCs/>
                <w:sz w:val="24"/>
                <w:szCs w:val="24"/>
                <w:highlight w:val="none"/>
                <w:lang w:bidi="en-US"/>
              </w:rPr>
              <w:t xml:space="preserve">序号</w:t>
            </w:r>
            <w:r>
              <w:rPr>
                <w:rFonts w:hint="eastAsia" w:ascii="宋体" w:hAnsi="宋体"/>
                <w:b/>
                <w:bCs/>
                <w:sz w:val="24"/>
                <w:szCs w:val="24"/>
                <w:highlight w:val="none"/>
                <w:lang w:bidi="en-US"/>
              </w:rPr>
            </w:r>
            <w:r/>
          </w:p>
        </w:tc>
        <w:tc>
          <w:tcPr>
            <w:tcW w:w="4560" w:type="dxa"/>
            <w:vAlign w:val="top"/>
            <w:textDirection w:val="lrTb"/>
            <w:noWrap w:val="false"/>
          </w:tcPr>
          <w:p>
            <w:pPr>
              <w:pStyle w:val="728"/>
              <w:contextualSpacing/>
              <w:jc w:val="center"/>
              <w:spacing w:line="265" w:lineRule="atLeast"/>
              <w:shd w:val="clear" w:color="auto" w:fill="ffffff"/>
              <w:rPr>
                <w:rFonts w:hint="eastAsia" w:ascii="宋体" w:hAnsi="宋体"/>
                <w:b/>
                <w:bCs/>
                <w:sz w:val="24"/>
                <w:szCs w:val="24"/>
                <w:highlight w:val="none"/>
                <w:lang w:bidi="en-US"/>
              </w:rPr>
            </w:pPr>
            <w:r>
              <w:rPr>
                <w:rFonts w:hint="eastAsia" w:ascii="宋体" w:hAnsi="宋体"/>
                <w:b/>
                <w:sz w:val="24"/>
                <w:szCs w:val="24"/>
                <w:highlight w:val="none"/>
                <w:lang w:eastAsia="en-US" w:bidi="en-US"/>
              </w:rPr>
              <w:t xml:space="preserve">评分项目</w:t>
            </w:r>
            <w:r>
              <w:rPr>
                <w:rFonts w:hint="eastAsia" w:ascii="宋体" w:hAnsi="宋体"/>
                <w:b/>
                <w:bCs/>
                <w:sz w:val="24"/>
                <w:szCs w:val="24"/>
                <w:highlight w:val="none"/>
                <w:lang w:bidi="en-US"/>
              </w:rPr>
            </w:r>
            <w:r/>
          </w:p>
        </w:tc>
        <w:tc>
          <w:tcPr>
            <w:tcW w:w="3570" w:type="dxa"/>
            <w:vAlign w:val="top"/>
            <w:textDirection w:val="lrTb"/>
            <w:noWrap w:val="false"/>
          </w:tcPr>
          <w:p>
            <w:pPr>
              <w:pStyle w:val="728"/>
              <w:jc w:val="center"/>
              <w:rPr>
                <w:rFonts w:hint="eastAsia" w:ascii="宋体" w:hAnsi="宋体"/>
                <w:b/>
                <w:sz w:val="24"/>
                <w:highlight w:val="none"/>
              </w:rPr>
            </w:pPr>
            <w:r>
              <w:rPr>
                <w:rFonts w:hint="eastAsia" w:ascii="宋体" w:hAnsi="宋体"/>
                <w:b/>
                <w:sz w:val="24"/>
                <w:highlight w:val="none"/>
                <w:lang w:bidi="en-US"/>
              </w:rPr>
              <w:t xml:space="preserve">证明材料或方案内容在投标文件中的页码位置（可不填写）</w:t>
            </w:r>
            <w:r>
              <w:rPr>
                <w:rFonts w:hint="eastAsia" w:ascii="宋体" w:hAnsi="宋体"/>
                <w:b/>
                <w:sz w:val="24"/>
                <w:highlight w:val="none"/>
              </w:rPr>
            </w:r>
            <w:r/>
          </w:p>
        </w:tc>
      </w:tr>
      <w:tr>
        <w:trPr>
          <w:trHeight w:val="446"/>
        </w:trPr>
        <w:tc>
          <w:tcPr>
            <w:tcW w:w="1110" w:type="dxa"/>
            <w:vAlign w:val="top"/>
            <w:textDirection w:val="lrTb"/>
            <w:noWrap w:val="false"/>
          </w:tcPr>
          <w:p>
            <w:pPr>
              <w:pStyle w:val="728"/>
              <w:contextualSpacing/>
              <w:ind w:left="420"/>
              <w:jc w:val="both"/>
              <w:spacing w:line="265" w:lineRule="atLeast"/>
              <w:shd w:val="clear" w:color="auto" w:fill="ffffff"/>
              <w:rPr>
                <w:rFonts w:hint="eastAsia" w:ascii="宋体" w:hAnsi="宋体"/>
                <w:b/>
                <w:sz w:val="24"/>
                <w:szCs w:val="24"/>
                <w:highlight w:val="none"/>
                <w:lang w:bidi="en-US"/>
              </w:rPr>
            </w:pPr>
            <w:r>
              <w:rPr>
                <w:rFonts w:hint="eastAsia"/>
                <w:sz w:val="24"/>
                <w:szCs w:val="24"/>
                <w:highlight w:val="none"/>
                <w:lang w:eastAsia="en-US" w:bidi="en-US"/>
              </w:rPr>
              <w:t xml:space="preserve">1</w:t>
            </w:r>
            <w:r>
              <w:rPr>
                <w:rFonts w:hint="eastAsia" w:ascii="宋体" w:hAnsi="宋体"/>
                <w:b/>
                <w:sz w:val="24"/>
                <w:szCs w:val="24"/>
                <w:highlight w:val="none"/>
                <w:lang w:bidi="en-US"/>
              </w:rPr>
            </w:r>
            <w:r/>
          </w:p>
        </w:tc>
        <w:tc>
          <w:tcPr>
            <w:tcW w:w="4560" w:type="dxa"/>
            <w:vAlign w:val="top"/>
            <w:textDirection w:val="lrTb"/>
            <w:noWrap w:val="false"/>
          </w:tcPr>
          <w:p>
            <w:pPr>
              <w:pStyle w:val="728"/>
              <w:contextualSpacing/>
              <w:ind w:left="420"/>
              <w:jc w:val="both"/>
              <w:spacing w:line="265" w:lineRule="atLeast"/>
              <w:shd w:val="clear" w:color="auto" w:fill="ffffff"/>
              <w:rPr>
                <w:rFonts w:hint="eastAsia" w:ascii="宋体" w:hAnsi="宋体"/>
                <w:b/>
                <w:sz w:val="24"/>
                <w:szCs w:val="24"/>
                <w:highlight w:val="none"/>
                <w:lang w:bidi="en-US"/>
              </w:rPr>
            </w:pPr>
            <w:r>
              <w:rPr>
                <w:rFonts w:hint="eastAsia" w:ascii="宋体" w:hAnsi="宋体"/>
                <w:b/>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b/>
                <w:sz w:val="24"/>
                <w:szCs w:val="24"/>
                <w:highlight w:val="none"/>
                <w:lang w:bidi="en-US"/>
              </w:rPr>
            </w:pPr>
            <w:r>
              <w:rPr>
                <w:rFonts w:hint="eastAsia" w:ascii="宋体" w:hAnsi="宋体"/>
                <w:b/>
                <w:sz w:val="24"/>
                <w:szCs w:val="24"/>
                <w:highlight w:val="none"/>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sz w:val="24"/>
                <w:szCs w:val="24"/>
                <w:highlight w:val="none"/>
                <w:lang w:eastAsia="en-US" w:bidi="en-US"/>
              </w:rPr>
              <w:t xml:space="preserve">2</w:t>
            </w: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sz w:val="24"/>
                <w:szCs w:val="24"/>
                <w:highlight w:val="none"/>
                <w:lang w:eastAsia="en-US" w:bidi="en-US"/>
              </w:rPr>
              <w:t xml:space="preserve">3</w:t>
            </w: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4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ascii="宋体" w:hAnsi="宋体"/>
                <w:sz w:val="24"/>
                <w:szCs w:val="24"/>
                <w:highlight w:val="none"/>
                <w:lang w:bidi="en-US"/>
              </w:rPr>
              <w:t xml:space="preserve">…</w:t>
            </w: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4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60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16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89"/>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78"/>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69"/>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highlight w:val="none"/>
                <w:lang w:bidi="en-US"/>
              </w:rPr>
            </w:pPr>
            <w:r>
              <w:rPr>
                <w:rFonts w:hint="eastAsia" w:ascii="宋体" w:hAnsi="宋体"/>
                <w:b/>
                <w:bCs/>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highlight w:val="none"/>
                <w:lang w:bidi="en-US"/>
              </w:rPr>
            </w:pPr>
            <w:r>
              <w:rPr>
                <w:rFonts w:hint="eastAsia" w:ascii="宋体" w:hAnsi="宋体"/>
                <w:b/>
                <w:bCs/>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28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320"/>
        </w:trPr>
        <w:tc>
          <w:tcPr>
            <w:tcW w:w="111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highlight w:val="none"/>
                <w:lang w:bidi="en-US"/>
              </w:rPr>
            </w:pPr>
            <w:r>
              <w:rPr>
                <w:rFonts w:hint="eastAsia" w:ascii="宋体" w:hAnsi="宋体"/>
                <w:b/>
                <w:bCs/>
                <w:sz w:val="24"/>
                <w:szCs w:val="24"/>
                <w:highlight w:val="none"/>
                <w:lang w:bidi="en-US"/>
              </w:rPr>
            </w:r>
            <w:r/>
          </w:p>
        </w:tc>
        <w:tc>
          <w:tcPr>
            <w:tcW w:w="4560" w:type="dxa"/>
            <w:vAlign w:val="top"/>
            <w:textDirection w:val="lrTb"/>
            <w:noWrap w:val="false"/>
          </w:tcPr>
          <w:p>
            <w:pPr>
              <w:pStyle w:val="728"/>
              <w:contextualSpacing/>
              <w:ind w:left="420"/>
              <w:spacing w:line="265" w:lineRule="atLeast"/>
              <w:shd w:val="clear" w:color="auto" w:fill="ffffff"/>
              <w:rPr>
                <w:rFonts w:hint="eastAsia" w:ascii="宋体" w:hAnsi="宋体"/>
                <w:b/>
                <w:bCs/>
                <w:sz w:val="24"/>
                <w:szCs w:val="24"/>
                <w:highlight w:val="none"/>
                <w:lang w:bidi="en-US"/>
              </w:rPr>
            </w:pPr>
            <w:r>
              <w:rPr>
                <w:rFonts w:hint="eastAsia" w:ascii="宋体" w:hAnsi="宋体"/>
                <w:b/>
                <w:bCs/>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500"/>
        </w:trPr>
        <w:tc>
          <w:tcPr>
            <w:tcW w:w="111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r>
        <w:trPr>
          <w:trHeight w:val="440"/>
        </w:trPr>
        <w:tc>
          <w:tcPr>
            <w:tcW w:w="111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4560" w:type="dxa"/>
            <w:vAlign w:val="top"/>
            <w:textDirection w:val="lrTb"/>
            <w:noWrap w:val="false"/>
          </w:tcPr>
          <w:p>
            <w:pPr>
              <w:pStyle w:val="728"/>
              <w:contextualSpacing/>
              <w:ind w:firstLine="480"/>
              <w:spacing w:line="265" w:lineRule="atLeast"/>
              <w:shd w:val="clear" w:color="auto" w:fill="ffffff"/>
              <w:rPr>
                <w:rFonts w:hint="eastAsia" w:ascii="宋体" w:hAnsi="宋体"/>
                <w:sz w:val="24"/>
                <w:szCs w:val="24"/>
                <w:highlight w:val="none"/>
                <w:lang w:bidi="en-US"/>
              </w:rPr>
            </w:pPr>
            <w:r>
              <w:rPr>
                <w:rFonts w:hint="eastAsia" w:ascii="宋体" w:hAnsi="宋体"/>
                <w:sz w:val="24"/>
                <w:szCs w:val="24"/>
                <w:highlight w:val="none"/>
                <w:lang w:bidi="en-US"/>
              </w:rPr>
            </w:r>
            <w:r/>
          </w:p>
        </w:tc>
        <w:tc>
          <w:tcPr>
            <w:tcW w:w="3570" w:type="dxa"/>
            <w:vAlign w:val="top"/>
            <w:textDirection w:val="lrTb"/>
            <w:noWrap w:val="false"/>
          </w:tcPr>
          <w:p>
            <w:pPr>
              <w:pStyle w:val="728"/>
              <w:contextualSpacing/>
              <w:ind w:left="720"/>
              <w:rPr>
                <w:rFonts w:hint="eastAsia" w:ascii="宋体" w:hAnsi="宋体"/>
                <w:sz w:val="24"/>
                <w:szCs w:val="24"/>
                <w:highlight w:val="none"/>
                <w:lang w:bidi="en-US"/>
              </w:rPr>
            </w:pPr>
            <w:r>
              <w:rPr>
                <w:rFonts w:hint="eastAsia" w:ascii="宋体" w:hAnsi="宋体"/>
                <w:sz w:val="24"/>
                <w:szCs w:val="24"/>
                <w:highlight w:val="none"/>
                <w:lang w:bidi="en-US"/>
              </w:rPr>
            </w:r>
            <w:r/>
          </w:p>
        </w:tc>
      </w:tr>
    </w:tbl>
    <w:p>
      <w:pPr>
        <w:pStyle w:val="728"/>
        <w:jc w:val="both"/>
        <w:spacing w:after="0" w:line="240" w:lineRule="auto"/>
        <w:widowControl w:val="off"/>
        <w:rPr>
          <w:rFonts w:ascii="宋体"/>
          <w:sz w:val="21"/>
          <w:highlight w:val="none"/>
        </w:rPr>
      </w:pPr>
      <w:r>
        <w:rPr>
          <w:rFonts w:hint="eastAsia" w:ascii="宋体" w:hAnsi="宋体"/>
          <w:b/>
          <w:color w:val="000000"/>
          <w:sz w:val="28"/>
          <w:szCs w:val="28"/>
          <w:highlight w:val="none"/>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highlight w:val="none"/>
          <w:lang w:bidi="en-US"/>
        </w:rPr>
        <w:t xml:space="preserve">（如无页码可不填写页码）</w:t>
      </w:r>
      <w:r>
        <w:rPr>
          <w:rFonts w:hint="eastAsia" w:ascii="宋体" w:hAnsi="宋体"/>
          <w:b/>
          <w:color w:val="000000"/>
          <w:sz w:val="28"/>
          <w:szCs w:val="28"/>
          <w:highlight w:val="none"/>
        </w:rPr>
        <w:t xml:space="preserve">。</w:t>
      </w:r>
      <w:r>
        <w:rPr>
          <w:rFonts w:ascii="宋体"/>
          <w:sz w:val="21"/>
          <w:highlight w:val="none"/>
        </w:rPr>
      </w:r>
      <w:r/>
    </w:p>
    <w:p>
      <w:pPr>
        <w:pStyle w:val="728"/>
        <w:spacing w:after="0" w:line="240" w:lineRule="auto"/>
        <w:widowControl w:val="off"/>
        <w:rPr>
          <w:rFonts w:ascii="宋体"/>
          <w:sz w:val="21"/>
          <w:highlight w:val="none"/>
        </w:rPr>
      </w:pPr>
      <w:r>
        <w:rPr>
          <w:rFonts w:ascii="宋体"/>
          <w:sz w:val="21"/>
          <w:highlight w:val="none"/>
        </w:rPr>
      </w:r>
      <w:r/>
    </w:p>
    <w:p>
      <w:pPr>
        <w:pStyle w:val="728"/>
        <w:jc w:val="center"/>
        <w:spacing w:after="0" w:line="240" w:lineRule="auto"/>
        <w:widowControl w:val="off"/>
        <w:rPr>
          <w:rFonts w:ascii="黑体" w:hAnsi="黑体" w:eastAsia="黑体"/>
          <w:color w:val="000000"/>
          <w:sz w:val="30"/>
          <w:szCs w:val="30"/>
          <w:highlight w:val="none"/>
        </w:rPr>
      </w:pPr>
      <w:r>
        <w:rPr>
          <w:rFonts w:ascii="黑体" w:hAnsi="黑体" w:eastAsia="黑体"/>
          <w:color w:val="000000"/>
          <w:sz w:val="30"/>
          <w:szCs w:val="30"/>
          <w:highlight w:val="none"/>
        </w:rPr>
        <w:br w:type="page" w:clear="all"/>
      </w:r>
      <w:r>
        <w:rPr>
          <w:rFonts w:hint="eastAsia" w:ascii="黑体" w:hAnsi="黑体" w:eastAsia="黑体"/>
          <w:color w:val="000000"/>
          <w:sz w:val="30"/>
          <w:szCs w:val="30"/>
          <w:highlight w:val="none"/>
        </w:rPr>
        <w:t xml:space="preserve">二、资格性和符合性检查响应对照表</w:t>
      </w:r>
      <w:r>
        <w:rPr>
          <w:rFonts w:ascii="黑体" w:hAnsi="黑体" w:eastAsia="黑体"/>
          <w:color w:val="000000"/>
          <w:sz w:val="30"/>
          <w:szCs w:val="30"/>
          <w:highlight w:val="none"/>
        </w:rPr>
      </w:r>
      <w:r/>
    </w:p>
    <w:p>
      <w:pPr>
        <w:pStyle w:val="728"/>
        <w:jc w:val="center"/>
        <w:spacing w:after="0"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r>
      <w:r/>
    </w:p>
    <w:tbl>
      <w:tblPr>
        <w:tblW w:w="9989"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28"/>
              <w:jc w:val="center"/>
              <w:spacing w:after="0" w:line="24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6663" w:type="dxa"/>
            <w:vAlign w:val="center"/>
            <w:textDirection w:val="lrTb"/>
            <w:noWrap w:val="false"/>
          </w:tcPr>
          <w:p>
            <w:pPr>
              <w:pStyle w:val="728"/>
              <w:jc w:val="center"/>
              <w:spacing w:after="0" w:line="24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资格和符合性检查响应内容</w:t>
            </w:r>
            <w:r>
              <w:rPr>
                <w:rFonts w:hint="eastAsia" w:ascii="宋体" w:hAnsi="宋体"/>
                <w:color w:val="000000"/>
                <w:sz w:val="24"/>
                <w:szCs w:val="24"/>
                <w:highlight w:val="none"/>
              </w:rPr>
            </w:r>
            <w:r/>
          </w:p>
        </w:tc>
        <w:tc>
          <w:tcPr>
            <w:tcW w:w="1275" w:type="dxa"/>
            <w:vAlign w:val="center"/>
            <w:textDirection w:val="lrTb"/>
            <w:noWrap w:val="false"/>
          </w:tcPr>
          <w:p>
            <w:pPr>
              <w:pStyle w:val="728"/>
              <w:jc w:val="center"/>
              <w:spacing w:after="0" w:line="240" w:lineRule="atLeas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是否响应</w:t>
            </w:r>
            <w:r>
              <w:rPr>
                <w:rFonts w:hint="eastAsia" w:ascii="宋体" w:hAnsi="宋体"/>
                <w:color w:val="000000"/>
                <w:sz w:val="21"/>
                <w:szCs w:val="21"/>
                <w:highlight w:val="none"/>
              </w:rPr>
            </w:r>
            <w:r/>
          </w:p>
          <w:p>
            <w:pPr>
              <w:pStyle w:val="728"/>
              <w:jc w:val="center"/>
              <w:spacing w:after="0" w:line="240" w:lineRule="atLeast"/>
              <w:widowControl w:val="off"/>
              <w:rPr>
                <w:rFonts w:hint="eastAsia" w:ascii="宋体" w:hAnsi="宋体"/>
                <w:color w:val="000000"/>
                <w:sz w:val="24"/>
                <w:szCs w:val="24"/>
                <w:highlight w:val="none"/>
              </w:rPr>
            </w:pPr>
            <w:r>
              <w:rPr>
                <w:rFonts w:hint="eastAsia" w:ascii="宋体" w:hAnsi="宋体"/>
                <w:color w:val="000000"/>
                <w:sz w:val="21"/>
                <w:szCs w:val="21"/>
                <w:highlight w:val="none"/>
              </w:rPr>
              <w:t xml:space="preserve">（填“是”或者“否”）</w:t>
            </w:r>
            <w:r>
              <w:rPr>
                <w:rFonts w:hint="eastAsia" w:ascii="宋体" w:hAnsi="宋体"/>
                <w:color w:val="000000"/>
                <w:sz w:val="24"/>
                <w:szCs w:val="24"/>
                <w:highlight w:val="none"/>
              </w:rPr>
            </w:r>
            <w:r/>
          </w:p>
        </w:tc>
        <w:tc>
          <w:tcPr>
            <w:tcW w:w="1058" w:type="dxa"/>
            <w:vAlign w:val="center"/>
            <w:textDirection w:val="lrTb"/>
            <w:noWrap w:val="false"/>
          </w:tcPr>
          <w:p>
            <w:pPr>
              <w:pStyle w:val="728"/>
              <w:jc w:val="center"/>
              <w:spacing w:after="0" w:line="24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投标文件中支撑材料的页码位置（可不填写）</w:t>
            </w:r>
            <w:r>
              <w:rPr>
                <w:rFonts w:hint="eastAsia" w:ascii="宋体" w:hAnsi="宋体"/>
                <w:color w:val="000000"/>
                <w:sz w:val="24"/>
                <w:szCs w:val="24"/>
                <w:highlight w:val="none"/>
              </w:rPr>
            </w:r>
            <w:r/>
          </w:p>
        </w:tc>
      </w:tr>
      <w:tr>
        <w:trPr>
          <w:trHeight w:val="820"/>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s="Arial"/>
                <w:sz w:val="28"/>
                <w:szCs w:val="36"/>
                <w:highlight w:val="none"/>
              </w:rPr>
              <w:t xml:space="preserve">（一）资格性检查主要内容（根据政府采购法律法规及采购文件要求需满足的资格条件）</w:t>
            </w:r>
            <w:r>
              <w:rPr>
                <w:rFonts w:hint="eastAsia" w:ascii="宋体" w:hAnsi="宋体"/>
                <w:color w:val="000000"/>
                <w:sz w:val="24"/>
                <w:szCs w:val="24"/>
                <w:highlight w:val="none"/>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highlight w:val="none"/>
              </w:rPr>
            </w:pPr>
            <w:r/>
            <w:bookmarkStart w:id="173" w:name="_Hlk69968653"/>
            <w:r>
              <w:rPr>
                <w:rFonts w:hint="eastAsia" w:ascii="宋体" w:hAnsi="宋体"/>
                <w:iCs/>
                <w:color w:val="000000"/>
                <w:sz w:val="24"/>
                <w:szCs w:val="24"/>
                <w:highlight w:val="none"/>
              </w:rPr>
              <w:t xml:space="preserve">1</w:t>
            </w:r>
            <w:r>
              <w:rPr>
                <w:rFonts w:hint="eastAsia" w:ascii="宋体" w:hAnsi="宋体"/>
                <w:iCs/>
                <w:color w:val="000000"/>
                <w:sz w:val="24"/>
                <w:szCs w:val="24"/>
                <w:highlight w:val="none"/>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rPr>
                <w:rFonts w:hint="eastAsia" w:ascii="宋体" w:hAnsi="宋体"/>
                <w:color w:val="000000"/>
                <w:sz w:val="24"/>
                <w:szCs w:val="24"/>
                <w:highlight w:val="none"/>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highlight w:val="none"/>
              </w:rPr>
            </w:pPr>
            <w:r>
              <w:rPr>
                <w:rFonts w:hint="eastAsia" w:ascii="宋体" w:hAnsi="宋体"/>
                <w:iCs/>
                <w:color w:val="000000"/>
                <w:sz w:val="24"/>
                <w:szCs w:val="24"/>
                <w:highlight w:val="none"/>
              </w:rPr>
              <w:t xml:space="preserve">2</w:t>
            </w:r>
            <w:r>
              <w:rPr>
                <w:rFonts w:hint="eastAsia" w:ascii="宋体" w:hAnsi="宋体"/>
                <w:iCs/>
                <w:color w:val="000000"/>
                <w:sz w:val="24"/>
                <w:szCs w:val="24"/>
                <w:highlight w:val="none"/>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02</w:t>
            </w:r>
            <w:r>
              <w:rPr>
                <w:rFonts w:hint="eastAsia" w:ascii="宋体" w:hAnsi="宋体"/>
                <w:color w:val="000000"/>
                <w:sz w:val="24"/>
                <w:szCs w:val="24"/>
                <w:highlight w:val="none"/>
              </w:rPr>
              <w:t xml:space="preserve">4年度或2025年度的年度财务状况报告（复印件并加盖公章，成立不满一年</w:t>
            </w:r>
            <w:bookmarkStart w:id="174" w:name="_Hlk108382233"/>
            <w:r>
              <w:rPr>
                <w:rFonts w:hint="eastAsia" w:ascii="宋体" w:hAnsi="宋体"/>
                <w:iCs/>
                <w:color w:val="000000"/>
                <w:sz w:val="24"/>
                <w:szCs w:val="24"/>
                <w:highlight w:val="none"/>
              </w:rPr>
              <w:t xml:space="preserve">仅需提供提交投标文件截止之日前的一个月的会计报表</w:t>
            </w:r>
            <w:bookmarkEnd w:id="174"/>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highlight w:val="none"/>
              </w:rPr>
            </w:pPr>
            <w:r>
              <w:rPr>
                <w:rFonts w:hint="eastAsia" w:ascii="宋体" w:hAnsi="宋体"/>
                <w:iCs/>
                <w:color w:val="000000"/>
                <w:sz w:val="24"/>
                <w:szCs w:val="24"/>
                <w:highlight w:val="none"/>
              </w:rPr>
              <w:t xml:space="preserve">3</w:t>
            </w:r>
            <w:r>
              <w:rPr>
                <w:rFonts w:hint="eastAsia" w:ascii="宋体" w:hAnsi="宋体"/>
                <w:iCs/>
                <w:color w:val="000000"/>
                <w:sz w:val="24"/>
                <w:szCs w:val="24"/>
                <w:highlight w:val="none"/>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依法缴纳</w:t>
            </w:r>
            <w:r>
              <w:rPr>
                <w:rFonts w:hint="eastAsia" w:ascii="宋体" w:hAnsi="宋体"/>
                <w:b/>
                <w:bCs/>
                <w:color w:val="000000"/>
                <w:sz w:val="24"/>
                <w:szCs w:val="24"/>
                <w:highlight w:val="none"/>
              </w:rPr>
              <w:t xml:space="preserve">税收</w:t>
            </w:r>
            <w:r>
              <w:rPr>
                <w:rFonts w:hint="eastAsia" w:ascii="宋体" w:hAnsi="宋体"/>
                <w:color w:val="000000"/>
                <w:sz w:val="24"/>
                <w:szCs w:val="24"/>
                <w:highlight w:val="none"/>
              </w:rPr>
              <w:t xml:space="preserve">的相关材料（距提交投标文件截止之日前的一年内任意一个月的相关证明材料复印件并加盖CA电子公章）</w:t>
            </w:r>
            <w:r>
              <w:rPr>
                <w:rFonts w:hint="eastAsia" w:ascii="宋体" w:hAnsi="宋体"/>
                <w:color w:val="000000"/>
                <w:sz w:val="24"/>
                <w:szCs w:val="24"/>
                <w:highlight w:val="none"/>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585"/>
        </w:trPr>
        <w:tc>
          <w:tcPr>
            <w:tcW w:w="993" w:type="dxa"/>
            <w:vAlign w:val="center"/>
            <w:textDirection w:val="lrTb"/>
            <w:noWrap w:val="false"/>
          </w:tcPr>
          <w:p>
            <w:pPr>
              <w:pStyle w:val="728"/>
              <w:jc w:val="both"/>
              <w:spacing w:after="0" w:line="240" w:lineRule="auto"/>
              <w:widowControl w:val="off"/>
              <w:rPr>
                <w:rFonts w:hint="eastAsia" w:ascii="宋体" w:hAnsi="宋体" w:cs="Arial"/>
                <w:sz w:val="28"/>
                <w:szCs w:val="36"/>
                <w:highlight w:val="none"/>
              </w:rPr>
            </w:pPr>
            <w:r>
              <w:rPr>
                <w:rFonts w:ascii="宋体" w:hAnsi="宋体"/>
                <w:iCs/>
                <w:color w:val="000000"/>
                <w:sz w:val="24"/>
                <w:szCs w:val="24"/>
                <w:highlight w:val="none"/>
              </w:rPr>
              <w:t xml:space="preserve">4</w:t>
            </w:r>
            <w:r>
              <w:rPr>
                <w:rFonts w:hint="eastAsia" w:ascii="宋体" w:hAnsi="宋体" w:cs="Arial"/>
                <w:sz w:val="28"/>
                <w:szCs w:val="36"/>
                <w:highlight w:val="none"/>
              </w:rPr>
            </w:r>
            <w:r/>
          </w:p>
        </w:tc>
        <w:tc>
          <w:tcPr>
            <w:tcW w:w="6663" w:type="dxa"/>
            <w:vAlign w:val="center"/>
            <w:textDirection w:val="lrTb"/>
            <w:noWrap w:val="false"/>
          </w:tcPr>
          <w:p>
            <w:pPr>
              <w:pStyle w:val="728"/>
              <w:jc w:val="both"/>
              <w:spacing w:after="0"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依法缴纳</w:t>
            </w:r>
            <w:r>
              <w:rPr>
                <w:rFonts w:hint="eastAsia" w:ascii="宋体" w:hAnsi="宋体"/>
                <w:b/>
                <w:bCs/>
                <w:color w:val="000000"/>
                <w:sz w:val="24"/>
                <w:szCs w:val="24"/>
                <w:highlight w:val="none"/>
              </w:rPr>
              <w:t xml:space="preserve">社会保障资金</w:t>
            </w:r>
            <w:r>
              <w:rPr>
                <w:rFonts w:hint="eastAsia" w:ascii="宋体" w:hAnsi="宋体"/>
                <w:color w:val="000000"/>
                <w:sz w:val="24"/>
                <w:szCs w:val="24"/>
                <w:highlight w:val="none"/>
              </w:rPr>
              <w:t xml:space="preserve">的相关材料（距提交投标文件截止之日前的一年内任意一个月的相关证明材料复印件并加盖CA电子公章）</w:t>
            </w:r>
            <w:r>
              <w:rPr>
                <w:rFonts w:hint="eastAsia" w:ascii="宋体" w:hAnsi="宋体"/>
                <w:color w:val="000000"/>
                <w:sz w:val="24"/>
                <w:szCs w:val="24"/>
                <w:highlight w:val="none"/>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909"/>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highlight w:val="none"/>
              </w:rPr>
            </w:pPr>
            <w:r>
              <w:rPr>
                <w:rFonts w:ascii="宋体" w:hAnsi="宋体"/>
                <w:iCs/>
                <w:color w:val="000000"/>
                <w:sz w:val="24"/>
                <w:szCs w:val="24"/>
                <w:highlight w:val="none"/>
              </w:rPr>
              <w:t xml:space="preserve">5</w:t>
            </w:r>
            <w:r>
              <w:rPr>
                <w:rFonts w:hint="eastAsia" w:ascii="宋体" w:hAnsi="宋体"/>
                <w:iCs/>
                <w:color w:val="000000"/>
                <w:sz w:val="24"/>
                <w:szCs w:val="24"/>
                <w:highlight w:val="none"/>
              </w:rPr>
            </w:r>
            <w:r/>
          </w:p>
        </w:tc>
        <w:tc>
          <w:tcPr>
            <w:tcW w:w="6663" w:type="dxa"/>
            <w:vAlign w:val="center"/>
            <w:textDirection w:val="lrTb"/>
            <w:noWrap w:val="false"/>
          </w:tcPr>
          <w:p>
            <w:pPr>
              <w:pStyle w:val="728"/>
              <w:jc w:val="both"/>
              <w:spacing w:after="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具备履行合同所必需的设备和专业技术能力的书面声明（原件并加盖CA电子公章）</w:t>
            </w:r>
            <w:r>
              <w:rPr>
                <w:rFonts w:hint="eastAsia" w:ascii="宋体" w:hAnsi="宋体"/>
                <w:color w:val="000000"/>
                <w:sz w:val="24"/>
                <w:szCs w:val="24"/>
                <w:highlight w:val="none"/>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557"/>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highlight w:val="none"/>
              </w:rPr>
            </w:pPr>
            <w:r>
              <w:rPr>
                <w:rFonts w:ascii="宋体" w:hAnsi="宋体"/>
                <w:iCs/>
                <w:color w:val="000000"/>
                <w:sz w:val="24"/>
                <w:szCs w:val="24"/>
                <w:highlight w:val="none"/>
              </w:rPr>
              <w:t xml:space="preserve">6</w:t>
            </w:r>
            <w:r>
              <w:rPr>
                <w:rFonts w:hint="eastAsia" w:ascii="宋体" w:hAnsi="宋体"/>
                <w:iCs/>
                <w:color w:val="000000"/>
                <w:sz w:val="24"/>
                <w:szCs w:val="24"/>
                <w:highlight w:val="none"/>
              </w:rPr>
            </w:r>
            <w:r/>
          </w:p>
        </w:tc>
        <w:tc>
          <w:tcPr>
            <w:tcW w:w="6663" w:type="dxa"/>
            <w:vAlign w:val="center"/>
            <w:textDirection w:val="lrTb"/>
            <w:noWrap w:val="false"/>
          </w:tcPr>
          <w:p>
            <w:pPr>
              <w:pStyle w:val="728"/>
              <w:jc w:val="both"/>
              <w:spacing w:after="0" w:line="59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参加政府采购活动前3年内（距提交投标文件截止之日前）在经营活动中没有重大违法记录的书面声明（原件并加盖CA电子公章）</w:t>
            </w:r>
            <w:r>
              <w:rPr>
                <w:rFonts w:hint="eastAsia" w:ascii="宋体" w:hAnsi="宋体"/>
                <w:color w:val="000000"/>
                <w:sz w:val="24"/>
                <w:szCs w:val="24"/>
                <w:highlight w:val="none"/>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616"/>
        </w:trPr>
        <w:tc>
          <w:tcPr>
            <w:tcW w:w="993" w:type="dxa"/>
            <w:vAlign w:val="center"/>
            <w:textDirection w:val="lrTb"/>
            <w:noWrap w:val="false"/>
          </w:tcPr>
          <w:p>
            <w:pPr>
              <w:pStyle w:val="728"/>
              <w:jc w:val="both"/>
              <w:spacing w:after="0" w:line="240" w:lineRule="auto"/>
              <w:widowControl w:val="off"/>
              <w:rPr>
                <w:rFonts w:hint="eastAsia" w:ascii="宋体" w:hAnsi="宋体"/>
                <w:iCs/>
                <w:color w:val="000000"/>
                <w:sz w:val="24"/>
                <w:szCs w:val="24"/>
                <w:highlight w:val="none"/>
              </w:rPr>
            </w:pPr>
            <w:r>
              <w:rPr>
                <w:rFonts w:hint="eastAsia" w:ascii="宋体" w:hAnsi="宋体"/>
                <w:iCs/>
                <w:color w:val="000000"/>
                <w:sz w:val="24"/>
                <w:szCs w:val="24"/>
                <w:highlight w:val="none"/>
              </w:rPr>
              <w:t xml:space="preserve">7</w:t>
            </w:r>
            <w:r>
              <w:rPr>
                <w:rFonts w:hint="eastAsia" w:ascii="宋体" w:hAnsi="宋体"/>
                <w:iCs/>
                <w:color w:val="000000"/>
                <w:sz w:val="24"/>
                <w:szCs w:val="24"/>
                <w:highlight w:val="none"/>
              </w:rPr>
            </w:r>
            <w:r/>
          </w:p>
        </w:tc>
        <w:tc>
          <w:tcPr>
            <w:tcW w:w="6663" w:type="dxa"/>
            <w:vAlign w:val="center"/>
            <w:textDirection w:val="lrTb"/>
            <w:noWrap w:val="false"/>
          </w:tcPr>
          <w:p>
            <w:pPr>
              <w:pStyle w:val="728"/>
              <w:jc w:val="both"/>
              <w:spacing w:after="0" w:line="59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未被列入失信被执行人、重大税收违法案件当事人名单、政府采购严重违法失信行为记录名单的证明材料（</w:t>
            </w:r>
            <w:r>
              <w:rPr>
                <w:rFonts w:hint="eastAsia" w:ascii="宋体" w:hAnsi="宋体"/>
                <w:bCs/>
                <w:color w:val="000000"/>
                <w:sz w:val="24"/>
                <w:szCs w:val="24"/>
                <w:highlight w:val="none"/>
              </w:rPr>
              <w:t xml:space="preserve">可以不提供，由代理机构现场查询截图留存为准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1021"/>
        </w:trPr>
        <w:tc>
          <w:tcPr>
            <w:tcW w:w="993" w:type="dxa"/>
            <w:vAlign w:val="center"/>
            <w:textDirection w:val="lrTb"/>
            <w:noWrap w:val="false"/>
          </w:tcPr>
          <w:p>
            <w:pPr>
              <w:pStyle w:val="728"/>
              <w:spacing w:after="0" w:line="240" w:lineRule="auto"/>
              <w:widowControl w:val="off"/>
              <w:rPr>
                <w:rFonts w:hint="eastAsia" w:ascii="宋体" w:hAnsi="宋体" w:cs="Arial"/>
                <w:sz w:val="24"/>
                <w:szCs w:val="32"/>
                <w:highlight w:val="none"/>
              </w:rPr>
            </w:pPr>
            <w:r>
              <w:rPr>
                <w:rFonts w:hint="eastAsia" w:ascii="宋体" w:hAnsi="宋体" w:cs="Arial"/>
                <w:sz w:val="24"/>
                <w:szCs w:val="32"/>
                <w:highlight w:val="none"/>
              </w:rPr>
              <w:t xml:space="preserve">8</w:t>
            </w:r>
            <w:r>
              <w:rPr>
                <w:rFonts w:hint="eastAsia" w:ascii="宋体" w:hAnsi="宋体" w:cs="Arial"/>
                <w:sz w:val="24"/>
                <w:szCs w:val="32"/>
                <w:highlight w:val="none"/>
              </w:rPr>
            </w:r>
            <w:r/>
          </w:p>
        </w:tc>
        <w:tc>
          <w:tcPr>
            <w:tcW w:w="6663" w:type="dxa"/>
            <w:vAlign w:val="center"/>
            <w:textDirection w:val="lrTb"/>
            <w:noWrap w:val="false"/>
          </w:tcPr>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正值 CMA 换证期间的，应提供：</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①旧证复印件和技术机构向发证机关递交的换证申请相关页（应具有覆盖所投产品检验项目的检验能力并 对相应项目及标准做好明显标记）；</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②加盖法人单位和技术机构（如与法人单位不同）公章 的承诺书，承诺新证书和检测能力能在旧证有效期 届满前下达并持续有效，保证资质能达到本次工作要求。</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所投产品检验项目的检验能力正值新版标准资质申请期间的，应提供：</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①旧版标准资质认定附表相关页复印件；</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②加盖法人单位和技术机构（如与法人单位不同）公章 的承诺书，承诺新版标准检测能力的资质认定能在 检验任务实施前下达，保证资质能达到本次工作要求。</w:t>
            </w:r>
            <w:r>
              <w:rPr>
                <w:rFonts w:hint="eastAsia" w:ascii="宋体" w:hAnsi="宋体"/>
                <w:color w:val="000000"/>
                <w:sz w:val="24"/>
                <w:szCs w:val="24"/>
                <w:highlight w:val="none"/>
              </w:rPr>
            </w:r>
            <w:r/>
          </w:p>
          <w:p>
            <w:pPr>
              <w:pStyle w:val="728"/>
              <w:spacing w:line="560" w:lineRule="exact"/>
              <w:rPr>
                <w:rFonts w:hint="eastAsia" w:ascii="Calibri" w:hAnsi="Calibri"/>
                <w:highlight w:val="none"/>
              </w:rPr>
            </w:pPr>
            <w:r>
              <w:rPr>
                <w:rFonts w:hint="eastAsia" w:ascii="宋体" w:hAnsi="宋体"/>
                <w:color w:val="000000"/>
                <w:sz w:val="24"/>
                <w:szCs w:val="24"/>
                <w:highlight w:val="none"/>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b/>
                <w:bCs/>
                <w:color w:val="000000"/>
                <w:sz w:val="24"/>
                <w:szCs w:val="24"/>
                <w:highlight w:val="none"/>
              </w:rPr>
              <w:t xml:space="preserve">对相应项目、依据标准及检测方法做好明显标记</w:t>
            </w:r>
            <w:r>
              <w:rPr>
                <w:rFonts w:hint="eastAsia" w:ascii="宋体" w:hAnsi="宋体"/>
                <w:color w:val="000000"/>
                <w:sz w:val="24"/>
                <w:szCs w:val="24"/>
                <w:highlight w:val="none"/>
              </w:rPr>
              <w:t xml:space="preserve">。全部附表所对应的证书应为同一机构同一证书编号。备注：对不含检验检测方法的各类 产品标准、限值标准可作为判定依据，不作为本项 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hint="eastAsia" w:ascii="Calibri" w:hAnsi="Calibri"/>
                <w:highlight w:val="none"/>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302"/>
        </w:trPr>
        <w:tc>
          <w:tcPr>
            <w:tcW w:w="993" w:type="dxa"/>
            <w:vAlign w:val="center"/>
            <w:textDirection w:val="lrTb"/>
            <w:noWrap w:val="false"/>
          </w:tcPr>
          <w:p>
            <w:pPr>
              <w:pStyle w:val="728"/>
              <w:jc w:val="both"/>
              <w:spacing w:after="0" w:line="240" w:lineRule="auto"/>
              <w:widowControl w:val="off"/>
              <w:rPr>
                <w:rFonts w:hint="eastAsia" w:ascii="宋体" w:hAnsi="宋体" w:cs="Arial"/>
                <w:sz w:val="28"/>
                <w:szCs w:val="36"/>
                <w:highlight w:val="none"/>
              </w:rPr>
            </w:pPr>
            <w:r>
              <w:rPr>
                <w:rFonts w:hint="eastAsia" w:ascii="宋体" w:hAnsi="宋体" w:cs="Arial"/>
                <w:sz w:val="28"/>
                <w:szCs w:val="36"/>
                <w:highlight w:val="none"/>
              </w:rPr>
              <w:t xml:space="preserve">9</w:t>
            </w:r>
            <w:r>
              <w:rPr>
                <w:rFonts w:hint="eastAsia" w:ascii="宋体" w:hAnsi="宋体" w:cs="Arial"/>
                <w:sz w:val="28"/>
                <w:szCs w:val="36"/>
                <w:highlight w:val="none"/>
              </w:rPr>
            </w:r>
            <w:r/>
          </w:p>
        </w:tc>
        <w:tc>
          <w:tcPr>
            <w:tcW w:w="6663"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其他资格要求承诺函（原件并加盖CA电子公章）</w:t>
            </w:r>
            <w:r>
              <w:rPr>
                <w:rFonts w:hint="eastAsia" w:ascii="宋体" w:hAnsi="宋体"/>
                <w:color w:val="000000"/>
                <w:sz w:val="24"/>
                <w:szCs w:val="24"/>
                <w:highlight w:val="none"/>
              </w:rPr>
            </w:r>
            <w:r/>
          </w:p>
        </w:tc>
        <w:tc>
          <w:tcPr>
            <w:tcW w:w="1275"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58"/>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bookmarkEnd w:id="173"/>
            <w:r/>
            <w:bookmarkStart w:id="175" w:name="_Hlk69969747"/>
            <w:r>
              <w:rPr>
                <w:rFonts w:hint="eastAsia" w:ascii="宋体" w:hAnsi="宋体"/>
                <w:color w:val="000000"/>
                <w:sz w:val="24"/>
                <w:szCs w:val="24"/>
                <w:highlight w:val="none"/>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color w:val="ff0000"/>
                <w:sz w:val="24"/>
                <w:szCs w:val="24"/>
                <w:highlight w:val="none"/>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r>
        <w:trPr>
          <w:trHeight w:val="758"/>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highlight w:val="none"/>
              </w:rPr>
            </w:pPr>
            <w:r>
              <w:rPr>
                <w:rFonts w:ascii="宋体" w:hAnsi="宋体"/>
                <w:iCs/>
                <w:color w:val="000000"/>
                <w:sz w:val="24"/>
                <w:szCs w:val="24"/>
                <w:highlight w:val="none"/>
              </w:rPr>
              <w:t xml:space="preserve">1</w:t>
            </w:r>
            <w:r>
              <w:rPr>
                <w:rFonts w:hint="eastAsia" w:ascii="宋体" w:hAnsi="宋体" w:cs="Arial"/>
                <w:sz w:val="28"/>
                <w:szCs w:val="36"/>
                <w:highlight w:val="none"/>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法人授权书（原件并加盖CA电子公章）</w:t>
            </w:r>
            <w:r>
              <w:rPr>
                <w:rFonts w:hint="eastAsia" w:ascii="宋体" w:hAnsi="宋体"/>
                <w:color w:val="000000"/>
                <w:sz w:val="24"/>
                <w:szCs w:val="24"/>
                <w:highlight w:val="none"/>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74"/>
        </w:trPr>
        <w:tc>
          <w:tcPr>
            <w:tcW w:w="993" w:type="dxa"/>
            <w:vAlign w:val="top"/>
            <w:textDirection w:val="lrTb"/>
            <w:noWrap w:val="false"/>
          </w:tcPr>
          <w:p>
            <w:pPr>
              <w:pStyle w:val="728"/>
              <w:jc w:val="both"/>
              <w:spacing w:after="0" w:line="240" w:lineRule="auto"/>
              <w:widowControl w:val="off"/>
              <w:rPr>
                <w:rFonts w:hint="eastAsia" w:ascii="宋体" w:hAnsi="宋体" w:cs="Arial"/>
                <w:sz w:val="28"/>
                <w:szCs w:val="36"/>
                <w:highlight w:val="none"/>
              </w:rPr>
            </w:pPr>
            <w:r>
              <w:rPr>
                <w:rFonts w:ascii="宋体" w:hAnsi="宋体"/>
                <w:iCs/>
                <w:color w:val="000000"/>
                <w:sz w:val="24"/>
                <w:szCs w:val="24"/>
                <w:highlight w:val="none"/>
              </w:rPr>
              <w:t xml:space="preserve">2</w:t>
            </w:r>
            <w:r>
              <w:rPr>
                <w:rFonts w:hint="eastAsia" w:ascii="宋体" w:hAnsi="宋体" w:cs="Arial"/>
                <w:sz w:val="28"/>
                <w:szCs w:val="36"/>
                <w:highlight w:val="none"/>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投标函（原件并加盖CA电子公章）</w:t>
            </w:r>
            <w:r>
              <w:rPr>
                <w:rFonts w:hint="eastAsia" w:ascii="宋体" w:hAnsi="宋体"/>
                <w:color w:val="000000"/>
                <w:sz w:val="24"/>
                <w:szCs w:val="24"/>
                <w:highlight w:val="none"/>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682"/>
        </w:trPr>
        <w:tc>
          <w:tcPr>
            <w:tcW w:w="993" w:type="dxa"/>
            <w:vAlign w:val="center"/>
            <w:textDirection w:val="lrTb"/>
            <w:noWrap w:val="false"/>
          </w:tcPr>
          <w:p>
            <w:pPr>
              <w:pStyle w:val="728"/>
              <w:jc w:val="both"/>
              <w:spacing w:after="0" w:line="240" w:lineRule="auto"/>
              <w:widowControl w:val="off"/>
              <w:rPr>
                <w:rFonts w:hint="eastAsia" w:ascii="宋体" w:hAnsi="宋体" w:cs="Arial"/>
                <w:sz w:val="24"/>
                <w:szCs w:val="24"/>
                <w:highlight w:val="none"/>
              </w:rPr>
            </w:pPr>
            <w:r>
              <w:rPr>
                <w:rFonts w:hint="eastAsia" w:ascii="宋体" w:hAnsi="宋体" w:cs="Arial"/>
                <w:sz w:val="24"/>
                <w:szCs w:val="24"/>
                <w:highlight w:val="none"/>
              </w:rPr>
              <w:t xml:space="preserve">3</w:t>
            </w:r>
            <w:r>
              <w:rPr>
                <w:rFonts w:hint="eastAsia" w:ascii="宋体" w:hAnsi="宋体" w:cs="Arial"/>
                <w:sz w:val="24"/>
                <w:szCs w:val="24"/>
                <w:highlight w:val="none"/>
              </w:rPr>
            </w:r>
            <w:r/>
          </w:p>
        </w:tc>
        <w:tc>
          <w:tcPr>
            <w:tcW w:w="6663" w:type="dxa"/>
            <w:vAlign w:val="center"/>
            <w:textDirection w:val="lrTb"/>
            <w:noWrap w:val="false"/>
          </w:tcPr>
          <w:p>
            <w:pPr>
              <w:pStyle w:val="728"/>
              <w:jc w:val="both"/>
              <w:spacing w:after="0" w:line="240" w:lineRule="auto"/>
              <w:widowControl w:val="off"/>
              <w:rPr>
                <w:rFonts w:hint="eastAsia" w:ascii="宋体" w:hAnsi="宋体" w:cs="Arial"/>
                <w:sz w:val="24"/>
                <w:szCs w:val="24"/>
                <w:highlight w:val="none"/>
              </w:rPr>
            </w:pPr>
            <w:r>
              <w:rPr>
                <w:rFonts w:hint="eastAsia" w:ascii="宋体" w:hAnsi="宋体" w:cs="Arial"/>
                <w:sz w:val="24"/>
                <w:szCs w:val="24"/>
                <w:highlight w:val="none"/>
              </w:rPr>
              <w:t xml:space="preserve">开标一览表</w:t>
            </w:r>
            <w:r>
              <w:rPr>
                <w:rFonts w:hint="eastAsia" w:ascii="宋体" w:hAnsi="宋体" w:cs="Arial"/>
                <w:sz w:val="24"/>
                <w:szCs w:val="24"/>
                <w:highlight w:val="none"/>
              </w:rPr>
            </w:r>
            <w:r/>
          </w:p>
        </w:tc>
        <w:tc>
          <w:tcPr>
            <w:tcW w:w="1275" w:type="dxa"/>
            <w:vAlign w:val="center"/>
            <w:textDirection w:val="lrTb"/>
            <w:noWrap w:val="false"/>
          </w:tcPr>
          <w:p>
            <w:pPr>
              <w:pStyle w:val="728"/>
              <w:jc w:val="both"/>
              <w:spacing w:after="0" w:line="240" w:lineRule="auto"/>
              <w:widowControl w:val="off"/>
              <w:rPr>
                <w:rFonts w:hint="eastAsia" w:ascii="宋体" w:hAnsi="宋体" w:cs="Arial"/>
                <w:sz w:val="24"/>
                <w:szCs w:val="24"/>
                <w:highlight w:val="none"/>
              </w:rPr>
            </w:pPr>
            <w:r>
              <w:rPr>
                <w:rFonts w:hint="eastAsia" w:ascii="宋体" w:hAnsi="宋体" w:cs="Arial"/>
                <w:sz w:val="24"/>
                <w:szCs w:val="24"/>
                <w:highlight w:val="none"/>
              </w:rPr>
            </w:r>
            <w:r/>
          </w:p>
        </w:tc>
        <w:tc>
          <w:tcPr>
            <w:tcW w:w="1058" w:type="dxa"/>
            <w:vAlign w:val="center"/>
            <w:textDirection w:val="lrTb"/>
            <w:noWrap w:val="false"/>
          </w:tcPr>
          <w:p>
            <w:pPr>
              <w:pStyle w:val="728"/>
              <w:jc w:val="both"/>
              <w:spacing w:after="0" w:line="240" w:lineRule="auto"/>
              <w:widowControl w:val="off"/>
              <w:rPr>
                <w:rFonts w:hint="eastAsia" w:ascii="宋体" w:hAnsi="宋体" w:cs="Arial"/>
                <w:sz w:val="24"/>
                <w:szCs w:val="24"/>
                <w:highlight w:val="none"/>
              </w:rPr>
            </w:pPr>
            <w:r>
              <w:rPr>
                <w:rFonts w:hint="eastAsia" w:ascii="宋体" w:hAnsi="宋体" w:cs="Arial"/>
                <w:sz w:val="24"/>
                <w:szCs w:val="24"/>
                <w:highlight w:val="none"/>
              </w:rPr>
            </w:r>
            <w:r/>
          </w:p>
        </w:tc>
      </w:tr>
      <w:tr>
        <w:trPr>
          <w:trHeight w:val="838"/>
        </w:trPr>
        <w:tc>
          <w:tcPr>
            <w:tcW w:w="993" w:type="dxa"/>
            <w:vAlign w:val="top"/>
            <w:textDirection w:val="lrTb"/>
            <w:noWrap w:val="false"/>
          </w:tcPr>
          <w:p>
            <w:pPr>
              <w:pStyle w:val="728"/>
              <w:jc w:val="both"/>
              <w:spacing w:after="0" w:line="240" w:lineRule="auto"/>
              <w:widowControl w:val="off"/>
              <w:rPr>
                <w:rFonts w:hint="eastAsia" w:ascii="宋体" w:hAnsi="宋体"/>
                <w:iCs/>
                <w:color w:val="000000"/>
                <w:sz w:val="24"/>
                <w:szCs w:val="24"/>
                <w:highlight w:val="none"/>
              </w:rPr>
            </w:pPr>
            <w:r>
              <w:rPr>
                <w:rFonts w:ascii="宋体" w:hAnsi="宋体"/>
                <w:iCs/>
                <w:color w:val="000000"/>
                <w:sz w:val="24"/>
                <w:szCs w:val="24"/>
                <w:highlight w:val="none"/>
              </w:rPr>
              <w:t xml:space="preserve">4</w:t>
            </w:r>
            <w:r>
              <w:rPr>
                <w:rFonts w:hint="eastAsia" w:ascii="宋体" w:hAnsi="宋体"/>
                <w:iCs/>
                <w:color w:val="000000"/>
                <w:sz w:val="24"/>
                <w:szCs w:val="24"/>
                <w:highlight w:val="none"/>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highlight w:val="none"/>
              </w:rPr>
            </w:pPr>
            <w:r/>
            <w:bookmarkStart w:id="176" w:name="OLE_LINK8"/>
            <w:r/>
            <w:bookmarkStart w:id="177" w:name="_Hlk123886068"/>
            <w:r>
              <w:rPr>
                <w:rFonts w:hint="eastAsia" w:ascii="宋体" w:hAnsi="宋体"/>
                <w:color w:val="000000"/>
                <w:sz w:val="24"/>
                <w:szCs w:val="24"/>
                <w:highlight w:val="none"/>
              </w:rPr>
              <w:t xml:space="preserve">不予分包转包</w:t>
            </w:r>
            <w:bookmarkEnd w:id="176"/>
            <w:r>
              <w:rPr>
                <w:rFonts w:hint="eastAsia" w:ascii="宋体" w:hAnsi="宋体"/>
                <w:color w:val="000000"/>
                <w:sz w:val="24"/>
                <w:szCs w:val="24"/>
                <w:highlight w:val="none"/>
              </w:rPr>
              <w:t xml:space="preserve">书面承诺函（格式自拟，内容需满足采购文件要求，原件并加盖CA电子公章）</w:t>
            </w:r>
            <w:bookmarkEnd w:id="177"/>
            <w:r>
              <w:rPr>
                <w:rFonts w:hint="eastAsia" w:ascii="宋体" w:hAnsi="宋体"/>
                <w:color w:val="000000"/>
                <w:sz w:val="24"/>
                <w:szCs w:val="24"/>
                <w:highlight w:val="none"/>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23"/>
        </w:trPr>
        <w:tc>
          <w:tcPr>
            <w:tcW w:w="993" w:type="dxa"/>
            <w:vAlign w:val="top"/>
            <w:textDirection w:val="lrTb"/>
            <w:noWrap w:val="false"/>
          </w:tcPr>
          <w:p>
            <w:pPr>
              <w:pStyle w:val="728"/>
              <w:jc w:val="both"/>
              <w:spacing w:after="0" w:line="240" w:lineRule="auto"/>
              <w:widowControl w:val="off"/>
              <w:rPr>
                <w:rFonts w:hint="eastAsia" w:ascii="宋体" w:hAnsi="宋体" w:cs="Arial"/>
                <w:sz w:val="24"/>
                <w:szCs w:val="24"/>
                <w:highlight w:val="none"/>
              </w:rPr>
            </w:pPr>
            <w:r>
              <w:rPr>
                <w:rFonts w:hint="eastAsia" w:ascii="宋体" w:hAnsi="宋体" w:cs="Arial"/>
                <w:sz w:val="24"/>
                <w:szCs w:val="24"/>
                <w:highlight w:val="none"/>
              </w:rPr>
              <w:t xml:space="preserve">5</w:t>
            </w:r>
            <w:r>
              <w:rPr>
                <w:rFonts w:hint="eastAsia" w:ascii="宋体" w:hAnsi="宋体" w:cs="Arial"/>
                <w:sz w:val="24"/>
                <w:szCs w:val="24"/>
                <w:highlight w:val="none"/>
              </w:rPr>
            </w:r>
            <w:r/>
          </w:p>
        </w:tc>
        <w:tc>
          <w:tcPr>
            <w:tcW w:w="6663" w:type="dxa"/>
            <w:vAlign w:val="top"/>
            <w:textDirection w:val="lrTb"/>
            <w:noWrap w:val="false"/>
          </w:tcPr>
          <w:p>
            <w:pPr>
              <w:pStyle w:val="728"/>
              <w:spacing w:after="0" w:line="240" w:lineRule="auto"/>
              <w:rPr>
                <w:rFonts w:hint="eastAsia" w:ascii="宋体" w:hAnsi="宋体"/>
                <w:color w:val="000000"/>
                <w:sz w:val="24"/>
                <w:szCs w:val="24"/>
                <w:highlight w:val="none"/>
              </w:rPr>
            </w:pPr>
            <w:r>
              <w:rPr>
                <w:rFonts w:hint="eastAsia" w:ascii="宋体" w:hAnsi="宋体" w:cs="宋体"/>
                <w:sz w:val="24"/>
                <w:highlight w:val="none"/>
              </w:rPr>
              <w:t xml:space="preserve">保密要求</w:t>
            </w:r>
            <w:r>
              <w:rPr>
                <w:rFonts w:hint="eastAsia" w:ascii="宋体" w:hAnsi="宋体"/>
                <w:color w:val="000000"/>
                <w:sz w:val="24"/>
                <w:szCs w:val="24"/>
                <w:highlight w:val="none"/>
              </w:rPr>
              <w:t xml:space="preserve">书面承诺函（格式自拟，内容需满足采购文件要求，原件并加盖CA电子公章）</w:t>
            </w:r>
            <w:r>
              <w:rPr>
                <w:rFonts w:hint="eastAsia" w:ascii="宋体" w:hAnsi="宋体"/>
                <w:color w:val="000000"/>
                <w:sz w:val="24"/>
                <w:szCs w:val="24"/>
                <w:highlight w:val="none"/>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23"/>
        </w:trPr>
        <w:tc>
          <w:tcPr>
            <w:tcW w:w="993" w:type="dxa"/>
            <w:vAlign w:val="top"/>
            <w:textDirection w:val="lrTb"/>
            <w:noWrap w:val="false"/>
          </w:tcPr>
          <w:p>
            <w:pPr>
              <w:pStyle w:val="728"/>
              <w:jc w:val="both"/>
              <w:spacing w:after="0" w:line="240" w:lineRule="auto"/>
              <w:widowControl w:val="off"/>
              <w:rPr>
                <w:rFonts w:ascii="宋体" w:hAnsi="宋体" w:cs="Arial"/>
                <w:sz w:val="24"/>
                <w:szCs w:val="24"/>
                <w:highlight w:val="none"/>
              </w:rPr>
            </w:pPr>
            <w:r>
              <w:rPr>
                <w:rFonts w:hint="eastAsia" w:ascii="宋体" w:hAnsi="宋体" w:cs="Arial"/>
                <w:sz w:val="24"/>
                <w:szCs w:val="24"/>
                <w:highlight w:val="none"/>
              </w:rPr>
              <w:t xml:space="preserve">6</w:t>
            </w:r>
            <w:r>
              <w:rPr>
                <w:rFonts w:ascii="宋体" w:hAnsi="宋体" w:cs="Arial"/>
                <w:sz w:val="24"/>
                <w:szCs w:val="24"/>
                <w:highlight w:val="none"/>
              </w:rPr>
            </w:r>
            <w:r/>
          </w:p>
        </w:tc>
        <w:tc>
          <w:tcPr>
            <w:tcW w:w="6663" w:type="dxa"/>
            <w:vAlign w:val="top"/>
            <w:textDirection w:val="lrTb"/>
            <w:noWrap w:val="false"/>
          </w:tcPr>
          <w:p>
            <w:pPr>
              <w:pStyle w:val="728"/>
              <w:spacing w:after="0" w:line="240" w:lineRule="auto"/>
              <w:rPr>
                <w:rFonts w:hint="eastAsia" w:ascii="宋体" w:hAnsi="宋体" w:cs="宋体"/>
                <w:sz w:val="24"/>
                <w:highlight w:val="none"/>
              </w:rPr>
            </w:pPr>
            <w:r>
              <w:rPr>
                <w:rFonts w:hint="eastAsia" w:ascii="宋体" w:hAnsi="宋体" w:cs="宋体"/>
                <w:sz w:val="24"/>
                <w:highlight w:val="none"/>
              </w:rPr>
              <w:t xml:space="preserve">成果归属要求书面承诺函（格式自拟，内容需满足采购文件要求，原件并加盖CA电子公章）</w:t>
            </w:r>
            <w:r>
              <w:rPr>
                <w:rFonts w:hint="eastAsia" w:ascii="宋体" w:hAnsi="宋体" w:cs="宋体"/>
                <w:sz w:val="24"/>
                <w:highlight w:val="none"/>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23"/>
        </w:trPr>
        <w:tc>
          <w:tcPr>
            <w:tcW w:w="993" w:type="dxa"/>
            <w:vAlign w:val="top"/>
            <w:textDirection w:val="lrTb"/>
            <w:noWrap w:val="false"/>
          </w:tcPr>
          <w:p>
            <w:pPr>
              <w:pStyle w:val="728"/>
              <w:jc w:val="both"/>
              <w:spacing w:after="0" w:line="240" w:lineRule="auto"/>
              <w:widowControl w:val="off"/>
              <w:rPr>
                <w:rFonts w:hint="eastAsia" w:ascii="宋体" w:hAnsi="宋体" w:cs="Arial"/>
                <w:sz w:val="24"/>
                <w:szCs w:val="24"/>
                <w:highlight w:val="none"/>
              </w:rPr>
            </w:pPr>
            <w:r>
              <w:rPr>
                <w:rFonts w:hint="eastAsia" w:ascii="宋体" w:hAnsi="宋体" w:cs="Arial"/>
                <w:sz w:val="24"/>
                <w:szCs w:val="24"/>
                <w:highlight w:val="none"/>
              </w:rPr>
              <w:t xml:space="preserve">7</w:t>
            </w:r>
            <w:r>
              <w:rPr>
                <w:rFonts w:hint="eastAsia" w:ascii="宋体" w:hAnsi="宋体" w:cs="Arial"/>
                <w:sz w:val="24"/>
                <w:szCs w:val="24"/>
                <w:highlight w:val="none"/>
              </w:rPr>
            </w:r>
            <w:r/>
          </w:p>
        </w:tc>
        <w:tc>
          <w:tcPr>
            <w:tcW w:w="6663" w:type="dxa"/>
            <w:vAlign w:val="top"/>
            <w:textDirection w:val="lrTb"/>
            <w:noWrap w:val="false"/>
          </w:tcPr>
          <w:p>
            <w:pPr>
              <w:pStyle w:val="728"/>
              <w:spacing w:after="0" w:line="240" w:lineRule="auto"/>
              <w:rPr>
                <w:rFonts w:ascii="宋体" w:hAnsi="宋体" w:cs="宋体"/>
                <w:sz w:val="24"/>
                <w:highlight w:val="none"/>
              </w:rPr>
            </w:pPr>
            <w:r/>
            <w:bookmarkStart w:id="178" w:name="OLE_LINK31"/>
            <w:r>
              <w:rPr>
                <w:rFonts w:hint="eastAsia" w:ascii="宋体" w:hAnsi="宋体" w:cs="宋体"/>
                <w:sz w:val="24"/>
                <w:highlight w:val="none"/>
              </w:rPr>
              <w:t xml:space="preserve">参与本项目按评审顺序在本采购包之前的所有采购包，被列为排名第一的拟中标人未满2个（供应商无需提交响应材料，由评标委员会根据评标结果确认即可）</w:t>
            </w:r>
            <w:bookmarkEnd w:id="178"/>
            <w:r>
              <w:rPr>
                <w:rFonts w:ascii="宋体" w:hAnsi="宋体" w:cs="宋体"/>
                <w:sz w:val="24"/>
                <w:highlight w:val="none"/>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00"/>
        </w:trPr>
        <w:tc>
          <w:tcPr>
            <w:tcW w:w="993" w:type="dxa"/>
            <w:vAlign w:val="top"/>
            <w:textDirection w:val="lrTb"/>
            <w:noWrap w:val="false"/>
          </w:tcPr>
          <w:p>
            <w:pPr>
              <w:pStyle w:val="728"/>
              <w:jc w:val="both"/>
              <w:spacing w:after="0" w:line="240" w:lineRule="auto"/>
              <w:widowControl w:val="off"/>
              <w:rPr>
                <w:rFonts w:hint="eastAsia" w:ascii="宋体" w:hAnsi="宋体"/>
                <w:iCs/>
                <w:color w:val="000000"/>
                <w:sz w:val="24"/>
                <w:szCs w:val="24"/>
                <w:highlight w:val="none"/>
              </w:rPr>
            </w:pPr>
            <w:r>
              <w:rPr>
                <w:rFonts w:hint="eastAsia" w:ascii="宋体" w:hAnsi="宋体"/>
                <w:iCs/>
                <w:color w:val="000000"/>
                <w:sz w:val="24"/>
                <w:szCs w:val="24"/>
                <w:highlight w:val="none"/>
              </w:rPr>
              <w:t xml:space="preserve">8</w:t>
            </w:r>
            <w:r>
              <w:rPr>
                <w:rFonts w:hint="eastAsia" w:ascii="宋体" w:hAnsi="宋体"/>
                <w:iCs/>
                <w:color w:val="000000"/>
                <w:sz w:val="24"/>
                <w:szCs w:val="24"/>
                <w:highlight w:val="none"/>
              </w:rPr>
            </w:r>
            <w:r/>
          </w:p>
        </w:tc>
        <w:tc>
          <w:tcPr>
            <w:tcW w:w="6663" w:type="dxa"/>
            <w:vAlign w:val="top"/>
            <w:textDirection w:val="lrTb"/>
            <w:noWrap w:val="false"/>
          </w:tcPr>
          <w:p>
            <w:pPr>
              <w:pStyle w:val="728"/>
              <w:jc w:val="both"/>
              <w:spacing w:after="0" w:line="590" w:lineRule="atLeast"/>
              <w:widowControl w:val="off"/>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（请</w:t>
            </w:r>
            <w:r>
              <w:rPr>
                <w:rFonts w:ascii="宋体" w:hAnsi="宋体"/>
                <w:color w:val="000000"/>
                <w:sz w:val="24"/>
                <w:szCs w:val="24"/>
                <w:highlight w:val="none"/>
              </w:rPr>
              <w:t xml:space="preserve">根据采购</w:t>
            </w:r>
            <w:r>
              <w:rPr>
                <w:rFonts w:hint="eastAsia" w:ascii="宋体" w:hAnsi="宋体"/>
                <w:color w:val="000000"/>
                <w:sz w:val="24"/>
                <w:szCs w:val="24"/>
                <w:highlight w:val="none"/>
              </w:rPr>
              <w:t xml:space="preserve">文件是否提出其他应具备的符合性要求或实质性要求自行添加删减序号与内容）</w:t>
            </w:r>
            <w:r>
              <w:rPr>
                <w:rFonts w:hint="eastAsia" w:ascii="宋体" w:hAnsi="宋体"/>
                <w:color w:val="000000"/>
                <w:sz w:val="24"/>
                <w:szCs w:val="24"/>
                <w:highlight w:val="none"/>
              </w:rPr>
            </w:r>
            <w:r/>
          </w:p>
        </w:tc>
        <w:tc>
          <w:tcPr>
            <w:tcW w:w="1275"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58" w:type="dxa"/>
            <w:vAlign w:val="top"/>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00"/>
        </w:trPr>
        <w:tc>
          <w:tcPr>
            <w:gridSpan w:val="4"/>
            <w:tcW w:w="9989"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bookmarkEnd w:id="175"/>
            <w:r>
              <w:rPr>
                <w:rFonts w:ascii="宋体" w:hAnsi="宋体"/>
                <w:color w:val="000000"/>
                <w:sz w:val="24"/>
                <w:szCs w:val="24"/>
                <w:highlight w:val="none"/>
              </w:rPr>
              <w:t xml:space="preserve">……(可根据</w:t>
            </w:r>
            <w:r>
              <w:rPr>
                <w:rFonts w:hint="eastAsia" w:ascii="宋体" w:hAnsi="宋体"/>
                <w:color w:val="000000"/>
                <w:sz w:val="24"/>
                <w:szCs w:val="24"/>
                <w:highlight w:val="none"/>
              </w:rPr>
              <w:t xml:space="preserve">需要自行添加行数)</w:t>
            </w:r>
            <w:r>
              <w:rPr>
                <w:rFonts w:hint="eastAsia" w:ascii="宋体" w:hAnsi="宋体"/>
                <w:color w:val="000000"/>
                <w:sz w:val="24"/>
                <w:szCs w:val="24"/>
                <w:highlight w:val="none"/>
              </w:rPr>
            </w:r>
            <w:r/>
          </w:p>
        </w:tc>
      </w:tr>
    </w:tbl>
    <w:p>
      <w:pPr>
        <w:pStyle w:val="728"/>
        <w:spacing w:after="0" w:line="240" w:lineRule="auto"/>
        <w:widowControl w:val="off"/>
        <w:rPr>
          <w:rFonts w:hint="eastAsia" w:ascii="宋体" w:hAnsi="宋体"/>
          <w:b/>
          <w:bCs/>
          <w:sz w:val="24"/>
          <w:szCs w:val="24"/>
          <w:highlight w:val="none"/>
        </w:rPr>
      </w:pPr>
      <w:r>
        <w:rPr>
          <w:rFonts w:hint="eastAsia" w:ascii="宋体" w:hAnsi="宋体"/>
          <w:b/>
          <w:bCs/>
          <w:sz w:val="24"/>
          <w:szCs w:val="24"/>
          <w:highlight w:val="none"/>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rPr>
          <w:rFonts w:hint="eastAsia" w:ascii="宋体" w:hAnsi="宋体"/>
          <w:b/>
          <w:bCs/>
          <w:sz w:val="24"/>
          <w:szCs w:val="24"/>
          <w:highlight w:val="none"/>
        </w:rPr>
      </w:r>
      <w:r/>
    </w:p>
    <w:p>
      <w:pPr>
        <w:pStyle w:val="728"/>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8"/>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8"/>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8"/>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8"/>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8"/>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8"/>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8"/>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8"/>
        <w:ind w:firstLine="482"/>
        <w:jc w:val="both"/>
        <w:spacing w:after="0" w:line="440" w:lineRule="exact"/>
        <w:widowControl w:val="off"/>
        <w:rPr>
          <w:rFonts w:ascii="宋体" w:hAnsi="宋体"/>
          <w:b/>
          <w:bCs/>
          <w:sz w:val="24"/>
          <w:szCs w:val="24"/>
          <w:highlight w:val="none"/>
        </w:rPr>
      </w:pPr>
      <w:r>
        <w:rPr>
          <w:rFonts w:ascii="宋体" w:hAnsi="宋体"/>
          <w:b/>
          <w:bCs/>
          <w:sz w:val="24"/>
          <w:szCs w:val="24"/>
          <w:highlight w:val="non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附件：(一</w:t>
      </w:r>
      <w:r>
        <w:rPr>
          <w:rFonts w:ascii="宋体" w:hAnsi="宋体"/>
          <w:b/>
          <w:sz w:val="28"/>
          <w:szCs w:val="28"/>
          <w:highlight w:val="none"/>
          <w:u w:val="single"/>
        </w:rPr>
        <w:t xml:space="preserve">)</w:t>
      </w:r>
      <w:r>
        <w:rPr>
          <w:rFonts w:hint="eastAsia" w:ascii="宋体" w:hAnsi="宋体"/>
          <w:b/>
          <w:sz w:val="28"/>
          <w:szCs w:val="28"/>
          <w:highlight w:val="none"/>
          <w:u w:val="single"/>
        </w:rPr>
        <w:t xml:space="preserve">资格性检查证明材料</w:t>
      </w:r>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w:t>
      </w:r>
      <w:bookmarkStart w:id="179" w:name="_Hlk69969156"/>
      <w:r>
        <w:rPr>
          <w:rFonts w:hint="eastAsia" w:ascii="宋体" w:hAnsi="宋体"/>
          <w:b/>
          <w:sz w:val="28"/>
          <w:szCs w:val="28"/>
          <w:highlight w:val="none"/>
          <w:u w:val="single"/>
        </w:rPr>
        <w:t xml:space="preserve">（自行添加内容）</w:t>
      </w:r>
      <w:bookmarkEnd w:id="179"/>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2、2</w:t>
      </w:r>
      <w:r>
        <w:rPr>
          <w:rFonts w:ascii="宋体" w:hAnsi="宋体"/>
          <w:b/>
          <w:sz w:val="28"/>
          <w:szCs w:val="28"/>
          <w:highlight w:val="none"/>
          <w:u w:val="single"/>
        </w:rPr>
        <w:t xml:space="preserve">02</w:t>
      </w:r>
      <w:r>
        <w:rPr>
          <w:rFonts w:hint="eastAsia" w:ascii="宋体" w:hAnsi="宋体"/>
          <w:b/>
          <w:sz w:val="28"/>
          <w:szCs w:val="28"/>
          <w:highlight w:val="none"/>
          <w:u w:val="single"/>
        </w:rPr>
        <w:t xml:space="preserve">4年度或2025年度的年度财务状况报告（复印件并加盖公章，成立不满一年</w:t>
      </w:r>
      <w:r>
        <w:rPr>
          <w:rFonts w:hint="eastAsia" w:ascii="宋体" w:hAnsi="宋体"/>
          <w:b/>
          <w:iCs/>
          <w:sz w:val="28"/>
          <w:szCs w:val="28"/>
          <w:highlight w:val="none"/>
          <w:u w:val="single"/>
        </w:rPr>
        <w:t xml:space="preserve">仅需提供提交投标文件截止之日前的一个月的会计报表</w:t>
      </w:r>
      <w:r>
        <w:rPr>
          <w:rFonts w:hint="eastAsia" w:ascii="宋体" w:hAnsi="宋体"/>
          <w:b/>
          <w:sz w:val="28"/>
          <w:szCs w:val="28"/>
          <w:highlight w:val="none"/>
          <w:u w:val="single"/>
        </w:rPr>
        <w:t xml:space="preserve">）</w:t>
      </w:r>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…（自行添加</w:t>
      </w:r>
      <w:r>
        <w:rPr>
          <w:rFonts w:hint="eastAsia" w:ascii="宋体" w:hAnsi="宋体"/>
          <w:b/>
          <w:sz w:val="28"/>
          <w:szCs w:val="28"/>
          <w:highlight w:val="none"/>
          <w:u w:val="single"/>
        </w:rPr>
        <w:t xml:space="preserve">内容</w:t>
      </w:r>
      <w:r>
        <w:rPr>
          <w:rFonts w:ascii="宋体" w:hAnsi="宋体"/>
          <w:b/>
          <w:sz w:val="28"/>
          <w:szCs w:val="28"/>
          <w:highlight w:val="none"/>
          <w:u w:val="single"/>
        </w:rPr>
        <w:t xml:space="preserve">）</w:t>
      </w:r>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3、依法缴纳税收的相关材料（距提交响应文件截止之日前的一年内任意一个月的相关证明材料复印件并加盖CA电子公章）</w:t>
      </w:r>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…（自行添加</w:t>
      </w:r>
      <w:r>
        <w:rPr>
          <w:rFonts w:hint="eastAsia" w:ascii="宋体" w:hAnsi="宋体"/>
          <w:b/>
          <w:sz w:val="28"/>
          <w:szCs w:val="28"/>
          <w:highlight w:val="none"/>
          <w:u w:val="single"/>
        </w:rPr>
        <w:t xml:space="preserve">内容</w:t>
      </w:r>
      <w:r>
        <w:rPr>
          <w:rFonts w:ascii="宋体" w:hAnsi="宋体"/>
          <w:b/>
          <w:sz w:val="28"/>
          <w:szCs w:val="28"/>
          <w:highlight w:val="none"/>
          <w:u w:val="single"/>
        </w:rPr>
        <w:t xml:space="preserve">）</w:t>
      </w:r>
      <w:r>
        <w:rPr>
          <w:rFonts w:hint="eastAsia" w:ascii="宋体" w:hAnsi="宋体"/>
          <w:b/>
          <w:sz w:val="28"/>
          <w:szCs w:val="28"/>
          <w:highlight w:val="none"/>
          <w:u w:val="single"/>
        </w:rPr>
      </w:r>
      <w:r/>
    </w:p>
    <w:p>
      <w:pPr>
        <w:pStyle w:val="728"/>
        <w:rPr>
          <w:rFonts w:ascii="Arial" w:hAnsi="Arial"/>
          <w:highlight w:val="none"/>
        </w:rPr>
      </w:pPr>
      <w:r>
        <w:rPr>
          <w:rFonts w:ascii="Arial" w:hAnsi="Arial"/>
          <w:highlight w:val="non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4、依法缴纳社会保障资金的相关材料（距提交响应文件截止之日前的一年内任意一个月的相关证明材料复印件并加盖CA电子公章）</w:t>
      </w:r>
      <w:r>
        <w:rPr>
          <w:rFonts w:hint="eastAsia"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t xml:space="preserve">…</w:t>
      </w:r>
      <w:r>
        <w:rPr>
          <w:rFonts w:hint="eastAsia" w:ascii="宋体" w:hAnsi="宋体"/>
          <w:b/>
          <w:sz w:val="28"/>
          <w:szCs w:val="28"/>
          <w:highlight w:val="none"/>
          <w:u w:val="single"/>
        </w:rPr>
        <w:t xml:space="preserve">（自行添加内容）</w:t>
      </w:r>
      <w:bookmarkStart w:id="180" w:name="_Hlk126856116"/>
      <w:r>
        <w:rPr>
          <w:rFonts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bookmarkEnd w:id="180"/>
      <w:r>
        <w:rPr>
          <w:rFonts w:hint="eastAsia" w:ascii="宋体" w:hAnsi="宋体"/>
          <w:b/>
          <w:sz w:val="28"/>
          <w:szCs w:val="28"/>
          <w:highlight w:val="none"/>
          <w:u w:val="single"/>
        </w:rPr>
        <w:t xml:space="preserve">5、具备履行合同所必需的设备和专业技术能力的书面声明（格式如下，按要求填写，原件并加盖CA电子公章）</w:t>
      </w:r>
      <w:r>
        <w:rPr>
          <w:rFonts w:hint="eastAsia" w:ascii="宋体" w:hAnsi="宋体"/>
          <w:b/>
          <w:sz w:val="28"/>
          <w:szCs w:val="28"/>
          <w:highlight w:val="none"/>
          <w:u w:val="single"/>
        </w:rPr>
      </w:r>
      <w:r/>
    </w:p>
    <w:p>
      <w:pPr>
        <w:pStyle w:val="728"/>
        <w:jc w:val="both"/>
        <w:spacing w:before="50" w:after="50" w:line="240" w:lineRule="auto"/>
        <w:widowControl w:val="off"/>
        <w:rPr>
          <w:rFonts w:ascii="Calibri" w:hAnsi="Calibri"/>
          <w:b/>
          <w:sz w:val="30"/>
          <w:szCs w:val="30"/>
          <w:highlight w:val="none"/>
        </w:rPr>
      </w:pPr>
      <w:r>
        <w:rPr>
          <w:rFonts w:ascii="Calibri" w:hAnsi="Calibri"/>
          <w:b/>
          <w:sz w:val="30"/>
          <w:szCs w:val="30"/>
          <w:highlight w:val="none"/>
        </w:rPr>
      </w:r>
      <w:r/>
    </w:p>
    <w:p>
      <w:pPr>
        <w:pStyle w:val="728"/>
        <w:jc w:val="center"/>
        <w:spacing w:before="50" w:after="50" w:line="240" w:lineRule="auto"/>
        <w:widowControl w:val="off"/>
        <w:rPr>
          <w:rFonts w:hint="eastAsia" w:ascii="宋体" w:hAnsi="宋体"/>
          <w:b/>
          <w:bCs/>
          <w:sz w:val="24"/>
          <w:szCs w:val="24"/>
          <w:highlight w:val="none"/>
        </w:rPr>
      </w:pPr>
      <w:r>
        <w:rPr>
          <w:rFonts w:hint="eastAsia" w:ascii="Calibri" w:hAnsi="Calibri"/>
          <w:b/>
          <w:sz w:val="30"/>
          <w:szCs w:val="30"/>
          <w:highlight w:val="none"/>
        </w:rPr>
        <w:t xml:space="preserve">具备履行合同所必需的设备和专业技术能力的书面声明</w:t>
      </w:r>
      <w:r>
        <w:rPr>
          <w:rFonts w:hint="eastAsia" w:ascii="宋体" w:hAnsi="宋体"/>
          <w:b/>
          <w:bCs/>
          <w:sz w:val="24"/>
          <w:szCs w:val="24"/>
          <w:highlight w:val="none"/>
        </w:rPr>
      </w:r>
      <w:r/>
    </w:p>
    <w:p>
      <w:pPr>
        <w:pStyle w:val="728"/>
        <w:jc w:val="center"/>
        <w:rPr>
          <w:rFonts w:hint="eastAsia" w:ascii="黑体" w:hAnsi="黑体" w:eastAsia="黑体"/>
          <w:sz w:val="30"/>
          <w:szCs w:val="30"/>
          <w:highlight w:val="none"/>
        </w:rPr>
      </w:pPr>
      <w:r>
        <w:rPr>
          <w:rFonts w:hint="eastAsia" w:ascii="黑体" w:hAnsi="黑体" w:eastAsia="黑体"/>
          <w:sz w:val="30"/>
          <w:szCs w:val="30"/>
          <w:highlight w:val="none"/>
        </w:rPr>
        <w:t xml:space="preserve">声  明</w:t>
      </w:r>
      <w:r>
        <w:rPr>
          <w:rFonts w:hint="eastAsia" w:ascii="黑体" w:hAnsi="黑体" w:eastAsia="黑体"/>
          <w:sz w:val="30"/>
          <w:szCs w:val="30"/>
          <w:highlight w:val="none"/>
        </w:rPr>
      </w:r>
      <w:r/>
    </w:p>
    <w:p>
      <w:pPr>
        <w:pStyle w:val="728"/>
        <w:ind w:firstLine="492"/>
        <w:jc w:val="both"/>
        <w:spacing w:after="0" w:line="460" w:lineRule="exact"/>
        <w:widowControl w:val="off"/>
        <w:rPr>
          <w:rFonts w:hint="eastAsia" w:ascii="宋体" w:hAnsi="宋体"/>
          <w:bCs/>
          <w:sz w:val="24"/>
          <w:szCs w:val="21"/>
          <w:highlight w:val="none"/>
        </w:rPr>
      </w:pPr>
      <w:r>
        <w:rPr>
          <w:rFonts w:hint="eastAsia" w:ascii="宋体" w:hAnsi="宋体"/>
          <w:bCs/>
          <w:sz w:val="24"/>
          <w:szCs w:val="24"/>
          <w:highlight w:val="none"/>
        </w:rPr>
        <w:t xml:space="preserve">我公司郑重声明：我公司</w:t>
      </w:r>
      <w:r>
        <w:rPr>
          <w:rFonts w:hint="eastAsia" w:ascii="宋体" w:hAnsi="宋体"/>
          <w:bCs/>
          <w:sz w:val="24"/>
          <w:szCs w:val="21"/>
          <w:highlight w:val="none"/>
        </w:rPr>
        <w:t xml:space="preserve">具备履行本项采购合同所必需的设备和专业技术能力，为履行本项采购合同我公司</w:t>
      </w:r>
      <w:r>
        <w:rPr>
          <w:rFonts w:hint="eastAsia" w:ascii="宋体" w:hAnsi="宋体"/>
          <w:bCs/>
          <w:sz w:val="24"/>
          <w:szCs w:val="24"/>
          <w:highlight w:val="none"/>
        </w:rPr>
        <w:t xml:space="preserve">具备</w:t>
      </w:r>
      <w:r>
        <w:rPr>
          <w:rFonts w:hint="eastAsia" w:ascii="宋体" w:hAnsi="宋体"/>
          <w:bCs/>
          <w:sz w:val="24"/>
          <w:szCs w:val="21"/>
          <w:highlight w:val="none"/>
        </w:rPr>
        <w:t xml:space="preserve">如下主要设备和主要专业技术能力：</w:t>
      </w:r>
      <w:r>
        <w:rPr>
          <w:rFonts w:hint="eastAsia" w:ascii="宋体" w:hAnsi="宋体"/>
          <w:bCs/>
          <w:sz w:val="24"/>
          <w:szCs w:val="21"/>
          <w:highlight w:val="none"/>
        </w:rPr>
      </w:r>
      <w:r/>
    </w:p>
    <w:p>
      <w:pPr>
        <w:pStyle w:val="728"/>
        <w:ind w:firstLine="492"/>
        <w:jc w:val="both"/>
        <w:spacing w:after="0" w:line="460" w:lineRule="exact"/>
        <w:widowControl w:val="off"/>
        <w:rPr>
          <w:rFonts w:hint="eastAsia" w:ascii="宋体" w:hAnsi="宋体"/>
          <w:bCs/>
          <w:sz w:val="24"/>
          <w:szCs w:val="24"/>
          <w:highlight w:val="none"/>
        </w:rPr>
      </w:pPr>
      <w:r>
        <w:rPr>
          <w:rFonts w:hint="eastAsia" w:ascii="宋体" w:hAnsi="宋体"/>
          <w:bCs/>
          <w:sz w:val="24"/>
          <w:szCs w:val="21"/>
          <w:highlight w:val="none"/>
        </w:rPr>
        <w:t xml:space="preserve">主要设备有：</w:t>
      </w:r>
      <w:r>
        <w:rPr>
          <w:rFonts w:hint="eastAsia" w:ascii="宋体" w:hAnsi="宋体"/>
          <w:bCs/>
          <w:sz w:val="24"/>
          <w:szCs w:val="21"/>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728"/>
        <w:ind w:firstLine="492"/>
        <w:jc w:val="both"/>
        <w:spacing w:after="0" w:line="460" w:lineRule="exact"/>
        <w:widowControl w:val="off"/>
        <w:rPr>
          <w:rFonts w:hint="eastAsia" w:ascii="宋体" w:hAnsi="宋体"/>
          <w:bCs/>
          <w:sz w:val="24"/>
          <w:szCs w:val="21"/>
          <w:highlight w:val="none"/>
        </w:rPr>
      </w:pPr>
      <w:r>
        <w:rPr>
          <w:rFonts w:hint="eastAsia" w:ascii="宋体" w:hAnsi="宋体"/>
          <w:bCs/>
          <w:sz w:val="24"/>
          <w:szCs w:val="21"/>
          <w:highlight w:val="none"/>
        </w:rPr>
        <w:t xml:space="preserve">主要专业技术能力有：</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728"/>
        <w:ind w:firstLine="492"/>
        <w:jc w:val="both"/>
        <w:spacing w:after="0" w:line="460" w:lineRule="exact"/>
        <w:widowControl w:val="off"/>
        <w:rPr>
          <w:rFonts w:hint="eastAsia" w:ascii="宋体" w:hAnsi="宋体"/>
          <w:bCs/>
          <w:sz w:val="24"/>
          <w:szCs w:val="21"/>
          <w:highlight w:val="none"/>
        </w:rPr>
      </w:pPr>
      <w:r>
        <w:rPr>
          <w:rFonts w:hint="eastAsia" w:ascii="宋体" w:hAnsi="宋体"/>
          <w:bCs/>
          <w:sz w:val="24"/>
          <w:szCs w:val="21"/>
          <w:highlight w:val="none"/>
        </w:rPr>
        <w:t xml:space="preserve">                                       供应商名称：（盖章）</w:t>
      </w:r>
      <w:r>
        <w:rPr>
          <w:rFonts w:hint="eastAsia" w:ascii="宋体" w:hAnsi="宋体"/>
          <w:bCs/>
          <w:sz w:val="24"/>
          <w:szCs w:val="21"/>
          <w:highlight w:val="none"/>
        </w:rPr>
      </w:r>
      <w:r/>
    </w:p>
    <w:p>
      <w:pPr>
        <w:pStyle w:val="728"/>
        <w:ind w:firstLine="5280"/>
        <w:jc w:val="both"/>
        <w:spacing w:after="0" w:line="460" w:lineRule="exact"/>
        <w:widowControl w:val="off"/>
        <w:rPr>
          <w:rFonts w:hint="eastAsia" w:ascii="宋体" w:hAnsi="宋体"/>
          <w:b/>
          <w:sz w:val="30"/>
          <w:szCs w:val="30"/>
          <w:highlight w:val="none"/>
          <w:u w:val="single"/>
        </w:rPr>
      </w:pPr>
      <w:r>
        <w:rPr>
          <w:rFonts w:hint="eastAsia" w:ascii="宋体" w:hAnsi="宋体"/>
          <w:bCs/>
          <w:sz w:val="24"/>
          <w:szCs w:val="21"/>
          <w:highlight w:val="none"/>
        </w:rPr>
        <w:t xml:space="preserve">日期：</w:t>
      </w:r>
      <w:r>
        <w:rPr>
          <w:rFonts w:hint="eastAsia" w:ascii="宋体" w:hAnsi="宋体"/>
          <w:b/>
          <w:sz w:val="30"/>
          <w:szCs w:val="30"/>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r/>
    </w:p>
    <w:p>
      <w:pPr>
        <w:pStyle w:val="728"/>
        <w:ind w:firstLine="645"/>
        <w:jc w:val="both"/>
        <w:spacing w:after="0" w:line="240" w:lineRule="auto"/>
        <w:widowControl w:val="off"/>
        <w:rPr>
          <w:rFonts w:ascii="楷体_GB2312" w:eastAsia="楷体_GB2312"/>
          <w:sz w:val="32"/>
          <w:szCs w:val="32"/>
          <w:highlight w:val="none"/>
        </w:rPr>
      </w:pPr>
      <w:r>
        <w:rPr>
          <w:rFonts w:ascii="楷体_GB2312" w:eastAsia="楷体_GB2312"/>
          <w:sz w:val="32"/>
          <w:szCs w:val="32"/>
          <w:highlight w:val="non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t xml:space="preserve">6、参加政府采购活动前3年内（距提交响应文件截止之日前）在经营活动中没有重大违法记录的书面声明（格式如下，按要求填写，原件并加盖CA电子公章）</w:t>
      </w:r>
      <w:r>
        <w:rPr>
          <w:rFonts w:hint="eastAsia" w:ascii="宋体" w:hAnsi="宋体"/>
          <w:b/>
          <w:sz w:val="28"/>
          <w:szCs w:val="28"/>
          <w:highlight w:val="none"/>
          <w:u w:val="single"/>
        </w:rPr>
      </w:r>
      <w:r/>
    </w:p>
    <w:p>
      <w:pPr>
        <w:pStyle w:val="728"/>
        <w:jc w:val="both"/>
        <w:spacing w:after="0" w:line="360" w:lineRule="auto"/>
        <w:widowControl w:val="off"/>
        <w:rPr>
          <w:rFonts w:hint="eastAsia" w:ascii="黑体" w:hAnsi="宋体" w:eastAsia="黑体"/>
          <w:bCs/>
          <w:sz w:val="30"/>
          <w:szCs w:val="30"/>
          <w:highlight w:val="none"/>
        </w:rPr>
      </w:pPr>
      <w:r>
        <w:rPr>
          <w:rFonts w:hint="eastAsia" w:ascii="黑体" w:hAnsi="宋体" w:eastAsia="黑体"/>
          <w:bCs/>
          <w:sz w:val="30"/>
          <w:szCs w:val="30"/>
          <w:highlight w:val="none"/>
        </w:rPr>
        <w:t xml:space="preserve">参加政府采购活动前 3 年内在经营活动中没有重大违法记录的书面声明</w:t>
      </w:r>
      <w:r>
        <w:rPr>
          <w:rFonts w:hint="eastAsia" w:ascii="黑体" w:hAnsi="宋体" w:eastAsia="黑体"/>
          <w:bCs/>
          <w:sz w:val="30"/>
          <w:szCs w:val="30"/>
          <w:highlight w:val="none"/>
        </w:rPr>
      </w:r>
      <w:r/>
    </w:p>
    <w:p>
      <w:pPr>
        <w:pStyle w:val="728"/>
        <w:jc w:val="both"/>
        <w:spacing w:after="0" w:line="360" w:lineRule="auto"/>
        <w:widowControl w:val="off"/>
        <w:rPr>
          <w:rFonts w:hint="eastAsia" w:ascii="黑体" w:hAnsi="黑体" w:eastAsia="黑体"/>
          <w:b/>
          <w:bCs/>
          <w:sz w:val="28"/>
          <w:szCs w:val="28"/>
          <w:highlight w:val="none"/>
        </w:rPr>
      </w:pPr>
      <w:r>
        <w:rPr>
          <w:rFonts w:hint="eastAsia" w:ascii="宋体" w:hAnsi="宋体"/>
          <w:b/>
          <w:bCs/>
          <w:sz w:val="44"/>
          <w:szCs w:val="44"/>
          <w:highlight w:val="none"/>
        </w:rPr>
        <w:t xml:space="preserve">        </w:t>
      </w:r>
      <w:r>
        <w:rPr>
          <w:rFonts w:hint="eastAsia" w:ascii="宋体" w:hAnsi="宋体"/>
          <w:b/>
          <w:bCs/>
          <w:sz w:val="24"/>
          <w:szCs w:val="24"/>
          <w:highlight w:val="none"/>
        </w:rPr>
        <w:t xml:space="preserve">                 </w:t>
      </w:r>
      <w:r>
        <w:rPr>
          <w:rFonts w:hint="eastAsia" w:ascii="黑体" w:hAnsi="黑体" w:eastAsia="黑体"/>
          <w:b/>
          <w:bCs/>
          <w:sz w:val="28"/>
          <w:szCs w:val="28"/>
          <w:highlight w:val="none"/>
        </w:rPr>
        <w:t xml:space="preserve">声  明   </w:t>
      </w:r>
      <w:r>
        <w:rPr>
          <w:rFonts w:hint="eastAsia" w:ascii="黑体" w:hAnsi="黑体" w:eastAsia="黑体"/>
          <w:b/>
          <w:bCs/>
          <w:sz w:val="28"/>
          <w:szCs w:val="28"/>
          <w:highlight w:val="none"/>
        </w:rPr>
      </w:r>
      <w:r/>
    </w:p>
    <w:p>
      <w:pPr>
        <w:pStyle w:val="728"/>
        <w:ind w:firstLine="495"/>
        <w:jc w:val="both"/>
        <w:spacing w:after="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4"/>
          <w:highlight w:val="none"/>
        </w:rPr>
      </w:r>
      <w:r/>
    </w:p>
    <w:p>
      <w:pPr>
        <w:pStyle w:val="728"/>
        <w:ind w:firstLine="492"/>
        <w:jc w:val="both"/>
        <w:spacing w:after="0" w:line="460" w:lineRule="exact"/>
        <w:widowControl w:val="off"/>
        <w:rPr>
          <w:rFonts w:hint="eastAsia" w:ascii="宋体" w:hAnsi="宋体"/>
          <w:bCs/>
          <w:sz w:val="24"/>
          <w:szCs w:val="21"/>
          <w:highlight w:val="none"/>
        </w:rPr>
      </w:pPr>
      <w:r>
        <w:rPr>
          <w:rFonts w:hint="eastAsia" w:ascii="宋体" w:hAnsi="宋体"/>
          <w:bCs/>
          <w:sz w:val="24"/>
          <w:szCs w:val="24"/>
          <w:highlight w:val="none"/>
        </w:rPr>
        <w:t xml:space="preserve">                                         </w:t>
      </w:r>
      <w:r>
        <w:rPr>
          <w:rFonts w:hint="eastAsia" w:ascii="宋体" w:hAnsi="宋体"/>
          <w:bCs/>
          <w:sz w:val="24"/>
          <w:szCs w:val="21"/>
          <w:highlight w:val="none"/>
        </w:rPr>
        <w:t xml:space="preserve">供应商名称：（盖章）</w:t>
      </w:r>
      <w:r>
        <w:rPr>
          <w:rFonts w:hint="eastAsia" w:ascii="宋体" w:hAnsi="宋体"/>
          <w:bCs/>
          <w:sz w:val="24"/>
          <w:szCs w:val="21"/>
          <w:highlight w:val="none"/>
        </w:rPr>
      </w:r>
      <w:r/>
    </w:p>
    <w:p>
      <w:pPr>
        <w:pStyle w:val="728"/>
        <w:ind w:firstLine="5520"/>
        <w:jc w:val="both"/>
        <w:spacing w:after="0" w:line="460" w:lineRule="exact"/>
        <w:widowControl w:val="off"/>
        <w:rPr>
          <w:rFonts w:hint="eastAsia" w:ascii="宋体" w:hAnsi="宋体"/>
          <w:bCs/>
          <w:sz w:val="24"/>
          <w:szCs w:val="21"/>
          <w:highlight w:val="none"/>
        </w:rPr>
      </w:pPr>
      <w:r>
        <w:rPr>
          <w:rFonts w:hint="eastAsia" w:ascii="宋体" w:hAnsi="宋体"/>
          <w:bCs/>
          <w:sz w:val="24"/>
          <w:szCs w:val="21"/>
          <w:highlight w:val="none"/>
        </w:rPr>
        <w:t xml:space="preserve">日期：</w:t>
      </w:r>
      <w:r>
        <w:rPr>
          <w:rFonts w:hint="eastAsia" w:ascii="宋体" w:hAnsi="宋体"/>
          <w:bCs/>
          <w:sz w:val="24"/>
          <w:szCs w:val="21"/>
          <w:highlight w:val="none"/>
        </w:rPr>
      </w:r>
      <w:r/>
    </w:p>
    <w:p>
      <w:pPr>
        <w:pStyle w:val="728"/>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7</w:t>
      </w:r>
      <w:r>
        <w:rPr>
          <w:rFonts w:hint="eastAsia" w:ascii="宋体" w:hAnsi="宋体"/>
          <w:b/>
          <w:sz w:val="28"/>
          <w:szCs w:val="28"/>
          <w:highlight w:val="none"/>
          <w:u w:val="single"/>
        </w:rPr>
        <w:t xml:space="preserve">、未被列入失信被执行人、重大税收违法案件当事人名单、政府采购严重违法失信行为记录名单的证明材料（可以不提供，由代理机构现场查询截图留存为准）</w:t>
      </w:r>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w:t>
      </w:r>
      <w:r>
        <w:rPr>
          <w:rFonts w:hint="eastAsia" w:ascii="宋体" w:hAnsi="宋体"/>
          <w:b/>
          <w:sz w:val="28"/>
          <w:szCs w:val="28"/>
          <w:highlight w:val="none"/>
          <w:u w:val="single"/>
        </w:rPr>
        <w:t xml:space="preserve">（自行添加内容）</w:t>
      </w:r>
      <w:r>
        <w:rPr>
          <w:rFonts w:hint="eastAsia" w:ascii="宋体" w:hAnsi="宋体"/>
          <w:b/>
          <w:sz w:val="28"/>
          <w:szCs w:val="28"/>
          <w:highlight w:val="none"/>
          <w:u w:val="single"/>
        </w:rPr>
      </w:r>
      <w:r/>
    </w:p>
    <w:p>
      <w:pPr>
        <w:pStyle w:val="728"/>
        <w:ind w:firstLine="420"/>
        <w:jc w:val="both"/>
        <w:spacing w:after="0" w:line="360" w:lineRule="auto"/>
        <w:widowControl w:val="off"/>
        <w:rPr>
          <w:rFonts w:ascii="宋体" w:hAnsi="宋体" w:eastAsia="楷体_GB2312"/>
          <w:sz w:val="21"/>
          <w:szCs w:val="20"/>
          <w:highlight w:val="none"/>
        </w:rPr>
      </w:pPr>
      <w:r>
        <w:rPr>
          <w:rFonts w:ascii="宋体" w:hAnsi="宋体" w:eastAsia="楷体_GB2312"/>
          <w:sz w:val="21"/>
          <w:szCs w:val="20"/>
          <w:highlight w:val="non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ascii="宋体" w:hAnsi="宋体"/>
          <w:b/>
          <w:sz w:val="28"/>
          <w:szCs w:val="28"/>
          <w:highlight w:val="none"/>
          <w:u w:val="single"/>
        </w:rPr>
        <w:t xml:space="preserve">8</w:t>
      </w:r>
      <w:r>
        <w:rPr>
          <w:rFonts w:hint="eastAsia" w:ascii="宋体" w:hAnsi="宋体"/>
          <w:b/>
          <w:sz w:val="28"/>
          <w:szCs w:val="28"/>
          <w:highlight w:val="none"/>
          <w:u w:val="single"/>
        </w:rPr>
        <w:t xml:space="preserve">、特定资格要求</w:t>
      </w:r>
      <w:r>
        <w:rPr>
          <w:rFonts w:hint="eastAsia" w:ascii="宋体" w:hAnsi="宋体"/>
          <w:b/>
          <w:sz w:val="28"/>
          <w:szCs w:val="28"/>
          <w:highlight w:val="none"/>
          <w:u w:val="singl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应具有国家认证认可监督管理委员会或省级市场监督管理部门颁发的有效期内（有效期能覆盖相关产品抽检任务的完成，具体抽检时间参看采购需求表）的检验检测机构资质认定证书（CMA）。国家质检中心或省级质检站承担检验工作的，可提供国家质检中心或省级质检站资质认定证书（CMA） 并应以“法人单位名称（国家质检中心或省级质检站名称）”的形式作为投标人参与投标：</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正值 CMA 换证期间的，应提供：</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①旧证复印件和技术机构向发证机关递交的换证申请相关页（应具有覆盖所投产品检验项目的检验能力并 对相应项目及标准做好明显标记）；</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②加盖法人单位和技术机构（如与法人单位不同）公章 的承诺书，承诺新证书和检测能力能在旧证有效期 届满前下达并持续有效，保证资质能达到本次工作要求。</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所投产品检验项目的检验能力正值新版标准资质申请期间的，应提供：</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①旧版标准资质认定附表相关页复印件；</w:t>
      </w:r>
      <w:r>
        <w:rPr>
          <w:rFonts w:hint="eastAsia" w:ascii="宋体" w:hAnsi="宋体"/>
          <w:color w:val="000000"/>
          <w:sz w:val="24"/>
          <w:szCs w:val="24"/>
          <w:highlight w:val="none"/>
        </w:rPr>
      </w:r>
      <w:r/>
    </w:p>
    <w:p>
      <w:pPr>
        <w:pStyle w:val="728"/>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②加盖法人单位和技术机构（如与法人单位不同）公章 的承诺书，承诺新版标准检测能力的资质认定能在 检验任务实施前下达，保证资质能达到本次工作要求。</w:t>
      </w:r>
      <w:r>
        <w:rPr>
          <w:rFonts w:hint="eastAsia" w:ascii="宋体" w:hAnsi="宋体"/>
          <w:color w:val="000000"/>
          <w:sz w:val="24"/>
          <w:szCs w:val="24"/>
          <w:highlight w:val="none"/>
        </w:rPr>
      </w:r>
      <w:r/>
    </w:p>
    <w:p>
      <w:pPr>
        <w:pStyle w:val="728"/>
        <w:jc w:val="both"/>
        <w:spacing w:after="0"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投标人应具有能全部覆盖所投产品检验项目的检验能力（相关产品检验项目、检验依据及检测方法等要求详见招标文件第四章采购需求）。投标人应提供能全部覆盖所投产品检验项目的检验能力证明文件。须附上述检验检测机构资质认定证书（CMA）附表相关页复印件，</w:t>
      </w:r>
      <w:r>
        <w:rPr>
          <w:rFonts w:hint="eastAsia" w:ascii="宋体" w:hAnsi="宋体"/>
          <w:b/>
          <w:bCs/>
          <w:color w:val="000000"/>
          <w:sz w:val="24"/>
          <w:szCs w:val="24"/>
          <w:highlight w:val="none"/>
        </w:rPr>
        <w:t xml:space="preserve">对相应项目、依据标准及检测方法做好明显标记</w:t>
      </w:r>
      <w:r>
        <w:rPr>
          <w:rFonts w:hint="eastAsia" w:ascii="宋体" w:hAnsi="宋体"/>
          <w:color w:val="000000"/>
          <w:sz w:val="24"/>
          <w:szCs w:val="24"/>
          <w:highlight w:val="none"/>
        </w:rPr>
        <w:t xml:space="preserve">。全部附表所对应的证书应为同一机构同一证书编号。备注：对不含检验检测方法的各类 产品标准、限值标准可作为判定依据，不作为本项 目的 CMA 资质条件要求。对需旧版标准资质的，应提供含有旧版标准资质的能力附表（若仅能提供旧版资质附表，可忽略附表编号与证书编号的一致性）。对需新版标准资质且机构正值新版标准资质申请期间的，应按上述要求提供旧版资质认定附表相关页和承诺书。</w:t>
      </w:r>
      <w:r>
        <w:rPr>
          <w:rFonts w:ascii="宋体" w:hAnsi="宋体"/>
          <w:color w:val="000000"/>
          <w:sz w:val="24"/>
          <w:szCs w:val="24"/>
          <w:highlight w:val="non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t xml:space="preserve">…</w:t>
      </w:r>
      <w:r>
        <w:rPr>
          <w:rFonts w:hint="eastAsia" w:ascii="宋体" w:hAnsi="宋体"/>
          <w:b/>
          <w:sz w:val="28"/>
          <w:szCs w:val="28"/>
          <w:highlight w:val="none"/>
          <w:u w:val="single"/>
        </w:rPr>
        <w:t xml:space="preserve">（自行添加内容）</w:t>
      </w:r>
      <w:r>
        <w:rPr>
          <w:rFonts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ascii="宋体" w:hAnsi="宋体"/>
          <w:b/>
          <w:sz w:val="28"/>
          <w:szCs w:val="28"/>
          <w:highlight w:val="none"/>
          <w:u w:val="single"/>
        </w:rPr>
      </w:pPr>
      <w:r>
        <w:rPr>
          <w:rFonts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r/>
    </w:p>
    <w:p>
      <w:pPr>
        <w:pStyle w:val="728"/>
        <w:rPr>
          <w:rFonts w:hint="eastAsia" w:ascii="宋体" w:hAnsi="宋体"/>
          <w:b/>
          <w:color w:val="000000"/>
          <w:sz w:val="28"/>
          <w:szCs w:val="28"/>
          <w:highlight w:val="none"/>
        </w:rPr>
      </w:pPr>
      <w:r>
        <w:rPr>
          <w:rFonts w:ascii="宋体" w:hAnsi="宋体"/>
          <w:b/>
          <w:sz w:val="28"/>
          <w:szCs w:val="28"/>
          <w:highlight w:val="none"/>
        </w:rPr>
        <w:t xml:space="preserve">9</w:t>
      </w:r>
      <w:r>
        <w:rPr>
          <w:rFonts w:hint="eastAsia" w:ascii="宋体" w:hAnsi="宋体"/>
          <w:b/>
          <w:sz w:val="28"/>
          <w:szCs w:val="28"/>
          <w:highlight w:val="none"/>
        </w:rPr>
        <w:t xml:space="preserve">、</w:t>
      </w:r>
      <w:bookmarkStart w:id="181" w:name="_Hlk107592330"/>
      <w:r>
        <w:rPr>
          <w:rFonts w:hint="eastAsia" w:ascii="宋体" w:hAnsi="宋体"/>
          <w:b/>
          <w:color w:val="000000"/>
          <w:sz w:val="28"/>
          <w:szCs w:val="28"/>
          <w:highlight w:val="none"/>
        </w:rPr>
        <w:t xml:space="preserve">其他资格要求承诺函（格式如下，不得随意更改，加盖公章）</w:t>
      </w:r>
      <w:r>
        <w:rPr>
          <w:rFonts w:hint="eastAsia" w:ascii="宋体" w:hAnsi="宋体"/>
          <w:b/>
          <w:color w:val="000000"/>
          <w:sz w:val="28"/>
          <w:szCs w:val="28"/>
          <w:highlight w:val="none"/>
        </w:rPr>
      </w:r>
      <w:r/>
    </w:p>
    <w:p>
      <w:pPr>
        <w:pStyle w:val="728"/>
        <w:ind w:firstLine="562"/>
        <w:jc w:val="center"/>
        <w:spacing w:after="156" w:line="46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其他资格要求承诺函</w:t>
      </w:r>
      <w:r>
        <w:rPr>
          <w:rFonts w:hint="eastAsia" w:ascii="宋体" w:hAnsi="宋体"/>
          <w:b/>
          <w:color w:val="000000"/>
          <w:sz w:val="28"/>
          <w:szCs w:val="28"/>
          <w:highlight w:val="none"/>
        </w:rPr>
      </w:r>
      <w:r/>
    </w:p>
    <w:p>
      <w:pPr>
        <w:pStyle w:val="728"/>
        <w:ind w:firstLine="562"/>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我单位承诺：</w:t>
      </w:r>
      <w:r>
        <w:rPr>
          <w:rFonts w:hint="eastAsia" w:ascii="宋体" w:hAnsi="宋体"/>
          <w:color w:val="000000"/>
          <w:sz w:val="28"/>
          <w:szCs w:val="28"/>
          <w:highlight w:val="none"/>
        </w:rPr>
      </w:r>
      <w:r/>
    </w:p>
    <w:p>
      <w:pPr>
        <w:pStyle w:val="728"/>
        <w:ind w:firstLine="5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 我单位独立参加本项目采购活动，未与其他潜在供应商组成联合体响应。未提供进口产品投标。</w:t>
      </w:r>
      <w:r>
        <w:rPr>
          <w:rFonts w:hint="eastAsia" w:ascii="宋体" w:hAnsi="宋体"/>
          <w:color w:val="000000"/>
          <w:sz w:val="28"/>
          <w:szCs w:val="28"/>
          <w:highlight w:val="none"/>
        </w:rPr>
      </w:r>
      <w:r/>
    </w:p>
    <w:p>
      <w:pPr>
        <w:pStyle w:val="728"/>
        <w:ind w:firstLine="5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2、我单位参加本次采购活动，遵守并符合以下要求：</w:t>
      </w:r>
      <w:r>
        <w:rPr>
          <w:rFonts w:hint="eastAsia" w:ascii="宋体" w:hAnsi="宋体"/>
          <w:color w:val="000000"/>
          <w:sz w:val="28"/>
          <w:szCs w:val="28"/>
          <w:highlight w:val="none"/>
        </w:rPr>
      </w:r>
      <w:r/>
    </w:p>
    <w:p>
      <w:pPr>
        <w:pStyle w:val="728"/>
        <w:ind w:firstLine="5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rPr>
          <w:rFonts w:hint="eastAsia" w:ascii="宋体" w:hAnsi="宋体"/>
          <w:color w:val="000000"/>
          <w:sz w:val="28"/>
          <w:szCs w:val="28"/>
          <w:highlight w:val="none"/>
        </w:rPr>
      </w:r>
      <w:r/>
    </w:p>
    <w:p>
      <w:pPr>
        <w:pStyle w:val="728"/>
        <w:ind w:firstLine="5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rPr>
          <w:rFonts w:hint="eastAsia" w:ascii="宋体" w:hAnsi="宋体"/>
          <w:color w:val="000000"/>
          <w:sz w:val="28"/>
          <w:szCs w:val="28"/>
          <w:highlight w:val="none"/>
        </w:rPr>
      </w:r>
      <w:r/>
    </w:p>
    <w:p>
      <w:pPr>
        <w:pStyle w:val="728"/>
        <w:ind w:firstLine="5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（3）公益一类事业单位、使用事业编制且由财政拨款保障的群团组织，不得参加本项目的采购活动；我单位性质不属于此类情况。</w:t>
      </w:r>
      <w:r>
        <w:rPr>
          <w:rFonts w:hint="eastAsia" w:ascii="宋体" w:hAnsi="宋体"/>
          <w:color w:val="000000"/>
          <w:sz w:val="28"/>
          <w:szCs w:val="28"/>
          <w:highlight w:val="none"/>
        </w:rPr>
      </w:r>
      <w:r/>
    </w:p>
    <w:p>
      <w:pPr>
        <w:pStyle w:val="728"/>
        <w:ind w:firstLine="562"/>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特此承诺。</w:t>
      </w:r>
      <w:r>
        <w:rPr>
          <w:rFonts w:hint="eastAsia" w:ascii="宋体" w:hAnsi="宋体"/>
          <w:color w:val="000000"/>
          <w:sz w:val="28"/>
          <w:szCs w:val="28"/>
          <w:highlight w:val="none"/>
        </w:rPr>
      </w:r>
      <w:r/>
    </w:p>
    <w:p>
      <w:pPr>
        <w:pStyle w:val="728"/>
        <w:ind w:firstLine="562"/>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28"/>
        <w:ind w:firstLine="2520"/>
        <w:jc w:val="right"/>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供应商名称</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（加盖CA电子公章）：</w:t>
      </w:r>
      <w:r>
        <w:rPr>
          <w:rFonts w:hint="eastAsia" w:ascii="宋体" w:hAnsi="宋体"/>
          <w:color w:val="000000"/>
          <w:sz w:val="28"/>
          <w:szCs w:val="28"/>
          <w:highlight w:val="none"/>
        </w:rPr>
      </w:r>
      <w:r/>
    </w:p>
    <w:p>
      <w:pPr>
        <w:pStyle w:val="728"/>
        <w:ind w:right="1120" w:firstLine="4760"/>
        <w:spacing w:after="156" w:line="4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日期：</w:t>
      </w:r>
      <w:r>
        <w:rPr>
          <w:rFonts w:hint="eastAsia" w:ascii="宋体" w:hAnsi="宋体"/>
          <w:color w:val="000000"/>
          <w:sz w:val="28"/>
          <w:szCs w:val="28"/>
          <w:highlight w:val="none"/>
        </w:rPr>
      </w:r>
      <w:r/>
    </w:p>
    <w:p>
      <w:pPr>
        <w:pStyle w:val="728"/>
        <w:jc w:val="both"/>
        <w:spacing w:after="0" w:line="360" w:lineRule="auto"/>
        <w:widowControl w:val="off"/>
        <w:rPr>
          <w:rFonts w:hint="eastAsia" w:ascii="宋体" w:hAnsi="宋体"/>
          <w:b/>
          <w:sz w:val="28"/>
          <w:szCs w:val="28"/>
          <w:highlight w:val="none"/>
          <w:u w:val="single"/>
        </w:rPr>
      </w:pPr>
      <w:r>
        <w:rPr>
          <w:rFonts w:hint="eastAsia" w:ascii="宋体" w:hAnsi="宋体"/>
          <w:b/>
          <w:sz w:val="28"/>
          <w:szCs w:val="28"/>
          <w:highlight w:val="none"/>
          <w:u w:val="single"/>
        </w:rPr>
      </w:r>
      <w:r/>
    </w:p>
    <w:p>
      <w:pPr>
        <w:pStyle w:val="728"/>
        <w:jc w:val="both"/>
        <w:spacing w:after="0" w:line="360" w:lineRule="auto"/>
        <w:widowControl w:val="off"/>
        <w:rPr>
          <w:rFonts w:hint="eastAsia" w:ascii="宋体" w:hAnsi="宋体"/>
          <w:b/>
          <w:sz w:val="28"/>
          <w:szCs w:val="28"/>
          <w:highlight w:val="none"/>
          <w:u w:val="single"/>
        </w:rPr>
      </w:pPr>
      <w:r/>
      <w:bookmarkEnd w:id="181"/>
      <w:r>
        <w:rPr>
          <w:rFonts w:hint="eastAsia" w:ascii="宋体" w:hAnsi="宋体"/>
          <w:b/>
          <w:sz w:val="28"/>
          <w:szCs w:val="28"/>
          <w:highlight w:val="none"/>
          <w:u w:val="single"/>
        </w:rPr>
      </w:r>
      <w:r/>
    </w:p>
    <w:p>
      <w:pPr>
        <w:pStyle w:val="728"/>
        <w:jc w:val="both"/>
        <w:spacing w:after="0" w:line="240" w:lineRule="auto"/>
        <w:widowControl w:val="off"/>
        <w:rPr>
          <w:rFonts w:ascii="宋体"/>
          <w:sz w:val="21"/>
          <w:highlight w:val="none"/>
        </w:rPr>
      </w:pPr>
      <w:r>
        <w:rPr>
          <w:rFonts w:ascii="宋体"/>
          <w:sz w:val="21"/>
          <w:highlight w:val="none"/>
        </w:rPr>
      </w:r>
      <w:r/>
    </w:p>
    <w:p>
      <w:pPr>
        <w:pStyle w:val="728"/>
        <w:jc w:val="both"/>
        <w:spacing w:after="0" w:line="240" w:lineRule="auto"/>
        <w:widowControl w:val="off"/>
        <w:rPr>
          <w:rFonts w:hint="eastAsia" w:ascii="宋体"/>
          <w:sz w:val="21"/>
          <w:highlight w:val="none"/>
        </w:rPr>
      </w:pPr>
      <w:r>
        <w:rPr>
          <w:rFonts w:hint="eastAsia" w:ascii="宋体"/>
          <w:sz w:val="21"/>
          <w:highlight w:val="none"/>
        </w:rPr>
      </w:r>
      <w:r/>
    </w:p>
    <w:p>
      <w:pPr>
        <w:pStyle w:val="728"/>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附件（二）符合性检查证明材料</w:t>
      </w:r>
      <w:r>
        <w:rPr>
          <w:rFonts w:hint="eastAsia" w:ascii="宋体" w:hAnsi="宋体"/>
          <w:b/>
          <w:sz w:val="28"/>
          <w:szCs w:val="28"/>
          <w:highlight w:val="none"/>
        </w:rPr>
      </w:r>
      <w:r/>
    </w:p>
    <w:p>
      <w:pPr>
        <w:pStyle w:val="728"/>
        <w:jc w:val="both"/>
        <w:spacing w:after="0" w:line="240" w:lineRule="auto"/>
        <w:widowControl w:val="off"/>
        <w:rPr>
          <w:rFonts w:ascii="宋体"/>
          <w:sz w:val="21"/>
          <w:highlight w:val="none"/>
        </w:rPr>
      </w:pPr>
      <w:r>
        <w:rPr>
          <w:rFonts w:hint="eastAsia" w:ascii="宋体" w:hAnsi="宋体"/>
          <w:b/>
          <w:sz w:val="28"/>
          <w:szCs w:val="28"/>
          <w:highlight w:val="none"/>
        </w:rPr>
        <w:t xml:space="preserve">1、法人授权书（格式如下</w:t>
      </w:r>
      <w:r>
        <w:rPr>
          <w:rFonts w:hint="eastAsia" w:ascii="宋体" w:hAnsi="宋体"/>
          <w:b/>
          <w:color w:val="000000"/>
          <w:sz w:val="28"/>
          <w:szCs w:val="28"/>
          <w:highlight w:val="none"/>
        </w:rPr>
        <w:t xml:space="preserve">，</w:t>
      </w:r>
      <w:r>
        <w:rPr>
          <w:rFonts w:hint="eastAsia" w:ascii="宋体" w:hAnsi="宋体"/>
          <w:b/>
          <w:sz w:val="28"/>
          <w:szCs w:val="28"/>
          <w:highlight w:val="none"/>
        </w:rPr>
        <w:t xml:space="preserve">不得随意更改，请按要求填写，原件并加盖CA电子公章）</w:t>
      </w:r>
      <w:r>
        <w:rPr>
          <w:rFonts w:hint="eastAsia" w:ascii="宋体" w:hAnsi="宋体"/>
          <w:bCs/>
          <w:sz w:val="24"/>
          <w:szCs w:val="24"/>
          <w:highlight w:val="none"/>
        </w:rPr>
        <w:tab/>
      </w:r>
      <w:r>
        <w:rPr>
          <w:rFonts w:ascii="宋体"/>
          <w:sz w:val="21"/>
          <w:highlight w:val="none"/>
        </w:rPr>
      </w:r>
      <w:r/>
    </w:p>
    <w:p>
      <w:pPr>
        <w:pStyle w:val="728"/>
        <w:jc w:val="center"/>
        <w:spacing w:after="0" w:line="360" w:lineRule="auto"/>
        <w:widowControl w:val="off"/>
        <w:rPr>
          <w:b/>
          <w:sz w:val="30"/>
          <w:szCs w:val="30"/>
          <w:highlight w:val="none"/>
        </w:rPr>
      </w:pPr>
      <w:r>
        <w:rPr>
          <w:rFonts w:hint="eastAsia"/>
          <w:b/>
          <w:sz w:val="30"/>
          <w:szCs w:val="30"/>
          <w:highlight w:val="none"/>
        </w:rPr>
        <w:t xml:space="preserve">法人授权书</w:t>
      </w:r>
      <w:r>
        <w:rPr>
          <w:b/>
          <w:sz w:val="30"/>
          <w:szCs w:val="30"/>
          <w:highlight w:val="none"/>
        </w:rPr>
      </w:r>
      <w:r/>
    </w:p>
    <w:p>
      <w:pPr>
        <w:pStyle w:val="728"/>
        <w:ind w:firstLine="480"/>
        <w:jc w:val="both"/>
        <w:spacing w:after="0" w:line="360" w:lineRule="auto"/>
        <w:widowControl w:val="off"/>
        <w:tabs>
          <w:tab w:val="left" w:pos="360" w:leader="none"/>
        </w:tabs>
        <w:rPr>
          <w:sz w:val="24"/>
          <w:szCs w:val="24"/>
          <w:highlight w:val="none"/>
        </w:rPr>
      </w:pPr>
      <w:r>
        <w:rPr>
          <w:rFonts w:hint="eastAsia"/>
          <w:sz w:val="24"/>
          <w:szCs w:val="24"/>
          <w:highlight w:val="none"/>
        </w:rPr>
        <w:t xml:space="preserve">本授权书声明：____________（投标人名称）授权________________（被授权人的姓名）为我方就</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rPr>
          <w:sz w:val="24"/>
          <w:szCs w:val="24"/>
          <w:highlight w:val="none"/>
        </w:rPr>
      </w:r>
      <w:r/>
    </w:p>
    <w:p>
      <w:pPr>
        <w:pStyle w:val="728"/>
        <w:ind w:firstLine="480"/>
        <w:jc w:val="both"/>
        <w:spacing w:after="0" w:line="360" w:lineRule="auto"/>
        <w:widowControl w:val="off"/>
        <w:tabs>
          <w:tab w:val="left" w:pos="360" w:leader="none"/>
        </w:tabs>
        <w:rPr>
          <w:sz w:val="24"/>
          <w:szCs w:val="24"/>
          <w:highlight w:val="none"/>
        </w:rPr>
      </w:pPr>
      <w:r>
        <w:rPr>
          <w:rFonts w:hint="eastAsia"/>
          <w:sz w:val="24"/>
          <w:szCs w:val="24"/>
          <w:highlight w:val="none"/>
        </w:rPr>
        <w:t xml:space="preserve">本授权书于______年____月____日起生效，特此声明。</w:t>
      </w:r>
      <w:r>
        <w:rPr>
          <w:sz w:val="24"/>
          <w:szCs w:val="24"/>
          <w:highlight w:val="none"/>
        </w:rPr>
      </w:r>
      <w:r/>
    </w:p>
    <w:p>
      <w:pPr>
        <w:pStyle w:val="728"/>
        <w:ind w:firstLine="480"/>
        <w:jc w:val="both"/>
        <w:spacing w:after="62" w:line="360" w:lineRule="auto"/>
        <w:widowControl w:val="off"/>
        <w:tabs>
          <w:tab w:val="left" w:pos="360" w:leader="none"/>
        </w:tabs>
        <w:rPr>
          <w:sz w:val="24"/>
          <w:szCs w:val="24"/>
          <w:highlight w:val="none"/>
          <w:u w:val="single"/>
        </w:rPr>
      </w:pPr>
      <w:r>
        <w:rPr>
          <w:rFonts w:hint="eastAsia" w:ascii="宋体" w:hAnsi="宋体"/>
          <w:sz w:val="24"/>
          <w:szCs w:val="24"/>
          <w:highlight w:val="none"/>
        </w:rPr>
        <w:t xml:space="preserve">★</w:t>
      </w:r>
      <w:r>
        <w:rPr>
          <w:rFonts w:hint="eastAsia"/>
          <w:b/>
          <w:bCs/>
          <w:sz w:val="24"/>
          <w:szCs w:val="24"/>
          <w:highlight w:val="none"/>
          <w:u w:val="single"/>
        </w:rPr>
        <w:t xml:space="preserve">代理人（被授权人）</w:t>
      </w:r>
      <w:r>
        <w:rPr>
          <w:rFonts w:hint="eastAsia"/>
          <w:sz w:val="24"/>
          <w:szCs w:val="24"/>
          <w:highlight w:val="none"/>
        </w:rPr>
        <w:t xml:space="preserve">身份证号码：</w:t>
      </w:r>
      <w:r>
        <w:rPr>
          <w:rFonts w:hint="eastAsia"/>
          <w:sz w:val="24"/>
          <w:szCs w:val="24"/>
          <w:highlight w:val="none"/>
          <w:u w:val="single"/>
        </w:rPr>
        <w:t xml:space="preserve">                              </w:t>
      </w:r>
      <w:r>
        <w:rPr>
          <w:sz w:val="24"/>
          <w:szCs w:val="24"/>
          <w:highlight w:val="none"/>
          <w:u w:val="single"/>
        </w:rPr>
      </w:r>
      <w:r/>
    </w:p>
    <w:p>
      <w:pPr>
        <w:pStyle w:val="728"/>
        <w:ind w:firstLine="723"/>
        <w:jc w:val="both"/>
        <w:spacing w:after="62" w:line="360" w:lineRule="auto"/>
        <w:widowControl w:val="off"/>
        <w:tabs>
          <w:tab w:val="left" w:pos="360" w:leader="none"/>
        </w:tabs>
        <w:rPr>
          <w:sz w:val="24"/>
          <w:szCs w:val="24"/>
          <w:highlight w:val="none"/>
          <w:u w:val="single"/>
        </w:rPr>
      </w:pPr>
      <w:r>
        <w:rPr>
          <w:rFonts w:hint="eastAsia"/>
          <w:b/>
          <w:bCs/>
          <w:sz w:val="24"/>
          <w:szCs w:val="24"/>
          <w:highlight w:val="none"/>
        </w:rPr>
        <w:t xml:space="preserve">代理人（被授权人）</w:t>
      </w:r>
      <w:r>
        <w:rPr>
          <w:rFonts w:hint="eastAsia"/>
          <w:sz w:val="24"/>
          <w:szCs w:val="24"/>
          <w:highlight w:val="none"/>
        </w:rPr>
        <w:t xml:space="preserve">联系电话：（手机）</w:t>
      </w:r>
      <w:r>
        <w:rPr>
          <w:rFonts w:hint="eastAsia"/>
          <w:sz w:val="24"/>
          <w:szCs w:val="24"/>
          <w:highlight w:val="none"/>
          <w:u w:val="single"/>
        </w:rPr>
        <w:t xml:space="preserve">                          </w:t>
      </w:r>
      <w:r>
        <w:rPr>
          <w:sz w:val="24"/>
          <w:szCs w:val="24"/>
          <w:highlight w:val="none"/>
          <w:u w:val="single"/>
        </w:rPr>
      </w:r>
      <w:r/>
    </w:p>
    <w:p>
      <w:pPr>
        <w:pStyle w:val="728"/>
        <w:ind w:firstLine="723"/>
        <w:jc w:val="both"/>
        <w:spacing w:after="62" w:line="360" w:lineRule="auto"/>
        <w:widowControl w:val="off"/>
        <w:tabs>
          <w:tab w:val="left" w:pos="360" w:leader="none"/>
        </w:tabs>
        <w:rPr>
          <w:color w:val="000000"/>
          <w:sz w:val="24"/>
          <w:szCs w:val="24"/>
          <w:highlight w:val="none"/>
          <w:u w:val="single"/>
        </w:rPr>
      </w:pPr>
      <w:r>
        <w:rPr>
          <w:rFonts w:hint="eastAsia"/>
          <w:b/>
          <w:bCs/>
          <w:color w:val="000000"/>
          <w:sz w:val="24"/>
          <w:szCs w:val="24"/>
          <w:highlight w:val="none"/>
        </w:rPr>
        <w:t xml:space="preserve">代理人（被授权人）</w:t>
      </w:r>
      <w:r>
        <w:rPr>
          <w:rFonts w:hint="eastAsia"/>
          <w:color w:val="000000"/>
          <w:sz w:val="24"/>
          <w:szCs w:val="24"/>
          <w:highlight w:val="none"/>
        </w:rPr>
        <w:t xml:space="preserve">联系邮箱：</w:t>
      </w:r>
      <w:r>
        <w:rPr>
          <w:rFonts w:hint="eastAsia"/>
          <w:color w:val="000000"/>
          <w:sz w:val="24"/>
          <w:szCs w:val="24"/>
          <w:highlight w:val="none"/>
          <w:u w:val="single"/>
        </w:rPr>
        <w:t xml:space="preserve">                          </w:t>
      </w:r>
      <w:r>
        <w:rPr>
          <w:color w:val="000000"/>
          <w:sz w:val="24"/>
          <w:szCs w:val="24"/>
          <w:highlight w:val="none"/>
          <w:u w:val="single"/>
        </w:rPr>
      </w:r>
      <w:r/>
    </w:p>
    <w:p>
      <w:pPr>
        <w:pStyle w:val="728"/>
        <w:ind w:firstLine="720"/>
        <w:jc w:val="both"/>
        <w:spacing w:after="62" w:line="360" w:lineRule="auto"/>
        <w:widowControl w:val="off"/>
        <w:tabs>
          <w:tab w:val="left" w:pos="360" w:leader="none"/>
        </w:tabs>
        <w:rPr>
          <w:sz w:val="24"/>
          <w:szCs w:val="24"/>
          <w:highlight w:val="none"/>
          <w:u w:val="single"/>
        </w:rPr>
      </w:pPr>
      <w:r>
        <w:rPr>
          <w:sz w:val="24"/>
          <w:szCs w:val="24"/>
          <w:highlight w:val="none"/>
          <w:u w:val="single"/>
        </w:rPr>
      </w:r>
      <w:r/>
    </w:p>
    <w:p>
      <w:pPr>
        <w:pStyle w:val="728"/>
        <w:ind w:firstLine="480"/>
        <w:jc w:val="both"/>
        <w:spacing w:after="62" w:line="360" w:lineRule="auto"/>
        <w:widowControl w:val="off"/>
        <w:tabs>
          <w:tab w:val="left" w:pos="360" w:leader="none"/>
        </w:tabs>
        <w:rPr>
          <w:sz w:val="24"/>
          <w:szCs w:val="24"/>
          <w:highlight w:val="none"/>
        </w:rPr>
      </w:pPr>
      <w:r>
        <w:rPr>
          <w:rFonts w:hint="eastAsia" w:ascii="宋体" w:hAnsi="宋体"/>
          <w:sz w:val="24"/>
          <w:szCs w:val="24"/>
          <w:highlight w:val="none"/>
        </w:rPr>
        <w:t xml:space="preserve">★</w:t>
      </w:r>
      <w:r>
        <w:rPr>
          <w:rFonts w:hint="eastAsia"/>
          <w:b/>
          <w:bCs/>
          <w:sz w:val="24"/>
          <w:szCs w:val="24"/>
          <w:highlight w:val="none"/>
          <w:u w:val="single"/>
        </w:rPr>
        <w:t xml:space="preserve">授权单位（CA电子公章）：</w:t>
      </w:r>
      <w:r>
        <w:rPr>
          <w:rFonts w:hint="eastAsia"/>
          <w:sz w:val="24"/>
          <w:szCs w:val="24"/>
          <w:highlight w:val="none"/>
        </w:rPr>
        <w:t xml:space="preserve">_________________________________</w:t>
      </w:r>
      <w:r>
        <w:rPr>
          <w:sz w:val="24"/>
          <w:szCs w:val="24"/>
          <w:highlight w:val="none"/>
        </w:rPr>
      </w:r>
      <w:r/>
    </w:p>
    <w:p>
      <w:pPr>
        <w:pStyle w:val="728"/>
        <w:ind w:firstLine="720"/>
        <w:jc w:val="both"/>
        <w:spacing w:after="62" w:line="360" w:lineRule="auto"/>
        <w:widowControl w:val="off"/>
        <w:tabs>
          <w:tab w:val="left" w:pos="360" w:leader="none"/>
        </w:tabs>
        <w:rPr>
          <w:sz w:val="24"/>
          <w:szCs w:val="24"/>
          <w:highlight w:val="none"/>
          <w:u w:val="single"/>
        </w:rPr>
      </w:pPr>
      <w:r>
        <w:rPr>
          <w:rFonts w:hint="eastAsia"/>
          <w:sz w:val="24"/>
          <w:szCs w:val="24"/>
          <w:highlight w:val="none"/>
        </w:rPr>
        <w:t xml:space="preserve">单位地址：</w:t>
      </w:r>
      <w:r>
        <w:rPr>
          <w:rFonts w:hint="eastAsia"/>
          <w:sz w:val="24"/>
          <w:szCs w:val="24"/>
          <w:highlight w:val="none"/>
          <w:u w:val="single"/>
        </w:rPr>
        <w:t xml:space="preserve">                                         </w:t>
      </w:r>
      <w:r>
        <w:rPr>
          <w:sz w:val="24"/>
          <w:szCs w:val="24"/>
          <w:highlight w:val="none"/>
          <w:u w:val="single"/>
        </w:rPr>
      </w:r>
      <w:r/>
    </w:p>
    <w:p>
      <w:pPr>
        <w:pStyle w:val="728"/>
        <w:ind w:firstLine="720"/>
        <w:jc w:val="both"/>
        <w:spacing w:after="62" w:line="360" w:lineRule="auto"/>
        <w:widowControl w:val="off"/>
        <w:tabs>
          <w:tab w:val="left" w:pos="360" w:leader="none"/>
        </w:tabs>
        <w:rPr>
          <w:sz w:val="24"/>
          <w:szCs w:val="24"/>
          <w:highlight w:val="none"/>
        </w:rPr>
      </w:pPr>
      <w:r>
        <w:rPr>
          <w:rFonts w:hint="eastAsia"/>
          <w:sz w:val="24"/>
          <w:szCs w:val="24"/>
          <w:highlight w:val="none"/>
        </w:rPr>
        <w:t xml:space="preserve">日期：</w:t>
      </w:r>
      <w:bookmarkStart w:id="182" w:name="_格式3__银行出具的资信证明"/>
      <w:r/>
      <w:bookmarkEnd w:id="182"/>
      <w:r/>
      <w:bookmarkStart w:id="183" w:name="_Hlt26955070"/>
      <w:r/>
      <w:bookmarkEnd w:id="183"/>
      <w:r/>
      <w:bookmarkStart w:id="184" w:name="_Hlt26671380"/>
      <w:r/>
      <w:bookmarkEnd w:id="184"/>
      <w:r>
        <w:rPr>
          <w:rFonts w:hint="eastAsia"/>
          <w:sz w:val="24"/>
          <w:szCs w:val="24"/>
          <w:highlight w:val="none"/>
          <w:u w:val="single"/>
        </w:rPr>
        <w:t xml:space="preserve">                                         </w:t>
      </w:r>
      <w:r>
        <w:rPr>
          <w:sz w:val="24"/>
          <w:szCs w:val="24"/>
          <w:highlight w:val="none"/>
        </w:rPr>
      </w:r>
      <w:r/>
    </w:p>
    <w:p>
      <w:pPr>
        <w:pStyle w:val="728"/>
        <w:ind w:firstLine="420"/>
        <w:jc w:val="both"/>
        <w:spacing w:after="0" w:line="240" w:lineRule="auto"/>
        <w:widowControl w:val="off"/>
        <w:rPr>
          <w:iCs/>
          <w:sz w:val="24"/>
          <w:szCs w:val="24"/>
          <w:highlight w:val="none"/>
          <w:u w:val="single"/>
        </w:rPr>
      </w:pPr>
      <w:r>
        <w:rPr>
          <w:iCs/>
          <w:sz w:val="24"/>
          <w:szCs w:val="24"/>
          <w:highlight w:val="none"/>
          <w:u w:val="single"/>
        </w:rPr>
      </w:r>
      <w:r/>
    </w:p>
    <w:p>
      <w:pPr>
        <w:pStyle w:val="728"/>
        <w:ind w:firstLine="420"/>
        <w:jc w:val="both"/>
        <w:spacing w:after="0" w:line="240" w:lineRule="auto"/>
        <w:widowControl w:val="off"/>
        <w:rPr>
          <w:iCs/>
          <w:sz w:val="21"/>
          <w:highlight w:val="none"/>
        </w:rPr>
      </w:pPr>
      <w:r>
        <w:rPr>
          <w:iCs/>
          <w:sz w:val="21"/>
          <w:highlight w:val="none"/>
        </w:rPr>
      </w:r>
      <w:r/>
    </w:p>
    <w:p>
      <w:pPr>
        <w:pStyle w:val="728"/>
        <w:ind w:firstLine="420"/>
        <w:rPr>
          <w:color w:val="000000"/>
          <w:sz w:val="32"/>
          <w:szCs w:val="32"/>
          <w:highlight w:val="none"/>
        </w:rPr>
      </w:pPr>
      <w:r>
        <w:rPr>
          <w:rFonts w:hint="eastAsia" w:ascii="宋体" w:hAnsi="宋体"/>
          <w:color w:val="000000"/>
          <w:sz w:val="24"/>
          <w:szCs w:val="24"/>
          <w:highlight w:val="none"/>
        </w:rPr>
        <w:t xml:space="preserve">★</w:t>
      </w:r>
      <w:r>
        <w:rPr>
          <w:rFonts w:hint="eastAsia"/>
          <w:color w:val="000000"/>
          <w:sz w:val="32"/>
          <w:szCs w:val="32"/>
          <w:highlight w:val="none"/>
        </w:rPr>
        <w:t xml:space="preserve">1.1被授权人身份证复印件（扫描上传</w:t>
      </w:r>
      <w:bookmarkStart w:id="185" w:name="_Hlk219361877"/>
      <w:r>
        <w:rPr>
          <w:rFonts w:hint="eastAsia"/>
          <w:color w:val="000000"/>
          <w:sz w:val="32"/>
          <w:szCs w:val="32"/>
          <w:highlight w:val="none"/>
        </w:rPr>
        <w:t xml:space="preserve">、CA电子公章</w:t>
      </w:r>
      <w:bookmarkEnd w:id="185"/>
      <w:r>
        <w:rPr>
          <w:rFonts w:hint="eastAsia"/>
          <w:color w:val="000000"/>
          <w:sz w:val="32"/>
          <w:szCs w:val="32"/>
          <w:highlight w:val="none"/>
        </w:rPr>
        <w:t xml:space="preserve">）：</w:t>
      </w:r>
      <w:r>
        <w:rPr>
          <w:color w:val="000000"/>
          <w:sz w:val="32"/>
          <w:szCs w:val="32"/>
          <w:highlight w:val="none"/>
        </w:rPr>
      </w:r>
      <w:r/>
    </w:p>
    <w:p>
      <w:pPr>
        <w:pStyle w:val="728"/>
        <w:ind w:firstLine="420"/>
        <w:rPr>
          <w:color w:val="000000"/>
          <w:sz w:val="32"/>
          <w:szCs w:val="32"/>
          <w:highlight w:val="none"/>
        </w:rPr>
      </w:pPr>
      <w:r>
        <w:rPr>
          <w:color w:val="000000"/>
          <w:sz w:val="32"/>
          <w:szCs w:val="32"/>
          <w:highlight w:val="none"/>
        </w:rPr>
      </w:r>
      <w:r/>
    </w:p>
    <w:p>
      <w:pPr>
        <w:pStyle w:val="728"/>
        <w:ind w:firstLine="420"/>
        <w:rPr>
          <w:color w:val="000000"/>
          <w:sz w:val="32"/>
          <w:szCs w:val="32"/>
          <w:highlight w:val="none"/>
        </w:rPr>
      </w:pPr>
      <w:r>
        <w:rPr>
          <w:color w:val="000000"/>
          <w:sz w:val="32"/>
          <w:szCs w:val="32"/>
          <w:highlight w:val="none"/>
        </w:rPr>
      </w:r>
      <w:r/>
    </w:p>
    <w:p>
      <w:pPr>
        <w:pStyle w:val="728"/>
        <w:ind w:firstLine="560"/>
        <w:jc w:val="both"/>
        <w:spacing w:after="62" w:line="240" w:lineRule="auto"/>
        <w:widowControl w:val="off"/>
        <w:rPr>
          <w:color w:val="000000"/>
          <w:sz w:val="28"/>
          <w:szCs w:val="28"/>
          <w:highlight w:val="none"/>
        </w:rPr>
      </w:pPr>
      <w:r>
        <w:rPr>
          <w:rFonts w:hint="eastAsia" w:ascii="宋体" w:hAnsi="宋体"/>
          <w:color w:val="000000"/>
          <w:sz w:val="24"/>
          <w:szCs w:val="24"/>
          <w:highlight w:val="none"/>
        </w:rPr>
        <w:t xml:space="preserve">★</w:t>
      </w:r>
      <w:r>
        <w:rPr>
          <w:rFonts w:hint="eastAsia"/>
          <w:bCs/>
          <w:color w:val="000000"/>
          <w:sz w:val="32"/>
          <w:szCs w:val="32"/>
          <w:highlight w:val="none"/>
        </w:rPr>
        <w:t xml:space="preserve">1.2近三个月内任意一个月由授权单位为被授权人缴纳社保的证明材料</w:t>
      </w:r>
      <w:r>
        <w:rPr>
          <w:rFonts w:hint="eastAsia"/>
          <w:color w:val="000000"/>
          <w:sz w:val="32"/>
          <w:szCs w:val="32"/>
          <w:highlight w:val="none"/>
        </w:rPr>
        <w:t xml:space="preserve">（扫描上传、CA电子公章）</w:t>
      </w:r>
      <w:r>
        <w:rPr>
          <w:rFonts w:hint="eastAsia"/>
          <w:bCs/>
          <w:color w:val="000000"/>
          <w:sz w:val="32"/>
          <w:szCs w:val="32"/>
          <w:highlight w:val="none"/>
        </w:rPr>
        <w:t xml:space="preserve">：</w:t>
      </w:r>
      <w:r>
        <w:rPr>
          <w:color w:val="000000"/>
          <w:sz w:val="28"/>
          <w:szCs w:val="28"/>
          <w:highlight w:val="none"/>
        </w:rPr>
      </w:r>
      <w:r/>
    </w:p>
    <w:p>
      <w:pPr>
        <w:pStyle w:val="728"/>
        <w:ind w:firstLine="420"/>
        <w:jc w:val="both"/>
        <w:spacing w:after="0" w:line="240" w:lineRule="auto"/>
        <w:widowControl w:val="off"/>
        <w:rPr>
          <w:b/>
          <w:sz w:val="32"/>
          <w:szCs w:val="32"/>
          <w:highlight w:val="none"/>
        </w:rPr>
      </w:pPr>
      <w:r>
        <w:rPr>
          <w:b/>
          <w:sz w:val="32"/>
          <w:szCs w:val="32"/>
          <w:highlight w:val="none"/>
        </w:rPr>
      </w:r>
      <w:r/>
    </w:p>
    <w:p>
      <w:pPr>
        <w:pStyle w:val="728"/>
        <w:ind w:firstLine="562"/>
        <w:jc w:val="both"/>
        <w:spacing w:after="0" w:line="240" w:lineRule="auto"/>
        <w:widowControl w:val="off"/>
        <w:rPr>
          <w:rFonts w:hint="eastAsia" w:ascii="宋体" w:hAnsi="宋体"/>
          <w:b/>
          <w:sz w:val="28"/>
          <w:szCs w:val="28"/>
          <w:highlight w:val="none"/>
        </w:rPr>
      </w:pPr>
      <w:r>
        <w:rPr>
          <w:rFonts w:hint="eastAsia" w:ascii="宋体" w:hAnsi="宋体"/>
          <w:b/>
          <w:sz w:val="28"/>
          <w:szCs w:val="28"/>
          <w:highlight w:val="none"/>
        </w:rPr>
        <w:br w:type="page" w:clear="all"/>
      </w:r>
      <w:r>
        <w:rPr>
          <w:rFonts w:hint="eastAsia" w:ascii="宋体" w:hAnsi="宋体"/>
          <w:b/>
          <w:sz w:val="28"/>
          <w:szCs w:val="28"/>
          <w:highlight w:val="none"/>
        </w:rPr>
        <w:t xml:space="preserve">2.投标函（格式如下</w:t>
      </w:r>
      <w:r>
        <w:rPr>
          <w:rFonts w:hint="eastAsia" w:ascii="宋体" w:hAnsi="宋体"/>
          <w:b/>
          <w:color w:val="000000"/>
          <w:sz w:val="28"/>
          <w:szCs w:val="28"/>
          <w:highlight w:val="none"/>
        </w:rPr>
        <w:t xml:space="preserve">，</w:t>
      </w:r>
      <w:r>
        <w:rPr>
          <w:rFonts w:hint="eastAsia" w:ascii="宋体" w:hAnsi="宋体"/>
          <w:b/>
          <w:sz w:val="28"/>
          <w:szCs w:val="28"/>
          <w:highlight w:val="none"/>
        </w:rPr>
        <w:t xml:space="preserve">不得随意更改，请按要求填写，原件并加盖CA电子公章）。</w:t>
      </w:r>
      <w:r>
        <w:rPr>
          <w:rFonts w:hint="eastAsia" w:ascii="宋体" w:hAnsi="宋体"/>
          <w:b/>
          <w:sz w:val="28"/>
          <w:szCs w:val="28"/>
          <w:highlight w:val="none"/>
        </w:rPr>
      </w:r>
      <w:r/>
    </w:p>
    <w:p>
      <w:pPr>
        <w:pStyle w:val="728"/>
        <w:jc w:val="center"/>
        <w:spacing w:after="0" w:line="240" w:lineRule="auto"/>
        <w:widowControl w:val="off"/>
        <w:rPr>
          <w:b/>
          <w:sz w:val="32"/>
          <w:szCs w:val="32"/>
          <w:highlight w:val="none"/>
        </w:rPr>
      </w:pPr>
      <w:r>
        <w:rPr>
          <w:rFonts w:hint="eastAsia"/>
          <w:b/>
          <w:sz w:val="32"/>
          <w:szCs w:val="32"/>
          <w:highlight w:val="none"/>
        </w:rPr>
        <w:t xml:space="preserve">投标函格式</w:t>
      </w:r>
      <w:r>
        <w:rPr>
          <w:b/>
          <w:sz w:val="32"/>
          <w:szCs w:val="32"/>
          <w:highlight w:val="none"/>
        </w:rPr>
      </w:r>
      <w:r/>
    </w:p>
    <w:p>
      <w:pPr>
        <w:pStyle w:val="728"/>
        <w:spacing w:after="0" w:line="420" w:lineRule="exact"/>
        <w:widowControl w:val="off"/>
        <w:rPr>
          <w:rFonts w:ascii="宋体" w:hAnsi="Arial"/>
          <w:sz w:val="24"/>
          <w:highlight w:val="none"/>
        </w:rPr>
      </w:pPr>
      <w:r>
        <w:rPr>
          <w:rFonts w:hint="eastAsia" w:ascii="宋体" w:hAnsi="Arial"/>
          <w:sz w:val="24"/>
          <w:highlight w:val="none"/>
        </w:rPr>
        <w:t xml:space="preserve">致：南京小旸树招标代理有限公司</w:t>
      </w:r>
      <w:r>
        <w:rPr>
          <w:rFonts w:ascii="宋体" w:hAnsi="Arial"/>
          <w:sz w:val="24"/>
          <w:highlight w:val="none"/>
        </w:rPr>
      </w:r>
      <w:r/>
    </w:p>
    <w:p>
      <w:pPr>
        <w:pStyle w:val="728"/>
        <w:ind w:firstLine="480"/>
        <w:spacing w:after="0" w:line="420" w:lineRule="exact"/>
        <w:widowControl w:val="off"/>
        <w:rPr>
          <w:rFonts w:ascii="宋体" w:hAnsi="Arial"/>
          <w:sz w:val="24"/>
          <w:highlight w:val="none"/>
        </w:rPr>
      </w:pPr>
      <w:r>
        <w:rPr>
          <w:rFonts w:hint="eastAsia" w:ascii="宋体" w:hAnsi="Arial"/>
          <w:sz w:val="24"/>
          <w:highlight w:val="none"/>
        </w:rPr>
        <w:t xml:space="preserve">根据贵方的</w:t>
      </w:r>
      <w:r>
        <w:rPr>
          <w:rFonts w:hint="eastAsia" w:ascii="宋体" w:hAnsi="Arial"/>
          <w:b/>
          <w:sz w:val="36"/>
          <w:szCs w:val="24"/>
          <w:highlight w:val="none"/>
          <w:u w:val="single"/>
        </w:rPr>
        <w:t xml:space="preserve">            </w:t>
      </w:r>
      <w:r>
        <w:rPr>
          <w:rFonts w:hint="eastAsia" w:ascii="宋体" w:hAnsi="Arial"/>
          <w:sz w:val="24"/>
          <w:highlight w:val="none"/>
        </w:rPr>
        <w:t xml:space="preserve">号招标文件，正式授权下述签字人________(姓名)代表我方______________（投标人的名称），全权处理本次项目投标的有关事宜。</w:t>
      </w:r>
      <w:r>
        <w:rPr>
          <w:rFonts w:ascii="宋体" w:hAnsi="Arial"/>
          <w:sz w:val="24"/>
          <w:highlight w:val="none"/>
        </w:rPr>
      </w:r>
      <w:r/>
    </w:p>
    <w:p>
      <w:pPr>
        <w:pStyle w:val="728"/>
        <w:ind w:firstLine="480"/>
        <w:spacing w:after="0" w:line="420" w:lineRule="exact"/>
        <w:widowControl w:val="off"/>
        <w:rPr>
          <w:rFonts w:ascii="宋体" w:hAnsi="Arial"/>
          <w:sz w:val="24"/>
          <w:highlight w:val="none"/>
        </w:rPr>
      </w:pPr>
      <w:r>
        <w:rPr>
          <w:rFonts w:hint="eastAsia" w:ascii="宋体" w:hAnsi="Arial"/>
          <w:sz w:val="24"/>
          <w:highlight w:val="none"/>
        </w:rPr>
        <w:t xml:space="preserve">据此函，__________（被授权人）兹宣布同意如下：</w:t>
      </w:r>
      <w:r>
        <w:rPr>
          <w:rFonts w:ascii="宋体" w:hAnsi="Arial"/>
          <w:sz w:val="24"/>
          <w:highlight w:val="none"/>
        </w:rPr>
      </w:r>
      <w:r/>
    </w:p>
    <w:p>
      <w:pPr>
        <w:pStyle w:val="728"/>
        <w:ind w:firstLine="480"/>
        <w:spacing w:after="0" w:line="420" w:lineRule="exact"/>
        <w:widowControl w:val="off"/>
        <w:rPr>
          <w:rFonts w:ascii="宋体" w:hAnsi="Arial"/>
          <w:sz w:val="24"/>
          <w:highlight w:val="none"/>
        </w:rPr>
      </w:pPr>
      <w:r>
        <w:rPr>
          <w:rFonts w:hint="eastAsia" w:ascii="宋体" w:hAnsi="Arial"/>
          <w:sz w:val="24"/>
          <w:highlight w:val="none"/>
        </w:rPr>
        <w:t xml:space="preserve">1.按招标文件规定的各项要求，向买方提供所需货物与服务。</w:t>
      </w:r>
      <w:r>
        <w:rPr>
          <w:rFonts w:ascii="宋体" w:hAnsi="Arial"/>
          <w:sz w:val="24"/>
          <w:highlight w:val="none"/>
        </w:rPr>
      </w:r>
      <w:r/>
    </w:p>
    <w:p>
      <w:pPr>
        <w:pStyle w:val="728"/>
        <w:ind w:firstLine="480"/>
        <w:spacing w:after="0" w:line="420" w:lineRule="exact"/>
        <w:widowControl w:val="off"/>
        <w:rPr>
          <w:rFonts w:ascii="宋体" w:hAnsi="Arial"/>
          <w:sz w:val="24"/>
          <w:highlight w:val="none"/>
        </w:rPr>
      </w:pPr>
      <w:r>
        <w:rPr>
          <w:rFonts w:hint="eastAsia" w:ascii="宋体" w:hAnsi="Arial"/>
          <w:sz w:val="24"/>
          <w:highlight w:val="none"/>
        </w:rPr>
        <w:t xml:space="preserve">2.我们完全理解贵方不一定将合同授予最低报价的投标人。</w:t>
      </w:r>
      <w:r>
        <w:rPr>
          <w:rFonts w:ascii="宋体" w:hAnsi="Arial"/>
          <w:sz w:val="24"/>
          <w:highlight w:val="none"/>
        </w:rPr>
      </w:r>
      <w:r/>
    </w:p>
    <w:p>
      <w:pPr>
        <w:pStyle w:val="728"/>
        <w:ind w:firstLine="480"/>
        <w:spacing w:after="0" w:line="420" w:lineRule="exact"/>
        <w:widowControl w:val="off"/>
        <w:rPr>
          <w:rFonts w:ascii="宋体" w:hAnsi="Arial"/>
          <w:sz w:val="24"/>
          <w:highlight w:val="none"/>
        </w:rPr>
      </w:pPr>
      <w:r>
        <w:rPr>
          <w:rFonts w:hint="eastAsia" w:ascii="宋体" w:hAnsi="Arial"/>
          <w:sz w:val="24"/>
          <w:highlight w:val="none"/>
        </w:rPr>
        <w:t xml:space="preserve">3.我们已详细审核全部招标文件及其有效补充文件，我们知道必须放弃提出含糊不清或误解问题的权利。</w:t>
      </w:r>
      <w:r>
        <w:rPr>
          <w:rFonts w:ascii="宋体" w:hAnsi="Arial"/>
          <w:sz w:val="24"/>
          <w:highlight w:val="none"/>
        </w:rPr>
      </w:r>
      <w:r/>
    </w:p>
    <w:p>
      <w:pPr>
        <w:pStyle w:val="728"/>
        <w:ind w:firstLine="480"/>
        <w:spacing w:after="0" w:line="420" w:lineRule="exact"/>
        <w:widowControl w:val="off"/>
        <w:rPr>
          <w:rFonts w:ascii="宋体" w:hAnsi="Arial"/>
          <w:sz w:val="24"/>
          <w:highlight w:val="none"/>
        </w:rPr>
      </w:pPr>
      <w:r>
        <w:rPr>
          <w:rFonts w:hint="eastAsia" w:ascii="宋体" w:hAnsi="Arial"/>
          <w:sz w:val="24"/>
          <w:highlight w:val="none"/>
        </w:rPr>
        <w:t xml:space="preserve">4.我们同意从规定的开标日期起遵循本投标文件，并在规定的投标有效期期满之前均具有约束力。</w:t>
      </w:r>
      <w:r>
        <w:rPr>
          <w:rFonts w:ascii="宋体" w:hAnsi="Arial"/>
          <w:sz w:val="24"/>
          <w:highlight w:val="none"/>
        </w:rPr>
      </w:r>
      <w:r/>
    </w:p>
    <w:p>
      <w:pPr>
        <w:pStyle w:val="728"/>
        <w:ind w:firstLine="480"/>
        <w:spacing w:after="0" w:line="420" w:lineRule="exact"/>
        <w:widowControl w:val="off"/>
        <w:rPr>
          <w:rFonts w:ascii="宋体" w:hAnsi="Arial"/>
          <w:sz w:val="24"/>
          <w:highlight w:val="none"/>
        </w:rPr>
      </w:pPr>
      <w:r>
        <w:rPr>
          <w:rFonts w:hint="eastAsia" w:ascii="宋体" w:hAnsi="Arial"/>
          <w:sz w:val="24"/>
          <w:highlight w:val="none"/>
        </w:rPr>
        <w:t xml:space="preserve">5.同意向贵方提供贵方可能另外要求的与投标有关的任何证据或资料，并保证我方已提供和将要提供的文件是真实的、准确的。</w:t>
      </w:r>
      <w:r>
        <w:rPr>
          <w:rFonts w:ascii="宋体" w:hAnsi="Arial"/>
          <w:sz w:val="24"/>
          <w:highlight w:val="none"/>
        </w:rPr>
      </w:r>
      <w:r/>
    </w:p>
    <w:p>
      <w:pPr>
        <w:pStyle w:val="728"/>
        <w:ind w:firstLine="480"/>
        <w:spacing w:after="0" w:line="420" w:lineRule="exact"/>
        <w:widowControl w:val="off"/>
        <w:rPr>
          <w:rFonts w:ascii="宋体" w:hAnsi="Arial"/>
          <w:sz w:val="24"/>
          <w:highlight w:val="none"/>
        </w:rPr>
      </w:pPr>
      <w:r>
        <w:rPr>
          <w:rFonts w:hint="eastAsia" w:ascii="宋体" w:hAnsi="Arial"/>
          <w:sz w:val="24"/>
          <w:highlight w:val="none"/>
        </w:rPr>
        <w:t xml:space="preserve">6.一旦我方中标,我方将根据招标文件的规定，严格履行合同的责任和义务,并保证在招标文件规定的时间完成项目，交付买方验收、使用。</w:t>
      </w:r>
      <w:r>
        <w:rPr>
          <w:rFonts w:ascii="宋体" w:hAnsi="Arial"/>
          <w:sz w:val="24"/>
          <w:highlight w:val="none"/>
        </w:rPr>
      </w:r>
      <w:r/>
    </w:p>
    <w:p>
      <w:pPr>
        <w:pStyle w:val="728"/>
        <w:ind w:left="425"/>
        <w:spacing w:after="0" w:line="420" w:lineRule="exact"/>
        <w:widowControl w:val="off"/>
        <w:rPr>
          <w:rFonts w:ascii="宋体" w:hAnsi="Arial"/>
          <w:sz w:val="24"/>
          <w:highlight w:val="none"/>
        </w:rPr>
      </w:pPr>
      <w:r>
        <w:rPr>
          <w:rFonts w:hint="eastAsia" w:ascii="宋体" w:hAnsi="Arial"/>
          <w:sz w:val="24"/>
          <w:highlight w:val="none"/>
        </w:rPr>
        <w:t xml:space="preserve">7.与本投标有关的正式通讯地址为：</w:t>
      </w:r>
      <w:r>
        <w:rPr>
          <w:rFonts w:ascii="宋体" w:hAnsi="Arial"/>
          <w:sz w:val="24"/>
          <w:highlight w:val="none"/>
        </w:rPr>
      </w:r>
      <w:r/>
    </w:p>
    <w:p>
      <w:pPr>
        <w:pStyle w:val="728"/>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地          址：</w:t>
      </w:r>
      <w:r>
        <w:rPr>
          <w:rFonts w:ascii="宋体" w:hAnsi="Arial"/>
          <w:sz w:val="24"/>
          <w:highlight w:val="none"/>
        </w:rPr>
      </w:r>
      <w:r/>
    </w:p>
    <w:p>
      <w:pPr>
        <w:pStyle w:val="728"/>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邮          编：</w:t>
      </w:r>
      <w:r>
        <w:rPr>
          <w:rFonts w:ascii="宋体" w:hAnsi="Arial"/>
          <w:sz w:val="24"/>
          <w:highlight w:val="none"/>
        </w:rPr>
      </w:r>
      <w:r/>
    </w:p>
    <w:p>
      <w:pPr>
        <w:pStyle w:val="728"/>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电          话：</w:t>
      </w:r>
      <w:r>
        <w:rPr>
          <w:rFonts w:ascii="宋体" w:hAnsi="Arial"/>
          <w:sz w:val="24"/>
          <w:highlight w:val="none"/>
        </w:rPr>
      </w:r>
      <w:r/>
    </w:p>
    <w:p>
      <w:pPr>
        <w:pStyle w:val="728"/>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传          真：</w:t>
      </w:r>
      <w:r>
        <w:rPr>
          <w:rFonts w:ascii="宋体" w:hAnsi="Arial"/>
          <w:sz w:val="24"/>
          <w:highlight w:val="none"/>
        </w:rPr>
      </w:r>
      <w:r/>
    </w:p>
    <w:p>
      <w:pPr>
        <w:pStyle w:val="728"/>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投标人开户行：</w:t>
      </w:r>
      <w:r>
        <w:rPr>
          <w:rFonts w:ascii="宋体" w:hAnsi="Arial"/>
          <w:sz w:val="24"/>
          <w:highlight w:val="none"/>
        </w:rPr>
      </w:r>
      <w:r/>
    </w:p>
    <w:p>
      <w:pPr>
        <w:pStyle w:val="728"/>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账          户： </w:t>
      </w:r>
      <w:r>
        <w:rPr>
          <w:rFonts w:ascii="宋体" w:hAnsi="Arial"/>
          <w:sz w:val="24"/>
          <w:highlight w:val="none"/>
        </w:rPr>
      </w:r>
      <w:r/>
    </w:p>
    <w:p>
      <w:pPr>
        <w:pStyle w:val="728"/>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投标人名称（CA电子公章）：</w:t>
      </w:r>
      <w:r>
        <w:rPr>
          <w:rFonts w:ascii="宋体" w:hAnsi="Arial"/>
          <w:sz w:val="24"/>
          <w:highlight w:val="none"/>
        </w:rPr>
      </w:r>
      <w:r/>
    </w:p>
    <w:p>
      <w:pPr>
        <w:pStyle w:val="728"/>
        <w:ind w:left="440" w:firstLine="480"/>
        <w:spacing w:after="0" w:line="420" w:lineRule="exact"/>
        <w:widowControl w:val="off"/>
        <w:rPr>
          <w:rFonts w:ascii="宋体" w:hAnsi="Arial"/>
          <w:sz w:val="24"/>
          <w:highlight w:val="none"/>
        </w:rPr>
      </w:pPr>
      <w:r>
        <w:rPr>
          <w:rFonts w:hint="eastAsia" w:ascii="宋体" w:hAnsi="Arial"/>
          <w:sz w:val="24"/>
          <w:highlight w:val="none"/>
        </w:rPr>
        <w:t xml:space="preserve">日           期：________年____月____日</w:t>
      </w:r>
      <w:r>
        <w:rPr>
          <w:rFonts w:ascii="宋体" w:hAnsi="Arial"/>
          <w:sz w:val="24"/>
          <w:highlight w:val="none"/>
        </w:rPr>
      </w:r>
      <w:r/>
    </w:p>
    <w:p>
      <w:pPr>
        <w:pStyle w:val="728"/>
        <w:jc w:val="both"/>
        <w:spacing w:after="0" w:line="460" w:lineRule="exact"/>
        <w:widowControl w:val="off"/>
        <w:rPr>
          <w:rFonts w:ascii="宋体"/>
          <w:bCs/>
          <w:sz w:val="24"/>
          <w:highlight w:val="none"/>
        </w:rPr>
      </w:pPr>
      <w:r>
        <w:rPr>
          <w:rFonts w:ascii="宋体"/>
          <w:bCs/>
          <w:sz w:val="24"/>
          <w:highlight w:val="none"/>
        </w:rPr>
      </w:r>
      <w:r/>
    </w:p>
    <w:p>
      <w:pPr>
        <w:pStyle w:val="728"/>
        <w:jc w:val="center"/>
        <w:spacing w:after="0" w:line="240" w:lineRule="auto"/>
        <w:widowControl w:val="off"/>
        <w:rPr>
          <w:b/>
          <w:sz w:val="32"/>
          <w:szCs w:val="32"/>
          <w:highlight w:val="none"/>
        </w:rPr>
      </w:pPr>
      <w:r>
        <w:rPr>
          <w:b/>
          <w:sz w:val="32"/>
          <w:szCs w:val="32"/>
          <w:highlight w:val="none"/>
        </w:rPr>
      </w:r>
      <w:r/>
    </w:p>
    <w:p>
      <w:pPr>
        <w:pStyle w:val="728"/>
        <w:jc w:val="center"/>
        <w:spacing w:after="0" w:line="240" w:lineRule="auto"/>
        <w:widowControl w:val="off"/>
        <w:rPr>
          <w:b/>
          <w:sz w:val="32"/>
          <w:szCs w:val="32"/>
          <w:highlight w:val="none"/>
        </w:rPr>
      </w:pPr>
      <w:r>
        <w:rPr>
          <w:b/>
          <w:sz w:val="32"/>
          <w:szCs w:val="32"/>
          <w:highlight w:val="none"/>
        </w:rPr>
      </w:r>
      <w:r/>
    </w:p>
    <w:p>
      <w:pPr>
        <w:pStyle w:val="728"/>
        <w:ind w:firstLine="562"/>
        <w:jc w:val="both"/>
        <w:spacing w:after="0" w:line="240" w:lineRule="auto"/>
        <w:widowControl w:val="off"/>
        <w:rPr>
          <w:rFonts w:hint="eastAsia" w:ascii="宋体" w:hAnsi="宋体"/>
          <w:b/>
          <w:sz w:val="28"/>
          <w:szCs w:val="28"/>
          <w:highlight w:val="none"/>
        </w:rPr>
      </w:pPr>
      <w:r>
        <w:rPr>
          <w:rFonts w:hint="eastAsia" w:ascii="宋体" w:hAnsi="宋体"/>
          <w:b/>
          <w:sz w:val="28"/>
          <w:szCs w:val="28"/>
          <w:highlight w:val="none"/>
        </w:rPr>
        <w:t xml:space="preserve">3.开标一览表（格式如下</w:t>
      </w:r>
      <w:r>
        <w:rPr>
          <w:rFonts w:hint="eastAsia" w:ascii="宋体" w:hAnsi="宋体"/>
          <w:b/>
          <w:color w:val="000000"/>
          <w:sz w:val="28"/>
          <w:szCs w:val="28"/>
          <w:highlight w:val="none"/>
        </w:rPr>
        <w:t xml:space="preserve">，</w:t>
      </w:r>
      <w:r>
        <w:rPr>
          <w:rFonts w:hint="eastAsia" w:ascii="宋体" w:hAnsi="宋体"/>
          <w:b/>
          <w:sz w:val="28"/>
          <w:szCs w:val="28"/>
          <w:highlight w:val="none"/>
        </w:rPr>
        <w:t xml:space="preserve">不得随意更改，请按要求填写，原件并加盖CA电子公章）。</w:t>
      </w:r>
      <w:r>
        <w:rPr>
          <w:rFonts w:hint="eastAsia" w:ascii="宋体" w:hAnsi="宋体"/>
          <w:b/>
          <w:sz w:val="28"/>
          <w:szCs w:val="28"/>
          <w:highlight w:val="none"/>
        </w:rPr>
      </w:r>
      <w:r/>
    </w:p>
    <w:p>
      <w:pPr>
        <w:pStyle w:val="728"/>
        <w:jc w:val="center"/>
        <w:rPr>
          <w:rFonts w:hint="eastAsia" w:ascii="宋体" w:hAnsi="宋体" w:cs="宋体"/>
          <w:b/>
          <w:bCs/>
          <w:sz w:val="48"/>
          <w:szCs w:val="48"/>
          <w:highlight w:val="none"/>
        </w:rPr>
      </w:pPr>
      <w:r/>
      <w:bookmarkStart w:id="186" w:name="_Toc192946476"/>
      <w:r>
        <w:rPr>
          <w:rFonts w:ascii="宋体" w:hAnsi="宋体" w:cs="宋体"/>
          <w:b/>
          <w:bCs/>
          <w:sz w:val="48"/>
          <w:szCs w:val="48"/>
          <w:highlight w:val="none"/>
        </w:rPr>
        <w:t xml:space="preserve">开标一览表</w:t>
      </w:r>
      <w:bookmarkEnd w:id="186"/>
      <w:r>
        <w:rPr>
          <w:rFonts w:hint="eastAsia" w:ascii="宋体" w:hAnsi="宋体" w:cs="宋体"/>
          <w:b/>
          <w:bCs/>
          <w:sz w:val="48"/>
          <w:szCs w:val="48"/>
          <w:highlight w:val="none"/>
        </w:rPr>
      </w:r>
      <w:r/>
    </w:p>
    <w:p>
      <w:pPr>
        <w:pStyle w:val="728"/>
        <w:ind w:firstLine="480"/>
        <w:jc w:val="both"/>
        <w:spacing w:after="0" w:line="240" w:lineRule="auto"/>
        <w:widowControl w:val="off"/>
        <w:rPr>
          <w:rFonts w:hint="eastAsia" w:ascii="宋体" w:hAnsi="宋体"/>
          <w:color w:val="000000"/>
          <w:sz w:val="24"/>
          <w:szCs w:val="24"/>
          <w:highlight w:val="none"/>
        </w:rPr>
      </w:pPr>
      <w:r/>
      <w:bookmarkStart w:id="187" w:name="_Hlk176357545"/>
      <w:r>
        <w:rPr>
          <w:rFonts w:hint="eastAsia" w:ascii="宋体" w:hAnsi="宋体"/>
          <w:color w:val="000000"/>
          <w:sz w:val="24"/>
          <w:szCs w:val="24"/>
          <w:highlight w:val="none"/>
        </w:rPr>
        <w:t xml:space="preserve">投标人全称（加盖CA电子公章）：</w:t>
      </w:r>
      <w:r>
        <w:rPr>
          <w:rFonts w:hint="eastAsia" w:ascii="宋体" w:hAnsi="宋体"/>
          <w:color w:val="000000"/>
          <w:sz w:val="24"/>
          <w:szCs w:val="24"/>
          <w:highlight w:val="none"/>
        </w:rPr>
      </w:r>
      <w:r/>
    </w:p>
    <w:p>
      <w:pPr>
        <w:pStyle w:val="728"/>
        <w:ind w:firstLine="480"/>
        <w:jc w:val="both"/>
        <w:spacing w:after="0" w:line="24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28"/>
        <w:ind w:firstLine="480"/>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                                   采购包号：</w:t>
      </w:r>
      <w:r>
        <w:rPr>
          <w:rFonts w:hint="eastAsia" w:ascii="宋体" w:hAnsi="宋体"/>
          <w:color w:val="000000"/>
          <w:sz w:val="24"/>
          <w:szCs w:val="24"/>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投标总报价（单价）</w:t>
            </w:r>
            <w:r>
              <w:rPr>
                <w:rFonts w:hint="eastAsia" w:ascii="宋体" w:hAnsi="宋体"/>
                <w:color w:val="000000"/>
                <w:sz w:val="24"/>
                <w:szCs w:val="24"/>
                <w:highlight w:val="none"/>
              </w:rPr>
            </w:r>
            <w:r/>
          </w:p>
        </w:tc>
      </w:tr>
      <w:tr>
        <w:trPr>
          <w:cantSplit/>
          <w:trHeight w:val="612"/>
        </w:trPr>
        <w:tc>
          <w:tcPr>
            <w:tcW w:w="8886" w:type="dxa"/>
            <w:vAlign w:val="center"/>
            <w:textDirection w:val="lrTb"/>
            <w:noWrap w:val="false"/>
          </w:tcPr>
          <w:p>
            <w:pPr>
              <w:pStyle w:val="728"/>
              <w:spacing w:after="0" w:line="500" w:lineRule="exact"/>
              <w:widowControl w:val="off"/>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元</w:t>
            </w:r>
            <w:r>
              <w:rPr>
                <w:rFonts w:hint="eastAsia" w:ascii="宋体" w:hAnsi="宋体"/>
                <w:color w:val="000000"/>
                <w:sz w:val="24"/>
                <w:szCs w:val="21"/>
                <w:highlight w:val="none"/>
              </w:rPr>
            </w:r>
            <w:r/>
          </w:p>
        </w:tc>
      </w:tr>
    </w:tbl>
    <w:p>
      <w:pPr>
        <w:pStyle w:val="728"/>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8"/>
        <w:ind w:firstLine="480"/>
        <w:jc w:val="both"/>
        <w:spacing w:after="0"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bookmarkEnd w:id="187"/>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728"/>
        <w:ind w:firstLine="482"/>
        <w:jc w:val="both"/>
        <w:spacing w:after="0" w:line="360" w:lineRule="auto"/>
        <w:widowControl w:val="off"/>
        <w:rPr>
          <w:rFonts w:ascii="宋体"/>
          <w:b/>
          <w:bCs/>
          <w:iCs/>
          <w:sz w:val="24"/>
          <w:highlight w:val="none"/>
        </w:rPr>
      </w:pPr>
      <w:r>
        <w:rPr>
          <w:rFonts w:hint="eastAsia" w:ascii="宋体"/>
          <w:b/>
          <w:bCs/>
          <w:sz w:val="24"/>
          <w:highlight w:val="none"/>
        </w:rPr>
        <w:t xml:space="preserve">注：一、请仔细阅读本文件“第二章  投标人须知”第26.8条</w:t>
      </w:r>
      <w:r>
        <w:rPr>
          <w:rFonts w:ascii="宋体"/>
          <w:b/>
          <w:bCs/>
          <w:sz w:val="24"/>
          <w:highlight w:val="none"/>
        </w:rPr>
        <w:t xml:space="preserve">、</w:t>
      </w:r>
      <w:r>
        <w:rPr>
          <w:rFonts w:hint="eastAsia" w:ascii="宋体"/>
          <w:b/>
          <w:bCs/>
          <w:sz w:val="24"/>
          <w:highlight w:val="none"/>
        </w:rPr>
        <w:t xml:space="preserve">第26.9条、第27.1.10</w:t>
      </w:r>
      <w:r>
        <w:rPr>
          <w:rFonts w:ascii="宋体"/>
          <w:b/>
          <w:bCs/>
          <w:sz w:val="24"/>
          <w:highlight w:val="none"/>
        </w:rPr>
        <w:t xml:space="preserve">条</w:t>
      </w:r>
      <w:r>
        <w:rPr>
          <w:rFonts w:hint="eastAsia" w:ascii="宋体"/>
          <w:b/>
          <w:bCs/>
          <w:sz w:val="24"/>
          <w:highlight w:val="none"/>
        </w:rPr>
        <w:t xml:space="preserve">内容，如投标供应商报价触发异常低价审核程序，</w:t>
      </w:r>
      <w:r>
        <w:rPr>
          <w:rFonts w:hint="eastAsia" w:ascii="宋体"/>
          <w:b/>
          <w:bCs/>
          <w:iCs/>
          <w:sz w:val="24"/>
          <w:highlight w:val="none"/>
        </w:rPr>
        <w:t xml:space="preserve">启动异常低价投标审查后，投标供应商不按时提供书面说明、证明材料,或者提供的书面说明、证明材料不能证明其报价合理性的，将作无效投标处理。</w:t>
      </w:r>
      <w:r>
        <w:rPr>
          <w:rFonts w:ascii="宋体"/>
          <w:b/>
          <w:bCs/>
          <w:iCs/>
          <w:sz w:val="24"/>
          <w:highlight w:val="none"/>
        </w:rPr>
      </w:r>
      <w:r/>
    </w:p>
    <w:p>
      <w:pPr>
        <w:pStyle w:val="728"/>
        <w:ind w:firstLine="602"/>
        <w:jc w:val="both"/>
        <w:spacing w:after="0" w:line="360" w:lineRule="auto"/>
        <w:widowControl w:val="off"/>
        <w:rPr>
          <w:rFonts w:hint="eastAsia" w:ascii="黑体" w:hAnsi="黑体" w:eastAsia="黑体"/>
          <w:sz w:val="30"/>
          <w:szCs w:val="30"/>
          <w:highlight w:val="none"/>
        </w:rPr>
      </w:pPr>
      <w:r>
        <w:rPr>
          <w:rFonts w:hint="eastAsia" w:ascii="宋体"/>
          <w:b/>
          <w:bCs/>
          <w:iCs/>
          <w:sz w:val="30"/>
          <w:szCs w:val="30"/>
          <w:highlight w:val="none"/>
        </w:rPr>
        <w:t xml:space="preserve">二、</w:t>
      </w:r>
      <w:bookmarkStart w:id="188" w:name="OLE_LINK32"/>
      <w:r>
        <w:rPr>
          <w:rFonts w:hint="eastAsia" w:ascii="宋体"/>
          <w:b/>
          <w:bCs/>
          <w:iCs/>
          <w:sz w:val="30"/>
          <w:szCs w:val="30"/>
          <w:highlight w:val="none"/>
        </w:rPr>
        <w:t xml:space="preserve">本项目报价方式为单批次报价，《开标一览表》格式由苏采云系统设置，无法更改，请投标时在填写《开标一览表》的报价数值时务必填入单批次报价。如填写分项报价也应按单批次报价填写明细内容。投标文件中未填写单批次报价数值的，符合性审查不符合要求，将作为无效投标处理。</w:t>
      </w:r>
      <w:r>
        <w:rPr>
          <w:rFonts w:hint="eastAsia" w:ascii="黑体" w:hAnsi="黑体" w:eastAsia="黑体"/>
          <w:sz w:val="30"/>
          <w:szCs w:val="30"/>
          <w:highlight w:val="none"/>
        </w:rPr>
      </w:r>
      <w:r/>
    </w:p>
    <w:p>
      <w:pPr>
        <w:pStyle w:val="728"/>
        <w:ind w:firstLine="492"/>
        <w:jc w:val="both"/>
        <w:spacing w:after="0" w:line="460" w:lineRule="exact"/>
        <w:widowControl w:val="off"/>
        <w:rPr>
          <w:rFonts w:hint="eastAsia" w:ascii="宋体" w:hAnsi="宋体"/>
          <w:b/>
          <w:sz w:val="28"/>
          <w:szCs w:val="28"/>
          <w:highlight w:val="none"/>
        </w:rPr>
      </w:pPr>
      <w:r/>
      <w:bookmarkEnd w:id="188"/>
      <w:r>
        <w:rPr>
          <w:rFonts w:hint="eastAsia" w:ascii="宋体" w:hAnsi="宋体"/>
          <w:b/>
          <w:sz w:val="28"/>
          <w:szCs w:val="28"/>
          <w:highlight w:val="none"/>
        </w:rPr>
        <w:br w:type="page" w:clear="all"/>
      </w:r>
      <w:r>
        <w:rPr>
          <w:rFonts w:hint="eastAsia" w:ascii="宋体" w:hAnsi="宋体"/>
          <w:b/>
          <w:sz w:val="28"/>
          <w:szCs w:val="28"/>
          <w:highlight w:val="none"/>
        </w:rPr>
        <w:t xml:space="preserve">4</w:t>
      </w:r>
      <w:r>
        <w:rPr>
          <w:rFonts w:ascii="宋体" w:hAnsi="宋体"/>
          <w:b/>
          <w:sz w:val="28"/>
          <w:szCs w:val="28"/>
          <w:highlight w:val="none"/>
        </w:rPr>
        <w:t xml:space="preserve">.</w:t>
      </w:r>
      <w:r>
        <w:rPr>
          <w:rFonts w:hint="eastAsia" w:ascii="宋体" w:hAnsi="宋体"/>
          <w:color w:val="000000"/>
          <w:sz w:val="24"/>
          <w:szCs w:val="24"/>
          <w:highlight w:val="none"/>
        </w:rPr>
        <w:t xml:space="preserve"> </w:t>
      </w:r>
      <w:r>
        <w:rPr>
          <w:rFonts w:hint="eastAsia" w:ascii="宋体" w:hAnsi="宋体"/>
          <w:b/>
          <w:sz w:val="28"/>
          <w:szCs w:val="28"/>
          <w:highlight w:val="none"/>
        </w:rPr>
        <w:t xml:space="preserve">不予分包转包承诺函（格式自拟，内容需满足采购文件要求，原件并</w:t>
      </w:r>
      <w:bookmarkStart w:id="189" w:name="_Hlk190782954"/>
      <w:r>
        <w:rPr>
          <w:rFonts w:hint="eastAsia" w:ascii="宋体" w:hAnsi="宋体"/>
          <w:b/>
          <w:sz w:val="28"/>
          <w:szCs w:val="28"/>
          <w:highlight w:val="none"/>
        </w:rPr>
        <w:t xml:space="preserve">加盖CA电子公章</w:t>
      </w:r>
      <w:bookmarkEnd w:id="189"/>
      <w:r>
        <w:rPr>
          <w:rFonts w:hint="eastAsia" w:ascii="宋体" w:hAnsi="宋体"/>
          <w:b/>
          <w:sz w:val="28"/>
          <w:szCs w:val="28"/>
          <w:highlight w:val="none"/>
        </w:rPr>
        <w:t xml:space="preserve">）</w:t>
      </w:r>
      <w:r>
        <w:rPr>
          <w:rFonts w:hint="eastAsia"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bookmarkStart w:id="190" w:name="_Hlk99436655"/>
      <w:r>
        <w:rPr>
          <w:rFonts w:hint="eastAsia" w:ascii="宋体" w:hAnsi="宋体"/>
          <w:b/>
          <w:sz w:val="28"/>
          <w:szCs w:val="28"/>
          <w:highlight w:val="none"/>
        </w:rPr>
        <w:t xml:space="preserve">…（自行添加内容）</w:t>
      </w:r>
      <w:bookmarkEnd w:id="190"/>
      <w:r>
        <w:rPr>
          <w:rFonts w:hint="eastAsia"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5</w:t>
      </w:r>
      <w:r>
        <w:rPr>
          <w:rFonts w:ascii="宋体" w:hAnsi="宋体"/>
          <w:b/>
          <w:sz w:val="28"/>
          <w:szCs w:val="28"/>
          <w:highlight w:val="none"/>
        </w:rPr>
        <w:t xml:space="preserve">.</w:t>
      </w:r>
      <w:r>
        <w:rPr>
          <w:rFonts w:hint="eastAsia" w:ascii="宋体" w:hAnsi="宋体"/>
          <w:b/>
          <w:sz w:val="28"/>
          <w:szCs w:val="28"/>
          <w:highlight w:val="none"/>
        </w:rPr>
        <w:t xml:space="preserve">保密承诺函（格式自拟，内容需满足采购文件要求，原件并加盖CA电子公章）</w:t>
      </w:r>
      <w:r>
        <w:rPr>
          <w:rFonts w:hint="eastAsia"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…（自行添加内容）</w:t>
      </w:r>
      <w:r>
        <w:rPr>
          <w:rFonts w:hint="eastAsia"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6.成果归属要求书面承诺函（格式自拟，内容需满足采购文件要求，原件并加盖CA电子公章）</w:t>
      </w:r>
      <w:r>
        <w:rPr>
          <w:rFonts w:hint="eastAsia"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…（自行添加内容）</w:t>
      </w:r>
      <w:r>
        <w:rPr>
          <w:rFonts w:hint="eastAsia"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r>
      <w:r/>
    </w:p>
    <w:p>
      <w:pPr>
        <w:pStyle w:val="728"/>
        <w:ind w:firstLine="492"/>
        <w:jc w:val="both"/>
        <w:spacing w:after="0" w:line="460" w:lineRule="exact"/>
        <w:widowControl w:val="off"/>
        <w:rPr>
          <w:rFonts w:ascii="宋体" w:hAnsi="宋体"/>
          <w:b/>
          <w:sz w:val="28"/>
          <w:szCs w:val="28"/>
          <w:highlight w:val="none"/>
        </w:rPr>
      </w:pPr>
      <w:r>
        <w:rPr>
          <w:rFonts w:hint="eastAsia" w:ascii="宋体" w:hAnsi="宋体"/>
          <w:b/>
          <w:sz w:val="28"/>
          <w:szCs w:val="28"/>
          <w:highlight w:val="none"/>
        </w:rPr>
        <w:t xml:space="preserve">7.</w:t>
      </w:r>
      <w:r>
        <w:rPr>
          <w:rFonts w:hint="eastAsia" w:ascii="宋体" w:hAnsi="宋体" w:cs="宋体"/>
          <w:sz w:val="24"/>
          <w:highlight w:val="none"/>
        </w:rPr>
        <w:t xml:space="preserve"> </w:t>
      </w:r>
      <w:r>
        <w:rPr>
          <w:rFonts w:hint="eastAsia" w:ascii="宋体" w:hAnsi="宋体"/>
          <w:b/>
          <w:sz w:val="28"/>
          <w:szCs w:val="28"/>
          <w:highlight w:val="none"/>
        </w:rPr>
        <w:t xml:space="preserve">参与本项目按评审顺序在本采购包之前的所有采购包，被列为排名第一的拟中标人未满2</w:t>
      </w:r>
      <w:r>
        <w:rPr>
          <w:rFonts w:ascii="宋体" w:hAnsi="宋体"/>
          <w:b/>
          <w:sz w:val="28"/>
          <w:szCs w:val="28"/>
          <w:highlight w:val="none"/>
        </w:rPr>
        <w:t xml:space="preserve">个</w:t>
      </w:r>
      <w:r>
        <w:rPr>
          <w:rFonts w:hint="eastAsia" w:ascii="宋体" w:hAnsi="宋体"/>
          <w:b/>
          <w:sz w:val="28"/>
          <w:szCs w:val="28"/>
          <w:highlight w:val="none"/>
        </w:rPr>
        <w:t xml:space="preserve">（供应商无需提交响应材料，由评标委员会根据评标结果确认即可）</w:t>
      </w:r>
      <w:r>
        <w:rPr>
          <w:rFonts w:ascii="宋体" w:hAnsi="宋体"/>
          <w:b/>
          <w:sz w:val="28"/>
          <w:szCs w:val="28"/>
          <w:highlight w:val="none"/>
        </w:rPr>
      </w:r>
      <w:r/>
    </w:p>
    <w:p>
      <w:pPr>
        <w:pStyle w:val="728"/>
        <w:ind w:firstLine="492"/>
        <w:jc w:val="both"/>
        <w:spacing w:after="0" w:line="460" w:lineRule="exact"/>
        <w:widowControl w:val="off"/>
        <w:rPr>
          <w:rFonts w:ascii="宋体" w:hAnsi="宋体"/>
          <w:b/>
          <w:sz w:val="28"/>
          <w:szCs w:val="28"/>
          <w:highlight w:val="none"/>
        </w:rPr>
      </w:pPr>
      <w:r>
        <w:rPr>
          <w:rFonts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r>
      <w:r/>
    </w:p>
    <w:p>
      <w:pPr>
        <w:pStyle w:val="728"/>
        <w:ind w:firstLine="492"/>
        <w:jc w:val="both"/>
        <w:spacing w:after="0" w:line="460" w:lineRule="exact"/>
        <w:widowControl w:val="off"/>
        <w:rPr>
          <w:rFonts w:hint="eastAsia" w:ascii="宋体" w:hAnsi="宋体"/>
          <w:b/>
          <w:sz w:val="28"/>
          <w:szCs w:val="28"/>
          <w:highlight w:val="none"/>
        </w:rPr>
      </w:pPr>
      <w:r>
        <w:rPr>
          <w:rFonts w:hint="eastAsia" w:ascii="宋体" w:hAnsi="宋体"/>
          <w:b/>
          <w:sz w:val="28"/>
          <w:szCs w:val="28"/>
          <w:highlight w:val="none"/>
        </w:rPr>
        <w:t xml:space="preserve">8.…（请根据采购文件是否提出其他应具备的符合性要求或实质性要求自行添加序号与内容）</w:t>
      </w:r>
      <w:r>
        <w:rPr>
          <w:rFonts w:ascii="宋体" w:hAnsi="宋体"/>
          <w:b/>
          <w:sz w:val="28"/>
          <w:szCs w:val="28"/>
          <w:highlight w:val="none"/>
        </w:rPr>
        <w:t xml:space="preserve">…</w:t>
      </w:r>
      <w:r>
        <w:rPr>
          <w:rFonts w:hint="eastAsia" w:ascii="宋体" w:hAnsi="宋体"/>
          <w:b/>
          <w:sz w:val="28"/>
          <w:szCs w:val="28"/>
          <w:highlight w:val="none"/>
        </w:rPr>
        <w:t xml:space="preserve">（自行添加内容）</w:t>
      </w:r>
      <w:r>
        <w:rPr>
          <w:rFonts w:hint="eastAsia" w:ascii="宋体" w:hAnsi="宋体"/>
          <w:b/>
          <w:sz w:val="28"/>
          <w:szCs w:val="28"/>
          <w:highlight w:val="none"/>
        </w:rPr>
      </w:r>
      <w:r/>
    </w:p>
    <w:p>
      <w:pPr>
        <w:pStyle w:val="728"/>
        <w:jc w:val="center"/>
        <w:spacing w:after="0" w:line="240" w:lineRule="auto"/>
        <w:widowControl w:val="off"/>
        <w:rPr>
          <w:sz w:val="44"/>
          <w:szCs w:val="24"/>
          <w:highlight w:val="none"/>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t xml:space="preserve">三、非实质性资信证明文件目录</w:t>
      </w:r>
      <w:r>
        <w:rPr>
          <w:rFonts w:hint="eastAsia"/>
          <w:sz w:val="44"/>
          <w:szCs w:val="24"/>
          <w:highlight w:val="none"/>
        </w:rPr>
        <w:t xml:space="preserve"> </w:t>
      </w:r>
      <w:r>
        <w:rPr>
          <w:sz w:val="44"/>
          <w:szCs w:val="24"/>
          <w:highlight w:val="none"/>
        </w:rPr>
        <w:t xml:space="preserve">  </w:t>
      </w:r>
      <w:r>
        <w:rPr>
          <w:sz w:val="44"/>
          <w:szCs w:val="24"/>
          <w:highlight w:val="none"/>
        </w:rPr>
      </w:r>
      <w:r/>
    </w:p>
    <w:p>
      <w:pPr>
        <w:pStyle w:val="728"/>
        <w:jc w:val="center"/>
        <w:spacing w:after="0" w:line="240" w:lineRule="auto"/>
        <w:widowControl w:val="off"/>
        <w:rPr>
          <w:rFonts w:hint="eastAsia" w:ascii="宋体" w:hAnsi="宋体"/>
          <w:b/>
          <w:bCs/>
          <w:sz w:val="21"/>
          <w:szCs w:val="21"/>
          <w:highlight w:val="none"/>
        </w:rPr>
      </w:pPr>
      <w:r>
        <w:rPr>
          <w:rFonts w:ascii="宋体" w:hAnsi="宋体"/>
          <w:b/>
          <w:bCs/>
          <w:sz w:val="28"/>
          <w:szCs w:val="28"/>
          <w:highlight w:val="none"/>
        </w:rPr>
        <w:t xml:space="preserve">1</w:t>
      </w:r>
      <w:r>
        <w:rPr>
          <w:rFonts w:hint="eastAsia" w:ascii="宋体" w:hAnsi="宋体"/>
          <w:b/>
          <w:bCs/>
          <w:sz w:val="28"/>
          <w:szCs w:val="28"/>
          <w:highlight w:val="none"/>
        </w:rPr>
        <w:t xml:space="preserve">、《中小企业声明函》（格式如下，请按要求填写，原件并加盖CA电子公章）</w:t>
      </w:r>
      <w:r>
        <w:rPr>
          <w:rFonts w:hint="eastAsia" w:ascii="宋体" w:hAnsi="宋体"/>
          <w:b/>
          <w:bCs/>
          <w:sz w:val="21"/>
          <w:szCs w:val="21"/>
          <w:highlight w:val="none"/>
        </w:rPr>
      </w:r>
      <w:r/>
    </w:p>
    <w:p>
      <w:pPr>
        <w:pStyle w:val="728"/>
        <w:jc w:val="center"/>
        <w:spacing w:after="0" w:line="240" w:lineRule="auto"/>
        <w:widowControl w:val="off"/>
        <w:rPr>
          <w:sz w:val="21"/>
          <w:szCs w:val="24"/>
          <w:highlight w:val="none"/>
        </w:rPr>
      </w:pPr>
      <w:r>
        <w:rPr>
          <w:rFonts w:hint="eastAsia"/>
          <w:b/>
          <w:bCs/>
          <w:sz w:val="32"/>
          <w:szCs w:val="40"/>
          <w:highlight w:val="none"/>
        </w:rPr>
        <w:t xml:space="preserve">中小企业声明函（服务）</w:t>
      </w:r>
      <w:r>
        <w:rPr>
          <w:sz w:val="21"/>
          <w:szCs w:val="24"/>
          <w:highlight w:val="none"/>
        </w:rPr>
      </w:r>
      <w:r/>
    </w:p>
    <w:p>
      <w:pPr>
        <w:pStyle w:val="728"/>
        <w:jc w:val="both"/>
        <w:spacing w:after="0" w:line="240" w:lineRule="auto"/>
        <w:widowControl w:val="off"/>
        <w:rPr>
          <w:rFonts w:hint="eastAsia" w:ascii="仿宋" w:hAnsi="仿宋" w:eastAsia="仿宋" w:cs="仿宋"/>
          <w:sz w:val="24"/>
          <w:szCs w:val="24"/>
          <w:highlight w:val="none"/>
        </w:rPr>
      </w:pPr>
      <w:r>
        <w:rPr>
          <w:rFonts w:hint="eastAsia"/>
          <w:sz w:val="21"/>
          <w:szCs w:val="24"/>
          <w:highlight w:val="none"/>
        </w:rPr>
        <w:t xml:space="preserve">     </w:t>
      </w:r>
      <w:r>
        <w:rPr>
          <w:rFonts w:hint="eastAsia" w:ascii="仿宋" w:hAnsi="仿宋" w:eastAsia="仿宋" w:cs="仿宋"/>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i/>
          <w:iCs/>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i/>
          <w:iCs/>
          <w:sz w:val="24"/>
          <w:szCs w:val="24"/>
          <w:highlight w:val="none"/>
          <w:u w:val="single"/>
        </w:rPr>
        <w:t xml:space="preserve">项目名称</w:t>
      </w:r>
      <w:r>
        <w:rPr>
          <w:rFonts w:hint="eastAsia" w:ascii="仿宋" w:hAnsi="仿宋" w:eastAsia="仿宋" w:cs="仿宋"/>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仿宋" w:hAnsi="仿宋" w:eastAsia="仿宋" w:cs="仿宋"/>
          <w:sz w:val="24"/>
          <w:szCs w:val="24"/>
          <w:highlight w:val="none"/>
        </w:rPr>
      </w:r>
      <w:r/>
    </w:p>
    <w:p>
      <w:pPr>
        <w:pStyle w:val="728"/>
        <w:ind w:firstLine="480"/>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i/>
          <w:iCs/>
          <w:sz w:val="24"/>
          <w:szCs w:val="24"/>
          <w:highlight w:val="none"/>
          <w:u w:val="single"/>
        </w:rPr>
        <w:t xml:space="preserve">（标的名称）</w:t>
      </w:r>
      <w:r>
        <w:rPr>
          <w:rFonts w:hint="eastAsia" w:ascii="仿宋" w:hAnsi="仿宋" w:eastAsia="仿宋" w:cs="仿宋"/>
          <w:sz w:val="24"/>
          <w:szCs w:val="24"/>
          <w:highlight w:val="none"/>
        </w:rPr>
        <w:t xml:space="preserve"> ，属于</w:t>
      </w:r>
      <w:r>
        <w:rPr>
          <w:rFonts w:hint="eastAsia" w:ascii="仿宋" w:hAnsi="仿宋" w:eastAsia="仿宋" w:cs="仿宋"/>
          <w:i/>
          <w:iCs/>
          <w:sz w:val="24"/>
          <w:szCs w:val="24"/>
          <w:highlight w:val="none"/>
          <w:u w:val="single"/>
        </w:rPr>
        <w:t xml:space="preserve">（其他未列明行业）</w:t>
      </w:r>
      <w:r>
        <w:rPr>
          <w:rFonts w:hint="eastAsia" w:ascii="仿宋" w:hAnsi="仿宋" w:eastAsia="仿宋" w:cs="仿宋"/>
          <w:sz w:val="24"/>
          <w:szCs w:val="24"/>
          <w:highlight w:val="none"/>
        </w:rPr>
        <w:t xml:space="preserve">；承建（承接）企业为</w:t>
      </w:r>
      <w:r>
        <w:rPr>
          <w:rFonts w:hint="eastAsia" w:ascii="仿宋" w:hAnsi="仿宋" w:eastAsia="仿宋" w:cs="仿宋"/>
          <w:i/>
          <w:iCs/>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i/>
          <w:iCs/>
          <w:sz w:val="24"/>
          <w:szCs w:val="24"/>
          <w:highlight w:val="none"/>
          <w:u w:val="single"/>
        </w:rPr>
        <w:t xml:space="preserve">（中型企业、小型企业、微型企业）</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728"/>
        <w:ind w:firstLine="480"/>
        <w:spacing w:after="0" w:line="240" w:lineRule="auto"/>
        <w:widowControl w:val="off"/>
        <w:rPr>
          <w:rFonts w:hint="eastAsia" w:ascii="仿宋" w:hAnsi="仿宋" w:eastAsia="仿宋" w:cs="仿宋"/>
          <w:i/>
          <w:iCs/>
          <w:sz w:val="24"/>
          <w:szCs w:val="24"/>
          <w:highlight w:val="none"/>
          <w:u w:val="single"/>
        </w:rPr>
      </w:pPr>
      <w:r>
        <w:rPr>
          <w:rFonts w:hint="eastAsia" w:ascii="仿宋" w:hAnsi="仿宋" w:eastAsia="仿宋" w:cs="仿宋"/>
          <w:sz w:val="24"/>
          <w:szCs w:val="24"/>
          <w:highlight w:val="none"/>
        </w:rPr>
        <w:t xml:space="preserve">2.</w:t>
      </w:r>
      <w:r>
        <w:rPr>
          <w:rFonts w:hint="eastAsia" w:ascii="仿宋" w:hAnsi="仿宋" w:eastAsia="仿宋" w:cs="仿宋"/>
          <w:i/>
          <w:iCs/>
          <w:sz w:val="24"/>
          <w:szCs w:val="24"/>
          <w:highlight w:val="none"/>
          <w:u w:val="single"/>
        </w:rPr>
        <w:t xml:space="preserve"> （标的名称） </w:t>
      </w:r>
      <w:r>
        <w:rPr>
          <w:rFonts w:hint="eastAsia" w:ascii="仿宋" w:hAnsi="仿宋" w:eastAsia="仿宋" w:cs="仿宋"/>
          <w:sz w:val="24"/>
          <w:szCs w:val="24"/>
          <w:highlight w:val="none"/>
        </w:rPr>
        <w:t xml:space="preserve">，属于</w:t>
      </w:r>
      <w:r>
        <w:rPr>
          <w:rFonts w:hint="eastAsia" w:ascii="仿宋" w:hAnsi="仿宋" w:eastAsia="仿宋" w:cs="仿宋"/>
          <w:i/>
          <w:iCs/>
          <w:sz w:val="24"/>
          <w:szCs w:val="24"/>
          <w:highlight w:val="none"/>
          <w:u w:val="single"/>
        </w:rPr>
        <w:t xml:space="preserve">（其他未列明行业）</w:t>
      </w:r>
      <w:r>
        <w:rPr>
          <w:rFonts w:hint="eastAsia" w:ascii="仿宋" w:hAnsi="仿宋" w:eastAsia="仿宋" w:cs="仿宋"/>
          <w:sz w:val="24"/>
          <w:szCs w:val="24"/>
          <w:highlight w:val="none"/>
        </w:rPr>
        <w:t xml:space="preserve">；承建（承接）企业为</w:t>
      </w:r>
      <w:r>
        <w:rPr>
          <w:rFonts w:hint="eastAsia" w:ascii="仿宋" w:hAnsi="仿宋" w:eastAsia="仿宋" w:cs="仿宋"/>
          <w:i/>
          <w:iCs/>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i/>
          <w:iCs/>
          <w:sz w:val="24"/>
          <w:szCs w:val="24"/>
          <w:highlight w:val="none"/>
          <w:u w:val="single"/>
        </w:rPr>
        <w:t xml:space="preserve">（中型企业、小型企业、微型企业）；</w:t>
      </w:r>
      <w:r>
        <w:rPr>
          <w:rFonts w:hint="eastAsia" w:ascii="仿宋" w:hAnsi="仿宋" w:eastAsia="仿宋" w:cs="仿宋"/>
          <w:i/>
          <w:iCs/>
          <w:sz w:val="24"/>
          <w:szCs w:val="24"/>
          <w:highlight w:val="none"/>
          <w:u w:val="single"/>
        </w:rPr>
      </w:r>
      <w:r/>
    </w:p>
    <w:p>
      <w:pPr>
        <w:pStyle w:val="728"/>
        <w:jc w:val="both"/>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728"/>
        <w:jc w:val="both"/>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以上企业，不属于大企业的分支机构，不存在控股股东为大企业的情形，也不存在与大企业的负责人为同一人的情形。</w:t>
      </w:r>
      <w:r>
        <w:rPr>
          <w:rFonts w:hint="eastAsia" w:ascii="仿宋" w:hAnsi="仿宋" w:eastAsia="仿宋" w:cs="仿宋"/>
          <w:sz w:val="24"/>
          <w:szCs w:val="24"/>
          <w:highlight w:val="none"/>
        </w:rPr>
      </w:r>
      <w:r/>
    </w:p>
    <w:p>
      <w:pPr>
        <w:pStyle w:val="728"/>
        <w:ind w:firstLine="480"/>
        <w:jc w:val="both"/>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                            </w:t>
      </w:r>
      <w:r>
        <w:rPr>
          <w:rFonts w:hint="eastAsia" w:ascii="仿宋" w:hAnsi="仿宋" w:eastAsia="仿宋" w:cs="仿宋"/>
          <w:sz w:val="24"/>
          <w:szCs w:val="24"/>
          <w:highlight w:val="none"/>
        </w:rPr>
      </w:r>
      <w:r/>
    </w:p>
    <w:p>
      <w:pPr>
        <w:pStyle w:val="728"/>
        <w:ind w:firstLine="4320"/>
        <w:jc w:val="both"/>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企业名称（加盖CA电子公章）：</w:t>
      </w:r>
      <w:r>
        <w:rPr>
          <w:rFonts w:hint="eastAsia" w:ascii="仿宋" w:hAnsi="仿宋" w:eastAsia="仿宋" w:cs="仿宋"/>
          <w:sz w:val="24"/>
          <w:szCs w:val="24"/>
          <w:highlight w:val="none"/>
        </w:rPr>
      </w:r>
      <w:r/>
    </w:p>
    <w:p>
      <w:pPr>
        <w:pStyle w:val="728"/>
        <w:ind w:firstLine="4320"/>
        <w:jc w:val="both"/>
        <w:spacing w:after="0" w:line="24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rPr>
          <w:rFonts w:hint="eastAsia" w:ascii="仿宋" w:hAnsi="仿宋" w:eastAsia="仿宋" w:cs="仿宋"/>
          <w:sz w:val="24"/>
          <w:szCs w:val="24"/>
          <w:highlight w:val="none"/>
        </w:rPr>
      </w:r>
      <w:r/>
    </w:p>
    <w:p>
      <w:pPr>
        <w:pStyle w:val="728"/>
        <w:jc w:val="both"/>
        <w:spacing w:after="0" w:line="240" w:lineRule="auto"/>
        <w:widowControl w:val="off"/>
        <w:rPr>
          <w:sz w:val="18"/>
          <w:szCs w:val="21"/>
          <w:highlight w:val="none"/>
        </w:rPr>
      </w:pPr>
      <w:r>
        <w:rPr>
          <w:rFonts w:hint="eastAsia"/>
          <w:sz w:val="18"/>
          <w:szCs w:val="21"/>
          <w:highlight w:val="none"/>
        </w:rPr>
        <w:t xml:space="preserve">从业人员、营业收入、资产总额填报上一年度数据，无上一年度数据的新成立企业可不填报。</w:t>
      </w:r>
      <w:r>
        <w:rPr>
          <w:sz w:val="18"/>
          <w:szCs w:val="21"/>
          <w:highlight w:val="none"/>
        </w:rPr>
      </w:r>
      <w:r/>
    </w:p>
    <w:p>
      <w:pPr>
        <w:pStyle w:val="728"/>
        <w:ind w:firstLine="24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r>
      <w:r/>
    </w:p>
    <w:p>
      <w:pPr>
        <w:pStyle w:val="728"/>
        <w:jc w:val="both"/>
        <w:spacing w:after="0" w:line="560" w:lineRule="exact"/>
        <w:widowControl w:val="off"/>
        <w:rPr>
          <w:rFonts w:hint="eastAsia" w:ascii="宋体" w:hAnsi="宋体"/>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2" o:title=""/>
              </v:shape>
            </w:pict>
          </mc:Fallback>
        </mc:AlternateContent>
      </w:r>
      <w:r>
        <w:rPr>
          <w:rFonts w:hint="eastAsia" w:ascii="宋体" w:hAnsi="宋体"/>
          <w:sz w:val="24"/>
          <w:szCs w:val="24"/>
          <w:highlight w:val="none"/>
        </w:rPr>
        <w:t xml:space="preserve">（备注：1、投标供应商如不提供此声明函，价格将不做相应扣除。2、服务提供商必须是小型、微型企业方可享受价格折扣，否则不予享受。3、此声明函将随中标结果同时公告，接受社会监督）。</w:t>
      </w:r>
      <w:r>
        <w:rPr>
          <w:rFonts w:hint="eastAsia" w:ascii="宋体" w:hAnsi="宋体"/>
          <w:sz w:val="24"/>
          <w:szCs w:val="24"/>
          <w:highlight w:val="none"/>
        </w:rPr>
      </w:r>
      <w:r/>
    </w:p>
    <w:p>
      <w:pPr>
        <w:pStyle w:val="728"/>
        <w:ind w:firstLine="240"/>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r>
      <w:r/>
    </w:p>
    <w:p>
      <w:pPr>
        <w:pStyle w:val="728"/>
        <w:jc w:val="both"/>
        <w:spacing w:after="0" w:line="560" w:lineRule="exact"/>
        <w:widowControl w:val="off"/>
        <w:rPr>
          <w:rFonts w:hint="eastAsia" w:ascii="宋体" w:hAnsi="宋体"/>
          <w:sz w:val="24"/>
          <w:szCs w:val="24"/>
          <w:highlight w:val="none"/>
        </w:rPr>
      </w:pPr>
      <w:r>
        <w:rPr>
          <w:rFonts w:hint="eastAsia" w:ascii="宋体" w:hAnsi="宋体"/>
          <w:sz w:val="24"/>
          <w:szCs w:val="24"/>
          <w:highlight w:val="none"/>
        </w:rPr>
      </w:r>
      <w:r/>
    </w:p>
    <w:p>
      <w:pPr>
        <w:pStyle w:val="728"/>
        <w:ind w:firstLine="420"/>
        <w:jc w:val="both"/>
        <w:spacing w:after="0" w:line="240" w:lineRule="auto"/>
        <w:widowControl w:val="off"/>
        <w:rPr>
          <w:rFonts w:hint="eastAsia" w:ascii="黑体" w:hAnsi="黑体" w:eastAsia="黑体"/>
          <w:b/>
          <w:bCs/>
          <w:color w:val="4bacc6"/>
          <w:sz w:val="28"/>
          <w:szCs w:val="28"/>
          <w:highlight w:val="none"/>
        </w:rPr>
      </w:pPr>
      <w:r>
        <w:rPr>
          <w:rFonts w:hint="eastAsia" w:ascii="宋体" w:hAnsi="宋体" w:cs="宋体"/>
          <w:b/>
          <w:bCs/>
          <w:sz w:val="28"/>
          <w:szCs w:val="28"/>
          <w:highlight w:val="none"/>
        </w:rPr>
        <w:t xml:space="preserve">2、《残疾人福利性单位声明函》（格式如下，请按要求填写，原件并加盖CA电子公章）</w:t>
      </w:r>
      <w:r>
        <w:rPr>
          <w:rFonts w:hint="eastAsia" w:ascii="黑体" w:hAnsi="黑体" w:eastAsia="黑体"/>
          <w:b/>
          <w:bCs/>
          <w:color w:val="4bacc6"/>
          <w:sz w:val="28"/>
          <w:szCs w:val="28"/>
          <w:highlight w:val="none"/>
        </w:rPr>
      </w:r>
      <w:r/>
    </w:p>
    <w:p>
      <w:pPr>
        <w:pStyle w:val="728"/>
        <w:ind w:firstLine="643"/>
        <w:jc w:val="center"/>
        <w:spacing w:after="0" w:line="240" w:lineRule="auto"/>
        <w:widowControl w:val="off"/>
        <w:tabs>
          <w:tab w:val="left" w:pos="360" w:leader="none"/>
        </w:tabs>
        <w:rPr>
          <w:rFonts w:hint="eastAsia" w:ascii="黑体" w:hAnsi="黑体" w:eastAsia="黑体"/>
          <w:b/>
          <w:sz w:val="32"/>
          <w:szCs w:val="32"/>
          <w:highlight w:val="none"/>
        </w:rPr>
      </w:pPr>
      <w:r>
        <w:rPr>
          <w:rFonts w:hint="eastAsia" w:ascii="黑体" w:hAnsi="黑体" w:eastAsia="黑体"/>
          <w:b/>
          <w:sz w:val="32"/>
          <w:szCs w:val="32"/>
          <w:highlight w:val="none"/>
        </w:rPr>
        <w:t xml:space="preserve">残疾人福利性单位声明函</w:t>
      </w:r>
      <w:r>
        <w:rPr>
          <w:rFonts w:hint="eastAsia" w:ascii="黑体" w:hAnsi="黑体" w:eastAsia="黑体"/>
          <w:b/>
          <w:sz w:val="32"/>
          <w:szCs w:val="32"/>
          <w:highlight w:val="none"/>
        </w:rPr>
      </w:r>
      <w:r/>
    </w:p>
    <w:p>
      <w:pPr>
        <w:pStyle w:val="728"/>
        <w:jc w:val="both"/>
        <w:spacing w:after="0" w:line="240" w:lineRule="auto"/>
        <w:widowControl w:val="off"/>
        <w:rPr>
          <w:sz w:val="21"/>
          <w:szCs w:val="21"/>
          <w:highlight w:val="none"/>
        </w:rPr>
      </w:pPr>
      <w:r>
        <w:rPr>
          <w:sz w:val="21"/>
          <w:szCs w:val="21"/>
          <w:highlight w:val="none"/>
        </w:rPr>
      </w:r>
      <w:r/>
    </w:p>
    <w:p>
      <w:pPr>
        <w:pStyle w:val="728"/>
        <w:ind w:firstLine="480"/>
        <w:jc w:val="both"/>
        <w:spacing w:after="0" w:line="588" w:lineRule="exact"/>
        <w:widowControl w:val="off"/>
        <w:rPr>
          <w:rFonts w:hint="eastAsia"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highlight w:val="none"/>
        </w:rPr>
      </w:r>
      <w:r/>
    </w:p>
    <w:p>
      <w:pPr>
        <w:pStyle w:val="728"/>
        <w:ind w:firstLine="480"/>
        <w:jc w:val="both"/>
        <w:spacing w:after="0" w:line="588" w:lineRule="exact"/>
        <w:widowControl w:val="off"/>
        <w:rPr>
          <w:rFonts w:hint="eastAsia" w:ascii="宋体" w:hAnsi="宋体"/>
          <w:sz w:val="24"/>
          <w:szCs w:val="21"/>
          <w:highlight w:val="none"/>
        </w:rPr>
      </w:pPr>
      <w:r>
        <w:rPr>
          <w:rFonts w:hint="eastAsia" w:ascii="宋体" w:hAnsi="宋体"/>
          <w:sz w:val="24"/>
          <w:szCs w:val="21"/>
          <w:highlight w:val="none"/>
        </w:rPr>
        <w:t xml:space="preserve">本单位在本次政府采购活动中提供的残疾人福利单位产品报价合计为人民币（大写）</w:t>
      </w:r>
      <w:r>
        <w:rPr>
          <w:rFonts w:hint="eastAsia" w:ascii="宋体" w:hAnsi="宋体"/>
          <w:sz w:val="24"/>
          <w:szCs w:val="21"/>
          <w:highlight w:val="none"/>
          <w:u w:val="single"/>
        </w:rPr>
        <w:t xml:space="preserve">      </w:t>
      </w:r>
      <w:r>
        <w:rPr>
          <w:rFonts w:hint="eastAsia" w:ascii="宋体" w:hAnsi="宋体"/>
          <w:sz w:val="24"/>
          <w:szCs w:val="21"/>
          <w:highlight w:val="none"/>
        </w:rPr>
        <w:t xml:space="preserve">圆整（￥：     ）。</w:t>
      </w:r>
      <w:r>
        <w:rPr>
          <w:rFonts w:hint="eastAsia" w:ascii="宋体" w:hAnsi="宋体"/>
          <w:sz w:val="24"/>
          <w:szCs w:val="21"/>
          <w:highlight w:val="none"/>
        </w:rPr>
      </w:r>
      <w:r/>
    </w:p>
    <w:p>
      <w:pPr>
        <w:pStyle w:val="728"/>
        <w:ind w:firstLine="480"/>
        <w:jc w:val="both"/>
        <w:spacing w:after="0" w:line="588" w:lineRule="exact"/>
        <w:widowControl w:val="off"/>
        <w:rPr>
          <w:rFonts w:hint="eastAsia"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rPr>
          <w:rFonts w:hint="eastAsia" w:ascii="宋体" w:hAnsi="宋体"/>
          <w:sz w:val="24"/>
          <w:szCs w:val="21"/>
          <w:highlight w:val="none"/>
        </w:rPr>
      </w:r>
      <w:r/>
    </w:p>
    <w:p>
      <w:pPr>
        <w:pStyle w:val="728"/>
        <w:ind w:firstLine="480"/>
        <w:jc w:val="both"/>
        <w:spacing w:after="0" w:line="588" w:lineRule="exact"/>
        <w:widowControl w:val="off"/>
        <w:rPr>
          <w:rFonts w:hint="eastAsia" w:ascii="宋体" w:hAnsi="宋体"/>
          <w:sz w:val="24"/>
          <w:szCs w:val="21"/>
          <w:highlight w:val="none"/>
        </w:rPr>
      </w:pPr>
      <w:r>
        <w:rPr>
          <w:rFonts w:hint="eastAsia" w:ascii="宋体" w:hAnsi="宋体"/>
          <w:sz w:val="24"/>
          <w:szCs w:val="21"/>
          <w:highlight w:val="none"/>
        </w:rPr>
      </w:r>
      <w:r/>
    </w:p>
    <w:p>
      <w:pPr>
        <w:pStyle w:val="728"/>
        <w:ind w:firstLine="480"/>
        <w:jc w:val="both"/>
        <w:spacing w:after="0" w:line="588" w:lineRule="exact"/>
        <w:widowControl w:val="off"/>
        <w:rPr>
          <w:rFonts w:hint="eastAsia" w:ascii="宋体" w:hAnsi="宋体"/>
          <w:sz w:val="24"/>
          <w:szCs w:val="21"/>
          <w:highlight w:val="none"/>
        </w:rPr>
      </w:pPr>
      <w:r>
        <w:rPr>
          <w:rFonts w:hint="eastAsia" w:ascii="宋体" w:hAnsi="宋体"/>
          <w:sz w:val="24"/>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sz w:val="24"/>
          <w:szCs w:val="21"/>
          <w:highlight w:val="none"/>
        </w:rPr>
      </w:r>
      <w:r/>
    </w:p>
    <w:p>
      <w:pPr>
        <w:pStyle w:val="728"/>
        <w:ind w:firstLine="624"/>
        <w:jc w:val="both"/>
        <w:spacing w:after="0" w:line="588" w:lineRule="exact"/>
        <w:widowControl w:val="off"/>
        <w:rPr>
          <w:rFonts w:ascii="仿宋_GB2312" w:eastAsia="仿宋_GB2312"/>
          <w:spacing w:val="6"/>
          <w:sz w:val="30"/>
          <w:szCs w:val="30"/>
          <w:highlight w:val="none"/>
        </w:rPr>
      </w:pPr>
      <w:r>
        <w:rPr>
          <w:rFonts w:ascii="仿宋_GB2312" w:eastAsia="仿宋_GB2312"/>
          <w:spacing w:val="6"/>
          <w:sz w:val="30"/>
          <w:szCs w:val="30"/>
          <w:highlight w:val="none"/>
        </w:rPr>
      </w:r>
      <w:r/>
    </w:p>
    <w:p>
      <w:pPr>
        <w:pStyle w:val="728"/>
        <w:ind w:right="1560" w:firstLine="624"/>
        <w:jc w:val="center"/>
        <w:spacing w:after="0" w:line="588" w:lineRule="exact"/>
        <w:widowControl w:val="off"/>
        <w:tabs>
          <w:tab w:val="left" w:pos="4860" w:leader="none"/>
        </w:tabs>
        <w:rPr>
          <w:rFonts w:hint="eastAsia"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rPr>
          <w:rFonts w:hint="eastAsia" w:ascii="宋体" w:hAnsi="宋体"/>
          <w:sz w:val="24"/>
          <w:szCs w:val="21"/>
          <w:highlight w:val="none"/>
        </w:rPr>
      </w:r>
      <w:r/>
    </w:p>
    <w:p>
      <w:pPr>
        <w:pStyle w:val="728"/>
        <w:ind w:right="1560" w:firstLine="480"/>
        <w:jc w:val="center"/>
        <w:spacing w:after="0" w:line="588" w:lineRule="exact"/>
        <w:widowControl w:val="off"/>
        <w:tabs>
          <w:tab w:val="left" w:pos="4860" w:leader="none"/>
        </w:tabs>
        <w:rPr>
          <w:rFonts w:hint="eastAsia" w:ascii="宋体" w:hAnsi="宋体"/>
          <w:sz w:val="24"/>
          <w:szCs w:val="21"/>
          <w:highlight w:val="none"/>
        </w:rPr>
      </w:pPr>
      <w:r>
        <w:rPr>
          <w:rFonts w:hint="eastAsia" w:ascii="宋体" w:hAnsi="宋体"/>
          <w:sz w:val="24"/>
          <w:szCs w:val="21"/>
          <w:highlight w:val="none"/>
        </w:rPr>
        <w:t xml:space="preserve">                              日  期：</w:t>
      </w:r>
      <w:r>
        <w:rPr>
          <w:rFonts w:hint="eastAsia" w:ascii="宋体" w:hAnsi="宋体"/>
          <w:sz w:val="24"/>
          <w:szCs w:val="21"/>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602"/>
        <w:jc w:val="both"/>
        <w:spacing w:before="50" w:after="50" w:line="240" w:lineRule="auto"/>
        <w:widowControl w:val="off"/>
        <w:rPr>
          <w:rFonts w:hint="eastAsia" w:ascii="宋体" w:hAnsi="宋体"/>
          <w:b/>
          <w:bCs/>
          <w:sz w:val="24"/>
          <w:szCs w:val="24"/>
          <w:highlight w:val="none"/>
        </w:rPr>
      </w:pPr>
      <w:r>
        <w:rPr>
          <w:b/>
          <w:sz w:val="30"/>
          <w:szCs w:val="30"/>
          <w:highlight w:val="none"/>
        </w:rPr>
        <w:t xml:space="preserve">3</w:t>
      </w:r>
      <w:r>
        <w:rPr>
          <w:rFonts w:hint="eastAsia"/>
          <w:b/>
          <w:sz w:val="30"/>
          <w:szCs w:val="30"/>
          <w:highlight w:val="none"/>
        </w:rPr>
        <w:t xml:space="preserve">、其他非实质性资信证明文件（如有）</w:t>
      </w: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ascii="宋体" w:hAnsi="宋体"/>
          <w:b/>
          <w:bCs/>
          <w:sz w:val="24"/>
          <w:szCs w:val="24"/>
          <w:highlight w:val="none"/>
        </w:rPr>
        <w:t xml:space="preserve">…(</w:t>
      </w:r>
      <w:r>
        <w:rPr>
          <w:rFonts w:hint="eastAsia" w:ascii="宋体" w:hAnsi="宋体"/>
          <w:b/>
          <w:bCs/>
          <w:sz w:val="24"/>
          <w:szCs w:val="24"/>
          <w:highlight w:val="none"/>
        </w:rPr>
        <w:t xml:space="preserve">自行添加内容)</w:t>
      </w: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ind w:firstLine="482"/>
        <w:jc w:val="both"/>
        <w:spacing w:before="50" w:after="50" w:line="240" w:lineRule="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728"/>
        <w:jc w:val="center"/>
        <w:spacing w:line="360" w:lineRule="auto"/>
        <w:rPr>
          <w:rFonts w:hint="eastAsia"/>
          <w:b/>
          <w:sz w:val="32"/>
          <w:szCs w:val="32"/>
          <w:highlight w:val="none"/>
        </w:rPr>
      </w:pPr>
      <w:r>
        <w:rPr>
          <w:rFonts w:hint="eastAsia"/>
          <w:b/>
          <w:sz w:val="32"/>
          <w:szCs w:val="32"/>
          <w:highlight w:val="none"/>
        </w:rPr>
        <w:t xml:space="preserve">四、投标产品配置及分项报价表</w:t>
      </w:r>
      <w:r>
        <w:rPr>
          <w:rFonts w:hint="eastAsia"/>
          <w:b/>
          <w:sz w:val="32"/>
          <w:szCs w:val="32"/>
          <w:highlight w:val="none"/>
        </w:rPr>
      </w:r>
      <w:r/>
    </w:p>
    <w:p>
      <w:pPr>
        <w:pStyle w:val="728"/>
        <w:jc w:val="center"/>
        <w:spacing w:line="360" w:lineRule="auto"/>
        <w:rPr>
          <w:rFonts w:hint="eastAsia" w:ascii="黑体" w:hAnsi="黑体" w:eastAsia="黑体"/>
          <w:b/>
          <w:sz w:val="32"/>
          <w:szCs w:val="32"/>
          <w:highlight w:val="none"/>
        </w:rPr>
      </w:pPr>
      <w:r>
        <w:rPr>
          <w:rFonts w:hint="eastAsia"/>
          <w:b/>
          <w:sz w:val="32"/>
          <w:szCs w:val="32"/>
          <w:highlight w:val="none"/>
          <w:lang w:eastAsia="zh-CN"/>
        </w:rPr>
        <w:t xml:space="preserve">（</w:t>
      </w:r>
      <w:r>
        <w:rPr>
          <w:rFonts w:hint="eastAsia"/>
          <w:b/>
          <w:sz w:val="32"/>
          <w:szCs w:val="32"/>
          <w:highlight w:val="none"/>
          <w:lang w:val="en-US" w:eastAsia="zh-CN"/>
        </w:rPr>
        <w:t xml:space="preserve">格式自拟</w:t>
      </w:r>
      <w:r>
        <w:rPr>
          <w:rFonts w:hint="eastAsia"/>
          <w:b/>
          <w:sz w:val="32"/>
          <w:szCs w:val="32"/>
          <w:highlight w:val="none"/>
          <w:lang w:eastAsia="zh-CN"/>
        </w:rPr>
        <w:t xml:space="preserve">）</w:t>
      </w:r>
      <w:r>
        <w:rPr>
          <w:rFonts w:hint="eastAsia"/>
          <w:b/>
          <w:sz w:val="32"/>
          <w:szCs w:val="32"/>
          <w:highlight w:val="none"/>
        </w:rPr>
        <w:br w:type="page" w:clear="all"/>
      </w:r>
      <w:r>
        <w:rPr>
          <w:rFonts w:hint="eastAsia"/>
          <w:b/>
          <w:sz w:val="32"/>
          <w:szCs w:val="32"/>
          <w:highlight w:val="none"/>
          <w:lang w:val="en-US" w:eastAsia="zh-CN"/>
        </w:rPr>
        <w:t xml:space="preserve">五</w:t>
      </w:r>
      <w:r>
        <w:rPr>
          <w:rFonts w:hint="eastAsia"/>
          <w:b/>
          <w:sz w:val="32"/>
          <w:szCs w:val="32"/>
          <w:highlight w:val="none"/>
        </w:rPr>
        <w:t xml:space="preserve">、投入人员一览表</w:t>
      </w:r>
      <w:r>
        <w:rPr>
          <w:rFonts w:hint="eastAsia" w:ascii="黑体" w:hAnsi="黑体" w:eastAsia="黑体"/>
          <w:b/>
          <w:sz w:val="32"/>
          <w:szCs w:val="32"/>
          <w:highlight w:val="none"/>
        </w:rPr>
      </w:r>
      <w:r/>
    </w:p>
    <w:p>
      <w:pPr>
        <w:pStyle w:val="728"/>
        <w:jc w:val="center"/>
        <w:spacing w:after="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8"/>
        <w:ind w:firstLine="480"/>
        <w:jc w:val="both"/>
        <w:spacing w:after="0" w:line="360" w:lineRule="auto"/>
        <w:widowControl w:val="off"/>
        <w:rPr>
          <w:rFonts w:hint="eastAsia" w:ascii="宋体" w:hAnsi="宋体"/>
          <w:color w:val="000000"/>
          <w:sz w:val="24"/>
          <w:szCs w:val="24"/>
          <w:highlight w:val="none"/>
        </w:rPr>
      </w:pPr>
      <w:r>
        <w:rPr>
          <w:rFonts w:hint="eastAsia" w:ascii="宋体" w:hAnsi="宋体"/>
          <w:sz w:val="24"/>
          <w:szCs w:val="24"/>
          <w:highlight w:val="none"/>
        </w:rPr>
        <w:t xml:space="preserve">项目名称：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28"/>
        <w:ind w:firstLine="480"/>
        <w:jc w:val="both"/>
        <w:spacing w:after="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rPr>
      </w:r>
      <w:r/>
    </w:p>
    <w:p>
      <w:pPr>
        <w:pStyle w:val="728"/>
        <w:ind w:firstLine="480"/>
        <w:jc w:val="both"/>
        <w:spacing w:after="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rPr>
          <w:rFonts w:hint="eastAsia" w:ascii="宋体" w:hAnsi="宋体"/>
          <w:color w:val="000000"/>
          <w:sz w:val="24"/>
          <w:szCs w:val="24"/>
          <w:highlight w:val="none"/>
        </w:rPr>
      </w:r>
      <w:r/>
    </w:p>
    <w:tbl>
      <w:tblPr>
        <w:tblW w:w="83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728"/>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序号</w:t>
            </w:r>
            <w:r>
              <w:rPr>
                <w:rFonts w:hint="eastAsia" w:ascii="宋体" w:hAnsi="宋体"/>
                <w:b/>
                <w:sz w:val="24"/>
                <w:szCs w:val="24"/>
                <w:highlight w:val="none"/>
                <w:lang w:val="zh-CN"/>
              </w:rPr>
            </w:r>
            <w:r/>
          </w:p>
        </w:tc>
        <w:tc>
          <w:tcPr>
            <w:tcW w:w="1134" w:type="dxa"/>
            <w:vAlign w:val="center"/>
            <w:textDirection w:val="lrTb"/>
            <w:noWrap w:val="false"/>
          </w:tcPr>
          <w:p>
            <w:pPr>
              <w:pStyle w:val="728"/>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姓名</w:t>
            </w:r>
            <w:r>
              <w:rPr>
                <w:rFonts w:hint="eastAsia" w:ascii="宋体" w:hAnsi="宋体"/>
                <w:b/>
                <w:sz w:val="24"/>
                <w:szCs w:val="24"/>
                <w:highlight w:val="none"/>
                <w:lang w:val="zh-CN"/>
              </w:rPr>
            </w:r>
            <w:r/>
          </w:p>
        </w:tc>
        <w:tc>
          <w:tcPr>
            <w:tcW w:w="829" w:type="dxa"/>
            <w:vAlign w:val="center"/>
            <w:textDirection w:val="lrTb"/>
            <w:noWrap w:val="false"/>
          </w:tcPr>
          <w:p>
            <w:pPr>
              <w:pStyle w:val="728"/>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年龄</w:t>
            </w:r>
            <w:r>
              <w:rPr>
                <w:rFonts w:hint="eastAsia" w:ascii="宋体" w:hAnsi="宋体"/>
                <w:b/>
                <w:sz w:val="24"/>
                <w:szCs w:val="24"/>
                <w:highlight w:val="none"/>
                <w:lang w:val="zh-CN"/>
              </w:rPr>
            </w:r>
            <w:r/>
          </w:p>
        </w:tc>
        <w:tc>
          <w:tcPr>
            <w:tcW w:w="1087" w:type="dxa"/>
            <w:vAlign w:val="center"/>
            <w:textDirection w:val="lrTb"/>
            <w:noWrap w:val="false"/>
          </w:tcPr>
          <w:p>
            <w:pPr>
              <w:pStyle w:val="728"/>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学历学位</w:t>
            </w:r>
            <w:r>
              <w:rPr>
                <w:rFonts w:hint="eastAsia" w:ascii="宋体" w:hAnsi="宋体"/>
                <w:b/>
                <w:sz w:val="24"/>
                <w:szCs w:val="24"/>
                <w:highlight w:val="none"/>
                <w:lang w:val="zh-CN"/>
              </w:rPr>
            </w:r>
            <w:r/>
          </w:p>
        </w:tc>
        <w:tc>
          <w:tcPr>
            <w:tcW w:w="978" w:type="dxa"/>
            <w:vAlign w:val="center"/>
            <w:textDirection w:val="lrTb"/>
            <w:noWrap w:val="false"/>
          </w:tcPr>
          <w:p>
            <w:pPr>
              <w:pStyle w:val="728"/>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专业技术职称</w:t>
            </w:r>
            <w:r>
              <w:rPr>
                <w:rFonts w:hint="eastAsia" w:ascii="宋体" w:hAnsi="宋体"/>
                <w:b/>
                <w:sz w:val="24"/>
                <w:szCs w:val="24"/>
                <w:highlight w:val="none"/>
                <w:lang w:val="zh-CN"/>
              </w:rPr>
            </w:r>
            <w:r/>
          </w:p>
        </w:tc>
        <w:tc>
          <w:tcPr>
            <w:tcW w:w="1125" w:type="dxa"/>
            <w:vAlign w:val="center"/>
            <w:textDirection w:val="lrTb"/>
            <w:noWrap w:val="false"/>
          </w:tcPr>
          <w:p>
            <w:pPr>
              <w:pStyle w:val="728"/>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相关工作年限</w:t>
            </w:r>
            <w:r>
              <w:rPr>
                <w:rFonts w:hint="eastAsia" w:ascii="宋体" w:hAnsi="宋体"/>
                <w:b/>
                <w:sz w:val="24"/>
                <w:szCs w:val="24"/>
                <w:highlight w:val="none"/>
                <w:lang w:val="zh-CN"/>
              </w:rPr>
            </w:r>
            <w:r/>
          </w:p>
        </w:tc>
        <w:tc>
          <w:tcPr>
            <w:tcW w:w="1516" w:type="dxa"/>
            <w:vAlign w:val="center"/>
            <w:textDirection w:val="lrTb"/>
            <w:noWrap w:val="false"/>
          </w:tcPr>
          <w:p>
            <w:pPr>
              <w:pStyle w:val="728"/>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拟担任本项目何种工作</w:t>
            </w:r>
            <w:r>
              <w:rPr>
                <w:rFonts w:hint="eastAsia" w:ascii="宋体" w:hAnsi="宋体"/>
                <w:b/>
                <w:sz w:val="24"/>
                <w:szCs w:val="24"/>
                <w:highlight w:val="none"/>
                <w:lang w:val="zh-CN"/>
              </w:rPr>
            </w:r>
            <w:r/>
          </w:p>
        </w:tc>
        <w:tc>
          <w:tcPr>
            <w:tcW w:w="819" w:type="dxa"/>
            <w:vAlign w:val="center"/>
            <w:textDirection w:val="lrTb"/>
            <w:noWrap w:val="false"/>
          </w:tcPr>
          <w:p>
            <w:pPr>
              <w:pStyle w:val="728"/>
              <w:jc w:val="center"/>
              <w:spacing w:after="0" w:line="360" w:lineRule="auto"/>
              <w:widowControl w:val="off"/>
              <w:rPr>
                <w:rFonts w:hint="eastAsia" w:ascii="宋体" w:hAnsi="宋体"/>
                <w:b/>
                <w:sz w:val="24"/>
                <w:szCs w:val="24"/>
                <w:highlight w:val="none"/>
                <w:lang w:val="zh-CN"/>
              </w:rPr>
            </w:pPr>
            <w:r>
              <w:rPr>
                <w:rFonts w:hint="eastAsia" w:ascii="宋体" w:hAnsi="宋体"/>
                <w:b/>
                <w:sz w:val="24"/>
                <w:szCs w:val="24"/>
                <w:highlight w:val="none"/>
                <w:lang w:val="zh-CN"/>
              </w:rPr>
              <w:t xml:space="preserve">备注</w:t>
            </w:r>
            <w:r>
              <w:rPr>
                <w:rFonts w:hint="eastAsia" w:ascii="宋体" w:hAnsi="宋体"/>
                <w:b/>
                <w:sz w:val="24"/>
                <w:szCs w:val="24"/>
                <w:highlight w:val="none"/>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项目负责人</w:t>
            </w:r>
            <w:r>
              <w:rPr>
                <w:rFonts w:hint="eastAsia" w:ascii="宋体" w:hAnsi="宋体"/>
                <w:sz w:val="24"/>
                <w:szCs w:val="24"/>
                <w:highlight w:val="none"/>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r>
        <w:trPr/>
        <w:tc>
          <w:tcPr>
            <w:tcW w:w="88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34"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2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087"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978"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125"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1516"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c>
          <w:tcPr>
            <w:tcW w:w="819" w:type="dxa"/>
            <w:vAlign w:val="top"/>
            <w:textDirection w:val="lrTb"/>
            <w:noWrap w:val="false"/>
          </w:tcPr>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tc>
      </w:tr>
    </w:tbl>
    <w:p>
      <w:pPr>
        <w:pStyle w:val="728"/>
        <w:jc w:val="both"/>
        <w:spacing w:after="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请按招标文件要求提供</w:t>
      </w:r>
      <w:r>
        <w:rPr>
          <w:rFonts w:hint="eastAsia" w:ascii="黑体" w:hAnsi="黑体" w:eastAsia="黑体"/>
          <w:b/>
          <w:bCs/>
          <w:color w:val="000000"/>
          <w:sz w:val="24"/>
          <w:szCs w:val="24"/>
          <w:highlight w:val="none"/>
        </w:rPr>
        <w:t xml:space="preserve">与上述人员名单顺序一一对应</w:t>
      </w:r>
      <w:r>
        <w:rPr>
          <w:rFonts w:hint="eastAsia" w:ascii="宋体" w:hAnsi="宋体"/>
          <w:color w:val="000000"/>
          <w:sz w:val="24"/>
          <w:szCs w:val="24"/>
          <w:highlight w:val="none"/>
        </w:rPr>
        <w:t xml:space="preserve">的学历学位证书，专业技术职称，专业工作年限，投标人为其缴纳社保或其他招标文件要求的各项证明材料。具体证明材料要求请自行仔细查阅招标文件要求。</w:t>
      </w:r>
      <w:r>
        <w:rPr>
          <w:rFonts w:hint="eastAsia" w:ascii="宋体" w:hAnsi="宋体"/>
          <w:color w:val="000000"/>
          <w:sz w:val="24"/>
          <w:szCs w:val="24"/>
          <w:highlight w:val="none"/>
        </w:rPr>
      </w:r>
      <w:r/>
    </w:p>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说明：如果行数不够，请自行增加。</w:t>
      </w:r>
      <w:r>
        <w:rPr>
          <w:rFonts w:hint="eastAsia" w:ascii="宋体" w:hAnsi="宋体"/>
          <w:sz w:val="24"/>
          <w:szCs w:val="24"/>
          <w:highlight w:val="none"/>
          <w:lang w:val="zh-CN"/>
        </w:rPr>
      </w:r>
      <w:r/>
    </w:p>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供应商名称：</w:t>
      </w:r>
      <w:r>
        <w:rPr>
          <w:rFonts w:ascii="宋体" w:hAnsi="宋体"/>
          <w:sz w:val="24"/>
          <w:szCs w:val="24"/>
          <w:highlight w:val="none"/>
          <w:u w:val="single"/>
          <w:lang w:val="zh-CN"/>
        </w:rPr>
        <w:t xml:space="preserve">                                      </w:t>
      </w:r>
      <w:r>
        <w:rPr>
          <w:rFonts w:hint="eastAsia" w:ascii="宋体" w:hAnsi="宋体"/>
          <w:sz w:val="24"/>
          <w:szCs w:val="24"/>
          <w:highlight w:val="none"/>
          <w:lang w:val="zh-CN"/>
        </w:rPr>
        <w:t xml:space="preserve">（加盖CA电子公章）</w:t>
      </w:r>
      <w:r>
        <w:rPr>
          <w:rFonts w:hint="eastAsia" w:ascii="宋体" w:hAnsi="宋体"/>
          <w:sz w:val="24"/>
          <w:szCs w:val="24"/>
          <w:highlight w:val="none"/>
          <w:lang w:val="zh-CN"/>
        </w:rPr>
      </w:r>
      <w:r/>
    </w:p>
    <w:p>
      <w:pPr>
        <w:pStyle w:val="728"/>
        <w:jc w:val="center"/>
        <w:spacing w:after="0" w:line="240" w:lineRule="auto"/>
        <w:widowControl w:val="off"/>
        <w:rPr>
          <w:rFonts w:ascii="黑体" w:eastAsia="黑体"/>
          <w:b/>
          <w:sz w:val="36"/>
          <w:highlight w:val="none"/>
        </w:rPr>
      </w:pPr>
      <w:r>
        <w:rPr>
          <w:rFonts w:ascii="黑体" w:eastAsia="黑体"/>
          <w:b/>
          <w:sz w:val="36"/>
          <w:highlight w:val="none"/>
        </w:rPr>
      </w:r>
      <w:r/>
    </w:p>
    <w:p>
      <w:pPr>
        <w:pStyle w:val="728"/>
        <w:jc w:val="center"/>
        <w:spacing w:after="0" w:line="240" w:lineRule="auto"/>
        <w:widowControl w:val="off"/>
        <w:rPr>
          <w:rFonts w:ascii="黑体" w:eastAsia="黑体"/>
          <w:b/>
          <w:sz w:val="36"/>
          <w:highlight w:val="none"/>
        </w:rPr>
      </w:pPr>
      <w:r>
        <w:rPr>
          <w:rFonts w:ascii="黑体" w:eastAsia="黑体"/>
          <w:b/>
          <w:sz w:val="36"/>
          <w:highlight w:val="none"/>
        </w:rPr>
      </w:r>
      <w:r/>
    </w:p>
    <w:p>
      <w:pPr>
        <w:pStyle w:val="728"/>
        <w:jc w:val="center"/>
        <w:spacing w:after="0" w:line="240" w:lineRule="auto"/>
        <w:widowControl w:val="off"/>
        <w:rPr>
          <w:rFonts w:ascii="黑体" w:eastAsia="黑体"/>
          <w:b/>
          <w:sz w:val="36"/>
          <w:highlight w:val="none"/>
        </w:rPr>
      </w:pPr>
      <w:r>
        <w:rPr>
          <w:rFonts w:ascii="黑体" w:eastAsia="黑体"/>
          <w:b/>
          <w:sz w:val="36"/>
          <w:highlight w:val="none"/>
        </w:rPr>
      </w:r>
      <w:r/>
    </w:p>
    <w:p>
      <w:pPr>
        <w:pStyle w:val="728"/>
        <w:jc w:val="center"/>
        <w:spacing w:after="0" w:line="240" w:lineRule="auto"/>
        <w:widowControl w:val="off"/>
        <w:rPr>
          <w:rFonts w:ascii="黑体" w:eastAsia="黑体"/>
          <w:b/>
          <w:sz w:val="36"/>
          <w:highlight w:val="none"/>
        </w:rPr>
      </w:pPr>
      <w:r>
        <w:rPr>
          <w:rFonts w:ascii="黑体" w:eastAsia="黑体"/>
          <w:b/>
          <w:sz w:val="36"/>
          <w:highlight w:val="none"/>
        </w:rPr>
      </w:r>
      <w:r/>
    </w:p>
    <w:p>
      <w:pPr>
        <w:pStyle w:val="728"/>
        <w:jc w:val="center"/>
        <w:spacing w:after="0" w:line="240" w:lineRule="auto"/>
        <w:widowControl w:val="off"/>
        <w:rPr>
          <w:rFonts w:ascii="黑体" w:eastAsia="黑体"/>
          <w:b/>
          <w:sz w:val="36"/>
          <w:highlight w:val="none"/>
        </w:rPr>
      </w:pPr>
      <w:r>
        <w:rPr>
          <w:rFonts w:ascii="黑体" w:eastAsia="黑体"/>
          <w:b/>
          <w:sz w:val="36"/>
          <w:highlight w:val="none"/>
        </w:rPr>
      </w:r>
      <w:r/>
    </w:p>
    <w:p>
      <w:pPr>
        <w:pStyle w:val="728"/>
        <w:jc w:val="center"/>
        <w:spacing w:after="0" w:line="240" w:lineRule="auto"/>
        <w:widowControl w:val="off"/>
        <w:rPr>
          <w:rFonts w:hint="eastAsia" w:hAnsi="宋体" w:eastAsia="幼圆" w:cs="Arial"/>
          <w:b/>
          <w:bCs/>
          <w:sz w:val="32"/>
          <w:szCs w:val="32"/>
          <w:highlight w:val="none"/>
        </w:rPr>
      </w:pPr>
      <w:r>
        <w:rPr>
          <w:rFonts w:hint="eastAsia"/>
          <w:b/>
          <w:sz w:val="32"/>
          <w:szCs w:val="32"/>
          <w:highlight w:val="none"/>
          <w:lang w:val="en-US" w:eastAsia="zh-CN"/>
        </w:rPr>
        <w:t xml:space="preserve">六</w:t>
      </w:r>
      <w:r>
        <w:rPr>
          <w:rFonts w:hint="eastAsia"/>
          <w:b/>
          <w:sz w:val="32"/>
          <w:szCs w:val="32"/>
          <w:highlight w:val="none"/>
        </w:rPr>
        <w:t xml:space="preserve">、技术（服务）条款响应及偏离表</w:t>
      </w:r>
      <w:r>
        <w:rPr>
          <w:rFonts w:hint="eastAsia" w:hAnsi="宋体" w:eastAsia="幼圆" w:cs="Arial"/>
          <w:b/>
          <w:bCs/>
          <w:sz w:val="32"/>
          <w:szCs w:val="32"/>
          <w:highlight w:val="none"/>
        </w:rPr>
      </w:r>
      <w:r/>
    </w:p>
    <w:p>
      <w:pPr>
        <w:pStyle w:val="728"/>
        <w:jc w:val="both"/>
        <w:spacing w:after="0" w:line="240" w:lineRule="auto"/>
        <w:widowControl w:val="off"/>
        <w:rPr>
          <w:sz w:val="28"/>
          <w:szCs w:val="28"/>
          <w:highlight w:val="none"/>
        </w:rPr>
      </w:pPr>
      <w:r>
        <w:rPr>
          <w:rFonts w:hint="eastAsia"/>
          <w:sz w:val="28"/>
          <w:szCs w:val="28"/>
          <w:highlight w:val="none"/>
        </w:rPr>
        <w:t xml:space="preserve">项目名称： </w:t>
      </w:r>
      <w:r>
        <w:rPr>
          <w:sz w:val="28"/>
          <w:szCs w:val="28"/>
          <w:highlight w:val="none"/>
        </w:rPr>
        <w:t xml:space="preserve">                                      </w:t>
      </w:r>
      <w:r>
        <w:rPr>
          <w:sz w:val="28"/>
          <w:szCs w:val="28"/>
          <w:highlight w:val="none"/>
        </w:rPr>
      </w:r>
      <w:r/>
    </w:p>
    <w:p>
      <w:pPr>
        <w:pStyle w:val="728"/>
        <w:jc w:val="both"/>
        <w:spacing w:after="0" w:line="240" w:lineRule="auto"/>
        <w:widowControl w:val="off"/>
        <w:rPr>
          <w:sz w:val="28"/>
          <w:szCs w:val="28"/>
          <w:highlight w:val="none"/>
        </w:rPr>
      </w:pPr>
      <w:r>
        <w:rPr>
          <w:rFonts w:hint="eastAsia"/>
          <w:sz w:val="28"/>
          <w:szCs w:val="28"/>
          <w:highlight w:val="none"/>
        </w:rPr>
        <w:t xml:space="preserve">项目编号：</w:t>
      </w:r>
      <w:r>
        <w:rPr>
          <w:sz w:val="28"/>
          <w:szCs w:val="28"/>
          <w:highlight w:val="none"/>
        </w:rPr>
      </w:r>
      <w:r/>
    </w:p>
    <w:p>
      <w:pPr>
        <w:pStyle w:val="728"/>
        <w:jc w:val="both"/>
        <w:spacing w:after="0" w:line="240" w:lineRule="auto"/>
        <w:widowControl w:val="off"/>
        <w:rPr>
          <w:rFonts w:ascii="楷体_GB2312" w:hAnsi="Arial" w:eastAsia="楷体_GB2312"/>
          <w:sz w:val="28"/>
          <w:szCs w:val="28"/>
          <w:highlight w:val="none"/>
          <w:lang w:val="zh-CN"/>
        </w:rPr>
      </w:pPr>
      <w:r>
        <w:rPr>
          <w:rFonts w:hint="eastAsia"/>
          <w:sz w:val="28"/>
          <w:szCs w:val="28"/>
          <w:highlight w:val="none"/>
        </w:rPr>
        <w:t xml:space="preserve">采购包号：</w:t>
      </w:r>
      <w:r>
        <w:rPr>
          <w:rFonts w:ascii="楷体_GB2312" w:hAnsi="Arial" w:eastAsia="楷体_GB2312"/>
          <w:sz w:val="28"/>
          <w:szCs w:val="28"/>
          <w:highlight w:val="none"/>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序号</w:t>
            </w:r>
            <w:r>
              <w:rPr>
                <w:rFonts w:hint="eastAsia" w:ascii="仿宋_GB2312" w:hAnsi="仿宋_GB2312" w:eastAsia="仿宋_GB2312"/>
                <w:sz w:val="24"/>
                <w:szCs w:val="20"/>
                <w:highlight w:val="none"/>
              </w:rPr>
            </w:r>
            <w:r/>
          </w:p>
        </w:tc>
        <w:tc>
          <w:tcPr>
            <w:tcW w:w="1203"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highlight w:val="none"/>
              </w:rPr>
            </w:pPr>
            <w:r>
              <w:rPr>
                <w:rFonts w:hint="eastAsia" w:ascii="宋体"/>
                <w:sz w:val="24"/>
                <w:szCs w:val="24"/>
                <w:highlight w:val="none"/>
              </w:rPr>
              <w:t xml:space="preserve">采购文件条目号</w:t>
            </w:r>
            <w:r>
              <w:rPr>
                <w:rFonts w:hint="eastAsia" w:ascii="仿宋_GB2312" w:hAnsi="仿宋_GB2312"/>
                <w:sz w:val="24"/>
                <w:szCs w:val="21"/>
                <w:highlight w:val="none"/>
              </w:rPr>
            </w:r>
            <w:r/>
          </w:p>
        </w:tc>
        <w:tc>
          <w:tcPr>
            <w:tcW w:w="1596"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招标要求</w:t>
            </w:r>
            <w:r>
              <w:rPr>
                <w:rFonts w:hint="eastAsia" w:ascii="仿宋_GB2312" w:hAnsi="仿宋_GB2312" w:eastAsia="仿宋_GB2312"/>
                <w:sz w:val="24"/>
                <w:szCs w:val="20"/>
                <w:highlight w:val="none"/>
              </w:rPr>
            </w:r>
            <w:r/>
          </w:p>
        </w:tc>
        <w:tc>
          <w:tcPr>
            <w:tcW w:w="1618"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投标响应内容</w:t>
            </w:r>
            <w:r>
              <w:rPr>
                <w:rFonts w:hint="eastAsia" w:ascii="仿宋_GB2312" w:hAnsi="仿宋_GB2312" w:eastAsia="仿宋_GB2312"/>
                <w:sz w:val="24"/>
                <w:szCs w:val="20"/>
                <w:highlight w:val="none"/>
              </w:rPr>
            </w:r>
            <w:r/>
          </w:p>
        </w:tc>
        <w:tc>
          <w:tcPr>
            <w:tcW w:w="1736"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highlight w:val="none"/>
              </w:rPr>
            </w:pPr>
            <w:r>
              <w:rPr>
                <w:rFonts w:hint="eastAsia" w:ascii="宋体" w:hAnsi="宋体"/>
                <w:sz w:val="24"/>
                <w:highlight w:val="none"/>
                <w:lang w:val="zh-CN"/>
              </w:rPr>
              <w:t xml:space="preserve">证明材料在投标文件中的页码（可不填写）</w:t>
            </w:r>
            <w:r>
              <w:rPr>
                <w:rFonts w:hint="eastAsia" w:ascii="仿宋_GB2312" w:hAnsi="仿宋_GB2312"/>
                <w:sz w:val="24"/>
                <w:szCs w:val="21"/>
                <w:highlight w:val="none"/>
              </w:rPr>
            </w:r>
            <w:r/>
          </w:p>
        </w:tc>
        <w:tc>
          <w:tcPr>
            <w:tcW w:w="1143"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宋体" w:hAnsi="宋体"/>
                <w:sz w:val="24"/>
                <w:highlight w:val="none"/>
                <w:lang w:val="zh-CN"/>
              </w:rPr>
              <w:t xml:space="preserve">偏离说明</w:t>
            </w:r>
            <w:r>
              <w:rPr>
                <w:rFonts w:hint="eastAsia" w:ascii="仿宋_GB2312" w:hAnsi="仿宋_GB2312" w:eastAsia="仿宋_GB2312"/>
                <w:sz w:val="24"/>
                <w:szCs w:val="20"/>
                <w:highlight w:val="none"/>
              </w:rPr>
            </w:r>
            <w:r/>
          </w:p>
        </w:tc>
      </w:tr>
      <w:tr>
        <w:trPr>
          <w:trHeight w:val="469"/>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36"/>
        </w:trPr>
        <w:tc>
          <w:tcPr>
            <w:tcW w:w="892"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5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6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02"/>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340"/>
        </w:trPr>
        <w:tc>
          <w:tcPr>
            <w:tcW w:w="892" w:type="dxa"/>
            <w:vAlign w:val="top"/>
            <w:textDirection w:val="lrTb"/>
            <w:noWrap w:val="false"/>
          </w:tcPr>
          <w:p>
            <w:pPr>
              <w:pStyle w:val="728"/>
              <w:jc w:val="center"/>
              <w:spacing w:before="156" w:after="0" w:line="240" w:lineRule="auto"/>
              <w:widowControl w:val="off"/>
              <w:rPr>
                <w:rFonts w:ascii="宋体"/>
                <w:sz w:val="24"/>
                <w:szCs w:val="20"/>
                <w:highlight w:val="none"/>
              </w:rPr>
            </w:pPr>
            <w:r>
              <w:rPr>
                <w:rFonts w:ascii="宋体"/>
                <w:sz w:val="24"/>
                <w:szCs w:val="20"/>
                <w:highlight w:val="none"/>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0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bl>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注：请将采购文件项目需求中列举的技术（服务）条款要求逐项作出应答并提供必要的证明材料或实施方案。</w:t>
      </w:r>
      <w:r>
        <w:rPr>
          <w:rFonts w:hint="eastAsia" w:ascii="宋体" w:hAnsi="宋体"/>
          <w:sz w:val="24"/>
          <w:szCs w:val="24"/>
          <w:highlight w:val="none"/>
          <w:lang w:val="zh-CN"/>
        </w:rPr>
      </w:r>
      <w:r/>
    </w:p>
    <w:p>
      <w:pPr>
        <w:pStyle w:val="728"/>
        <w:rPr>
          <w:rFonts w:ascii="宋体"/>
          <w:color w:val="ff0000"/>
          <w:sz w:val="24"/>
          <w:szCs w:val="24"/>
          <w:highlight w:val="none"/>
        </w:rPr>
      </w:pPr>
      <w:r>
        <w:rPr>
          <w:rFonts w:ascii="宋体"/>
          <w:color w:val="ff0000"/>
          <w:sz w:val="24"/>
          <w:szCs w:val="24"/>
          <w:highlight w:val="none"/>
        </w:rPr>
      </w:r>
      <w:r/>
    </w:p>
    <w:p>
      <w:pPr>
        <w:pStyle w:val="728"/>
        <w:rPr>
          <w:rFonts w:ascii="宋体"/>
          <w:sz w:val="24"/>
          <w:szCs w:val="24"/>
          <w:highlight w:val="none"/>
        </w:rPr>
      </w:pPr>
      <w:r>
        <w:rPr>
          <w:rFonts w:hint="eastAsia" w:ascii="宋体"/>
          <w:sz w:val="24"/>
          <w:szCs w:val="24"/>
          <w:highlight w:val="none"/>
        </w:rPr>
        <w:t xml:space="preserve">说明：如果行数不够，请自行增加。</w:t>
      </w:r>
      <w:r>
        <w:rPr>
          <w:rFonts w:ascii="宋体"/>
          <w:sz w:val="24"/>
          <w:szCs w:val="24"/>
          <w:highlight w:val="none"/>
        </w:rPr>
      </w:r>
      <w:r/>
    </w:p>
    <w:p>
      <w:pPr>
        <w:pStyle w:val="728"/>
        <w:rPr>
          <w:rFonts w:ascii="宋体"/>
          <w:sz w:val="24"/>
          <w:szCs w:val="24"/>
          <w:highlight w:val="none"/>
        </w:rPr>
      </w:pPr>
      <w:r>
        <w:rPr>
          <w:rFonts w:hint="eastAsia" w:ascii="宋体"/>
          <w:sz w:val="24"/>
          <w:szCs w:val="24"/>
          <w:highlight w:val="none"/>
        </w:rPr>
        <w:t xml:space="preserve">                                       </w:t>
      </w:r>
      <w:r>
        <w:rPr>
          <w:rFonts w:ascii="宋体"/>
          <w:sz w:val="24"/>
          <w:szCs w:val="24"/>
          <w:highlight w:val="none"/>
        </w:rPr>
      </w:r>
      <w:r/>
    </w:p>
    <w:p>
      <w:pPr>
        <w:pStyle w:val="728"/>
        <w:ind w:firstLine="3640"/>
        <w:rPr>
          <w:rFonts w:ascii="宋体"/>
          <w:sz w:val="28"/>
          <w:szCs w:val="28"/>
          <w:highlight w:val="none"/>
        </w:rPr>
      </w:pPr>
      <w:r>
        <w:rPr>
          <w:rFonts w:hint="eastAsia" w:ascii="宋体"/>
          <w:sz w:val="28"/>
          <w:szCs w:val="28"/>
          <w:highlight w:val="none"/>
        </w:rPr>
        <w:t xml:space="preserve">供应商名称(加盖CA电子公章)：</w:t>
      </w:r>
      <w:r>
        <w:rPr>
          <w:rFonts w:ascii="宋体"/>
          <w:sz w:val="28"/>
          <w:szCs w:val="28"/>
          <w:highlight w:val="none"/>
        </w:rPr>
      </w:r>
      <w:r/>
    </w:p>
    <w:p>
      <w:pPr>
        <w:pStyle w:val="728"/>
        <w:ind w:firstLine="5600"/>
        <w:rPr>
          <w:rFonts w:ascii="宋体"/>
          <w:sz w:val="28"/>
          <w:szCs w:val="28"/>
          <w:highlight w:val="none"/>
        </w:rPr>
      </w:pPr>
      <w:r>
        <w:rPr>
          <w:rFonts w:hint="eastAsia" w:ascii="宋体"/>
          <w:sz w:val="28"/>
          <w:szCs w:val="28"/>
          <w:highlight w:val="none"/>
        </w:rPr>
        <w:t xml:space="preserve">日期：</w:t>
      </w:r>
      <w:r>
        <w:rPr>
          <w:rFonts w:ascii="宋体"/>
          <w:sz w:val="28"/>
          <w:szCs w:val="28"/>
          <w:highlight w:val="none"/>
        </w:rPr>
      </w:r>
      <w:r/>
    </w:p>
    <w:p>
      <w:pPr>
        <w:pStyle w:val="728"/>
        <w:rPr>
          <w:rFonts w:ascii="宋体"/>
          <w:sz w:val="24"/>
          <w:szCs w:val="24"/>
          <w:highlight w:val="none"/>
        </w:rPr>
      </w:pPr>
      <w:r>
        <w:rPr>
          <w:rFonts w:ascii="宋体"/>
          <w:sz w:val="24"/>
          <w:szCs w:val="24"/>
          <w:highlight w:val="none"/>
        </w:rPr>
      </w:r>
      <w:r/>
    </w:p>
    <w:p>
      <w:pPr>
        <w:pStyle w:val="728"/>
        <w:rPr>
          <w:rFonts w:hint="eastAsia" w:ascii="宋体"/>
          <w:sz w:val="24"/>
          <w:szCs w:val="24"/>
          <w:highlight w:val="none"/>
        </w:rPr>
      </w:pPr>
      <w:r>
        <w:rPr>
          <w:rFonts w:hint="eastAsia" w:ascii="宋体"/>
          <w:sz w:val="24"/>
          <w:szCs w:val="24"/>
          <w:highlight w:val="none"/>
        </w:rPr>
      </w:r>
      <w:r/>
    </w:p>
    <w:p>
      <w:pPr>
        <w:pStyle w:val="728"/>
        <w:jc w:val="center"/>
        <w:spacing w:after="0" w:line="480" w:lineRule="auto"/>
        <w:widowControl w:val="off"/>
        <w:rPr>
          <w:b/>
          <w:sz w:val="32"/>
          <w:szCs w:val="32"/>
          <w:highlight w:val="none"/>
        </w:rPr>
      </w:pPr>
      <w:r>
        <w:rPr>
          <w:rFonts w:hint="eastAsia"/>
          <w:b/>
          <w:sz w:val="32"/>
          <w:szCs w:val="32"/>
          <w:highlight w:val="none"/>
          <w:lang w:val="en-US" w:eastAsia="zh-CN"/>
        </w:rPr>
        <w:t xml:space="preserve">七</w:t>
      </w:r>
      <w:r>
        <w:rPr>
          <w:rFonts w:hint="eastAsia"/>
          <w:b/>
          <w:sz w:val="32"/>
          <w:szCs w:val="32"/>
          <w:highlight w:val="none"/>
        </w:rPr>
        <w:t xml:space="preserve">、商务条款响应及偏离表</w:t>
      </w:r>
      <w:r>
        <w:rPr>
          <w:b/>
          <w:sz w:val="32"/>
          <w:szCs w:val="32"/>
          <w:highlight w:val="none"/>
        </w:rPr>
      </w:r>
      <w:r/>
    </w:p>
    <w:p>
      <w:pPr>
        <w:pStyle w:val="728"/>
        <w:jc w:val="both"/>
        <w:spacing w:after="0" w:line="360" w:lineRule="auto"/>
        <w:widowControl w:val="off"/>
        <w:rPr>
          <w:sz w:val="24"/>
          <w:szCs w:val="24"/>
          <w:highlight w:val="none"/>
        </w:rPr>
      </w:pPr>
      <w:r/>
      <w:bookmarkStart w:id="191" w:name="_Hlk227216618"/>
      <w:r>
        <w:rPr>
          <w:rFonts w:hint="eastAsia"/>
          <w:sz w:val="24"/>
          <w:szCs w:val="24"/>
          <w:highlight w:val="none"/>
        </w:rPr>
        <w:t xml:space="preserve">项目名称： </w:t>
      </w:r>
      <w:r>
        <w:rPr>
          <w:sz w:val="24"/>
          <w:szCs w:val="24"/>
          <w:highlight w:val="none"/>
        </w:rPr>
        <w:t xml:space="preserve">                                     </w:t>
      </w:r>
      <w:r>
        <w:rPr>
          <w:sz w:val="24"/>
          <w:szCs w:val="24"/>
          <w:highlight w:val="none"/>
        </w:rPr>
      </w:r>
      <w:r/>
    </w:p>
    <w:p>
      <w:pPr>
        <w:pStyle w:val="728"/>
        <w:jc w:val="both"/>
        <w:spacing w:after="0" w:line="360" w:lineRule="auto"/>
        <w:widowControl w:val="off"/>
        <w:rPr>
          <w:sz w:val="24"/>
          <w:szCs w:val="24"/>
          <w:highlight w:val="none"/>
        </w:rPr>
      </w:pPr>
      <w:r>
        <w:rPr>
          <w:rFonts w:hint="eastAsia"/>
          <w:sz w:val="24"/>
          <w:szCs w:val="24"/>
          <w:highlight w:val="none"/>
        </w:rPr>
        <w:t xml:space="preserve">项目编号：</w:t>
      </w:r>
      <w:r>
        <w:rPr>
          <w:sz w:val="24"/>
          <w:szCs w:val="24"/>
          <w:highlight w:val="none"/>
        </w:rPr>
      </w:r>
      <w:r/>
    </w:p>
    <w:p>
      <w:pPr>
        <w:pStyle w:val="728"/>
        <w:jc w:val="both"/>
        <w:spacing w:after="0" w:line="360" w:lineRule="auto"/>
        <w:widowControl w:val="off"/>
        <w:rPr>
          <w:sz w:val="24"/>
          <w:szCs w:val="24"/>
          <w:highlight w:val="none"/>
        </w:rPr>
      </w:pPr>
      <w:r>
        <w:rPr>
          <w:rFonts w:hint="eastAsia"/>
          <w:sz w:val="24"/>
          <w:szCs w:val="24"/>
          <w:highlight w:val="none"/>
        </w:rPr>
        <w:t xml:space="preserve">采购包号：</w:t>
      </w:r>
      <w:r>
        <w:rPr>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bookmarkEnd w:id="191"/>
            <w:r>
              <w:rPr>
                <w:rFonts w:hint="eastAsia" w:ascii="宋体"/>
                <w:sz w:val="24"/>
                <w:szCs w:val="24"/>
                <w:highlight w:val="none"/>
              </w:rPr>
              <w:t xml:space="preserve">序号</w:t>
            </w:r>
            <w:r>
              <w:rPr>
                <w:rFonts w:hint="eastAsia" w:ascii="仿宋_GB2312" w:hAnsi="仿宋_GB2312" w:eastAsia="仿宋_GB2312"/>
                <w:sz w:val="24"/>
                <w:szCs w:val="20"/>
                <w:highlight w:val="none"/>
              </w:rPr>
            </w:r>
            <w:r/>
          </w:p>
        </w:tc>
        <w:tc>
          <w:tcPr>
            <w:tcW w:w="1203"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highlight w:val="none"/>
              </w:rPr>
            </w:pPr>
            <w:r>
              <w:rPr>
                <w:rFonts w:hint="eastAsia" w:ascii="宋体"/>
                <w:sz w:val="24"/>
                <w:szCs w:val="24"/>
                <w:highlight w:val="none"/>
              </w:rPr>
              <w:t xml:space="preserve">采购文件条目号</w:t>
            </w:r>
            <w:r>
              <w:rPr>
                <w:rFonts w:hint="eastAsia" w:ascii="仿宋_GB2312" w:hAnsi="仿宋_GB2312"/>
                <w:sz w:val="24"/>
                <w:szCs w:val="21"/>
                <w:highlight w:val="none"/>
              </w:rPr>
            </w:r>
            <w:r/>
          </w:p>
        </w:tc>
        <w:tc>
          <w:tcPr>
            <w:tcW w:w="1596"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招标要求</w:t>
            </w:r>
            <w:r>
              <w:rPr>
                <w:rFonts w:hint="eastAsia" w:ascii="仿宋_GB2312" w:hAnsi="仿宋_GB2312" w:eastAsia="仿宋_GB2312"/>
                <w:sz w:val="24"/>
                <w:szCs w:val="20"/>
                <w:highlight w:val="none"/>
              </w:rPr>
            </w:r>
            <w:r/>
          </w:p>
        </w:tc>
        <w:tc>
          <w:tcPr>
            <w:tcW w:w="1618"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宋体"/>
                <w:sz w:val="24"/>
                <w:szCs w:val="24"/>
                <w:highlight w:val="none"/>
              </w:rPr>
              <w:t xml:space="preserve">投标响应内容</w:t>
            </w:r>
            <w:r>
              <w:rPr>
                <w:rFonts w:hint="eastAsia" w:ascii="仿宋_GB2312" w:hAnsi="仿宋_GB2312" w:eastAsia="仿宋_GB2312"/>
                <w:sz w:val="24"/>
                <w:szCs w:val="20"/>
                <w:highlight w:val="none"/>
              </w:rPr>
            </w:r>
            <w:r/>
          </w:p>
        </w:tc>
        <w:tc>
          <w:tcPr>
            <w:tcW w:w="1736" w:type="dxa"/>
            <w:vAlign w:val="center"/>
            <w:textDirection w:val="lrTb"/>
            <w:noWrap w:val="false"/>
          </w:tcPr>
          <w:p>
            <w:pPr>
              <w:pStyle w:val="728"/>
              <w:jc w:val="center"/>
              <w:spacing w:before="156" w:after="0" w:line="240" w:lineRule="auto"/>
              <w:widowControl w:val="off"/>
              <w:rPr>
                <w:rFonts w:hint="eastAsia" w:ascii="仿宋_GB2312" w:hAnsi="仿宋_GB2312"/>
                <w:sz w:val="24"/>
                <w:szCs w:val="21"/>
                <w:highlight w:val="none"/>
              </w:rPr>
            </w:pPr>
            <w:r>
              <w:rPr>
                <w:rFonts w:hint="eastAsia" w:ascii="宋体" w:hAnsi="宋体"/>
                <w:sz w:val="24"/>
                <w:highlight w:val="none"/>
                <w:lang w:val="zh-CN"/>
              </w:rPr>
              <w:t xml:space="preserve">证明材料在投标文件中的页码（可不填写）</w:t>
            </w:r>
            <w:r>
              <w:rPr>
                <w:rFonts w:hint="eastAsia" w:ascii="仿宋_GB2312" w:hAnsi="仿宋_GB2312"/>
                <w:sz w:val="24"/>
                <w:szCs w:val="21"/>
                <w:highlight w:val="none"/>
              </w:rPr>
            </w:r>
            <w:r/>
          </w:p>
        </w:tc>
        <w:tc>
          <w:tcPr>
            <w:tcW w:w="1143" w:type="dxa"/>
            <w:vAlign w:val="center"/>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宋体" w:hAnsi="宋体"/>
                <w:sz w:val="24"/>
                <w:highlight w:val="none"/>
                <w:lang w:val="zh-CN"/>
              </w:rPr>
              <w:t xml:space="preserve">偏离说明</w:t>
            </w:r>
            <w:r>
              <w:rPr>
                <w:rFonts w:hint="eastAsia" w:ascii="仿宋_GB2312" w:hAnsi="仿宋_GB2312" w:eastAsia="仿宋_GB2312"/>
                <w:sz w:val="24"/>
                <w:szCs w:val="20"/>
                <w:highlight w:val="none"/>
              </w:rPr>
            </w:r>
            <w:r/>
          </w:p>
        </w:tc>
      </w:tr>
      <w:tr>
        <w:trPr>
          <w:trHeight w:val="469"/>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36"/>
        </w:trPr>
        <w:tc>
          <w:tcPr>
            <w:tcW w:w="892"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5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4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6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618"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ind w:left="43"/>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02"/>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340"/>
        </w:trPr>
        <w:tc>
          <w:tcPr>
            <w:tcW w:w="892" w:type="dxa"/>
            <w:vAlign w:val="top"/>
            <w:textDirection w:val="lrTb"/>
            <w:noWrap w:val="false"/>
          </w:tcPr>
          <w:p>
            <w:pPr>
              <w:pStyle w:val="728"/>
              <w:jc w:val="center"/>
              <w:spacing w:before="156" w:after="0" w:line="240" w:lineRule="auto"/>
              <w:widowControl w:val="off"/>
              <w:rPr>
                <w:rFonts w:ascii="宋体"/>
                <w:sz w:val="24"/>
                <w:szCs w:val="20"/>
                <w:highlight w:val="none"/>
              </w:rPr>
            </w:pPr>
            <w:r>
              <w:rPr>
                <w:rFonts w:ascii="宋体"/>
                <w:sz w:val="24"/>
                <w:szCs w:val="20"/>
                <w:highlight w:val="none"/>
              </w:rPr>
            </w:r>
            <w:r/>
          </w:p>
        </w:tc>
        <w:tc>
          <w:tcPr>
            <w:tcW w:w="1203"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both"/>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rHeight w:val="400"/>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sz w:val="24"/>
                <w:szCs w:val="21"/>
                <w:highlight w:val="none"/>
              </w:rPr>
            </w:pPr>
            <w:r>
              <w:rPr>
                <w:rFonts w:hint="eastAsia" w:ascii="仿宋_GB2312" w:hAnsi="仿宋_GB2312"/>
                <w:sz w:val="24"/>
                <w:szCs w:val="21"/>
                <w:highlight w:val="none"/>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r>
        <w:trPr/>
        <w:tc>
          <w:tcPr>
            <w:tcW w:w="892"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20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59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618"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736"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c>
          <w:tcPr>
            <w:tcW w:w="1143" w:type="dxa"/>
            <w:vAlign w:val="top"/>
            <w:textDirection w:val="lrTb"/>
            <w:noWrap w:val="false"/>
          </w:tcPr>
          <w:p>
            <w:pPr>
              <w:pStyle w:val="728"/>
              <w:jc w:val="center"/>
              <w:spacing w:before="156" w:after="0" w:line="240" w:lineRule="auto"/>
              <w:widowControl w:val="off"/>
              <w:rPr>
                <w:rFonts w:hint="eastAsia" w:ascii="仿宋_GB2312" w:hAnsi="仿宋_GB2312" w:eastAsia="仿宋_GB2312"/>
                <w:sz w:val="24"/>
                <w:szCs w:val="20"/>
                <w:highlight w:val="none"/>
              </w:rPr>
            </w:pPr>
            <w:r>
              <w:rPr>
                <w:rFonts w:hint="eastAsia" w:ascii="仿宋_GB2312" w:hAnsi="仿宋_GB2312" w:eastAsia="仿宋_GB2312"/>
                <w:sz w:val="24"/>
                <w:szCs w:val="20"/>
                <w:highlight w:val="none"/>
              </w:rPr>
            </w:r>
            <w:r/>
          </w:p>
        </w:tc>
      </w:tr>
    </w:tbl>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注：请将采购文件项目需求中列举的商务条款要求逐项作出应答并提供必要的证明材料或实施方案。</w:t>
      </w:r>
      <w:r>
        <w:rPr>
          <w:rFonts w:hint="eastAsia" w:ascii="宋体" w:hAnsi="宋体"/>
          <w:sz w:val="24"/>
          <w:szCs w:val="24"/>
          <w:highlight w:val="none"/>
          <w:lang w:val="zh-CN"/>
        </w:rPr>
      </w:r>
      <w:r/>
    </w:p>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r>
      <w:r/>
    </w:p>
    <w:p>
      <w:pPr>
        <w:pStyle w:val="728"/>
        <w:jc w:val="both"/>
        <w:spacing w:after="0" w:line="360" w:lineRule="auto"/>
        <w:widowControl w:val="off"/>
        <w:rPr>
          <w:rFonts w:hint="eastAsia" w:ascii="宋体" w:hAnsi="宋体"/>
          <w:sz w:val="24"/>
          <w:szCs w:val="24"/>
          <w:highlight w:val="none"/>
          <w:lang w:val="zh-CN"/>
        </w:rPr>
      </w:pPr>
      <w:r>
        <w:rPr>
          <w:rFonts w:hint="eastAsia" w:ascii="宋体" w:hAnsi="宋体"/>
          <w:sz w:val="24"/>
          <w:szCs w:val="24"/>
          <w:highlight w:val="none"/>
          <w:lang w:val="zh-CN"/>
        </w:rPr>
        <w:t xml:space="preserve">说明：如果行数不够，请自行增加。</w:t>
      </w:r>
      <w:r>
        <w:rPr>
          <w:rFonts w:hint="eastAsia" w:ascii="宋体" w:hAnsi="宋体"/>
          <w:sz w:val="24"/>
          <w:szCs w:val="24"/>
          <w:highlight w:val="none"/>
          <w:lang w:val="zh-CN"/>
        </w:rPr>
      </w:r>
      <w:r/>
    </w:p>
    <w:p>
      <w:pPr>
        <w:pStyle w:val="728"/>
        <w:ind w:right="1320"/>
        <w:jc w:val="right"/>
        <w:spacing w:after="0" w:line="360" w:lineRule="auto"/>
        <w:widowControl w:val="off"/>
        <w:rPr>
          <w:sz w:val="28"/>
          <w:szCs w:val="28"/>
          <w:highlight w:val="none"/>
        </w:rPr>
      </w:pPr>
      <w:r/>
      <w:bookmarkStart w:id="192" w:name="_Hlk190783066"/>
      <w:r/>
      <w:bookmarkStart w:id="193" w:name="OLE_LINK7"/>
      <w:r>
        <w:rPr>
          <w:rFonts w:hint="eastAsia" w:ascii="宋体"/>
          <w:sz w:val="28"/>
          <w:szCs w:val="28"/>
          <w:highlight w:val="none"/>
          <w:lang w:val="zh-CN"/>
        </w:rPr>
        <w:t xml:space="preserve">供应商名称</w:t>
      </w:r>
      <w:r>
        <w:rPr>
          <w:sz w:val="28"/>
          <w:szCs w:val="28"/>
          <w:highlight w:val="none"/>
          <w:lang w:val="zh-CN"/>
        </w:rPr>
        <w:t xml:space="preserve">(</w:t>
      </w:r>
      <w:r>
        <w:rPr>
          <w:rFonts w:hint="eastAsia"/>
          <w:sz w:val="28"/>
          <w:szCs w:val="28"/>
          <w:highlight w:val="none"/>
          <w:lang w:val="zh-CN"/>
        </w:rPr>
        <w:t xml:space="preserve">加盖CA电子公章</w:t>
      </w:r>
      <w:r>
        <w:rPr>
          <w:sz w:val="28"/>
          <w:szCs w:val="28"/>
          <w:highlight w:val="none"/>
          <w:lang w:val="zh-CN"/>
        </w:rPr>
        <w:t xml:space="preserve">)</w:t>
      </w:r>
      <w:r>
        <w:rPr>
          <w:rFonts w:hint="eastAsia" w:ascii="宋体"/>
          <w:sz w:val="28"/>
          <w:szCs w:val="28"/>
          <w:highlight w:val="none"/>
          <w:lang w:val="zh-CN"/>
        </w:rPr>
        <w:t xml:space="preserve">：</w:t>
      </w:r>
      <w:bookmarkEnd w:id="192"/>
      <w:r>
        <w:rPr>
          <w:sz w:val="28"/>
          <w:szCs w:val="28"/>
          <w:highlight w:val="none"/>
          <w:lang w:val="zh-CN"/>
        </w:rPr>
        <w:t xml:space="preserve">                    </w:t>
      </w:r>
      <w:r>
        <w:rPr>
          <w:sz w:val="28"/>
          <w:szCs w:val="28"/>
          <w:highlight w:val="none"/>
        </w:rPr>
      </w:r>
      <w:r/>
    </w:p>
    <w:p>
      <w:pPr>
        <w:pStyle w:val="728"/>
        <w:ind w:right="2440"/>
        <w:jc w:val="center"/>
        <w:spacing w:after="0" w:line="360" w:lineRule="auto"/>
        <w:widowControl w:val="off"/>
        <w:rPr>
          <w:sz w:val="28"/>
          <w:szCs w:val="28"/>
          <w:highlight w:val="none"/>
        </w:rPr>
      </w:pPr>
      <w:r>
        <w:rPr>
          <w:rFonts w:hint="eastAsia"/>
          <w:sz w:val="28"/>
          <w:szCs w:val="28"/>
          <w:highlight w:val="none"/>
        </w:rPr>
        <w:t xml:space="preserve"> </w:t>
      </w:r>
      <w:r>
        <w:rPr>
          <w:sz w:val="28"/>
          <w:szCs w:val="28"/>
          <w:highlight w:val="none"/>
        </w:rPr>
        <w:t xml:space="preserve">                                 </w:t>
      </w:r>
      <w:r>
        <w:rPr>
          <w:rFonts w:hint="eastAsia"/>
          <w:sz w:val="28"/>
          <w:szCs w:val="28"/>
          <w:highlight w:val="none"/>
        </w:rPr>
        <w:t xml:space="preserve">日期：</w:t>
      </w:r>
      <w:bookmarkEnd w:id="193"/>
      <w:r>
        <w:rPr>
          <w:sz w:val="28"/>
          <w:szCs w:val="28"/>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jc w:val="both"/>
        <w:spacing w:after="0" w:line="240" w:lineRule="auto"/>
        <w:widowControl w:val="off"/>
        <w:rPr>
          <w:sz w:val="21"/>
          <w:highlight w:val="none"/>
        </w:rPr>
      </w:pPr>
      <w:r>
        <w:rPr>
          <w:sz w:val="21"/>
          <w:highlight w:val="none"/>
        </w:rPr>
      </w:r>
      <w:r/>
    </w:p>
    <w:p>
      <w:pPr>
        <w:pStyle w:val="728"/>
        <w:ind w:firstLine="420"/>
        <w:jc w:val="both"/>
        <w:spacing w:after="0" w:line="240" w:lineRule="auto"/>
        <w:widowControl w:val="off"/>
        <w:rPr>
          <w:sz w:val="21"/>
          <w:highlight w:val="none"/>
        </w:rPr>
      </w:pPr>
      <w:r>
        <w:rPr>
          <w:sz w:val="21"/>
          <w:highlight w:val="none"/>
        </w:rPr>
      </w:r>
      <w:r/>
    </w:p>
    <w:p>
      <w:pPr>
        <w:pStyle w:val="728"/>
        <w:ind w:firstLine="420"/>
        <w:jc w:val="both"/>
        <w:spacing w:after="0" w:line="240" w:lineRule="auto"/>
        <w:widowControl w:val="off"/>
        <w:rPr>
          <w:sz w:val="21"/>
          <w:highlight w:val="none"/>
        </w:rPr>
      </w:pPr>
      <w:r>
        <w:rPr>
          <w:sz w:val="21"/>
          <w:highlight w:val="none"/>
        </w:rPr>
      </w:r>
      <w:r/>
    </w:p>
    <w:p>
      <w:pPr>
        <w:pStyle w:val="728"/>
        <w:ind w:firstLine="420"/>
        <w:jc w:val="both"/>
        <w:spacing w:after="0" w:line="240" w:lineRule="auto"/>
        <w:widowControl w:val="off"/>
        <w:rPr>
          <w:sz w:val="21"/>
          <w:highlight w:val="none"/>
        </w:rPr>
      </w:pPr>
      <w:r>
        <w:rPr>
          <w:sz w:val="21"/>
          <w:highlight w:val="none"/>
        </w:rPr>
      </w:r>
      <w:r/>
    </w:p>
    <w:p>
      <w:pPr>
        <w:pStyle w:val="728"/>
        <w:ind w:firstLine="420"/>
        <w:jc w:val="both"/>
        <w:spacing w:after="0" w:line="240" w:lineRule="auto"/>
        <w:widowControl w:val="off"/>
        <w:rPr>
          <w:sz w:val="21"/>
          <w:highlight w:val="none"/>
        </w:rPr>
      </w:pPr>
      <w:r>
        <w:rPr>
          <w:sz w:val="21"/>
          <w:highlight w:val="none"/>
        </w:rPr>
      </w:r>
      <w:r/>
    </w:p>
    <w:p>
      <w:pPr>
        <w:pStyle w:val="728"/>
        <w:ind w:firstLine="420"/>
        <w:jc w:val="both"/>
        <w:spacing w:after="0" w:line="240" w:lineRule="auto"/>
        <w:widowControl w:val="off"/>
        <w:rPr>
          <w:sz w:val="21"/>
          <w:highlight w:val="none"/>
        </w:rPr>
      </w:pPr>
      <w:r>
        <w:rPr>
          <w:sz w:val="21"/>
          <w:highlight w:val="none"/>
        </w:rPr>
      </w:r>
      <w:r/>
    </w:p>
    <w:p>
      <w:pPr>
        <w:pStyle w:val="728"/>
        <w:ind w:firstLine="420"/>
        <w:jc w:val="both"/>
        <w:spacing w:after="0" w:line="240" w:lineRule="auto"/>
        <w:widowControl w:val="off"/>
        <w:rPr>
          <w:rFonts w:hint="eastAsia"/>
          <w:sz w:val="21"/>
          <w:highlight w:val="none"/>
        </w:rPr>
      </w:pPr>
      <w:r>
        <w:rPr>
          <w:rFonts w:hint="eastAsia"/>
          <w:sz w:val="21"/>
          <w:highlight w:val="none"/>
        </w:rPr>
      </w:r>
      <w:r/>
    </w:p>
    <w:p>
      <w:pPr>
        <w:pStyle w:val="728"/>
        <w:jc w:val="center"/>
        <w:spacing w:after="0" w:line="240" w:lineRule="auto"/>
        <w:widowControl w:val="off"/>
        <w:rPr>
          <w:rFonts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八</w:t>
      </w:r>
      <w:r>
        <w:rPr>
          <w:rFonts w:hint="eastAsia" w:ascii="黑体" w:hAnsi="黑体" w:eastAsia="黑体"/>
          <w:b/>
          <w:color w:val="000000"/>
          <w:sz w:val="32"/>
          <w:szCs w:val="32"/>
          <w:highlight w:val="none"/>
        </w:rPr>
        <w:t xml:space="preserve">、业绩一览表</w:t>
      </w:r>
      <w:r>
        <w:rPr>
          <w:rFonts w:ascii="黑体" w:hAnsi="黑体" w:eastAsia="黑体"/>
          <w:b/>
          <w:color w:val="000000"/>
          <w:sz w:val="32"/>
          <w:szCs w:val="32"/>
          <w:highlight w:val="none"/>
        </w:rPr>
      </w:r>
      <w:r/>
    </w:p>
    <w:p>
      <w:pPr>
        <w:pStyle w:val="728"/>
        <w:jc w:val="both"/>
        <w:spacing w:after="0" w:line="360" w:lineRule="auto"/>
        <w:widowControl w:val="off"/>
        <w:rPr>
          <w:sz w:val="24"/>
          <w:szCs w:val="24"/>
          <w:highlight w:val="none"/>
        </w:rPr>
      </w:pPr>
      <w:r>
        <w:rPr>
          <w:rFonts w:hint="eastAsia"/>
          <w:sz w:val="24"/>
          <w:szCs w:val="24"/>
          <w:highlight w:val="none"/>
        </w:rPr>
        <w:t xml:space="preserve">项目名称： </w:t>
      </w:r>
      <w:r>
        <w:rPr>
          <w:sz w:val="24"/>
          <w:szCs w:val="24"/>
          <w:highlight w:val="none"/>
        </w:rPr>
        <w:t xml:space="preserve">                                     </w:t>
      </w:r>
      <w:r>
        <w:rPr>
          <w:sz w:val="24"/>
          <w:szCs w:val="24"/>
          <w:highlight w:val="none"/>
        </w:rPr>
      </w:r>
      <w:r/>
    </w:p>
    <w:p>
      <w:pPr>
        <w:pStyle w:val="728"/>
        <w:jc w:val="both"/>
        <w:spacing w:after="0" w:line="360" w:lineRule="auto"/>
        <w:widowControl w:val="off"/>
        <w:rPr>
          <w:sz w:val="24"/>
          <w:szCs w:val="24"/>
          <w:highlight w:val="none"/>
        </w:rPr>
      </w:pPr>
      <w:r>
        <w:rPr>
          <w:rFonts w:hint="eastAsia"/>
          <w:sz w:val="24"/>
          <w:szCs w:val="24"/>
          <w:highlight w:val="none"/>
        </w:rPr>
        <w:t xml:space="preserve">项目编号：</w:t>
      </w:r>
      <w:r>
        <w:rPr>
          <w:sz w:val="24"/>
          <w:szCs w:val="24"/>
          <w:highlight w:val="none"/>
        </w:rPr>
      </w:r>
      <w:r/>
    </w:p>
    <w:p>
      <w:pPr>
        <w:pStyle w:val="728"/>
        <w:jc w:val="both"/>
        <w:spacing w:after="0" w:line="360" w:lineRule="auto"/>
        <w:widowControl w:val="off"/>
        <w:rPr>
          <w:rFonts w:hint="eastAsia" w:ascii="黑体" w:hAnsi="黑体" w:eastAsia="黑体"/>
          <w:b/>
          <w:color w:val="000000"/>
          <w:sz w:val="32"/>
          <w:szCs w:val="32"/>
          <w:highlight w:val="none"/>
        </w:rPr>
      </w:pPr>
      <w:r>
        <w:rPr>
          <w:rFonts w:hint="eastAsia"/>
          <w:sz w:val="24"/>
          <w:szCs w:val="24"/>
          <w:highlight w:val="none"/>
        </w:rPr>
        <w:t xml:space="preserve">采购包号：</w:t>
      </w:r>
      <w:r>
        <w:rPr>
          <w:rFonts w:hint="eastAsia" w:ascii="黑体" w:hAnsi="黑体" w:eastAsia="黑体"/>
          <w:b/>
          <w:color w:val="000000"/>
          <w:sz w:val="32"/>
          <w:szCs w:val="32"/>
          <w:highlight w:val="none"/>
        </w:rPr>
      </w:r>
      <w:r/>
    </w:p>
    <w:tbl>
      <w:tblPr>
        <w:tblW w:w="5086"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1571"/>
        <w:gridCol w:w="1983"/>
        <w:gridCol w:w="1703"/>
        <w:gridCol w:w="1345"/>
        <w:gridCol w:w="1086"/>
      </w:tblGrid>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年份</w:t>
            </w: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ascii="黑体" w:hAnsi="黑体" w:eastAsia="黑体"/>
                <w:b/>
                <w:color w:val="000000"/>
                <w:sz w:val="21"/>
                <w:szCs w:val="21"/>
                <w:highlight w:val="none"/>
              </w:rPr>
            </w:pPr>
            <w:r>
              <w:rPr>
                <w:rFonts w:hint="eastAsia" w:ascii="黑体" w:hAnsi="黑体" w:eastAsia="黑体"/>
                <w:b/>
                <w:color w:val="000000"/>
                <w:sz w:val="21"/>
                <w:szCs w:val="21"/>
                <w:highlight w:val="none"/>
              </w:rPr>
              <w:t xml:space="preserve">业主名称</w:t>
            </w:r>
            <w:r>
              <w:rPr>
                <w:rFonts w:ascii="黑体" w:hAnsi="黑体" w:eastAsia="黑体"/>
                <w:b/>
                <w:color w:val="000000"/>
                <w:sz w:val="21"/>
                <w:szCs w:val="21"/>
                <w:highlight w:val="none"/>
              </w:rPr>
            </w:r>
            <w:r/>
          </w:p>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（合同甲方）</w:t>
            </w: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项目名称</w:t>
            </w: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合同签订时间</w:t>
            </w: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完成时间</w:t>
            </w: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t xml:space="preserve">合同款项发票开具时间</w:t>
            </w:r>
            <w:r>
              <w:rPr>
                <w:rFonts w:hint="eastAsia" w:ascii="黑体" w:hAnsi="黑体" w:eastAsia="黑体"/>
                <w:b/>
                <w:color w:val="000000"/>
                <w:sz w:val="21"/>
                <w:szCs w:val="21"/>
                <w:highlight w:val="none"/>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0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510"/>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15"/>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15"/>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93"/>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r>
        <w:trPr>
          <w:trHeight w:val="616"/>
        </w:trPr>
        <w:tc>
          <w:tcPr>
            <w:tcW w:w="56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0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1144"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982"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77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c>
          <w:tcPr>
            <w:tcW w:w="626" w:type="dxa"/>
            <w:vAlign w:val="center"/>
            <w:textDirection w:val="lrTb"/>
            <w:noWrap w:val="false"/>
          </w:tcPr>
          <w:p>
            <w:pPr>
              <w:pStyle w:val="728"/>
              <w:jc w:val="center"/>
              <w:spacing w:after="0" w:line="240" w:lineRule="auto"/>
              <w:widowControl w:val="off"/>
              <w:rPr>
                <w:rFonts w:hint="eastAsia" w:ascii="黑体" w:hAnsi="黑体" w:eastAsia="黑体"/>
                <w:b/>
                <w:color w:val="000000"/>
                <w:sz w:val="21"/>
                <w:szCs w:val="21"/>
                <w:highlight w:val="none"/>
              </w:rPr>
            </w:pPr>
            <w:r>
              <w:rPr>
                <w:rFonts w:hint="eastAsia" w:ascii="黑体" w:hAnsi="黑体" w:eastAsia="黑体"/>
                <w:b/>
                <w:color w:val="000000"/>
                <w:sz w:val="21"/>
                <w:szCs w:val="21"/>
                <w:highlight w:val="none"/>
              </w:rPr>
            </w:r>
            <w:r/>
          </w:p>
        </w:tc>
      </w:tr>
    </w:tbl>
    <w:p>
      <w:pPr>
        <w:pStyle w:val="728"/>
        <w:spacing w:after="0"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附招标文件要求的业绩证明材料</w:t>
      </w:r>
      <w:r>
        <w:rPr>
          <w:rFonts w:hint="eastAsia" w:ascii="黑体" w:hAnsi="黑体" w:eastAsia="黑体"/>
          <w:b/>
          <w:color w:val="000000"/>
          <w:sz w:val="32"/>
          <w:szCs w:val="32"/>
          <w:highlight w:val="none"/>
        </w:rPr>
      </w:r>
      <w:r/>
    </w:p>
    <w:p>
      <w:pPr>
        <w:pStyle w:val="728"/>
        <w:ind w:right="1320"/>
        <w:jc w:val="right"/>
        <w:spacing w:after="0" w:line="360" w:lineRule="auto"/>
        <w:widowControl w:val="off"/>
        <w:rPr>
          <w:rFonts w:ascii="宋体"/>
          <w:sz w:val="28"/>
          <w:szCs w:val="28"/>
          <w:highlight w:val="none"/>
          <w:lang w:val="zh-CN"/>
        </w:rPr>
      </w:pPr>
      <w:r>
        <w:rPr>
          <w:rFonts w:ascii="宋体"/>
          <w:sz w:val="28"/>
          <w:szCs w:val="28"/>
          <w:highlight w:val="none"/>
          <w:lang w:val="zh-CN"/>
        </w:rPr>
      </w:r>
      <w:r/>
    </w:p>
    <w:p>
      <w:pPr>
        <w:pStyle w:val="728"/>
        <w:ind w:right="1320"/>
        <w:jc w:val="right"/>
        <w:spacing w:after="0" w:line="360" w:lineRule="auto"/>
        <w:widowControl w:val="off"/>
        <w:rPr>
          <w:sz w:val="28"/>
          <w:szCs w:val="28"/>
          <w:highlight w:val="none"/>
        </w:rPr>
      </w:pPr>
      <w:r>
        <w:rPr>
          <w:rFonts w:hint="eastAsia" w:ascii="宋体"/>
          <w:sz w:val="28"/>
          <w:szCs w:val="28"/>
          <w:highlight w:val="none"/>
          <w:lang w:val="zh-CN"/>
        </w:rPr>
        <w:t xml:space="preserve">供应商名称</w:t>
      </w:r>
      <w:r>
        <w:rPr>
          <w:sz w:val="28"/>
          <w:szCs w:val="28"/>
          <w:highlight w:val="none"/>
          <w:lang w:val="zh-CN"/>
        </w:rPr>
        <w:t xml:space="preserve">(</w:t>
      </w:r>
      <w:r>
        <w:rPr>
          <w:rFonts w:hint="eastAsia"/>
          <w:sz w:val="28"/>
          <w:szCs w:val="28"/>
          <w:highlight w:val="none"/>
          <w:lang w:val="zh-CN"/>
        </w:rPr>
        <w:t xml:space="preserve">加盖CA电子公章</w:t>
      </w:r>
      <w:r>
        <w:rPr>
          <w:sz w:val="28"/>
          <w:szCs w:val="28"/>
          <w:highlight w:val="none"/>
          <w:lang w:val="zh-CN"/>
        </w:rPr>
        <w:t xml:space="preserve">)</w:t>
      </w:r>
      <w:r>
        <w:rPr>
          <w:rFonts w:hint="eastAsia" w:ascii="宋体"/>
          <w:sz w:val="28"/>
          <w:szCs w:val="28"/>
          <w:highlight w:val="none"/>
          <w:lang w:val="zh-CN"/>
        </w:rPr>
        <w:t xml:space="preserve">：</w:t>
      </w:r>
      <w:r>
        <w:rPr>
          <w:sz w:val="28"/>
          <w:szCs w:val="28"/>
          <w:highlight w:val="none"/>
          <w:lang w:val="zh-CN"/>
        </w:rPr>
        <w:t xml:space="preserve">                    </w:t>
      </w:r>
      <w:r>
        <w:rPr>
          <w:sz w:val="28"/>
          <w:szCs w:val="28"/>
          <w:highlight w:val="none"/>
        </w:rPr>
      </w:r>
      <w:r/>
    </w:p>
    <w:p>
      <w:pPr>
        <w:pStyle w:val="728"/>
        <w:jc w:val="center"/>
        <w:spacing w:after="0" w:line="240" w:lineRule="auto"/>
        <w:widowControl w:val="off"/>
        <w:rPr>
          <w:rFonts w:ascii="黑体" w:hAnsi="黑体" w:eastAsia="黑体"/>
          <w:b/>
          <w:color w:val="000000"/>
          <w:sz w:val="32"/>
          <w:szCs w:val="32"/>
          <w:highlight w:val="none"/>
        </w:rPr>
      </w:pPr>
      <w:r>
        <w:rPr>
          <w:rFonts w:hint="eastAsia"/>
          <w:sz w:val="28"/>
          <w:szCs w:val="28"/>
          <w:highlight w:val="none"/>
        </w:rPr>
        <w:t xml:space="preserve"> </w:t>
      </w:r>
      <w:r>
        <w:rPr>
          <w:sz w:val="28"/>
          <w:szCs w:val="28"/>
          <w:highlight w:val="none"/>
        </w:rPr>
        <w:t xml:space="preserve">                                 </w:t>
      </w:r>
      <w:r>
        <w:rPr>
          <w:rFonts w:hint="eastAsia"/>
          <w:sz w:val="28"/>
          <w:szCs w:val="28"/>
          <w:highlight w:val="none"/>
        </w:rPr>
        <w:t xml:space="preserve">日期：</w:t>
      </w:r>
      <w:r>
        <w:rPr>
          <w:rFonts w:ascii="黑体" w:hAnsi="黑体" w:eastAsia="黑体"/>
          <w:b/>
          <w:color w:val="000000"/>
          <w:sz w:val="32"/>
          <w:szCs w:val="32"/>
          <w:highlight w:val="none"/>
        </w:rPr>
      </w:r>
      <w:r/>
    </w:p>
    <w:p>
      <w:pPr>
        <w:pStyle w:val="728"/>
        <w:jc w:val="center"/>
        <w:spacing w:after="0" w:line="240" w:lineRule="auto"/>
        <w:widowControl w:val="off"/>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28"/>
        <w:jc w:val="center"/>
        <w:spacing w:after="0" w:line="240" w:lineRule="auto"/>
        <w:widowControl w:val="off"/>
        <w:rPr>
          <w:sz w:val="21"/>
          <w:highlight w:val="none"/>
        </w:rPr>
      </w:pPr>
      <w:r>
        <w:rPr>
          <w:rFonts w:hint="eastAsia" w:ascii="黑体" w:hAnsi="黑体" w:eastAsia="黑体"/>
          <w:b/>
          <w:color w:val="000000"/>
          <w:sz w:val="32"/>
          <w:szCs w:val="32"/>
          <w:highlight w:val="none"/>
          <w:lang w:val="en-US" w:eastAsia="zh-CN"/>
        </w:rPr>
        <w:t xml:space="preserve">九</w:t>
      </w:r>
      <w:r>
        <w:rPr>
          <w:rFonts w:hint="eastAsia" w:ascii="黑体" w:hAnsi="黑体" w:eastAsia="黑体"/>
          <w:b/>
          <w:color w:val="000000"/>
          <w:sz w:val="32"/>
          <w:szCs w:val="32"/>
          <w:highlight w:val="none"/>
        </w:rPr>
        <w:t xml:space="preserve">、项目需求响应方案</w:t>
      </w:r>
      <w:r>
        <w:rPr>
          <w:sz w:val="21"/>
          <w:highlight w:val="none"/>
        </w:rPr>
      </w:r>
      <w:r/>
    </w:p>
    <w:p>
      <w:pPr>
        <w:pStyle w:val="728"/>
        <w:ind w:firstLine="561"/>
        <w:jc w:val="center"/>
        <w:spacing w:after="0" w:line="240" w:lineRule="auto"/>
        <w:widowControl w:val="off"/>
        <w:tabs>
          <w:tab w:val="left" w:pos="360" w:leader="none"/>
        </w:tabs>
        <w:rPr>
          <w:sz w:val="24"/>
          <w:szCs w:val="24"/>
          <w:highlight w:val="none"/>
          <w:u w:val="single"/>
        </w:rPr>
      </w:pPr>
      <w:r>
        <w:rPr>
          <w:sz w:val="24"/>
          <w:szCs w:val="24"/>
          <w:highlight w:val="none"/>
          <w:u w:val="single"/>
        </w:rPr>
        <w:t xml:space="preserve">……</w:t>
      </w:r>
      <w:r>
        <w:rPr>
          <w:rFonts w:hint="eastAsia"/>
          <w:sz w:val="24"/>
          <w:szCs w:val="24"/>
          <w:highlight w:val="none"/>
          <w:u w:val="single"/>
        </w:rPr>
        <w:t xml:space="preserve">（格式自拟）</w:t>
      </w:r>
      <w:r>
        <w:rPr>
          <w:sz w:val="24"/>
          <w:szCs w:val="24"/>
          <w:highlight w:val="none"/>
          <w:u w:val="single"/>
        </w:rPr>
      </w:r>
      <w:r/>
    </w:p>
    <w:p>
      <w:pPr>
        <w:pStyle w:val="728"/>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8"/>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8"/>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8"/>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8"/>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8"/>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8"/>
        <w:jc w:val="center"/>
        <w:spacing w:after="0" w:line="24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28"/>
        <w:jc w:val="center"/>
        <w:spacing w:after="0" w:line="24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十</w:t>
      </w:r>
      <w:r>
        <w:rPr>
          <w:rFonts w:hint="eastAsia" w:ascii="黑体" w:hAnsi="黑体" w:eastAsia="黑体"/>
          <w:b/>
          <w:color w:val="000000"/>
          <w:sz w:val="32"/>
          <w:szCs w:val="32"/>
          <w:highlight w:val="none"/>
        </w:rPr>
        <w:t xml:space="preserve">、供应商认为需提供或采购文件要求的其他证明材料或实施方案</w:t>
      </w:r>
      <w:r>
        <w:rPr>
          <w:rFonts w:hint="eastAsia" w:ascii="黑体" w:hAnsi="黑体" w:eastAsia="黑体"/>
          <w:b/>
          <w:color w:val="000000"/>
          <w:sz w:val="32"/>
          <w:szCs w:val="32"/>
          <w:highlight w:val="none"/>
        </w:rPr>
      </w:r>
      <w:r/>
    </w:p>
    <w:p>
      <w:pPr>
        <w:pStyle w:val="728"/>
        <w:spacing w:after="0" w:line="440" w:lineRule="exact"/>
        <w:widowControl w:val="off"/>
        <w:rPr>
          <w:rFonts w:ascii="宋体"/>
          <w:b/>
          <w:bCs/>
          <w:sz w:val="32"/>
          <w:szCs w:val="32"/>
          <w:highlight w:val="none"/>
        </w:rPr>
      </w:pPr>
      <w:r>
        <w:rPr>
          <w:rFonts w:ascii="宋体"/>
          <w:b/>
          <w:bCs/>
          <w:sz w:val="32"/>
          <w:szCs w:val="32"/>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幼圆">
    <w:panose1 w:val="02010509060101010101"/>
  </w:font>
  <w:font w:name="仿宋">
    <w:panose1 w:val="02010609060101010101"/>
  </w:font>
  <w:font w:name="等线">
    <w:panose1 w:val="0201060003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楷体_GB2312">
    <w:panose1 w:val="02010609060101010101"/>
  </w:font>
  <w:font w:name="方正仿宋_GBK">
    <w:panose1 w:val="020B050302020202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69</w:t>
    </w:r>
    <w:r>
      <w:fldChar w:fldCharType="end"/>
    </w:r>
    <w:r/>
  </w:p>
  <w:p>
    <w:pPr>
      <w:pStyle w:val="782"/>
      <w:tabs>
        <w:tab w:val="center" w:pos="4153" w:leader="none"/>
        <w:tab w:val="right" w:pos="8306" w:leader="none"/>
      </w:tabs>
      <w:rPr>
        <w:rFonts w:hint="eastAsia"/>
      </w:rPr>
    </w:pPr>
    <w:r>
      <w:rPr>
        <w:rFonts w:hint="eastAsia"/>
      </w:rPr>
      <w:t xml:space="preserve">南京小旸树招标代理有限公司                                          </w:t>
    </w:r>
    <w:r>
      <w:t xml:space="preserve">NJXYS-</w:t>
    </w:r>
    <w:r>
      <w:rPr>
        <w:rFonts w:hint="eastAsia"/>
      </w:rPr>
      <w:t xml:space="preserve">2026139G</w: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lef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28"/>
        <w:ind w:left="756" w:hanging="756"/>
      </w:pPr>
    </w:lvl>
    <w:lvl w:ilvl="1">
      <w:start w:val="1"/>
      <w:numFmt w:val="lowerLetter"/>
      <w:isLgl w:val="false"/>
      <w:suff w:val="tab"/>
      <w:lvlText w:val="%2)"/>
      <w:lvlJc w:val="left"/>
      <w:pPr>
        <w:pStyle w:val="728"/>
        <w:ind w:left="840" w:hanging="420"/>
      </w:pPr>
    </w:lvl>
    <w:lvl w:ilvl="2">
      <w:start w:val="1"/>
      <w:numFmt w:val="lowerRoman"/>
      <w:isLgl w:val="false"/>
      <w:suff w:val="tab"/>
      <w:lvlText w:val="%3."/>
      <w:lvlJc w:val="right"/>
      <w:pPr>
        <w:pStyle w:val="728"/>
        <w:ind w:left="1260" w:hanging="420"/>
      </w:pPr>
    </w:lvl>
    <w:lvl w:ilvl="3">
      <w:start w:val="1"/>
      <w:numFmt w:val="decimal"/>
      <w:isLgl w:val="false"/>
      <w:suff w:val="tab"/>
      <w:lvlText w:val="%4."/>
      <w:lvlJc w:val="left"/>
      <w:pPr>
        <w:pStyle w:val="728"/>
        <w:ind w:left="1680" w:hanging="420"/>
      </w:pPr>
    </w:lvl>
    <w:lvl w:ilvl="4">
      <w:start w:val="1"/>
      <w:numFmt w:val="lowerLetter"/>
      <w:isLgl w:val="false"/>
      <w:suff w:val="tab"/>
      <w:lvlText w:val="%5)"/>
      <w:lvlJc w:val="left"/>
      <w:pPr>
        <w:pStyle w:val="728"/>
        <w:ind w:left="2100" w:hanging="420"/>
      </w:pPr>
    </w:lvl>
    <w:lvl w:ilvl="5">
      <w:start w:val="1"/>
      <w:numFmt w:val="lowerRoman"/>
      <w:pStyle w:val="1045"/>
      <w:isLgl w:val="false"/>
      <w:suff w:val="tab"/>
      <w:lvlText w:val="%6."/>
      <w:lvlJc w:val="right"/>
      <w:pPr>
        <w:pStyle w:val="728"/>
        <w:ind w:left="2520" w:hanging="420"/>
      </w:pPr>
    </w:lvl>
    <w:lvl w:ilvl="6">
      <w:start w:val="1"/>
      <w:numFmt w:val="decimal"/>
      <w:pStyle w:val="1046"/>
      <w:isLgl w:val="false"/>
      <w:suff w:val="tab"/>
      <w:lvlText w:val="%7."/>
      <w:lvlJc w:val="left"/>
      <w:pPr>
        <w:pStyle w:val="728"/>
        <w:ind w:left="2940" w:hanging="420"/>
      </w:pPr>
    </w:lvl>
    <w:lvl w:ilvl="7">
      <w:start w:val="1"/>
      <w:numFmt w:val="lowerLetter"/>
      <w:pStyle w:val="1047"/>
      <w:isLgl w:val="false"/>
      <w:suff w:val="tab"/>
      <w:lvlText w:val="%8)"/>
      <w:lvlJc w:val="left"/>
      <w:pPr>
        <w:pStyle w:val="728"/>
        <w:ind w:left="3360" w:hanging="420"/>
      </w:pPr>
    </w:lvl>
    <w:lvl w:ilvl="8">
      <w:start w:val="1"/>
      <w:numFmt w:val="lowerRoman"/>
      <w:pStyle w:val="1048"/>
      <w:isLgl w:val="false"/>
      <w:suff w:val="tab"/>
      <w:lvlText w:val="%9."/>
      <w:lvlJc w:val="right"/>
      <w:pPr>
        <w:pStyle w:val="728"/>
        <w:ind w:left="3780" w:hanging="420"/>
      </w:pPr>
    </w:lvl>
  </w:abstractNum>
  <w:abstractNum w:abstractNumId="1">
    <w:multiLevelType w:val="hybridMultilevel"/>
    <w:lvl w:ilvl="0">
      <w:start w:val="1"/>
      <w:numFmt w:val="decimal"/>
      <w:isLgl w:val="false"/>
      <w:suff w:val="tab"/>
      <w:lvlText w:val="(%1)"/>
      <w:lvlJc w:val="left"/>
      <w:pPr>
        <w:pStyle w:val="72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728"/>
    <w:next w:val="728"/>
    <w:link w:val="680"/>
    <w:uiPriority w:val="9"/>
    <w:qFormat/>
    <w:pPr>
      <w:keepLines/>
      <w:keepNext/>
      <w:spacing w:before="480" w:after="200"/>
      <w:outlineLvl w:val="0"/>
    </w:pPr>
    <w:rPr>
      <w:rFonts w:ascii="Arial" w:hAnsi="Arial" w:eastAsia="Arial" w:cs="Arial"/>
      <w:sz w:val="40"/>
      <w:szCs w:val="40"/>
    </w:rPr>
  </w:style>
  <w:style w:type="character" w:styleId="680">
    <w:name w:val="Heading 1 Char"/>
    <w:link w:val="679"/>
    <w:uiPriority w:val="9"/>
    <w:rPr>
      <w:rFonts w:ascii="Arial" w:hAnsi="Arial" w:eastAsia="Arial" w:cs="Arial"/>
      <w:sz w:val="40"/>
      <w:szCs w:val="40"/>
    </w:rPr>
  </w:style>
  <w:style w:type="paragraph" w:styleId="681">
    <w:name w:val="Heading 2"/>
    <w:basedOn w:val="728"/>
    <w:next w:val="728"/>
    <w:link w:val="682"/>
    <w:uiPriority w:val="9"/>
    <w:unhideWhenUsed/>
    <w:qFormat/>
    <w:pPr>
      <w:keepLines/>
      <w:keepNext/>
      <w:spacing w:before="360" w:after="200"/>
      <w:outlineLvl w:val="1"/>
    </w:pPr>
    <w:rPr>
      <w:rFonts w:ascii="Arial" w:hAnsi="Arial" w:eastAsia="Arial" w:cs="Arial"/>
      <w:sz w:val="34"/>
    </w:rPr>
  </w:style>
  <w:style w:type="character" w:styleId="682">
    <w:name w:val="Heading 2 Char"/>
    <w:link w:val="681"/>
    <w:uiPriority w:val="9"/>
    <w:rPr>
      <w:rFonts w:ascii="Arial" w:hAnsi="Arial" w:eastAsia="Arial" w:cs="Arial"/>
      <w:sz w:val="34"/>
    </w:rPr>
  </w:style>
  <w:style w:type="paragraph" w:styleId="683">
    <w:name w:val="Heading 3"/>
    <w:basedOn w:val="728"/>
    <w:next w:val="728"/>
    <w:link w:val="684"/>
    <w:uiPriority w:val="9"/>
    <w:unhideWhenUsed/>
    <w:qFormat/>
    <w:pPr>
      <w:keepLines/>
      <w:keepNext/>
      <w:spacing w:before="320" w:after="200"/>
      <w:outlineLvl w:val="2"/>
    </w:pPr>
    <w:rPr>
      <w:rFonts w:ascii="Arial" w:hAnsi="Arial" w:eastAsia="Arial" w:cs="Arial"/>
      <w:sz w:val="30"/>
      <w:szCs w:val="30"/>
    </w:rPr>
  </w:style>
  <w:style w:type="character" w:styleId="684">
    <w:name w:val="Heading 3 Char"/>
    <w:link w:val="683"/>
    <w:uiPriority w:val="9"/>
    <w:rPr>
      <w:rFonts w:ascii="Arial" w:hAnsi="Arial" w:eastAsia="Arial" w:cs="Arial"/>
      <w:sz w:val="30"/>
      <w:szCs w:val="30"/>
    </w:rPr>
  </w:style>
  <w:style w:type="paragraph" w:styleId="685">
    <w:name w:val="Heading 4"/>
    <w:basedOn w:val="728"/>
    <w:next w:val="728"/>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link w:val="685"/>
    <w:uiPriority w:val="9"/>
    <w:rPr>
      <w:rFonts w:ascii="Arial" w:hAnsi="Arial" w:eastAsia="Arial" w:cs="Arial"/>
      <w:b/>
      <w:bCs/>
      <w:sz w:val="26"/>
      <w:szCs w:val="26"/>
    </w:rPr>
  </w:style>
  <w:style w:type="paragraph" w:styleId="687">
    <w:name w:val="Heading 5"/>
    <w:basedOn w:val="728"/>
    <w:next w:val="728"/>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link w:val="687"/>
    <w:uiPriority w:val="9"/>
    <w:rPr>
      <w:rFonts w:ascii="Arial" w:hAnsi="Arial" w:eastAsia="Arial" w:cs="Arial"/>
      <w:b/>
      <w:bCs/>
      <w:sz w:val="24"/>
      <w:szCs w:val="24"/>
    </w:rPr>
  </w:style>
  <w:style w:type="paragraph" w:styleId="689">
    <w:name w:val="Heading 6"/>
    <w:basedOn w:val="728"/>
    <w:next w:val="728"/>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link w:val="689"/>
    <w:uiPriority w:val="9"/>
    <w:rPr>
      <w:rFonts w:ascii="Arial" w:hAnsi="Arial" w:eastAsia="Arial" w:cs="Arial"/>
      <w:b/>
      <w:bCs/>
      <w:sz w:val="22"/>
      <w:szCs w:val="22"/>
    </w:rPr>
  </w:style>
  <w:style w:type="paragraph" w:styleId="691">
    <w:name w:val="Heading 7"/>
    <w:basedOn w:val="728"/>
    <w:next w:val="728"/>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link w:val="691"/>
    <w:uiPriority w:val="9"/>
    <w:rPr>
      <w:rFonts w:ascii="Arial" w:hAnsi="Arial" w:eastAsia="Arial" w:cs="Arial"/>
      <w:b/>
      <w:bCs/>
      <w:i/>
      <w:iCs/>
      <w:sz w:val="22"/>
      <w:szCs w:val="22"/>
    </w:rPr>
  </w:style>
  <w:style w:type="paragraph" w:styleId="693">
    <w:name w:val="Heading 8"/>
    <w:basedOn w:val="728"/>
    <w:next w:val="728"/>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link w:val="693"/>
    <w:uiPriority w:val="9"/>
    <w:rPr>
      <w:rFonts w:ascii="Arial" w:hAnsi="Arial" w:eastAsia="Arial" w:cs="Arial"/>
      <w:i/>
      <w:iCs/>
      <w:sz w:val="22"/>
      <w:szCs w:val="22"/>
    </w:rPr>
  </w:style>
  <w:style w:type="paragraph" w:styleId="695">
    <w:name w:val="Heading 9"/>
    <w:basedOn w:val="728"/>
    <w:next w:val="728"/>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link w:val="695"/>
    <w:uiPriority w:val="9"/>
    <w:rPr>
      <w:rFonts w:ascii="Arial" w:hAnsi="Arial" w:eastAsia="Arial" w:cs="Arial"/>
      <w:i/>
      <w:iCs/>
      <w:sz w:val="21"/>
      <w:szCs w:val="21"/>
    </w:rPr>
  </w:style>
  <w:style w:type="paragraph" w:styleId="697">
    <w:name w:val="List Paragraph"/>
    <w:basedOn w:val="728"/>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728"/>
    <w:next w:val="728"/>
    <w:link w:val="700"/>
    <w:uiPriority w:val="10"/>
    <w:qFormat/>
    <w:pPr>
      <w:contextualSpacing/>
      <w:spacing w:before="300" w:after="200"/>
    </w:pPr>
    <w:rPr>
      <w:sz w:val="48"/>
      <w:szCs w:val="48"/>
    </w:rPr>
  </w:style>
  <w:style w:type="character" w:styleId="700">
    <w:name w:val="Title Char"/>
    <w:link w:val="699"/>
    <w:uiPriority w:val="10"/>
    <w:rPr>
      <w:sz w:val="48"/>
      <w:szCs w:val="48"/>
    </w:rPr>
  </w:style>
  <w:style w:type="paragraph" w:styleId="701">
    <w:name w:val="Subtitle"/>
    <w:basedOn w:val="728"/>
    <w:next w:val="728"/>
    <w:link w:val="702"/>
    <w:uiPriority w:val="11"/>
    <w:qFormat/>
    <w:pPr>
      <w:spacing w:before="200" w:after="200"/>
    </w:pPr>
    <w:rPr>
      <w:sz w:val="24"/>
      <w:szCs w:val="24"/>
    </w:rPr>
  </w:style>
  <w:style w:type="character" w:styleId="702">
    <w:name w:val="Subtitle Char"/>
    <w:link w:val="701"/>
    <w:uiPriority w:val="11"/>
    <w:rPr>
      <w:sz w:val="24"/>
      <w:szCs w:val="24"/>
    </w:rPr>
  </w:style>
  <w:style w:type="paragraph" w:styleId="703">
    <w:name w:val="Quote"/>
    <w:basedOn w:val="728"/>
    <w:next w:val="728"/>
    <w:link w:val="704"/>
    <w:uiPriority w:val="29"/>
    <w:qFormat/>
    <w:pPr>
      <w:ind w:left="720" w:right="720"/>
    </w:pPr>
    <w:rPr>
      <w:i/>
    </w:rPr>
  </w:style>
  <w:style w:type="character" w:styleId="704">
    <w:name w:val="Quote Char"/>
    <w:link w:val="703"/>
    <w:uiPriority w:val="29"/>
    <w:rPr>
      <w:i/>
    </w:rPr>
  </w:style>
  <w:style w:type="paragraph" w:styleId="705">
    <w:name w:val="Intense Quote"/>
    <w:basedOn w:val="728"/>
    <w:next w:val="728"/>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728"/>
    <w:link w:val="708"/>
    <w:uiPriority w:val="99"/>
    <w:unhideWhenUsed/>
    <w:pPr>
      <w:spacing w:after="0" w:line="240" w:lineRule="auto"/>
      <w:tabs>
        <w:tab w:val="center" w:pos="7143" w:leader="none"/>
        <w:tab w:val="right" w:pos="14287" w:leader="none"/>
      </w:tabs>
    </w:pPr>
  </w:style>
  <w:style w:type="character" w:styleId="708">
    <w:name w:val="Header Char"/>
    <w:link w:val="707"/>
    <w:uiPriority w:val="99"/>
  </w:style>
  <w:style w:type="paragraph" w:styleId="709">
    <w:name w:val="Footer"/>
    <w:basedOn w:val="728"/>
    <w:link w:val="904"/>
    <w:uiPriority w:val="99"/>
    <w:unhideWhenUsed/>
    <w:pPr>
      <w:spacing w:after="0" w:line="240" w:lineRule="auto"/>
      <w:tabs>
        <w:tab w:val="center" w:pos="7143" w:leader="none"/>
        <w:tab w:val="right" w:pos="14287" w:leader="none"/>
      </w:tabs>
    </w:pPr>
  </w:style>
  <w:style w:type="character" w:styleId="710">
    <w:name w:val="Footer Char"/>
    <w:link w:val="709"/>
    <w:uiPriority w:val="99"/>
  </w:style>
  <w:style w:type="paragraph" w:styleId="711">
    <w:name w:val="Caption"/>
    <w:basedOn w:val="728"/>
    <w:next w:val="728"/>
    <w:uiPriority w:val="35"/>
    <w:semiHidden/>
    <w:unhideWhenUsed/>
    <w:qFormat/>
    <w:pPr>
      <w:spacing w:line="276" w:lineRule="auto"/>
    </w:pPr>
    <w:rPr>
      <w:b/>
      <w:bCs/>
      <w:color w:val="4f81bd" w:themeColor="accent1"/>
      <w:sz w:val="18"/>
      <w:szCs w:val="18"/>
    </w:rPr>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Hyperlink"/>
    <w:uiPriority w:val="99"/>
    <w:unhideWhenUsed/>
    <w:rPr>
      <w:color w:val="0000ff" w:themeColor="hyperlink"/>
      <w:u w:val="single"/>
    </w:rPr>
  </w:style>
  <w:style w:type="paragraph" w:styleId="714">
    <w:name w:val="footnote text"/>
    <w:basedOn w:val="728"/>
    <w:link w:val="1037"/>
    <w:uiPriority w:val="99"/>
    <w:semiHidden/>
    <w:unhideWhenUsed/>
    <w:pPr>
      <w:spacing w:after="40" w:line="240" w:lineRule="auto"/>
    </w:pPr>
    <w:rPr>
      <w:sz w:val="18"/>
    </w:rPr>
  </w:style>
  <w:style w:type="character" w:styleId="715">
    <w:name w:val="footnote reference"/>
    <w:uiPriority w:val="99"/>
    <w:unhideWhenUsed/>
    <w:rPr>
      <w:vertAlign w:val="superscript"/>
    </w:rPr>
  </w:style>
  <w:style w:type="paragraph" w:styleId="716">
    <w:name w:val="endnote text"/>
    <w:basedOn w:val="728"/>
    <w:link w:val="1038"/>
    <w:uiPriority w:val="99"/>
    <w:semiHidden/>
    <w:unhideWhenUsed/>
    <w:pPr>
      <w:spacing w:after="0" w:line="240" w:lineRule="auto"/>
    </w:pPr>
    <w:rPr>
      <w:sz w:val="20"/>
    </w:rPr>
  </w:style>
  <w:style w:type="character" w:styleId="717">
    <w:name w:val="endnote reference"/>
    <w:uiPriority w:val="99"/>
    <w:semiHidden/>
    <w:unhideWhenUsed/>
    <w:rPr>
      <w:vertAlign w:val="superscript"/>
    </w:rPr>
  </w:style>
  <w:style w:type="paragraph" w:styleId="718">
    <w:name w:val="toc 1"/>
    <w:basedOn w:val="728"/>
    <w:next w:val="728"/>
    <w:uiPriority w:val="39"/>
    <w:unhideWhenUsed/>
    <w:pPr>
      <w:ind w:left="0" w:right="0" w:firstLine="0"/>
      <w:spacing w:after="57"/>
    </w:pPr>
  </w:style>
  <w:style w:type="paragraph" w:styleId="719">
    <w:name w:val="toc 2"/>
    <w:basedOn w:val="728"/>
    <w:next w:val="728"/>
    <w:uiPriority w:val="39"/>
    <w:unhideWhenUsed/>
    <w:pPr>
      <w:ind w:left="283" w:right="0" w:firstLine="0"/>
      <w:spacing w:after="57"/>
    </w:pPr>
  </w:style>
  <w:style w:type="paragraph" w:styleId="720">
    <w:name w:val="toc 3"/>
    <w:basedOn w:val="728"/>
    <w:next w:val="728"/>
    <w:uiPriority w:val="39"/>
    <w:unhideWhenUsed/>
    <w:pPr>
      <w:ind w:left="567" w:right="0" w:firstLine="0"/>
      <w:spacing w:after="57"/>
    </w:pPr>
  </w:style>
  <w:style w:type="paragraph" w:styleId="721">
    <w:name w:val="toc 4"/>
    <w:basedOn w:val="728"/>
    <w:next w:val="728"/>
    <w:uiPriority w:val="39"/>
    <w:unhideWhenUsed/>
    <w:pPr>
      <w:ind w:left="850" w:right="0" w:firstLine="0"/>
      <w:spacing w:after="57"/>
    </w:pPr>
  </w:style>
  <w:style w:type="paragraph" w:styleId="722">
    <w:name w:val="toc 5"/>
    <w:basedOn w:val="728"/>
    <w:next w:val="728"/>
    <w:uiPriority w:val="39"/>
    <w:unhideWhenUsed/>
    <w:pPr>
      <w:ind w:left="1134" w:right="0" w:firstLine="0"/>
      <w:spacing w:after="57"/>
    </w:pPr>
  </w:style>
  <w:style w:type="paragraph" w:styleId="723">
    <w:name w:val="toc 6"/>
    <w:basedOn w:val="728"/>
    <w:next w:val="728"/>
    <w:uiPriority w:val="39"/>
    <w:unhideWhenUsed/>
    <w:pPr>
      <w:ind w:left="1417" w:right="0" w:firstLine="0"/>
      <w:spacing w:after="57"/>
    </w:pPr>
  </w:style>
  <w:style w:type="paragraph" w:styleId="724">
    <w:name w:val="toc 7"/>
    <w:basedOn w:val="728"/>
    <w:next w:val="728"/>
    <w:uiPriority w:val="39"/>
    <w:unhideWhenUsed/>
    <w:pPr>
      <w:ind w:left="1701" w:right="0" w:firstLine="0"/>
      <w:spacing w:after="57"/>
    </w:pPr>
  </w:style>
  <w:style w:type="paragraph" w:styleId="725">
    <w:name w:val="toc 8"/>
    <w:basedOn w:val="728"/>
    <w:next w:val="728"/>
    <w:uiPriority w:val="39"/>
    <w:unhideWhenUsed/>
    <w:pPr>
      <w:ind w:left="1984" w:right="0" w:firstLine="0"/>
      <w:spacing w:after="57"/>
    </w:pPr>
  </w:style>
  <w:style w:type="paragraph" w:styleId="726">
    <w:name w:val="toc 9"/>
    <w:basedOn w:val="728"/>
    <w:next w:val="728"/>
    <w:uiPriority w:val="39"/>
    <w:unhideWhenUsed/>
    <w:pPr>
      <w:ind w:left="2268" w:right="0" w:firstLine="0"/>
      <w:spacing w:after="57"/>
    </w:pPr>
  </w:style>
  <w:style w:type="paragraph" w:styleId="727">
    <w:name w:val="table of figures"/>
    <w:basedOn w:val="728"/>
    <w:next w:val="728"/>
    <w:uiPriority w:val="99"/>
    <w:unhideWhenUsed/>
    <w:pPr>
      <w:spacing w:after="0" w:afterAutospacing="0"/>
    </w:pPr>
  </w:style>
  <w:style w:type="paragraph" w:styleId="728" w:default="1">
    <w:name w:val="Normal"/>
    <w:next w:val="740"/>
    <w:link w:val="728"/>
    <w:qFormat/>
    <w:pPr>
      <w:spacing w:after="200" w:line="276" w:lineRule="auto"/>
    </w:pPr>
    <w:rPr>
      <w:sz w:val="22"/>
      <w:szCs w:val="22"/>
      <w:lang w:val="en-US" w:eastAsia="zh-CN" w:bidi="ar-SA"/>
    </w:rPr>
  </w:style>
  <w:style w:type="paragraph" w:styleId="729">
    <w:name w:val="标题 1"/>
    <w:basedOn w:val="728"/>
    <w:next w:val="728"/>
    <w:link w:val="745"/>
    <w:uiPriority w:val="9"/>
    <w:qFormat/>
    <w:pPr>
      <w:keepLines/>
      <w:keepNext/>
      <w:spacing w:before="480" w:after="0"/>
      <w:outlineLvl w:val="0"/>
    </w:pPr>
    <w:rPr>
      <w:rFonts w:ascii="Cambria" w:hAnsi="Cambria"/>
      <w:b/>
      <w:bCs/>
      <w:color w:val="366091"/>
      <w:sz w:val="28"/>
      <w:szCs w:val="28"/>
    </w:rPr>
  </w:style>
  <w:style w:type="paragraph" w:styleId="730">
    <w:name w:val="标题 2"/>
    <w:basedOn w:val="728"/>
    <w:next w:val="728"/>
    <w:link w:val="746"/>
    <w:uiPriority w:val="9"/>
    <w:qFormat/>
    <w:pPr>
      <w:keepLines/>
      <w:keepNext/>
      <w:spacing w:before="200" w:after="0"/>
      <w:outlineLvl w:val="1"/>
    </w:pPr>
    <w:rPr>
      <w:rFonts w:ascii="Cambria" w:hAnsi="Cambria"/>
      <w:b/>
      <w:bCs/>
      <w:color w:val="4f81bd"/>
      <w:sz w:val="26"/>
      <w:szCs w:val="26"/>
    </w:rPr>
  </w:style>
  <w:style w:type="paragraph" w:styleId="731">
    <w:name w:val="标题 3"/>
    <w:basedOn w:val="728"/>
    <w:next w:val="728"/>
    <w:link w:val="747"/>
    <w:uiPriority w:val="9"/>
    <w:qFormat/>
    <w:pPr>
      <w:keepLines/>
      <w:keepNext/>
      <w:spacing w:before="200" w:after="0"/>
      <w:outlineLvl w:val="2"/>
    </w:pPr>
    <w:rPr>
      <w:rFonts w:ascii="Cambria" w:hAnsi="Cambria"/>
      <w:b/>
      <w:bCs/>
      <w:color w:val="4f81bd"/>
      <w:sz w:val="20"/>
      <w:szCs w:val="20"/>
    </w:rPr>
  </w:style>
  <w:style w:type="paragraph" w:styleId="732">
    <w:name w:val="标题 4"/>
    <w:basedOn w:val="728"/>
    <w:next w:val="728"/>
    <w:link w:val="748"/>
    <w:uiPriority w:val="9"/>
    <w:qFormat/>
    <w:pPr>
      <w:keepLines/>
      <w:keepNext/>
      <w:spacing w:before="200" w:after="0"/>
      <w:outlineLvl w:val="3"/>
    </w:pPr>
    <w:rPr>
      <w:rFonts w:ascii="Cambria" w:hAnsi="Cambria"/>
      <w:b/>
      <w:bCs/>
      <w:i/>
      <w:iCs/>
      <w:color w:val="4f81bd"/>
      <w:sz w:val="20"/>
      <w:szCs w:val="20"/>
    </w:rPr>
  </w:style>
  <w:style w:type="paragraph" w:styleId="733">
    <w:name w:val="标题 5"/>
    <w:basedOn w:val="728"/>
    <w:next w:val="728"/>
    <w:link w:val="749"/>
    <w:uiPriority w:val="9"/>
    <w:qFormat/>
    <w:pPr>
      <w:keepLines/>
      <w:keepNext/>
      <w:spacing w:before="200" w:after="0"/>
      <w:outlineLvl w:val="4"/>
    </w:pPr>
    <w:rPr>
      <w:rFonts w:ascii="Cambria" w:hAnsi="Cambria"/>
      <w:color w:val="244061"/>
      <w:sz w:val="20"/>
      <w:szCs w:val="20"/>
    </w:rPr>
  </w:style>
  <w:style w:type="paragraph" w:styleId="734">
    <w:name w:val="标题 6"/>
    <w:basedOn w:val="728"/>
    <w:next w:val="728"/>
    <w:link w:val="750"/>
    <w:uiPriority w:val="9"/>
    <w:qFormat/>
    <w:pPr>
      <w:keepLines/>
      <w:keepNext/>
      <w:spacing w:before="200" w:after="0"/>
      <w:outlineLvl w:val="5"/>
    </w:pPr>
    <w:rPr>
      <w:rFonts w:ascii="Cambria" w:hAnsi="Cambria"/>
      <w:i/>
      <w:iCs/>
      <w:color w:val="244061"/>
      <w:sz w:val="20"/>
      <w:szCs w:val="20"/>
    </w:rPr>
  </w:style>
  <w:style w:type="paragraph" w:styleId="735">
    <w:name w:val="标题 7"/>
    <w:basedOn w:val="728"/>
    <w:next w:val="728"/>
    <w:link w:val="751"/>
    <w:uiPriority w:val="9"/>
    <w:qFormat/>
    <w:pPr>
      <w:keepLines/>
      <w:keepNext/>
      <w:spacing w:before="200" w:after="0"/>
      <w:outlineLvl w:val="6"/>
    </w:pPr>
    <w:rPr>
      <w:rFonts w:ascii="Cambria" w:hAnsi="Cambria"/>
      <w:i/>
      <w:iCs/>
      <w:color w:val="3f3f3f"/>
      <w:sz w:val="20"/>
      <w:szCs w:val="20"/>
    </w:rPr>
  </w:style>
  <w:style w:type="paragraph" w:styleId="736">
    <w:name w:val="标题 8"/>
    <w:basedOn w:val="728"/>
    <w:next w:val="728"/>
    <w:link w:val="752"/>
    <w:uiPriority w:val="9"/>
    <w:qFormat/>
    <w:pPr>
      <w:keepLines/>
      <w:keepNext/>
      <w:spacing w:before="200" w:after="0"/>
      <w:outlineLvl w:val="7"/>
    </w:pPr>
    <w:rPr>
      <w:rFonts w:ascii="Cambria" w:hAnsi="Cambria"/>
      <w:color w:val="4f81bd"/>
      <w:sz w:val="20"/>
      <w:szCs w:val="20"/>
    </w:rPr>
  </w:style>
  <w:style w:type="paragraph" w:styleId="737">
    <w:name w:val="标题 9"/>
    <w:basedOn w:val="728"/>
    <w:next w:val="728"/>
    <w:link w:val="753"/>
    <w:uiPriority w:val="9"/>
    <w:qFormat/>
    <w:pPr>
      <w:keepLines/>
      <w:keepNext/>
      <w:spacing w:before="200" w:after="0"/>
      <w:outlineLvl w:val="8"/>
    </w:pPr>
    <w:rPr>
      <w:rFonts w:ascii="Cambria" w:hAnsi="Cambria"/>
      <w:i/>
      <w:iCs/>
      <w:color w:val="3f3f3f"/>
      <w:sz w:val="20"/>
      <w:szCs w:val="20"/>
    </w:rPr>
  </w:style>
  <w:style w:type="character" w:styleId="738">
    <w:name w:val="默认段落字体"/>
    <w:next w:val="738"/>
    <w:link w:val="728"/>
    <w:uiPriority w:val="1"/>
    <w:unhideWhenUsed/>
  </w:style>
  <w:style w:type="table" w:styleId="739">
    <w:name w:val="普通表格"/>
    <w:next w:val="739"/>
    <w:link w:val="72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40">
    <w:name w:val="正文首行缩进 2"/>
    <w:basedOn w:val="741"/>
    <w:next w:val="728"/>
    <w:link w:val="744"/>
    <w:qFormat/>
    <w:pPr>
      <w:ind w:firstLine="420"/>
      <w:spacing w:line="360" w:lineRule="auto"/>
    </w:pPr>
    <w:rPr>
      <w:rFonts w:ascii="宋体" w:hAnsi="宋体" w:eastAsia="宋体"/>
      <w:sz w:val="21"/>
      <w:szCs w:val="20"/>
    </w:rPr>
  </w:style>
  <w:style w:type="paragraph" w:styleId="741">
    <w:name w:val="正文文本缩进"/>
    <w:basedOn w:val="728"/>
    <w:next w:val="743"/>
    <w:link w:val="742"/>
    <w:qFormat/>
    <w:pPr>
      <w:ind w:firstLine="645"/>
      <w:jc w:val="both"/>
      <w:spacing w:after="0" w:line="240" w:lineRule="auto"/>
      <w:widowControl w:val="off"/>
    </w:pPr>
    <w:rPr>
      <w:rFonts w:ascii="楷体_GB2312" w:hAnsi="Times New Roman" w:eastAsia="楷体_GB2312"/>
      <w:sz w:val="32"/>
      <w:szCs w:val="32"/>
    </w:rPr>
  </w:style>
  <w:style w:type="character" w:styleId="742">
    <w:name w:val="正文文本缩进 字符"/>
    <w:next w:val="742"/>
    <w:link w:val="741"/>
    <w:qFormat/>
    <w:rPr>
      <w:rFonts w:ascii="楷体_GB2312" w:hAnsi="Times New Roman" w:eastAsia="楷体_GB2312" w:cs="Times New Roman"/>
      <w:sz w:val="32"/>
      <w:szCs w:val="32"/>
    </w:rPr>
  </w:style>
  <w:style w:type="paragraph" w:styleId="743">
    <w:name w:val="寄信人地址"/>
    <w:basedOn w:val="728"/>
    <w:next w:val="743"/>
    <w:link w:val="728"/>
    <w:uiPriority w:val="99"/>
    <w:unhideWhenUsed/>
    <w:qFormat/>
    <w:rPr>
      <w:rFonts w:ascii="Arial" w:hAnsi="Arial" w:eastAsia="宋体"/>
      <w:sz w:val="21"/>
      <w:szCs w:val="24"/>
    </w:rPr>
  </w:style>
  <w:style w:type="character" w:styleId="744">
    <w:name w:val="正文文本首行缩进 2 字符"/>
    <w:next w:val="744"/>
    <w:link w:val="740"/>
    <w:qFormat/>
    <w:rPr>
      <w:rFonts w:ascii="宋体" w:hAnsi="宋体" w:eastAsia="宋体" w:cs="Times New Roman"/>
      <w:sz w:val="21"/>
      <w:szCs w:val="20"/>
    </w:rPr>
  </w:style>
  <w:style w:type="character" w:styleId="745">
    <w:name w:val="标题 1 字符"/>
    <w:next w:val="745"/>
    <w:link w:val="729"/>
    <w:uiPriority w:val="9"/>
    <w:qFormat/>
    <w:rPr>
      <w:rFonts w:ascii="Cambria" w:hAnsi="Cambria" w:eastAsia="宋体" w:cs="Times New Roman"/>
      <w:b/>
      <w:bCs/>
      <w:color w:val="366091"/>
      <w:sz w:val="28"/>
      <w:szCs w:val="28"/>
    </w:rPr>
  </w:style>
  <w:style w:type="character" w:styleId="746">
    <w:name w:val="标题 2 字符"/>
    <w:next w:val="746"/>
    <w:link w:val="730"/>
    <w:uiPriority w:val="9"/>
    <w:qFormat/>
    <w:rPr>
      <w:rFonts w:ascii="Cambria" w:hAnsi="Cambria" w:eastAsia="宋体" w:cs="Times New Roman"/>
      <w:b/>
      <w:bCs/>
      <w:color w:val="4f81bd"/>
      <w:sz w:val="26"/>
      <w:szCs w:val="26"/>
    </w:rPr>
  </w:style>
  <w:style w:type="character" w:styleId="747">
    <w:name w:val="标题 3 字符"/>
    <w:next w:val="747"/>
    <w:link w:val="731"/>
    <w:uiPriority w:val="9"/>
    <w:qFormat/>
    <w:rPr>
      <w:rFonts w:ascii="Cambria" w:hAnsi="Cambria" w:eastAsia="宋体" w:cs="Times New Roman"/>
      <w:b/>
      <w:bCs/>
      <w:color w:val="4f81bd"/>
    </w:rPr>
  </w:style>
  <w:style w:type="character" w:styleId="748">
    <w:name w:val="标题 4 字符"/>
    <w:next w:val="748"/>
    <w:link w:val="732"/>
    <w:uiPriority w:val="9"/>
    <w:qFormat/>
    <w:rPr>
      <w:rFonts w:ascii="Cambria" w:hAnsi="Cambria" w:eastAsia="宋体" w:cs="Times New Roman"/>
      <w:b/>
      <w:bCs/>
      <w:i/>
      <w:iCs/>
      <w:color w:val="4f81bd"/>
    </w:rPr>
  </w:style>
  <w:style w:type="character" w:styleId="749">
    <w:name w:val="标题 5 字符"/>
    <w:next w:val="749"/>
    <w:link w:val="733"/>
    <w:uiPriority w:val="9"/>
    <w:qFormat/>
    <w:rPr>
      <w:rFonts w:ascii="Cambria" w:hAnsi="Cambria" w:eastAsia="宋体" w:cs="Times New Roman"/>
      <w:color w:val="244061"/>
    </w:rPr>
  </w:style>
  <w:style w:type="character" w:styleId="750">
    <w:name w:val="标题 6 字符"/>
    <w:next w:val="750"/>
    <w:link w:val="734"/>
    <w:uiPriority w:val="9"/>
    <w:qFormat/>
    <w:rPr>
      <w:rFonts w:ascii="Cambria" w:hAnsi="Cambria" w:eastAsia="宋体" w:cs="Times New Roman"/>
      <w:i/>
      <w:iCs/>
      <w:color w:val="244061"/>
    </w:rPr>
  </w:style>
  <w:style w:type="character" w:styleId="751">
    <w:name w:val="标题 7 字符"/>
    <w:next w:val="751"/>
    <w:link w:val="735"/>
    <w:uiPriority w:val="9"/>
    <w:qFormat/>
    <w:rPr>
      <w:rFonts w:ascii="Cambria" w:hAnsi="Cambria" w:eastAsia="宋体" w:cs="Times New Roman"/>
      <w:i/>
      <w:iCs/>
      <w:color w:val="3f3f3f"/>
    </w:rPr>
  </w:style>
  <w:style w:type="character" w:styleId="752">
    <w:name w:val="标题 8 字符"/>
    <w:next w:val="752"/>
    <w:link w:val="736"/>
    <w:uiPriority w:val="9"/>
    <w:qFormat/>
    <w:rPr>
      <w:rFonts w:ascii="Cambria" w:hAnsi="Cambria" w:eastAsia="宋体" w:cs="Times New Roman"/>
      <w:color w:val="4f81bd"/>
      <w:sz w:val="20"/>
      <w:szCs w:val="20"/>
    </w:rPr>
  </w:style>
  <w:style w:type="character" w:styleId="753">
    <w:name w:val="标题 9 字符"/>
    <w:next w:val="753"/>
    <w:link w:val="737"/>
    <w:uiPriority w:val="9"/>
    <w:qFormat/>
    <w:rPr>
      <w:rFonts w:ascii="Cambria" w:hAnsi="Cambria" w:eastAsia="宋体" w:cs="Times New Roman"/>
      <w:i/>
      <w:iCs/>
      <w:color w:val="3f3f3f"/>
      <w:sz w:val="20"/>
      <w:szCs w:val="20"/>
    </w:rPr>
  </w:style>
  <w:style w:type="paragraph" w:styleId="754">
    <w:name w:val="列表 3"/>
    <w:basedOn w:val="728"/>
    <w:next w:val="754"/>
    <w:link w:val="728"/>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55">
    <w:name w:val="目录 7"/>
    <w:basedOn w:val="728"/>
    <w:next w:val="728"/>
    <w:link w:val="728"/>
    <w:uiPriority w:val="39"/>
    <w:unhideWhenUsed/>
    <w:pPr>
      <w:ind w:left="1701"/>
      <w:spacing w:after="57" w:line="240" w:lineRule="auto"/>
    </w:pPr>
    <w:rPr>
      <w:rFonts w:ascii="Times New Roman" w:hAnsi="Times New Roman"/>
      <w:sz w:val="20"/>
      <w:szCs w:val="20"/>
    </w:rPr>
  </w:style>
  <w:style w:type="paragraph" w:styleId="756">
    <w:name w:val="正文缩进"/>
    <w:basedOn w:val="728"/>
    <w:next w:val="756"/>
    <w:link w:val="757"/>
    <w:unhideWhenUsed/>
    <w:qFormat/>
    <w:pPr>
      <w:ind w:firstLine="420"/>
      <w:jc w:val="both"/>
      <w:spacing w:after="0" w:line="240" w:lineRule="auto"/>
      <w:widowControl w:val="off"/>
    </w:pPr>
    <w:rPr>
      <w:sz w:val="21"/>
      <w:szCs w:val="20"/>
    </w:rPr>
  </w:style>
  <w:style w:type="character" w:styleId="757">
    <w:name w:val="正文缩进 字符1"/>
    <w:next w:val="757"/>
    <w:link w:val="756"/>
    <w:qFormat/>
    <w:rPr>
      <w:sz w:val="21"/>
    </w:rPr>
  </w:style>
  <w:style w:type="paragraph" w:styleId="758">
    <w:name w:val="题注"/>
    <w:basedOn w:val="728"/>
    <w:next w:val="728"/>
    <w:link w:val="728"/>
    <w:uiPriority w:val="35"/>
    <w:qFormat/>
    <w:pPr>
      <w:spacing w:line="240" w:lineRule="auto"/>
    </w:pPr>
    <w:rPr>
      <w:b/>
      <w:bCs/>
      <w:color w:val="4f81bd"/>
      <w:sz w:val="18"/>
      <w:szCs w:val="18"/>
    </w:rPr>
  </w:style>
  <w:style w:type="paragraph" w:styleId="759">
    <w:name w:val="文档结构图"/>
    <w:basedOn w:val="728"/>
    <w:next w:val="759"/>
    <w:link w:val="760"/>
    <w:qFormat/>
    <w:pPr>
      <w:jc w:val="both"/>
      <w:spacing w:after="0" w:line="240" w:lineRule="auto"/>
      <w:shd w:val="clear" w:color="auto" w:fill="000080"/>
      <w:widowControl w:val="off"/>
    </w:pPr>
    <w:rPr>
      <w:rFonts w:ascii="Times New Roman" w:hAnsi="Times New Roman"/>
      <w:sz w:val="21"/>
      <w:szCs w:val="21"/>
    </w:rPr>
  </w:style>
  <w:style w:type="character" w:styleId="760">
    <w:name w:val="文档结构图 字符"/>
    <w:next w:val="760"/>
    <w:link w:val="759"/>
    <w:qFormat/>
    <w:rPr>
      <w:rFonts w:ascii="Times New Roman" w:hAnsi="Times New Roman" w:eastAsia="宋体" w:cs="Times New Roman"/>
      <w:sz w:val="21"/>
      <w:szCs w:val="21"/>
      <w:shd w:val="clear" w:color="auto" w:fill="000080"/>
    </w:rPr>
  </w:style>
  <w:style w:type="paragraph" w:styleId="761">
    <w:name w:val="批注文字"/>
    <w:basedOn w:val="728"/>
    <w:next w:val="761"/>
    <w:link w:val="762"/>
    <w:qFormat/>
    <w:pPr>
      <w:spacing w:after="0" w:line="240" w:lineRule="auto"/>
      <w:widowControl w:val="off"/>
    </w:pPr>
    <w:rPr>
      <w:rFonts w:ascii="Times New Roman" w:hAnsi="Times New Roman"/>
      <w:sz w:val="21"/>
      <w:szCs w:val="21"/>
    </w:rPr>
  </w:style>
  <w:style w:type="character" w:styleId="762">
    <w:name w:val="批注文字 字符"/>
    <w:next w:val="762"/>
    <w:link w:val="761"/>
    <w:qFormat/>
    <w:rPr>
      <w:rFonts w:ascii="Times New Roman" w:hAnsi="Times New Roman" w:eastAsia="宋体" w:cs="Times New Roman"/>
      <w:sz w:val="21"/>
      <w:szCs w:val="21"/>
    </w:rPr>
  </w:style>
  <w:style w:type="paragraph" w:styleId="763">
    <w:name w:val="正文文本 3"/>
    <w:basedOn w:val="728"/>
    <w:next w:val="763"/>
    <w:link w:val="764"/>
    <w:qFormat/>
    <w:pPr>
      <w:jc w:val="both"/>
      <w:spacing w:after="0" w:line="240" w:lineRule="auto"/>
      <w:widowControl w:val="off"/>
    </w:pPr>
    <w:rPr>
      <w:rFonts w:ascii="仿宋_GB2312" w:hAnsi="Arial" w:eastAsia="仿宋_GB2312"/>
      <w:sz w:val="32"/>
      <w:szCs w:val="32"/>
    </w:rPr>
  </w:style>
  <w:style w:type="character" w:styleId="764">
    <w:name w:val="正文文本 3 字符"/>
    <w:next w:val="764"/>
    <w:link w:val="763"/>
    <w:qFormat/>
    <w:rPr>
      <w:rFonts w:ascii="仿宋_GB2312" w:hAnsi="Arial" w:eastAsia="仿宋_GB2312" w:cs="Times New Roman"/>
      <w:sz w:val="32"/>
      <w:szCs w:val="32"/>
    </w:rPr>
  </w:style>
  <w:style w:type="paragraph" w:styleId="765">
    <w:name w:val="正文文本"/>
    <w:basedOn w:val="728"/>
    <w:next w:val="765"/>
    <w:link w:val="766"/>
    <w:qFormat/>
    <w:pPr>
      <w:jc w:val="both"/>
      <w:spacing w:after="0" w:line="240" w:lineRule="auto"/>
      <w:widowControl w:val="off"/>
    </w:pPr>
    <w:rPr>
      <w:rFonts w:ascii="楷体_GB2312" w:hAnsi="Arial" w:eastAsia="楷体_GB2312"/>
      <w:sz w:val="28"/>
      <w:szCs w:val="28"/>
    </w:rPr>
  </w:style>
  <w:style w:type="character" w:styleId="766">
    <w:name w:val="正文文本 字符"/>
    <w:next w:val="766"/>
    <w:link w:val="765"/>
    <w:qFormat/>
    <w:rPr>
      <w:rFonts w:ascii="楷体_GB2312" w:hAnsi="Arial" w:eastAsia="楷体_GB2312" w:cs="Times New Roman"/>
      <w:sz w:val="28"/>
      <w:szCs w:val="28"/>
    </w:rPr>
  </w:style>
  <w:style w:type="paragraph" w:styleId="767">
    <w:name w:val="列表 2"/>
    <w:basedOn w:val="728"/>
    <w:next w:val="767"/>
    <w:link w:val="728"/>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68">
    <w:name w:val="索引 4"/>
    <w:basedOn w:val="728"/>
    <w:next w:val="728"/>
    <w:link w:val="728"/>
    <w:uiPriority w:val="99"/>
    <w:unhideWhenUsed/>
    <w:qFormat/>
    <w:pPr>
      <w:ind w:left="600"/>
    </w:pPr>
  </w:style>
  <w:style w:type="paragraph" w:styleId="769">
    <w:name w:val="目录 5"/>
    <w:basedOn w:val="728"/>
    <w:next w:val="728"/>
    <w:link w:val="728"/>
    <w:uiPriority w:val="39"/>
    <w:unhideWhenUsed/>
    <w:pPr>
      <w:ind w:left="1134"/>
      <w:spacing w:after="57" w:line="240" w:lineRule="auto"/>
    </w:pPr>
    <w:rPr>
      <w:rFonts w:ascii="Times New Roman" w:hAnsi="Times New Roman"/>
      <w:sz w:val="20"/>
      <w:szCs w:val="20"/>
    </w:rPr>
  </w:style>
  <w:style w:type="paragraph" w:styleId="770">
    <w:name w:val="目录 3"/>
    <w:basedOn w:val="728"/>
    <w:next w:val="728"/>
    <w:link w:val="728"/>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771">
    <w:name w:val="纯文本"/>
    <w:basedOn w:val="728"/>
    <w:next w:val="771"/>
    <w:link w:val="772"/>
    <w:qFormat/>
    <w:pPr>
      <w:jc w:val="both"/>
      <w:spacing w:after="0" w:line="240" w:lineRule="auto"/>
      <w:widowControl w:val="off"/>
    </w:pPr>
    <w:rPr>
      <w:rFonts w:ascii="宋体" w:hAnsi="Courier New"/>
      <w:sz w:val="21"/>
      <w:szCs w:val="21"/>
    </w:rPr>
  </w:style>
  <w:style w:type="character" w:styleId="772">
    <w:name w:val="纯文本 字符"/>
    <w:next w:val="772"/>
    <w:link w:val="771"/>
    <w:qFormat/>
    <w:rPr>
      <w:rFonts w:ascii="宋体" w:hAnsi="Courier New" w:eastAsia="宋体" w:cs="Times New Roman"/>
      <w:sz w:val="21"/>
      <w:szCs w:val="21"/>
    </w:rPr>
  </w:style>
  <w:style w:type="paragraph" w:styleId="773">
    <w:name w:val="目录 8"/>
    <w:basedOn w:val="728"/>
    <w:next w:val="728"/>
    <w:link w:val="728"/>
    <w:uiPriority w:val="39"/>
    <w:unhideWhenUsed/>
    <w:pPr>
      <w:ind w:left="1984"/>
      <w:spacing w:after="57" w:line="240" w:lineRule="auto"/>
    </w:pPr>
    <w:rPr>
      <w:rFonts w:ascii="Times New Roman" w:hAnsi="Times New Roman"/>
      <w:sz w:val="20"/>
      <w:szCs w:val="20"/>
    </w:rPr>
  </w:style>
  <w:style w:type="paragraph" w:styleId="774">
    <w:name w:val="日期"/>
    <w:basedOn w:val="728"/>
    <w:next w:val="728"/>
    <w:link w:val="775"/>
    <w:qFormat/>
    <w:pPr>
      <w:jc w:val="both"/>
      <w:spacing w:after="0" w:line="240" w:lineRule="auto"/>
      <w:widowControl w:val="off"/>
    </w:pPr>
    <w:rPr>
      <w:rFonts w:ascii="Times New Roman" w:hAnsi="Times New Roman"/>
      <w:sz w:val="24"/>
      <w:szCs w:val="24"/>
    </w:rPr>
  </w:style>
  <w:style w:type="character" w:styleId="775">
    <w:name w:val="日期 字符"/>
    <w:next w:val="775"/>
    <w:link w:val="774"/>
    <w:qFormat/>
    <w:rPr>
      <w:rFonts w:ascii="Times New Roman" w:hAnsi="Times New Roman" w:eastAsia="宋体" w:cs="Times New Roman"/>
      <w:sz w:val="24"/>
      <w:szCs w:val="24"/>
    </w:rPr>
  </w:style>
  <w:style w:type="paragraph" w:styleId="776">
    <w:name w:val="正文文本缩进 2"/>
    <w:basedOn w:val="728"/>
    <w:next w:val="776"/>
    <w:link w:val="777"/>
    <w:qFormat/>
    <w:pPr>
      <w:ind w:left="630" w:firstLine="645"/>
      <w:jc w:val="both"/>
      <w:spacing w:after="0" w:line="240" w:lineRule="auto"/>
      <w:widowControl w:val="off"/>
    </w:pPr>
    <w:rPr>
      <w:rFonts w:ascii="Arial" w:hAnsi="Arial" w:eastAsia="仿宋_GB2312"/>
      <w:sz w:val="32"/>
      <w:szCs w:val="32"/>
    </w:rPr>
  </w:style>
  <w:style w:type="character" w:styleId="777">
    <w:name w:val="正文文本缩进 2 字符"/>
    <w:next w:val="777"/>
    <w:link w:val="776"/>
    <w:qFormat/>
    <w:rPr>
      <w:rFonts w:ascii="Arial" w:hAnsi="Arial" w:eastAsia="仿宋_GB2312" w:cs="Arial"/>
      <w:sz w:val="32"/>
      <w:szCs w:val="32"/>
    </w:rPr>
  </w:style>
  <w:style w:type="paragraph" w:styleId="778">
    <w:name w:val="尾注文本"/>
    <w:basedOn w:val="728"/>
    <w:next w:val="778"/>
    <w:link w:val="779"/>
    <w:uiPriority w:val="99"/>
    <w:unhideWhenUsed/>
    <w:pPr>
      <w:spacing w:after="0" w:line="240" w:lineRule="auto"/>
    </w:pPr>
    <w:rPr>
      <w:rFonts w:ascii="Times New Roman" w:hAnsi="Times New Roman"/>
      <w:sz w:val="20"/>
      <w:szCs w:val="20"/>
    </w:rPr>
  </w:style>
  <w:style w:type="character" w:styleId="779">
    <w:name w:val="尾注文本 字符"/>
    <w:next w:val="779"/>
    <w:link w:val="778"/>
    <w:uiPriority w:val="99"/>
    <w:rPr>
      <w:rFonts w:ascii="Times New Roman" w:hAnsi="Times New Roman"/>
    </w:rPr>
  </w:style>
  <w:style w:type="paragraph" w:styleId="780">
    <w:name w:val="批注框文本"/>
    <w:basedOn w:val="728"/>
    <w:next w:val="780"/>
    <w:link w:val="781"/>
    <w:unhideWhenUsed/>
    <w:qFormat/>
    <w:pPr>
      <w:jc w:val="both"/>
      <w:spacing w:after="0" w:line="240" w:lineRule="auto"/>
      <w:widowControl w:val="off"/>
    </w:pPr>
    <w:rPr>
      <w:sz w:val="18"/>
      <w:szCs w:val="18"/>
    </w:rPr>
  </w:style>
  <w:style w:type="character" w:styleId="781">
    <w:name w:val="批注框文本 字符"/>
    <w:next w:val="781"/>
    <w:link w:val="780"/>
    <w:qFormat/>
    <w:rPr>
      <w:sz w:val="18"/>
      <w:szCs w:val="18"/>
    </w:rPr>
  </w:style>
  <w:style w:type="paragraph" w:styleId="782">
    <w:name w:val="页脚"/>
    <w:basedOn w:val="728"/>
    <w:next w:val="782"/>
    <w:link w:val="783"/>
    <w:uiPriority w:val="99"/>
    <w:unhideWhenUsed/>
    <w:qFormat/>
    <w:pPr>
      <w:spacing w:line="240" w:lineRule="auto"/>
      <w:tabs>
        <w:tab w:val="center" w:pos="4153" w:leader="none"/>
        <w:tab w:val="right" w:pos="8306" w:leader="none"/>
      </w:tabs>
    </w:pPr>
    <w:rPr>
      <w:sz w:val="18"/>
      <w:szCs w:val="18"/>
    </w:rPr>
  </w:style>
  <w:style w:type="character" w:styleId="783">
    <w:name w:val="页脚 字符1"/>
    <w:next w:val="783"/>
    <w:link w:val="782"/>
    <w:uiPriority w:val="99"/>
    <w:qFormat/>
    <w:rPr>
      <w:sz w:val="18"/>
      <w:szCs w:val="18"/>
    </w:rPr>
  </w:style>
  <w:style w:type="paragraph" w:styleId="784">
    <w:name w:val="页眉"/>
    <w:basedOn w:val="728"/>
    <w:next w:val="784"/>
    <w:link w:val="785"/>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785">
    <w:name w:val="页眉 字符1"/>
    <w:next w:val="785"/>
    <w:link w:val="784"/>
    <w:uiPriority w:val="99"/>
    <w:qFormat/>
    <w:rPr>
      <w:sz w:val="18"/>
      <w:szCs w:val="18"/>
    </w:rPr>
  </w:style>
  <w:style w:type="paragraph" w:styleId="786">
    <w:name w:val="目录 1"/>
    <w:basedOn w:val="728"/>
    <w:next w:val="728"/>
    <w:link w:val="728"/>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787">
    <w:name w:val="目录 4"/>
    <w:basedOn w:val="728"/>
    <w:next w:val="728"/>
    <w:link w:val="728"/>
    <w:uiPriority w:val="39"/>
    <w:unhideWhenUsed/>
    <w:pPr>
      <w:ind w:left="850"/>
      <w:spacing w:after="57" w:line="240" w:lineRule="auto"/>
    </w:pPr>
    <w:rPr>
      <w:rFonts w:ascii="Times New Roman" w:hAnsi="Times New Roman"/>
      <w:sz w:val="20"/>
      <w:szCs w:val="20"/>
    </w:rPr>
  </w:style>
  <w:style w:type="paragraph" w:styleId="788">
    <w:name w:val="副标题"/>
    <w:basedOn w:val="728"/>
    <w:next w:val="728"/>
    <w:link w:val="789"/>
    <w:uiPriority w:val="11"/>
    <w:qFormat/>
    <w:rPr>
      <w:rFonts w:ascii="Cambria" w:hAnsi="Cambria"/>
      <w:i/>
      <w:iCs/>
      <w:color w:val="4f81bd"/>
      <w:spacing w:val="15"/>
      <w:sz w:val="24"/>
      <w:szCs w:val="24"/>
    </w:rPr>
  </w:style>
  <w:style w:type="character" w:styleId="789">
    <w:name w:val="副标题 字符"/>
    <w:next w:val="789"/>
    <w:link w:val="788"/>
    <w:uiPriority w:val="11"/>
    <w:qFormat/>
    <w:rPr>
      <w:rFonts w:ascii="Cambria" w:hAnsi="Cambria" w:eastAsia="宋体" w:cs="Times New Roman"/>
      <w:i/>
      <w:iCs/>
      <w:color w:val="4f81bd"/>
      <w:spacing w:val="15"/>
      <w:sz w:val="24"/>
      <w:szCs w:val="24"/>
    </w:rPr>
  </w:style>
  <w:style w:type="paragraph" w:styleId="790">
    <w:name w:val="列表"/>
    <w:basedOn w:val="728"/>
    <w:next w:val="790"/>
    <w:link w:val="728"/>
    <w:qFormat/>
    <w:pPr>
      <w:ind w:left="200" w:hanging="200"/>
      <w:jc w:val="both"/>
      <w:spacing w:after="0" w:line="240" w:lineRule="auto"/>
      <w:widowControl w:val="off"/>
    </w:pPr>
    <w:rPr>
      <w:rFonts w:ascii="Times New Roman" w:hAnsi="Times New Roman" w:eastAsia="宋体" w:cs="Times New Roman"/>
      <w:sz w:val="21"/>
      <w:szCs w:val="21"/>
    </w:rPr>
  </w:style>
  <w:style w:type="paragraph" w:styleId="791">
    <w:name w:val="脚注文本"/>
    <w:basedOn w:val="728"/>
    <w:next w:val="791"/>
    <w:link w:val="792"/>
    <w:uiPriority w:val="99"/>
    <w:unhideWhenUsed/>
    <w:qFormat/>
    <w:pPr>
      <w:spacing w:after="40" w:line="240" w:lineRule="auto"/>
    </w:pPr>
    <w:rPr>
      <w:rFonts w:ascii="Times New Roman" w:hAnsi="Times New Roman"/>
      <w:sz w:val="18"/>
      <w:szCs w:val="20"/>
    </w:rPr>
  </w:style>
  <w:style w:type="character" w:styleId="792">
    <w:name w:val="脚注文本 字符"/>
    <w:next w:val="792"/>
    <w:link w:val="791"/>
    <w:uiPriority w:val="99"/>
    <w:rPr>
      <w:rFonts w:ascii="Times New Roman" w:hAnsi="Times New Roman"/>
      <w:sz w:val="18"/>
    </w:rPr>
  </w:style>
  <w:style w:type="paragraph" w:styleId="793">
    <w:name w:val="目录 6"/>
    <w:basedOn w:val="728"/>
    <w:next w:val="728"/>
    <w:link w:val="728"/>
    <w:uiPriority w:val="39"/>
    <w:unhideWhenUsed/>
    <w:pPr>
      <w:ind w:left="1417"/>
      <w:spacing w:after="57" w:line="240" w:lineRule="auto"/>
    </w:pPr>
    <w:rPr>
      <w:rFonts w:ascii="Times New Roman" w:hAnsi="Times New Roman"/>
      <w:sz w:val="20"/>
      <w:szCs w:val="20"/>
    </w:rPr>
  </w:style>
  <w:style w:type="paragraph" w:styleId="794">
    <w:name w:val="正文文本缩进 3"/>
    <w:basedOn w:val="728"/>
    <w:next w:val="794"/>
    <w:link w:val="795"/>
    <w:qFormat/>
    <w:pPr>
      <w:ind w:left="645" w:firstLine="645"/>
      <w:jc w:val="both"/>
      <w:spacing w:after="0" w:line="240" w:lineRule="auto"/>
      <w:widowControl w:val="off"/>
    </w:pPr>
    <w:rPr>
      <w:rFonts w:ascii="Arial" w:hAnsi="Arial" w:eastAsia="仿宋_GB2312"/>
      <w:color w:val="ffff00"/>
      <w:sz w:val="32"/>
      <w:szCs w:val="32"/>
    </w:rPr>
  </w:style>
  <w:style w:type="character" w:styleId="795">
    <w:name w:val="正文文本缩进 3 字符"/>
    <w:next w:val="795"/>
    <w:link w:val="794"/>
    <w:qFormat/>
    <w:rPr>
      <w:rFonts w:ascii="Arial" w:hAnsi="Arial" w:eastAsia="仿宋_GB2312" w:cs="Arial"/>
      <w:color w:val="ffff00"/>
      <w:sz w:val="32"/>
      <w:szCs w:val="32"/>
    </w:rPr>
  </w:style>
  <w:style w:type="paragraph" w:styleId="796">
    <w:name w:val="图表目录"/>
    <w:basedOn w:val="728"/>
    <w:next w:val="728"/>
    <w:link w:val="728"/>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797">
    <w:name w:val="目录 2"/>
    <w:basedOn w:val="728"/>
    <w:next w:val="728"/>
    <w:link w:val="728"/>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798">
    <w:name w:val="目录 9"/>
    <w:basedOn w:val="728"/>
    <w:next w:val="728"/>
    <w:link w:val="728"/>
    <w:uiPriority w:val="39"/>
    <w:unhideWhenUsed/>
    <w:pPr>
      <w:ind w:left="2268"/>
      <w:spacing w:after="57" w:line="240" w:lineRule="auto"/>
    </w:pPr>
    <w:rPr>
      <w:rFonts w:ascii="Times New Roman" w:hAnsi="Times New Roman"/>
      <w:sz w:val="20"/>
      <w:szCs w:val="20"/>
    </w:rPr>
  </w:style>
  <w:style w:type="paragraph" w:styleId="799">
    <w:name w:val="正文文本 2"/>
    <w:basedOn w:val="728"/>
    <w:next w:val="799"/>
    <w:link w:val="800"/>
    <w:qFormat/>
    <w:pPr>
      <w:jc w:val="center"/>
      <w:spacing w:after="0" w:line="240" w:lineRule="auto"/>
    </w:pPr>
    <w:rPr>
      <w:rFonts w:ascii="楷体_GB2312" w:hAnsi="Times New Roman" w:eastAsia="楷体_GB2312"/>
      <w:sz w:val="28"/>
      <w:szCs w:val="28"/>
    </w:rPr>
  </w:style>
  <w:style w:type="character" w:styleId="800">
    <w:name w:val="正文文本 2 字符"/>
    <w:next w:val="800"/>
    <w:link w:val="799"/>
    <w:qFormat/>
    <w:rPr>
      <w:rFonts w:ascii="楷体_GB2312" w:hAnsi="Times New Roman" w:eastAsia="楷体_GB2312" w:cs="Times New Roman"/>
      <w:sz w:val="28"/>
      <w:szCs w:val="28"/>
    </w:rPr>
  </w:style>
  <w:style w:type="paragraph" w:styleId="801">
    <w:name w:val="普通(网站)"/>
    <w:basedOn w:val="728"/>
    <w:next w:val="801"/>
    <w:link w:val="728"/>
    <w:qFormat/>
    <w:pPr>
      <w:spacing w:before="100" w:beforeAutospacing="1" w:after="100" w:afterAutospacing="1" w:line="240" w:lineRule="auto"/>
    </w:pPr>
    <w:rPr>
      <w:rFonts w:ascii="宋体" w:hAnsi="宋体" w:eastAsia="宋体" w:cs="宋体"/>
      <w:sz w:val="24"/>
      <w:szCs w:val="24"/>
    </w:rPr>
  </w:style>
  <w:style w:type="paragraph" w:styleId="802">
    <w:name w:val="索引 1"/>
    <w:basedOn w:val="728"/>
    <w:next w:val="728"/>
    <w:link w:val="728"/>
    <w:qFormat/>
    <w:pPr>
      <w:jc w:val="both"/>
      <w:spacing w:after="0" w:line="240" w:lineRule="atLeast"/>
      <w:widowControl w:val="off"/>
    </w:pPr>
    <w:rPr>
      <w:rFonts w:ascii="Times New Roman" w:hAnsi="Times New Roman" w:eastAsia="宋体" w:cs="Times New Roman"/>
      <w:b/>
      <w:bCs/>
      <w:sz w:val="21"/>
      <w:szCs w:val="21"/>
    </w:rPr>
  </w:style>
  <w:style w:type="paragraph" w:styleId="803">
    <w:name w:val="标题"/>
    <w:basedOn w:val="728"/>
    <w:next w:val="728"/>
    <w:link w:val="804"/>
    <w:uiPriority w:val="10"/>
    <w:qFormat/>
    <w:pPr>
      <w:contextualSpacing/>
      <w:spacing w:after="300" w:line="240" w:lineRule="auto"/>
      <w:pBdr>
        <w:bottom w:val="single" w:color="4F81BD" w:sz="8" w:space="4"/>
      </w:pBdr>
    </w:pPr>
    <w:rPr>
      <w:rFonts w:ascii="Cambria" w:hAnsi="Cambria"/>
      <w:color w:val="17365d"/>
      <w:spacing w:val="5"/>
      <w:sz w:val="52"/>
      <w:szCs w:val="52"/>
    </w:rPr>
  </w:style>
  <w:style w:type="character" w:styleId="804">
    <w:name w:val="标题 字符"/>
    <w:next w:val="804"/>
    <w:link w:val="803"/>
    <w:uiPriority w:val="10"/>
    <w:qFormat/>
    <w:rPr>
      <w:rFonts w:ascii="Cambria" w:hAnsi="Cambria" w:eastAsia="宋体" w:cs="Times New Roman"/>
      <w:color w:val="17365d"/>
      <w:spacing w:val="5"/>
      <w:sz w:val="52"/>
      <w:szCs w:val="52"/>
    </w:rPr>
  </w:style>
  <w:style w:type="paragraph" w:styleId="805">
    <w:name w:val="批注主题"/>
    <w:basedOn w:val="761"/>
    <w:next w:val="761"/>
    <w:link w:val="806"/>
    <w:qFormat/>
    <w:rPr>
      <w:b/>
      <w:bCs/>
    </w:rPr>
  </w:style>
  <w:style w:type="character" w:styleId="806">
    <w:name w:val="批注主题 字符"/>
    <w:next w:val="806"/>
    <w:link w:val="805"/>
    <w:qFormat/>
    <w:rPr>
      <w:rFonts w:ascii="Times New Roman" w:hAnsi="Times New Roman" w:eastAsia="宋体" w:cs="Times New Roman"/>
      <w:b/>
      <w:bCs/>
      <w:sz w:val="21"/>
      <w:szCs w:val="21"/>
    </w:rPr>
  </w:style>
  <w:style w:type="paragraph" w:styleId="807">
    <w:name w:val="正文首行缩进"/>
    <w:basedOn w:val="728"/>
    <w:next w:val="807"/>
    <w:link w:val="808"/>
    <w:qFormat/>
    <w:pPr>
      <w:ind w:firstLine="200"/>
      <w:jc w:val="both"/>
      <w:spacing w:after="0" w:line="360" w:lineRule="auto"/>
      <w:widowControl w:val="off"/>
    </w:pPr>
    <w:rPr>
      <w:rFonts w:ascii="仿宋_GB2312" w:hAnsi="Times New Roman" w:eastAsia="仿宋_GB2312"/>
      <w:sz w:val="30"/>
      <w:szCs w:val="30"/>
    </w:rPr>
  </w:style>
  <w:style w:type="character" w:styleId="808">
    <w:name w:val="正文文本首行缩进 字符"/>
    <w:next w:val="808"/>
    <w:link w:val="807"/>
    <w:qFormat/>
    <w:rPr>
      <w:rFonts w:ascii="仿宋_GB2312" w:hAnsi="Times New Roman" w:eastAsia="仿宋_GB2312" w:cs="Times New Roman"/>
      <w:sz w:val="30"/>
      <w:szCs w:val="30"/>
    </w:rPr>
  </w:style>
  <w:style w:type="table" w:styleId="809">
    <w:name w:val="网格型"/>
    <w:basedOn w:val="739"/>
    <w:next w:val="809"/>
    <w:link w:val="728"/>
    <w:uiPriority w:val="39"/>
    <w:qFormat/>
    <w:rPr>
      <w:sz w:val="21"/>
    </w:rPr>
    <w:tblPr/>
  </w:style>
  <w:style w:type="character" w:styleId="810">
    <w:name w:val="要点"/>
    <w:next w:val="810"/>
    <w:link w:val="728"/>
    <w:qFormat/>
    <w:rPr>
      <w:b/>
      <w:bCs/>
    </w:rPr>
  </w:style>
  <w:style w:type="character" w:styleId="811">
    <w:name w:val="尾注引用"/>
    <w:next w:val="811"/>
    <w:link w:val="728"/>
    <w:uiPriority w:val="99"/>
    <w:unhideWhenUsed/>
    <w:rPr>
      <w:vertAlign w:val="superscript"/>
    </w:rPr>
  </w:style>
  <w:style w:type="character" w:styleId="812">
    <w:name w:val="页码"/>
    <w:next w:val="812"/>
    <w:link w:val="728"/>
    <w:qFormat/>
  </w:style>
  <w:style w:type="character" w:styleId="813">
    <w:name w:val="已访问的超链接"/>
    <w:next w:val="813"/>
    <w:link w:val="728"/>
    <w:uiPriority w:val="99"/>
    <w:qFormat/>
    <w:rPr>
      <w:color w:val="800080"/>
      <w:u w:val="single"/>
    </w:rPr>
  </w:style>
  <w:style w:type="character" w:styleId="814">
    <w:name w:val="强调"/>
    <w:next w:val="814"/>
    <w:link w:val="728"/>
    <w:uiPriority w:val="20"/>
    <w:qFormat/>
    <w:rPr>
      <w:i/>
      <w:iCs/>
    </w:rPr>
  </w:style>
  <w:style w:type="character" w:styleId="815">
    <w:name w:val="超链接"/>
    <w:next w:val="815"/>
    <w:link w:val="728"/>
    <w:uiPriority w:val="99"/>
    <w:qFormat/>
    <w:rPr>
      <w:color w:val="0000ff"/>
      <w:u w:val="single"/>
    </w:rPr>
  </w:style>
  <w:style w:type="character" w:styleId="816">
    <w:name w:val="批注引用"/>
    <w:next w:val="816"/>
    <w:link w:val="728"/>
    <w:qFormat/>
    <w:rPr>
      <w:sz w:val="21"/>
      <w:szCs w:val="21"/>
    </w:rPr>
  </w:style>
  <w:style w:type="character" w:styleId="817">
    <w:name w:val="脚注引用"/>
    <w:next w:val="817"/>
    <w:link w:val="728"/>
    <w:uiPriority w:val="99"/>
    <w:unhideWhenUsed/>
    <w:rPr>
      <w:vertAlign w:val="superscript"/>
    </w:rPr>
  </w:style>
  <w:style w:type="paragraph" w:styleId="818">
    <w:name w:val="Default"/>
    <w:next w:val="818"/>
    <w:link w:val="728"/>
    <w:uiPriority w:val="99"/>
    <w:qFormat/>
    <w:pPr>
      <w:widowControl w:val="off"/>
    </w:pPr>
    <w:rPr>
      <w:rFonts w:ascii="MS Mincho" w:hAnsi="MS Mincho"/>
      <w:color w:val="000000"/>
      <w:sz w:val="21"/>
      <w:szCs w:val="24"/>
      <w:lang w:val="en-US" w:eastAsia="zh-CN" w:bidi="ar-SA"/>
    </w:rPr>
  </w:style>
  <w:style w:type="character" w:styleId="819">
    <w:name w:val="页脚 字符"/>
    <w:next w:val="819"/>
    <w:link w:val="728"/>
    <w:uiPriority w:val="99"/>
    <w:qFormat/>
    <w:rPr>
      <w:sz w:val="18"/>
      <w:szCs w:val="18"/>
    </w:rPr>
  </w:style>
  <w:style w:type="character" w:styleId="820">
    <w:name w:val="列出段落 Char,Bullet List Char,numbered Char,FooterText Char,List Paragraph1 Char,Paragraphe de liste1 Char"/>
    <w:next w:val="820"/>
    <w:link w:val="821"/>
    <w:qFormat/>
    <w:rPr>
      <w:rFonts w:ascii="Calibri" w:hAnsi="Calibri"/>
      <w:sz w:val="24"/>
      <w:szCs w:val="24"/>
      <w:lang w:eastAsia="en-US" w:bidi="en-US"/>
    </w:rPr>
  </w:style>
  <w:style w:type="paragraph" w:styleId="821">
    <w:name w:val="列出段落1"/>
    <w:basedOn w:val="728"/>
    <w:next w:val="821"/>
    <w:link w:val="820"/>
    <w:qFormat/>
    <w:pPr>
      <w:contextualSpacing/>
      <w:ind w:left="720"/>
    </w:pPr>
    <w:rPr>
      <w:sz w:val="24"/>
      <w:szCs w:val="24"/>
      <w:lang w:eastAsia="en-US" w:bidi="en-US"/>
    </w:rPr>
  </w:style>
  <w:style w:type="character" w:styleId="822">
    <w:name w:val="font5 Char"/>
    <w:next w:val="822"/>
    <w:link w:val="728"/>
    <w:qFormat/>
    <w:rPr>
      <w:rFonts w:ascii="宋体" w:hAnsi="宋体" w:eastAsia="宋体"/>
      <w:sz w:val="28"/>
      <w:szCs w:val="28"/>
      <w:lang w:val="en-US" w:eastAsia="zh-CN" w:bidi="ar-SA"/>
    </w:rPr>
  </w:style>
  <w:style w:type="character" w:styleId="823">
    <w:name w:val="无间隔 Char"/>
    <w:next w:val="823"/>
    <w:link w:val="824"/>
    <w:uiPriority w:val="1"/>
    <w:qFormat/>
    <w:rPr>
      <w:sz w:val="22"/>
      <w:szCs w:val="22"/>
      <w:lang w:val="en-US" w:eastAsia="zh-CN" w:bidi="ar-SA"/>
    </w:rPr>
  </w:style>
  <w:style w:type="paragraph" w:styleId="824">
    <w:name w:val="无间隔1"/>
    <w:next w:val="824"/>
    <w:link w:val="823"/>
    <w:uiPriority w:val="1"/>
    <w:qFormat/>
    <w:rPr>
      <w:sz w:val="22"/>
      <w:szCs w:val="22"/>
      <w:lang w:val="en-US" w:eastAsia="zh-CN" w:bidi="ar-SA"/>
    </w:rPr>
  </w:style>
  <w:style w:type="character" w:styleId="825">
    <w:name w:val="引用 Char"/>
    <w:next w:val="825"/>
    <w:link w:val="826"/>
    <w:uiPriority w:val="29"/>
    <w:qFormat/>
    <w:rPr>
      <w:i/>
      <w:iCs/>
      <w:color w:val="000000"/>
    </w:rPr>
  </w:style>
  <w:style w:type="paragraph" w:styleId="826">
    <w:name w:val="引用1"/>
    <w:basedOn w:val="728"/>
    <w:next w:val="728"/>
    <w:link w:val="825"/>
    <w:uiPriority w:val="29"/>
    <w:qFormat/>
    <w:rPr>
      <w:i/>
      <w:iCs/>
      <w:color w:val="000000"/>
      <w:sz w:val="20"/>
      <w:szCs w:val="20"/>
    </w:rPr>
  </w:style>
  <w:style w:type="character" w:styleId="827">
    <w:name w:val="明显引用 Char"/>
    <w:next w:val="827"/>
    <w:link w:val="828"/>
    <w:uiPriority w:val="30"/>
    <w:qFormat/>
    <w:rPr>
      <w:b/>
      <w:bCs/>
      <w:i/>
      <w:iCs/>
      <w:color w:val="4f81bd"/>
    </w:rPr>
  </w:style>
  <w:style w:type="paragraph" w:styleId="828">
    <w:name w:val="明显引用1"/>
    <w:basedOn w:val="728"/>
    <w:next w:val="728"/>
    <w:link w:val="827"/>
    <w:uiPriority w:val="30"/>
    <w:qFormat/>
    <w:pPr>
      <w:ind w:left="936" w:right="936"/>
      <w:spacing w:before="200" w:after="280"/>
      <w:pBdr>
        <w:bottom w:val="single" w:color="4F81BD" w:sz="4" w:space="4"/>
      </w:pBdr>
    </w:pPr>
    <w:rPr>
      <w:b/>
      <w:bCs/>
      <w:i/>
      <w:iCs/>
      <w:color w:val="4f81bd"/>
      <w:sz w:val="20"/>
      <w:szCs w:val="20"/>
    </w:rPr>
  </w:style>
  <w:style w:type="character" w:styleId="829">
    <w:name w:val="不明显强调1"/>
    <w:next w:val="829"/>
    <w:link w:val="728"/>
    <w:uiPriority w:val="19"/>
    <w:qFormat/>
    <w:rPr>
      <w:i/>
      <w:iCs/>
      <w:color w:val="7e7e7e"/>
    </w:rPr>
  </w:style>
  <w:style w:type="character" w:styleId="830">
    <w:name w:val="明显强调1"/>
    <w:next w:val="830"/>
    <w:link w:val="728"/>
    <w:uiPriority w:val="21"/>
    <w:qFormat/>
    <w:rPr>
      <w:b/>
      <w:bCs/>
      <w:i/>
      <w:iCs/>
      <w:color w:val="4f81bd"/>
    </w:rPr>
  </w:style>
  <w:style w:type="character" w:styleId="831">
    <w:name w:val="不明显参考1"/>
    <w:next w:val="831"/>
    <w:link w:val="728"/>
    <w:uiPriority w:val="31"/>
    <w:qFormat/>
    <w:rPr>
      <w:smallCaps/>
      <w:color w:val="c0504d"/>
      <w:u w:val="single"/>
    </w:rPr>
  </w:style>
  <w:style w:type="character" w:styleId="832">
    <w:name w:val="明显参考1"/>
    <w:next w:val="832"/>
    <w:link w:val="728"/>
    <w:uiPriority w:val="32"/>
    <w:qFormat/>
    <w:rPr>
      <w:b/>
      <w:bCs/>
      <w:smallCaps/>
      <w:color w:val="c0504d"/>
      <w:spacing w:val="5"/>
      <w:u w:val="single"/>
    </w:rPr>
  </w:style>
  <w:style w:type="character" w:styleId="833">
    <w:name w:val="书籍标题1"/>
    <w:next w:val="833"/>
    <w:link w:val="728"/>
    <w:uiPriority w:val="33"/>
    <w:qFormat/>
    <w:rPr>
      <w:b/>
      <w:bCs/>
      <w:smallCaps/>
      <w:spacing w:val="5"/>
    </w:rPr>
  </w:style>
  <w:style w:type="character" w:styleId="834">
    <w:name w:val="纯文本 Char"/>
    <w:next w:val="834"/>
    <w:link w:val="728"/>
    <w:qFormat/>
    <w:rPr>
      <w:rFonts w:ascii="宋体" w:hAnsi="Courier New" w:eastAsia="宋体" w:cs="Courier New"/>
      <w:sz w:val="21"/>
      <w:szCs w:val="21"/>
    </w:rPr>
  </w:style>
  <w:style w:type="character" w:styleId="835">
    <w:name w:val="fontstyle01"/>
    <w:next w:val="835"/>
    <w:link w:val="728"/>
    <w:qFormat/>
    <w:rPr>
      <w:rFonts w:ascii="FZSSK--GBK1-0" w:hAnsi="FZSSK--GBK1-0"/>
      <w:color w:val="242021"/>
      <w:sz w:val="24"/>
      <w:szCs w:val="24"/>
    </w:rPr>
  </w:style>
  <w:style w:type="character" w:styleId="836">
    <w:name w:val="页眉 字符"/>
    <w:next w:val="836"/>
    <w:link w:val="728"/>
    <w:uiPriority w:val="99"/>
    <w:qFormat/>
    <w:rPr>
      <w:sz w:val="18"/>
      <w:szCs w:val="18"/>
    </w:rPr>
  </w:style>
  <w:style w:type="character" w:styleId="837">
    <w:name w:val="正文缩进 字符"/>
    <w:next w:val="837"/>
    <w:link w:val="728"/>
    <w:qFormat/>
    <w:rPr>
      <w:sz w:val="21"/>
      <w:szCs w:val="21"/>
    </w:rPr>
  </w:style>
  <w:style w:type="character" w:styleId="838">
    <w:name w:val="二级目录 Char"/>
    <w:next w:val="838"/>
    <w:link w:val="839"/>
    <w:qFormat/>
    <w:rPr>
      <w:b/>
      <w:sz w:val="30"/>
      <w:szCs w:val="28"/>
      <w:lang w:val="en-US" w:eastAsia="zh-CN" w:bidi="ar-SA"/>
    </w:rPr>
  </w:style>
  <w:style w:type="paragraph" w:styleId="839">
    <w:name w:val="二级目录"/>
    <w:next w:val="728"/>
    <w:link w:val="838"/>
    <w:qFormat/>
    <w:pPr>
      <w:ind w:left="907" w:hanging="907"/>
      <w:tabs>
        <w:tab w:val="left" w:pos="907" w:leader="none"/>
        <w:tab w:val="left" w:pos="1145" w:leader="none"/>
      </w:tabs>
      <w:outlineLvl w:val="1"/>
    </w:pPr>
    <w:rPr>
      <w:b/>
      <w:sz w:val="30"/>
      <w:szCs w:val="28"/>
      <w:lang w:val="en-US" w:eastAsia="zh-CN" w:bidi="ar-SA"/>
    </w:rPr>
  </w:style>
  <w:style w:type="character" w:styleId="840">
    <w:name w:val="Table Sub Section Char"/>
    <w:next w:val="840"/>
    <w:link w:val="841"/>
    <w:qFormat/>
    <w:rPr>
      <w:rFonts w:ascii="Arial" w:hAnsi="Arial" w:eastAsia="宋体" w:cs="Times New Roman"/>
      <w:b/>
      <w:color w:val="0f0f0f"/>
      <w:sz w:val="20"/>
      <w:szCs w:val="20"/>
      <w:lang w:eastAsia="en-US"/>
    </w:rPr>
  </w:style>
  <w:style w:type="paragraph" w:styleId="841">
    <w:name w:val="Table Sub Section"/>
    <w:basedOn w:val="728"/>
    <w:next w:val="841"/>
    <w:link w:val="840"/>
    <w:qFormat/>
    <w:pPr>
      <w:keepNext/>
      <w:spacing w:before="160" w:after="160"/>
    </w:pPr>
    <w:rPr>
      <w:rFonts w:ascii="Arial" w:hAnsi="Arial"/>
      <w:b/>
      <w:color w:val="0f0f0f"/>
      <w:sz w:val="20"/>
      <w:szCs w:val="20"/>
      <w:lang w:eastAsia="en-US"/>
    </w:rPr>
  </w:style>
  <w:style w:type="paragraph" w:styleId="842">
    <w:name w:val="4"/>
    <w:basedOn w:val="728"/>
    <w:next w:val="794"/>
    <w:link w:val="728"/>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843">
    <w:name w:val="列出段落21"/>
    <w:basedOn w:val="728"/>
    <w:next w:val="843"/>
    <w:link w:val="728"/>
    <w:qFormat/>
    <w:pPr>
      <w:ind w:firstLine="420"/>
      <w:jc w:val="both"/>
      <w:spacing w:after="0" w:line="240" w:lineRule="auto"/>
      <w:widowControl w:val="off"/>
    </w:pPr>
    <w:rPr>
      <w:rFonts w:ascii="Calibri" w:hAnsi="Calibri" w:eastAsia="宋体" w:cs="Times New Roman"/>
      <w:sz w:val="21"/>
    </w:rPr>
  </w:style>
  <w:style w:type="paragraph" w:styleId="844">
    <w:name w:val="table_lines"/>
    <w:basedOn w:val="728"/>
    <w:next w:val="844"/>
    <w:link w:val="728"/>
    <w:qFormat/>
    <w:pPr>
      <w:spacing w:after="0" w:line="240" w:lineRule="auto"/>
    </w:pPr>
    <w:rPr>
      <w:rFonts w:ascii="Times New Roman" w:hAnsi="Times New Roman" w:eastAsia="宋体" w:cs="Times New Roman"/>
      <w:sz w:val="20"/>
      <w:szCs w:val="20"/>
      <w:lang w:val="de-DE" w:eastAsia="de-DE"/>
    </w:rPr>
  </w:style>
  <w:style w:type="paragraph" w:styleId="845">
    <w:name w:val="font7"/>
    <w:basedOn w:val="728"/>
    <w:next w:val="845"/>
    <w:link w:val="728"/>
    <w:qFormat/>
    <w:pPr>
      <w:spacing w:before="100" w:beforeAutospacing="1" w:after="100" w:afterAutospacing="1" w:line="240" w:lineRule="auto"/>
    </w:pPr>
    <w:rPr>
      <w:rFonts w:hint="eastAsia" w:ascii="宋体" w:hAnsi="宋体" w:eastAsia="宋体" w:cs="Times New Roman"/>
      <w:sz w:val="18"/>
      <w:szCs w:val="18"/>
    </w:rPr>
  </w:style>
  <w:style w:type="paragraph" w:styleId="846">
    <w:name w:val="xl24"/>
    <w:basedOn w:val="728"/>
    <w:next w:val="846"/>
    <w:link w:val="728"/>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7">
    <w:name w:val="列出段落2"/>
    <w:basedOn w:val="728"/>
    <w:next w:val="847"/>
    <w:link w:val="728"/>
    <w:uiPriority w:val="34"/>
    <w:qFormat/>
    <w:pPr>
      <w:contextualSpacing/>
      <w:ind w:left="720"/>
    </w:pPr>
  </w:style>
  <w:style w:type="paragraph" w:styleId="848">
    <w:name w:val="xl30"/>
    <w:basedOn w:val="728"/>
    <w:next w:val="848"/>
    <w:link w:val="728"/>
    <w:qFormat/>
    <w:pPr>
      <w:jc w:val="center"/>
      <w:spacing w:before="100" w:beforeAutospacing="1" w:after="100" w:afterAutospacing="1" w:line="240" w:lineRule="auto"/>
    </w:pPr>
    <w:rPr>
      <w:rFonts w:ascii="宋体" w:hAnsi="宋体" w:eastAsia="宋体" w:cs="Times New Roman"/>
      <w:b/>
      <w:bCs/>
      <w:sz w:val="36"/>
      <w:szCs w:val="36"/>
    </w:rPr>
  </w:style>
  <w:style w:type="paragraph" w:styleId="849">
    <w:name w:val="xl27"/>
    <w:basedOn w:val="728"/>
    <w:next w:val="849"/>
    <w:link w:val="728"/>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0">
    <w:name w:val="Char"/>
    <w:basedOn w:val="759"/>
    <w:next w:val="850"/>
    <w:link w:val="728"/>
    <w:qFormat/>
    <w:rPr>
      <w:rFonts w:ascii="Tahoma" w:hAnsi="Tahoma"/>
      <w:sz w:val="24"/>
      <w:szCs w:val="24"/>
    </w:rPr>
  </w:style>
  <w:style w:type="paragraph" w:styleId="851">
    <w:name w:val="font6"/>
    <w:basedOn w:val="728"/>
    <w:next w:val="851"/>
    <w:link w:val="728"/>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852">
    <w:name w:val="table_1stline"/>
    <w:basedOn w:val="728"/>
    <w:next w:val="852"/>
    <w:link w:val="728"/>
    <w:qFormat/>
    <w:pPr>
      <w:spacing w:before="120" w:after="0" w:line="240" w:lineRule="auto"/>
    </w:pPr>
    <w:rPr>
      <w:rFonts w:ascii="Times New Roman" w:hAnsi="Times New Roman" w:eastAsia="宋体" w:cs="Times New Roman"/>
      <w:bCs/>
      <w:sz w:val="20"/>
      <w:szCs w:val="20"/>
      <w:lang w:val="de-DE" w:eastAsia="de-DE"/>
    </w:rPr>
  </w:style>
  <w:style w:type="paragraph" w:styleId="853">
    <w:name w:val="font5"/>
    <w:basedOn w:val="728"/>
    <w:next w:val="853"/>
    <w:link w:val="728"/>
    <w:qFormat/>
    <w:pPr>
      <w:spacing w:before="100" w:beforeAutospacing="1" w:after="100" w:afterAutospacing="1" w:line="240" w:lineRule="auto"/>
    </w:pPr>
    <w:rPr>
      <w:rFonts w:hint="eastAsia" w:ascii="宋体" w:hAnsi="宋体" w:eastAsia="宋体" w:cs="Times New Roman"/>
      <w:sz w:val="28"/>
      <w:szCs w:val="28"/>
    </w:rPr>
  </w:style>
  <w:style w:type="paragraph" w:styleId="854">
    <w:name w:val="Char Char Char Char Char Char Char Char"/>
    <w:basedOn w:val="728"/>
    <w:next w:val="854"/>
    <w:link w:val="728"/>
    <w:qFormat/>
    <w:pPr>
      <w:spacing w:after="160" w:line="240" w:lineRule="exact"/>
    </w:pPr>
    <w:rPr>
      <w:rFonts w:ascii="Verdana" w:hAnsi="Verdana" w:eastAsia="宋体" w:cs="Times New Roman"/>
      <w:sz w:val="20"/>
      <w:szCs w:val="20"/>
      <w:lang w:eastAsia="en-US"/>
    </w:rPr>
  </w:style>
  <w:style w:type="paragraph" w:styleId="855">
    <w:name w:val="TOC 标题1"/>
    <w:basedOn w:val="729"/>
    <w:next w:val="728"/>
    <w:link w:val="728"/>
    <w:unhideWhenUsed/>
    <w:qFormat/>
    <w:pPr>
      <w:outlineLvl w:val="9"/>
    </w:pPr>
  </w:style>
  <w:style w:type="paragraph" w:styleId="856">
    <w:name w:val="xl29"/>
    <w:basedOn w:val="728"/>
    <w:next w:val="856"/>
    <w:link w:val="728"/>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857">
    <w:name w:val="Char Char Char Char"/>
    <w:basedOn w:val="759"/>
    <w:next w:val="857"/>
    <w:link w:val="728"/>
    <w:qFormat/>
    <w:pPr>
      <w:spacing w:line="360" w:lineRule="auto"/>
    </w:pPr>
    <w:rPr>
      <w:rFonts w:ascii="Tahoma" w:hAnsi="Tahoma"/>
      <w:sz w:val="24"/>
      <w:szCs w:val="24"/>
    </w:rPr>
  </w:style>
  <w:style w:type="paragraph" w:styleId="858">
    <w:name w:val="列表段落"/>
    <w:basedOn w:val="728"/>
    <w:next w:val="858"/>
    <w:link w:val="728"/>
    <w:uiPriority w:val="34"/>
    <w:qFormat/>
    <w:pPr>
      <w:ind w:firstLine="420"/>
    </w:pPr>
  </w:style>
  <w:style w:type="paragraph" w:styleId="859">
    <w:name w:val="修订1"/>
    <w:next w:val="859"/>
    <w:link w:val="728"/>
    <w:uiPriority w:val="99"/>
    <w:semiHidden/>
    <w:qFormat/>
    <w:rPr>
      <w:sz w:val="22"/>
      <w:szCs w:val="22"/>
      <w:lang w:val="en-US" w:eastAsia="zh-CN" w:bidi="ar-SA"/>
    </w:rPr>
  </w:style>
  <w:style w:type="paragraph" w:styleId="860">
    <w:name w:val="普通 (Web)"/>
    <w:basedOn w:val="728"/>
    <w:next w:val="860"/>
    <w:link w:val="728"/>
    <w:qFormat/>
    <w:pPr>
      <w:spacing w:before="100" w:beforeAutospacing="1" w:after="100" w:afterAutospacing="1" w:line="240" w:lineRule="auto"/>
    </w:pPr>
    <w:rPr>
      <w:rFonts w:ascii="宋体" w:hAnsi="宋体" w:eastAsia="宋体" w:cs="Times New Roman"/>
      <w:sz w:val="24"/>
      <w:szCs w:val="24"/>
    </w:rPr>
  </w:style>
  <w:style w:type="paragraph" w:styleId="861">
    <w:name w:val="标题3"/>
    <w:basedOn w:val="728"/>
    <w:next w:val="728"/>
    <w:link w:val="728"/>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862">
    <w:name w:val="标题1"/>
    <w:basedOn w:val="728"/>
    <w:next w:val="728"/>
    <w:link w:val="728"/>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863">
    <w:name w:val="样式2"/>
    <w:basedOn w:val="728"/>
    <w:next w:val="863"/>
    <w:link w:val="728"/>
    <w:qFormat/>
    <w:pPr>
      <w:jc w:val="center"/>
      <w:spacing w:after="0" w:line="240" w:lineRule="auto"/>
      <w:widowControl w:val="off"/>
    </w:pPr>
    <w:rPr>
      <w:rFonts w:ascii="Calibri" w:hAnsi="Calibri" w:eastAsia="宋体" w:cs="Times New Roman"/>
      <w:b/>
      <w:sz w:val="44"/>
      <w:szCs w:val="44"/>
    </w:rPr>
  </w:style>
  <w:style w:type="paragraph" w:styleId="864">
    <w:name w:val="附录1"/>
    <w:next w:val="864"/>
    <w:link w:val="728"/>
    <w:qFormat/>
    <w:pPr>
      <w:ind w:left="907" w:hanging="907"/>
      <w:spacing w:before="240" w:line="600" w:lineRule="atLeast"/>
      <w:tabs>
        <w:tab w:val="left" w:pos="907" w:leader="none"/>
      </w:tabs>
    </w:pPr>
    <w:rPr>
      <w:b/>
      <w:i/>
      <w:sz w:val="28"/>
      <w:lang w:val="en-US" w:eastAsia="zh-CN" w:bidi="ar-SA"/>
    </w:rPr>
  </w:style>
  <w:style w:type="paragraph" w:styleId="865">
    <w:name w:val="样式1"/>
    <w:basedOn w:val="728"/>
    <w:next w:val="865"/>
    <w:link w:val="728"/>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866">
    <w:name w:val="普通正文"/>
    <w:basedOn w:val="728"/>
    <w:next w:val="866"/>
    <w:link w:val="867"/>
    <w:qFormat/>
    <w:pPr>
      <w:ind w:firstLine="480"/>
      <w:spacing w:before="120" w:after="120" w:line="360" w:lineRule="auto"/>
      <w:widowControl w:val="off"/>
    </w:pPr>
    <w:rPr>
      <w:rFonts w:ascii="Arial" w:hAnsi="Arial"/>
      <w:sz w:val="24"/>
      <w:szCs w:val="24"/>
    </w:rPr>
  </w:style>
  <w:style w:type="character" w:styleId="867">
    <w:name w:val="普通正文 Char"/>
    <w:next w:val="867"/>
    <w:link w:val="866"/>
    <w:qFormat/>
    <w:rPr>
      <w:rFonts w:ascii="Arial" w:hAnsi="Arial"/>
      <w:sz w:val="24"/>
      <w:szCs w:val="24"/>
    </w:rPr>
  </w:style>
  <w:style w:type="paragraph" w:styleId="868">
    <w:name w:val="Body Text(ch)"/>
    <w:basedOn w:val="728"/>
    <w:next w:val="765"/>
    <w:link w:val="728"/>
    <w:qFormat/>
    <w:pPr>
      <w:jc w:val="both"/>
      <w:spacing w:after="120" w:line="240" w:lineRule="auto"/>
      <w:widowControl w:val="off"/>
    </w:pPr>
    <w:rPr>
      <w:rFonts w:ascii="宋体" w:hAnsi="Arial" w:eastAsia="宋体" w:cs="Times New Roman"/>
      <w:bCs/>
      <w:iCs/>
      <w:sz w:val="21"/>
      <w:szCs w:val="24"/>
    </w:rPr>
  </w:style>
  <w:style w:type="paragraph" w:styleId="869">
    <w:name w:val="彩色列表 - 强调文字颜色 11"/>
    <w:basedOn w:val="728"/>
    <w:next w:val="869"/>
    <w:link w:val="728"/>
    <w:qFormat/>
    <w:pPr>
      <w:contextualSpacing/>
      <w:ind w:left="720"/>
      <w:spacing w:before="100" w:after="100"/>
    </w:pPr>
    <w:rPr>
      <w:rFonts w:ascii="Arial" w:hAnsi="Arial" w:eastAsia="宋体" w:cs="Arial"/>
      <w:color w:val="0f0f0f"/>
      <w:sz w:val="20"/>
      <w:szCs w:val="20"/>
      <w:lang w:eastAsia="en-US"/>
    </w:rPr>
  </w:style>
  <w:style w:type="paragraph" w:styleId="870">
    <w:name w:val="图标"/>
    <w:basedOn w:val="728"/>
    <w:next w:val="728"/>
    <w:link w:val="728"/>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871">
    <w:name w:val="xl25"/>
    <w:basedOn w:val="728"/>
    <w:next w:val="871"/>
    <w:link w:val="728"/>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872">
    <w:name w:val="xl26"/>
    <w:basedOn w:val="728"/>
    <w:next w:val="872"/>
    <w:link w:val="728"/>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3">
    <w:name w:val="xl28"/>
    <w:basedOn w:val="728"/>
    <w:next w:val="873"/>
    <w:link w:val="728"/>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4">
    <w:name w:val="Char Char Char Char Char Char Char Char Char Char"/>
    <w:basedOn w:val="728"/>
    <w:next w:val="874"/>
    <w:link w:val="728"/>
    <w:qFormat/>
    <w:pPr>
      <w:jc w:val="both"/>
      <w:spacing w:after="0" w:line="360" w:lineRule="auto"/>
      <w:widowControl w:val="off"/>
    </w:pPr>
    <w:rPr>
      <w:rFonts w:ascii="Times New Roman" w:hAnsi="Times New Roman" w:eastAsia="宋体" w:cs="Times New Roman"/>
      <w:sz w:val="24"/>
      <w:szCs w:val="20"/>
    </w:rPr>
  </w:style>
  <w:style w:type="paragraph" w:styleId="875">
    <w:name w:val="纯文本1"/>
    <w:basedOn w:val="728"/>
    <w:next w:val="875"/>
    <w:link w:val="728"/>
    <w:qFormat/>
    <w:pPr>
      <w:jc w:val="both"/>
      <w:spacing w:after="0" w:line="240" w:lineRule="auto"/>
      <w:widowControl w:val="off"/>
    </w:pPr>
    <w:rPr>
      <w:rFonts w:ascii="宋体" w:hAnsi="Courier New" w:eastAsia="楷体_GB2312" w:cs="Times New Roman"/>
      <w:sz w:val="28"/>
      <w:szCs w:val="20"/>
    </w:rPr>
  </w:style>
  <w:style w:type="table" w:styleId="876">
    <w:name w:val="网格型11"/>
    <w:basedOn w:val="739"/>
    <w:next w:val="876"/>
    <w:link w:val="728"/>
    <w:uiPriority w:val="59"/>
    <w:qFormat/>
    <w:rPr>
      <w:rFonts w:ascii="等线" w:hAnsi="等线" w:eastAsia="等线"/>
      <w:sz w:val="21"/>
    </w:rPr>
    <w:tblPr/>
  </w:style>
  <w:style w:type="table" w:styleId="877">
    <w:name w:val="网格型51"/>
    <w:basedOn w:val="739"/>
    <w:next w:val="877"/>
    <w:link w:val="728"/>
    <w:uiPriority w:val="59"/>
    <w:qFormat/>
    <w:rPr>
      <w:rFonts w:ascii="Times New Roman" w:hAnsi="Times New Roman"/>
    </w:rPr>
    <w:tblPr/>
  </w:style>
  <w:style w:type="table" w:styleId="878">
    <w:name w:val="网格型2"/>
    <w:basedOn w:val="739"/>
    <w:next w:val="878"/>
    <w:link w:val="728"/>
    <w:uiPriority w:val="39"/>
    <w:qFormat/>
    <w:rPr>
      <w:rFonts w:ascii="等线" w:hAnsi="等线" w:eastAsia="等线"/>
      <w:sz w:val="21"/>
    </w:rPr>
    <w:tblPr/>
  </w:style>
  <w:style w:type="table" w:styleId="879">
    <w:name w:val="网格型7"/>
    <w:basedOn w:val="739"/>
    <w:next w:val="879"/>
    <w:link w:val="728"/>
    <w:uiPriority w:val="59"/>
    <w:qFormat/>
    <w:rPr>
      <w:rFonts w:ascii="Times New Roman" w:hAnsi="Times New Roman"/>
    </w:rPr>
    <w:tblPr/>
  </w:style>
  <w:style w:type="table" w:styleId="880">
    <w:name w:val="网格型1"/>
    <w:basedOn w:val="739"/>
    <w:next w:val="880"/>
    <w:link w:val="728"/>
    <w:uiPriority w:val="59"/>
    <w:qFormat/>
    <w:rPr>
      <w:sz w:val="21"/>
    </w:rPr>
    <w:tblPr/>
  </w:style>
  <w:style w:type="table" w:styleId="881">
    <w:name w:val="网格型21"/>
    <w:basedOn w:val="739"/>
    <w:next w:val="881"/>
    <w:link w:val="728"/>
    <w:uiPriority w:val="59"/>
    <w:qFormat/>
    <w:rPr>
      <w:sz w:val="21"/>
    </w:rPr>
    <w:tblPr/>
  </w:style>
  <w:style w:type="table" w:styleId="882">
    <w:name w:val="网格型10"/>
    <w:basedOn w:val="739"/>
    <w:next w:val="882"/>
    <w:link w:val="728"/>
    <w:uiPriority w:val="39"/>
    <w:qFormat/>
    <w:rPr>
      <w:rFonts w:ascii="Times New Roman" w:hAnsi="Times New Roman"/>
    </w:rPr>
    <w:tblPr/>
  </w:style>
  <w:style w:type="table" w:styleId="883">
    <w:name w:val="网格型3"/>
    <w:basedOn w:val="739"/>
    <w:next w:val="883"/>
    <w:link w:val="728"/>
    <w:qFormat/>
    <w:pPr>
      <w:jc w:val="both"/>
      <w:widowControl w:val="off"/>
    </w:pPr>
    <w:rPr>
      <w:rFonts w:ascii="Times New Roman" w:hAnsi="Times New Roman"/>
    </w:rPr>
    <w:tblPr/>
  </w:style>
  <w:style w:type="table" w:styleId="884">
    <w:name w:val="网格型12"/>
    <w:basedOn w:val="739"/>
    <w:next w:val="884"/>
    <w:link w:val="728"/>
    <w:uiPriority w:val="39"/>
    <w:qFormat/>
    <w:rPr>
      <w:rFonts w:ascii="Times New Roman" w:hAnsi="Times New Roman"/>
    </w:rPr>
    <w:tblPr/>
  </w:style>
  <w:style w:type="table" w:styleId="885">
    <w:name w:val="网格型4"/>
    <w:basedOn w:val="739"/>
    <w:next w:val="885"/>
    <w:link w:val="728"/>
    <w:uiPriority w:val="59"/>
    <w:qFormat/>
    <w:tblPr/>
  </w:style>
  <w:style w:type="table" w:styleId="886">
    <w:name w:val="网格型5"/>
    <w:basedOn w:val="739"/>
    <w:next w:val="886"/>
    <w:link w:val="728"/>
    <w:uiPriority w:val="59"/>
    <w:qFormat/>
    <w:rPr>
      <w:rFonts w:ascii="Times New Roman" w:hAnsi="Times New Roman"/>
    </w:rPr>
    <w:tblPr/>
  </w:style>
  <w:style w:type="table" w:styleId="887">
    <w:name w:val="网格型6"/>
    <w:basedOn w:val="739"/>
    <w:next w:val="887"/>
    <w:link w:val="728"/>
    <w:uiPriority w:val="59"/>
    <w:qFormat/>
    <w:rPr>
      <w:rFonts w:ascii="Times New Roman" w:hAnsi="Times New Roman"/>
    </w:rPr>
    <w:tblPr/>
  </w:style>
  <w:style w:type="table" w:styleId="888">
    <w:name w:val="网格型8"/>
    <w:basedOn w:val="739"/>
    <w:next w:val="888"/>
    <w:link w:val="728"/>
    <w:uiPriority w:val="59"/>
    <w:qFormat/>
    <w:pPr>
      <w:jc w:val="both"/>
      <w:widowControl w:val="off"/>
    </w:pPr>
    <w:tblPr/>
  </w:style>
  <w:style w:type="table" w:styleId="889">
    <w:name w:val="网格型9"/>
    <w:basedOn w:val="739"/>
    <w:next w:val="889"/>
    <w:link w:val="728"/>
    <w:uiPriority w:val="39"/>
    <w:qFormat/>
    <w:pPr>
      <w:jc w:val="both"/>
      <w:widowControl w:val="off"/>
    </w:pPr>
    <w:tblPr/>
  </w:style>
  <w:style w:type="table" w:styleId="890">
    <w:name w:val="网格型13"/>
    <w:basedOn w:val="739"/>
    <w:next w:val="890"/>
    <w:link w:val="728"/>
    <w:uiPriority w:val="39"/>
    <w:qFormat/>
    <w:rPr>
      <w:rFonts w:ascii="Times New Roman" w:hAnsi="Times New Roman"/>
    </w:rPr>
    <w:tblPr/>
  </w:style>
  <w:style w:type="table" w:styleId="891">
    <w:name w:val="网格型14"/>
    <w:basedOn w:val="739"/>
    <w:next w:val="891"/>
    <w:link w:val="728"/>
    <w:uiPriority w:val="39"/>
    <w:qFormat/>
    <w:rPr>
      <w:rFonts w:ascii="Times New Roman" w:hAnsi="Times New Roman"/>
    </w:rPr>
    <w:tblPr/>
  </w:style>
  <w:style w:type="table" w:styleId="892">
    <w:name w:val="网格型15"/>
    <w:basedOn w:val="739"/>
    <w:next w:val="892"/>
    <w:link w:val="728"/>
    <w:uiPriority w:val="39"/>
    <w:qFormat/>
    <w:rPr>
      <w:rFonts w:ascii="Times New Roman" w:hAnsi="Times New Roman"/>
    </w:rPr>
    <w:tblPr/>
  </w:style>
  <w:style w:type="table" w:styleId="893">
    <w:name w:val="网格型16"/>
    <w:basedOn w:val="739"/>
    <w:next w:val="893"/>
    <w:link w:val="728"/>
    <w:uiPriority w:val="39"/>
    <w:qFormat/>
    <w:rPr>
      <w:rFonts w:ascii="Times New Roman" w:hAnsi="Times New Roman"/>
    </w:rPr>
    <w:tblPr/>
  </w:style>
  <w:style w:type="table" w:styleId="894">
    <w:name w:val="网格型17"/>
    <w:basedOn w:val="739"/>
    <w:next w:val="894"/>
    <w:link w:val="728"/>
    <w:uiPriority w:val="39"/>
    <w:qFormat/>
    <w:rPr>
      <w:rFonts w:ascii="Times New Roman" w:hAnsi="Times New Roman"/>
    </w:rPr>
    <w:tblPr/>
  </w:style>
  <w:style w:type="paragraph" w:styleId="895">
    <w:name w:val="修订"/>
    <w:next w:val="895"/>
    <w:link w:val="728"/>
    <w:uiPriority w:val="99"/>
    <w:unhideWhenUsed/>
    <w:rPr>
      <w:sz w:val="22"/>
      <w:szCs w:val="22"/>
      <w:lang w:val="en-US" w:eastAsia="zh-CN" w:bidi="ar-SA"/>
    </w:rPr>
  </w:style>
  <w:style w:type="table" w:styleId="896">
    <w:name w:val="网格型18"/>
    <w:basedOn w:val="739"/>
    <w:next w:val="896"/>
    <w:link w:val="728"/>
    <w:uiPriority w:val="59"/>
    <w:qFormat/>
    <w:rPr>
      <w:rFonts w:ascii="Times New Roman" w:hAnsi="Times New Roman"/>
      <w:sz w:val="21"/>
    </w:rPr>
    <w:tblPr/>
  </w:style>
  <w:style w:type="character" w:styleId="897">
    <w:name w:val="未处理的提及"/>
    <w:next w:val="897"/>
    <w:link w:val="728"/>
    <w:uiPriority w:val="99"/>
    <w:unhideWhenUsed/>
    <w:rPr>
      <w:color w:val="605e5c"/>
      <w:shd w:val="clear" w:color="auto" w:fill="e1dfdd"/>
    </w:rPr>
  </w:style>
  <w:style w:type="table" w:styleId="898">
    <w:name w:val="网格型19"/>
    <w:basedOn w:val="739"/>
    <w:next w:val="898"/>
    <w:link w:val="728"/>
    <w:uiPriority w:val="59"/>
    <w:qFormat/>
    <w:rPr>
      <w:rFonts w:ascii="Times New Roman" w:hAnsi="Times New Roman"/>
    </w:rPr>
    <w:tblPr/>
  </w:style>
  <w:style w:type="table" w:styleId="899">
    <w:name w:val="网格型91"/>
    <w:basedOn w:val="739"/>
    <w:next w:val="899"/>
    <w:link w:val="728"/>
    <w:uiPriority w:val="59"/>
    <w:qFormat/>
    <w:rPr>
      <w:rFonts w:ascii="Times New Roman" w:hAnsi="Times New Roman"/>
      <w:sz w:val="21"/>
    </w:rPr>
    <w:tblPr/>
  </w:style>
  <w:style w:type="paragraph" w:styleId="900">
    <w:name w:val="List Paragraph1"/>
    <w:basedOn w:val="728"/>
    <w:next w:val="900"/>
    <w:link w:val="728"/>
    <w:qFormat/>
    <w:pPr>
      <w:ind w:firstLine="420"/>
      <w:jc w:val="both"/>
      <w:spacing w:after="0" w:line="240" w:lineRule="auto"/>
      <w:widowControl w:val="off"/>
    </w:pPr>
    <w:rPr>
      <w:rFonts w:cs="Calibri"/>
      <w:sz w:val="21"/>
      <w:szCs w:val="21"/>
    </w:rPr>
  </w:style>
  <w:style w:type="paragraph" w:styleId="901">
    <w:name w:val="正文缩进1"/>
    <w:basedOn w:val="728"/>
    <w:next w:val="901"/>
    <w:link w:val="902"/>
    <w:qFormat/>
    <w:pPr>
      <w:ind w:firstLine="420"/>
      <w:jc w:val="both"/>
      <w:spacing w:after="0" w:line="240" w:lineRule="auto"/>
      <w:widowControl w:val="off"/>
    </w:pPr>
    <w:rPr>
      <w:b/>
      <w:bCs/>
      <w:sz w:val="24"/>
      <w:szCs w:val="24"/>
    </w:rPr>
  </w:style>
  <w:style w:type="character" w:styleId="902">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902"/>
    <w:link w:val="901"/>
    <w:qFormat/>
    <w:rPr>
      <w:rFonts w:cs="Calibri"/>
      <w:b/>
      <w:bCs/>
      <w:sz w:val="24"/>
      <w:szCs w:val="24"/>
    </w:rPr>
  </w:style>
  <w:style w:type="table" w:styleId="903">
    <w:name w:val="网格型20"/>
    <w:next w:val="903"/>
    <w:link w:val="728"/>
    <w:uiPriority w:val="59"/>
    <w:rPr>
      <w:lang w:val="en-US" w:eastAsia="zh-CN" w:bidi="ar-SA"/>
    </w:rPr>
    <w:tblPr/>
  </w:style>
  <w:style w:type="character" w:styleId="904">
    <w:name w:val="Caption Char"/>
    <w:next w:val="904"/>
    <w:link w:val="728"/>
    <w:uiPriority w:val="99"/>
    <w:qFormat/>
  </w:style>
  <w:style w:type="character" w:styleId="905">
    <w:name w:val="redfilefwwh"/>
    <w:next w:val="905"/>
    <w:link w:val="728"/>
    <w:rPr>
      <w:color w:val="ba2636"/>
      <w:sz w:val="18"/>
      <w:szCs w:val="18"/>
    </w:rPr>
  </w:style>
  <w:style w:type="character" w:styleId="906">
    <w:name w:val="默认段落字体1"/>
    <w:next w:val="906"/>
    <w:link w:val="728"/>
    <w:semiHidden/>
  </w:style>
  <w:style w:type="paragraph" w:styleId="907">
    <w:name w:val="无间隔"/>
    <w:basedOn w:val="728"/>
    <w:next w:val="907"/>
    <w:link w:val="728"/>
    <w:uiPriority w:val="99"/>
    <w:qFormat/>
    <w:pPr>
      <w:spacing w:after="0" w:line="240" w:lineRule="auto"/>
    </w:pPr>
    <w:rPr>
      <w:rFonts w:ascii="Times New Roman" w:hAnsi="Times New Roman"/>
      <w:sz w:val="20"/>
      <w:szCs w:val="20"/>
    </w:rPr>
  </w:style>
  <w:style w:type="paragraph" w:styleId="908">
    <w:name w:val="引用"/>
    <w:basedOn w:val="728"/>
    <w:next w:val="728"/>
    <w:link w:val="909"/>
    <w:uiPriority w:val="29"/>
    <w:qFormat/>
    <w:pPr>
      <w:ind w:left="720" w:right="720"/>
      <w:spacing w:after="0" w:line="240" w:lineRule="auto"/>
    </w:pPr>
    <w:rPr>
      <w:rFonts w:ascii="Times New Roman" w:hAnsi="Times New Roman"/>
      <w:i/>
      <w:sz w:val="20"/>
      <w:szCs w:val="20"/>
    </w:rPr>
  </w:style>
  <w:style w:type="character" w:styleId="909">
    <w:name w:val="引用 字符"/>
    <w:next w:val="909"/>
    <w:link w:val="908"/>
    <w:uiPriority w:val="29"/>
    <w:rPr>
      <w:rFonts w:ascii="Times New Roman" w:hAnsi="Times New Roman"/>
      <w:i/>
    </w:rPr>
  </w:style>
  <w:style w:type="paragraph" w:styleId="910">
    <w:name w:val="明显引用"/>
    <w:basedOn w:val="728"/>
    <w:next w:val="728"/>
    <w:link w:val="911"/>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rFonts w:ascii="Times New Roman" w:hAnsi="Times New Roman"/>
      <w:i/>
      <w:sz w:val="20"/>
      <w:szCs w:val="20"/>
    </w:rPr>
  </w:style>
  <w:style w:type="character" w:styleId="911">
    <w:name w:val="明显引用 字符"/>
    <w:next w:val="911"/>
    <w:link w:val="910"/>
    <w:uiPriority w:val="30"/>
    <w:qFormat/>
    <w:rPr>
      <w:rFonts w:ascii="Times New Roman" w:hAnsi="Times New Roman"/>
      <w:i/>
      <w:shd w:val="clear" w:color="auto" w:fill="f2f2f2"/>
    </w:rPr>
  </w:style>
  <w:style w:type="table" w:styleId="912">
    <w:name w:val="Table Grid Light"/>
    <w:next w:val="912"/>
    <w:link w:val="728"/>
    <w:uiPriority w:val="59"/>
    <w:rPr>
      <w:lang w:val="en-US" w:eastAsia="zh-CN" w:bidi="ar-SA"/>
    </w:rPr>
    <w:tblPr/>
  </w:style>
  <w:style w:type="table" w:styleId="913">
    <w:name w:val="Plain Table 1"/>
    <w:next w:val="913"/>
    <w:link w:val="728"/>
    <w:uiPriority w:val="59"/>
    <w:qFormat/>
    <w:rPr>
      <w:lang w:val="en-US" w:eastAsia="zh-CN" w:bidi="ar-SA"/>
    </w:rPr>
    <w:tblPr/>
  </w:style>
  <w:style w:type="table" w:styleId="914">
    <w:name w:val="Plain Table 2"/>
    <w:next w:val="914"/>
    <w:link w:val="728"/>
    <w:uiPriority w:val="59"/>
    <w:rPr>
      <w:lang w:val="en-US" w:eastAsia="zh-CN" w:bidi="ar-SA"/>
    </w:rPr>
    <w:tblPr/>
  </w:style>
  <w:style w:type="table" w:styleId="915">
    <w:name w:val="Plain Table 3"/>
    <w:next w:val="915"/>
    <w:link w:val="728"/>
    <w:uiPriority w:val="99"/>
    <w:rPr>
      <w:lang w:val="en-US" w:eastAsia="zh-CN" w:bidi="ar-SA"/>
    </w:rPr>
    <w:tblPr/>
  </w:style>
  <w:style w:type="table" w:styleId="916">
    <w:name w:val="Plain Table 4"/>
    <w:next w:val="916"/>
    <w:link w:val="728"/>
    <w:uiPriority w:val="99"/>
    <w:rPr>
      <w:lang w:val="en-US" w:eastAsia="zh-CN" w:bidi="ar-SA"/>
    </w:rPr>
    <w:tblPr/>
  </w:style>
  <w:style w:type="table" w:styleId="917">
    <w:name w:val="Plain Table 5"/>
    <w:next w:val="917"/>
    <w:link w:val="728"/>
    <w:uiPriority w:val="99"/>
    <w:rPr>
      <w:lang w:val="en-US" w:eastAsia="zh-CN" w:bidi="ar-SA"/>
    </w:rPr>
    <w:tblPr/>
  </w:style>
  <w:style w:type="table" w:styleId="918">
    <w:name w:val="Grid Table 1 Light"/>
    <w:next w:val="918"/>
    <w:link w:val="728"/>
    <w:uiPriority w:val="99"/>
    <w:qFormat/>
    <w:rPr>
      <w:lang w:val="en-US" w:eastAsia="zh-CN" w:bidi="ar-SA"/>
    </w:rPr>
    <w:tblPr/>
  </w:style>
  <w:style w:type="table" w:styleId="919">
    <w:name w:val="Grid Table 1 Light - Accent 1"/>
    <w:next w:val="919"/>
    <w:link w:val="728"/>
    <w:uiPriority w:val="99"/>
    <w:rPr>
      <w:lang w:val="en-US" w:eastAsia="zh-CN" w:bidi="ar-SA"/>
    </w:rPr>
    <w:tblPr/>
  </w:style>
  <w:style w:type="table" w:styleId="920">
    <w:name w:val="Grid Table 1 Light - Accent 2"/>
    <w:next w:val="920"/>
    <w:link w:val="728"/>
    <w:uiPriority w:val="99"/>
    <w:rPr>
      <w:lang w:val="en-US" w:eastAsia="zh-CN" w:bidi="ar-SA"/>
    </w:rPr>
    <w:tblPr/>
  </w:style>
  <w:style w:type="table" w:styleId="921">
    <w:name w:val="Grid Table 1 Light - Accent 3"/>
    <w:next w:val="921"/>
    <w:link w:val="728"/>
    <w:uiPriority w:val="99"/>
    <w:rPr>
      <w:lang w:val="en-US" w:eastAsia="zh-CN" w:bidi="ar-SA"/>
    </w:rPr>
    <w:tblPr/>
  </w:style>
  <w:style w:type="table" w:styleId="922">
    <w:name w:val="Grid Table 1 Light - Accent 4"/>
    <w:next w:val="922"/>
    <w:link w:val="728"/>
    <w:uiPriority w:val="99"/>
    <w:rPr>
      <w:lang w:val="en-US" w:eastAsia="zh-CN" w:bidi="ar-SA"/>
    </w:rPr>
    <w:tblPr/>
  </w:style>
  <w:style w:type="table" w:styleId="923">
    <w:name w:val="Grid Table 1 Light - Accent 5"/>
    <w:next w:val="923"/>
    <w:link w:val="728"/>
    <w:uiPriority w:val="99"/>
    <w:rPr>
      <w:lang w:val="en-US" w:eastAsia="zh-CN" w:bidi="ar-SA"/>
    </w:rPr>
    <w:tblPr/>
  </w:style>
  <w:style w:type="table" w:styleId="924">
    <w:name w:val="Grid Table 1 Light - Accent 6"/>
    <w:next w:val="924"/>
    <w:link w:val="728"/>
    <w:uiPriority w:val="99"/>
    <w:rPr>
      <w:lang w:val="en-US" w:eastAsia="zh-CN" w:bidi="ar-SA"/>
    </w:rPr>
    <w:tblPr/>
  </w:style>
  <w:style w:type="table" w:styleId="925">
    <w:name w:val="Grid Table 2"/>
    <w:next w:val="925"/>
    <w:link w:val="728"/>
    <w:uiPriority w:val="99"/>
    <w:rPr>
      <w:lang w:val="en-US" w:eastAsia="zh-CN" w:bidi="ar-SA"/>
    </w:rPr>
    <w:tblPr/>
  </w:style>
  <w:style w:type="table" w:styleId="926">
    <w:name w:val="Grid Table 2 - Accent 1"/>
    <w:next w:val="926"/>
    <w:link w:val="728"/>
    <w:uiPriority w:val="99"/>
    <w:qFormat/>
    <w:rPr>
      <w:lang w:val="en-US" w:eastAsia="zh-CN" w:bidi="ar-SA"/>
    </w:rPr>
    <w:tblPr/>
  </w:style>
  <w:style w:type="table" w:styleId="927">
    <w:name w:val="Grid Table 2 - Accent 2"/>
    <w:next w:val="927"/>
    <w:link w:val="728"/>
    <w:uiPriority w:val="99"/>
    <w:rPr>
      <w:lang w:val="en-US" w:eastAsia="zh-CN" w:bidi="ar-SA"/>
    </w:rPr>
    <w:tblPr/>
  </w:style>
  <w:style w:type="table" w:styleId="928">
    <w:name w:val="Grid Table 2 - Accent 3"/>
    <w:next w:val="928"/>
    <w:link w:val="728"/>
    <w:uiPriority w:val="99"/>
    <w:rPr>
      <w:lang w:val="en-US" w:eastAsia="zh-CN" w:bidi="ar-SA"/>
    </w:rPr>
    <w:tblPr/>
  </w:style>
  <w:style w:type="table" w:styleId="929">
    <w:name w:val="Grid Table 2 - Accent 4"/>
    <w:next w:val="929"/>
    <w:link w:val="728"/>
    <w:uiPriority w:val="99"/>
    <w:rPr>
      <w:lang w:val="en-US" w:eastAsia="zh-CN" w:bidi="ar-SA"/>
    </w:rPr>
    <w:tblPr/>
  </w:style>
  <w:style w:type="table" w:styleId="930">
    <w:name w:val="Grid Table 2 - Accent 5"/>
    <w:next w:val="930"/>
    <w:link w:val="728"/>
    <w:uiPriority w:val="99"/>
    <w:rPr>
      <w:lang w:val="en-US" w:eastAsia="zh-CN" w:bidi="ar-SA"/>
    </w:rPr>
    <w:tblPr/>
  </w:style>
  <w:style w:type="table" w:styleId="931">
    <w:name w:val="Grid Table 2 - Accent 6"/>
    <w:next w:val="931"/>
    <w:link w:val="728"/>
    <w:uiPriority w:val="99"/>
    <w:rPr>
      <w:lang w:val="en-US" w:eastAsia="zh-CN" w:bidi="ar-SA"/>
    </w:rPr>
    <w:tblPr/>
  </w:style>
  <w:style w:type="table" w:styleId="932">
    <w:name w:val="Grid Table 3"/>
    <w:next w:val="932"/>
    <w:link w:val="728"/>
    <w:uiPriority w:val="99"/>
    <w:qFormat/>
    <w:rPr>
      <w:lang w:val="en-US" w:eastAsia="zh-CN" w:bidi="ar-SA"/>
    </w:rPr>
    <w:tblPr/>
  </w:style>
  <w:style w:type="table" w:styleId="933">
    <w:name w:val="Grid Table 3 - Accent 1"/>
    <w:next w:val="933"/>
    <w:link w:val="728"/>
    <w:uiPriority w:val="99"/>
    <w:rPr>
      <w:lang w:val="en-US" w:eastAsia="zh-CN" w:bidi="ar-SA"/>
    </w:rPr>
    <w:tblPr/>
  </w:style>
  <w:style w:type="table" w:styleId="934">
    <w:name w:val="Grid Table 3 - Accent 2"/>
    <w:next w:val="934"/>
    <w:link w:val="728"/>
    <w:uiPriority w:val="99"/>
    <w:rPr>
      <w:lang w:val="en-US" w:eastAsia="zh-CN" w:bidi="ar-SA"/>
    </w:rPr>
    <w:tblPr/>
  </w:style>
  <w:style w:type="table" w:styleId="935">
    <w:name w:val="Grid Table 3 - Accent 3"/>
    <w:next w:val="935"/>
    <w:link w:val="728"/>
    <w:uiPriority w:val="99"/>
    <w:rPr>
      <w:lang w:val="en-US" w:eastAsia="zh-CN" w:bidi="ar-SA"/>
    </w:rPr>
    <w:tblPr/>
  </w:style>
  <w:style w:type="table" w:styleId="936">
    <w:name w:val="Grid Table 3 - Accent 4"/>
    <w:next w:val="936"/>
    <w:link w:val="728"/>
    <w:uiPriority w:val="99"/>
    <w:rPr>
      <w:lang w:val="en-US" w:eastAsia="zh-CN" w:bidi="ar-SA"/>
    </w:rPr>
    <w:tblPr/>
  </w:style>
  <w:style w:type="table" w:styleId="937">
    <w:name w:val="Grid Table 3 - Accent 5"/>
    <w:next w:val="937"/>
    <w:link w:val="728"/>
    <w:uiPriority w:val="99"/>
    <w:qFormat/>
    <w:rPr>
      <w:lang w:val="en-US" w:eastAsia="zh-CN" w:bidi="ar-SA"/>
    </w:rPr>
    <w:tblPr/>
  </w:style>
  <w:style w:type="table" w:styleId="938">
    <w:name w:val="Grid Table 3 - Accent 6"/>
    <w:next w:val="938"/>
    <w:link w:val="728"/>
    <w:uiPriority w:val="99"/>
    <w:rPr>
      <w:lang w:val="en-US" w:eastAsia="zh-CN" w:bidi="ar-SA"/>
    </w:rPr>
    <w:tblPr/>
  </w:style>
  <w:style w:type="table" w:styleId="939">
    <w:name w:val="Grid Table 4"/>
    <w:next w:val="939"/>
    <w:link w:val="728"/>
    <w:uiPriority w:val="59"/>
    <w:rPr>
      <w:lang w:val="en-US" w:eastAsia="zh-CN" w:bidi="ar-SA"/>
    </w:rPr>
    <w:tblPr/>
  </w:style>
  <w:style w:type="table" w:styleId="940">
    <w:name w:val="Grid Table 4 - Accent 1"/>
    <w:next w:val="940"/>
    <w:link w:val="728"/>
    <w:uiPriority w:val="59"/>
    <w:rPr>
      <w:lang w:val="en-US" w:eastAsia="zh-CN" w:bidi="ar-SA"/>
    </w:rPr>
    <w:tblPr/>
  </w:style>
  <w:style w:type="table" w:styleId="941">
    <w:name w:val="Grid Table 4 - Accent 2"/>
    <w:next w:val="941"/>
    <w:link w:val="728"/>
    <w:uiPriority w:val="59"/>
    <w:qFormat/>
    <w:rPr>
      <w:lang w:val="en-US" w:eastAsia="zh-CN" w:bidi="ar-SA"/>
    </w:rPr>
    <w:tblPr/>
  </w:style>
  <w:style w:type="table" w:styleId="942">
    <w:name w:val="Grid Table 4 - Accent 3"/>
    <w:next w:val="942"/>
    <w:link w:val="728"/>
    <w:uiPriority w:val="59"/>
    <w:rPr>
      <w:lang w:val="en-US" w:eastAsia="zh-CN" w:bidi="ar-SA"/>
    </w:rPr>
    <w:tblPr/>
  </w:style>
  <w:style w:type="table" w:styleId="943">
    <w:name w:val="Grid Table 4 - Accent 4"/>
    <w:next w:val="943"/>
    <w:link w:val="728"/>
    <w:uiPriority w:val="59"/>
    <w:rPr>
      <w:lang w:val="en-US" w:eastAsia="zh-CN" w:bidi="ar-SA"/>
    </w:rPr>
    <w:tblPr/>
  </w:style>
  <w:style w:type="table" w:styleId="944">
    <w:name w:val="Grid Table 4 - Accent 5"/>
    <w:next w:val="944"/>
    <w:link w:val="728"/>
    <w:uiPriority w:val="59"/>
    <w:rPr>
      <w:lang w:val="en-US" w:eastAsia="zh-CN" w:bidi="ar-SA"/>
    </w:rPr>
    <w:tblPr/>
  </w:style>
  <w:style w:type="table" w:styleId="945">
    <w:name w:val="Grid Table 4 - Accent 6"/>
    <w:next w:val="945"/>
    <w:link w:val="728"/>
    <w:uiPriority w:val="59"/>
    <w:rPr>
      <w:lang w:val="en-US" w:eastAsia="zh-CN" w:bidi="ar-SA"/>
    </w:rPr>
    <w:tblPr/>
  </w:style>
  <w:style w:type="table" w:styleId="946">
    <w:name w:val="Grid Table 5 Dark"/>
    <w:next w:val="946"/>
    <w:link w:val="728"/>
    <w:uiPriority w:val="99"/>
    <w:qFormat/>
    <w:rPr>
      <w:lang w:val="en-US" w:eastAsia="zh-CN" w:bidi="ar-SA"/>
    </w:rPr>
    <w:tblPr/>
  </w:style>
  <w:style w:type="table" w:styleId="947">
    <w:name w:val="Grid Table 5 Dark- Accent 1"/>
    <w:next w:val="947"/>
    <w:link w:val="728"/>
    <w:uiPriority w:val="99"/>
    <w:rPr>
      <w:lang w:val="en-US" w:eastAsia="zh-CN" w:bidi="ar-SA"/>
    </w:rPr>
    <w:tblPr/>
  </w:style>
  <w:style w:type="table" w:styleId="948">
    <w:name w:val="Grid Table 5 Dark - Accent 2"/>
    <w:next w:val="948"/>
    <w:link w:val="728"/>
    <w:uiPriority w:val="99"/>
    <w:rPr>
      <w:lang w:val="en-US" w:eastAsia="zh-CN" w:bidi="ar-SA"/>
    </w:rPr>
    <w:tblPr/>
  </w:style>
  <w:style w:type="table" w:styleId="949">
    <w:name w:val="Grid Table 5 Dark - Accent 3"/>
    <w:next w:val="949"/>
    <w:link w:val="728"/>
    <w:uiPriority w:val="99"/>
    <w:rPr>
      <w:lang w:val="en-US" w:eastAsia="zh-CN" w:bidi="ar-SA"/>
    </w:rPr>
    <w:tblPr/>
  </w:style>
  <w:style w:type="table" w:styleId="950">
    <w:name w:val="Grid Table 5 Dark- Accent 4"/>
    <w:next w:val="950"/>
    <w:link w:val="728"/>
    <w:uiPriority w:val="99"/>
    <w:rPr>
      <w:lang w:val="en-US" w:eastAsia="zh-CN" w:bidi="ar-SA"/>
    </w:rPr>
    <w:tblPr/>
  </w:style>
  <w:style w:type="table" w:styleId="951">
    <w:name w:val="Grid Table 5 Dark - Accent 5"/>
    <w:next w:val="951"/>
    <w:link w:val="728"/>
    <w:uiPriority w:val="99"/>
    <w:rPr>
      <w:lang w:val="en-US" w:eastAsia="zh-CN" w:bidi="ar-SA"/>
    </w:rPr>
    <w:tblPr/>
  </w:style>
  <w:style w:type="table" w:styleId="952">
    <w:name w:val="Grid Table 5 Dark - Accent 6"/>
    <w:next w:val="952"/>
    <w:link w:val="728"/>
    <w:uiPriority w:val="99"/>
    <w:rPr>
      <w:lang w:val="en-US" w:eastAsia="zh-CN" w:bidi="ar-SA"/>
    </w:rPr>
    <w:tblPr/>
  </w:style>
  <w:style w:type="table" w:styleId="953">
    <w:name w:val="Grid Table 6 Colorful"/>
    <w:next w:val="953"/>
    <w:link w:val="728"/>
    <w:uiPriority w:val="99"/>
    <w:rPr>
      <w:lang w:val="en-US" w:eastAsia="zh-CN" w:bidi="ar-SA"/>
    </w:rPr>
    <w:tblPr/>
  </w:style>
  <w:style w:type="table" w:styleId="954">
    <w:name w:val="Grid Table 6 Colorful - Accent 1"/>
    <w:next w:val="954"/>
    <w:link w:val="728"/>
    <w:uiPriority w:val="99"/>
    <w:rPr>
      <w:lang w:val="en-US" w:eastAsia="zh-CN" w:bidi="ar-SA"/>
    </w:rPr>
    <w:tblPr/>
  </w:style>
  <w:style w:type="table" w:styleId="955">
    <w:name w:val="Grid Table 6 Colorful - Accent 2"/>
    <w:next w:val="955"/>
    <w:link w:val="728"/>
    <w:uiPriority w:val="99"/>
    <w:qFormat/>
    <w:rPr>
      <w:lang w:val="en-US" w:eastAsia="zh-CN" w:bidi="ar-SA"/>
    </w:rPr>
    <w:tblPr/>
  </w:style>
  <w:style w:type="table" w:styleId="956">
    <w:name w:val="Grid Table 6 Colorful - Accent 3"/>
    <w:next w:val="956"/>
    <w:link w:val="728"/>
    <w:uiPriority w:val="99"/>
    <w:rPr>
      <w:lang w:val="en-US" w:eastAsia="zh-CN" w:bidi="ar-SA"/>
    </w:rPr>
    <w:tblPr/>
  </w:style>
  <w:style w:type="table" w:styleId="957">
    <w:name w:val="Grid Table 6 Colorful - Accent 4"/>
    <w:next w:val="957"/>
    <w:link w:val="728"/>
    <w:uiPriority w:val="99"/>
    <w:rPr>
      <w:lang w:val="en-US" w:eastAsia="zh-CN" w:bidi="ar-SA"/>
    </w:rPr>
    <w:tblPr/>
  </w:style>
  <w:style w:type="table" w:styleId="958">
    <w:name w:val="Grid Table 6 Colorful - Accent 5"/>
    <w:next w:val="958"/>
    <w:link w:val="728"/>
    <w:uiPriority w:val="99"/>
    <w:rPr>
      <w:lang w:val="en-US" w:eastAsia="zh-CN" w:bidi="ar-SA"/>
    </w:rPr>
    <w:tblPr/>
  </w:style>
  <w:style w:type="table" w:styleId="959">
    <w:name w:val="Grid Table 6 Colorful - Accent 6"/>
    <w:next w:val="959"/>
    <w:link w:val="728"/>
    <w:uiPriority w:val="99"/>
    <w:rPr>
      <w:lang w:val="en-US" w:eastAsia="zh-CN" w:bidi="ar-SA"/>
    </w:rPr>
    <w:tblPr/>
  </w:style>
  <w:style w:type="table" w:styleId="960">
    <w:name w:val="Grid Table 7 Colorful"/>
    <w:next w:val="960"/>
    <w:link w:val="728"/>
    <w:uiPriority w:val="99"/>
    <w:rPr>
      <w:lang w:val="en-US" w:eastAsia="zh-CN" w:bidi="ar-SA"/>
    </w:rPr>
    <w:tblPr/>
  </w:style>
  <w:style w:type="table" w:styleId="961">
    <w:name w:val="Grid Table 7 Colorful - Accent 1"/>
    <w:next w:val="961"/>
    <w:link w:val="728"/>
    <w:uiPriority w:val="99"/>
    <w:rPr>
      <w:lang w:val="en-US" w:eastAsia="zh-CN" w:bidi="ar-SA"/>
    </w:rPr>
    <w:tblPr/>
  </w:style>
  <w:style w:type="table" w:styleId="962">
    <w:name w:val="Grid Table 7 Colorful - Accent 2"/>
    <w:next w:val="962"/>
    <w:link w:val="728"/>
    <w:uiPriority w:val="99"/>
    <w:rPr>
      <w:lang w:val="en-US" w:eastAsia="zh-CN" w:bidi="ar-SA"/>
    </w:rPr>
    <w:tblPr/>
  </w:style>
  <w:style w:type="table" w:styleId="963">
    <w:name w:val="Grid Table 7 Colorful - Accent 3"/>
    <w:next w:val="963"/>
    <w:link w:val="728"/>
    <w:uiPriority w:val="99"/>
    <w:rPr>
      <w:lang w:val="en-US" w:eastAsia="zh-CN" w:bidi="ar-SA"/>
    </w:rPr>
    <w:tblPr/>
  </w:style>
  <w:style w:type="table" w:styleId="964">
    <w:name w:val="Grid Table 7 Colorful - Accent 4"/>
    <w:next w:val="964"/>
    <w:link w:val="728"/>
    <w:uiPriority w:val="99"/>
    <w:rPr>
      <w:lang w:val="en-US" w:eastAsia="zh-CN" w:bidi="ar-SA"/>
    </w:rPr>
    <w:tblPr/>
  </w:style>
  <w:style w:type="table" w:styleId="965">
    <w:name w:val="Grid Table 7 Colorful - Accent 5"/>
    <w:next w:val="965"/>
    <w:link w:val="728"/>
    <w:uiPriority w:val="99"/>
    <w:rPr>
      <w:lang w:val="en-US" w:eastAsia="zh-CN" w:bidi="ar-SA"/>
    </w:rPr>
    <w:tblPr/>
  </w:style>
  <w:style w:type="table" w:styleId="966">
    <w:name w:val="Grid Table 7 Colorful - Accent 6"/>
    <w:next w:val="966"/>
    <w:link w:val="728"/>
    <w:uiPriority w:val="99"/>
    <w:rPr>
      <w:lang w:val="en-US" w:eastAsia="zh-CN" w:bidi="ar-SA"/>
    </w:rPr>
    <w:tblPr/>
  </w:style>
  <w:style w:type="table" w:styleId="967">
    <w:name w:val="List Table 1 Light"/>
    <w:next w:val="967"/>
    <w:link w:val="728"/>
    <w:uiPriority w:val="99"/>
    <w:rPr>
      <w:lang w:val="en-US" w:eastAsia="zh-CN" w:bidi="ar-SA"/>
    </w:rPr>
    <w:tblPr/>
  </w:style>
  <w:style w:type="table" w:styleId="968">
    <w:name w:val="List Table 1 Light - Accent 1"/>
    <w:next w:val="968"/>
    <w:link w:val="728"/>
    <w:uiPriority w:val="99"/>
    <w:rPr>
      <w:lang w:val="en-US" w:eastAsia="zh-CN" w:bidi="ar-SA"/>
    </w:rPr>
    <w:tblPr/>
  </w:style>
  <w:style w:type="table" w:styleId="969">
    <w:name w:val="List Table 1 Light - Accent 2"/>
    <w:next w:val="969"/>
    <w:link w:val="728"/>
    <w:uiPriority w:val="99"/>
    <w:rPr>
      <w:lang w:val="en-US" w:eastAsia="zh-CN" w:bidi="ar-SA"/>
    </w:rPr>
    <w:tblPr/>
  </w:style>
  <w:style w:type="table" w:styleId="970">
    <w:name w:val="List Table 1 Light - Accent 3"/>
    <w:next w:val="970"/>
    <w:link w:val="728"/>
    <w:uiPriority w:val="99"/>
    <w:rPr>
      <w:lang w:val="en-US" w:eastAsia="zh-CN" w:bidi="ar-SA"/>
    </w:rPr>
    <w:tblPr/>
  </w:style>
  <w:style w:type="table" w:styleId="971">
    <w:name w:val="List Table 1 Light - Accent 4"/>
    <w:next w:val="971"/>
    <w:link w:val="728"/>
    <w:uiPriority w:val="99"/>
    <w:qFormat/>
    <w:rPr>
      <w:lang w:val="en-US" w:eastAsia="zh-CN" w:bidi="ar-SA"/>
    </w:rPr>
    <w:tblPr/>
  </w:style>
  <w:style w:type="table" w:styleId="972">
    <w:name w:val="List Table 1 Light - Accent 5"/>
    <w:next w:val="972"/>
    <w:link w:val="728"/>
    <w:uiPriority w:val="99"/>
    <w:rPr>
      <w:lang w:val="en-US" w:eastAsia="zh-CN" w:bidi="ar-SA"/>
    </w:rPr>
    <w:tblPr/>
  </w:style>
  <w:style w:type="table" w:styleId="973">
    <w:name w:val="List Table 1 Light - Accent 6"/>
    <w:next w:val="973"/>
    <w:link w:val="728"/>
    <w:uiPriority w:val="99"/>
    <w:qFormat/>
    <w:rPr>
      <w:lang w:val="en-US" w:eastAsia="zh-CN" w:bidi="ar-SA"/>
    </w:rPr>
    <w:tblPr/>
  </w:style>
  <w:style w:type="table" w:styleId="974">
    <w:name w:val="List Table 2"/>
    <w:next w:val="974"/>
    <w:link w:val="728"/>
    <w:uiPriority w:val="99"/>
    <w:rPr>
      <w:lang w:val="en-US" w:eastAsia="zh-CN" w:bidi="ar-SA"/>
    </w:rPr>
    <w:tblPr/>
  </w:style>
  <w:style w:type="table" w:styleId="975">
    <w:name w:val="List Table 2 - Accent 1"/>
    <w:next w:val="975"/>
    <w:link w:val="728"/>
    <w:uiPriority w:val="99"/>
    <w:rPr>
      <w:lang w:val="en-US" w:eastAsia="zh-CN" w:bidi="ar-SA"/>
    </w:rPr>
    <w:tblPr/>
  </w:style>
  <w:style w:type="table" w:styleId="976">
    <w:name w:val="List Table 2 - Accent 2"/>
    <w:next w:val="976"/>
    <w:link w:val="728"/>
    <w:uiPriority w:val="99"/>
    <w:rPr>
      <w:lang w:val="en-US" w:eastAsia="zh-CN" w:bidi="ar-SA"/>
    </w:rPr>
    <w:tblPr/>
  </w:style>
  <w:style w:type="table" w:styleId="977">
    <w:name w:val="List Table 2 - Accent 3"/>
    <w:next w:val="977"/>
    <w:link w:val="728"/>
    <w:uiPriority w:val="99"/>
    <w:rPr>
      <w:lang w:val="en-US" w:eastAsia="zh-CN" w:bidi="ar-SA"/>
    </w:rPr>
    <w:tblPr/>
  </w:style>
  <w:style w:type="table" w:styleId="978">
    <w:name w:val="List Table 2 - Accent 4"/>
    <w:next w:val="978"/>
    <w:link w:val="728"/>
    <w:uiPriority w:val="99"/>
    <w:rPr>
      <w:lang w:val="en-US" w:eastAsia="zh-CN" w:bidi="ar-SA"/>
    </w:rPr>
    <w:tblPr/>
  </w:style>
  <w:style w:type="table" w:styleId="979">
    <w:name w:val="List Table 2 - Accent 5"/>
    <w:next w:val="979"/>
    <w:link w:val="728"/>
    <w:uiPriority w:val="99"/>
    <w:rPr>
      <w:lang w:val="en-US" w:eastAsia="zh-CN" w:bidi="ar-SA"/>
    </w:rPr>
    <w:tblPr/>
  </w:style>
  <w:style w:type="table" w:styleId="980">
    <w:name w:val="List Table 2 - Accent 6"/>
    <w:next w:val="980"/>
    <w:link w:val="728"/>
    <w:uiPriority w:val="99"/>
    <w:rPr>
      <w:lang w:val="en-US" w:eastAsia="zh-CN" w:bidi="ar-SA"/>
    </w:rPr>
    <w:tblPr/>
  </w:style>
  <w:style w:type="table" w:styleId="981">
    <w:name w:val="List Table 3"/>
    <w:next w:val="981"/>
    <w:link w:val="728"/>
    <w:uiPriority w:val="99"/>
    <w:rPr>
      <w:lang w:val="en-US" w:eastAsia="zh-CN" w:bidi="ar-SA"/>
    </w:rPr>
    <w:tblPr/>
  </w:style>
  <w:style w:type="table" w:styleId="982">
    <w:name w:val="List Table 3 - Accent 1"/>
    <w:next w:val="982"/>
    <w:link w:val="728"/>
    <w:uiPriority w:val="99"/>
    <w:rPr>
      <w:lang w:val="en-US" w:eastAsia="zh-CN" w:bidi="ar-SA"/>
    </w:rPr>
    <w:tblPr/>
  </w:style>
  <w:style w:type="table" w:styleId="983">
    <w:name w:val="List Table 3 - Accent 2"/>
    <w:next w:val="983"/>
    <w:link w:val="728"/>
    <w:uiPriority w:val="99"/>
    <w:rPr>
      <w:lang w:val="en-US" w:eastAsia="zh-CN" w:bidi="ar-SA"/>
    </w:rPr>
    <w:tblPr/>
  </w:style>
  <w:style w:type="table" w:styleId="984">
    <w:name w:val="List Table 3 - Accent 3"/>
    <w:next w:val="984"/>
    <w:link w:val="728"/>
    <w:uiPriority w:val="99"/>
    <w:rPr>
      <w:lang w:val="en-US" w:eastAsia="zh-CN" w:bidi="ar-SA"/>
    </w:rPr>
    <w:tblPr/>
  </w:style>
  <w:style w:type="table" w:styleId="985">
    <w:name w:val="List Table 3 - Accent 4"/>
    <w:next w:val="985"/>
    <w:link w:val="728"/>
    <w:uiPriority w:val="99"/>
    <w:qFormat/>
    <w:rPr>
      <w:lang w:val="en-US" w:eastAsia="zh-CN" w:bidi="ar-SA"/>
    </w:rPr>
    <w:tblPr/>
  </w:style>
  <w:style w:type="table" w:styleId="986">
    <w:name w:val="List Table 3 - Accent 5"/>
    <w:next w:val="986"/>
    <w:link w:val="728"/>
    <w:uiPriority w:val="99"/>
    <w:rPr>
      <w:lang w:val="en-US" w:eastAsia="zh-CN" w:bidi="ar-SA"/>
    </w:rPr>
    <w:tblPr/>
  </w:style>
  <w:style w:type="table" w:styleId="987">
    <w:name w:val="List Table 3 - Accent 6"/>
    <w:next w:val="987"/>
    <w:link w:val="728"/>
    <w:uiPriority w:val="99"/>
    <w:rPr>
      <w:lang w:val="en-US" w:eastAsia="zh-CN" w:bidi="ar-SA"/>
    </w:rPr>
    <w:tblPr/>
  </w:style>
  <w:style w:type="table" w:styleId="988">
    <w:name w:val="List Table 4"/>
    <w:next w:val="988"/>
    <w:link w:val="728"/>
    <w:uiPriority w:val="99"/>
    <w:qFormat/>
    <w:rPr>
      <w:lang w:val="en-US" w:eastAsia="zh-CN" w:bidi="ar-SA"/>
    </w:rPr>
    <w:tblPr/>
  </w:style>
  <w:style w:type="table" w:styleId="989">
    <w:name w:val="List Table 4 - Accent 1"/>
    <w:next w:val="989"/>
    <w:link w:val="728"/>
    <w:uiPriority w:val="99"/>
    <w:rPr>
      <w:lang w:val="en-US" w:eastAsia="zh-CN" w:bidi="ar-SA"/>
    </w:rPr>
    <w:tblPr/>
  </w:style>
  <w:style w:type="table" w:styleId="990">
    <w:name w:val="List Table 4 - Accent 2"/>
    <w:next w:val="990"/>
    <w:link w:val="728"/>
    <w:uiPriority w:val="99"/>
    <w:rPr>
      <w:lang w:val="en-US" w:eastAsia="zh-CN" w:bidi="ar-SA"/>
    </w:rPr>
    <w:tblPr/>
  </w:style>
  <w:style w:type="table" w:styleId="991">
    <w:name w:val="List Table 4 - Accent 3"/>
    <w:next w:val="991"/>
    <w:link w:val="728"/>
    <w:uiPriority w:val="99"/>
    <w:rPr>
      <w:lang w:val="en-US" w:eastAsia="zh-CN" w:bidi="ar-SA"/>
    </w:rPr>
    <w:tblPr/>
  </w:style>
  <w:style w:type="table" w:styleId="992">
    <w:name w:val="List Table 4 - Accent 4"/>
    <w:next w:val="992"/>
    <w:link w:val="728"/>
    <w:uiPriority w:val="99"/>
    <w:qFormat/>
    <w:rPr>
      <w:lang w:val="en-US" w:eastAsia="zh-CN" w:bidi="ar-SA"/>
    </w:rPr>
    <w:tblPr/>
  </w:style>
  <w:style w:type="table" w:styleId="993">
    <w:name w:val="List Table 4 - Accent 5"/>
    <w:next w:val="993"/>
    <w:link w:val="728"/>
    <w:uiPriority w:val="99"/>
    <w:qFormat/>
    <w:rPr>
      <w:lang w:val="en-US" w:eastAsia="zh-CN" w:bidi="ar-SA"/>
    </w:rPr>
    <w:tblPr/>
  </w:style>
  <w:style w:type="table" w:styleId="994">
    <w:name w:val="List Table 4 - Accent 6"/>
    <w:next w:val="994"/>
    <w:link w:val="728"/>
    <w:uiPriority w:val="99"/>
    <w:rPr>
      <w:lang w:val="en-US" w:eastAsia="zh-CN" w:bidi="ar-SA"/>
    </w:rPr>
    <w:tblPr/>
  </w:style>
  <w:style w:type="table" w:styleId="995">
    <w:name w:val="List Table 5 Dark"/>
    <w:next w:val="995"/>
    <w:link w:val="728"/>
    <w:uiPriority w:val="99"/>
    <w:rPr>
      <w:lang w:val="en-US" w:eastAsia="zh-CN" w:bidi="ar-SA"/>
    </w:rPr>
    <w:tblPr/>
  </w:style>
  <w:style w:type="table" w:styleId="996">
    <w:name w:val="List Table 5 Dark - Accent 1"/>
    <w:next w:val="996"/>
    <w:link w:val="728"/>
    <w:uiPriority w:val="99"/>
    <w:rPr>
      <w:lang w:val="en-US" w:eastAsia="zh-CN" w:bidi="ar-SA"/>
    </w:rPr>
    <w:tblPr/>
  </w:style>
  <w:style w:type="table" w:styleId="997">
    <w:name w:val="List Table 5 Dark - Accent 2"/>
    <w:next w:val="997"/>
    <w:link w:val="728"/>
    <w:uiPriority w:val="99"/>
    <w:rPr>
      <w:lang w:val="en-US" w:eastAsia="zh-CN" w:bidi="ar-SA"/>
    </w:rPr>
    <w:tblPr/>
  </w:style>
  <w:style w:type="table" w:styleId="998">
    <w:name w:val="List Table 5 Dark - Accent 3"/>
    <w:next w:val="998"/>
    <w:link w:val="728"/>
    <w:uiPriority w:val="99"/>
    <w:rPr>
      <w:lang w:val="en-US" w:eastAsia="zh-CN" w:bidi="ar-SA"/>
    </w:rPr>
    <w:tblPr/>
  </w:style>
  <w:style w:type="table" w:styleId="999">
    <w:name w:val="List Table 5 Dark - Accent 4"/>
    <w:next w:val="999"/>
    <w:link w:val="728"/>
    <w:uiPriority w:val="99"/>
    <w:rPr>
      <w:lang w:val="en-US" w:eastAsia="zh-CN" w:bidi="ar-SA"/>
    </w:rPr>
    <w:tblPr/>
  </w:style>
  <w:style w:type="table" w:styleId="1000">
    <w:name w:val="List Table 5 Dark - Accent 5"/>
    <w:next w:val="1000"/>
    <w:link w:val="728"/>
    <w:uiPriority w:val="99"/>
    <w:rPr>
      <w:lang w:val="en-US" w:eastAsia="zh-CN" w:bidi="ar-SA"/>
    </w:rPr>
    <w:tblPr/>
  </w:style>
  <w:style w:type="table" w:styleId="1001">
    <w:name w:val="List Table 5 Dark - Accent 6"/>
    <w:next w:val="1001"/>
    <w:link w:val="728"/>
    <w:uiPriority w:val="99"/>
    <w:rPr>
      <w:lang w:val="en-US" w:eastAsia="zh-CN" w:bidi="ar-SA"/>
    </w:rPr>
    <w:tblPr/>
  </w:style>
  <w:style w:type="table" w:styleId="1002">
    <w:name w:val="List Table 6 Colorful"/>
    <w:next w:val="1002"/>
    <w:link w:val="728"/>
    <w:uiPriority w:val="99"/>
    <w:rPr>
      <w:lang w:val="en-US" w:eastAsia="zh-CN" w:bidi="ar-SA"/>
    </w:rPr>
    <w:tblPr/>
  </w:style>
  <w:style w:type="table" w:styleId="1003">
    <w:name w:val="List Table 6 Colorful - Accent 1"/>
    <w:next w:val="1003"/>
    <w:link w:val="728"/>
    <w:uiPriority w:val="99"/>
    <w:rPr>
      <w:lang w:val="en-US" w:eastAsia="zh-CN" w:bidi="ar-SA"/>
    </w:rPr>
    <w:tblPr/>
  </w:style>
  <w:style w:type="table" w:styleId="1004">
    <w:name w:val="List Table 6 Colorful - Accent 2"/>
    <w:next w:val="1004"/>
    <w:link w:val="728"/>
    <w:uiPriority w:val="99"/>
    <w:rPr>
      <w:lang w:val="en-US" w:eastAsia="zh-CN" w:bidi="ar-SA"/>
    </w:rPr>
    <w:tblPr/>
  </w:style>
  <w:style w:type="table" w:styleId="1005">
    <w:name w:val="List Table 6 Colorful - Accent 3"/>
    <w:next w:val="1005"/>
    <w:link w:val="728"/>
    <w:uiPriority w:val="99"/>
    <w:rPr>
      <w:lang w:val="en-US" w:eastAsia="zh-CN" w:bidi="ar-SA"/>
    </w:rPr>
    <w:tblPr/>
  </w:style>
  <w:style w:type="table" w:styleId="1006">
    <w:name w:val="List Table 6 Colorful - Accent 4"/>
    <w:next w:val="1006"/>
    <w:link w:val="728"/>
    <w:uiPriority w:val="99"/>
    <w:rPr>
      <w:lang w:val="en-US" w:eastAsia="zh-CN" w:bidi="ar-SA"/>
    </w:rPr>
    <w:tblPr/>
  </w:style>
  <w:style w:type="table" w:styleId="1007">
    <w:name w:val="List Table 6 Colorful - Accent 5"/>
    <w:next w:val="1007"/>
    <w:link w:val="728"/>
    <w:uiPriority w:val="99"/>
    <w:rPr>
      <w:lang w:val="en-US" w:eastAsia="zh-CN" w:bidi="ar-SA"/>
    </w:rPr>
    <w:tblPr/>
  </w:style>
  <w:style w:type="table" w:styleId="1008">
    <w:name w:val="List Table 6 Colorful - Accent 6"/>
    <w:next w:val="1008"/>
    <w:link w:val="728"/>
    <w:uiPriority w:val="99"/>
    <w:rPr>
      <w:lang w:val="en-US" w:eastAsia="zh-CN" w:bidi="ar-SA"/>
    </w:rPr>
    <w:tblPr/>
  </w:style>
  <w:style w:type="table" w:styleId="1009">
    <w:name w:val="List Table 7 Colorful"/>
    <w:next w:val="1009"/>
    <w:link w:val="728"/>
    <w:uiPriority w:val="99"/>
    <w:rPr>
      <w:lang w:val="en-US" w:eastAsia="zh-CN" w:bidi="ar-SA"/>
    </w:rPr>
    <w:tblPr/>
  </w:style>
  <w:style w:type="table" w:styleId="1010">
    <w:name w:val="List Table 7 Colorful - Accent 1"/>
    <w:next w:val="1010"/>
    <w:link w:val="728"/>
    <w:uiPriority w:val="99"/>
    <w:rPr>
      <w:lang w:val="en-US" w:eastAsia="zh-CN" w:bidi="ar-SA"/>
    </w:rPr>
    <w:tblPr/>
  </w:style>
  <w:style w:type="table" w:styleId="1011">
    <w:name w:val="List Table 7 Colorful - Accent 2"/>
    <w:next w:val="1011"/>
    <w:link w:val="728"/>
    <w:uiPriority w:val="99"/>
    <w:rPr>
      <w:lang w:val="en-US" w:eastAsia="zh-CN" w:bidi="ar-SA"/>
    </w:rPr>
    <w:tblPr/>
  </w:style>
  <w:style w:type="table" w:styleId="1012">
    <w:name w:val="List Table 7 Colorful - Accent 3"/>
    <w:next w:val="1012"/>
    <w:link w:val="728"/>
    <w:uiPriority w:val="99"/>
    <w:rPr>
      <w:lang w:val="en-US" w:eastAsia="zh-CN" w:bidi="ar-SA"/>
    </w:rPr>
    <w:tblPr/>
  </w:style>
  <w:style w:type="table" w:styleId="1013">
    <w:name w:val="List Table 7 Colorful - Accent 4"/>
    <w:next w:val="1013"/>
    <w:link w:val="728"/>
    <w:uiPriority w:val="99"/>
    <w:rPr>
      <w:lang w:val="en-US" w:eastAsia="zh-CN" w:bidi="ar-SA"/>
    </w:rPr>
    <w:tblPr/>
  </w:style>
  <w:style w:type="table" w:styleId="1014">
    <w:name w:val="List Table 7 Colorful - Accent 5"/>
    <w:next w:val="1014"/>
    <w:link w:val="728"/>
    <w:uiPriority w:val="99"/>
    <w:rPr>
      <w:lang w:val="en-US" w:eastAsia="zh-CN" w:bidi="ar-SA"/>
    </w:rPr>
    <w:tblPr/>
  </w:style>
  <w:style w:type="table" w:styleId="1015">
    <w:name w:val="List Table 7 Colorful - Accent 6"/>
    <w:next w:val="1015"/>
    <w:link w:val="728"/>
    <w:uiPriority w:val="99"/>
    <w:rPr>
      <w:lang w:val="en-US" w:eastAsia="zh-CN" w:bidi="ar-SA"/>
    </w:rPr>
    <w:tblPr/>
  </w:style>
  <w:style w:type="table" w:styleId="1016">
    <w:name w:val="Lined - Accent"/>
    <w:next w:val="1016"/>
    <w:link w:val="728"/>
    <w:uiPriority w:val="99"/>
    <w:rPr>
      <w:color w:val="404040"/>
      <w:lang w:val="en-US" w:eastAsia="zh-CN" w:bidi="ar-SA"/>
    </w:rPr>
    <w:tblPr/>
  </w:style>
  <w:style w:type="table" w:styleId="1017">
    <w:name w:val="Lined - Accent 1"/>
    <w:next w:val="1017"/>
    <w:link w:val="728"/>
    <w:uiPriority w:val="99"/>
    <w:rPr>
      <w:color w:val="404040"/>
      <w:lang w:val="en-US" w:eastAsia="zh-CN" w:bidi="ar-SA"/>
    </w:rPr>
    <w:tblPr/>
  </w:style>
  <w:style w:type="table" w:styleId="1018">
    <w:name w:val="Lined - Accent 2"/>
    <w:next w:val="1018"/>
    <w:link w:val="728"/>
    <w:uiPriority w:val="99"/>
    <w:rPr>
      <w:color w:val="404040"/>
      <w:lang w:val="en-US" w:eastAsia="zh-CN" w:bidi="ar-SA"/>
    </w:rPr>
    <w:tblPr/>
  </w:style>
  <w:style w:type="table" w:styleId="1019">
    <w:name w:val="Lined - Accent 3"/>
    <w:next w:val="1019"/>
    <w:link w:val="728"/>
    <w:uiPriority w:val="99"/>
    <w:rPr>
      <w:color w:val="404040"/>
      <w:lang w:val="en-US" w:eastAsia="zh-CN" w:bidi="ar-SA"/>
    </w:rPr>
    <w:tblPr/>
  </w:style>
  <w:style w:type="table" w:styleId="1020">
    <w:name w:val="Lined - Accent 4"/>
    <w:next w:val="1020"/>
    <w:link w:val="728"/>
    <w:uiPriority w:val="99"/>
    <w:rPr>
      <w:color w:val="404040"/>
      <w:lang w:val="en-US" w:eastAsia="zh-CN" w:bidi="ar-SA"/>
    </w:rPr>
    <w:tblPr/>
  </w:style>
  <w:style w:type="table" w:styleId="1021">
    <w:name w:val="Lined - Accent 5"/>
    <w:next w:val="1021"/>
    <w:link w:val="728"/>
    <w:uiPriority w:val="99"/>
    <w:rPr>
      <w:color w:val="404040"/>
      <w:lang w:val="en-US" w:eastAsia="zh-CN" w:bidi="ar-SA"/>
    </w:rPr>
    <w:tblPr/>
  </w:style>
  <w:style w:type="table" w:styleId="1022">
    <w:name w:val="Lined - Accent 6"/>
    <w:next w:val="1022"/>
    <w:link w:val="728"/>
    <w:uiPriority w:val="99"/>
    <w:rPr>
      <w:color w:val="404040"/>
      <w:lang w:val="en-US" w:eastAsia="zh-CN" w:bidi="ar-SA"/>
    </w:rPr>
    <w:tblPr/>
  </w:style>
  <w:style w:type="table" w:styleId="1023">
    <w:name w:val="Bordered &amp; Lined - Accent"/>
    <w:next w:val="1023"/>
    <w:link w:val="728"/>
    <w:uiPriority w:val="99"/>
    <w:rPr>
      <w:color w:val="404040"/>
      <w:lang w:val="en-US" w:eastAsia="zh-CN" w:bidi="ar-SA"/>
    </w:rPr>
    <w:tblPr/>
  </w:style>
  <w:style w:type="table" w:styleId="1024">
    <w:name w:val="Bordered &amp; Lined - Accent 1"/>
    <w:next w:val="1024"/>
    <w:link w:val="728"/>
    <w:uiPriority w:val="99"/>
    <w:rPr>
      <w:color w:val="404040"/>
      <w:lang w:val="en-US" w:eastAsia="zh-CN" w:bidi="ar-SA"/>
    </w:rPr>
    <w:tblPr/>
  </w:style>
  <w:style w:type="table" w:styleId="1025">
    <w:name w:val="Bordered &amp; Lined - Accent 2"/>
    <w:next w:val="1025"/>
    <w:link w:val="728"/>
    <w:uiPriority w:val="99"/>
    <w:rPr>
      <w:color w:val="404040"/>
      <w:lang w:val="en-US" w:eastAsia="zh-CN" w:bidi="ar-SA"/>
    </w:rPr>
    <w:tblPr/>
  </w:style>
  <w:style w:type="table" w:styleId="1026">
    <w:name w:val="Bordered &amp; Lined - Accent 3"/>
    <w:next w:val="1026"/>
    <w:link w:val="728"/>
    <w:uiPriority w:val="99"/>
    <w:rPr>
      <w:color w:val="404040"/>
      <w:lang w:val="en-US" w:eastAsia="zh-CN" w:bidi="ar-SA"/>
    </w:rPr>
    <w:tblPr/>
  </w:style>
  <w:style w:type="table" w:styleId="1027">
    <w:name w:val="Bordered &amp; Lined - Accent 4"/>
    <w:next w:val="1027"/>
    <w:link w:val="728"/>
    <w:uiPriority w:val="99"/>
    <w:rPr>
      <w:color w:val="404040"/>
      <w:lang w:val="en-US" w:eastAsia="zh-CN" w:bidi="ar-SA"/>
    </w:rPr>
    <w:tblPr/>
  </w:style>
  <w:style w:type="table" w:styleId="1028">
    <w:name w:val="Bordered &amp; Lined - Accent 5"/>
    <w:next w:val="1028"/>
    <w:link w:val="728"/>
    <w:uiPriority w:val="99"/>
    <w:rPr>
      <w:color w:val="404040"/>
      <w:lang w:val="en-US" w:eastAsia="zh-CN" w:bidi="ar-SA"/>
    </w:rPr>
    <w:tblPr/>
  </w:style>
  <w:style w:type="table" w:styleId="1029">
    <w:name w:val="Bordered &amp; Lined - Accent 6"/>
    <w:next w:val="1029"/>
    <w:link w:val="728"/>
    <w:uiPriority w:val="99"/>
    <w:rPr>
      <w:color w:val="404040"/>
      <w:lang w:val="en-US" w:eastAsia="zh-CN" w:bidi="ar-SA"/>
    </w:rPr>
    <w:tblPr/>
  </w:style>
  <w:style w:type="table" w:styleId="1030">
    <w:name w:val="Bordered"/>
    <w:next w:val="1030"/>
    <w:link w:val="728"/>
    <w:uiPriority w:val="99"/>
    <w:rPr>
      <w:lang w:val="en-US" w:eastAsia="zh-CN" w:bidi="ar-SA"/>
    </w:rPr>
    <w:tblPr/>
  </w:style>
  <w:style w:type="table" w:styleId="1031">
    <w:name w:val="Bordered - Accent 1"/>
    <w:next w:val="1031"/>
    <w:link w:val="728"/>
    <w:uiPriority w:val="99"/>
    <w:rPr>
      <w:lang w:val="en-US" w:eastAsia="zh-CN" w:bidi="ar-SA"/>
    </w:rPr>
    <w:tblPr/>
  </w:style>
  <w:style w:type="table" w:styleId="1032">
    <w:name w:val="Bordered - Accent 2"/>
    <w:next w:val="1032"/>
    <w:link w:val="728"/>
    <w:uiPriority w:val="99"/>
    <w:rPr>
      <w:lang w:val="en-US" w:eastAsia="zh-CN" w:bidi="ar-SA"/>
    </w:rPr>
    <w:tblPr/>
  </w:style>
  <w:style w:type="table" w:styleId="1033">
    <w:name w:val="Bordered - Accent 3"/>
    <w:next w:val="1033"/>
    <w:link w:val="728"/>
    <w:uiPriority w:val="99"/>
    <w:rPr>
      <w:lang w:val="en-US" w:eastAsia="zh-CN" w:bidi="ar-SA"/>
    </w:rPr>
    <w:tblPr/>
  </w:style>
  <w:style w:type="table" w:styleId="1034">
    <w:name w:val="Bordered - Accent 4"/>
    <w:next w:val="1034"/>
    <w:link w:val="728"/>
    <w:uiPriority w:val="99"/>
    <w:rPr>
      <w:lang w:val="en-US" w:eastAsia="zh-CN" w:bidi="ar-SA"/>
    </w:rPr>
    <w:tblPr/>
  </w:style>
  <w:style w:type="table" w:styleId="1035">
    <w:name w:val="Bordered - Accent 5"/>
    <w:next w:val="1035"/>
    <w:link w:val="728"/>
    <w:uiPriority w:val="99"/>
    <w:rPr>
      <w:lang w:val="en-US" w:eastAsia="zh-CN" w:bidi="ar-SA"/>
    </w:rPr>
    <w:tblPr/>
  </w:style>
  <w:style w:type="table" w:styleId="1036">
    <w:name w:val="Bordered - Accent 6"/>
    <w:next w:val="1036"/>
    <w:link w:val="728"/>
    <w:uiPriority w:val="99"/>
    <w:rPr>
      <w:lang w:val="en-US" w:eastAsia="zh-CN" w:bidi="ar-SA"/>
    </w:rPr>
    <w:tblPr/>
  </w:style>
  <w:style w:type="character" w:styleId="1037">
    <w:name w:val="Footnote Text Char"/>
    <w:next w:val="1037"/>
    <w:link w:val="728"/>
    <w:uiPriority w:val="99"/>
    <w:rPr>
      <w:sz w:val="18"/>
    </w:rPr>
  </w:style>
  <w:style w:type="character" w:styleId="1038">
    <w:name w:val="Endnote Text Char"/>
    <w:next w:val="1038"/>
    <w:link w:val="728"/>
    <w:uiPriority w:val="99"/>
    <w:rPr>
      <w:sz w:val="20"/>
    </w:rPr>
  </w:style>
  <w:style w:type="paragraph" w:styleId="1039">
    <w:name w:val="TOC Heading"/>
    <w:next w:val="1039"/>
    <w:link w:val="728"/>
    <w:uiPriority w:val="39"/>
    <w:unhideWhenUsed/>
    <w:rPr>
      <w:lang w:val="en-US" w:eastAsia="zh-CN" w:bidi="ar-SA"/>
    </w:rPr>
  </w:style>
  <w:style w:type="paragraph" w:styleId="1040">
    <w:name w:val="标题 11"/>
    <w:basedOn w:val="728"/>
    <w:next w:val="728"/>
    <w:link w:val="728"/>
    <w:qFormat/>
    <w:pPr>
      <w:jc w:val="center"/>
      <w:keepNext/>
      <w:spacing w:after="0" w:line="240" w:lineRule="auto"/>
      <w:outlineLvl w:val="0"/>
    </w:pPr>
    <w:rPr>
      <w:rFonts w:ascii="楷体_GB2312" w:hAnsi="Times New Roman" w:eastAsia="楷体_GB2312"/>
      <w:sz w:val="28"/>
      <w:szCs w:val="28"/>
    </w:rPr>
  </w:style>
  <w:style w:type="paragraph" w:styleId="1041">
    <w:name w:val="标题 21"/>
    <w:basedOn w:val="728"/>
    <w:next w:val="901"/>
    <w:link w:val="728"/>
    <w:qFormat/>
    <w:pPr>
      <w:jc w:val="center"/>
      <w:keepLines/>
      <w:keepNext/>
      <w:spacing w:before="260" w:after="260" w:line="416" w:lineRule="auto"/>
      <w:outlineLvl w:val="1"/>
    </w:pPr>
    <w:rPr>
      <w:rFonts w:ascii="Arial" w:hAnsi="Arial" w:eastAsia="幼圆" w:cs="Arial"/>
      <w:b/>
      <w:bCs/>
      <w:sz w:val="44"/>
      <w:szCs w:val="44"/>
    </w:rPr>
  </w:style>
  <w:style w:type="paragraph" w:styleId="1042">
    <w:name w:val="标题 31"/>
    <w:basedOn w:val="728"/>
    <w:next w:val="901"/>
    <w:link w:val="728"/>
    <w:qFormat/>
    <w:pPr>
      <w:keepLines/>
      <w:keepNext/>
      <w:spacing w:before="260" w:after="260" w:line="416" w:lineRule="auto"/>
      <w:outlineLvl w:val="2"/>
    </w:pPr>
    <w:rPr>
      <w:rFonts w:ascii="Times New Roman" w:hAnsi="Times New Roman"/>
      <w:b/>
      <w:bCs/>
      <w:sz w:val="32"/>
      <w:szCs w:val="32"/>
    </w:rPr>
  </w:style>
  <w:style w:type="paragraph" w:styleId="1043">
    <w:name w:val="标题 41"/>
    <w:basedOn w:val="728"/>
    <w:next w:val="901"/>
    <w:link w:val="728"/>
    <w:qFormat/>
    <w:pPr>
      <w:keepLines/>
      <w:keepNext/>
      <w:spacing w:before="280" w:after="290" w:line="376" w:lineRule="auto"/>
      <w:outlineLvl w:val="3"/>
    </w:pPr>
    <w:rPr>
      <w:rFonts w:ascii="Arial" w:hAnsi="Arial" w:eastAsia="黑体" w:cs="Arial"/>
      <w:b/>
      <w:bCs/>
      <w:sz w:val="28"/>
      <w:szCs w:val="28"/>
    </w:rPr>
  </w:style>
  <w:style w:type="paragraph" w:styleId="1044">
    <w:name w:val="标题 51"/>
    <w:basedOn w:val="728"/>
    <w:next w:val="901"/>
    <w:link w:val="728"/>
    <w:qFormat/>
    <w:pPr>
      <w:keepNext/>
      <w:spacing w:after="0" w:line="240" w:lineRule="auto"/>
      <w:outlineLvl w:val="4"/>
    </w:pPr>
    <w:rPr>
      <w:rFonts w:ascii="宋体" w:hAnsi="Times New Roman"/>
      <w:color w:val="000000"/>
      <w:sz w:val="28"/>
      <w:szCs w:val="28"/>
    </w:rPr>
  </w:style>
  <w:style w:type="paragraph" w:styleId="1045">
    <w:name w:val="标题 61"/>
    <w:basedOn w:val="728"/>
    <w:next w:val="728"/>
    <w:link w:val="728"/>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6">
    <w:name w:val="标题 71"/>
    <w:basedOn w:val="728"/>
    <w:next w:val="728"/>
    <w:link w:val="72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47">
    <w:name w:val="标题 81"/>
    <w:basedOn w:val="728"/>
    <w:next w:val="728"/>
    <w:link w:val="728"/>
    <w:qFormat/>
    <w:pPr>
      <w:numPr>
        <w:ilvl w:val="7"/>
        <w:numId w:val="1"/>
      </w:numPr>
      <w:keepLines/>
      <w:keepNext/>
      <w:spacing w:before="240" w:after="64" w:line="320" w:lineRule="auto"/>
      <w:outlineLvl w:val="7"/>
    </w:pPr>
    <w:rPr>
      <w:rFonts w:ascii="Arial" w:hAnsi="Arial" w:eastAsia="黑体"/>
      <w:sz w:val="24"/>
      <w:szCs w:val="24"/>
    </w:rPr>
  </w:style>
  <w:style w:type="paragraph" w:styleId="1048">
    <w:name w:val="标题 91"/>
    <w:basedOn w:val="728"/>
    <w:next w:val="728"/>
    <w:link w:val="728"/>
    <w:qFormat/>
    <w:pPr>
      <w:numPr>
        <w:ilvl w:val="8"/>
        <w:numId w:val="1"/>
      </w:numPr>
      <w:keepLines/>
      <w:keepNext/>
      <w:spacing w:before="240" w:after="64" w:line="320" w:lineRule="auto"/>
      <w:outlineLvl w:val="8"/>
    </w:pPr>
    <w:rPr>
      <w:rFonts w:ascii="Arial" w:hAnsi="Arial" w:eastAsia="黑体"/>
      <w:sz w:val="20"/>
      <w:szCs w:val="20"/>
    </w:rPr>
  </w:style>
  <w:style w:type="table" w:styleId="1049">
    <w:name w:val="普通表格1"/>
    <w:next w:val="1049"/>
    <w:link w:val="728"/>
    <w:semiHidden/>
    <w:rPr>
      <w:lang w:val="en-US" w:eastAsia="zh-CN" w:bidi="ar-SA"/>
    </w:rPr>
    <w:tblPr/>
  </w:style>
  <w:style w:type="paragraph" w:styleId="1050">
    <w:name w:val="正文文本1"/>
    <w:basedOn w:val="728"/>
    <w:next w:val="1050"/>
    <w:link w:val="728"/>
    <w:pPr>
      <w:spacing w:after="0" w:line="240" w:lineRule="auto"/>
    </w:pPr>
    <w:rPr>
      <w:rFonts w:ascii="楷体_GB2312" w:hAnsi="Arial" w:eastAsia="楷体_GB2312"/>
      <w:sz w:val="28"/>
      <w:szCs w:val="28"/>
    </w:rPr>
  </w:style>
  <w:style w:type="paragraph" w:styleId="1051">
    <w:name w:val="列表 31"/>
    <w:basedOn w:val="728"/>
    <w:next w:val="1051"/>
    <w:link w:val="728"/>
    <w:pPr>
      <w:ind w:left="100" w:hanging="200"/>
      <w:spacing w:after="0" w:line="240" w:lineRule="auto"/>
    </w:pPr>
    <w:rPr>
      <w:rFonts w:ascii="Times New Roman" w:hAnsi="Times New Roman"/>
      <w:sz w:val="20"/>
      <w:szCs w:val="20"/>
    </w:rPr>
  </w:style>
  <w:style w:type="paragraph" w:styleId="1052">
    <w:name w:val="目录 71"/>
    <w:basedOn w:val="728"/>
    <w:next w:val="728"/>
    <w:link w:val="728"/>
    <w:semiHidden/>
    <w:pPr>
      <w:ind w:left="1260"/>
      <w:spacing w:after="0" w:line="240" w:lineRule="auto"/>
    </w:pPr>
    <w:rPr>
      <w:rFonts w:ascii="Times New Roman" w:hAnsi="Times New Roman"/>
      <w:sz w:val="20"/>
      <w:szCs w:val="20"/>
    </w:rPr>
  </w:style>
  <w:style w:type="paragraph" w:styleId="1053">
    <w:name w:val="文档结构图1"/>
    <w:basedOn w:val="728"/>
    <w:next w:val="1053"/>
    <w:link w:val="728"/>
    <w:semiHidden/>
    <w:pPr>
      <w:spacing w:after="0" w:line="240" w:lineRule="auto"/>
      <w:shd w:val="clear" w:color="auto" w:fill="000080"/>
    </w:pPr>
    <w:rPr>
      <w:rFonts w:ascii="Times New Roman" w:hAnsi="Times New Roman"/>
      <w:sz w:val="20"/>
      <w:szCs w:val="20"/>
    </w:rPr>
  </w:style>
  <w:style w:type="paragraph" w:styleId="1054">
    <w:name w:val="批注文字1"/>
    <w:basedOn w:val="728"/>
    <w:next w:val="1054"/>
    <w:link w:val="728"/>
    <w:semiHidden/>
    <w:pPr>
      <w:spacing w:after="0" w:line="240" w:lineRule="auto"/>
    </w:pPr>
    <w:rPr>
      <w:rFonts w:ascii="Times New Roman" w:hAnsi="Times New Roman"/>
      <w:sz w:val="20"/>
      <w:szCs w:val="20"/>
    </w:rPr>
  </w:style>
  <w:style w:type="paragraph" w:styleId="1055">
    <w:name w:val="正文文本 31"/>
    <w:basedOn w:val="728"/>
    <w:next w:val="1055"/>
    <w:link w:val="728"/>
    <w:pPr>
      <w:spacing w:after="0" w:line="240" w:lineRule="auto"/>
    </w:pPr>
    <w:rPr>
      <w:rFonts w:ascii="仿宋_GB2312" w:hAnsi="Arial" w:eastAsia="仿宋_GB2312"/>
      <w:sz w:val="32"/>
      <w:szCs w:val="32"/>
    </w:rPr>
  </w:style>
  <w:style w:type="paragraph" w:styleId="1056">
    <w:name w:val="正文文本缩进1"/>
    <w:basedOn w:val="728"/>
    <w:next w:val="1056"/>
    <w:link w:val="728"/>
    <w:pPr>
      <w:ind w:firstLine="645"/>
      <w:spacing w:after="0" w:line="240" w:lineRule="auto"/>
    </w:pPr>
    <w:rPr>
      <w:rFonts w:ascii="楷体_GB2312" w:hAnsi="Times New Roman" w:eastAsia="楷体_GB2312"/>
      <w:sz w:val="32"/>
      <w:szCs w:val="32"/>
    </w:rPr>
  </w:style>
  <w:style w:type="paragraph" w:styleId="1057">
    <w:name w:val="列表 21"/>
    <w:basedOn w:val="728"/>
    <w:next w:val="1057"/>
    <w:link w:val="728"/>
    <w:pPr>
      <w:ind w:left="100" w:hanging="200"/>
      <w:spacing w:after="0" w:line="240" w:lineRule="auto"/>
    </w:pPr>
    <w:rPr>
      <w:rFonts w:ascii="Times New Roman" w:hAnsi="Times New Roman"/>
      <w:sz w:val="20"/>
      <w:szCs w:val="20"/>
    </w:rPr>
  </w:style>
  <w:style w:type="paragraph" w:styleId="1058">
    <w:name w:val="索引 41"/>
    <w:basedOn w:val="728"/>
    <w:next w:val="728"/>
    <w:link w:val="728"/>
    <w:uiPriority w:val="99"/>
    <w:unhideWhenUsed/>
    <w:qFormat/>
    <w:pPr>
      <w:ind w:left="600"/>
      <w:spacing w:after="0" w:line="240" w:lineRule="auto"/>
    </w:pPr>
    <w:rPr>
      <w:rFonts w:ascii="Times New Roman" w:hAnsi="Times New Roman"/>
      <w:sz w:val="20"/>
      <w:szCs w:val="20"/>
    </w:rPr>
  </w:style>
  <w:style w:type="paragraph" w:styleId="1059">
    <w:name w:val="目录 51"/>
    <w:basedOn w:val="728"/>
    <w:next w:val="728"/>
    <w:link w:val="728"/>
    <w:semiHidden/>
    <w:pPr>
      <w:ind w:left="840"/>
      <w:spacing w:after="0" w:line="240" w:lineRule="auto"/>
    </w:pPr>
    <w:rPr>
      <w:rFonts w:ascii="Times New Roman" w:hAnsi="Times New Roman"/>
      <w:sz w:val="20"/>
      <w:szCs w:val="20"/>
    </w:rPr>
  </w:style>
  <w:style w:type="paragraph" w:styleId="1060">
    <w:name w:val="目录 31"/>
    <w:basedOn w:val="728"/>
    <w:next w:val="728"/>
    <w:link w:val="728"/>
    <w:semiHidden/>
    <w:pPr>
      <w:ind w:left="420"/>
      <w:spacing w:after="0" w:line="240" w:lineRule="auto"/>
    </w:pPr>
    <w:rPr>
      <w:rFonts w:ascii="Times New Roman" w:hAnsi="Times New Roman"/>
      <w:i/>
      <w:iCs/>
      <w:sz w:val="20"/>
      <w:szCs w:val="24"/>
    </w:rPr>
  </w:style>
  <w:style w:type="paragraph" w:styleId="1061">
    <w:name w:val="目录 81"/>
    <w:basedOn w:val="728"/>
    <w:next w:val="728"/>
    <w:link w:val="728"/>
    <w:semiHidden/>
    <w:pPr>
      <w:ind w:left="1470"/>
      <w:spacing w:after="0" w:line="240" w:lineRule="auto"/>
    </w:pPr>
    <w:rPr>
      <w:rFonts w:ascii="Times New Roman" w:hAnsi="Times New Roman"/>
      <w:sz w:val="20"/>
      <w:szCs w:val="20"/>
    </w:rPr>
  </w:style>
  <w:style w:type="paragraph" w:styleId="1062">
    <w:name w:val="日期1"/>
    <w:basedOn w:val="728"/>
    <w:next w:val="728"/>
    <w:link w:val="728"/>
    <w:pPr>
      <w:spacing w:after="0" w:line="240" w:lineRule="auto"/>
    </w:pPr>
    <w:rPr>
      <w:rFonts w:ascii="Times New Roman" w:hAnsi="Times New Roman"/>
      <w:sz w:val="24"/>
      <w:szCs w:val="24"/>
    </w:rPr>
  </w:style>
  <w:style w:type="paragraph" w:styleId="1063">
    <w:name w:val="正文文本缩进 21"/>
    <w:basedOn w:val="728"/>
    <w:next w:val="1063"/>
    <w:link w:val="728"/>
    <w:pPr>
      <w:ind w:left="630" w:firstLine="645"/>
      <w:spacing w:after="0" w:line="240" w:lineRule="auto"/>
    </w:pPr>
    <w:rPr>
      <w:rFonts w:ascii="Arial" w:hAnsi="Arial" w:eastAsia="仿宋_GB2312" w:cs="Arial"/>
      <w:sz w:val="32"/>
      <w:szCs w:val="32"/>
    </w:rPr>
  </w:style>
  <w:style w:type="paragraph" w:styleId="1064">
    <w:name w:val="批注框文本1"/>
    <w:basedOn w:val="728"/>
    <w:next w:val="1064"/>
    <w:link w:val="728"/>
    <w:semiHidden/>
    <w:pPr>
      <w:spacing w:after="0" w:line="240" w:lineRule="auto"/>
    </w:pPr>
    <w:rPr>
      <w:rFonts w:ascii="Times New Roman" w:hAnsi="Times New Roman"/>
      <w:sz w:val="18"/>
      <w:szCs w:val="18"/>
    </w:rPr>
  </w:style>
  <w:style w:type="paragraph" w:styleId="1065">
    <w:name w:val="页脚1"/>
    <w:basedOn w:val="728"/>
    <w:next w:val="1065"/>
    <w:link w:val="728"/>
    <w:pPr>
      <w:spacing w:after="0" w:line="240" w:lineRule="auto"/>
      <w:tabs>
        <w:tab w:val="center" w:pos="4153" w:leader="none"/>
        <w:tab w:val="right" w:pos="8306" w:leader="none"/>
      </w:tabs>
    </w:pPr>
    <w:rPr>
      <w:rFonts w:ascii="Times New Roman" w:hAnsi="Times New Roman"/>
      <w:sz w:val="18"/>
      <w:szCs w:val="18"/>
    </w:rPr>
  </w:style>
  <w:style w:type="paragraph" w:styleId="1066">
    <w:name w:val="页眉1"/>
    <w:basedOn w:val="728"/>
    <w:next w:val="1066"/>
    <w:link w:val="728"/>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067">
    <w:name w:val="目录 11"/>
    <w:basedOn w:val="728"/>
    <w:next w:val="728"/>
    <w:link w:val="728"/>
    <w:semiHidden/>
    <w:pPr>
      <w:spacing w:before="120" w:after="120" w:line="400" w:lineRule="exact"/>
      <w:tabs>
        <w:tab w:val="right" w:pos="8720" w:leader="dot"/>
      </w:tabs>
    </w:pPr>
    <w:rPr>
      <w:rFonts w:ascii="宋体" w:hAnsi="宋体"/>
      <w:caps/>
      <w:sz w:val="24"/>
      <w:szCs w:val="24"/>
    </w:rPr>
  </w:style>
  <w:style w:type="paragraph" w:styleId="1068">
    <w:name w:val="目录 41"/>
    <w:basedOn w:val="728"/>
    <w:next w:val="728"/>
    <w:link w:val="728"/>
    <w:semiHidden/>
    <w:pPr>
      <w:ind w:left="630"/>
      <w:spacing w:after="0" w:line="240" w:lineRule="auto"/>
    </w:pPr>
    <w:rPr>
      <w:rFonts w:ascii="Times New Roman" w:hAnsi="Times New Roman"/>
      <w:sz w:val="20"/>
      <w:szCs w:val="20"/>
    </w:rPr>
  </w:style>
  <w:style w:type="paragraph" w:styleId="1069">
    <w:name w:val="列表1"/>
    <w:basedOn w:val="728"/>
    <w:next w:val="1069"/>
    <w:link w:val="728"/>
    <w:pPr>
      <w:ind w:left="200" w:hanging="200"/>
      <w:spacing w:after="0" w:line="240" w:lineRule="auto"/>
    </w:pPr>
    <w:rPr>
      <w:rFonts w:ascii="Times New Roman" w:hAnsi="Times New Roman"/>
      <w:sz w:val="20"/>
      <w:szCs w:val="20"/>
    </w:rPr>
  </w:style>
  <w:style w:type="paragraph" w:styleId="1070">
    <w:name w:val="目录 61"/>
    <w:basedOn w:val="728"/>
    <w:next w:val="728"/>
    <w:link w:val="728"/>
    <w:semiHidden/>
    <w:pPr>
      <w:ind w:left="1050"/>
      <w:spacing w:after="0" w:line="240" w:lineRule="auto"/>
    </w:pPr>
    <w:rPr>
      <w:rFonts w:ascii="Times New Roman" w:hAnsi="Times New Roman"/>
      <w:sz w:val="20"/>
      <w:szCs w:val="20"/>
    </w:rPr>
  </w:style>
  <w:style w:type="paragraph" w:styleId="1071">
    <w:name w:val="正文文本缩进 31"/>
    <w:basedOn w:val="728"/>
    <w:next w:val="1071"/>
    <w:link w:val="728"/>
    <w:pPr>
      <w:ind w:left="645" w:firstLine="645"/>
      <w:spacing w:after="0" w:line="240" w:lineRule="auto"/>
    </w:pPr>
    <w:rPr>
      <w:rFonts w:ascii="Arial" w:hAnsi="Arial" w:eastAsia="仿宋_GB2312" w:cs="Arial"/>
      <w:color w:val="ffff00"/>
      <w:sz w:val="32"/>
      <w:szCs w:val="32"/>
    </w:rPr>
  </w:style>
  <w:style w:type="paragraph" w:styleId="1072">
    <w:name w:val="图表目录1"/>
    <w:basedOn w:val="728"/>
    <w:next w:val="728"/>
    <w:link w:val="728"/>
    <w:semiHidden/>
    <w:pPr>
      <w:ind w:left="840" w:hanging="420"/>
      <w:spacing w:after="0" w:line="240" w:lineRule="auto"/>
    </w:pPr>
    <w:rPr>
      <w:rFonts w:ascii="Times New Roman" w:hAnsi="Times New Roman"/>
      <w:sz w:val="20"/>
      <w:szCs w:val="20"/>
    </w:rPr>
  </w:style>
  <w:style w:type="paragraph" w:styleId="1073">
    <w:name w:val="目录 21"/>
    <w:basedOn w:val="728"/>
    <w:next w:val="728"/>
    <w:link w:val="728"/>
    <w:semiHidden/>
    <w:pPr>
      <w:ind w:left="210"/>
      <w:spacing w:after="0" w:line="240" w:lineRule="auto"/>
    </w:pPr>
    <w:rPr>
      <w:rFonts w:ascii="Times New Roman" w:hAnsi="Times New Roman"/>
      <w:smallCaps/>
      <w:sz w:val="20"/>
      <w:szCs w:val="24"/>
    </w:rPr>
  </w:style>
  <w:style w:type="paragraph" w:styleId="1074">
    <w:name w:val="目录 91"/>
    <w:basedOn w:val="728"/>
    <w:next w:val="728"/>
    <w:link w:val="728"/>
    <w:semiHidden/>
    <w:pPr>
      <w:ind w:left="1680"/>
      <w:spacing w:after="0" w:line="240" w:lineRule="auto"/>
    </w:pPr>
    <w:rPr>
      <w:rFonts w:ascii="Times New Roman" w:hAnsi="Times New Roman"/>
      <w:sz w:val="20"/>
      <w:szCs w:val="20"/>
    </w:rPr>
  </w:style>
  <w:style w:type="paragraph" w:styleId="1075">
    <w:name w:val="正文文本 21"/>
    <w:basedOn w:val="728"/>
    <w:next w:val="1075"/>
    <w:link w:val="728"/>
    <w:pPr>
      <w:jc w:val="center"/>
      <w:spacing w:after="0" w:line="240" w:lineRule="auto"/>
    </w:pPr>
    <w:rPr>
      <w:rFonts w:ascii="楷体_GB2312" w:hAnsi="Times New Roman" w:eastAsia="楷体_GB2312"/>
      <w:sz w:val="28"/>
      <w:szCs w:val="28"/>
    </w:rPr>
  </w:style>
  <w:style w:type="paragraph" w:styleId="1076">
    <w:name w:val="普通(网站)1"/>
    <w:basedOn w:val="728"/>
    <w:next w:val="1076"/>
    <w:link w:val="728"/>
    <w:uiPriority w:val="99"/>
    <w:pPr>
      <w:spacing w:before="100" w:beforeAutospacing="1" w:after="100" w:afterAutospacing="1" w:line="240" w:lineRule="auto"/>
    </w:pPr>
    <w:rPr>
      <w:rFonts w:ascii="宋体" w:hAnsi="宋体" w:cs="宋体"/>
      <w:sz w:val="24"/>
      <w:szCs w:val="24"/>
    </w:rPr>
  </w:style>
  <w:style w:type="paragraph" w:styleId="1077">
    <w:name w:val="索引 11"/>
    <w:basedOn w:val="728"/>
    <w:next w:val="728"/>
    <w:link w:val="728"/>
    <w:semiHidden/>
    <w:pPr>
      <w:spacing w:after="0" w:line="240" w:lineRule="atLeast"/>
    </w:pPr>
    <w:rPr>
      <w:rFonts w:ascii="Times New Roman" w:hAnsi="Times New Roman"/>
      <w:b/>
      <w:bCs/>
      <w:sz w:val="20"/>
      <w:szCs w:val="20"/>
    </w:rPr>
  </w:style>
  <w:style w:type="paragraph" w:styleId="1078">
    <w:name w:val="批注主题1"/>
    <w:basedOn w:val="1054"/>
    <w:next w:val="1054"/>
    <w:link w:val="728"/>
    <w:semiHidden/>
    <w:rPr>
      <w:b/>
      <w:bCs/>
    </w:rPr>
  </w:style>
  <w:style w:type="paragraph" w:styleId="1079">
    <w:name w:val="正文首行缩进1"/>
    <w:basedOn w:val="728"/>
    <w:next w:val="1079"/>
    <w:link w:val="728"/>
    <w:pPr>
      <w:ind w:firstLine="200"/>
      <w:spacing w:after="0" w:line="360" w:lineRule="auto"/>
    </w:pPr>
    <w:rPr>
      <w:rFonts w:ascii="仿宋_GB2312" w:hAnsi="Times New Roman" w:eastAsia="仿宋_GB2312"/>
      <w:sz w:val="30"/>
      <w:szCs w:val="30"/>
    </w:rPr>
  </w:style>
  <w:style w:type="paragraph" w:styleId="1080">
    <w:name w:val="正文首行缩进 21"/>
    <w:basedOn w:val="1056"/>
    <w:next w:val="1080"/>
    <w:link w:val="728"/>
    <w:pPr>
      <w:ind w:firstLine="420"/>
      <w:spacing w:line="360" w:lineRule="auto"/>
    </w:pPr>
    <w:rPr>
      <w:rFonts w:ascii="宋体" w:hAnsi="宋体" w:eastAsia="宋体"/>
      <w:sz w:val="21"/>
      <w:szCs w:val="20"/>
    </w:rPr>
  </w:style>
  <w:style w:type="table" w:styleId="1081">
    <w:name w:val="网格型110"/>
    <w:basedOn w:val="1049"/>
    <w:next w:val="1081"/>
    <w:link w:val="728"/>
    <w:qFormat/>
    <w:pPr>
      <w:jc w:val="both"/>
      <w:widowControl w:val="off"/>
    </w:pPr>
    <w:tblPr/>
  </w:style>
  <w:style w:type="character" w:styleId="1082">
    <w:name w:val="要点1"/>
    <w:next w:val="1082"/>
    <w:link w:val="728"/>
    <w:qFormat/>
    <w:rPr>
      <w:b/>
      <w:bCs/>
    </w:rPr>
  </w:style>
  <w:style w:type="character" w:styleId="1083">
    <w:name w:val="页码1"/>
    <w:next w:val="1083"/>
    <w:link w:val="728"/>
  </w:style>
  <w:style w:type="character" w:styleId="1084">
    <w:name w:val="已访问的超链接1"/>
    <w:next w:val="1084"/>
    <w:link w:val="728"/>
    <w:rPr>
      <w:rFonts w:hint="eastAsia" w:ascii="微软雅黑" w:hAnsi="微软雅黑" w:eastAsia="微软雅黑" w:cs="微软雅黑"/>
      <w:color w:val="02396f"/>
      <w:u w:val="single"/>
    </w:rPr>
  </w:style>
  <w:style w:type="character" w:styleId="1085">
    <w:name w:val="超链接1"/>
    <w:next w:val="1085"/>
    <w:link w:val="728"/>
    <w:rPr>
      <w:rFonts w:hint="eastAsia" w:ascii="微软雅黑" w:hAnsi="微软雅黑" w:eastAsia="微软雅黑" w:cs="微软雅黑"/>
      <w:color w:val="02396f"/>
      <w:u w:val="single"/>
    </w:rPr>
  </w:style>
  <w:style w:type="character" w:styleId="1086">
    <w:name w:val="批注引用1"/>
    <w:next w:val="1086"/>
    <w:link w:val="728"/>
    <w:semiHidden/>
    <w:rPr>
      <w:sz w:val="21"/>
      <w:szCs w:val="21"/>
    </w:rPr>
  </w:style>
  <w:style w:type="paragraph" w:styleId="1087">
    <w:name w:val=" Char"/>
    <w:basedOn w:val="1053"/>
    <w:next w:val="1087"/>
    <w:link w:val="728"/>
    <w:rPr>
      <w:rFonts w:ascii="Tahoma" w:hAnsi="Tahoma"/>
      <w:sz w:val="24"/>
      <w:szCs w:val="24"/>
    </w:rPr>
  </w:style>
  <w:style w:type="paragraph" w:styleId="1088">
    <w:name w:val=" Char Char Char Char"/>
    <w:basedOn w:val="1053"/>
    <w:next w:val="1088"/>
    <w:link w:val="728"/>
    <w:pPr>
      <w:spacing w:line="360" w:lineRule="auto"/>
    </w:pPr>
    <w:rPr>
      <w:rFonts w:ascii="Tahoma" w:hAnsi="Tahoma"/>
      <w:sz w:val="24"/>
      <w:szCs w:val="24"/>
    </w:rPr>
  </w:style>
  <w:style w:type="paragraph" w:styleId="1089">
    <w:name w:val="列出段落"/>
    <w:basedOn w:val="728"/>
    <w:next w:val="1089"/>
    <w:link w:val="728"/>
    <w:qFormat/>
    <w:pPr>
      <w:contextualSpacing/>
      <w:ind w:left="720"/>
      <w:spacing w:after="0" w:line="240" w:lineRule="auto"/>
    </w:pPr>
    <w:rPr>
      <w:sz w:val="24"/>
      <w:szCs w:val="24"/>
      <w:lang w:eastAsia="en-US" w:bidi="en-US"/>
    </w:rPr>
  </w:style>
  <w:style w:type="paragraph" w:styleId="1090">
    <w:name w:val=" Char Char Char Char Char Char Char Char Char Char"/>
    <w:basedOn w:val="728"/>
    <w:next w:val="1090"/>
    <w:link w:val="728"/>
    <w:pPr>
      <w:spacing w:after="0" w:line="360" w:lineRule="auto"/>
    </w:pPr>
    <w:rPr>
      <w:rFonts w:ascii="Times New Roman" w:hAnsi="Times New Roman"/>
      <w:sz w:val="24"/>
      <w:szCs w:val="20"/>
    </w:rPr>
  </w:style>
  <w:style w:type="paragraph" w:styleId="1091">
    <w:name w:val=" Char Char Char Char Char Char Char Char"/>
    <w:basedOn w:val="728"/>
    <w:next w:val="1091"/>
    <w:link w:val="728"/>
    <w:pPr>
      <w:spacing w:after="160" w:line="240" w:lineRule="exact"/>
    </w:pPr>
    <w:rPr>
      <w:rFonts w:ascii="Verdana" w:hAnsi="Verdana"/>
      <w:sz w:val="20"/>
      <w:szCs w:val="20"/>
      <w:lang w:eastAsia="en-US"/>
    </w:rPr>
  </w:style>
  <w:style w:type="character" w:styleId="1092">
    <w:name w:val="font21"/>
    <w:next w:val="1092"/>
    <w:link w:val="728"/>
    <w:rPr>
      <w:rFonts w:hint="eastAsia" w:ascii="微软雅黑" w:hAnsi="微软雅黑" w:eastAsia="微软雅黑" w:cs="微软雅黑"/>
      <w:i w:val="0"/>
      <w:iCs w:val="0"/>
      <w:color w:val="000000"/>
      <w:sz w:val="18"/>
      <w:szCs w:val="18"/>
      <w:u w:val="none"/>
    </w:rPr>
  </w:style>
  <w:style w:type="character" w:styleId="1093">
    <w:name w:val="prev2"/>
    <w:next w:val="1093"/>
    <w:link w:val="728"/>
    <w:rPr>
      <w:rFonts w:ascii="微软雅黑" w:hAnsi="微软雅黑" w:eastAsia="微软雅黑" w:cs="微软雅黑"/>
      <w:sz w:val="21"/>
      <w:szCs w:val="21"/>
    </w:rPr>
  </w:style>
  <w:style w:type="character" w:styleId="1094">
    <w:name w:val="next"/>
    <w:next w:val="1094"/>
    <w:link w:val="728"/>
    <w:rPr>
      <w:rFonts w:hint="eastAsia" w:ascii="微软雅黑" w:hAnsi="微软雅黑" w:eastAsia="微软雅黑" w:cs="微软雅黑"/>
      <w:sz w:val="21"/>
      <w:szCs w:val="21"/>
    </w:rPr>
  </w:style>
  <w:style w:type="character" w:styleId="1095">
    <w:name w:val="next1"/>
    <w:next w:val="1095"/>
    <w:link w:val="728"/>
    <w:rPr>
      <w:color w:val="888888"/>
    </w:rPr>
  </w:style>
  <w:style w:type="character" w:styleId="1096">
    <w:name w:val="gjfg"/>
    <w:next w:val="1096"/>
    <w:link w:val="728"/>
  </w:style>
  <w:style w:type="character" w:styleId="1097">
    <w:name w:val="displayarti"/>
    <w:next w:val="1097"/>
    <w:link w:val="728"/>
    <w:rPr>
      <w:color w:val="ffffff"/>
      <w:shd w:val="clear" w:color="auto" w:fill="a00000"/>
    </w:rPr>
  </w:style>
  <w:style w:type="character" w:styleId="1098">
    <w:name w:val="qxdate"/>
    <w:next w:val="1098"/>
    <w:link w:val="728"/>
    <w:rPr>
      <w:color w:val="333333"/>
      <w:sz w:val="18"/>
      <w:szCs w:val="18"/>
    </w:rPr>
  </w:style>
  <w:style w:type="character" w:styleId="1099">
    <w:name w:val="cfdate"/>
    <w:next w:val="1099"/>
    <w:link w:val="728"/>
    <w:rPr>
      <w:color w:val="333333"/>
      <w:sz w:val="18"/>
      <w:szCs w:val="18"/>
    </w:rPr>
  </w:style>
  <w:style w:type="character" w:styleId="1100">
    <w:name w:val="redfilenumber"/>
    <w:next w:val="1100"/>
    <w:link w:val="728"/>
    <w:rPr>
      <w:color w:val="ba2636"/>
      <w:sz w:val="18"/>
      <w:szCs w:val="18"/>
    </w:rPr>
  </w:style>
  <w:style w:type="paragraph" w:styleId="1101">
    <w:name w:val="首行缩进"/>
    <w:basedOn w:val="728"/>
    <w:next w:val="1101"/>
    <w:link w:val="728"/>
    <w:qFormat/>
    <w:pPr>
      <w:ind w:firstLine="420"/>
      <w:spacing w:after="0" w:line="360" w:lineRule="auto"/>
    </w:pPr>
    <w:rPr>
      <w:rFonts w:ascii="Times New Roman" w:hAnsi="Times New Roman"/>
      <w:sz w:val="20"/>
      <w:szCs w:val="20"/>
    </w:rPr>
  </w:style>
  <w:style w:type="paragraph" w:styleId="1102">
    <w:name w:val="正文1"/>
    <w:next w:val="1102"/>
    <w:link w:val="728"/>
    <w:qFormat/>
    <w:pPr>
      <w:spacing w:after="200" w:line="276" w:lineRule="auto"/>
    </w:pPr>
    <w:rPr>
      <w:sz w:val="22"/>
      <w:szCs w:val="22"/>
      <w:lang w:val="en-US" w:eastAsia="en-US" w:bidi="ar-SA"/>
    </w:rPr>
  </w:style>
  <w:style w:type="table" w:styleId="1103">
    <w:name w:val="网格型92"/>
    <w:basedOn w:val="739"/>
    <w:next w:val="1103"/>
    <w:link w:val="728"/>
    <w:uiPriority w:val="59"/>
    <w:qFormat/>
    <w:rPr>
      <w:rFonts w:ascii="Times New Roman" w:hAnsi="Times New Roman"/>
      <w:sz w:val="21"/>
    </w:rPr>
    <w:tblPr/>
  </w:style>
  <w:style w:type="character" w:styleId="1104">
    <w:name w:val="明显强调"/>
    <w:next w:val="1104"/>
    <w:link w:val="728"/>
    <w:uiPriority w:val="21"/>
    <w:qFormat/>
    <w:rPr>
      <w:i/>
      <w:iCs/>
      <w:color w:val="0f4761"/>
    </w:rPr>
  </w:style>
  <w:style w:type="paragraph" w:styleId="1105">
    <w:name w:val="Other|1"/>
    <w:basedOn w:val="728"/>
    <w:next w:val="1105"/>
    <w:link w:val="728"/>
    <w:qFormat/>
    <w:pPr>
      <w:ind w:firstLine="400"/>
      <w:jc w:val="left"/>
      <w:spacing w:line="422" w:lineRule="auto"/>
    </w:pPr>
    <w:rPr>
      <w:rFonts w:ascii="宋体" w:hAnsi="宋体" w:cs="宋体"/>
      <w:sz w:val="22"/>
      <w:szCs w:val="22"/>
      <w:lang w:val="zh-TW" w:eastAsia="zh-TW" w:bidi="zh-TW"/>
    </w:rPr>
  </w:style>
  <w:style w:type="paragraph" w:styleId="1106">
    <w:name w:val="0正文"/>
    <w:next w:val="1106"/>
    <w:link w:val="728"/>
    <w:qFormat/>
    <w:pPr>
      <w:ind w:firstLine="200"/>
    </w:pPr>
    <w:rPr>
      <w:sz w:val="21"/>
      <w:szCs w:val="21"/>
      <w:lang w:val="en-US" w:eastAsia="zh-CN" w:bidi="ar-SA"/>
    </w:rPr>
  </w:style>
  <w:style w:type="character" w:styleId="1107">
    <w:name w:val="font101"/>
    <w:next w:val="1107"/>
    <w:link w:val="728"/>
    <w:rPr>
      <w:rFonts w:ascii="方正仿宋_GBK" w:hAnsi="方正仿宋_GBK" w:eastAsia="方正仿宋_GBK" w:cs="方正仿宋_GBK"/>
      <w:b/>
      <w:bCs/>
      <w:i w:val="0"/>
      <w:iCs w:val="0"/>
      <w:color w:val="000000"/>
      <w:sz w:val="24"/>
      <w:szCs w:val="24"/>
      <w:u w:val="none"/>
    </w:rPr>
  </w:style>
  <w:style w:type="character" w:styleId="1108">
    <w:name w:val="font51"/>
    <w:next w:val="1108"/>
    <w:link w:val="728"/>
    <w:rPr>
      <w:rFonts w:ascii="Times New Roman" w:hAnsi="Times New Roman" w:cs="Times New Roman"/>
      <w:b/>
      <w:bCs/>
      <w:i w:val="0"/>
      <w:iCs w:val="0"/>
      <w:color w:val="000000"/>
      <w:sz w:val="24"/>
      <w:szCs w:val="24"/>
      <w:u w:val="none"/>
    </w:rPr>
  </w:style>
  <w:style w:type="character" w:styleId="1109">
    <w:name w:val="font112"/>
    <w:next w:val="1109"/>
    <w:link w:val="728"/>
    <w:rPr>
      <w:rFonts w:ascii="方正仿宋_GBK" w:hAnsi="方正仿宋_GBK" w:eastAsia="方正仿宋_GBK" w:cs="方正仿宋_GBK"/>
      <w:i w:val="0"/>
      <w:iCs w:val="0"/>
      <w:color w:val="000000"/>
      <w:sz w:val="22"/>
      <w:szCs w:val="22"/>
      <w:u w:val="none"/>
    </w:rPr>
  </w:style>
  <w:style w:type="character" w:styleId="1110">
    <w:name w:val="font121"/>
    <w:next w:val="1110"/>
    <w:link w:val="728"/>
    <w:rPr>
      <w:rFonts w:hint="eastAsia" w:ascii="宋体" w:hAnsi="宋体" w:eastAsia="宋体" w:cs="宋体"/>
      <w:i w:val="0"/>
      <w:iCs w:val="0"/>
      <w:color w:val="ff0000"/>
      <w:sz w:val="22"/>
      <w:szCs w:val="22"/>
      <w:u w:val="none"/>
    </w:rPr>
  </w:style>
  <w:style w:type="character" w:styleId="1111">
    <w:name w:val="font41"/>
    <w:next w:val="1111"/>
    <w:link w:val="728"/>
    <w:rPr>
      <w:rFonts w:ascii="Times New Roman" w:hAnsi="Times New Roman" w:cs="Times New Roman"/>
      <w:i w:val="0"/>
      <w:iCs w:val="0"/>
      <w:color w:val="ff0000"/>
      <w:sz w:val="22"/>
      <w:szCs w:val="22"/>
      <w:u w:val="none"/>
    </w:rPr>
  </w:style>
  <w:style w:type="character" w:styleId="1112">
    <w:name w:val="font31"/>
    <w:next w:val="1112"/>
    <w:link w:val="728"/>
    <w:rPr>
      <w:rFonts w:ascii="Times New Roman" w:hAnsi="Times New Roman" w:cs="Times New Roman"/>
      <w:i w:val="0"/>
      <w:iCs w:val="0"/>
      <w:color w:val="000000"/>
      <w:sz w:val="22"/>
      <w:szCs w:val="22"/>
      <w:u w:val="none"/>
    </w:rPr>
  </w:style>
  <w:style w:type="character" w:styleId="1113">
    <w:name w:val="font131"/>
    <w:next w:val="1113"/>
    <w:link w:val="728"/>
    <w:rPr>
      <w:rFonts w:ascii="方正仿宋_GBK" w:hAnsi="方正仿宋_GBK" w:eastAsia="方正仿宋_GBK" w:cs="方正仿宋_GBK"/>
      <w:i w:val="0"/>
      <w:iCs w:val="0"/>
      <w:color w:val="ff0000"/>
      <w:sz w:val="22"/>
      <w:szCs w:val="22"/>
      <w:u w:val="none"/>
    </w:rPr>
  </w:style>
  <w:style w:type="character" w:styleId="1114">
    <w:name w:val="font141"/>
    <w:next w:val="1114"/>
    <w:link w:val="728"/>
    <w:rPr>
      <w:rFonts w:ascii="方正仿宋_GBK" w:hAnsi="方正仿宋_GBK" w:eastAsia="方正仿宋_GBK" w:cs="方正仿宋_GBK"/>
      <w:i w:val="0"/>
      <w:iCs w:val="0"/>
      <w:color w:val="000000"/>
      <w:sz w:val="22"/>
      <w:szCs w:val="22"/>
      <w:u w:val="none"/>
    </w:rPr>
  </w:style>
  <w:style w:type="character" w:styleId="1115">
    <w:name w:val="font151"/>
    <w:next w:val="1115"/>
    <w:link w:val="728"/>
    <w:rPr>
      <w:rFonts w:ascii="Times New Roman" w:hAnsi="Times New Roman" w:cs="Times New Roman"/>
      <w:i w:val="0"/>
      <w:iCs w:val="0"/>
      <w:color w:val="ff0000"/>
      <w:sz w:val="22"/>
      <w:szCs w:val="22"/>
      <w:u w:val="none"/>
    </w:rPr>
  </w:style>
  <w:style w:type="character" w:styleId="1116">
    <w:name w:val="font71"/>
    <w:next w:val="1116"/>
    <w:link w:val="728"/>
    <w:rPr>
      <w:rFonts w:ascii="Times New Roman" w:hAnsi="Times New Roman" w:cs="Times New Roman"/>
      <w:i w:val="0"/>
      <w:iCs w:val="0"/>
      <w:color w:val="0d0d0d"/>
      <w:sz w:val="22"/>
      <w:szCs w:val="22"/>
      <w:u w:val="none"/>
    </w:rPr>
  </w:style>
  <w:style w:type="character" w:styleId="1117">
    <w:name w:val="font161"/>
    <w:next w:val="1117"/>
    <w:link w:val="728"/>
    <w:rPr>
      <w:rFonts w:hint="eastAsia" w:ascii="宋体" w:hAnsi="宋体" w:eastAsia="宋体" w:cs="宋体"/>
      <w:i w:val="0"/>
      <w:iCs w:val="0"/>
      <w:color w:val="000000"/>
      <w:sz w:val="22"/>
      <w:szCs w:val="22"/>
      <w:u w:val="none"/>
    </w:rPr>
  </w:style>
  <w:style w:type="character" w:styleId="1118">
    <w:name w:val="font171"/>
    <w:next w:val="1118"/>
    <w:link w:val="728"/>
    <w:rPr>
      <w:rFonts w:ascii="方正仿宋_GBK" w:hAnsi="方正仿宋_GBK" w:eastAsia="方正仿宋_GBK" w:cs="方正仿宋_GBK"/>
      <w:i w:val="0"/>
      <w:iCs w:val="0"/>
      <w:color w:val="000000"/>
      <w:sz w:val="20"/>
      <w:szCs w:val="20"/>
      <w:u w:val="none"/>
    </w:rPr>
  </w:style>
  <w:style w:type="character" w:styleId="1119">
    <w:name w:val="font81"/>
    <w:next w:val="1119"/>
    <w:link w:val="728"/>
    <w:rPr>
      <w:rFonts w:ascii="Times New Roman" w:hAnsi="Times New Roman" w:cs="Times New Roman"/>
      <w:i w:val="0"/>
      <w:iCs w:val="0"/>
      <w:color w:val="000000"/>
      <w:sz w:val="20"/>
      <w:szCs w:val="20"/>
      <w:u w:val="none"/>
    </w:rPr>
  </w:style>
  <w:style w:type="character" w:styleId="1120">
    <w:name w:val="font181"/>
    <w:next w:val="1120"/>
    <w:link w:val="728"/>
    <w:rPr>
      <w:rFonts w:ascii="方正仿宋_GBK" w:hAnsi="方正仿宋_GBK" w:eastAsia="方正仿宋_GBK" w:cs="方正仿宋_GBK"/>
      <w:i w:val="0"/>
      <w:iCs w:val="0"/>
      <w:color w:val="ff0000"/>
      <w:sz w:val="20"/>
      <w:szCs w:val="20"/>
      <w:u w:val="none"/>
    </w:rPr>
  </w:style>
  <w:style w:type="character" w:styleId="1121">
    <w:name w:val="font91"/>
    <w:next w:val="1121"/>
    <w:link w:val="728"/>
    <w:rPr>
      <w:rFonts w:ascii="Times New Roman" w:hAnsi="Times New Roman" w:cs="Times New Roman"/>
      <w:i w:val="0"/>
      <w:iCs w:val="0"/>
      <w:color w:val="ff0000"/>
      <w:sz w:val="20"/>
      <w:szCs w:val="20"/>
      <w:u w:val="none"/>
    </w:rPr>
  </w:style>
  <w:style w:type="character" w:styleId="1122">
    <w:name w:val="font191"/>
    <w:next w:val="1122"/>
    <w:link w:val="728"/>
    <w:rPr>
      <w:rFonts w:hint="eastAsia" w:ascii="宋体" w:hAnsi="宋体" w:eastAsia="宋体" w:cs="宋体"/>
      <w:i w:val="0"/>
      <w:iCs w:val="0"/>
      <w:color w:val="000000"/>
      <w:sz w:val="22"/>
      <w:szCs w:val="22"/>
      <w:u w:val="none"/>
    </w:rPr>
  </w:style>
  <w:style w:type="character" w:styleId="1123">
    <w:name w:val="font201"/>
    <w:next w:val="1123"/>
    <w:link w:val="728"/>
    <w:rPr>
      <w:rFonts w:ascii="方正仿宋_GBK" w:hAnsi="方正仿宋_GBK" w:eastAsia="方正仿宋_GBK" w:cs="方正仿宋_GBK"/>
      <w:i w:val="0"/>
      <w:iCs w:val="0"/>
      <w:color w:val="000000"/>
      <w:sz w:val="24"/>
      <w:szCs w:val="24"/>
      <w:u w:val="none"/>
    </w:rPr>
  </w:style>
  <w:style w:type="character" w:styleId="1124" w:default="1">
    <w:name w:val="Default Paragraph Font"/>
    <w:uiPriority w:val="1"/>
    <w:semiHidden/>
    <w:unhideWhenUsed/>
  </w:style>
  <w:style w:type="numbering" w:styleId="1125" w:default="1">
    <w:name w:val="No List"/>
    <w:uiPriority w:val="99"/>
    <w:semiHidden/>
    <w:unhideWhenUsed/>
  </w:style>
  <w:style w:type="table" w:styleId="1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戴静</cp:lastModifiedBy>
  <cp:revision>4</cp:revision>
  <dcterms:created xsi:type="dcterms:W3CDTF">2026-06-02T00:23:00Z</dcterms:created>
  <dcterms:modified xsi:type="dcterms:W3CDTF">2026-06-03T07:58:29Z</dcterms:modified>
</cp:coreProperties>
</file>