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65"/>
        <w:ind w:firstLine="300"/>
        <w:spacing w:line="360" w:lineRule="auto"/>
        <w:rPr>
          <w:rFonts w:ascii="宋体" w:hAnsi="宋体"/>
          <w:sz w:val="60"/>
          <w:szCs w:val="60"/>
        </w:rPr>
      </w:pPr>
      <w:r>
        <w:rPr>
          <w:rFonts w:ascii="宋体" w:hAnsi="宋体"/>
          <w:sz w:val="60"/>
          <w:szCs w:val="60"/>
        </w:rPr>
      </w:r>
      <w:r/>
    </w:p>
    <w:p>
      <w:pPr>
        <w:pStyle w:val="1065"/>
        <w:jc w:val="center"/>
        <w:rPr>
          <w:rFonts w:ascii="宋体" w:hAnsi="宋体"/>
          <w:b/>
          <w:bCs/>
          <w:sz w:val="60"/>
          <w:szCs w:val="60"/>
        </w:rPr>
      </w:pPr>
      <w:r>
        <w:rPr>
          <w:rFonts w:ascii="宋体" w:hAnsi="宋体"/>
          <w:b/>
          <w:bCs/>
          <w:sz w:val="60"/>
          <w:szCs w:val="60"/>
        </w:rPr>
        <w:t xml:space="preserve">常州市政府采购项目</w:t>
      </w:r>
      <w:r/>
    </w:p>
    <w:p>
      <w:pPr>
        <w:pStyle w:val="1065"/>
        <w:jc w:val="center"/>
        <w:rPr>
          <w:rFonts w:ascii="宋体" w:hAnsi="宋体"/>
          <w:b/>
          <w:bCs/>
          <w:sz w:val="60"/>
          <w:szCs w:val="60"/>
        </w:rPr>
      </w:pPr>
      <w:r>
        <w:rPr>
          <w:rFonts w:ascii="宋体" w:hAnsi="宋体"/>
          <w:b/>
          <w:bCs/>
          <w:sz w:val="60"/>
          <w:szCs w:val="60"/>
        </w:rPr>
      </w:r>
      <w:r/>
    </w:p>
    <w:p>
      <w:pPr>
        <w:pStyle w:val="106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65"/>
        <w:jc w:val="center"/>
        <w:rPr>
          <w:rFonts w:ascii="宋体" w:hAnsi="宋体"/>
          <w:b/>
          <w:bCs/>
          <w:sz w:val="60"/>
          <w:szCs w:val="60"/>
        </w:rPr>
      </w:pPr>
      <w:r>
        <w:rPr>
          <w:rFonts w:ascii="宋体" w:hAnsi="宋体"/>
          <w:b/>
          <w:bCs/>
          <w:sz w:val="60"/>
          <w:szCs w:val="60"/>
        </w:rPr>
      </w:r>
      <w:r/>
    </w:p>
    <w:p>
      <w:pPr>
        <w:pStyle w:val="1065"/>
        <w:jc w:val="center"/>
        <w:rPr>
          <w:rFonts w:ascii="宋体" w:hAnsi="宋体"/>
          <w:b/>
          <w:bCs/>
          <w:sz w:val="60"/>
          <w:szCs w:val="60"/>
        </w:rPr>
      </w:pPr>
      <w:r>
        <w:rPr>
          <w:rFonts w:ascii="宋体" w:hAnsi="宋体"/>
          <w:b/>
          <w:bCs/>
          <w:sz w:val="60"/>
          <w:szCs w:val="60"/>
        </w:rPr>
      </w:r>
      <w:r/>
    </w:p>
    <w:p>
      <w:pPr>
        <w:pStyle w:val="1065"/>
        <w:jc w:val="center"/>
        <w:spacing w:line="360" w:lineRule="auto"/>
        <w:rPr>
          <w:rFonts w:ascii="宋体" w:hAnsi="宋体"/>
          <w:sz w:val="60"/>
          <w:szCs w:val="60"/>
        </w:rPr>
      </w:pPr>
      <w:r>
        <w:rPr>
          <w:rFonts w:ascii="宋体" w:hAnsi="宋体"/>
          <w:sz w:val="60"/>
          <w:szCs w:val="60"/>
        </w:rPr>
      </w:r>
      <w:r/>
    </w:p>
    <w:p>
      <w:pPr>
        <w:pStyle w:val="10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运动场建设项目</w:t>
      </w:r>
      <w:r>
        <w:rPr>
          <w:rFonts w:ascii="宋体" w:hAnsi="宋体"/>
          <w:bCs/>
          <w:sz w:val="36"/>
          <w:szCs w:val="36"/>
        </w:rPr>
      </w:r>
      <w:r/>
    </w:p>
    <w:p>
      <w:pPr>
        <w:pStyle w:val="10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JSZC-320400-CTZB-G2026-0077</w:t>
      </w:r>
      <w:r>
        <w:rPr>
          <w:rFonts w:ascii="宋体" w:hAnsi="宋体"/>
          <w:bCs/>
          <w:sz w:val="36"/>
          <w:szCs w:val="36"/>
        </w:rPr>
      </w:r>
      <w:r/>
    </w:p>
    <w:p>
      <w:pPr>
        <w:pStyle w:val="10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常州纺织服装职业技术学院</w:t>
      </w:r>
      <w:r>
        <w:rPr>
          <w:rFonts w:ascii="宋体" w:hAnsi="宋体"/>
          <w:bCs/>
          <w:sz w:val="36"/>
          <w:szCs w:val="36"/>
        </w:rPr>
      </w:r>
      <w:r/>
    </w:p>
    <w:p>
      <w:pPr>
        <w:pStyle w:val="1065"/>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r>
      <w:r/>
    </w:p>
    <w:p>
      <w:pPr>
        <w:pStyle w:val="106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6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65"/>
        <w:rPr>
          <w:rFonts w:ascii="宋体" w:hAnsi="宋体"/>
        </w:rPr>
      </w:pPr>
      <w:r>
        <w:rPr>
          <w:rFonts w:ascii="宋体" w:hAnsi="宋体"/>
        </w:rPr>
      </w:r>
      <w:r/>
    </w:p>
    <w:p>
      <w:pPr>
        <w:pStyle w:val="1065"/>
        <w:rPr>
          <w:rFonts w:ascii="宋体" w:hAnsi="宋体"/>
        </w:rPr>
      </w:pPr>
      <w:r>
        <w:rPr>
          <w:rFonts w:ascii="宋体" w:hAnsi="宋体"/>
        </w:rPr>
      </w:r>
      <w:r/>
    </w:p>
    <w:p>
      <w:pPr>
        <w:pStyle w:val="1065"/>
        <w:rPr>
          <w:rFonts w:ascii="宋体" w:hAnsi="宋体"/>
        </w:rPr>
      </w:pPr>
      <w:r>
        <w:rPr>
          <w:rFonts w:ascii="宋体" w:hAnsi="宋体"/>
        </w:rPr>
      </w:r>
      <w:r/>
    </w:p>
    <w:p>
      <w:pPr>
        <w:pStyle w:val="1118"/>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1"/>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rFonts w:hint="eastAsia"/>
          <w:sz w:val="32"/>
          <w:szCs w:val="32"/>
        </w:rPr>
        <w:t xml:space="preserve">1</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1"/>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rFonts w:hint="eastAsia"/>
          <w:sz w:val="32"/>
          <w:szCs w:val="32"/>
        </w:rPr>
        <w:t xml:space="preserve">8</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1"/>
          <w:color w:val="000000"/>
          <w:sz w:val="32"/>
          <w:szCs w:val="32"/>
        </w:rPr>
        <w:t xml:space="preserve">第三章   资</w:t>
      </w:r>
      <w:bookmarkStart w:id="1" w:name="_Hlt100754117"/>
      <w:r>
        <w:rPr>
          <w:rStyle w:val="1141"/>
          <w:color w:val="000000"/>
          <w:sz w:val="32"/>
          <w:szCs w:val="32"/>
        </w:rPr>
        <w:t xml:space="preserve">格</w:t>
      </w:r>
      <w:bookmarkEnd w:id="1"/>
      <w:r>
        <w:rPr>
          <w:rStyle w:val="1141"/>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rFonts w:hint="eastAsia"/>
          <w:sz w:val="32"/>
          <w:szCs w:val="32"/>
        </w:rPr>
        <w:t xml:space="preserve">26</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1"/>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rFonts w:hint="eastAsia"/>
          <w:sz w:val="32"/>
          <w:szCs w:val="32"/>
        </w:rPr>
        <w:t xml:space="preserve">28</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1"/>
          <w:color w:val="000000"/>
          <w:sz w:val="32"/>
          <w:szCs w:val="32"/>
        </w:rPr>
        <w:t xml:space="preserve">第五章   采购</w:t>
      </w:r>
      <w:bookmarkStart w:id="2" w:name="_Hlt100754102"/>
      <w:r/>
      <w:bookmarkStart w:id="3" w:name="_Hlt100754103"/>
      <w:r>
        <w:rPr>
          <w:rStyle w:val="1141"/>
          <w:color w:val="000000"/>
          <w:sz w:val="32"/>
          <w:szCs w:val="32"/>
        </w:rPr>
        <w:t xml:space="preserve">需</w:t>
      </w:r>
      <w:bookmarkEnd w:id="2"/>
      <w:r/>
      <w:bookmarkEnd w:id="3"/>
      <w:r>
        <w:rPr>
          <w:rStyle w:val="1141"/>
          <w:color w:val="000000"/>
          <w:sz w:val="32"/>
          <w:szCs w:val="32"/>
        </w:rPr>
        <w:t xml:space="preserve">求</w:t>
      </w:r>
      <w:r>
        <w:rPr>
          <w:sz w:val="32"/>
          <w:szCs w:val="32"/>
        </w:rPr>
        <w:tab/>
      </w:r>
      <w:r>
        <w:rPr>
          <w:sz w:val="32"/>
          <w:szCs w:val="32"/>
        </w:rPr>
        <w:fldChar w:fldCharType="begin"/>
      </w:r>
      <w:r>
        <w:rPr>
          <w:sz w:val="32"/>
          <w:szCs w:val="32"/>
        </w:rPr>
        <w:instrText xml:space="preserve"> PAGE</w:instrText>
      </w:r>
      <w:r>
        <w:rPr>
          <w:sz w:val="32"/>
          <w:szCs w:val="32"/>
        </w:rPr>
        <w:instrText xml:space="preserve">REF _Toc99301424 \h </w:instrText>
      </w:r>
      <w:r>
        <w:rPr>
          <w:sz w:val="32"/>
          <w:szCs w:val="32"/>
        </w:rPr>
        <w:fldChar w:fldCharType="separate"/>
      </w:r>
      <w:r>
        <w:rPr>
          <w:rFonts w:hint="eastAsia"/>
          <w:sz w:val="32"/>
          <w:szCs w:val="32"/>
        </w:rPr>
        <w:t xml:space="preserve">39</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1"/>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rFonts w:hint="eastAsia"/>
          <w:sz w:val="32"/>
          <w:szCs w:val="32"/>
        </w:rPr>
        <w:t xml:space="preserve">46</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1"/>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rFonts w:hint="eastAsia"/>
          <w:sz w:val="32"/>
          <w:szCs w:val="32"/>
        </w:rPr>
        <w:t xml:space="preserve">70</w:t>
      </w:r>
      <w:r>
        <w:rPr>
          <w:sz w:val="32"/>
          <w:szCs w:val="32"/>
        </w:rPr>
        <w:fldChar w:fldCharType="end"/>
      </w:r>
      <w:r>
        <w:rPr>
          <w:sz w:val="32"/>
          <w:szCs w:val="32"/>
        </w:rPr>
        <w:fldChar w:fldCharType="end"/>
      </w:r>
      <w:r>
        <w:rPr>
          <w:b w:val="0"/>
          <w:sz w:val="32"/>
          <w:szCs w:val="32"/>
        </w:rPr>
      </w:r>
      <w:r/>
    </w:p>
    <w:p>
      <w:pPr>
        <w:pStyle w:val="1118"/>
        <w:spacing w:line="720" w:lineRule="auto"/>
        <w:rPr>
          <w:b w:val="0"/>
        </w:rPr>
      </w:pPr>
      <w:r>
        <w:rPr>
          <w:b w:val="0"/>
          <w:sz w:val="32"/>
          <w:szCs w:val="32"/>
        </w:rPr>
        <w:fldChar w:fldCharType="end"/>
      </w:r>
      <w:r>
        <w:rPr>
          <w:b w:val="0"/>
        </w:rPr>
      </w:r>
      <w:r/>
    </w:p>
    <w:p>
      <w:pPr>
        <w:pStyle w:val="106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6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6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运动场建设项目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2026年7月20日9点00分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67"/>
        <w:ind w:firstLine="643"/>
        <w:jc w:val="left"/>
        <w:spacing w:before="240" w:line="360" w:lineRule="auto"/>
        <w:rPr>
          <w:rFonts w:ascii="仿宋" w:hAnsi="仿宋" w:eastAsia="仿宋"/>
          <w:sz w:val="32"/>
          <w:szCs w:val="32"/>
        </w:rPr>
      </w:pPr>
      <w:r/>
      <w:bookmarkStart w:id="5" w:name="_Toc35393621"/>
      <w:r/>
      <w:bookmarkStart w:id="6" w:name="_Toc28359002"/>
      <w:r/>
      <w:bookmarkStart w:id="7" w:name="_Toc35393790"/>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JSZC-320400-CTZB-G2026-0077</w:t>
      </w:r>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运动场建设项目</w:t>
      </w:r>
      <w:r>
        <w:rPr>
          <w:rFonts w:ascii="仿宋" w:hAnsi="仿宋" w:eastAsia="仿宋"/>
          <w:sz w:val="32"/>
          <w:szCs w:val="32"/>
        </w:rPr>
      </w:r>
      <w:r/>
    </w:p>
    <w:p>
      <w:pPr>
        <w:pStyle w:val="1065"/>
        <w:ind w:firstLine="640"/>
        <w:spacing w:line="360" w:lineRule="auto"/>
        <w:tabs>
          <w:tab w:val="left" w:pos="5479" w:leader="none"/>
        </w:tabs>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480万元</w:t>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479.799340万元</w:t>
      </w:r>
      <w:r>
        <w:rPr>
          <w:rFonts w:ascii="仿宋" w:hAnsi="仿宋" w:eastAsia="仿宋"/>
          <w:sz w:val="32"/>
          <w:szCs w:val="32"/>
        </w:rPr>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（1）工程地点：常州纺织服装职业技术学院内</w:t>
      </w:r>
      <w:r>
        <w:rPr>
          <w:rFonts w:ascii="仿宋" w:hAnsi="仿宋" w:eastAsia="仿宋"/>
          <w:sz w:val="32"/>
          <w:szCs w:val="32"/>
        </w:rPr>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（2）工程规模：改造面积约29000平方米</w:t>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（3）质量等级要求：按国家相关验收标准，一次性验收合格 </w:t>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（4）质保期：至少5年</w:t>
      </w:r>
      <w:r>
        <w:rPr>
          <w:rFonts w:ascii="仿宋" w:hAnsi="仿宋" w:eastAsia="仿宋"/>
          <w:sz w:val="32"/>
          <w:szCs w:val="32"/>
        </w:rPr>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（5）项目类型：政府采购工程</w:t>
      </w:r>
      <w:r/>
    </w:p>
    <w:p>
      <w:pPr>
        <w:pStyle w:val="1065"/>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（6）本次招标范围：常州纺织服装职业技术学院运动场建设项目，改</w:t>
      </w:r>
      <w:r>
        <w:rPr>
          <w:rFonts w:hint="eastAsia" w:ascii="仿宋" w:hAnsi="仿宋" w:eastAsia="仿宋"/>
          <w:sz w:val="32"/>
          <w:szCs w:val="32"/>
        </w:rPr>
        <w:t xml:space="preserve">造范围包括足球场、田径场、篮球场。施工主要内容：原有约8000平方米足球场面层清除、废料清运、新做面层（减震垫，50厚人工草坪,石英砂,EPDM橡胶颗粒,划线等）；原有约13000平方米田径场面层拆除后新做塑胶面层；原有约8000平方米篮球场面层打磨,废料外运,刮涂硅PU弹性层、加强层、面漆；投光灯及电气配套；预埋穿线管、修复部分沉降排水沟；施工过程中成品保护、安全防护等配套工作。要求供应商根据招标文件、图纸、清单及相关标准、规范的要求进行改造,满足安全及使用功能需求。</w:t>
      </w:r>
      <w:r>
        <w:rPr>
          <w:rFonts w:hint="eastAsia" w:ascii="仿宋" w:hAnsi="仿宋" w:eastAsia="仿宋" w:cs="宋体"/>
          <w:b/>
          <w:spacing w:val="2"/>
          <w:sz w:val="32"/>
          <w:szCs w:val="32"/>
        </w:rPr>
      </w:r>
      <w:r/>
    </w:p>
    <w:p>
      <w:pPr>
        <w:pStyle w:val="1065"/>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合同履行期限：自采购人发出进场通知次日起算，60个日历日内竣工。</w:t>
      </w:r>
      <w:r>
        <w:rPr>
          <w:rFonts w:ascii="仿宋" w:hAnsi="仿宋" w:eastAsia="仿宋"/>
          <w:sz w:val="32"/>
          <w:szCs w:val="32"/>
          <w:u w:val="single"/>
        </w:rPr>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67"/>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03"/>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w:t>
      </w:r>
      <w:r>
        <w:rPr>
          <w:rFonts w:hint="eastAsia" w:ascii="仿宋" w:hAnsi="仿宋" w:eastAsia="仿宋"/>
          <w:sz w:val="32"/>
          <w:szCs w:val="32"/>
        </w:rPr>
        <w:t xml:space="preserve">代表人为同一个人的两个及两个以上法人，母公司、全资子公司及其控股公司），不得参加同一合同项下的政府采购活动。</w:t>
      </w:r>
      <w:r>
        <w:rPr>
          <w:rFonts w:ascii="仿宋" w:hAnsi="仿宋" w:eastAsia="仿宋"/>
          <w:sz w:val="32"/>
          <w:szCs w:val="32"/>
        </w:rPr>
      </w:r>
      <w:r/>
    </w:p>
    <w:p>
      <w:pPr>
        <w:pStyle w:val="1065"/>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65"/>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hint="eastAsia" w:ascii="仿宋" w:hAnsi="仿宋" w:eastAsia="仿宋"/>
          <w:b/>
          <w:sz w:val="32"/>
          <w:szCs w:val="32"/>
        </w:rPr>
        <w:t xml:space="preserve">提供的工程全部由符合政策要求的中小/小微企业承建。</w:t>
      </w:r>
      <w:r>
        <w:rPr>
          <w:rFonts w:ascii="仿宋" w:hAnsi="仿宋" w:eastAsia="仿宋"/>
          <w:b/>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6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6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6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u w:val="single"/>
        </w:rPr>
      </w:pPr>
      <w:r>
        <w:rPr>
          <w:rFonts w:ascii="仿宋" w:hAnsi="仿宋" w:eastAsia="仿宋"/>
          <w:sz w:val="32"/>
          <w:szCs w:val="32"/>
        </w:rPr>
        <w:t xml:space="preserve">3.3其他特定资格要求：</w:t>
      </w:r>
      <w:r>
        <w:rPr>
          <w:rFonts w:ascii="仿宋" w:hAnsi="仿宋" w:eastAsia="仿宋"/>
          <w:sz w:val="32"/>
          <w:szCs w:val="32"/>
          <w:u w:val="single"/>
        </w:rPr>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3.3.1供应商资质类别、等级：</w:t>
      </w:r>
      <w:r>
        <w:rPr>
          <w:rFonts w:ascii="仿宋" w:hAnsi="仿宋" w:eastAsia="仿宋"/>
          <w:sz w:val="32"/>
          <w:szCs w:val="32"/>
        </w:rPr>
      </w:r>
      <w:r/>
    </w:p>
    <w:p>
      <w:pPr>
        <w:pStyle w:val="106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①具备有效的中华人民共和国建设行政主管部门颁发的建筑工程施工总承包三级（含）或市政公用工程施工总承包三级(含)及以上资质；同时具备有效的安全生产许可证</w:t>
      </w:r>
      <w:r>
        <w:rPr>
          <w:rFonts w:hint="eastAsia" w:ascii="仿宋" w:hAnsi="仿宋" w:eastAsia="仿宋"/>
          <w:b/>
          <w:bCs/>
          <w:sz w:val="32"/>
          <w:szCs w:val="32"/>
        </w:rPr>
        <w:t xml:space="preserve">（提供有效的证书复印件加盖公章）；</w:t>
      </w:r>
      <w:r>
        <w:rPr>
          <w:rFonts w:hint="eastAsia" w:ascii="仿宋" w:hAnsi="仿宋" w:eastAsia="仿宋"/>
          <w:sz w:val="32"/>
          <w:szCs w:val="32"/>
        </w:rPr>
      </w:r>
      <w:r/>
    </w:p>
    <w:p>
      <w:pPr>
        <w:pStyle w:val="106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②供应商不得存在下列情形之一：a.为本项目的监理人、代建人、项目管理人，以及为本项目提供招标代理、设计服务的；b.与本项目的监理人、代建人、招标</w:t>
      </w:r>
      <w:r>
        <w:rPr>
          <w:rFonts w:hint="eastAsia" w:ascii="仿宋" w:hAnsi="仿宋" w:eastAsia="仿宋"/>
          <w:sz w:val="32"/>
          <w:szCs w:val="32"/>
        </w:rPr>
        <w:t xml:space="preserve">代理机构同为一个法定代表人的，或者相互控股、参股的；c.与采购人存在利害关系可能影响采购公正性的；d.单位负责人为同一人或者存在控股、管理关系的不同单位；处于被责令停业、财产被接管、冻结和破产状态，以及投标资格被取消或者被暂停且在暂停期内；e.因拖欠工人工资或者因发生质量安全事故被有关部门限制在采购项目所在地承接工程的；f.供应商近 3 年内有行贿犯罪行为且被记录或者法定代表人有行贿犯罪记录且自记录之日起未超过 5 年的；g.不符合法律、法规规定的其他条件。</w:t>
      </w:r>
      <w:r/>
    </w:p>
    <w:p>
      <w:pPr>
        <w:pStyle w:val="106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3.3.2项目负责人注册建造师专业、等级：</w:t>
      </w:r>
      <w:r/>
    </w:p>
    <w:p>
      <w:pPr>
        <w:pStyle w:val="106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①具有</w:t>
      </w:r>
      <w:r>
        <w:rPr>
          <w:rFonts w:hint="eastAsia" w:ascii="仿宋" w:hAnsi="仿宋" w:eastAsia="仿宋"/>
          <w:b/>
          <w:bCs/>
          <w:sz w:val="32"/>
          <w:szCs w:val="32"/>
        </w:rPr>
        <w:t xml:space="preserve">建筑工程或市政公用工程</w:t>
      </w:r>
      <w:r>
        <w:rPr>
          <w:rFonts w:hint="eastAsia" w:ascii="仿宋" w:hAnsi="仿宋" w:eastAsia="仿宋"/>
          <w:sz w:val="32"/>
          <w:szCs w:val="32"/>
        </w:rPr>
        <w:t xml:space="preserve">专业二级及以上注册建造师资格，具有有效的建设行政主管部门核发的安全生产考核合格证（B 证），具有社保机构出具的注册单位2026年3月-5月为注册建造师缴纳社会基本养老保险的缴纳凭证，中标后不得更改项目负责人。如提供的施工项目负责人为一级建造师，必须符合《住房和城乡建设部办公厅关于全面实行一级建造师电子注册证书的通知》（建办市【2021】40 号）文件的要求。</w:t>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②注册建造师不得同时在两个或者两个以上单位受聘或者执业；注册建造师无在建工程；注册建造师无行贿犯罪行为记录或者有行贿犯罪行为记</w:t>
      </w:r>
      <w:r>
        <w:rPr>
          <w:rFonts w:hint="eastAsia" w:ascii="仿宋" w:hAnsi="仿宋" w:eastAsia="仿宋"/>
          <w:sz w:val="32"/>
          <w:szCs w:val="32"/>
        </w:rPr>
        <w:t xml:space="preserve">录，但自记录之日起已超过5年的。</w:t>
      </w:r>
      <w:r>
        <w:rPr>
          <w:rFonts w:ascii="仿宋" w:hAnsi="仿宋" w:eastAsia="仿宋"/>
          <w:sz w:val="32"/>
          <w:szCs w:val="32"/>
        </w:rPr>
      </w:r>
      <w:r/>
    </w:p>
    <w:p>
      <w:pPr>
        <w:pStyle w:val="1065"/>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注：严禁转包、违法分包、挂靠，一旦发现中标人存在非法转包、违法分包、挂靠等行为的，将依法进行处理，给采购人造成损失的依法承担赔偿责任。</w:t>
      </w:r>
      <w:r/>
    </w:p>
    <w:p>
      <w:pPr>
        <w:pStyle w:val="1067"/>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65"/>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年6月</w:t>
      </w:r>
      <w:r>
        <w:rPr>
          <w:rFonts w:hint="eastAsia" w:ascii="仿宋" w:hAnsi="仿宋" w:eastAsia="仿宋" w:cs="宋体"/>
          <w:sz w:val="32"/>
          <w:szCs w:val="32"/>
        </w:rPr>
        <w:t xml:space="preserve">29</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年7月6日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106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6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6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67"/>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6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年7月20日9</w:t>
      </w:r>
      <w:r>
        <w:rPr>
          <w:rFonts w:hint="eastAsia" w:ascii="仿宋" w:hAnsi="仿宋" w:eastAsia="仿宋"/>
          <w:sz w:val="32"/>
          <w:szCs w:val="32"/>
          <w:lang w:bidi="ar"/>
        </w:rPr>
        <w:t xml:space="preserve">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6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67"/>
        <w:ind w:firstLine="643"/>
        <w:jc w:val="left"/>
        <w:spacing w:before="0" w:line="360" w:lineRule="auto"/>
        <w:rPr>
          <w:rFonts w:ascii="仿宋" w:hAnsi="仿宋" w:eastAsia="仿宋"/>
          <w:sz w:val="32"/>
          <w:szCs w:val="32"/>
        </w:rPr>
      </w:pPr>
      <w:r/>
      <w:bookmarkStart w:id="22" w:name="_Toc35393625"/>
      <w:r/>
      <w:bookmarkStart w:id="23" w:name="_Toc28359084"/>
      <w:r/>
      <w:bookmarkStart w:id="24" w:name="_Toc28359007"/>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67"/>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6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w:t>
      </w:r>
      <w:r>
        <w:rPr>
          <w:rFonts w:hint="eastAsia" w:ascii="仿宋" w:hAnsi="仿宋" w:eastAsia="仿宋"/>
          <w:sz w:val="32"/>
          <w:szCs w:val="32"/>
          <w:lang w:bidi="ar"/>
        </w:rPr>
        <w:t xml:space="preserve">iangsu.gov.cn/jiangsu/zlxz/ee/ee3a4bc5a3454aa2b0d9312230633ce9.html。</w:t>
      </w:r>
      <w:r/>
    </w:p>
    <w:p>
      <w:pPr>
        <w:pStyle w:val="106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6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rPr>
          <w:rFonts w:ascii="仿宋" w:hAnsi="仿宋" w:eastAsia="仿宋"/>
          <w:sz w:val="32"/>
          <w:szCs w:val="32"/>
          <w:lang w:val="zh-TW" w:bidi="ar"/>
        </w:rPr>
      </w:r>
      <w:r/>
    </w:p>
    <w:p>
      <w:pPr>
        <w:pStyle w:val="106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w:t>
      </w:r>
      <w:r>
        <w:rPr>
          <w:rFonts w:hint="eastAsia" w:ascii="仿宋" w:hAnsi="仿宋" w:eastAsia="仿宋"/>
          <w:sz w:val="32"/>
          <w:szCs w:val="32"/>
          <w:lang w:val="zh-TW" w:bidi="ar"/>
        </w:rPr>
        <w:t xml:space="preserve">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67"/>
        <w:ind w:firstLine="643"/>
        <w:jc w:val="left"/>
        <w:spacing w:before="0" w:line="360" w:lineRule="auto"/>
        <w:rPr>
          <w:rFonts w:ascii="仿宋" w:hAnsi="仿宋" w:eastAsia="仿宋"/>
          <w:sz w:val="32"/>
          <w:szCs w:val="32"/>
        </w:rPr>
      </w:pPr>
      <w:r/>
      <w:bookmarkStart w:id="28" w:name="_Toc35393627"/>
      <w:r/>
      <w:bookmarkStart w:id="29" w:name="_Toc35393796"/>
      <w:r/>
      <w:bookmarkStart w:id="30" w:name="_Toc28359085"/>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6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65"/>
        <w:ind w:left="-2"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称：常州纺织服装职业技术学院 </w:t>
      </w:r>
      <w:r/>
    </w:p>
    <w:p>
      <w:pPr>
        <w:pStyle w:val="1065"/>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址：江苏省常州市武进区湖塘镇滆湖中路53号</w:t>
      </w:r>
      <w:r/>
    </w:p>
    <w:p>
      <w:pPr>
        <w:pStyle w:val="1065"/>
        <w:ind w:left="-2" w:firstLine="640"/>
        <w:jc w:val="left"/>
        <w:spacing w:line="360" w:lineRule="auto"/>
        <w:rPr>
          <w:rFonts w:ascii="仿宋" w:hAnsi="仿宋" w:eastAsia="仿宋"/>
          <w:sz w:val="32"/>
          <w:szCs w:val="32"/>
          <w:u w:val="single"/>
        </w:rPr>
      </w:pPr>
      <w:r>
        <w:rPr>
          <w:rFonts w:hint="eastAsia" w:ascii="仿宋" w:hAnsi="仿宋" w:eastAsia="仿宋"/>
          <w:sz w:val="32"/>
          <w:szCs w:val="32"/>
        </w:rPr>
        <w:t xml:space="preserve">联系方式：陆先生 0519-</w:t>
      </w:r>
      <w:r>
        <w:rPr>
          <w:rFonts w:hint="eastAsia" w:ascii="仿宋" w:hAnsi="仿宋" w:eastAsia="仿宋"/>
          <w:sz w:val="32"/>
          <w:szCs w:val="32"/>
        </w:rPr>
        <w:t xml:space="preserve">86336115</w:t>
      </w:r>
      <w:r>
        <w:rPr>
          <w:rFonts w:ascii="仿宋" w:hAnsi="仿宋" w:eastAsia="仿宋"/>
          <w:sz w:val="32"/>
          <w:szCs w:val="32"/>
          <w:u w:val="single"/>
        </w:rPr>
      </w:r>
      <w:r/>
    </w:p>
    <w:p>
      <w:pPr>
        <w:pStyle w:val="106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65"/>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6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6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105"/>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105"/>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65"/>
        <w:jc w:val="center"/>
        <w:spacing w:line="360" w:lineRule="auto"/>
        <w:rPr>
          <w:rFonts w:ascii="宋体" w:hAnsi="宋体"/>
          <w:b/>
          <w:sz w:val="32"/>
          <w:szCs w:val="32"/>
        </w:rPr>
        <w:outlineLvl w:val="0"/>
      </w:pPr>
      <w:r>
        <w:rPr>
          <w:rFonts w:ascii="宋体" w:hAnsi="宋体"/>
          <w:sz w:val="24"/>
        </w:rPr>
        <w:br w:type="page" w:clear="all"/>
      </w:r>
      <w:bookmarkStart w:id="36" w:name="_Toc265228423"/>
      <w:r/>
      <w:bookmarkStart w:id="37" w:name="_Toc226965856"/>
      <w:r/>
      <w:bookmarkStart w:id="38" w:name="_Toc305158928"/>
      <w:r/>
      <w:bookmarkStart w:id="39" w:name="_Toc195842950"/>
      <w:r/>
      <w:bookmarkStart w:id="40" w:name="_Toc353873938"/>
      <w:r/>
      <w:bookmarkStart w:id="41" w:name="_Toc99301420"/>
      <w:r/>
      <w:bookmarkStart w:id="42" w:name="_Toc127161488"/>
      <w:r/>
      <w:bookmarkStart w:id="43" w:name="_Toc305158854"/>
      <w:r/>
      <w:bookmarkStart w:id="44" w:name="_Toc353825548"/>
      <w:r/>
      <w:bookmarkStart w:id="45" w:name="_Toc127151777"/>
      <w:r/>
      <w:bookmarkStart w:id="46" w:name="_Toc512937850"/>
      <w:r/>
      <w:bookmarkStart w:id="47" w:name="_Toc150774783"/>
      <w:r/>
      <w:bookmarkStart w:id="48" w:name="_Toc264969275"/>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67"/>
        <w:spacing w:before="0" w:line="360" w:lineRule="auto"/>
        <w:tabs>
          <w:tab w:val="center" w:pos="4592" w:leader="none"/>
          <w:tab w:val="left" w:pos="7860" w:leader="none"/>
        </w:tabs>
        <w:rPr>
          <w:rFonts w:ascii="宋体" w:hAnsi="宋体" w:eastAsia="宋体"/>
          <w:sz w:val="28"/>
        </w:rPr>
      </w:pPr>
      <w:r/>
      <w:bookmarkStart w:id="49" w:name="_Toc150480757"/>
      <w:r/>
      <w:bookmarkStart w:id="50" w:name="_Toc164608788"/>
      <w:r/>
      <w:bookmarkStart w:id="51" w:name="_Toc195842884"/>
      <w:r/>
      <w:bookmarkStart w:id="52" w:name="_Toc150774724"/>
      <w:r/>
      <w:bookmarkStart w:id="53" w:name="_Toc226965792"/>
      <w:r/>
      <w:bookmarkStart w:id="54" w:name="_Toc164608633"/>
      <w:r/>
      <w:bookmarkStart w:id="55" w:name="_Toc127161433"/>
      <w:r/>
      <w:bookmarkStart w:id="56" w:name="_Toc151193689"/>
      <w:r/>
      <w:bookmarkStart w:id="57" w:name="_Toc164229360"/>
      <w:r/>
      <w:bookmarkStart w:id="58" w:name="_Toc164351613"/>
      <w:r/>
      <w:bookmarkStart w:id="59" w:name="_Toc142311021"/>
      <w:r/>
      <w:bookmarkStart w:id="60" w:name="_Toc150774619"/>
      <w:r/>
      <w:bookmarkStart w:id="61" w:name="_Toc226309763"/>
      <w:r/>
      <w:bookmarkStart w:id="62" w:name="_Toc226337215"/>
      <w:r/>
      <w:bookmarkStart w:id="63" w:name="_Toc151193617"/>
      <w:r/>
      <w:bookmarkStart w:id="64" w:name="_Toc150509270"/>
      <w:r/>
      <w:bookmarkStart w:id="65" w:name="_Toc151193833"/>
      <w:r/>
      <w:bookmarkStart w:id="66" w:name="_Toc520356144"/>
      <w:r/>
      <w:bookmarkStart w:id="67" w:name="_Toc127151720"/>
      <w:r/>
      <w:bookmarkStart w:id="68" w:name="_Toc151193907"/>
      <w:r/>
      <w:bookmarkStart w:id="69" w:name="_Toc149720812"/>
      <w:r/>
      <w:bookmarkStart w:id="70" w:name="_Toc151193761"/>
      <w:r/>
      <w:bookmarkStart w:id="71" w:name="_Toc226965709"/>
      <w:r/>
      <w:bookmarkStart w:id="72" w:name="_Toc151190146"/>
      <w:r/>
      <w:bookmarkStart w:id="73" w:name="_Toc127151519"/>
      <w:r/>
      <w:bookmarkStart w:id="74" w:name="_Toc164229214"/>
      <w:r>
        <w:rPr>
          <w:rFonts w:ascii="宋体" w:hAnsi="宋体" w:eastAsia="宋体"/>
          <w:sz w:val="28"/>
        </w:rPr>
        <w:t xml:space="preserve">投标人须知资料表</w:t>
      </w:r>
      <w:r/>
    </w:p>
    <w:p>
      <w:pPr>
        <w:pStyle w:val="1065"/>
        <w:jc w:val="center"/>
        <w:rPr>
          <w:rFonts w:ascii="宋体" w:hAnsi="宋体"/>
          <w:b/>
          <w:sz w:val="28"/>
          <w:szCs w:val="28"/>
        </w:rPr>
      </w:pPr>
      <w:r>
        <w:rPr>
          <w:rFonts w:ascii="宋体" w:hAnsi="宋体"/>
          <w:b/>
          <w:sz w:val="28"/>
          <w:szCs w:val="28"/>
        </w:rPr>
      </w:r>
      <w:r/>
    </w:p>
    <w:p>
      <w:pPr>
        <w:pStyle w:val="106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6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w:t>
      </w:r>
      <w:r>
        <w:rPr>
          <w:rFonts w:hint="eastAsia" w:ascii="宋体" w:hAnsi="宋体" w:cs="宋体"/>
          <w:sz w:val="24"/>
        </w:rPr>
        <w:t xml:space="preserve">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6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6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项目属性：</w:t>
            </w:r>
            <w:r/>
          </w:p>
          <w:p>
            <w:pPr>
              <w:pStyle w:val="1065"/>
              <w:jc w:val="left"/>
              <w:rPr>
                <w:rFonts w:hint="eastAsia" w:ascii="宋体" w:hAnsi="宋体" w:cs="宋体"/>
                <w:sz w:val="24"/>
              </w:rPr>
            </w:pPr>
            <w:r>
              <w:rPr>
                <w:rFonts w:hint="eastAsia" w:ascii="宋体" w:hAnsi="宋体" w:cs="宋体"/>
                <w:sz w:val="24"/>
              </w:rPr>
              <w:t xml:space="preserve">□服务</w:t>
            </w:r>
            <w:r/>
          </w:p>
          <w:p>
            <w:pPr>
              <w:pStyle w:val="1065"/>
              <w:jc w:val="left"/>
              <w:rPr>
                <w:rFonts w:hint="eastAsia" w:ascii="宋体" w:hAnsi="宋体" w:cs="宋体"/>
                <w:sz w:val="24"/>
              </w:rPr>
            </w:pPr>
            <w:r>
              <w:rPr>
                <w:rFonts w:hint="eastAsia" w:ascii="宋体" w:hAnsi="宋体" w:cs="宋体"/>
                <w:sz w:val="24"/>
              </w:rPr>
              <w:t xml:space="preserve">□货物</w:t>
            </w:r>
            <w:r/>
          </w:p>
          <w:p>
            <w:pPr>
              <w:pStyle w:val="1065"/>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是否属于科研仪器设备采购项目：</w:t>
            </w:r>
            <w:r/>
          </w:p>
          <w:p>
            <w:pPr>
              <w:pStyle w:val="1065"/>
              <w:jc w:val="left"/>
              <w:rPr>
                <w:rFonts w:hint="eastAsia" w:ascii="宋体" w:hAnsi="宋体" w:cs="宋体"/>
                <w:sz w:val="24"/>
              </w:rPr>
            </w:pPr>
            <w:r>
              <w:rPr>
                <w:rFonts w:hint="eastAsia" w:ascii="宋体" w:hAnsi="宋体" w:cs="宋体"/>
                <w:sz w:val="24"/>
              </w:rPr>
              <w:t xml:space="preserve">□是</w:t>
            </w:r>
            <w:r/>
          </w:p>
          <w:p>
            <w:pPr>
              <w:pStyle w:val="106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05"/>
              <w:rPr>
                <w:rFonts w:hAnsi="宋体" w:cs="宋体"/>
                <w:sz w:val="24"/>
                <w:szCs w:val="24"/>
              </w:rPr>
            </w:pPr>
            <w:r>
              <w:rPr>
                <w:rFonts w:hAnsi="宋体" w:cs="宋体"/>
                <w:sz w:val="24"/>
              </w:rPr>
              <w:t xml:space="preserve">■</w:t>
            </w:r>
            <w:r>
              <w:rPr>
                <w:rFonts w:hAnsi="宋体" w:cs="宋体"/>
                <w:sz w:val="24"/>
                <w:szCs w:val="24"/>
              </w:rPr>
              <w:t xml:space="preserve">关于核心产品本项目不适用。</w:t>
            </w:r>
            <w:r/>
          </w:p>
          <w:p>
            <w:pPr>
              <w:pStyle w:val="1105"/>
              <w:rPr>
                <w:rFonts w:hAnsi="宋体" w:cs="宋体"/>
                <w:sz w:val="24"/>
                <w:szCs w:val="24"/>
              </w:rPr>
            </w:pPr>
            <w:r>
              <w:rPr>
                <w:rFonts w:hAnsi="宋体" w:cs="宋体"/>
                <w:sz w:val="24"/>
                <w:szCs w:val="24"/>
              </w:rPr>
              <w:t xml:space="preserve">□本项目__包为单一产品采购项目。</w:t>
            </w:r>
            <w:r/>
          </w:p>
          <w:p>
            <w:pPr>
              <w:pStyle w:val="1065"/>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0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65"/>
              <w:jc w:val="left"/>
              <w:rPr>
                <w:rFonts w:ascii="宋体" w:hAnsi="宋体" w:cs="宋体"/>
                <w:sz w:val="24"/>
              </w:rPr>
            </w:pPr>
            <w:r>
              <w:rPr>
                <w:rFonts w:hint="eastAsia" w:ascii="宋体" w:hAnsi="宋体" w:cs="宋体"/>
                <w:sz w:val="24"/>
              </w:rPr>
              <w:t xml:space="preserve">■不组织  自行踏勘  联系人：陆老师 15895056616</w:t>
            </w:r>
            <w:r>
              <w:rPr>
                <w:rFonts w:ascii="宋体" w:hAnsi="宋体" w:cs="宋体"/>
                <w:sz w:val="24"/>
              </w:rPr>
            </w:r>
            <w:r/>
          </w:p>
          <w:p>
            <w:pPr>
              <w:pStyle w:val="106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0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0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■不召开</w:t>
            </w:r>
            <w:r/>
          </w:p>
          <w:p>
            <w:pPr>
              <w:pStyle w:val="106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rPr>
              <w:t xml:space="preserve">：</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6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投标样品递交：</w:t>
            </w:r>
            <w:r/>
          </w:p>
          <w:p>
            <w:pPr>
              <w:pStyle w:val="1065"/>
              <w:jc w:val="left"/>
              <w:rPr>
                <w:rFonts w:hint="eastAsia" w:ascii="宋体" w:hAnsi="宋体" w:cs="宋体"/>
                <w:sz w:val="24"/>
              </w:rPr>
            </w:pPr>
            <w:r>
              <w:rPr>
                <w:rFonts w:hint="eastAsia" w:ascii="宋体" w:hAnsi="宋体" w:cs="宋体"/>
                <w:sz w:val="24"/>
              </w:rPr>
              <w:t xml:space="preserve">□不需要</w:t>
            </w:r>
            <w:r/>
          </w:p>
          <w:p>
            <w:pPr>
              <w:pStyle w:val="1065"/>
              <w:jc w:val="left"/>
              <w:rPr>
                <w:rFonts w:hint="eastAsia" w:ascii="宋体" w:hAnsi="宋体" w:cs="宋体"/>
                <w:sz w:val="24"/>
              </w:rPr>
            </w:pPr>
            <w:r>
              <w:rPr>
                <w:rFonts w:hint="eastAsia" w:ascii="宋体" w:hAnsi="宋体" w:cs="宋体"/>
                <w:sz w:val="24"/>
              </w:rPr>
              <w:t xml:space="preserve">■需要，具体要求如下：</w:t>
            </w:r>
            <w:r>
              <w:rPr>
                <w:rFonts w:hint="eastAsia" w:ascii="宋体" w:hAnsi="宋体" w:cs="宋体"/>
                <w:sz w:val="24"/>
              </w:rPr>
            </w:r>
            <w:r/>
          </w:p>
          <w:p>
            <w:pPr>
              <w:pStyle w:val="1065"/>
              <w:jc w:val="left"/>
              <w:rPr>
                <w:rFonts w:ascii="宋体" w:hAnsi="宋体" w:cs="宋体"/>
                <w:sz w:val="24"/>
              </w:rPr>
            </w:pPr>
            <w:r>
              <w:rPr>
                <w:rFonts w:hint="eastAsia" w:ascii="宋体" w:hAnsi="宋体" w:cs="宋体"/>
                <w:sz w:val="24"/>
              </w:rPr>
              <w:t xml:space="preserve">（1）样品制作的标准和要求：</w:t>
            </w:r>
            <w:r>
              <w:rPr>
                <w:rFonts w:hint="eastAsia" w:ascii="宋体" w:hAnsi="宋体"/>
                <w:bCs/>
                <w:sz w:val="24"/>
              </w:rPr>
              <w:t xml:space="preserve">投标人根据要求提供塑胶跑道（厚度13mm和20mm两种）、硅PU（厚度4mm）和人工草（高50mm）的成品小样（小样尺寸约：500mmX500mm）。</w:t>
            </w:r>
            <w:r>
              <w:rPr>
                <w:rFonts w:ascii="宋体" w:hAnsi="宋体" w:cs="宋体"/>
                <w:sz w:val="24"/>
              </w:rPr>
            </w:r>
            <w:r/>
          </w:p>
          <w:p>
            <w:pPr>
              <w:pStyle w:val="1065"/>
              <w:jc w:val="left"/>
              <w:rPr>
                <w:rFonts w:hint="eastAsia" w:ascii="宋体" w:hAnsi="宋体" w:cs="宋体"/>
                <w:sz w:val="24"/>
              </w:rPr>
            </w:pPr>
            <w:r>
              <w:rPr>
                <w:rFonts w:hint="eastAsia" w:ascii="宋体" w:hAnsi="宋体" w:cs="宋体"/>
                <w:sz w:val="24"/>
              </w:rPr>
              <w:t xml:space="preserve">（2）是否需要随样品提交相关检测报告：</w:t>
            </w:r>
            <w:r/>
          </w:p>
          <w:p>
            <w:pPr>
              <w:pStyle w:val="1065"/>
              <w:ind w:firstLine="600"/>
              <w:jc w:val="left"/>
              <w:rPr>
                <w:rFonts w:hint="eastAsia" w:ascii="宋体" w:hAnsi="宋体" w:cs="宋体"/>
                <w:sz w:val="24"/>
              </w:rPr>
            </w:pPr>
            <w:r>
              <w:rPr>
                <w:rFonts w:hint="eastAsia" w:ascii="宋体" w:hAnsi="宋体" w:cs="宋体"/>
                <w:sz w:val="24"/>
              </w:rPr>
              <w:t xml:space="preserve">■不需要</w:t>
            </w:r>
            <w:r/>
          </w:p>
          <w:p>
            <w:pPr>
              <w:pStyle w:val="1065"/>
              <w:ind w:firstLine="600"/>
              <w:jc w:val="left"/>
              <w:rPr>
                <w:rFonts w:hint="eastAsia" w:ascii="宋体" w:hAnsi="宋体" w:cs="宋体"/>
                <w:sz w:val="24"/>
              </w:rPr>
            </w:pPr>
            <w:r>
              <w:rPr>
                <w:rFonts w:hint="eastAsia" w:ascii="宋体" w:hAnsi="宋体" w:cs="宋体"/>
                <w:sz w:val="24"/>
              </w:rPr>
              <w:t xml:space="preserve">□需要</w:t>
            </w:r>
            <w:r/>
          </w:p>
          <w:p>
            <w:pPr>
              <w:pStyle w:val="1065"/>
              <w:jc w:val="left"/>
              <w:rPr>
                <w:rFonts w:hint="eastAsia" w:ascii="宋体" w:hAnsi="宋体" w:cs="宋体"/>
                <w:sz w:val="24"/>
              </w:rPr>
            </w:pPr>
            <w:r>
              <w:rPr>
                <w:rFonts w:hint="eastAsia" w:ascii="宋体" w:hAnsi="宋体" w:cs="宋体"/>
                <w:sz w:val="24"/>
              </w:rPr>
              <w:t xml:space="preserve">（3）样品递交要求：</w:t>
            </w:r>
            <w:r/>
          </w:p>
          <w:p>
            <w:pPr>
              <w:pStyle w:val="1065"/>
              <w:jc w:val="left"/>
              <w:rPr>
                <w:rFonts w:hint="eastAsia" w:ascii="宋体" w:hAnsi="宋体" w:cs="宋体"/>
                <w:sz w:val="24"/>
              </w:rPr>
            </w:pPr>
            <w:r>
              <w:rPr>
                <w:rFonts w:hint="eastAsia" w:ascii="宋体" w:hAnsi="宋体" w:cs="宋体"/>
                <w:sz w:val="24"/>
              </w:rPr>
              <w:t xml:space="preserve">①样品递交地点：常州市新北区通江中路396号中创大厦4楼</w:t>
            </w:r>
            <w:r/>
          </w:p>
          <w:p>
            <w:pPr>
              <w:pStyle w:val="1065"/>
              <w:jc w:val="left"/>
              <w:rPr>
                <w:rFonts w:hint="eastAsia" w:ascii="宋体" w:hAnsi="宋体" w:cs="宋体"/>
                <w:sz w:val="24"/>
              </w:rPr>
            </w:pPr>
            <w:r>
              <w:rPr>
                <w:rFonts w:hint="eastAsia" w:ascii="宋体" w:hAnsi="宋体" w:cs="宋体"/>
                <w:sz w:val="24"/>
              </w:rPr>
              <w:t xml:space="preserve">联系人：张媛</w:t>
            </w:r>
            <w:r/>
          </w:p>
          <w:p>
            <w:pPr>
              <w:pStyle w:val="1065"/>
              <w:jc w:val="left"/>
              <w:rPr>
                <w:rFonts w:hint="eastAsia" w:ascii="宋体" w:hAnsi="宋体" w:cs="宋体"/>
                <w:sz w:val="24"/>
              </w:rPr>
            </w:pPr>
            <w:r>
              <w:rPr>
                <w:rFonts w:hint="eastAsia" w:ascii="宋体" w:hAnsi="宋体" w:cs="宋体"/>
                <w:sz w:val="24"/>
              </w:rPr>
              <w:t xml:space="preserve">电话：0519-81580152  81580191  81580192（转分机号6011）</w:t>
            </w:r>
            <w:r/>
          </w:p>
          <w:p>
            <w:pPr>
              <w:pStyle w:val="1065"/>
              <w:jc w:val="left"/>
              <w:rPr>
                <w:rFonts w:hint="eastAsia" w:ascii="宋体" w:hAnsi="宋体"/>
                <w:bCs/>
                <w:sz w:val="24"/>
              </w:rPr>
            </w:pPr>
            <w:r>
              <w:rPr>
                <w:rFonts w:hint="eastAsia" w:ascii="宋体" w:hAnsi="宋体" w:cs="宋体"/>
                <w:sz w:val="24"/>
              </w:rPr>
              <w:t xml:space="preserve">样品递交截止时间：</w:t>
            </w:r>
            <w:r>
              <w:rPr>
                <w:rFonts w:hint="eastAsia" w:ascii="宋体" w:hAnsi="宋体"/>
                <w:bCs/>
                <w:sz w:val="24"/>
              </w:rPr>
              <w:t xml:space="preserve">投标文件递交截止时间前一个工作日的16:00</w:t>
            </w:r>
            <w:r/>
          </w:p>
          <w:p>
            <w:pPr>
              <w:pStyle w:val="1065"/>
              <w:jc w:val="left"/>
              <w:rPr>
                <w:rFonts w:hint="eastAsia" w:ascii="宋体" w:hAnsi="宋体" w:cs="宋体"/>
                <w:sz w:val="24"/>
              </w:rPr>
            </w:pPr>
            <w:r>
              <w:rPr>
                <w:rFonts w:hint="eastAsia" w:ascii="宋体" w:hAnsi="宋体" w:cs="宋体"/>
                <w:sz w:val="24"/>
              </w:rPr>
              <w:t xml:space="preserve">②投标人在样品上/样品背面粘贴标签，标签上注明投标人名称、样品材质、规格型号、产地，加盖投标人公章，并用不透明白纸将标签粘贴遮盖；</w:t>
            </w:r>
            <w:r/>
          </w:p>
          <w:p>
            <w:pPr>
              <w:pStyle w:val="1065"/>
              <w:jc w:val="left"/>
              <w:rPr>
                <w:rFonts w:hint="eastAsia" w:ascii="宋体" w:hAnsi="宋体" w:cs="宋体"/>
                <w:sz w:val="24"/>
              </w:rPr>
            </w:pPr>
            <w:r>
              <w:rPr>
                <w:rFonts w:hint="eastAsia" w:ascii="宋体" w:hAnsi="宋体" w:cs="宋体"/>
                <w:sz w:val="24"/>
              </w:rPr>
              <w:t xml:space="preserve">③样品提交时,样品上任何显示投标人名称的商标、品牌或其他显示该投标人名称的标志都应用不透明的白纸粘贴遮盖，否则评审时样品部分不得分；</w:t>
            </w:r>
            <w:r/>
          </w:p>
          <w:p>
            <w:pPr>
              <w:pStyle w:val="1065"/>
              <w:jc w:val="left"/>
              <w:rPr>
                <w:rFonts w:hint="eastAsia" w:ascii="宋体" w:hAnsi="宋体" w:cs="宋体"/>
                <w:sz w:val="24"/>
              </w:rPr>
            </w:pPr>
            <w:r>
              <w:rPr>
                <w:rFonts w:hint="eastAsia" w:ascii="宋体" w:hAnsi="宋体" w:cs="宋体"/>
                <w:sz w:val="24"/>
              </w:rPr>
              <w:t xml:space="preserve">（4）未中标人样品退还：未中标人的样品评审结束后予以退回，投标人三个工作日内自行取回，否则采购人有权自行处理；</w:t>
            </w:r>
            <w:r/>
          </w:p>
          <w:p>
            <w:pPr>
              <w:pStyle w:val="1065"/>
              <w:jc w:val="left"/>
              <w:rPr>
                <w:rFonts w:hint="eastAsia" w:ascii="宋体" w:hAnsi="宋体" w:cs="宋体"/>
                <w:sz w:val="24"/>
                <w:u w:val="single"/>
              </w:rPr>
            </w:pPr>
            <w:r>
              <w:rPr>
                <w:rFonts w:hint="eastAsia" w:ascii="宋体" w:hAnsi="宋体" w:cs="宋体"/>
                <w:sz w:val="24"/>
              </w:rPr>
              <w:t xml:space="preserve">（5）</w:t>
            </w:r>
            <w:r>
              <w:rPr>
                <w:rFonts w:hint="eastAsia" w:ascii="宋体" w:hAnsi="宋体"/>
                <w:bCs/>
                <w:sz w:val="24"/>
              </w:rPr>
              <w:t xml:space="preserve">中标人样品保管、封存及退还：中标人的样品不予</w:t>
            </w:r>
            <w:r>
              <w:rPr>
                <w:rFonts w:hint="eastAsia" w:ascii="宋体" w:hAnsi="宋体"/>
                <w:bCs/>
                <w:sz w:val="24"/>
              </w:rPr>
              <w:t xml:space="preserve">退回，由采购人封存作为最终验收的依据；</w:t>
            </w:r>
            <w:r>
              <w:rPr>
                <w:rFonts w:hint="eastAsia" w:ascii="宋体" w:hAnsi="宋体" w:cs="宋体"/>
                <w:sz w:val="24"/>
                <w:u w:val="single"/>
              </w:rPr>
            </w:r>
            <w:r/>
          </w:p>
          <w:p>
            <w:pPr>
              <w:pStyle w:val="1065"/>
              <w:jc w:val="left"/>
              <w:rPr>
                <w:rFonts w:hint="eastAsia" w:ascii="宋体" w:hAnsi="宋体" w:cs="宋体"/>
                <w:sz w:val="24"/>
              </w:rPr>
            </w:pPr>
            <w:r>
              <w:rPr>
                <w:rFonts w:hint="eastAsia" w:ascii="宋体" w:hAnsi="宋体" w:cs="宋体"/>
                <w:sz w:val="24"/>
              </w:rPr>
              <w:t xml:space="preserve">（6）其他要求（如有）：</w:t>
            </w:r>
            <w:r/>
          </w:p>
          <w:p>
            <w:pPr>
              <w:pStyle w:val="1065"/>
              <w:jc w:val="left"/>
              <w:rPr>
                <w:rFonts w:hint="eastAsia" w:ascii="宋体" w:hAnsi="宋体" w:cs="宋体"/>
                <w:sz w:val="24"/>
              </w:rPr>
            </w:pPr>
            <w:r>
              <w:rPr>
                <w:rFonts w:hint="eastAsia" w:ascii="宋体" w:hAnsi="宋体" w:cs="宋体"/>
                <w:sz w:val="24"/>
              </w:rPr>
              <w:t xml:space="preserve">①样品制作及运输费用由投标人自行承担；</w:t>
            </w:r>
            <w:r/>
          </w:p>
          <w:p>
            <w:pPr>
              <w:pStyle w:val="1065"/>
              <w:jc w:val="left"/>
              <w:rPr>
                <w:rFonts w:hint="eastAsia" w:ascii="宋体" w:hAnsi="宋体" w:cs="宋体"/>
                <w:sz w:val="24"/>
              </w:rPr>
            </w:pPr>
            <w:r>
              <w:rPr>
                <w:rFonts w:hint="eastAsia" w:ascii="宋体" w:hAnsi="宋体" w:cs="宋体"/>
                <w:sz w:val="24"/>
              </w:rPr>
              <w:t xml:space="preserve">②未能提供样品、样品不齐全或样品不符合要求的，评审时样品部分不得分。</w:t>
            </w:r>
            <w:r>
              <w:rPr>
                <w:rFonts w:hint="eastAsia" w:ascii="宋体" w:hAnsi="宋体" w:cs="宋体"/>
                <w:sz w:val="24"/>
              </w:rPr>
            </w:r>
            <w:r/>
          </w:p>
        </w:tc>
      </w:tr>
      <w:tr>
        <w:trPr>
          <w:trHeight w:val="517"/>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trHeight w:val="517"/>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65"/>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65"/>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w:t>
            </w:r>
            <w:r>
              <w:rPr>
                <w:rFonts w:hint="eastAsia"/>
                <w:sz w:val="24"/>
              </w:rPr>
              <w:t xml:space="preserve">适用 </w:t>
            </w:r>
            <w:r>
              <w:rPr>
                <w:rFonts w:hint="eastAsia" w:ascii="宋体" w:hAnsi="宋体" w:cs="宋体"/>
                <w:sz w:val="24"/>
              </w:rPr>
              <w:t xml:space="preserve">■</w:t>
            </w:r>
            <w:r>
              <w:rPr>
                <w:rFonts w:hint="eastAsia"/>
                <w:sz w:val="24"/>
              </w:rPr>
              <w:t xml:space="preserve">不适用。</w:t>
            </w:r>
            <w:r/>
          </w:p>
          <w:p>
            <w:pPr>
              <w:pStyle w:val="1067"/>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46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投标报价的特殊规定：</w:t>
            </w:r>
            <w:r/>
          </w:p>
          <w:p>
            <w:pPr>
              <w:pStyle w:val="1065"/>
              <w:jc w:val="left"/>
              <w:rPr>
                <w:rFonts w:ascii="宋体" w:hAnsi="宋体" w:cs="宋体"/>
                <w:sz w:val="24"/>
              </w:rPr>
            </w:pPr>
            <w:r>
              <w:rPr>
                <w:rFonts w:hint="eastAsia" w:ascii="宋体" w:hAnsi="宋体" w:cs="宋体"/>
                <w:sz w:val="24"/>
              </w:rPr>
              <w:t xml:space="preserve">□无</w:t>
            </w:r>
            <w:r>
              <w:rPr>
                <w:rFonts w:ascii="宋体" w:hAnsi="宋体" w:cs="宋体"/>
                <w:sz w:val="24"/>
              </w:rPr>
            </w:r>
            <w:r/>
          </w:p>
          <w:p>
            <w:pPr>
              <w:pStyle w:val="1065"/>
              <w:jc w:val="left"/>
              <w:rPr>
                <w:rFonts w:hint="eastAsia" w:ascii="宋体" w:hAnsi="宋体" w:cs="宋体"/>
                <w:sz w:val="24"/>
              </w:rPr>
            </w:pPr>
            <w:r>
              <w:rPr>
                <w:rFonts w:hint="eastAsia" w:ascii="宋体" w:hAnsi="宋体" w:cs="宋体"/>
                <w:sz w:val="24"/>
              </w:rPr>
              <w:t xml:space="preserve">■有，具体情形： </w:t>
            </w:r>
            <w:r/>
          </w:p>
          <w:p>
            <w:pPr>
              <w:pStyle w:val="1065"/>
              <w:jc w:val="left"/>
              <w:rPr>
                <w:rFonts w:hint="eastAsia" w:ascii="宋体" w:hAnsi="宋体" w:cs="宋体"/>
                <w:sz w:val="24"/>
              </w:rPr>
            </w:pPr>
            <w:r>
              <w:rPr>
                <w:rFonts w:hint="eastAsia" w:ascii="宋体" w:hAnsi="宋体" w:cs="宋体"/>
                <w:sz w:val="24"/>
              </w:rPr>
              <w:t xml:space="preserve">1.本项目投标总价应包括为完成该项工程项目所涉及的一切相关费用，采购人不再支付其他任何费用。</w:t>
            </w:r>
            <w:r/>
          </w:p>
          <w:p>
            <w:pPr>
              <w:pStyle w:val="1065"/>
              <w:jc w:val="left"/>
              <w:rPr>
                <w:rFonts w:hint="eastAsia" w:ascii="宋体" w:hAnsi="宋体" w:cs="宋体"/>
                <w:sz w:val="24"/>
              </w:rPr>
            </w:pPr>
            <w:r>
              <w:rPr>
                <w:rFonts w:hint="eastAsia" w:ascii="宋体" w:hAnsi="宋体" w:cs="宋体"/>
                <w:sz w:val="24"/>
              </w:rPr>
              <w:t xml:space="preserve">2.本工程投标报价采用工程量清单报价。供应商应按要求提供已标价工程量清单。</w:t>
            </w:r>
            <w:r/>
          </w:p>
          <w:p>
            <w:pPr>
              <w:pStyle w:val="1065"/>
              <w:jc w:val="left"/>
              <w:rPr>
                <w:rFonts w:hint="eastAsia" w:ascii="宋体" w:hAnsi="宋体" w:cs="宋体"/>
                <w:sz w:val="24"/>
              </w:rPr>
            </w:pPr>
            <w:r>
              <w:rPr>
                <w:rFonts w:hint="eastAsia" w:ascii="宋体" w:hAnsi="宋体" w:cs="宋体"/>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规费、税金项目清单计价表、乙供主要材料及设</w:t>
            </w:r>
            <w:r>
              <w:rPr>
                <w:rFonts w:hint="eastAsia" w:ascii="宋体" w:hAnsi="宋体" w:cs="宋体"/>
                <w:sz w:val="24"/>
              </w:rPr>
              <w:t xml:space="preserve">备价格表等。</w:t>
            </w:r>
            <w:r/>
          </w:p>
          <w:p>
            <w:pPr>
              <w:pStyle w:val="1065"/>
              <w:jc w:val="left"/>
              <w:rPr>
                <w:rFonts w:hint="eastAsia" w:ascii="宋体" w:hAnsi="宋体" w:cs="宋体"/>
                <w:sz w:val="24"/>
              </w:rPr>
            </w:pPr>
            <w:r>
              <w:rPr>
                <w:rFonts w:hint="eastAsia" w:ascii="宋体" w:hAnsi="宋体" w:cs="宋体"/>
                <w:sz w:val="24"/>
              </w:rPr>
              <w:t xml:space="preserve">3.本项目投标报价为固定综合单价，投标报价为供应商在投标文件中提出的各项支付金额的总和。</w:t>
            </w:r>
            <w:r/>
          </w:p>
          <w:p>
            <w:pPr>
              <w:pStyle w:val="1065"/>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4.供应商所填报的各项基价中的各种材料单价在合同实施期间不因市场价格变化因素而变动，供应商在填报综合单价时应考虑各种风险因素和自己的承受能力。</w:t>
            </w:r>
            <w:r/>
          </w:p>
          <w:p>
            <w:pPr>
              <w:pStyle w:val="1065"/>
              <w:jc w:val="left"/>
              <w:rPr>
                <w:rFonts w:hint="eastAsia" w:ascii="宋体" w:hAnsi="宋体" w:cs="宋体"/>
                <w:sz w:val="24"/>
              </w:rPr>
            </w:pPr>
            <w:r>
              <w:rPr>
                <w:rFonts w:hint="eastAsia" w:ascii="宋体" w:hAnsi="宋体" w:cs="宋体"/>
                <w:sz w:val="24"/>
              </w:rPr>
              <w:t xml:space="preserve">5.因设计变更引</w:t>
            </w:r>
            <w:r>
              <w:rPr>
                <w:rFonts w:hint="eastAsia" w:ascii="宋体" w:hAnsi="宋体" w:cs="宋体"/>
                <w:sz w:val="24"/>
              </w:rPr>
              <w:t xml:space="preserve">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结算原则为：由中标供应商根据变更工程资料及原招投标文件的计价条件及方法编制报价，经采购人、监理、审计部门审核后按优惠让利幅度作为结算价。优惠让利幅度（F）=【控制价（扣除专业工程暂估价、暂列金额、安全明文施工费、规费税金）-中标金额（扣除专业工程暂估价、暂列金额、安全明文施工费</w:t>
            </w:r>
            <w:r>
              <w:rPr>
                <w:rFonts w:hint="eastAsia" w:ascii="宋体" w:hAnsi="宋体" w:cs="宋体"/>
                <w:sz w:val="24"/>
              </w:rPr>
              <w:t xml:space="preserve">、规费税金）】/【控制价（扣除专业工程暂估价、暂列金额、安全明文施工费、规费税金）】</w:t>
            </w:r>
            <w:r/>
          </w:p>
          <w:p>
            <w:pPr>
              <w:pStyle w:val="1065"/>
              <w:jc w:val="left"/>
              <w:rPr>
                <w:rFonts w:hint="eastAsia" w:ascii="宋体" w:hAnsi="宋体" w:cs="宋体"/>
                <w:sz w:val="24"/>
              </w:rPr>
            </w:pPr>
            <w:r>
              <w:rPr>
                <w:rFonts w:hint="eastAsia" w:ascii="宋体" w:hAnsi="宋体" w:cs="宋体"/>
                <w:sz w:val="24"/>
              </w:rPr>
              <w:t xml:space="preserve">6.代理机构反对盲目压低报价。</w:t>
            </w:r>
            <w:r/>
          </w:p>
          <w:p>
            <w:pPr>
              <w:pStyle w:val="1065"/>
              <w:jc w:val="left"/>
              <w:rPr>
                <w:rFonts w:hint="eastAsia" w:ascii="宋体" w:hAnsi="宋体" w:cs="宋体"/>
                <w:sz w:val="24"/>
              </w:rPr>
            </w:pPr>
            <w:r>
              <w:rPr>
                <w:rFonts w:hint="eastAsia" w:ascii="宋体" w:hAnsi="宋体" w:cs="宋体"/>
                <w:sz w:val="24"/>
              </w:rPr>
              <w:t xml:space="preserve">7.投标报价的编制要求：</w:t>
            </w:r>
            <w:r/>
          </w:p>
          <w:p>
            <w:pPr>
              <w:pStyle w:val="1065"/>
              <w:jc w:val="left"/>
              <w:rPr>
                <w:rFonts w:hint="eastAsia" w:ascii="宋体" w:hAnsi="宋体" w:cs="宋体"/>
                <w:sz w:val="24"/>
              </w:rPr>
            </w:pPr>
            <w:r>
              <w:rPr>
                <w:rFonts w:hint="eastAsia" w:ascii="宋体" w:hAnsi="宋体" w:cs="宋体"/>
                <w:sz w:val="24"/>
              </w:rPr>
              <w:t xml:space="preserve">7.1 投标报价应该是按招标文件规定的采购范围内工程量清单所列项目的全部费用总和，是招标文件、工程量清单</w:t>
            </w:r>
            <w:r>
              <w:rPr>
                <w:rFonts w:hint="eastAsia" w:ascii="宋体" w:hAnsi="宋体" w:cs="宋体"/>
                <w:sz w:val="24"/>
              </w:rPr>
              <w:t xml:space="preserve">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pStyle w:val="1065"/>
              <w:jc w:val="left"/>
              <w:rPr>
                <w:rFonts w:hint="eastAsia" w:ascii="宋体" w:hAnsi="宋体" w:cs="宋体"/>
                <w:sz w:val="24"/>
              </w:rPr>
            </w:pPr>
            <w:r>
              <w:rPr>
                <w:rFonts w:hint="eastAsia" w:ascii="宋体" w:hAnsi="宋体" w:cs="宋体"/>
                <w:sz w:val="24"/>
              </w:rPr>
              <w:t xml:space="preserve">7.2 供应商应根据招标文件（含工程量清单）的有关要求，施工现场实际情况及拟定的施工方案或施工组织设计，依据企业定额和市场价格信息或参照建设行政主管部门发布的计价定额编制投标报价，供应商的投标总价</w:t>
            </w:r>
            <w:r>
              <w:rPr>
                <w:rFonts w:hint="eastAsia" w:ascii="宋体" w:hAnsi="宋体" w:cs="宋体"/>
                <w:sz w:val="24"/>
              </w:rPr>
              <w:t xml:space="preserve">应当与分部分项工程费、措施项目费、其他项目费和规费、税金的合计金额一致。供应商在进行工程量清单的投标报价时，不能进行投标总价的优惠让利，供应商对投标报价的任何优惠让利均应反映在相应清单项目的综合单价中，不可竞争费不得优惠让利。</w:t>
            </w:r>
            <w:r/>
          </w:p>
          <w:p>
            <w:pPr>
              <w:pStyle w:val="1065"/>
              <w:jc w:val="left"/>
              <w:rPr>
                <w:rFonts w:hint="eastAsia" w:ascii="宋体" w:hAnsi="宋体" w:cs="宋体"/>
                <w:sz w:val="24"/>
              </w:rPr>
            </w:pPr>
            <w:r>
              <w:rPr>
                <w:rFonts w:hint="eastAsia" w:ascii="宋体" w:hAnsi="宋体" w:cs="宋体"/>
                <w:sz w:val="24"/>
              </w:rPr>
              <w:t xml:space="preserve">7.3 其他项目清单中的材料暂估价、暂列金额、专业工程暂估价均不能优惠，虽在投标时计入供应商的报价中，但不应视为供应商所有。</w:t>
            </w:r>
            <w:r/>
          </w:p>
          <w:p>
            <w:pPr>
              <w:pStyle w:val="1065"/>
              <w:jc w:val="left"/>
              <w:rPr>
                <w:rFonts w:hint="eastAsia" w:ascii="宋体" w:hAnsi="宋体" w:cs="宋体"/>
                <w:sz w:val="24"/>
              </w:rPr>
            </w:pPr>
            <w:r>
              <w:rPr>
                <w:rFonts w:hint="eastAsia" w:ascii="宋体" w:hAnsi="宋体" w:cs="宋体"/>
                <w:sz w:val="24"/>
              </w:rPr>
              <w:t xml:space="preserve">7.4 工程量清单是按建设方提供相关的图纸、规范、标准图集和</w:t>
            </w:r>
            <w:r>
              <w:rPr>
                <w:rFonts w:hint="eastAsia" w:ascii="宋体" w:hAnsi="宋体" w:cs="宋体"/>
                <w:sz w:val="24"/>
              </w:rPr>
              <w:t xml:space="preserve">技术资料、《建设工程工程量清单计价规范》GB50500-2013等现行文件规定编制。施工中所用的材料、成品、半成品在制作、运输、安装中等发生的一切损耗应包括在报价内。工程量清单标明的工程量是供应商报价的共同基础，竣工结算的工程量按采购人和供应商双方在合同约定的应予计量且实际完成的工程量确定。 </w:t>
            </w:r>
            <w:r/>
          </w:p>
          <w:p>
            <w:pPr>
              <w:pStyle w:val="1065"/>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投标总价。特别强调：为进一步提升施工现场管理，要求施工过程中的围墙 （围挡）、工地施工过程管理、渣土装载运输等，应认真落实执行相关配套文件精神，有关费用供应商须在项目措施费</w:t>
            </w:r>
            <w:r>
              <w:rPr>
                <w:rFonts w:hint="eastAsia" w:ascii="宋体" w:hAnsi="宋体" w:cs="宋体"/>
                <w:sz w:val="24"/>
              </w:rPr>
              <w:t xml:space="preserve">中落实。 </w:t>
            </w:r>
            <w:r/>
          </w:p>
          <w:p>
            <w:pPr>
              <w:pStyle w:val="1065"/>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pStyle w:val="1065"/>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分部分项工程费应依据最新计价规范综合单价组成内容，按分部分项工程量清单项目的特征述确定综合单价（当施工图纸与工程量清单项目特征描述不一致时，以工程量</w:t>
            </w:r>
            <w:r>
              <w:rPr>
                <w:rFonts w:hint="eastAsia" w:ascii="宋体" w:hAnsi="宋体" w:cs="宋体"/>
                <w:sz w:val="24"/>
              </w:rPr>
              <w:t xml:space="preserve">清单项目特征描述为准）。综合单价中应考虑投标文件中要求供应商承担的风险费用。暂估单价的材料，按暂估的单价计入综合单价。</w:t>
            </w:r>
            <w:r/>
          </w:p>
          <w:p>
            <w:pPr>
              <w:pStyle w:val="1065"/>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原措施费中没有的措施项目，由供应商提出适当的措施费变更要求，经采购人、监理、审计部门确认后调整。</w:t>
            </w:r>
            <w:r/>
          </w:p>
          <w:p>
            <w:pPr>
              <w:pStyle w:val="1065"/>
              <w:jc w:val="left"/>
              <w:rPr>
                <w:rFonts w:hint="eastAsia" w:ascii="宋体" w:hAnsi="宋体" w:cs="宋体"/>
                <w:sz w:val="24"/>
              </w:rPr>
            </w:pPr>
            <w:r>
              <w:rPr>
                <w:rFonts w:hint="eastAsia" w:ascii="宋体" w:hAnsi="宋体" w:cs="宋体"/>
                <w:sz w:val="24"/>
              </w:rPr>
              <w:t xml:space="preserve">7.9 除非采购人对采购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pStyle w:val="1065"/>
              <w:jc w:val="left"/>
              <w:rPr>
                <w:rFonts w:hint="eastAsia" w:ascii="宋体" w:hAnsi="宋体" w:cs="宋体"/>
                <w:sz w:val="24"/>
              </w:rPr>
            </w:pPr>
            <w:r>
              <w:rPr>
                <w:rFonts w:hint="eastAsia" w:ascii="宋体" w:hAnsi="宋体" w:cs="宋体"/>
                <w:sz w:val="24"/>
              </w:rPr>
              <w:t xml:space="preserve">7.10 以暂估项目形式包括在总承包范围内的工程、货物、服务属于依法必须进行招标的项目范围且达到国家规定规模标准的，应当依法进行招标。工程量清单中材料暂估价和专业工程暂估价，由中标人和采购人共同组织招标。</w:t>
            </w:r>
            <w:r>
              <w:rPr>
                <w:rFonts w:hint="eastAsia" w:ascii="宋体" w:hAnsi="宋体" w:cs="宋体"/>
                <w:sz w:val="24"/>
              </w:rPr>
            </w:r>
            <w:r/>
          </w:p>
          <w:p>
            <w:pPr>
              <w:pStyle w:val="1065"/>
              <w:jc w:val="left"/>
              <w:rPr>
                <w:rFonts w:hint="eastAsia" w:ascii="宋体" w:hAnsi="宋体" w:cs="宋体"/>
                <w:sz w:val="24"/>
              </w:rPr>
            </w:pPr>
            <w:r>
              <w:rPr>
                <w:rFonts w:hint="eastAsia" w:ascii="宋体" w:hAnsi="宋体" w:cs="宋体"/>
                <w:sz w:val="24"/>
              </w:rPr>
              <w:t xml:space="preserve">7.11 本工程工程量清单及编制说明中提供材料（设备）备选品牌（或规格、型号、产地）的，建议在备选品牌（或规格、型号、产地）</w:t>
            </w:r>
            <w:r>
              <w:rPr>
                <w:rFonts w:hint="eastAsia" w:ascii="宋体" w:hAnsi="宋体" w:cs="宋体"/>
                <w:sz w:val="24"/>
              </w:rPr>
              <w:t xml:space="preserve">范围内自行选择一款并根据市场行情及自身实际情况进行组价、报价。凡清单中提供备选品牌的材料（设备），投标报价的“供应商供应主要材料一览表”中应注明供应商所选择的材料（设备）的品牌（或规格、型号、产地） ，未注明上述信息的，视为供应商同意由采购人选择相应材料（设备）的品牌（或规格、型号、产地） ，但材料（设备）价格不予调整。因备选品牌材料（设备）之间客观存在的差异所引起的价格差异由供应商在投标报价时综合考虑。中标后，供应商不得因此提出价格调整的要求。代理机构所提供的工程量清单，应认为已包括完成本工程的所有项目。</w:t>
            </w:r>
            <w:r/>
          </w:p>
          <w:p>
            <w:pPr>
              <w:pStyle w:val="1065"/>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投标文件方案、报价等编制投标文件的资料，并承担考察现场的责任和风险以及踏勘现场所发生的自身费用。中标后，供应商不得以不完全了解施工现场及周围环境为由，提出额外款项增加、补偿或延长工期等要求。同时作为一个有经验的中标人，应充分考虑与施工现场周边居民的关系及外围矛盾的协调，投标报价时应包含解决与当地居</w:t>
            </w:r>
            <w:r>
              <w:rPr>
                <w:rFonts w:hint="eastAsia" w:ascii="宋体" w:hAnsi="宋体" w:cs="宋体"/>
                <w:sz w:val="24"/>
              </w:rPr>
              <w:t xml:space="preserve">民、地方矛盾所产生的费用，并承担相应的责任。</w:t>
            </w:r>
            <w:r/>
          </w:p>
          <w:p>
            <w:pPr>
              <w:pStyle w:val="1065"/>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厂家、参数、性能、价格等均须提前一周书面征求监理单位、审计部门、采购人等同意后方能进行采购。所有材料及设备进场前也必须经监理单位、审计部门、采购人等事先认可后才能用于本工程。即中标人对用于本工程的所有材料及设备的品牌、规格型号、色号、产地、生产厂家、参数、性能、价格等负责。</w:t>
            </w:r>
            <w:r/>
          </w:p>
          <w:p>
            <w:pPr>
              <w:pStyle w:val="1065"/>
              <w:jc w:val="left"/>
              <w:rPr>
                <w:rFonts w:hint="eastAsia" w:ascii="宋体" w:hAnsi="宋体" w:cs="宋体"/>
                <w:sz w:val="24"/>
              </w:rPr>
            </w:pPr>
            <w:r>
              <w:rPr>
                <w:rFonts w:hint="eastAsia" w:ascii="宋体" w:hAnsi="宋体" w:cs="宋体"/>
                <w:sz w:val="24"/>
              </w:rPr>
              <w:t xml:space="preserve">8 报价货币为人民币，评审时以人民币为准。</w:t>
            </w:r>
            <w:r/>
          </w:p>
          <w:p>
            <w:pPr>
              <w:pStyle w:val="1065"/>
              <w:jc w:val="left"/>
              <w:rPr>
                <w:rFonts w:hint="eastAsia" w:ascii="宋体" w:hAnsi="宋体" w:cs="宋体"/>
                <w:b/>
                <w:bCs/>
                <w:sz w:val="24"/>
                <w:szCs w:val="24"/>
              </w:rPr>
            </w:pPr>
            <w:r>
              <w:rPr>
                <w:rFonts w:hint="eastAsia" w:ascii="宋体" w:hAnsi="宋体" w:cs="宋体"/>
                <w:b/>
                <w:bCs/>
                <w:sz w:val="24"/>
                <w:szCs w:val="24"/>
              </w:rPr>
              <w:t xml:space="preserve">9 投标报价高于控制价或者清单子目综</w:t>
            </w:r>
            <w:r>
              <w:rPr>
                <w:rFonts w:hint="eastAsia" w:ascii="宋体" w:hAnsi="宋体" w:cs="宋体"/>
                <w:b/>
                <w:bCs/>
                <w:sz w:val="24"/>
                <w:szCs w:val="24"/>
              </w:rPr>
              <w:t xml:space="preserve">合单价的均作为无效响应处理。</w:t>
            </w:r>
            <w:r>
              <w:rPr>
                <w:b/>
                <w:bCs/>
                <w:sz w:val="24"/>
                <w:szCs w:val="24"/>
              </w:rPr>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65"/>
              <w:jc w:val="left"/>
              <w:rPr>
                <w:rFonts w:hint="eastAsia" w:ascii="宋体" w:hAnsi="宋体" w:cs="宋体"/>
                <w:sz w:val="24"/>
              </w:rPr>
            </w:pPr>
            <w:r>
              <w:rPr>
                <w:rFonts w:hint="eastAsia" w:ascii="宋体" w:hAnsi="宋体" w:cs="宋体"/>
                <w:sz w:val="24"/>
              </w:rPr>
              <w:t xml:space="preserve">■不允许</w:t>
            </w:r>
            <w:r/>
          </w:p>
          <w:p>
            <w:pPr>
              <w:pStyle w:val="1065"/>
              <w:jc w:val="left"/>
              <w:rPr>
                <w:rFonts w:hint="eastAsia" w:ascii="宋体" w:hAnsi="宋体" w:cs="宋体"/>
                <w:sz w:val="24"/>
              </w:rPr>
            </w:pPr>
            <w:r>
              <w:rPr>
                <w:rFonts w:hint="eastAsia" w:ascii="宋体" w:hAnsi="宋体" w:cs="宋体"/>
                <w:sz w:val="24"/>
              </w:rPr>
              <w:t xml:space="preserve">□允许，具体要求：</w:t>
            </w:r>
            <w:r/>
          </w:p>
          <w:p>
            <w:pPr>
              <w:pStyle w:val="106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6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6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bCs/>
                <w:sz w:val="24"/>
              </w:rPr>
              <w:t xml:space="preserve">2026</w:t>
            </w:r>
            <w:r>
              <w:rPr>
                <w:rFonts w:hint="eastAsia" w:ascii="宋体" w:hAnsi="宋体" w:cs="宋体"/>
                <w:b/>
                <w:bCs/>
                <w:sz w:val="24"/>
              </w:rPr>
              <w:t xml:space="preserve">年7月7</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w:t>
            </w:r>
            <w:r>
              <w:rPr>
                <w:rFonts w:hint="eastAsia" w:ascii="宋体" w:hAnsi="宋体" w:cs="宋体"/>
                <w:sz w:val="24"/>
              </w:rPr>
              <w:t xml:space="preserve">105，邮箱：czctzb@163.com。</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接收询问和质疑的联系方式</w:t>
            </w:r>
            <w:r/>
          </w:p>
          <w:p>
            <w:pPr>
              <w:pStyle w:val="1065"/>
              <w:jc w:val="left"/>
              <w:rPr>
                <w:rFonts w:hint="eastAsia" w:ascii="宋体" w:hAnsi="宋体" w:cs="宋体"/>
                <w:sz w:val="24"/>
              </w:rPr>
            </w:pPr>
            <w:r>
              <w:rPr>
                <w:rFonts w:hint="eastAsia" w:ascii="宋体" w:hAnsi="宋体" w:cs="宋体"/>
                <w:sz w:val="24"/>
              </w:rPr>
              <w:t xml:space="preserve">联系部门：技术部；</w:t>
            </w:r>
            <w:r/>
          </w:p>
          <w:p>
            <w:pPr>
              <w:pStyle w:val="1065"/>
              <w:jc w:val="left"/>
              <w:rPr>
                <w:rFonts w:hint="eastAsia" w:ascii="宋体" w:hAnsi="宋体" w:cs="宋体"/>
                <w:sz w:val="24"/>
              </w:rPr>
            </w:pPr>
            <w:r>
              <w:rPr>
                <w:rFonts w:hint="eastAsia" w:ascii="宋体" w:hAnsi="宋体" w:cs="宋体"/>
                <w:sz w:val="24"/>
              </w:rPr>
              <w:t xml:space="preserve">联系电话：0519-81580152  81580191  81580192（转分机号6011）；</w:t>
            </w:r>
            <w:r/>
          </w:p>
          <w:p>
            <w:pPr>
              <w:pStyle w:val="106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5"/>
              <w:jc w:val="left"/>
              <w:rPr>
                <w:rFonts w:hint="eastAsia" w:ascii="宋体" w:hAnsi="宋体" w:cs="宋体"/>
                <w:b/>
                <w:sz w:val="24"/>
              </w:rPr>
            </w:pPr>
            <w:r>
              <w:rPr>
                <w:rFonts w:hint="eastAsia" w:ascii="宋体" w:hAnsi="宋体" w:cs="宋体"/>
                <w:b/>
                <w:sz w:val="24"/>
              </w:rPr>
              <w:t xml:space="preserve">（一）收费对象：</w:t>
            </w:r>
            <w:r/>
          </w:p>
          <w:p>
            <w:pPr>
              <w:pStyle w:val="1065"/>
              <w:jc w:val="left"/>
              <w:rPr>
                <w:rFonts w:hint="eastAsia" w:ascii="宋体" w:hAnsi="宋体" w:cs="宋体"/>
                <w:sz w:val="24"/>
              </w:rPr>
            </w:pPr>
            <w:r>
              <w:rPr>
                <w:rFonts w:hint="eastAsia" w:ascii="宋体" w:hAnsi="宋体" w:cs="宋体"/>
                <w:sz w:val="24"/>
              </w:rPr>
              <w:t xml:space="preserve">□采购人</w:t>
            </w:r>
            <w:r/>
          </w:p>
          <w:p>
            <w:pPr>
              <w:pStyle w:val="1065"/>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65"/>
              <w:jc w:val="left"/>
              <w:rPr>
                <w:rFonts w:hint="eastAsia" w:ascii="宋体" w:hAnsi="宋体" w:cs="宋体"/>
                <w:sz w:val="24"/>
              </w:rPr>
            </w:pPr>
            <w:r>
              <w:rPr>
                <w:rFonts w:hint="eastAsia" w:ascii="宋体" w:hAnsi="宋体" w:cs="宋体"/>
                <w:b/>
                <w:sz w:val="24"/>
              </w:rPr>
              <w:t xml:space="preserve">收费标准：</w:t>
            </w:r>
            <w:r>
              <w:rPr>
                <w:rFonts w:hint="eastAsia" w:ascii="宋体" w:hAnsi="宋体" w:cs="宋体"/>
                <w:sz w:val="24"/>
              </w:rPr>
            </w:r>
            <w:r/>
          </w:p>
          <w:tbl>
            <w:tblPr>
              <w:tblW w:w="501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5"/>
              <w:gridCol w:w="2125"/>
            </w:tblGrid>
            <w:tr>
              <w:trPr>
                <w:trHeight w:val="1853"/>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65"/>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342900</wp:posOffset>
                            </wp:positionH>
                            <wp:positionV relativeFrom="paragraph">
                              <wp:posOffset>-5079</wp:posOffset>
                            </wp:positionV>
                            <wp:extent cx="1365885" cy="170942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55;mso-wrap-distance-left:9.0pt;mso-wrap-distance-top:0.0pt;mso-wrap-distance-right:9.0pt;mso-wrap-distance-bottom:0.0pt;flip:xy;visibility:visible;" from="27.0pt,-0.4pt" to="134.6pt,134.2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3;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065"/>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065"/>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-83184</wp:posOffset>
                            </wp:positionH>
                            <wp:positionV relativeFrom="paragraph">
                              <wp:posOffset>90805</wp:posOffset>
                            </wp:positionV>
                            <wp:extent cx="1791970" cy="10547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54;mso-wrap-distance-left:9.0pt;mso-wrap-distance-top:0.0pt;mso-wrap-distance-right:9.0pt;mso-wrap-distance-bottom:0.0pt;flip:xy;visibility:visible;" from="-6.5pt,7.1pt" to="134.6pt,90.2pt" fillcolor="#FFFFFF" strokecolor="#000000"/>
                        </w:pict>
                      </mc:Fallback>
                    </mc:AlternateContent>
                  </w:r>
                  <w:r>
                    <w:rPr>
                      <w:rFonts w:hint="eastAsia" w:ascii="宋体" w:hAnsi="宋体" w:cs="宋体"/>
                      <w:bCs/>
                      <w:szCs w:val="21"/>
                    </w:rPr>
                    <w:t xml:space="preserve">　  类</w:t>
                  </w:r>
                  <w:r/>
                </w:p>
                <w:p>
                  <w:pPr>
                    <w:pStyle w:val="1065"/>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065"/>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065"/>
                    <w:spacing w:line="440" w:lineRule="exact"/>
                    <w:rPr>
                      <w:rFonts w:hint="eastAsia" w:ascii="宋体" w:hAnsi="宋体" w:cs="宋体"/>
                      <w:bCs/>
                      <w:szCs w:val="21"/>
                    </w:rPr>
                  </w:pPr>
                  <w:r>
                    <w:rPr>
                      <w:rFonts w:hint="eastAsia" w:ascii="宋体" w:hAnsi="宋体" w:cs="宋体"/>
                      <w:bCs/>
                      <w:szCs w:val="21"/>
                    </w:rPr>
                    <w:t xml:space="preserve">中标金额（万元）</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65"/>
                    <w:jc w:val="center"/>
                    <w:spacing w:line="440" w:lineRule="exact"/>
                    <w:rPr>
                      <w:rFonts w:hint="eastAsia" w:ascii="宋体" w:hAnsi="宋体" w:cs="宋体"/>
                      <w:bCs/>
                      <w:szCs w:val="21"/>
                    </w:rPr>
                  </w:pPr>
                  <w:r>
                    <w:rPr>
                      <w:rFonts w:hint="eastAsia" w:ascii="宋体" w:hAnsi="宋体" w:cs="宋体"/>
                      <w:bCs/>
                      <w:szCs w:val="21"/>
                    </w:rPr>
                    <w:t xml:space="preserve">工程类</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0.7%</w:t>
                  </w:r>
                  <w:r/>
                </w:p>
              </w:tc>
            </w:tr>
            <w:tr>
              <w:trPr/>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0.55%</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65"/>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5" w:type="dxa"/>
                  <w:vAlign w:val="top"/>
                  <w:textDirection w:val="lrTb"/>
                  <w:noWrap w:val="false"/>
                </w:tcPr>
                <w:p>
                  <w:pPr>
                    <w:pStyle w:val="1065"/>
                    <w:jc w:val="center"/>
                    <w:spacing w:line="440" w:lineRule="exact"/>
                    <w:rPr>
                      <w:rFonts w:hint="eastAsia" w:ascii="宋体" w:hAnsi="宋体" w:cs="宋体"/>
                      <w:szCs w:val="21"/>
                    </w:rPr>
                  </w:pPr>
                  <w:r>
                    <w:rPr>
                      <w:rFonts w:hint="eastAsia" w:ascii="宋体" w:hAnsi="宋体" w:cs="宋体"/>
                      <w:szCs w:val="21"/>
                    </w:rPr>
                  </w:r>
                  <w:r/>
                </w:p>
              </w:tc>
            </w:tr>
          </w:tbl>
          <w:p>
            <w:pPr>
              <w:pStyle w:val="1065"/>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65"/>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按照上述标准的40.1%收取。</w:t>
            </w:r>
            <w:r/>
          </w:p>
          <w:p>
            <w:pPr>
              <w:pStyle w:val="1065"/>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65"/>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106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6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6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5"/>
              <w:ind w:firstLine="473"/>
              <w:jc w:val="left"/>
              <w:rPr>
                <w:rFonts w:hint="eastAsia" w:ascii="宋体" w:hAnsi="宋体" w:cs="宋体"/>
                <w:b/>
                <w:sz w:val="24"/>
              </w:rPr>
            </w:pPr>
            <w:r>
              <w:rPr>
                <w:rFonts w:hint="eastAsia"/>
                <w:sz w:val="24"/>
              </w:rPr>
              <w:t xml:space="preserve">中标人在</w:t>
            </w:r>
            <w:r>
              <w:rPr>
                <w:rFonts w:hint="eastAsia"/>
                <w:sz w:val="24"/>
              </w:rPr>
              <w:t xml:space="preserve">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65"/>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r>
      <w:r/>
    </w:p>
    <w:p>
      <w:pPr>
        <w:pStyle w:val="1065"/>
        <w:jc w:val="center"/>
        <w:spacing w:before="240" w:after="240"/>
        <w:rPr>
          <w:rFonts w:hint="eastAsia" w:ascii="宋体" w:hAnsi="宋体" w:cs="宋体"/>
          <w:b/>
          <w:sz w:val="28"/>
          <w:szCs w:val="28"/>
        </w:rPr>
      </w:pPr>
      <w:r/>
      <w:bookmarkStart w:id="75" w:name="_Toc142311019"/>
      <w:r/>
      <w:bookmarkStart w:id="76" w:name="_Toc226965790"/>
      <w:r/>
      <w:bookmarkStart w:id="77" w:name="_Toc127151517"/>
      <w:r/>
      <w:bookmarkStart w:id="78" w:name="_Toc305158859"/>
      <w:r/>
      <w:bookmarkStart w:id="79" w:name="_Toc305158785"/>
      <w:r/>
      <w:bookmarkStart w:id="80" w:name="_Toc265228355"/>
      <w:r/>
      <w:bookmarkStart w:id="81" w:name="_Toc150480755"/>
      <w:r/>
      <w:bookmarkStart w:id="82" w:name="_Toc353873932"/>
      <w:r/>
      <w:bookmarkStart w:id="83" w:name="_Toc264969207"/>
      <w:r/>
      <w:bookmarkStart w:id="84" w:name="_Toc353825542"/>
      <w:r/>
      <w:bookmarkStart w:id="85" w:name="_Toc195842882"/>
      <w:r/>
      <w:bookmarkStart w:id="86" w:name="_Toc150774722"/>
      <w:r/>
      <w:bookmarkStart w:id="87" w:name="_Toc226337213"/>
      <w:r/>
      <w:bookmarkStart w:id="88" w:name="_Toc35387366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67"/>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305158786"/>
      <w:r/>
      <w:bookmarkStart w:id="92" w:name="_Toc151193832"/>
      <w:r/>
      <w:bookmarkStart w:id="93" w:name="_Toc226309762"/>
      <w:r/>
      <w:bookmarkStart w:id="94" w:name="_Toc226965708"/>
      <w:r/>
      <w:bookmarkStart w:id="95" w:name="_Toc226965791"/>
      <w:r/>
      <w:bookmarkStart w:id="96" w:name="_Toc151193688"/>
      <w:r/>
      <w:bookmarkStart w:id="97" w:name="_Toc226337214"/>
      <w:r/>
      <w:bookmarkStart w:id="98" w:name="_Toc150509269"/>
      <w:r/>
      <w:bookmarkStart w:id="99" w:name="_Toc151193616"/>
      <w:r/>
      <w:bookmarkStart w:id="100" w:name="_Toc151193760"/>
      <w:r/>
      <w:bookmarkStart w:id="101" w:name="_Toc264969208"/>
      <w:r/>
      <w:bookmarkStart w:id="102" w:name="_Toc151190145"/>
      <w:r/>
      <w:bookmarkStart w:id="103" w:name="_Toc151193906"/>
      <w:r/>
      <w:bookmarkStart w:id="104" w:name="_Toc195842883"/>
      <w:r/>
      <w:bookmarkStart w:id="105" w:name="_Toc265228356"/>
      <w:r/>
      <w:bookmarkStart w:id="106" w:name="_Toc142311020"/>
      <w:r/>
      <w:bookmarkStart w:id="107" w:name="_Toc150774618"/>
      <w:r/>
      <w:bookmarkStart w:id="108" w:name="_Toc150480756"/>
      <w:r/>
      <w:bookmarkStart w:id="109" w:name="_Toc150774723"/>
      <w:r/>
      <w:bookmarkStart w:id="110" w:name="_Toc305158860"/>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6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4969209"/>
      <w:r/>
      <w:bookmarkStart w:id="113" w:name="_Toc26522835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6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6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6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6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95842885"/>
      <w:r/>
      <w:bookmarkStart w:id="116" w:name="_Toc149720813"/>
      <w:r/>
      <w:bookmarkStart w:id="117" w:name="_Toc151190147"/>
      <w:r/>
      <w:bookmarkStart w:id="118" w:name="_Toc127151520"/>
      <w:r/>
      <w:bookmarkStart w:id="119" w:name="_Toc164351614"/>
      <w:r/>
      <w:bookmarkStart w:id="120" w:name="_Toc164229215"/>
      <w:r/>
      <w:bookmarkStart w:id="121" w:name="_Toc127161434"/>
      <w:r/>
      <w:bookmarkStart w:id="122" w:name="_Toc226965710"/>
      <w:r/>
      <w:bookmarkStart w:id="123" w:name="_Toc142311022"/>
      <w:r/>
      <w:bookmarkStart w:id="124" w:name="_Toc305158862"/>
      <w:r/>
      <w:bookmarkStart w:id="125" w:name="_Toc151193908"/>
      <w:r/>
      <w:bookmarkStart w:id="126" w:name="_Toc265228358"/>
      <w:r/>
      <w:bookmarkStart w:id="127" w:name="_Toc151193690"/>
      <w:r/>
      <w:bookmarkStart w:id="128" w:name="_Toc226309764"/>
      <w:r/>
      <w:bookmarkStart w:id="129" w:name="_Toc151193618"/>
      <w:r/>
      <w:bookmarkStart w:id="130" w:name="_Toc150480758"/>
      <w:r/>
      <w:bookmarkStart w:id="131" w:name="_Toc150774620"/>
      <w:r/>
      <w:bookmarkStart w:id="132" w:name="_Toc226965793"/>
      <w:r/>
      <w:bookmarkStart w:id="133" w:name="_Toc151193762"/>
      <w:r/>
      <w:bookmarkStart w:id="134" w:name="_Toc226337216"/>
      <w:r/>
      <w:bookmarkStart w:id="135" w:name="_Toc305158788"/>
      <w:r/>
      <w:bookmarkStart w:id="136" w:name="_Toc150774725"/>
      <w:r/>
      <w:bookmarkStart w:id="137" w:name="_Toc264969210"/>
      <w:r/>
      <w:bookmarkStart w:id="138" w:name="_Toc164229361"/>
      <w:r/>
      <w:bookmarkStart w:id="139" w:name="_Toc164608789"/>
      <w:r/>
      <w:bookmarkStart w:id="140" w:name="_Toc150509271"/>
      <w:r/>
      <w:bookmarkStart w:id="141" w:name="_Toc164608634"/>
      <w:r/>
      <w:bookmarkStart w:id="142" w:name="_Toc151193834"/>
      <w:r/>
      <w:bookmarkStart w:id="143" w:name="_Toc127151721"/>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6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6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0774622"/>
      <w:r/>
      <w:bookmarkStart w:id="145" w:name="_Toc142311024"/>
      <w:r/>
      <w:bookmarkStart w:id="146" w:name="_Toc226337218"/>
      <w:r/>
      <w:bookmarkStart w:id="147" w:name="_Toc520356146"/>
      <w:r/>
      <w:bookmarkStart w:id="148" w:name="_Toc226965712"/>
      <w:r/>
      <w:bookmarkStart w:id="149" w:name="_Toc151193620"/>
      <w:r/>
      <w:bookmarkStart w:id="150" w:name="_Toc195842887"/>
      <w:r/>
      <w:bookmarkStart w:id="151" w:name="_Toc226309766"/>
      <w:r/>
      <w:bookmarkStart w:id="152" w:name="_Toc151193692"/>
      <w:r/>
      <w:bookmarkStart w:id="153" w:name="_Toc151193910"/>
      <w:r/>
      <w:bookmarkStart w:id="154" w:name="_Toc151190149"/>
      <w:r/>
      <w:bookmarkStart w:id="155" w:name="_Toc264969212"/>
      <w:r/>
      <w:bookmarkStart w:id="156" w:name="_Toc265228360"/>
      <w:r/>
      <w:bookmarkStart w:id="157" w:name="_Toc226965795"/>
      <w:r/>
      <w:bookmarkStart w:id="158" w:name="_Toc305158790"/>
      <w:r/>
      <w:bookmarkStart w:id="159" w:name="_Toc151193764"/>
      <w:r/>
      <w:bookmarkStart w:id="160" w:name="_Toc150774727"/>
      <w:r/>
      <w:bookmarkStart w:id="161" w:name="_Toc150480760"/>
      <w:r/>
      <w:bookmarkStart w:id="162" w:name="_Toc150509273"/>
      <w:r/>
      <w:bookmarkStart w:id="163" w:name="_Toc151193836"/>
      <w:r/>
      <w:bookmarkStart w:id="164" w:name="_Toc127151522"/>
      <w:r/>
      <w:bookmarkStart w:id="165" w:name="_Toc305158864"/>
      <w:r>
        <w:rPr>
          <w:rFonts w:hint="eastAsia" w:ascii="宋体" w:hAnsi="宋体" w:cs="宋体"/>
          <w:sz w:val="28"/>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w:t>
      </w:r>
      <w:r>
        <w:rPr>
          <w:rFonts w:hint="eastAsia" w:ascii="宋体" w:hAnsi="宋体" w:cs="宋体"/>
          <w:sz w:val="24"/>
        </w:rPr>
        <w:t xml:space="preserve">会而导致对项目实际情况不了解，影响投标文件编制、投标报价准确性、综合因素响应不全面等问题的，由投标人自行承担不利评审后果。</w:t>
      </w:r>
      <w:r/>
    </w:p>
    <w:p>
      <w:pPr>
        <w:pStyle w:val="106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65"/>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6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6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中小企业定义：</w:t>
      </w:r>
      <w:r>
        <w:rPr>
          <w:rFonts w:ascii="宋体" w:hAnsi="宋体" w:cs="宋体"/>
          <w:sz w:val="24"/>
        </w:rPr>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w:t>
      </w:r>
      <w:r>
        <w:rPr>
          <w:rFonts w:hint="eastAsia" w:ascii="宋体" w:hAnsi="宋体" w:cs="宋体"/>
          <w:sz w:val="24"/>
        </w:rPr>
        <w:t xml:space="preserve">理办法》（财库〔2020〕46号）、《关于印发中小企业划型标准规定的通知》（工信部联企业〔2011〕300 号）、《国务院关于进一步促进中小企业发展的若干意见》（国发〔2009〕36 号）。</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6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w:t>
      </w:r>
      <w:r>
        <w:rPr>
          <w:rFonts w:hint="eastAsia" w:ascii="宋体" w:hAnsi="宋体" w:cs="宋体"/>
          <w:sz w:val="24"/>
        </w:rPr>
        <w:t xml:space="preserve">以及新疆生产建设兵团监狱管理局、戒毒管理局的企业。</w:t>
      </w:r>
      <w:r/>
    </w:p>
    <w:p>
      <w:pPr>
        <w:pStyle w:val="106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w:t>
      </w:r>
      <w:r>
        <w:rPr>
          <w:rFonts w:hint="eastAsia" w:ascii="宋体" w:hAnsi="宋体" w:cs="宋体"/>
          <w:sz w:val="24"/>
        </w:rPr>
        <w:t xml:space="preserve">标准所属行业见《投标人须知资料表》。</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w:t>
      </w:r>
      <w:r>
        <w:rPr>
          <w:rFonts w:hint="eastAsia" w:ascii="宋体" w:hAnsi="宋体" w:cs="宋体"/>
          <w:sz w:val="24"/>
        </w:rPr>
        <w:t xml:space="preserve">购。关于政府采购节能产品、环境标志产品的相关规定依据《关于调整优化节能产品、环境标志产品政府采购执行机制的通知》（财库〔2019〕9号）。 </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w:t>
      </w:r>
      <w:r>
        <w:rPr>
          <w:rFonts w:hint="eastAsia" w:ascii="宋体" w:hAnsi="宋体" w:cs="宋体"/>
          <w:sz w:val="24"/>
        </w:rPr>
        <w:t xml:space="preserve">评标标准》（如涉及）。</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w:t>
      </w:r>
      <w:r>
        <w:rPr>
          <w:rFonts w:hint="eastAsia" w:ascii="宋体" w:hAnsi="宋体" w:cs="宋体"/>
          <w:sz w:val="24"/>
        </w:rPr>
        <w:t xml:space="preserve">涉及）。</w:t>
      </w:r>
      <w:r/>
    </w:p>
    <w:p>
      <w:pPr>
        <w:pStyle w:val="106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w:t>
      </w:r>
      <w:r>
        <w:rPr>
          <w:rFonts w:hint="eastAsia" w:ascii="宋体" w:hAnsi="宋体" w:cs="宋体"/>
          <w:sz w:val="24"/>
        </w:rPr>
        <w:t xml:space="preserve">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w:t>
      </w:r>
      <w:r>
        <w:rPr>
          <w:rFonts w:hint="eastAsia" w:ascii="宋体" w:hAnsi="宋体" w:cs="宋体"/>
          <w:sz w:val="24"/>
        </w:rPr>
        <w:t xml:space="preserve">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65"/>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6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6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w:t>
      </w:r>
      <w:r>
        <w:rPr>
          <w:rFonts w:hint="eastAsia" w:ascii="宋体" w:hAnsi="宋体" w:cs="宋体"/>
          <w:sz w:val="24"/>
        </w:rPr>
        <w:t xml:space="preserve">长等原因，不能在验收过程中开展检测、认证的，可要求供应商在验收阶段提供相关检测报告、认证报告。</w:t>
      </w:r>
      <w:r>
        <w:rPr>
          <w:rFonts w:ascii="宋体" w:hAnsi="宋体" w:cs="宋体"/>
          <w:sz w:val="24"/>
        </w:rPr>
      </w:r>
      <w:r/>
    </w:p>
    <w:p>
      <w:pPr>
        <w:pStyle w:val="106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6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w:t>
      </w:r>
      <w:r>
        <w:rPr>
          <w:rFonts w:hint="eastAsia" w:ascii="宋体" w:hAnsi="宋体"/>
          <w:sz w:val="24"/>
        </w:rPr>
        <w:t xml:space="preserve">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65"/>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65"/>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65"/>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65"/>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65"/>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6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0150"/>
      <w:r/>
      <w:bookmarkStart w:id="168" w:name="_Toc150774623"/>
      <w:r/>
      <w:bookmarkStart w:id="169" w:name="_Toc265228361"/>
      <w:r/>
      <w:bookmarkStart w:id="170" w:name="_Toc127151523"/>
      <w:r/>
      <w:bookmarkStart w:id="171" w:name="_Toc226309767"/>
      <w:r/>
      <w:bookmarkStart w:id="172" w:name="_Toc127151724"/>
      <w:r/>
      <w:bookmarkStart w:id="173" w:name="_Toc164229364"/>
      <w:r/>
      <w:bookmarkStart w:id="174" w:name="_Toc164229218"/>
      <w:r/>
      <w:bookmarkStart w:id="175" w:name="_Toc195842888"/>
      <w:r/>
      <w:bookmarkStart w:id="176" w:name="_Toc150509274"/>
      <w:r/>
      <w:bookmarkStart w:id="177" w:name="_Toc151193621"/>
      <w:r/>
      <w:bookmarkStart w:id="178" w:name="_Toc226965713"/>
      <w:r/>
      <w:bookmarkStart w:id="179" w:name="_Toc151193765"/>
      <w:r/>
      <w:bookmarkStart w:id="180" w:name="_Toc151193693"/>
      <w:r/>
      <w:bookmarkStart w:id="181" w:name="_Toc151193837"/>
      <w:r/>
      <w:bookmarkStart w:id="182" w:name="_Toc305158791"/>
      <w:r/>
      <w:bookmarkStart w:id="183" w:name="_Toc142311025"/>
      <w:r/>
      <w:bookmarkStart w:id="184" w:name="_Toc226965796"/>
      <w:r/>
      <w:bookmarkStart w:id="185" w:name="_Toc151193911"/>
      <w:r/>
      <w:bookmarkStart w:id="186" w:name="_Toc150480761"/>
      <w:r/>
      <w:bookmarkStart w:id="187" w:name="_Toc520356147"/>
      <w:r/>
      <w:bookmarkStart w:id="188" w:name="_Toc305158865"/>
      <w:r/>
      <w:bookmarkStart w:id="189" w:name="_Toc164608792"/>
      <w:r/>
      <w:bookmarkStart w:id="190" w:name="_Toc264969213"/>
      <w:r/>
      <w:bookmarkStart w:id="191" w:name="_Toc164351617"/>
      <w:r/>
      <w:bookmarkStart w:id="192" w:name="_Toc127161437"/>
      <w:r/>
      <w:bookmarkStart w:id="193" w:name="_Toc150774728"/>
      <w:r/>
      <w:bookmarkStart w:id="194" w:name="_Toc226337219"/>
      <w:r/>
      <w:bookmarkStart w:id="195" w:name="_Toc149720816"/>
      <w:r/>
      <w:bookmarkStart w:id="196" w:name="_Toc1646086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6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6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67"/>
        <w:ind w:firstLine="562"/>
        <w:spacing w:before="0" w:line="360" w:lineRule="auto"/>
        <w:rPr>
          <w:rFonts w:hint="eastAsia" w:ascii="宋体" w:hAnsi="宋体" w:eastAsia="宋体" w:cs="宋体"/>
          <w:sz w:val="28"/>
        </w:rPr>
      </w:pPr>
      <w:r/>
      <w:bookmarkStart w:id="197" w:name="_Toc264969216"/>
      <w:r/>
      <w:bookmarkStart w:id="198" w:name="_Toc151190153"/>
      <w:r/>
      <w:bookmarkStart w:id="199" w:name="_Toc151193768"/>
      <w:r/>
      <w:bookmarkStart w:id="200" w:name="_Toc195842891"/>
      <w:r/>
      <w:bookmarkStart w:id="201" w:name="_Toc226965716"/>
      <w:r/>
      <w:bookmarkStart w:id="202" w:name="_Toc142311028"/>
      <w:r/>
      <w:bookmarkStart w:id="203" w:name="_Toc226337222"/>
      <w:r/>
      <w:bookmarkStart w:id="204" w:name="_Toc151193696"/>
      <w:r/>
      <w:bookmarkStart w:id="205" w:name="_Toc305158794"/>
      <w:r/>
      <w:bookmarkStart w:id="206" w:name="_Toc520356150"/>
      <w:r/>
      <w:bookmarkStart w:id="207" w:name="_Toc150774626"/>
      <w:r/>
      <w:bookmarkStart w:id="208" w:name="_Toc265228364"/>
      <w:r/>
      <w:bookmarkStart w:id="209" w:name="_Toc305158868"/>
      <w:r/>
      <w:bookmarkStart w:id="210" w:name="_Toc516367020"/>
      <w:r/>
      <w:bookmarkStart w:id="211" w:name="_Toc226965799"/>
      <w:r/>
      <w:bookmarkStart w:id="212" w:name="_Toc127151526"/>
      <w:r/>
      <w:bookmarkStart w:id="213" w:name="_Toc151193914"/>
      <w:r/>
      <w:bookmarkStart w:id="214" w:name="_Toc150774731"/>
      <w:r/>
      <w:bookmarkStart w:id="215" w:name="_Toc151193840"/>
      <w:r/>
      <w:bookmarkStart w:id="216" w:name="_Toc150509277"/>
      <w:r/>
      <w:bookmarkStart w:id="217" w:name="_Toc226309770"/>
      <w:r/>
      <w:bookmarkStart w:id="218" w:name="_Toc151193624"/>
      <w:r/>
      <w:bookmarkStart w:id="219" w:name="_Toc15048076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641"/>
      <w:r/>
      <w:bookmarkStart w:id="221" w:name="_Toc164229222"/>
      <w:r/>
      <w:bookmarkStart w:id="222" w:name="_Toc305158869"/>
      <w:r/>
      <w:bookmarkStart w:id="223" w:name="_Toc164608796"/>
      <w:r/>
      <w:bookmarkStart w:id="224" w:name="_Toc151193625"/>
      <w:r/>
      <w:bookmarkStart w:id="225" w:name="_Toc265228365"/>
      <w:r/>
      <w:bookmarkStart w:id="226" w:name="_Toc226965717"/>
      <w:r/>
      <w:bookmarkStart w:id="227" w:name="_Toc226309771"/>
      <w:r/>
      <w:bookmarkStart w:id="228" w:name="_Toc195842892"/>
      <w:r/>
      <w:bookmarkStart w:id="229" w:name="_Toc226337223"/>
      <w:r/>
      <w:bookmarkStart w:id="230" w:name="_Toc149720820"/>
      <w:r/>
      <w:bookmarkStart w:id="231" w:name="_Toc264969217"/>
      <w:r/>
      <w:bookmarkStart w:id="232" w:name="_Toc150509278"/>
      <w:r/>
      <w:bookmarkStart w:id="233" w:name="_Toc151193697"/>
      <w:r/>
      <w:bookmarkStart w:id="234" w:name="_Toc151193841"/>
      <w:r/>
      <w:bookmarkStart w:id="235" w:name="_Toc142311029"/>
      <w:r/>
      <w:bookmarkStart w:id="236" w:name="_Toc151190154"/>
      <w:r/>
      <w:bookmarkStart w:id="237" w:name="_Toc127151527"/>
      <w:r/>
      <w:bookmarkStart w:id="238" w:name="_Toc150774627"/>
      <w:r/>
      <w:bookmarkStart w:id="239" w:name="_Toc520356151"/>
      <w:r/>
      <w:bookmarkStart w:id="240" w:name="_Toc164229368"/>
      <w:r/>
      <w:bookmarkStart w:id="241" w:name="_Toc151193915"/>
      <w:r/>
      <w:bookmarkStart w:id="242" w:name="_Toc516367021"/>
      <w:r/>
      <w:bookmarkStart w:id="243" w:name="_Toc127161441"/>
      <w:r/>
      <w:bookmarkStart w:id="244" w:name="_Toc305158795"/>
      <w:r/>
      <w:bookmarkStart w:id="245" w:name="_Toc150480765"/>
      <w:r/>
      <w:bookmarkStart w:id="246" w:name="_Toc151193769"/>
      <w:r/>
      <w:bookmarkStart w:id="247" w:name="_Toc127151728"/>
      <w:r/>
      <w:bookmarkStart w:id="248" w:name="_Toc150774732"/>
      <w:r/>
      <w:bookmarkStart w:id="249" w:name="_Toc226965800"/>
      <w:r/>
      <w:bookmarkStart w:id="250" w:name="_Toc164351621"/>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w:t>
      </w:r>
      <w:r>
        <w:rPr>
          <w:rFonts w:hint="eastAsia" w:ascii="宋体" w:hAnsi="宋体" w:cs="宋体"/>
          <w:sz w:val="24"/>
        </w:rPr>
        <w:t xml:space="preserve">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305158796"/>
      <w:r/>
      <w:bookmarkStart w:id="252" w:name="_Toc151193916"/>
      <w:r/>
      <w:bookmarkStart w:id="253" w:name="_Toc226337224"/>
      <w:r/>
      <w:bookmarkStart w:id="254" w:name="_Toc151193842"/>
      <w:r/>
      <w:bookmarkStart w:id="255" w:name="_Toc142311030"/>
      <w:r/>
      <w:bookmarkStart w:id="256" w:name="_Toc264969218"/>
      <w:r/>
      <w:bookmarkStart w:id="257" w:name="_Toc195842893"/>
      <w:r/>
      <w:bookmarkStart w:id="258" w:name="_Toc516367022"/>
      <w:r/>
      <w:bookmarkStart w:id="259" w:name="_Ref467306195"/>
      <w:r/>
      <w:bookmarkStart w:id="260" w:name="_Ref467306676"/>
      <w:r/>
      <w:bookmarkStart w:id="261" w:name="_Toc150774733"/>
      <w:r/>
      <w:bookmarkStart w:id="262" w:name="_Toc150480766"/>
      <w:r/>
      <w:bookmarkStart w:id="263" w:name="_Toc151193698"/>
      <w:r/>
      <w:bookmarkStart w:id="264" w:name="_Toc151193626"/>
      <w:r/>
      <w:bookmarkStart w:id="265" w:name="_Toc226965801"/>
      <w:r/>
      <w:bookmarkStart w:id="266" w:name="_Toc164608642"/>
      <w:r/>
      <w:bookmarkStart w:id="267" w:name="_Toc226965718"/>
      <w:r/>
      <w:bookmarkStart w:id="268" w:name="_Toc150774628"/>
      <w:r/>
      <w:bookmarkStart w:id="269" w:name="_Toc164229369"/>
      <w:r/>
      <w:bookmarkStart w:id="270" w:name="_Toc164351622"/>
      <w:r/>
      <w:bookmarkStart w:id="271" w:name="_Toc164229223"/>
      <w:r/>
      <w:bookmarkStart w:id="272" w:name="_Toc127151729"/>
      <w:r/>
      <w:bookmarkStart w:id="273" w:name="_Toc127161442"/>
      <w:r/>
      <w:bookmarkStart w:id="274" w:name="_Toc265228366"/>
      <w:r/>
      <w:bookmarkStart w:id="275" w:name="_Toc164608797"/>
      <w:r/>
      <w:bookmarkStart w:id="276" w:name="_Toc520356152"/>
      <w:r/>
      <w:bookmarkStart w:id="277" w:name="_Toc151193770"/>
      <w:r/>
      <w:bookmarkStart w:id="278" w:name="_Toc151190155"/>
      <w:r/>
      <w:bookmarkStart w:id="279" w:name="_Toc127151528"/>
      <w:r/>
      <w:bookmarkStart w:id="280" w:name="_Toc150509279"/>
      <w:r/>
      <w:bookmarkStart w:id="281" w:name="_Toc305158870"/>
      <w:r/>
      <w:bookmarkStart w:id="282" w:name="_Toc226309772"/>
      <w:r/>
      <w:bookmarkStart w:id="283" w:name="_Toc149720821"/>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w:t>
      </w:r>
      <w:r>
        <w:rPr>
          <w:rFonts w:hint="eastAsia" w:ascii="宋体" w:hAnsi="宋体" w:cs="宋体"/>
          <w:sz w:val="24"/>
        </w:rPr>
        <w:t xml:space="preserve">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772"/>
      <w:r/>
      <w:bookmarkStart w:id="286" w:name="_Toc164608799"/>
      <w:r/>
      <w:bookmarkStart w:id="287" w:name="_Toc150774630"/>
      <w:r/>
      <w:bookmarkStart w:id="288" w:name="_Toc195842895"/>
      <w:r/>
      <w:bookmarkStart w:id="289" w:name="_Toc150774735"/>
      <w:r/>
      <w:bookmarkStart w:id="290" w:name="_Toc142311032"/>
      <w:r/>
      <w:bookmarkStart w:id="291" w:name="_Toc127151530"/>
      <w:r/>
      <w:bookmarkStart w:id="292" w:name="_Toc151193844"/>
      <w:r/>
      <w:bookmarkStart w:id="293" w:name="_Toc151193628"/>
      <w:r/>
      <w:bookmarkStart w:id="294" w:name="_Toc150480768"/>
      <w:r/>
      <w:bookmarkStart w:id="295" w:name="_Toc164608644"/>
      <w:r/>
      <w:bookmarkStart w:id="296" w:name="_Toc151193700"/>
      <w:r/>
      <w:bookmarkStart w:id="297" w:name="_Toc151190157"/>
      <w:r/>
      <w:bookmarkStart w:id="298" w:name="_Toc127151731"/>
      <w:r/>
      <w:bookmarkStart w:id="299" w:name="_Toc151193918"/>
      <w:r/>
      <w:bookmarkStart w:id="300" w:name="_Toc164351624"/>
      <w:r/>
      <w:bookmarkStart w:id="301" w:name="_Toc164229371"/>
      <w:r/>
      <w:bookmarkStart w:id="302" w:name="_Toc520356155"/>
      <w:r/>
      <w:bookmarkStart w:id="303" w:name="_Toc127161444"/>
      <w:r/>
      <w:bookmarkStart w:id="304" w:name="_Toc150509281"/>
      <w:r/>
      <w:bookmarkStart w:id="305" w:name="_Toc149720823"/>
      <w:r/>
      <w:bookmarkStart w:id="306" w:name="_Toc164229225"/>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w:t>
      </w:r>
      <w:r>
        <w:rPr>
          <w:rFonts w:hint="eastAsia" w:ascii="宋体" w:hAnsi="宋体" w:cs="宋体"/>
          <w:sz w:val="24"/>
        </w:rPr>
        <w:t xml:space="preserve">包括为完成本项目所发生的一切费用和税费，招标人将不再支付报价以外的任何费用。投标人的报价应包括但不限于下列内容，《投标人须知资料表》中有特殊规定的，从其规定。</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0158"/>
      <w:r/>
      <w:bookmarkStart w:id="308" w:name="_Toc127161445"/>
      <w:r/>
      <w:bookmarkStart w:id="309" w:name="_Toc151193773"/>
      <w:r/>
      <w:bookmarkStart w:id="310" w:name="_Toc164608800"/>
      <w:r/>
      <w:bookmarkStart w:id="311" w:name="_Toc520356156"/>
      <w:r/>
      <w:bookmarkStart w:id="312" w:name="_Toc150774631"/>
      <w:r/>
      <w:bookmarkStart w:id="313" w:name="_Toc149720824"/>
      <w:r/>
      <w:bookmarkStart w:id="314" w:name="_Toc164351625"/>
      <w:r/>
      <w:bookmarkStart w:id="315" w:name="_Toc151193629"/>
      <w:r/>
      <w:bookmarkStart w:id="316" w:name="_Toc127151531"/>
      <w:r/>
      <w:bookmarkStart w:id="317" w:name="_Toc226965804"/>
      <w:r/>
      <w:bookmarkStart w:id="318" w:name="_Toc150509282"/>
      <w:r/>
      <w:bookmarkStart w:id="319" w:name="_Toc265228369"/>
      <w:r/>
      <w:bookmarkStart w:id="320" w:name="_Toc226337227"/>
      <w:r/>
      <w:bookmarkStart w:id="321" w:name="_Toc142311033"/>
      <w:r/>
      <w:bookmarkStart w:id="322" w:name="_Toc150480769"/>
      <w:r/>
      <w:bookmarkStart w:id="323" w:name="_Ref467306513"/>
      <w:r/>
      <w:bookmarkStart w:id="324" w:name="_Toc150774736"/>
      <w:r/>
      <w:bookmarkStart w:id="325" w:name="_Toc264969221"/>
      <w:r/>
      <w:bookmarkStart w:id="326" w:name="_Toc226965721"/>
      <w:r/>
      <w:bookmarkStart w:id="327" w:name="_Toc151193701"/>
      <w:r/>
      <w:bookmarkStart w:id="328" w:name="_Toc164229372"/>
      <w:r/>
      <w:bookmarkStart w:id="329" w:name="_Toc164229226"/>
      <w:r/>
      <w:bookmarkStart w:id="330" w:name="_Toc151193845"/>
      <w:r/>
      <w:bookmarkStart w:id="331" w:name="_Toc305158873"/>
      <w:r/>
      <w:bookmarkStart w:id="332" w:name="_Toc226309775"/>
      <w:r/>
      <w:bookmarkStart w:id="333" w:name="_Toc305158799"/>
      <w:r/>
      <w:bookmarkStart w:id="334" w:name="_Toc195842896"/>
      <w:r/>
      <w:bookmarkStart w:id="335" w:name="_Toc151193919"/>
      <w:r/>
      <w:bookmarkStart w:id="336" w:name="_Toc127151732"/>
      <w:r/>
      <w:bookmarkStart w:id="337" w:name="_Toc1646086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6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49720825"/>
      <w:r/>
      <w:bookmarkStart w:id="339" w:name="_Toc264969222"/>
      <w:r/>
      <w:bookmarkStart w:id="340" w:name="_Toc150774737"/>
      <w:r/>
      <w:bookmarkStart w:id="341" w:name="_Toc226965805"/>
      <w:r/>
      <w:bookmarkStart w:id="342" w:name="_Toc226965722"/>
      <w:r/>
      <w:bookmarkStart w:id="343" w:name="_Toc150774632"/>
      <w:r/>
      <w:bookmarkStart w:id="344" w:name="_Toc142311034"/>
      <w:r/>
      <w:bookmarkStart w:id="345" w:name="_Toc127151733"/>
      <w:r/>
      <w:bookmarkStart w:id="346" w:name="_Toc164351626"/>
      <w:r/>
      <w:bookmarkStart w:id="347" w:name="_Toc151193630"/>
      <w:r/>
      <w:bookmarkStart w:id="348" w:name="_Toc164608646"/>
      <w:r/>
      <w:bookmarkStart w:id="349" w:name="_Toc305158874"/>
      <w:r/>
      <w:bookmarkStart w:id="350" w:name="_Toc150480770"/>
      <w:r/>
      <w:bookmarkStart w:id="351" w:name="_Toc164229227"/>
      <w:r/>
      <w:bookmarkStart w:id="352" w:name="_Toc226337228"/>
      <w:r/>
      <w:bookmarkStart w:id="353" w:name="_Toc164608801"/>
      <w:r/>
      <w:bookmarkStart w:id="354" w:name="_Toc151193920"/>
      <w:r/>
      <w:bookmarkStart w:id="355" w:name="_Toc195842897"/>
      <w:r/>
      <w:bookmarkStart w:id="356" w:name="_Toc151193846"/>
      <w:r/>
      <w:bookmarkStart w:id="357" w:name="_Toc150509283"/>
      <w:r/>
      <w:bookmarkStart w:id="358" w:name="_Toc265228370"/>
      <w:r/>
      <w:bookmarkStart w:id="359" w:name="_Toc151193774"/>
      <w:r/>
      <w:bookmarkStart w:id="360" w:name="_Toc305158800"/>
      <w:r/>
      <w:bookmarkStart w:id="361" w:name="_Toc164229373"/>
      <w:r/>
      <w:bookmarkStart w:id="362" w:name="_Toc127161446"/>
      <w:r/>
      <w:bookmarkStart w:id="363" w:name="_Toc127151532"/>
      <w:r/>
      <w:bookmarkStart w:id="364" w:name="_Toc226309776"/>
      <w:r/>
      <w:bookmarkStart w:id="365" w:name="_Toc151193702"/>
      <w:r/>
      <w:bookmarkStart w:id="366" w:name="_Toc151190159"/>
      <w:r/>
      <w:bookmarkStart w:id="367" w:name="_Toc520356157"/>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305158801"/>
      <w:r/>
      <w:bookmarkStart w:id="369" w:name="_Toc151190160"/>
      <w:r/>
      <w:bookmarkStart w:id="370" w:name="_Toc226965723"/>
      <w:r/>
      <w:bookmarkStart w:id="371" w:name="_Toc151193847"/>
      <w:r/>
      <w:bookmarkStart w:id="372" w:name="_Toc127151734"/>
      <w:r/>
      <w:bookmarkStart w:id="373" w:name="_Toc195842898"/>
      <w:r/>
      <w:bookmarkStart w:id="374" w:name="_Toc151193921"/>
      <w:r/>
      <w:bookmarkStart w:id="375" w:name="_Toc264969223"/>
      <w:r/>
      <w:bookmarkStart w:id="376" w:name="_Toc265228371"/>
      <w:r/>
      <w:bookmarkStart w:id="377" w:name="_Toc164229228"/>
      <w:r/>
      <w:bookmarkStart w:id="378" w:name="_Toc142311035"/>
      <w:r/>
      <w:bookmarkStart w:id="379" w:name="_Toc151193703"/>
      <w:r/>
      <w:bookmarkStart w:id="380" w:name="_Toc149720826"/>
      <w:r/>
      <w:bookmarkStart w:id="381" w:name="_Toc164229374"/>
      <w:r/>
      <w:bookmarkStart w:id="382" w:name="_Toc305158875"/>
      <w:r/>
      <w:bookmarkStart w:id="383" w:name="_Toc150480771"/>
      <w:r/>
      <w:bookmarkStart w:id="384" w:name="_Toc150774738"/>
      <w:r/>
      <w:bookmarkStart w:id="385" w:name="_Toc164608647"/>
      <w:r/>
      <w:bookmarkStart w:id="386" w:name="_Toc127161447"/>
      <w:r/>
      <w:bookmarkStart w:id="387" w:name="_Toc150774633"/>
      <w:r/>
      <w:bookmarkStart w:id="388" w:name="_Toc226309777"/>
      <w:r/>
      <w:bookmarkStart w:id="389" w:name="_Toc520356158"/>
      <w:r/>
      <w:bookmarkStart w:id="390" w:name="_Toc164351627"/>
      <w:r/>
      <w:bookmarkStart w:id="391" w:name="_Toc226965806"/>
      <w:r/>
      <w:bookmarkStart w:id="392" w:name="_Toc226337229"/>
      <w:r/>
      <w:bookmarkStart w:id="393" w:name="_Toc127151533"/>
      <w:r/>
      <w:bookmarkStart w:id="394" w:name="_Toc151193631"/>
      <w:r/>
      <w:bookmarkStart w:id="395" w:name="_Toc151193775"/>
      <w:r/>
      <w:bookmarkStart w:id="396" w:name="_Toc164608802"/>
      <w:r/>
      <w:bookmarkStart w:id="397" w:name="_Toc150509284"/>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65228372"/>
      <w:r/>
      <w:bookmarkStart w:id="399" w:name="_Toc151193776"/>
      <w:r/>
      <w:bookmarkStart w:id="400" w:name="_Toc305158802"/>
      <w:r/>
      <w:bookmarkStart w:id="401" w:name="_Toc151193922"/>
      <w:r/>
      <w:bookmarkStart w:id="402" w:name="_Toc520356159"/>
      <w:r/>
      <w:bookmarkStart w:id="403" w:name="_Toc150774634"/>
      <w:r/>
      <w:bookmarkStart w:id="404" w:name="_Toc226337230"/>
      <w:r/>
      <w:bookmarkStart w:id="405" w:name="_Toc151193632"/>
      <w:r/>
      <w:bookmarkStart w:id="406" w:name="_Toc305158876"/>
      <w:r/>
      <w:bookmarkStart w:id="407" w:name="_Toc151193848"/>
      <w:r/>
      <w:bookmarkStart w:id="408" w:name="_Toc226309778"/>
      <w:r/>
      <w:bookmarkStart w:id="409" w:name="_Toc195842899"/>
      <w:r/>
      <w:bookmarkStart w:id="410" w:name="_Toc151193704"/>
      <w:r/>
      <w:bookmarkStart w:id="411" w:name="_Toc226965724"/>
      <w:r/>
      <w:bookmarkStart w:id="412" w:name="_Toc264969224"/>
      <w:r/>
      <w:bookmarkStart w:id="413" w:name="_Toc150480772"/>
      <w:r/>
      <w:bookmarkStart w:id="414" w:name="_Toc150774739"/>
      <w:r/>
      <w:bookmarkStart w:id="415" w:name="_Toc151190161"/>
      <w:r/>
      <w:bookmarkStart w:id="416" w:name="_Toc150509285"/>
      <w:r/>
      <w:bookmarkStart w:id="417" w:name="_Toc127151534"/>
      <w:r/>
      <w:bookmarkStart w:id="418" w:name="_Toc226965807"/>
      <w:r/>
      <w:bookmarkStart w:id="419" w:name="_Toc14231103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w:t>
      </w:r>
      <w:r>
        <w:rPr>
          <w:rFonts w:hint="eastAsia" w:ascii="宋体" w:hAnsi="宋体" w:cs="宋体"/>
          <w:sz w:val="24"/>
        </w:rPr>
        <w:t xml:space="preserve">标文件中应使用原件的电子件。</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6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6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226337231"/>
      <w:r/>
      <w:bookmarkStart w:id="421" w:name="_Toc195842900"/>
      <w:r/>
      <w:bookmarkStart w:id="422" w:name="_Toc151193849"/>
      <w:r/>
      <w:bookmarkStart w:id="423" w:name="_Toc150509286"/>
      <w:r/>
      <w:bookmarkStart w:id="424" w:name="_Toc164229230"/>
      <w:r/>
      <w:bookmarkStart w:id="425" w:name="_Toc265228373"/>
      <w:r/>
      <w:bookmarkStart w:id="426" w:name="_Toc226309779"/>
      <w:r/>
      <w:bookmarkStart w:id="427" w:name="_Toc226965808"/>
      <w:r/>
      <w:bookmarkStart w:id="428" w:name="_Toc150774740"/>
      <w:r/>
      <w:bookmarkStart w:id="429" w:name="_Toc142311037"/>
      <w:r/>
      <w:bookmarkStart w:id="430" w:name="_Toc149720828"/>
      <w:r/>
      <w:bookmarkStart w:id="431" w:name="_Toc127151535"/>
      <w:r/>
      <w:bookmarkStart w:id="432" w:name="_Toc226965725"/>
      <w:r/>
      <w:bookmarkStart w:id="433" w:name="_Toc305158877"/>
      <w:r/>
      <w:bookmarkStart w:id="434" w:name="_Toc127151736"/>
      <w:r/>
      <w:bookmarkStart w:id="435" w:name="_Toc151193777"/>
      <w:r/>
      <w:bookmarkStart w:id="436" w:name="_Toc164229376"/>
      <w:r/>
      <w:bookmarkStart w:id="437" w:name="_Toc151193633"/>
      <w:r/>
      <w:bookmarkStart w:id="438" w:name="_Toc127161449"/>
      <w:r/>
      <w:bookmarkStart w:id="439" w:name="_Toc164351629"/>
      <w:r/>
      <w:bookmarkStart w:id="440" w:name="_Toc151193705"/>
      <w:r/>
      <w:bookmarkStart w:id="441" w:name="_Toc151193923"/>
      <w:r/>
      <w:bookmarkStart w:id="442" w:name="_Toc264969225"/>
      <w:r/>
      <w:bookmarkStart w:id="443" w:name="_Toc520356160"/>
      <w:r/>
      <w:bookmarkStart w:id="444" w:name="_Toc164608649"/>
      <w:r/>
      <w:bookmarkStart w:id="445" w:name="_Toc150774635"/>
      <w:r/>
      <w:bookmarkStart w:id="446" w:name="_Toc151190162"/>
      <w:r/>
      <w:bookmarkStart w:id="447" w:name="_Toc164608804"/>
      <w:r/>
      <w:bookmarkStart w:id="448" w:name="_Toc150480773"/>
      <w:r/>
      <w:bookmarkStart w:id="449" w:name="_Toc305158803"/>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95842901"/>
      <w:r/>
      <w:bookmarkStart w:id="451" w:name="_Toc164608650"/>
      <w:r/>
      <w:bookmarkStart w:id="452" w:name="_Toc149720829"/>
      <w:r/>
      <w:bookmarkStart w:id="453" w:name="_Toc151193706"/>
      <w:r/>
      <w:bookmarkStart w:id="454" w:name="_Toc520356161"/>
      <w:r/>
      <w:bookmarkStart w:id="455" w:name="_Toc151190163"/>
      <w:r/>
      <w:bookmarkStart w:id="456" w:name="_Toc150774636"/>
      <w:r/>
      <w:bookmarkStart w:id="457" w:name="_Toc150480774"/>
      <w:r/>
      <w:bookmarkStart w:id="458" w:name="_Toc151193850"/>
      <w:r/>
      <w:bookmarkStart w:id="459" w:name="_Toc151193924"/>
      <w:r/>
      <w:bookmarkStart w:id="460" w:name="_Toc127151737"/>
      <w:r/>
      <w:bookmarkStart w:id="461" w:name="_Toc150509287"/>
      <w:r/>
      <w:bookmarkStart w:id="462" w:name="_Toc151193634"/>
      <w:r/>
      <w:bookmarkStart w:id="463" w:name="_Toc127151536"/>
      <w:r/>
      <w:bookmarkStart w:id="464" w:name="_Toc265228374"/>
      <w:r/>
      <w:bookmarkStart w:id="465" w:name="_Toc226337232"/>
      <w:r/>
      <w:bookmarkStart w:id="466" w:name="_Toc127161450"/>
      <w:r/>
      <w:bookmarkStart w:id="467" w:name="_Toc164229231"/>
      <w:r/>
      <w:bookmarkStart w:id="468" w:name="_Toc151193778"/>
      <w:r/>
      <w:bookmarkStart w:id="469" w:name="_Toc142311038"/>
      <w:r/>
      <w:bookmarkStart w:id="470" w:name="_Toc164229377"/>
      <w:r/>
      <w:bookmarkStart w:id="471" w:name="_Toc305158804"/>
      <w:r/>
      <w:bookmarkStart w:id="472" w:name="_Toc226309780"/>
      <w:r/>
      <w:bookmarkStart w:id="473" w:name="_Toc264969226"/>
      <w:r/>
      <w:bookmarkStart w:id="474" w:name="_Toc305158878"/>
      <w:r/>
      <w:bookmarkStart w:id="475" w:name="_Toc226965809"/>
      <w:r/>
      <w:bookmarkStart w:id="476" w:name="_Toc164351630"/>
      <w:r/>
      <w:bookmarkStart w:id="477" w:name="_Toc164608805"/>
      <w:r/>
      <w:bookmarkStart w:id="478" w:name="_Toc150774741"/>
      <w:r/>
      <w:bookmarkStart w:id="479" w:name="_Toc22696572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42311039"/>
      <w:r/>
      <w:bookmarkStart w:id="481" w:name="_Toc151193851"/>
      <w:r/>
      <w:bookmarkStart w:id="482" w:name="_Toc164351631"/>
      <w:r/>
      <w:bookmarkStart w:id="483" w:name="_Toc151193635"/>
      <w:r/>
      <w:bookmarkStart w:id="484" w:name="_Toc164608651"/>
      <w:r/>
      <w:bookmarkStart w:id="485" w:name="_Toc150774637"/>
      <w:r/>
      <w:bookmarkStart w:id="486" w:name="_Toc150480775"/>
      <w:r/>
      <w:bookmarkStart w:id="487" w:name="_Toc305158879"/>
      <w:r/>
      <w:bookmarkStart w:id="488" w:name="_Toc164229378"/>
      <w:r/>
      <w:bookmarkStart w:id="489" w:name="_Toc151193925"/>
      <w:r/>
      <w:bookmarkStart w:id="490" w:name="_Toc149720830"/>
      <w:r/>
      <w:bookmarkStart w:id="491" w:name="_Toc151193707"/>
      <w:r/>
      <w:bookmarkStart w:id="492" w:name="_Toc264969227"/>
      <w:r/>
      <w:bookmarkStart w:id="493" w:name="_Toc164608806"/>
      <w:r/>
      <w:bookmarkStart w:id="494" w:name="_Toc164229232"/>
      <w:r/>
      <w:bookmarkStart w:id="495" w:name="_Toc265228375"/>
      <w:r/>
      <w:bookmarkStart w:id="496" w:name="_Toc226965810"/>
      <w:r/>
      <w:bookmarkStart w:id="497" w:name="_Toc127151537"/>
      <w:r/>
      <w:bookmarkStart w:id="498" w:name="_Toc151190164"/>
      <w:r/>
      <w:bookmarkStart w:id="499" w:name="_Toc150774742"/>
      <w:r/>
      <w:bookmarkStart w:id="500" w:name="_Toc226337233"/>
      <w:r/>
      <w:bookmarkStart w:id="501" w:name="_Toc195842902"/>
      <w:r/>
      <w:bookmarkStart w:id="502" w:name="_Toc127151738"/>
      <w:r/>
      <w:bookmarkStart w:id="503" w:name="_Toc127161451"/>
      <w:r/>
      <w:bookmarkStart w:id="504" w:name="_Toc226309781"/>
      <w:r/>
      <w:bookmarkStart w:id="505" w:name="_Toc150509288"/>
      <w:r/>
      <w:bookmarkStart w:id="506" w:name="_Toc520356162"/>
      <w:r/>
      <w:bookmarkStart w:id="507" w:name="_Toc226965727"/>
      <w:r/>
      <w:bookmarkStart w:id="508" w:name="_Toc305158805"/>
      <w:r/>
      <w:bookmarkStart w:id="509" w:name="_Toc151193779"/>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w:t>
      </w:r>
      <w:r>
        <w:rPr>
          <w:rFonts w:hint="eastAsia" w:ascii="宋体" w:hAnsi="宋体" w:cs="宋体"/>
          <w:sz w:val="24"/>
        </w:rPr>
        <w:t xml:space="preserve">人可以通过政府采购一体化平台“苏采云”对所提交的投标文件进行补充、修改或者撤回。</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65"/>
        <w:ind w:firstLine="480"/>
        <w:spacing w:line="360" w:lineRule="auto"/>
        <w:rPr>
          <w:rFonts w:hint="eastAsia" w:ascii="宋体" w:hAnsi="宋体" w:cs="宋体"/>
          <w:sz w:val="24"/>
        </w:rPr>
      </w:pPr>
      <w:r>
        <w:rPr>
          <w:rFonts w:hint="eastAsia" w:ascii="宋体" w:hAnsi="宋体" w:cs="宋体"/>
          <w:sz w:val="24"/>
        </w:rPr>
      </w:r>
      <w:r/>
    </w:p>
    <w:p>
      <w:pPr>
        <w:pStyle w:val="1067"/>
        <w:ind w:firstLine="562"/>
        <w:spacing w:before="0" w:line="360" w:lineRule="auto"/>
        <w:rPr>
          <w:rFonts w:hint="eastAsia" w:ascii="宋体" w:hAnsi="宋体" w:eastAsia="宋体" w:cs="宋体"/>
          <w:sz w:val="28"/>
        </w:rPr>
      </w:pPr>
      <w:r/>
      <w:bookmarkStart w:id="510" w:name="_Toc151193852"/>
      <w:r/>
      <w:bookmarkStart w:id="511" w:name="_Toc150774743"/>
      <w:r/>
      <w:bookmarkStart w:id="512" w:name="_Toc520356163"/>
      <w:r/>
      <w:bookmarkStart w:id="513" w:name="_Toc305158880"/>
      <w:r/>
      <w:bookmarkStart w:id="514" w:name="_Toc226965811"/>
      <w:r/>
      <w:bookmarkStart w:id="515" w:name="_Toc142311040"/>
      <w:r/>
      <w:bookmarkStart w:id="516" w:name="_Toc151193926"/>
      <w:r/>
      <w:bookmarkStart w:id="517" w:name="_Toc150480776"/>
      <w:r/>
      <w:bookmarkStart w:id="518" w:name="_Toc264969228"/>
      <w:r/>
      <w:bookmarkStart w:id="519" w:name="_Toc226337234"/>
      <w:r/>
      <w:bookmarkStart w:id="520" w:name="_Toc151193636"/>
      <w:r/>
      <w:bookmarkStart w:id="521" w:name="_Toc150774638"/>
      <w:r/>
      <w:bookmarkStart w:id="522" w:name="_Toc265228376"/>
      <w:r/>
      <w:bookmarkStart w:id="523" w:name="_Toc151193708"/>
      <w:r/>
      <w:bookmarkStart w:id="524" w:name="_Toc226965728"/>
      <w:r/>
      <w:bookmarkStart w:id="525" w:name="_Toc151190165"/>
      <w:r/>
      <w:bookmarkStart w:id="526" w:name="_Toc127151538"/>
      <w:r/>
      <w:bookmarkStart w:id="527" w:name="_Toc305158806"/>
      <w:r/>
      <w:bookmarkStart w:id="528" w:name="_Toc195842903"/>
      <w:r/>
      <w:bookmarkStart w:id="529" w:name="_Toc150509289"/>
      <w:r/>
      <w:bookmarkStart w:id="530" w:name="_Toc226309782"/>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42311041"/>
      <w:r/>
      <w:bookmarkStart w:id="533" w:name="_Toc127151740"/>
      <w:r/>
      <w:bookmarkStart w:id="534" w:name="_Toc151190166"/>
      <w:r/>
      <w:bookmarkStart w:id="535" w:name="_Toc265228377"/>
      <w:r/>
      <w:bookmarkStart w:id="536" w:name="_Toc264969229"/>
      <w:r/>
      <w:bookmarkStart w:id="537" w:name="_Toc520356164"/>
      <w:r/>
      <w:bookmarkStart w:id="538" w:name="_Toc151193853"/>
      <w:r/>
      <w:bookmarkStart w:id="539" w:name="_Toc305158881"/>
      <w:r/>
      <w:bookmarkStart w:id="540" w:name="_Toc150774744"/>
      <w:r/>
      <w:bookmarkStart w:id="541" w:name="_Toc164229234"/>
      <w:r/>
      <w:bookmarkStart w:id="542" w:name="_Toc164608808"/>
      <w:r/>
      <w:bookmarkStart w:id="543" w:name="_Toc226337235"/>
      <w:r/>
      <w:bookmarkStart w:id="544" w:name="_Toc150480777"/>
      <w:r/>
      <w:bookmarkStart w:id="545" w:name="_Toc127161453"/>
      <w:r/>
      <w:bookmarkStart w:id="546" w:name="_Toc151193927"/>
      <w:r/>
      <w:bookmarkStart w:id="547" w:name="_Toc226309783"/>
      <w:r/>
      <w:bookmarkStart w:id="548" w:name="_Toc150509290"/>
      <w:r/>
      <w:bookmarkStart w:id="549" w:name="_Toc150774639"/>
      <w:r/>
      <w:bookmarkStart w:id="550" w:name="_Toc164608653"/>
      <w:r/>
      <w:bookmarkStart w:id="551" w:name="_Toc164229380"/>
      <w:r/>
      <w:bookmarkStart w:id="552" w:name="_Toc226965729"/>
      <w:r/>
      <w:bookmarkStart w:id="553" w:name="_Toc151193781"/>
      <w:r/>
      <w:bookmarkStart w:id="554" w:name="_Toc164351633"/>
      <w:r/>
      <w:bookmarkStart w:id="555" w:name="_Toc149720832"/>
      <w:r/>
      <w:bookmarkStart w:id="556" w:name="_Toc305158807"/>
      <w:r/>
      <w:bookmarkStart w:id="557" w:name="_Toc151193709"/>
      <w:r/>
      <w:bookmarkStart w:id="558" w:name="_Toc226965812"/>
      <w:r/>
      <w:bookmarkStart w:id="559" w:name="_Toc127151539"/>
      <w:r/>
      <w:bookmarkStart w:id="560" w:name="_Toc195842904"/>
      <w:r/>
      <w:bookmarkStart w:id="561" w:name="_Toc151193637"/>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w:t>
      </w:r>
      <w:r>
        <w:rPr>
          <w:rFonts w:hint="eastAsia" w:ascii="宋体" w:hAnsi="宋体" w:cs="宋体"/>
          <w:sz w:val="24"/>
        </w:rPr>
        <w:t xml:space="preserve">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w:t>
      </w:r>
      <w:r>
        <w:rPr>
          <w:rFonts w:hint="eastAsia" w:ascii="宋体" w:hAnsi="宋体" w:cs="宋体"/>
          <w:sz w:val="24"/>
        </w:rPr>
        <w:t xml:space="preserve">由投标人自行承担。本地计算机要求安装摄像头、麦克风和音箱，保持网络通畅。</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w:t>
      </w:r>
      <w:r>
        <w:rPr>
          <w:rFonts w:hint="eastAsia" w:ascii="宋体" w:hAnsi="宋体" w:cs="宋体"/>
          <w:sz w:val="24"/>
        </w:rPr>
        <w:t xml:space="preserve">活动的公平、公正和安全时，代理机构可以延缓或者暂停采购活动，情况严重的可以终止采购活动：</w:t>
      </w:r>
      <w:r/>
    </w:p>
    <w:p>
      <w:pPr>
        <w:pStyle w:val="106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6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305158808"/>
      <w:r/>
      <w:bookmarkStart w:id="564" w:name="_Toc127161454"/>
      <w:r/>
      <w:bookmarkStart w:id="565" w:name="_Toc142311042"/>
      <w:r/>
      <w:bookmarkStart w:id="566" w:name="_Toc150509291"/>
      <w:r/>
      <w:bookmarkStart w:id="567" w:name="_Toc305158882"/>
      <w:r/>
      <w:bookmarkStart w:id="568" w:name="_Toc195842905"/>
      <w:r/>
      <w:bookmarkStart w:id="569" w:name="_Toc151193928"/>
      <w:r/>
      <w:bookmarkStart w:id="570" w:name="_Toc127151741"/>
      <w:r/>
      <w:bookmarkStart w:id="571" w:name="_Toc265228378"/>
      <w:r/>
      <w:bookmarkStart w:id="572" w:name="_Toc164229235"/>
      <w:r/>
      <w:bookmarkStart w:id="573" w:name="_Toc150480778"/>
      <w:r/>
      <w:bookmarkStart w:id="574" w:name="_Toc149720833"/>
      <w:r/>
      <w:bookmarkStart w:id="575" w:name="_Toc226309784"/>
      <w:r/>
      <w:bookmarkStart w:id="576" w:name="_Toc164608809"/>
      <w:r/>
      <w:bookmarkStart w:id="577" w:name="_Toc226965813"/>
      <w:r/>
      <w:bookmarkStart w:id="578" w:name="_Toc164608654"/>
      <w:r/>
      <w:bookmarkStart w:id="579" w:name="_Toc151193710"/>
      <w:r/>
      <w:bookmarkStart w:id="580" w:name="_Toc151193854"/>
      <w:r/>
      <w:bookmarkStart w:id="581" w:name="_Toc164229381"/>
      <w:r/>
      <w:bookmarkStart w:id="582" w:name="_Toc151193782"/>
      <w:r/>
      <w:bookmarkStart w:id="583" w:name="_Toc226965730"/>
      <w:r/>
      <w:bookmarkStart w:id="584" w:name="_Toc150774745"/>
      <w:r/>
      <w:bookmarkStart w:id="585" w:name="_Toc226337236"/>
      <w:r/>
      <w:bookmarkStart w:id="586" w:name="_Toc151193638"/>
      <w:r/>
      <w:bookmarkStart w:id="587" w:name="_Toc127151540"/>
      <w:r/>
      <w:bookmarkStart w:id="588" w:name="_Toc151190167"/>
      <w:r/>
      <w:bookmarkStart w:id="589" w:name="_Toc164351634"/>
      <w:r/>
      <w:bookmarkStart w:id="590" w:name="_Toc150774640"/>
      <w:r/>
      <w:bookmarkStart w:id="591" w:name="_Toc26496923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6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67"/>
        <w:ind w:firstLine="562"/>
        <w:spacing w:before="0" w:line="360" w:lineRule="auto"/>
        <w:rPr>
          <w:rFonts w:hint="eastAsia" w:ascii="宋体" w:hAnsi="宋体" w:eastAsia="宋体" w:cs="宋体"/>
          <w:sz w:val="28"/>
        </w:rPr>
      </w:pPr>
      <w:r/>
      <w:bookmarkStart w:id="594" w:name="_Toc264969235"/>
      <w:r/>
      <w:bookmarkStart w:id="595" w:name="_Toc151193859"/>
      <w:r/>
      <w:bookmarkStart w:id="596" w:name="_Toc150774750"/>
      <w:r/>
      <w:bookmarkStart w:id="597" w:name="_Toc142311047"/>
      <w:r/>
      <w:bookmarkStart w:id="598" w:name="_Toc305158887"/>
      <w:r/>
      <w:bookmarkStart w:id="599" w:name="_Toc226965818"/>
      <w:r/>
      <w:bookmarkStart w:id="600" w:name="_Toc226965735"/>
      <w:r/>
      <w:bookmarkStart w:id="601" w:name="_Toc150774645"/>
      <w:r/>
      <w:bookmarkStart w:id="602" w:name="_Toc151190172"/>
      <w:r/>
      <w:bookmarkStart w:id="603" w:name="_Toc265228383"/>
      <w:r/>
      <w:bookmarkStart w:id="604" w:name="_Toc150480783"/>
      <w:r/>
      <w:bookmarkStart w:id="605" w:name="_Toc127151545"/>
      <w:r/>
      <w:bookmarkStart w:id="606" w:name="_Toc151193787"/>
      <w:r/>
      <w:bookmarkStart w:id="607" w:name="_Toc151193933"/>
      <w:r/>
      <w:bookmarkStart w:id="608" w:name="_Toc305158813"/>
      <w:r/>
      <w:bookmarkStart w:id="609" w:name="_Toc226337241"/>
      <w:r/>
      <w:bookmarkStart w:id="610" w:name="_Toc150509296"/>
      <w:r/>
      <w:bookmarkStart w:id="611" w:name="_Toc151193643"/>
      <w:r/>
      <w:bookmarkStart w:id="612" w:name="_Toc151193715"/>
      <w:r/>
      <w:bookmarkStart w:id="613" w:name="_Toc195842910"/>
      <w:r/>
      <w:bookmarkStart w:id="614" w:name="_Toc226309789"/>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89"/>
      <w:r/>
      <w:bookmarkStart w:id="616" w:name="_Toc265228385"/>
      <w:r/>
      <w:bookmarkStart w:id="617" w:name="_Toc150774647"/>
      <w:r/>
      <w:bookmarkStart w:id="618" w:name="_Toc142311049"/>
      <w:r/>
      <w:bookmarkStart w:id="619" w:name="_Toc164229242"/>
      <w:r/>
      <w:bookmarkStart w:id="620" w:name="_Toc164608816"/>
      <w:r/>
      <w:bookmarkStart w:id="621" w:name="_Toc150509298"/>
      <w:r/>
      <w:bookmarkStart w:id="622" w:name="_Toc226337243"/>
      <w:r/>
      <w:bookmarkStart w:id="623" w:name="_Toc305158889"/>
      <w:r/>
      <w:bookmarkStart w:id="624" w:name="_Toc164351641"/>
      <w:r/>
      <w:bookmarkStart w:id="625" w:name="_Toc151193861"/>
      <w:r/>
      <w:bookmarkStart w:id="626" w:name="_Toc127151748"/>
      <w:r/>
      <w:bookmarkStart w:id="627" w:name="_Toc264969237"/>
      <w:r/>
      <w:bookmarkStart w:id="628" w:name="_Toc151193717"/>
      <w:r/>
      <w:bookmarkStart w:id="629" w:name="_Toc151193645"/>
      <w:r/>
      <w:bookmarkStart w:id="630" w:name="_Toc226965737"/>
      <w:r/>
      <w:bookmarkStart w:id="631" w:name="_Toc164229388"/>
      <w:r/>
      <w:bookmarkStart w:id="632" w:name="_Toc226309791"/>
      <w:r/>
      <w:bookmarkStart w:id="633" w:name="_Toc151193935"/>
      <w:r/>
      <w:bookmarkStart w:id="634" w:name="_Toc305158815"/>
      <w:r/>
      <w:bookmarkStart w:id="635" w:name="_Toc127161461"/>
      <w:r/>
      <w:bookmarkStart w:id="636" w:name="_Toc149720840"/>
      <w:r/>
      <w:bookmarkStart w:id="637" w:name="_Toc150774752"/>
      <w:r/>
      <w:bookmarkStart w:id="638" w:name="_Toc150480785"/>
      <w:r/>
      <w:bookmarkStart w:id="639" w:name="_Toc164608661"/>
      <w:r/>
      <w:bookmarkStart w:id="640" w:name="_Toc195842912"/>
      <w:r/>
      <w:bookmarkStart w:id="641" w:name="_Toc226965820"/>
      <w:r/>
      <w:bookmarkStart w:id="642" w:name="_Toc127151547"/>
      <w:r/>
      <w:bookmarkStart w:id="643" w:name="_Toc151190174"/>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w:t>
      </w:r>
      <w:r>
        <w:rPr>
          <w:rFonts w:hint="eastAsia" w:ascii="宋体" w:hAnsi="宋体" w:cs="宋体"/>
          <w:sz w:val="24"/>
        </w:rPr>
        <w:t xml:space="preserve">并列的，由采购人依法确定。</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863"/>
      <w:r/>
      <w:bookmarkStart w:id="645" w:name="_Toc164608818"/>
      <w:r/>
      <w:bookmarkStart w:id="646" w:name="_Toc151190176"/>
      <w:r/>
      <w:bookmarkStart w:id="647" w:name="_Toc127151549"/>
      <w:r/>
      <w:bookmarkStart w:id="648" w:name="_Toc164608663"/>
      <w:r/>
      <w:bookmarkStart w:id="649" w:name="_Toc264969239"/>
      <w:r/>
      <w:bookmarkStart w:id="650" w:name="_Toc305158817"/>
      <w:r/>
      <w:bookmarkStart w:id="651" w:name="_Toc195842914"/>
      <w:r/>
      <w:bookmarkStart w:id="652" w:name="_Ref467307090"/>
      <w:r/>
      <w:bookmarkStart w:id="653" w:name="_Toc520356176"/>
      <w:r/>
      <w:bookmarkStart w:id="654" w:name="_Ref467306425"/>
      <w:r/>
      <w:bookmarkStart w:id="655" w:name="_Toc226965822"/>
      <w:r/>
      <w:bookmarkStart w:id="656" w:name="_Toc127151750"/>
      <w:r/>
      <w:bookmarkStart w:id="657" w:name="_Toc226965739"/>
      <w:r/>
      <w:bookmarkStart w:id="658" w:name="_Toc149720842"/>
      <w:r/>
      <w:bookmarkStart w:id="659" w:name="_Toc265228387"/>
      <w:r/>
      <w:bookmarkStart w:id="660" w:name="_Toc151193937"/>
      <w:r/>
      <w:bookmarkStart w:id="661" w:name="_Toc305158891"/>
      <w:r/>
      <w:bookmarkStart w:id="662" w:name="_Toc164229244"/>
      <w:r/>
      <w:bookmarkStart w:id="663" w:name="_Toc150774649"/>
      <w:r/>
      <w:bookmarkStart w:id="664" w:name="_Toc150509300"/>
      <w:r/>
      <w:bookmarkStart w:id="665" w:name="_Toc142311051"/>
      <w:r/>
      <w:bookmarkStart w:id="666" w:name="_Toc151193791"/>
      <w:r/>
      <w:bookmarkStart w:id="667" w:name="_Toc150480787"/>
      <w:r/>
      <w:bookmarkStart w:id="668" w:name="_Toc151193719"/>
      <w:r/>
      <w:bookmarkStart w:id="669" w:name="_Toc127161463"/>
      <w:r/>
      <w:bookmarkStart w:id="670" w:name="_Toc164229390"/>
      <w:r/>
      <w:bookmarkStart w:id="671" w:name="_Toc164351643"/>
      <w:r/>
      <w:bookmarkStart w:id="672" w:name="_Toc151193647"/>
      <w:r/>
      <w:bookmarkStart w:id="673" w:name="_Toc226337245"/>
      <w:r/>
      <w:bookmarkStart w:id="674" w:name="_Toc150774754"/>
      <w:r/>
      <w:bookmarkStart w:id="675" w:name="_Toc226309793"/>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65"/>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351644"/>
      <w:r/>
      <w:bookmarkStart w:id="677" w:name="_Toc151193648"/>
      <w:r/>
      <w:bookmarkStart w:id="678" w:name="_Toc127151751"/>
      <w:r/>
      <w:bookmarkStart w:id="679" w:name="_Toc150509301"/>
      <w:r/>
      <w:bookmarkStart w:id="680" w:name="_Toc226965740"/>
      <w:r/>
      <w:bookmarkStart w:id="681" w:name="_Toc305158818"/>
      <w:r/>
      <w:bookmarkStart w:id="682" w:name="_Toc150774650"/>
      <w:r/>
      <w:bookmarkStart w:id="683" w:name="_Toc127151550"/>
      <w:r/>
      <w:bookmarkStart w:id="684" w:name="_Toc149720843"/>
      <w:r/>
      <w:bookmarkStart w:id="685" w:name="_Ref467306978"/>
      <w:r/>
      <w:bookmarkStart w:id="686" w:name="_Toc226337246"/>
      <w:r/>
      <w:bookmarkStart w:id="687" w:name="_Toc142311052"/>
      <w:r/>
      <w:bookmarkStart w:id="688" w:name="_Toc264969240"/>
      <w:r/>
      <w:bookmarkStart w:id="689" w:name="_Toc195842915"/>
      <w:r/>
      <w:bookmarkStart w:id="690" w:name="_Toc164229245"/>
      <w:r/>
      <w:bookmarkStart w:id="691" w:name="_Toc164229391"/>
      <w:r/>
      <w:bookmarkStart w:id="692" w:name="_Toc151190177"/>
      <w:r/>
      <w:bookmarkStart w:id="693" w:name="_Toc226309794"/>
      <w:r/>
      <w:bookmarkStart w:id="694" w:name="_Ref467306377"/>
      <w:r/>
      <w:bookmarkStart w:id="695" w:name="_Ref467307204"/>
      <w:r/>
      <w:bookmarkStart w:id="696" w:name="_Toc151193720"/>
      <w:r/>
      <w:bookmarkStart w:id="697" w:name="_Ref467307062"/>
      <w:r/>
      <w:bookmarkStart w:id="698" w:name="_Toc265228388"/>
      <w:r/>
      <w:bookmarkStart w:id="699" w:name="_Toc151193864"/>
      <w:r/>
      <w:bookmarkStart w:id="700" w:name="_Toc150480788"/>
      <w:r/>
      <w:bookmarkStart w:id="701" w:name="_Toc127161464"/>
      <w:r/>
      <w:bookmarkStart w:id="702" w:name="_Toc164608664"/>
      <w:r/>
      <w:bookmarkStart w:id="703" w:name="_Toc520356175"/>
      <w:r/>
      <w:bookmarkStart w:id="704" w:name="_Toc164608819"/>
      <w:r/>
      <w:bookmarkStart w:id="705" w:name="_Toc151193938"/>
      <w:r/>
      <w:bookmarkStart w:id="706" w:name="_Toc151193792"/>
      <w:r/>
      <w:bookmarkStart w:id="707" w:name="_Toc305158892"/>
      <w:r/>
      <w:bookmarkStart w:id="708" w:name="_Toc150774755"/>
      <w:r/>
      <w:bookmarkStart w:id="709" w:name="_Toc226965823"/>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w:t>
      </w:r>
      <w:r>
        <w:rPr>
          <w:rFonts w:hint="eastAsia" w:ascii="宋体" w:hAnsi="宋体" w:cs="宋体"/>
          <w:sz w:val="24"/>
        </w:rPr>
        <w:t xml:space="preserve">与采购人签订合同，就中标项目向采购人承担连带责任。</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w:t>
      </w:r>
      <w:r>
        <w:rPr>
          <w:rFonts w:hint="eastAsia" w:ascii="宋体" w:hAnsi="宋体" w:cs="宋体"/>
          <w:sz w:val="24"/>
        </w:rPr>
        <w:t xml:space="preserve">代理机构。</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6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65"/>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w:t>
      </w:r>
      <w:r>
        <w:rPr>
          <w:rFonts w:hint="eastAsia" w:ascii="宋体" w:hAnsi="宋体" w:cs="宋体"/>
          <w:b/>
          <w:sz w:val="24"/>
        </w:rPr>
        <w:t xml:space="preserve">质疑的，投标人应当向采购人书面提出，由采购人负责接收和回复。</w:t>
      </w:r>
      <w:r>
        <w:rPr>
          <w:rFonts w:hint="eastAsia" w:ascii="宋体" w:hAnsi="宋体" w:cs="宋体"/>
          <w:sz w:val="24"/>
        </w:rPr>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1"/>
          <w:rFonts w:hint="eastAsia" w:ascii="宋体" w:hAnsi="宋体" w:cs="宋体"/>
          <w:color w:val="000000"/>
        </w:rPr>
        <w:t xml:space="preserve">http://gk</w:t>
      </w:r>
      <w:bookmarkStart w:id="710" w:name="_Hlt100654014"/>
      <w:r>
        <w:rPr>
          <w:rStyle w:val="1141"/>
          <w:rFonts w:hint="eastAsia" w:ascii="宋体" w:hAnsi="宋体" w:cs="宋体"/>
          <w:color w:val="000000"/>
        </w:rPr>
        <w:t xml:space="preserve">s</w:t>
      </w:r>
      <w:bookmarkEnd w:id="710"/>
      <w:r>
        <w:rPr>
          <w:rStyle w:val="1141"/>
          <w:rFonts w:hint="eastAsia" w:ascii="宋体" w:hAnsi="宋体" w:cs="宋体"/>
          <w:color w:val="000000"/>
        </w:rPr>
        <w:t xml:space="preserve">.m</w:t>
      </w:r>
      <w:bookmarkStart w:id="711" w:name="_Hlt100653993"/>
      <w:r/>
      <w:bookmarkStart w:id="712" w:name="_Hlt100653994"/>
      <w:r>
        <w:rPr>
          <w:rStyle w:val="1141"/>
          <w:rFonts w:hint="eastAsia" w:ascii="宋体" w:hAnsi="宋体" w:cs="宋体"/>
          <w:color w:val="000000"/>
        </w:rPr>
        <w:t xml:space="preserve">o</w:t>
      </w:r>
      <w:bookmarkEnd w:id="711"/>
      <w:r/>
      <w:bookmarkEnd w:id="712"/>
      <w:r>
        <w:rPr>
          <w:rStyle w:val="1141"/>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w:t>
      </w:r>
      <w:r>
        <w:rPr>
          <w:rFonts w:hint="eastAsia" w:ascii="宋体" w:hAnsi="宋体" w:cs="宋体"/>
          <w:sz w:val="24"/>
        </w:rPr>
        <w:t xml:space="preserve">并加盖公章。</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6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65"/>
        <w:jc w:val="center"/>
        <w:spacing w:line="360" w:lineRule="auto"/>
        <w:rPr>
          <w:rFonts w:hint="eastAsia" w:ascii="宋体" w:hAnsi="宋体" w:cs="宋体"/>
          <w:b/>
          <w:sz w:val="36"/>
          <w:szCs w:val="36"/>
        </w:rPr>
        <w:outlineLvl w:val="0"/>
      </w:pPr>
      <w:r/>
      <w:bookmarkStart w:id="713" w:name="_Toc264969244"/>
      <w:r/>
      <w:bookmarkStart w:id="714" w:name="_Toc353873664"/>
      <w:r/>
      <w:bookmarkStart w:id="715" w:name="_Toc142311056"/>
      <w:r/>
      <w:bookmarkStart w:id="716" w:name="_Toc353825544"/>
      <w:r/>
      <w:bookmarkStart w:id="717" w:name="_Toc265228392"/>
      <w:r/>
      <w:bookmarkStart w:id="718" w:name="_Toc226965827"/>
      <w:r/>
      <w:bookmarkStart w:id="719" w:name="_Toc150480792"/>
      <w:r/>
      <w:bookmarkStart w:id="720" w:name="_Toc305158822"/>
      <w:r/>
      <w:bookmarkStart w:id="721" w:name="_Toc226337250"/>
      <w:r/>
      <w:bookmarkStart w:id="722" w:name="_Toc127151554"/>
      <w:r/>
      <w:bookmarkStart w:id="723" w:name="_Toc353873934"/>
      <w:r/>
      <w:bookmarkStart w:id="724" w:name="_Toc150774759"/>
      <w:r/>
      <w:bookmarkStart w:id="725" w:name="_Toc305158896"/>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65"/>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6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w:t>
      </w:r>
      <w:r>
        <w:rPr>
          <w:rFonts w:hint="eastAsia" w:ascii="宋体" w:hAnsi="宋体" w:cs="宋体"/>
          <w:sz w:val="24"/>
        </w:rPr>
        <w:t xml:space="preserve">求》中的规定，对投标人进行资格审查，并形成资格审查结果。</w:t>
      </w:r>
      <w:r/>
    </w:p>
    <w:p>
      <w:pPr>
        <w:pStyle w:val="106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6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65"/>
        <w:jc w:val="left"/>
        <w:widowControl/>
        <w:rPr>
          <w:rFonts w:hint="eastAsia" w:ascii="宋体" w:hAnsi="宋体" w:cs="宋体"/>
          <w:sz w:val="24"/>
        </w:rPr>
      </w:pPr>
      <w:r>
        <w:rPr>
          <w:rFonts w:hint="eastAsia" w:ascii="宋体" w:hAnsi="宋体" w:cs="宋体"/>
          <w:sz w:val="24"/>
        </w:rPr>
      </w:r>
      <w:r/>
    </w:p>
    <w:p>
      <w:pPr>
        <w:pStyle w:val="106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1065"/>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982"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4822"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1638"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6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6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6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w:t>
            </w:r>
            <w:r>
              <w:rPr>
                <w:rFonts w:hint="eastAsia" w:ascii="宋体" w:hAnsi="宋体" w:cs="宋体"/>
                <w:sz w:val="24"/>
              </w:rPr>
              <w:t xml:space="preserve">不良信用记录，视同联合体存在不良信用记录。</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如有，见第一章</w:t>
            </w:r>
            <w:r>
              <w:rPr>
                <w:rFonts w:hint="eastAsia" w:ascii="宋体" w:hAnsi="宋体" w:cs="宋体"/>
                <w:sz w:val="24"/>
              </w:rPr>
              <w:t xml:space="preserve">《投标邀请》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65"/>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61490"/>
      <w:r/>
      <w:bookmarkStart w:id="732" w:name="_Toc226965858"/>
      <w:r/>
      <w:bookmarkStart w:id="733" w:name="_Toc353825550"/>
      <w:r/>
      <w:bookmarkStart w:id="734" w:name="_Toc127151779"/>
      <w:r>
        <w:rPr>
          <w:rFonts w:hint="eastAsia" w:ascii="宋体" w:hAnsi="宋体" w:cs="宋体"/>
          <w:sz w:val="24"/>
        </w:rPr>
        <w:br w:type="page" w:clear="all"/>
      </w:r>
      <w:r/>
    </w:p>
    <w:p>
      <w:pPr>
        <w:pStyle w:val="1065"/>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6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65"/>
        <w:numPr>
          <w:ilvl w:val="0"/>
          <w:numId w:val="11"/>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27151742"/>
      <w:r/>
      <w:bookmarkStart w:id="738" w:name="_Toc151193639"/>
      <w:r/>
      <w:bookmarkStart w:id="739" w:name="_Toc265228379"/>
      <w:r/>
      <w:bookmarkStart w:id="740" w:name="_Toc150509292"/>
      <w:r/>
      <w:bookmarkStart w:id="741" w:name="_Toc150480779"/>
      <w:r/>
      <w:bookmarkStart w:id="742" w:name="_Toc151193711"/>
      <w:r/>
      <w:bookmarkStart w:id="743" w:name="_Toc149720834"/>
      <w:r/>
      <w:bookmarkStart w:id="744" w:name="_Toc195842906"/>
      <w:r/>
      <w:bookmarkStart w:id="745" w:name="_Toc305158883"/>
      <w:r/>
      <w:bookmarkStart w:id="746" w:name="_Toc150774641"/>
      <w:r/>
      <w:bookmarkStart w:id="747" w:name="_Toc305158809"/>
      <w:r/>
      <w:bookmarkStart w:id="748" w:name="_Toc127161455"/>
      <w:r/>
      <w:bookmarkStart w:id="749" w:name="_Toc226965814"/>
      <w:r/>
      <w:bookmarkStart w:id="750" w:name="_Toc226337237"/>
      <w:r/>
      <w:bookmarkStart w:id="751" w:name="_Toc151190168"/>
      <w:r/>
      <w:bookmarkStart w:id="752" w:name="_Toc226309785"/>
      <w:r/>
      <w:bookmarkStart w:id="753" w:name="_Toc264969231"/>
      <w:r/>
      <w:bookmarkStart w:id="754" w:name="_Toc142311043"/>
      <w:r/>
      <w:bookmarkStart w:id="755" w:name="_Toc164351635"/>
      <w:r/>
      <w:bookmarkStart w:id="756" w:name="_Toc151193855"/>
      <w:r/>
      <w:bookmarkStart w:id="757" w:name="_Toc164229382"/>
      <w:r/>
      <w:bookmarkStart w:id="758" w:name="_Toc164608810"/>
      <w:r/>
      <w:bookmarkStart w:id="759" w:name="_Toc151193929"/>
      <w:r/>
      <w:bookmarkStart w:id="760" w:name="_Toc151193783"/>
      <w:r/>
      <w:bookmarkStart w:id="761" w:name="_Toc226965731"/>
      <w:r/>
      <w:bookmarkStart w:id="762" w:name="_Toc127151541"/>
      <w:r/>
      <w:bookmarkStart w:id="763" w:name="_Toc150774746"/>
      <w:r/>
      <w:bookmarkStart w:id="764" w:name="_Toc164229236"/>
      <w:r/>
      <w:bookmarkStart w:id="765" w:name="_Toc164608655"/>
      <w:r/>
      <w:bookmarkStart w:id="766" w:name="_Toc353873941"/>
      <w:r/>
      <w:bookmarkStart w:id="767" w:name="_Toc353825551"/>
      <w:r/>
      <w:bookmarkStart w:id="768" w:name="_Toc353825545"/>
      <w:r/>
      <w:bookmarkStart w:id="769" w:name="_Toc150480793"/>
      <w:r/>
      <w:bookmarkStart w:id="770" w:name="_Toc264969245"/>
      <w:r/>
      <w:bookmarkStart w:id="771" w:name="_Toc226337251"/>
      <w:r/>
      <w:bookmarkStart w:id="772" w:name="_Toc305158823"/>
      <w:r/>
      <w:bookmarkStart w:id="773" w:name="_Toc353873935"/>
      <w:r/>
      <w:bookmarkStart w:id="774" w:name="_Toc265228393"/>
      <w:r/>
      <w:bookmarkStart w:id="775" w:name="_Toc142311057"/>
      <w:r/>
      <w:bookmarkStart w:id="776" w:name="_Toc195842920"/>
      <w:r/>
      <w:bookmarkStart w:id="777" w:name="_Toc305158897"/>
      <w:r/>
      <w:bookmarkStart w:id="778" w:name="_Toc150774760"/>
      <w:r/>
      <w:bookmarkStart w:id="779" w:name="_Toc127151555"/>
      <w:r/>
      <w:bookmarkStart w:id="780" w:name="_Toc353873665"/>
      <w:r/>
      <w:bookmarkStart w:id="781" w:name="_Toc226965828"/>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65"/>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65"/>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65"/>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65"/>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65"/>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65"/>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w:t>
            </w:r>
            <w:r>
              <w:rPr>
                <w:rFonts w:hint="eastAsia" w:ascii="宋体" w:hAnsi="宋体" w:cs="宋体"/>
                <w:sz w:val="24"/>
              </w:rPr>
              <w:t xml:space="preserve">、授权委托书和政府采购供应商信用承诺书</w:t>
            </w:r>
            <w:r>
              <w:rPr>
                <w:rFonts w:hint="eastAsia" w:ascii="宋体" w:hAnsi="宋体" w:cs="宋体"/>
                <w:sz w:val="24"/>
              </w:rPr>
            </w:r>
            <w:r/>
          </w:p>
        </w:tc>
        <w:tc>
          <w:tcPr>
            <w:tcW w:w="3620" w:type="pct"/>
            <w:vAlign w:val="center"/>
            <w:textDirection w:val="lrTb"/>
            <w:noWrap w:val="false"/>
          </w:tcPr>
          <w:p>
            <w:pPr>
              <w:pStyle w:val="1065"/>
              <w:jc w:val="left"/>
              <w:widowControl/>
              <w:rPr>
                <w:rFonts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rPr>
                <w:rFonts w:ascii="宋体" w:hAnsi="宋体" w:cs="宋体"/>
                <w:sz w:val="24"/>
              </w:rPr>
            </w:r>
            <w:r/>
          </w:p>
          <w:p>
            <w:pPr>
              <w:pStyle w:val="1065"/>
              <w:jc w:val="left"/>
              <w:widowControl/>
              <w:rPr>
                <w:rFonts w:hint="eastAsia" w:ascii="宋体" w:hAnsi="宋体" w:cs="宋体"/>
                <w:sz w:val="24"/>
              </w:rPr>
            </w:pPr>
            <w:r>
              <w:rPr>
                <w:rFonts w:hint="eastAsia" w:ascii="宋体" w:hAnsi="宋体" w:cs="宋体"/>
                <w:sz w:val="24"/>
              </w:rPr>
              <w:t xml:space="preserve">供应商的法定代表人未由参与本项目的其他供应商缴纳社保，且供应商未为参与本项目的其他供应商的法定代表人缴纳社保；</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65"/>
              <w:jc w:val="left"/>
              <w:widowControl/>
              <w:rPr>
                <w:rFonts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rPr>
                <w:rFonts w:ascii="宋体" w:hAnsi="宋体" w:cs="宋体"/>
                <w:sz w:val="24"/>
              </w:rPr>
            </w:r>
            <w:r/>
          </w:p>
          <w:p>
            <w:pPr>
              <w:pStyle w:val="1065"/>
              <w:jc w:val="left"/>
              <w:widowControl/>
              <w:rPr>
                <w:rFonts w:hint="eastAsia" w:ascii="宋体" w:hAnsi="宋体" w:cs="宋体"/>
                <w:sz w:val="24"/>
              </w:rPr>
            </w:pPr>
            <w:r>
              <w:rPr>
                <w:rFonts w:hint="eastAsia" w:ascii="宋体" w:hAnsi="宋体" w:cs="宋体"/>
                <w:b/>
                <w:bCs/>
                <w:sz w:val="24"/>
              </w:rPr>
              <w:t xml:space="preserve">分项报价表中工程量清单综合单价未超过控制价清单综合单价；</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w:t>
            </w:r>
            <w:r>
              <w:rPr>
                <w:rFonts w:hint="eastAsia" w:ascii="宋体" w:hAnsi="宋体" w:cs="宋体"/>
                <w:sz w:val="24"/>
              </w:rPr>
              <w:t xml:space="preserve">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分包意向协议</w:t>
            </w:r>
            <w:r/>
          </w:p>
          <w:p>
            <w:pPr>
              <w:pStyle w:val="106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w:t>
            </w:r>
            <w:r>
              <w:rPr>
                <w:rFonts w:hint="eastAsia" w:ascii="宋体" w:hAnsi="宋体" w:cs="宋体"/>
                <w:sz w:val="24"/>
              </w:rPr>
              <w:t xml:space="preserve">有）</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进口产品</w:t>
            </w:r>
            <w:r/>
          </w:p>
          <w:p>
            <w:pPr>
              <w:pStyle w:val="106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w:t>
            </w:r>
            <w:r>
              <w:rPr>
                <w:rFonts w:hint="eastAsia" w:ascii="宋体" w:hAnsi="宋体" w:cs="宋体"/>
                <w:sz w:val="24"/>
              </w:rPr>
              <w:t xml:space="preserve">技术、安全、节能和环保等），投标人的投标产品应符合相应规定或要求，并提供证明文件电子件：</w:t>
            </w:r>
            <w:r/>
          </w:p>
          <w:p>
            <w:pPr>
              <w:pStyle w:val="1065"/>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65"/>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65"/>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65"/>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65"/>
              <w:jc w:val="left"/>
              <w:widowControl/>
              <w:rPr>
                <w:rFonts w:hint="eastAsia" w:ascii="宋体" w:hAnsi="宋体" w:cs="宋体"/>
                <w:sz w:val="24"/>
              </w:rPr>
            </w:pPr>
            <w:r>
              <w:rPr>
                <w:rFonts w:hint="eastAsia" w:ascii="宋体" w:hAnsi="宋体" w:cs="宋体"/>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p>
          <w:p>
            <w:pPr>
              <w:pStyle w:val="1065"/>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65"/>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65"/>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65"/>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65"/>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投标人、投标文件不存在不符合法律、法规和招标文件</w:t>
            </w:r>
            <w:r>
              <w:rPr>
                <w:rFonts w:hint="eastAsia" w:ascii="宋体" w:hAnsi="宋体" w:cs="宋体"/>
                <w:sz w:val="24"/>
              </w:rPr>
              <w:t xml:space="preserve">规定的其他无效情形。</w:t>
            </w:r>
            <w:r>
              <w:rPr>
                <w:rFonts w:hint="eastAsia" w:ascii="宋体" w:hAnsi="宋体" w:cs="宋体"/>
                <w:sz w:val="24"/>
              </w:rPr>
            </w:r>
            <w:r/>
          </w:p>
        </w:tc>
      </w:tr>
    </w:tbl>
    <w:p>
      <w:pPr>
        <w:pStyle w:val="1065"/>
        <w:numPr>
          <w:ilvl w:val="0"/>
          <w:numId w:val="12"/>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6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w:t>
      </w:r>
      <w:r>
        <w:rPr>
          <w:rFonts w:hint="eastAsia" w:ascii="宋体" w:hAnsi="宋体" w:cs="宋体"/>
          <w:sz w:val="24"/>
        </w:rPr>
        <w:t xml:space="preserve">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65"/>
        <w:numPr>
          <w:ilvl w:val="1"/>
          <w:numId w:val="11"/>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65"/>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65"/>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65"/>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w:t>
      </w:r>
      <w:r>
        <w:rPr>
          <w:rFonts w:hint="eastAsia" w:ascii="宋体" w:hAnsi="宋体" w:cs="宋体"/>
          <w:sz w:val="24"/>
        </w:rPr>
        <w:t xml:space="preserve">目最高限价×45%；</w:t>
      </w:r>
      <w:r/>
    </w:p>
    <w:p>
      <w:pPr>
        <w:pStyle w:val="1065"/>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6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6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w:t>
      </w:r>
      <w:r>
        <w:rPr>
          <w:rFonts w:hint="eastAsia" w:ascii="宋体" w:hAnsi="宋体" w:cs="宋体"/>
          <w:sz w:val="24"/>
        </w:rPr>
        <w:t xml:space="preserve">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6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6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w:t>
      </w:r>
      <w:r>
        <w:rPr>
          <w:rFonts w:hint="eastAsia" w:ascii="宋体" w:hAnsi="宋体" w:cs="宋体"/>
          <w:sz w:val="24"/>
        </w:rPr>
        <w:t xml:space="preserve">体规定为：</w:t>
      </w:r>
      <w:r>
        <w:rPr>
          <w:rFonts w:hint="eastAsia" w:ascii="宋体" w:hAnsi="宋体" w:cs="宋体"/>
          <w:sz w:val="24"/>
          <w:u w:val="single"/>
        </w:rPr>
        <w:t xml:space="preserve">/</w:t>
      </w:r>
      <w:r/>
    </w:p>
    <w:p>
      <w:pPr>
        <w:pStyle w:val="106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1"/>
          <w:numId w:val="11"/>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65"/>
        <w:numPr>
          <w:ilvl w:val="2"/>
          <w:numId w:val="11"/>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报价给予3</w:t>
      </w:r>
      <w:r>
        <w:rPr>
          <w:rFonts w:hint="eastAsia" w:ascii="宋体" w:hAnsi="宋体" w:cs="宋体"/>
          <w:sz w:val="24"/>
        </w:rPr>
        <w:t xml:space="preserve">%的扣除，用扣除后的价格参加评审。</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w:t>
      </w:r>
      <w:r>
        <w:rPr>
          <w:rFonts w:hint="eastAsia" w:ascii="宋体" w:hAnsi="宋体" w:cs="宋体"/>
          <w:sz w:val="24"/>
        </w:rPr>
        <w:t xml:space="preserve">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30%以上的联合体或者大中型企业的报价给予1</w:t>
      </w:r>
      <w:r>
        <w:rPr>
          <w:rFonts w:hint="eastAsia" w:ascii="宋体" w:hAnsi="宋体" w:cs="宋体"/>
          <w:sz w:val="24"/>
        </w:rPr>
        <w:t xml:space="preserve">%的扣除，用扣除后的价格参加评审。</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w:t>
      </w:r>
      <w:r>
        <w:rPr>
          <w:rFonts w:hint="eastAsia" w:ascii="宋体" w:hAnsi="宋体" w:cs="宋体"/>
          <w:sz w:val="24"/>
        </w:rPr>
        <w:t xml:space="preserve">毒管理局（含新疆生产建设兵团）出具的属于监狱企业的证明文件的，视同小微企业。</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65"/>
        <w:numPr>
          <w:ilvl w:val="2"/>
          <w:numId w:val="11"/>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w:t>
      </w:r>
      <w:r>
        <w:rPr>
          <w:rFonts w:hint="eastAsia" w:ascii="宋体" w:hAnsi="宋体"/>
          <w:sz w:val="24"/>
        </w:rPr>
        <w:t xml:space="preserve">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w:t>
      </w:r>
      <w:r>
        <w:rPr>
          <w:rFonts w:hint="eastAsia" w:ascii="宋体" w:hAnsi="宋体"/>
          <w:sz w:val="24"/>
        </w:rPr>
        <w:t xml:space="preserve">通知》（国办发〔2025〕34号）和招标文件规定的，投标人提供的相关产品视为不符合本国产品标准。</w:t>
      </w:r>
      <w:r>
        <w:rPr>
          <w:rFonts w:hint="eastAsia" w:ascii="宋体" w:hAnsi="宋体" w:cs="宋体"/>
          <w:sz w:val="24"/>
        </w:rPr>
      </w:r>
      <w:r/>
    </w:p>
    <w:p>
      <w:pPr>
        <w:pStyle w:val="106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6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6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w:t>
      </w:r>
      <w:r>
        <w:rPr>
          <w:rFonts w:hint="eastAsia" w:ascii="宋体" w:hAnsi="宋体" w:cs="宋体"/>
          <w:sz w:val="24"/>
        </w:rPr>
        <w:t xml:space="preserve">低评标价法，指投标文件满足招标文件全部实质性要求，且投标报价最低的投标人为中标候选人的评标方法。</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6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6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w:t>
      </w:r>
      <w:r>
        <w:rPr>
          <w:rFonts w:hint="eastAsia" w:ascii="宋体" w:hAnsi="宋体" w:cs="宋体"/>
          <w:sz w:val="24"/>
        </w:rPr>
        <w:t xml:space="preserve">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26965736"/>
      <w:r/>
      <w:bookmarkStart w:id="784" w:name="_Toc164608815"/>
      <w:r/>
      <w:bookmarkStart w:id="785" w:name="_Toc264969236"/>
      <w:r/>
      <w:bookmarkStart w:id="786" w:name="_Toc127151546"/>
      <w:r/>
      <w:bookmarkStart w:id="787" w:name="_Toc226337242"/>
      <w:r/>
      <w:bookmarkStart w:id="788" w:name="_Toc151193788"/>
      <w:r/>
      <w:bookmarkStart w:id="789" w:name="_Toc226965819"/>
      <w:r/>
      <w:bookmarkStart w:id="790" w:name="_Toc151190173"/>
      <w:r/>
      <w:bookmarkStart w:id="791" w:name="_Toc150480784"/>
      <w:r/>
      <w:bookmarkStart w:id="792" w:name="_Toc127151747"/>
      <w:r/>
      <w:bookmarkStart w:id="793" w:name="_Toc305158814"/>
      <w:r/>
      <w:bookmarkStart w:id="794" w:name="_Toc195842911"/>
      <w:r/>
      <w:bookmarkStart w:id="795" w:name="_Toc520356170"/>
      <w:r/>
      <w:bookmarkStart w:id="796" w:name="_Toc164229387"/>
      <w:r/>
      <w:bookmarkStart w:id="797" w:name="_Toc151193716"/>
      <w:r/>
      <w:bookmarkStart w:id="798" w:name="_Toc150509297"/>
      <w:r/>
      <w:bookmarkStart w:id="799" w:name="_Toc226309790"/>
      <w:r/>
      <w:bookmarkStart w:id="800" w:name="_Toc164608660"/>
      <w:r/>
      <w:bookmarkStart w:id="801" w:name="_Toc150774751"/>
      <w:r/>
      <w:bookmarkStart w:id="802" w:name="_Toc142311048"/>
      <w:r/>
      <w:bookmarkStart w:id="803" w:name="_Toc151193644"/>
      <w:r/>
      <w:bookmarkStart w:id="804" w:name="_Toc149720839"/>
      <w:r/>
      <w:bookmarkStart w:id="805" w:name="_Toc127161460"/>
      <w:r/>
      <w:bookmarkStart w:id="806" w:name="_Toc151193860"/>
      <w:r/>
      <w:bookmarkStart w:id="807" w:name="_Toc164351640"/>
      <w:r/>
      <w:bookmarkStart w:id="808" w:name="_Toc265228384"/>
      <w:r/>
      <w:bookmarkStart w:id="809" w:name="_Toc150774646"/>
      <w:r/>
      <w:bookmarkStart w:id="810" w:name="_Toc305158888"/>
      <w:r/>
      <w:bookmarkStart w:id="811" w:name="_Ref467307010"/>
      <w:r/>
      <w:bookmarkStart w:id="812" w:name="_Toc151193934"/>
      <w:r/>
      <w:bookmarkStart w:id="813" w:name="_Toc164229241"/>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0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w:t>
      </w:r>
      <w:r>
        <w:rPr>
          <w:rFonts w:hint="eastAsia" w:ascii="宋体" w:hAnsi="宋体" w:cs="宋体"/>
          <w:sz w:val="24"/>
        </w:rPr>
        <w:t xml:space="preserve">因素的量化指标评审得分最高的投标人为排名第一的中标候选人。评分分值计算保留小数点后两位，第三位四舍五入。</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w:t>
      </w:r>
      <w:r>
        <w:rPr>
          <w:rFonts w:hint="eastAsia" w:ascii="宋体" w:hAnsi="宋体" w:cs="宋体"/>
          <w:sz w:val="24"/>
        </w:rPr>
        <w:t xml:space="preserve">人的评标排序，依次推荐本项目（各采购包）的中标候选人，起草并签署评标报告。本项目（各采购包）评标委员会共（各）推荐不少于3名中标候选人。</w:t>
      </w:r>
      <w:r/>
    </w:p>
    <w:p>
      <w:pPr>
        <w:pStyle w:val="106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65"/>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65"/>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pPr w:horzAnchor="page" w:tblpX="1418" w:vertAnchor="text" w:tblpY="446"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410"/>
        <w:gridCol w:w="881"/>
        <w:gridCol w:w="6221"/>
      </w:tblGrid>
      <w:tr>
        <w:trPr/>
        <w:tc>
          <w:tcPr>
            <w:tcW w:w="417"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ascii="宋体" w:hAnsi="宋体"/>
                <w:b/>
                <w:sz w:val="24"/>
              </w:rPr>
              <w:t xml:space="preserve">序号</w:t>
            </w:r>
            <w:r/>
          </w:p>
        </w:tc>
        <w:tc>
          <w:tcPr>
            <w:tcW w:w="759"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ascii="宋体" w:hAnsi="宋体"/>
                <w:b/>
                <w:sz w:val="24"/>
              </w:rPr>
              <w:t xml:space="preserve">评分因素</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ascii="宋体" w:hAnsi="宋体"/>
                <w:b/>
                <w:sz w:val="24"/>
              </w:rPr>
              <w:t xml:space="preserve">分值</w:t>
            </w:r>
            <w:r/>
          </w:p>
        </w:tc>
        <w:tc>
          <w:tcPr>
            <w:tcW w:w="3348"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ascii="宋体" w:hAnsi="宋体"/>
                <w:b/>
                <w:sz w:val="24"/>
              </w:rPr>
              <w:t xml:space="preserve">评分标准</w:t>
            </w:r>
            <w:r/>
          </w:p>
        </w:tc>
      </w:tr>
      <w:tr>
        <w:trPr>
          <w:trHeight w:val="631"/>
        </w:trPr>
        <w:tc>
          <w:tcPr>
            <w:tcW w:w="417"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1</w:t>
            </w:r>
            <w:r>
              <w:rPr>
                <w:rFonts w:ascii="宋体" w:hAnsi="宋体"/>
                <w:b/>
                <w:sz w:val="24"/>
              </w:rPr>
            </w:r>
            <w:r/>
          </w:p>
        </w:tc>
        <w:tc>
          <w:tcPr>
            <w:tcW w:w="759"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价格分</w:t>
            </w:r>
            <w:r>
              <w:rPr>
                <w:rFonts w:ascii="宋体" w:hAnsi="宋体"/>
                <w:sz w:val="24"/>
              </w:rPr>
            </w:r>
            <w:r/>
          </w:p>
        </w:tc>
        <w:tc>
          <w:tcPr>
            <w:tcW w:w="474"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30</w:t>
            </w:r>
            <w:r/>
          </w:p>
        </w:tc>
        <w:tc>
          <w:tcPr>
            <w:tcW w:w="3348" w:type="pct"/>
            <w:vAlign w:val="center"/>
            <w:textDirection w:val="lrTb"/>
            <w:noWrap w:val="false"/>
          </w:tcPr>
          <w:p>
            <w:pPr>
              <w:ind w:firstLine="420"/>
              <w:spacing w:line="360" w:lineRule="exact"/>
              <w:rPr>
                <w:rFonts w:ascii="宋体" w:hAnsi="宋体"/>
                <w:b/>
                <w:bCs/>
                <w:sz w:val="24"/>
              </w:rPr>
              <w:framePr w:hSpace="180" w:wrap="around" w:vAnchor="text" w:hAnchor="page" w:x="1418" w:y="446"/>
            </w:pPr>
            <w:r>
              <w:rPr>
                <w:rFonts w:ascii="宋体" w:hAnsi="宋体"/>
                <w:sz w:val="24"/>
              </w:rPr>
              <w:t xml:space="preserve">满足招标文件要求且投标价格最低的投标报价为评标基准价，其价格分为满分。</w:t>
            </w:r>
            <w:r>
              <w:rPr>
                <w:rFonts w:hint="eastAsia" w:ascii="宋体" w:hAnsi="宋体" w:cs="宋体"/>
                <w:sz w:val="24"/>
                <w:szCs w:val="24"/>
              </w:rPr>
              <w:t xml:space="preserve">其他投标人的价格分统一按照下列公式计算</w:t>
            </w:r>
            <w:r>
              <w:rPr>
                <w:rFonts w:ascii="宋体" w:hAnsi="宋体"/>
                <w:sz w:val="24"/>
              </w:rPr>
              <w:t xml:space="preserve">：</w:t>
            </w:r>
            <w:r>
              <w:rPr>
                <w:rFonts w:ascii="宋体" w:hAnsi="宋体"/>
                <w:b/>
                <w:bCs/>
                <w:sz w:val="24"/>
              </w:rPr>
            </w:r>
            <w:r/>
          </w:p>
          <w:p>
            <w:pPr>
              <w:ind w:firstLine="420"/>
              <w:spacing w:line="360" w:lineRule="exact"/>
              <w:rPr>
                <w:rFonts w:ascii="宋体" w:hAnsi="宋体"/>
                <w:b/>
                <w:bCs/>
                <w:sz w:val="24"/>
              </w:rPr>
              <w:framePr w:hSpace="180" w:wrap="around" w:vAnchor="text" w:hAnchor="page" w:x="1418" w:y="446"/>
            </w:pPr>
            <w:r>
              <w:rPr>
                <w:rFonts w:hint="eastAsia" w:ascii="宋体" w:hAnsi="宋体" w:cs="宋体"/>
                <w:sz w:val="24"/>
                <w:szCs w:val="24"/>
              </w:rPr>
            </w:r>
            <w:r>
              <w:rPr>
                <w:rFonts w:ascii="宋体" w:hAnsi="宋体"/>
                <w:b/>
                <w:bCs/>
                <w:sz w:val="24"/>
              </w:rPr>
              <w:t xml:space="preserve">投标报价得分＝（评标基准价/投标报价）×分值。</w:t>
            </w:r>
            <w:r/>
          </w:p>
          <w:p>
            <w:pPr>
              <w:pStyle w:val="1065"/>
              <w:rPr>
                <w:rFonts w:hint="eastAsia" w:ascii="宋体" w:hAnsi="宋体"/>
                <w:sz w:val="24"/>
              </w:rPr>
              <w:framePr w:hSpace="180" w:wrap="around" w:vAnchor="text" w:hAnchor="page" w:x="1418" w:y="446"/>
            </w:pPr>
            <w:r>
              <w:rPr>
                <w:rFonts w:hint="eastAsia" w:ascii="宋体" w:hAnsi="宋体"/>
                <w:b/>
                <w:bCs/>
                <w:sz w:val="24"/>
              </w:rPr>
              <w:t xml:space="preserve">此处投标报价</w:t>
            </w:r>
            <w:r>
              <w:rPr>
                <w:rFonts w:hint="eastAsia" w:ascii="宋体" w:hAnsi="宋体"/>
                <w:b/>
                <w:bCs/>
                <w:sz w:val="24"/>
              </w:rPr>
              <w:t xml:space="preserve">指经过报价修正，及因落实政府采购政策进行价格调整后的报价，详见第四章《评标方法和评标标准》2.4及2.5。</w:t>
            </w:r>
            <w:r>
              <w:rPr>
                <w:rFonts w:hint="eastAsia" w:ascii="宋体" w:hAnsi="宋体"/>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2</w:t>
            </w:r>
            <w:r>
              <w:rPr>
                <w:rFonts w:ascii="宋体" w:hAnsi="宋体"/>
                <w:sz w:val="24"/>
              </w:rPr>
            </w:r>
            <w:r/>
          </w:p>
        </w:tc>
        <w:tc>
          <w:tcPr>
            <w:tcW w:w="759"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主观分</w:t>
            </w:r>
            <w:r>
              <w:rPr>
                <w:rFonts w:ascii="宋体" w:hAnsi="宋体"/>
                <w:sz w:val="24"/>
              </w:rPr>
            </w:r>
            <w:r/>
          </w:p>
        </w:tc>
        <w:tc>
          <w:tcPr>
            <w:tcW w:w="474"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24</w:t>
            </w:r>
            <w:r>
              <w:rPr>
                <w:rFonts w:ascii="宋体" w:hAnsi="宋体"/>
                <w:sz w:val="24"/>
              </w:rPr>
            </w:r>
            <w:r/>
          </w:p>
        </w:tc>
        <w:tc>
          <w:tcPr>
            <w:tcW w:w="3348" w:type="pct"/>
            <w:vAlign w:val="center"/>
            <w:textDirection w:val="lrTb"/>
            <w:noWrap w:val="false"/>
          </w:tcPr>
          <w:p>
            <w:pPr>
              <w:pStyle w:val="1065"/>
              <w:rPr>
                <w:rFonts w:ascii="宋体" w:hAnsi="宋体"/>
                <w:sz w:val="24"/>
              </w:rPr>
              <w:framePr w:hSpace="180" w:wrap="around" w:vAnchor="text" w:hAnchor="page" w:x="1418" w:y="446"/>
            </w:pPr>
            <w:r>
              <w:rPr>
                <w:rFonts w:ascii="宋体" w:hAnsi="宋体"/>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2.1</w:t>
            </w:r>
            <w:r/>
          </w:p>
        </w:tc>
        <w:tc>
          <w:tcPr>
            <w:tcW w:w="759"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cs="宋体"/>
                <w:b/>
                <w:sz w:val="24"/>
              </w:rPr>
              <w:t xml:space="preserve">施工组织设计</w:t>
            </w:r>
            <w:r>
              <w:rPr>
                <w:rFonts w:ascii="宋体" w:hAnsi="宋体"/>
                <w:sz w:val="24"/>
              </w:rPr>
            </w:r>
            <w:r/>
          </w:p>
        </w:tc>
        <w:tc>
          <w:tcPr>
            <w:tcW w:w="474"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b/>
                <w:sz w:val="24"/>
              </w:rPr>
              <w:t xml:space="preserve">3</w:t>
            </w:r>
            <w:r>
              <w:rPr>
                <w:rFonts w:hint="eastAsia" w:ascii="宋体" w:hAnsi="宋体"/>
                <w:sz w:val="24"/>
              </w:rPr>
            </w:r>
            <w:r/>
          </w:p>
        </w:tc>
        <w:tc>
          <w:tcPr>
            <w:tcW w:w="3348" w:type="pct"/>
            <w:vAlign w:val="top"/>
            <w:textDirection w:val="lrTb"/>
            <w:noWrap w:val="false"/>
          </w:tcPr>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t xml:space="preserve">供应商提供施工组织设计方案，包括但不限于施工进度计划和各阶段进度的保证措施、施工质量控制及保证措施、</w:t>
            </w:r>
            <w:r>
              <w:rPr>
                <w:rFonts w:hint="eastAsia" w:ascii="宋体" w:hAnsi="宋体"/>
                <w:bCs/>
                <w:sz w:val="24"/>
              </w:rPr>
              <w:t xml:space="preserve">安全生产和文明施工</w:t>
            </w:r>
            <w:r>
              <w:rPr>
                <w:rFonts w:hint="eastAsia" w:ascii="宋体" w:hAnsi="宋体" w:cs="宋体"/>
                <w:bCs/>
                <w:sz w:val="24"/>
              </w:rPr>
              <w:t xml:space="preserve">的保证措施等（建议不超过100页）；</w:t>
            </w:r>
            <w:r/>
          </w:p>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bCs/>
                <w:sz w:val="24"/>
              </w:rPr>
              <w:t xml:space="preserve">内容完整、逻辑严谨、贴合本项目实际，无模板化套话，</w:t>
            </w:r>
            <w:r>
              <w:rPr>
                <w:rFonts w:hint="eastAsia" w:ascii="宋体" w:hAnsi="宋体" w:cs="宋体"/>
                <w:bCs/>
                <w:sz w:val="24"/>
              </w:rPr>
              <w:t xml:space="preserve">各项措施落地性强，图文、计划排布规范。得3分；</w:t>
            </w:r>
            <w:r/>
          </w:p>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t xml:space="preserve">内容基本齐全、无缺项，基本贴合项目实际，少量内容通用性较强、针对性不足，整体可满足项目施工基本</w:t>
            </w:r>
            <w:r>
              <w:rPr>
                <w:rFonts w:hint="eastAsia" w:ascii="宋体" w:hAnsi="宋体" w:cs="宋体"/>
                <w:bCs/>
                <w:sz w:val="24"/>
              </w:rPr>
              <w:t xml:space="preserve">需求。得2分；</w:t>
            </w:r>
            <w:r/>
          </w:p>
          <w:p>
            <w:pPr>
              <w:pStyle w:val="1065"/>
              <w:ind w:firstLine="420"/>
              <w:spacing w:line="360" w:lineRule="exact"/>
              <w:rPr>
                <w:rFonts w:ascii="宋体" w:hAnsi="宋体"/>
                <w:bCs/>
                <w:sz w:val="24"/>
              </w:rPr>
              <w:framePr w:hSpace="180" w:wrap="around" w:vAnchor="text" w:hAnchor="page" w:x="1418" w:y="446"/>
            </w:pPr>
            <w:r>
              <w:rPr>
                <w:rFonts w:hint="eastAsia" w:ascii="宋体" w:hAnsi="宋体" w:cs="宋体"/>
                <w:bCs/>
                <w:sz w:val="24"/>
              </w:rPr>
              <w:t xml:space="preserve">方案内容较简单</w:t>
            </w:r>
            <w:r>
              <w:rPr>
                <w:rFonts w:hint="eastAsia" w:ascii="宋体" w:hAnsi="宋体"/>
                <w:bCs/>
                <w:sz w:val="24"/>
              </w:rPr>
              <w:t xml:space="preserve">，对项目实施要求响应一般，得1分；</w:t>
            </w:r>
            <w:r>
              <w:rPr>
                <w:rFonts w:ascii="宋体" w:hAnsi="宋体"/>
                <w:bCs/>
                <w:sz w:val="24"/>
              </w:rPr>
            </w:r>
            <w:r/>
          </w:p>
          <w:p>
            <w:pPr>
              <w:pStyle w:val="1065"/>
              <w:rPr>
                <w:rFonts w:ascii="宋体" w:hAnsi="宋体"/>
                <w:sz w:val="24"/>
              </w:rPr>
              <w:framePr w:hSpace="180" w:wrap="around" w:vAnchor="text" w:hAnchor="page" w:x="1418" w:y="446"/>
            </w:pPr>
            <w:r>
              <w:rPr>
                <w:rFonts w:hint="eastAsia" w:ascii="宋体" w:hAnsi="宋体"/>
                <w:bCs/>
                <w:sz w:val="24"/>
              </w:rPr>
              <w:t xml:space="preserve">未提供本项不得分</w:t>
            </w:r>
            <w:r>
              <w:rPr>
                <w:rFonts w:ascii="宋体" w:hAnsi="宋体"/>
                <w:bCs/>
                <w:sz w:val="24"/>
              </w:rPr>
              <w:t xml:space="preserve">。</w:t>
            </w:r>
            <w:r>
              <w:rPr>
                <w:rFonts w:ascii="宋体" w:hAnsi="宋体"/>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2.2</w:t>
            </w:r>
            <w:r/>
          </w:p>
        </w:tc>
        <w:tc>
          <w:tcPr>
            <w:tcW w:w="759"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cs="宋体"/>
                <w:b/>
                <w:sz w:val="24"/>
              </w:rPr>
              <w:t xml:space="preserve">关键施工技术、工艺及工程项目实施的重点、难点和解决方案</w:t>
            </w:r>
            <w:r>
              <w:rPr>
                <w:rFonts w:ascii="宋体" w:hAnsi="宋体"/>
                <w:sz w:val="24"/>
              </w:rPr>
            </w:r>
            <w:r/>
          </w:p>
        </w:tc>
        <w:tc>
          <w:tcPr>
            <w:tcW w:w="474"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b/>
                <w:sz w:val="24"/>
              </w:rPr>
              <w:t xml:space="preserve">3</w:t>
            </w:r>
            <w:r>
              <w:rPr>
                <w:rFonts w:hint="eastAsia" w:ascii="宋体" w:hAnsi="宋体"/>
                <w:sz w:val="24"/>
              </w:rPr>
            </w:r>
            <w:r/>
          </w:p>
        </w:tc>
        <w:tc>
          <w:tcPr>
            <w:tcW w:w="3348" w:type="pct"/>
            <w:vAlign w:val="top"/>
            <w:textDirection w:val="lrTb"/>
            <w:noWrap w:val="false"/>
          </w:tcPr>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t xml:space="preserve">关键施工技术、工艺及工程项目实施的重点、难点和解决方案，包括但不限于关键部位工程质量保证措施和施工技术措施、关键施工技术、工艺及工程项目实施的重点、难点分析和解决方案本工程施工等（建议不超过100页）；</w:t>
            </w:r>
            <w:r/>
          </w:p>
          <w:p>
            <w:pPr>
              <w:pStyle w:val="1065"/>
              <w:ind w:firstLine="420"/>
              <w:jc w:val="left"/>
              <w:spacing w:line="360" w:lineRule="exact"/>
              <w:tabs>
                <w:tab w:val="left" w:pos="5940" w:leader="none"/>
              </w:tabs>
              <w:rPr>
                <w:rFonts w:hint="eastAsia" w:ascii="宋体" w:hAnsi="宋体"/>
                <w:bCs/>
                <w:sz w:val="24"/>
              </w:rPr>
              <w:framePr w:hSpace="180" w:wrap="around" w:vAnchor="text" w:hAnchor="page" w:x="1418" w:y="446"/>
            </w:pPr>
            <w:r>
              <w:rPr>
                <w:rFonts w:hint="eastAsia" w:ascii="宋体" w:hAnsi="宋体"/>
                <w:bCs/>
                <w:sz w:val="24"/>
              </w:rPr>
              <w:t xml:space="preserve">方案完整、可行，能完全满足项目实施要求，得3分；</w:t>
            </w:r>
            <w:r/>
          </w:p>
          <w:p>
            <w:pPr>
              <w:pStyle w:val="1065"/>
              <w:ind w:firstLine="420"/>
              <w:jc w:val="left"/>
              <w:spacing w:line="360" w:lineRule="exact"/>
              <w:tabs>
                <w:tab w:val="left" w:pos="5940" w:leader="none"/>
              </w:tabs>
              <w:rPr>
                <w:rFonts w:hint="eastAsia" w:ascii="宋体" w:hAnsi="宋体"/>
                <w:bCs/>
                <w:sz w:val="24"/>
              </w:rPr>
              <w:framePr w:hSpace="180" w:wrap="around" w:vAnchor="text" w:hAnchor="page" w:x="1418" w:y="446"/>
            </w:pPr>
            <w:r>
              <w:rPr>
                <w:rFonts w:hint="eastAsia" w:ascii="宋体" w:hAnsi="宋体"/>
                <w:bCs/>
                <w:sz w:val="24"/>
              </w:rPr>
              <w:t xml:space="preserve">方案较具体、可行，能基本满足项目实施要求，得2分；</w:t>
            </w:r>
            <w:r/>
          </w:p>
          <w:p>
            <w:pPr>
              <w:pStyle w:val="1065"/>
              <w:ind w:firstLine="420"/>
              <w:jc w:val="left"/>
              <w:spacing w:line="360" w:lineRule="exact"/>
              <w:tabs>
                <w:tab w:val="left" w:pos="5940" w:leader="none"/>
              </w:tabs>
              <w:rPr>
                <w:rFonts w:ascii="宋体" w:hAnsi="宋体"/>
                <w:bCs/>
                <w:sz w:val="24"/>
              </w:rPr>
              <w:framePr w:hSpace="180" w:wrap="around" w:vAnchor="text" w:hAnchor="page" w:x="1418" w:y="446"/>
            </w:pPr>
            <w:r>
              <w:rPr>
                <w:rFonts w:hint="eastAsia" w:ascii="宋体" w:hAnsi="宋体"/>
                <w:bCs/>
                <w:sz w:val="24"/>
              </w:rPr>
              <w:t xml:space="preserve">方案内容较简单，对项目实施要求响应一般，得1分；</w:t>
            </w:r>
            <w:r>
              <w:rPr>
                <w:rFonts w:ascii="宋体" w:hAnsi="宋体"/>
                <w:bCs/>
                <w:sz w:val="24"/>
              </w:rPr>
            </w:r>
            <w:r/>
          </w:p>
          <w:p>
            <w:pPr>
              <w:pStyle w:val="1065"/>
              <w:rPr>
                <w:rFonts w:ascii="宋体" w:hAnsi="宋体"/>
                <w:sz w:val="24"/>
              </w:rPr>
              <w:framePr w:hSpace="180" w:wrap="around" w:vAnchor="text" w:hAnchor="page" w:x="1418" w:y="446"/>
            </w:pPr>
            <w:r>
              <w:rPr>
                <w:rFonts w:hint="eastAsia" w:ascii="宋体" w:hAnsi="宋体"/>
                <w:bCs/>
                <w:sz w:val="24"/>
              </w:rPr>
              <w:t xml:space="preserve">未提供本项不得分</w:t>
            </w:r>
            <w:r>
              <w:rPr>
                <w:rFonts w:ascii="宋体" w:hAnsi="宋体"/>
                <w:bCs/>
                <w:sz w:val="24"/>
              </w:rPr>
              <w:t xml:space="preserve">。</w:t>
            </w:r>
            <w:r>
              <w:rPr>
                <w:rFonts w:ascii="宋体" w:hAnsi="宋体"/>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2.3</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应急预案</w:t>
            </w:r>
            <w:r/>
          </w:p>
        </w:tc>
        <w:tc>
          <w:tcPr>
            <w:tcW w:w="474"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3</w:t>
            </w:r>
            <w:r/>
          </w:p>
        </w:tc>
        <w:tc>
          <w:tcPr>
            <w:tcW w:w="3348" w:type="pct"/>
            <w:vAlign w:val="top"/>
            <w:textDirection w:val="lrTb"/>
            <w:noWrap w:val="false"/>
          </w:tcPr>
          <w:p>
            <w:pPr>
              <w:pStyle w:val="1065"/>
              <w:ind w:firstLine="420"/>
              <w:spacing w:line="360" w:lineRule="exact"/>
              <w:rPr>
                <w:rFonts w:hint="eastAsia" w:ascii="宋体" w:hAnsi="宋体" w:cs="宋体"/>
                <w:sz w:val="24"/>
                <w:shd w:val="clear" w:color="auto" w:fill="ffffff"/>
              </w:rPr>
              <w:framePr w:hSpace="180" w:wrap="around" w:vAnchor="text" w:hAnchor="page" w:x="1418" w:y="446"/>
            </w:pPr>
            <w:r>
              <w:rPr>
                <w:rFonts w:hint="eastAsia" w:ascii="宋体" w:hAnsi="宋体" w:cs="Arial"/>
                <w:sz w:val="24"/>
                <w:shd w:val="clear" w:color="auto" w:fill="ffffff"/>
              </w:rPr>
              <w:t xml:space="preserve">应急</w:t>
            </w:r>
            <w:r>
              <w:rPr>
                <w:rFonts w:ascii="宋体" w:hAnsi="宋体" w:cs="Arial"/>
                <w:sz w:val="24"/>
                <w:shd w:val="clear" w:color="auto" w:fill="ffffff"/>
              </w:rPr>
              <w:t xml:space="preserve">预案包括但不限于面对突发事件如自然灾害、重特大</w:t>
            </w:r>
            <w:r>
              <w:rPr>
                <w:rFonts w:hint="eastAsia" w:ascii="宋体" w:hAnsi="宋体" w:cs="宋体"/>
                <w:sz w:val="24"/>
                <w:shd w:val="clear" w:color="auto" w:fill="ffffff"/>
              </w:rPr>
              <w:t xml:space="preserve">事故、环境公害及人为破坏的应急管理、指挥、救援计划等</w:t>
            </w:r>
            <w:r>
              <w:rPr>
                <w:rFonts w:hint="eastAsia" w:ascii="宋体" w:hAnsi="宋体" w:cs="宋体"/>
                <w:bCs/>
                <w:sz w:val="24"/>
              </w:rPr>
              <w:t xml:space="preserve">（建议不超过100页）</w:t>
            </w:r>
            <w:r>
              <w:rPr>
                <w:rFonts w:hint="eastAsia" w:ascii="宋体" w:hAnsi="宋体" w:cs="宋体"/>
                <w:sz w:val="24"/>
                <w:shd w:val="clear" w:color="auto" w:fill="ffffff"/>
              </w:rPr>
              <w:t xml:space="preserve">；</w:t>
            </w:r>
            <w:r/>
          </w:p>
          <w:p>
            <w:pPr>
              <w:pStyle w:val="1065"/>
              <w:ind w:firstLine="420"/>
              <w:jc w:val="left"/>
              <w:spacing w:line="360" w:lineRule="exact"/>
              <w:tabs>
                <w:tab w:val="left" w:pos="5940" w:leader="none"/>
              </w:tabs>
              <w:rPr>
                <w:rFonts w:hint="eastAsia" w:ascii="宋体" w:hAnsi="宋体" w:cs="宋体"/>
                <w:bCs/>
                <w:sz w:val="24"/>
              </w:rPr>
              <w:framePr w:hSpace="180" w:wrap="around" w:vAnchor="text" w:hAnchor="page" w:x="1418" w:y="446"/>
            </w:pPr>
            <w:r>
              <w:rPr>
                <w:rFonts w:hint="eastAsia" w:ascii="宋体" w:hAnsi="宋体" w:cs="宋体"/>
                <w:bCs/>
                <w:sz w:val="24"/>
              </w:rPr>
              <w:t xml:space="preserve">方案完整、可行，能完全满足项目实施要求，得3分；</w:t>
            </w:r>
            <w:r/>
          </w:p>
          <w:p>
            <w:pPr>
              <w:pStyle w:val="1065"/>
              <w:ind w:firstLine="420"/>
              <w:jc w:val="left"/>
              <w:spacing w:line="360" w:lineRule="exact"/>
              <w:tabs>
                <w:tab w:val="left" w:pos="5940" w:leader="none"/>
              </w:tabs>
              <w:rPr>
                <w:rFonts w:hint="eastAsia" w:ascii="宋体" w:hAnsi="宋体"/>
                <w:bCs/>
                <w:sz w:val="24"/>
              </w:rPr>
              <w:framePr w:hSpace="180" w:wrap="around" w:vAnchor="text" w:hAnchor="page" w:x="1418" w:y="446"/>
            </w:pPr>
            <w:r>
              <w:rPr>
                <w:rFonts w:hint="eastAsia" w:ascii="宋体" w:hAnsi="宋体" w:cs="宋体"/>
                <w:bCs/>
                <w:sz w:val="24"/>
              </w:rPr>
              <w:t xml:space="preserve">方案较具体、可行，能基本满足</w:t>
            </w:r>
            <w:r>
              <w:rPr>
                <w:rFonts w:hint="eastAsia" w:ascii="宋体" w:hAnsi="宋体"/>
                <w:bCs/>
                <w:sz w:val="24"/>
              </w:rPr>
              <w:t xml:space="preserve">项目实施要求，得2分；</w:t>
            </w:r>
            <w:r/>
          </w:p>
          <w:p>
            <w:pPr>
              <w:pStyle w:val="1065"/>
              <w:ind w:firstLine="420"/>
              <w:jc w:val="left"/>
              <w:spacing w:line="360" w:lineRule="exact"/>
              <w:tabs>
                <w:tab w:val="left" w:pos="5940" w:leader="none"/>
              </w:tabs>
              <w:rPr>
                <w:rFonts w:ascii="宋体" w:hAnsi="宋体"/>
                <w:bCs/>
                <w:sz w:val="24"/>
              </w:rPr>
              <w:framePr w:hSpace="180" w:wrap="around" w:vAnchor="text" w:hAnchor="page" w:x="1418" w:y="446"/>
            </w:pPr>
            <w:r>
              <w:rPr>
                <w:rFonts w:hint="eastAsia" w:ascii="宋体" w:hAnsi="宋体"/>
                <w:bCs/>
                <w:sz w:val="24"/>
              </w:rPr>
              <w:t xml:space="preserve">方案内容较简单，对项目实施要求响应一般，得1分；</w:t>
            </w:r>
            <w:r>
              <w:rPr>
                <w:rFonts w:ascii="宋体" w:hAnsi="宋体"/>
                <w:bCs/>
                <w:sz w:val="24"/>
              </w:rPr>
            </w:r>
            <w:r/>
          </w:p>
          <w:p>
            <w:pPr>
              <w:pStyle w:val="1065"/>
              <w:ind w:firstLine="420"/>
              <w:spacing w:line="360" w:lineRule="exact"/>
              <w:rPr>
                <w:rFonts w:hint="eastAsia" w:ascii="宋体" w:hAnsi="宋体"/>
                <w:bCs/>
                <w:sz w:val="24"/>
              </w:rPr>
              <w:framePr w:hSpace="180" w:wrap="around" w:vAnchor="text" w:hAnchor="page" w:x="1418" w:y="446"/>
            </w:pPr>
            <w:r>
              <w:rPr>
                <w:rFonts w:hint="eastAsia" w:ascii="宋体" w:hAnsi="宋体"/>
                <w:bCs/>
                <w:sz w:val="24"/>
              </w:rPr>
              <w:t xml:space="preserve">未提供本项不得分</w:t>
            </w:r>
            <w:r>
              <w:rPr>
                <w:rFonts w:ascii="宋体" w:hAnsi="宋体"/>
                <w:bCs/>
                <w:sz w:val="24"/>
              </w:rPr>
              <w:t xml:space="preserve">。</w:t>
            </w:r>
            <w:r>
              <w:rPr>
                <w:rFonts w:hint="eastAsia" w:ascii="宋体" w:hAnsi="宋体"/>
                <w:bCs/>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2.6</w:t>
            </w:r>
            <w:r>
              <w:rPr>
                <w:rFonts w:ascii="宋体" w:hAnsi="宋体"/>
                <w:sz w:val="24"/>
              </w:rPr>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样品</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15</w:t>
            </w:r>
            <w:r>
              <w:rPr>
                <w:rFonts w:ascii="宋体" w:hAnsi="宋体"/>
                <w:b/>
                <w:sz w:val="24"/>
              </w:rPr>
            </w:r>
            <w:r/>
          </w:p>
        </w:tc>
        <w:tc>
          <w:tcPr>
            <w:tcW w:w="3348" w:type="pct"/>
            <w:vAlign w:val="top"/>
            <w:textDirection w:val="lrTb"/>
            <w:noWrap w:val="false"/>
          </w:tcPr>
          <w:p>
            <w:pPr>
              <w:pStyle w:val="1065"/>
              <w:ind w:firstLine="420"/>
              <w:spacing w:line="360" w:lineRule="exact"/>
              <w:rPr>
                <w:rFonts w:ascii="宋体" w:hAnsi="宋体"/>
                <w:bCs/>
                <w:sz w:val="24"/>
              </w:rPr>
              <w:framePr w:hSpace="180" w:wrap="around" w:vAnchor="text" w:hAnchor="page" w:x="1418" w:y="446"/>
            </w:pPr>
            <w:r>
              <w:rPr>
                <w:rFonts w:hint="eastAsia" w:ascii="宋体" w:hAnsi="宋体"/>
                <w:bCs/>
                <w:sz w:val="24"/>
              </w:rPr>
              <w:t xml:space="preserve">供应商根据要求提供塑胶跑道（厚度13mm和20mm两种）、硅PU（厚度4mm）和人工草（高50mm）的成品小样（小样尺寸约：500mmX500mm</w:t>
            </w:r>
            <w:r>
              <w:rPr>
                <w:rFonts w:hint="eastAsia" w:ascii="宋体" w:hAnsi="宋体"/>
                <w:bCs/>
                <w:sz w:val="24"/>
              </w:rPr>
              <w:t xml:space="preserve">）。中标方小样须交采购方封样保存。评审小组从外观观感、气味环保性、制作工艺三个方面进行综合评价</w:t>
            </w:r>
            <w:r>
              <w:rPr>
                <w:rFonts w:ascii="宋体" w:hAnsi="宋体"/>
                <w:bCs/>
                <w:sz w:val="24"/>
              </w:rPr>
            </w:r>
            <w:r/>
          </w:p>
          <w:p>
            <w:pPr>
              <w:pStyle w:val="1065"/>
              <w:ind w:firstLine="420"/>
              <w:spacing w:line="360" w:lineRule="exact"/>
              <w:rPr>
                <w:rFonts w:ascii="宋体" w:hAnsi="宋体"/>
                <w:bCs/>
                <w:sz w:val="24"/>
              </w:rPr>
              <w:framePr w:hSpace="180" w:wrap="around" w:vAnchor="text" w:hAnchor="page" w:x="1418" w:y="446"/>
            </w:pPr>
            <w:r>
              <w:rPr>
                <w:rFonts w:hint="eastAsia" w:ascii="宋体" w:hAnsi="宋体"/>
                <w:bCs/>
                <w:sz w:val="24"/>
              </w:rPr>
              <w:t xml:space="preserve">1、塑胶跑道（厚度13mm和20mm两种）：5分</w:t>
            </w:r>
            <w:r>
              <w:rPr>
                <w:rFonts w:ascii="宋体" w:hAnsi="宋体"/>
                <w:bCs/>
                <w:sz w:val="24"/>
              </w:rPr>
            </w:r>
            <w:r/>
          </w:p>
          <w:p>
            <w:pPr>
              <w:pStyle w:val="1065"/>
              <w:ind w:firstLine="480"/>
              <w:jc w:val="left"/>
              <w:spacing w:line="360" w:lineRule="exact"/>
              <w:rPr>
                <w:rFonts w:ascii="宋体" w:hAnsi="宋体"/>
                <w:bCs/>
                <w:sz w:val="24"/>
              </w:rPr>
              <w:framePr w:hSpace="180" w:wrap="around" w:vAnchor="text" w:hAnchor="page" w:x="1418" w:y="446"/>
            </w:pPr>
            <w:r>
              <w:rPr>
                <w:rFonts w:ascii="宋体" w:hAnsi="宋体"/>
                <w:bCs/>
                <w:sz w:val="24"/>
              </w:rPr>
              <w:t xml:space="preserve">表面平整均匀、无气泡、无开裂、厚薄均匀，版型规整；气味轻微、无刺鼻异味，环保性好；工艺：裁切整齐、边缘平整、结构密实、颗粒结合紧密，无疏松掉粉，整体做工精细</w:t>
            </w:r>
            <w:r>
              <w:rPr>
                <w:rFonts w:hint="eastAsia" w:ascii="宋体" w:hAnsi="宋体"/>
                <w:bCs/>
                <w:sz w:val="24"/>
              </w:rPr>
              <w:t xml:space="preserve">。</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r/>
          </w:p>
          <w:p>
            <w:pPr>
              <w:pStyle w:val="1065"/>
              <w:ind w:firstLine="480"/>
              <w:jc w:val="left"/>
              <w:spacing w:line="360" w:lineRule="exact"/>
              <w:rPr>
                <w:rFonts w:ascii="宋体" w:hAnsi="宋体"/>
                <w:bCs/>
                <w:sz w:val="24"/>
              </w:rPr>
              <w:framePr w:hSpace="180" w:wrap="around" w:vAnchor="text" w:hAnchor="page" w:x="1418" w:y="446"/>
            </w:pPr>
            <w:r>
              <w:rPr>
                <w:rFonts w:ascii="宋体" w:hAnsi="宋体"/>
                <w:bCs/>
                <w:sz w:val="24"/>
              </w:rPr>
              <w:t xml:space="preserve">表面</w:t>
            </w:r>
            <w:r>
              <w:rPr>
                <w:rFonts w:hint="eastAsia" w:ascii="宋体" w:hAnsi="宋体"/>
                <w:bCs/>
                <w:sz w:val="24"/>
              </w:rPr>
              <w:t xml:space="preserve">基本</w:t>
            </w:r>
            <w:r>
              <w:rPr>
                <w:rFonts w:ascii="宋体" w:hAnsi="宋体"/>
                <w:bCs/>
                <w:sz w:val="24"/>
              </w:rPr>
              <w:t xml:space="preserve">平整、观感略有色差、轻微细小颗粒不均；气味轻微但不刺鼻；工艺基本规整，存在轻微毛边、局部轻微疏松，不影响整体使用性能</w:t>
            </w:r>
            <w:r>
              <w:rPr>
                <w:rFonts w:hint="eastAsia" w:ascii="宋体" w:hAnsi="宋体"/>
                <w:bCs/>
                <w:sz w:val="24"/>
              </w:rPr>
              <w:t xml:space="preserve">。</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pStyle w:val="1065"/>
              <w:ind w:firstLine="480"/>
              <w:jc w:val="left"/>
              <w:spacing w:line="360" w:lineRule="exact"/>
              <w:rPr>
                <w:rFonts w:hint="eastAsia" w:ascii="宋体" w:hAnsi="宋体"/>
                <w:bCs/>
                <w:sz w:val="24"/>
              </w:rPr>
              <w:framePr w:hSpace="180" w:wrap="around" w:vAnchor="text" w:hAnchor="page" w:x="1418" w:y="446"/>
            </w:pPr>
            <w:r>
              <w:rPr>
                <w:rFonts w:ascii="宋体" w:hAnsi="宋体"/>
                <w:bCs/>
                <w:sz w:val="24"/>
              </w:rPr>
              <w:t xml:space="preserve">样品表面粗糙、存在开裂、起泡；气味刺鼻、异味浓重；工艺粗糙、裁切残缺、整体质量较差</w:t>
            </w:r>
            <w:r>
              <w:rPr>
                <w:rFonts w:hint="eastAsia" w:ascii="宋体" w:hAnsi="宋体"/>
                <w:bCs/>
                <w:sz w:val="24"/>
              </w:rPr>
              <w:t xml:space="preserve">。得1分。</w:t>
            </w:r>
            <w:r/>
          </w:p>
          <w:p>
            <w:pPr>
              <w:pStyle w:val="1065"/>
              <w:ind w:firstLine="480"/>
              <w:jc w:val="left"/>
              <w:spacing w:line="360" w:lineRule="exact"/>
              <w:rPr>
                <w:rFonts w:ascii="宋体" w:hAnsi="宋体"/>
                <w:bCs/>
                <w:sz w:val="24"/>
              </w:rPr>
              <w:framePr w:hSpace="180" w:wrap="around" w:vAnchor="text" w:hAnchor="page" w:x="1418" w:y="446"/>
            </w:pPr>
            <w:r>
              <w:rPr>
                <w:rFonts w:hint="eastAsia" w:ascii="宋体" w:hAnsi="宋体"/>
                <w:bCs/>
                <w:sz w:val="24"/>
              </w:rPr>
              <w:t xml:space="preserve">未提供不得分。</w:t>
            </w:r>
            <w:r>
              <w:rPr>
                <w:rFonts w:ascii="宋体" w:hAnsi="宋体"/>
                <w:bCs/>
                <w:sz w:val="24"/>
              </w:rPr>
            </w:r>
            <w:r/>
          </w:p>
          <w:p>
            <w:pPr>
              <w:pStyle w:val="1065"/>
              <w:ind w:firstLine="420"/>
              <w:spacing w:line="360" w:lineRule="exact"/>
              <w:rPr>
                <w:rFonts w:ascii="宋体" w:hAnsi="宋体"/>
                <w:bCs/>
                <w:sz w:val="24"/>
              </w:rPr>
              <w:framePr w:hSpace="180" w:wrap="around" w:vAnchor="text" w:hAnchor="page" w:x="1418" w:y="446"/>
            </w:pPr>
            <w:r>
              <w:rPr>
                <w:rFonts w:hint="eastAsia" w:ascii="宋体" w:hAnsi="宋体"/>
                <w:bCs/>
                <w:sz w:val="24"/>
              </w:rPr>
              <w:t xml:space="preserve">2、硅PU（厚度4mm）：5分</w:t>
            </w:r>
            <w:r>
              <w:rPr>
                <w:rFonts w:ascii="宋体" w:hAnsi="宋体"/>
                <w:bCs/>
                <w:sz w:val="24"/>
              </w:rPr>
            </w:r>
            <w:r/>
          </w:p>
          <w:p>
            <w:pPr>
              <w:pStyle w:val="1065"/>
              <w:ind w:firstLine="480"/>
              <w:jc w:val="left"/>
              <w:spacing w:line="360" w:lineRule="exact"/>
              <w:rPr>
                <w:rFonts w:ascii="宋体" w:hAnsi="宋体"/>
                <w:bCs/>
                <w:sz w:val="24"/>
              </w:rPr>
              <w:framePr w:hSpace="180" w:wrap="around" w:vAnchor="text" w:hAnchor="page" w:x="1418" w:y="446"/>
            </w:pPr>
            <w:r>
              <w:rPr>
                <w:rFonts w:ascii="宋体" w:hAnsi="宋体"/>
                <w:bCs/>
                <w:sz w:val="24"/>
              </w:rPr>
              <w:t xml:space="preserve">表面平整均匀、无气泡、无开裂、厚薄均匀，版型规整；气味轻微、无刺鼻异味，环保性好；工艺：裁切整齐、边缘平整、结构密实、颗粒结合紧密，无疏松掉粉，整体做工精细</w:t>
            </w:r>
            <w:r>
              <w:rPr>
                <w:rFonts w:hint="eastAsia" w:ascii="宋体" w:hAnsi="宋体"/>
                <w:bCs/>
                <w:sz w:val="24"/>
              </w:rPr>
              <w:t xml:space="preserve">。</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r/>
          </w:p>
          <w:p>
            <w:pPr>
              <w:pStyle w:val="1065"/>
              <w:ind w:firstLine="480"/>
              <w:jc w:val="left"/>
              <w:spacing w:line="360" w:lineRule="exact"/>
              <w:rPr>
                <w:rFonts w:ascii="宋体" w:hAnsi="宋体"/>
                <w:bCs/>
                <w:sz w:val="24"/>
              </w:rPr>
              <w:framePr w:hSpace="180" w:wrap="around" w:vAnchor="text" w:hAnchor="page" w:x="1418" w:y="446"/>
            </w:pPr>
            <w:r>
              <w:rPr>
                <w:rFonts w:ascii="宋体" w:hAnsi="宋体"/>
                <w:bCs/>
                <w:sz w:val="24"/>
              </w:rPr>
              <w:t xml:space="preserve">表面</w:t>
            </w:r>
            <w:r>
              <w:rPr>
                <w:rFonts w:hint="eastAsia" w:ascii="宋体" w:hAnsi="宋体"/>
                <w:bCs/>
                <w:sz w:val="24"/>
              </w:rPr>
              <w:t xml:space="preserve">基本</w:t>
            </w:r>
            <w:r>
              <w:rPr>
                <w:rFonts w:ascii="宋体" w:hAnsi="宋体"/>
                <w:bCs/>
                <w:sz w:val="24"/>
              </w:rPr>
              <w:t xml:space="preserve">平整、观感略有色差、轻微细小颗粒不均；气味轻微但不刺鼻；工艺基本规整，存在轻微毛边、局部轻微疏松，不影响整体使用性能</w:t>
            </w:r>
            <w:r>
              <w:rPr>
                <w:rFonts w:hint="eastAsia" w:ascii="宋体" w:hAnsi="宋体"/>
                <w:bCs/>
                <w:sz w:val="24"/>
              </w:rPr>
              <w:t xml:space="preserve">。</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pStyle w:val="1065"/>
              <w:ind w:firstLine="480"/>
              <w:jc w:val="left"/>
              <w:spacing w:line="360" w:lineRule="exact"/>
              <w:rPr>
                <w:rFonts w:hint="eastAsia" w:ascii="宋体" w:hAnsi="宋体"/>
                <w:bCs/>
                <w:sz w:val="24"/>
              </w:rPr>
              <w:framePr w:hSpace="180" w:wrap="around" w:vAnchor="text" w:hAnchor="page" w:x="1418" w:y="446"/>
            </w:pPr>
            <w:r>
              <w:rPr>
                <w:rFonts w:ascii="宋体" w:hAnsi="宋体"/>
                <w:bCs/>
                <w:sz w:val="24"/>
              </w:rPr>
              <w:t xml:space="preserve">样品表面粗糙、存在开裂、起泡；气味刺鼻、异味浓重；工艺粗糙、裁切残缺、整体质量较差</w:t>
            </w:r>
            <w:r>
              <w:rPr>
                <w:rFonts w:hint="eastAsia" w:ascii="宋体" w:hAnsi="宋体"/>
                <w:bCs/>
                <w:sz w:val="24"/>
              </w:rPr>
              <w:t xml:space="preserve">。得1分。</w:t>
            </w:r>
            <w:r/>
          </w:p>
          <w:p>
            <w:pPr>
              <w:pStyle w:val="1065"/>
              <w:ind w:firstLine="480"/>
              <w:jc w:val="left"/>
              <w:spacing w:line="360" w:lineRule="exact"/>
              <w:rPr>
                <w:rFonts w:ascii="宋体" w:hAnsi="宋体"/>
                <w:bCs/>
                <w:sz w:val="24"/>
              </w:rPr>
              <w:framePr w:hSpace="180" w:wrap="around" w:vAnchor="text" w:hAnchor="page" w:x="1418" w:y="446"/>
            </w:pPr>
            <w:r>
              <w:rPr>
                <w:rFonts w:hint="eastAsia" w:ascii="宋体" w:hAnsi="宋体"/>
                <w:bCs/>
                <w:sz w:val="24"/>
              </w:rPr>
              <w:t xml:space="preserve">未提供不得分。</w:t>
            </w:r>
            <w:r>
              <w:rPr>
                <w:rFonts w:ascii="宋体" w:hAnsi="宋体"/>
                <w:bCs/>
                <w:sz w:val="24"/>
              </w:rPr>
            </w:r>
            <w:r/>
          </w:p>
          <w:p>
            <w:pPr>
              <w:pStyle w:val="1065"/>
              <w:ind w:firstLine="420"/>
              <w:spacing w:line="360" w:lineRule="exact"/>
              <w:rPr>
                <w:rFonts w:hint="eastAsia" w:ascii="宋体" w:hAnsi="宋体"/>
                <w:bCs/>
                <w:sz w:val="24"/>
              </w:rPr>
              <w:framePr w:hSpace="180" w:wrap="around" w:vAnchor="text" w:hAnchor="page" w:x="1418" w:y="446"/>
            </w:pPr>
            <w:r>
              <w:rPr>
                <w:rFonts w:hint="eastAsia" w:ascii="宋体" w:hAnsi="宋体"/>
                <w:bCs/>
                <w:sz w:val="24"/>
              </w:rPr>
              <w:t xml:space="preserve">3、人工草（高50</w:t>
            </w:r>
            <w:r>
              <w:rPr>
                <w:rFonts w:hint="eastAsia" w:ascii="宋体" w:hAnsi="宋体"/>
                <w:bCs/>
                <w:sz w:val="24"/>
              </w:rPr>
              <w:t xml:space="preserve">mm）：5分</w:t>
            </w:r>
            <w:r/>
          </w:p>
          <w:p>
            <w:pPr>
              <w:pStyle w:val="1065"/>
              <w:ind w:firstLine="420"/>
              <w:spacing w:line="360" w:lineRule="exact"/>
              <w:rPr>
                <w:rFonts w:hint="eastAsia" w:ascii="宋体" w:hAnsi="宋体"/>
                <w:bCs/>
                <w:sz w:val="24"/>
              </w:rPr>
              <w:framePr w:hSpace="180" w:wrap="around" w:vAnchor="text" w:hAnchor="page" w:x="1418" w:y="446"/>
            </w:pPr>
            <w:r>
              <w:rPr>
                <w:rFonts w:ascii="宋体" w:hAnsi="宋体"/>
                <w:bCs/>
                <w:sz w:val="24"/>
              </w:rPr>
              <w:t xml:space="preserve">草丝色泽均匀一致、无杂色，草丝疏密均匀、排布规整、无倒伏、无缺丝、断丝，底布平整干净、无破损污渍，整体视觉整洁美观；气味轻微、无刺鼻异味，环保性好；草丝植入牢固、无脱丝、浮丝现象，针距均匀、排布整齐，底布粘合紧实、无开胶、起翘，裁切边缘平整顺滑、无毛刺、残缺，整体做工精细规整。</w:t>
            </w:r>
            <w:r>
              <w:rPr>
                <w:rFonts w:hint="eastAsia" w:ascii="宋体" w:hAnsi="宋体"/>
                <w:bCs/>
                <w:sz w:val="24"/>
              </w:rPr>
              <w:t xml:space="preserve">得5分；</w:t>
            </w:r>
            <w:r/>
          </w:p>
          <w:p>
            <w:pPr>
              <w:pStyle w:val="1065"/>
              <w:ind w:firstLine="420"/>
              <w:spacing w:line="360" w:lineRule="exact"/>
              <w:rPr>
                <w:rFonts w:ascii="宋体" w:hAnsi="宋体"/>
                <w:bCs/>
                <w:sz w:val="24"/>
              </w:rPr>
              <w:framePr w:hSpace="180" w:wrap="around" w:vAnchor="text" w:hAnchor="page" w:x="1418" w:y="446"/>
            </w:pPr>
            <w:r>
              <w:rPr>
                <w:rFonts w:ascii="宋体" w:hAnsi="宋体"/>
                <w:bCs/>
                <w:sz w:val="24"/>
              </w:rPr>
              <w:t xml:space="preserve">样品整体合格，无明显质量缺陷，但细节存在轻微瑕疵：观感存在轻微色差、少量草丝轻微疏密不均，个别草丝轻微倒伏；气味轻微、无刺鼻异味；制作工艺基本规整，存在少量浮丝、轻微裁切毛刺，无脱丝、开胶等实质性缺陷，不影响整体使用及外观效果。</w:t>
            </w:r>
            <w:r>
              <w:rPr>
                <w:rFonts w:hint="eastAsia" w:ascii="宋体" w:hAnsi="宋体"/>
                <w:bCs/>
                <w:sz w:val="24"/>
              </w:rPr>
              <w:t xml:space="preserve">得3分；</w:t>
            </w:r>
            <w:r>
              <w:rPr>
                <w:rFonts w:ascii="宋体" w:hAnsi="宋体"/>
                <w:bCs/>
                <w:sz w:val="24"/>
              </w:rPr>
            </w:r>
            <w:r/>
          </w:p>
          <w:p>
            <w:pPr>
              <w:pStyle w:val="1065"/>
              <w:ind w:firstLine="420"/>
              <w:spacing w:line="360" w:lineRule="exact"/>
              <w:rPr>
                <w:rFonts w:ascii="宋体" w:hAnsi="宋体"/>
                <w:bCs/>
                <w:sz w:val="24"/>
              </w:rPr>
              <w:framePr w:hSpace="180" w:wrap="around" w:vAnchor="text" w:hAnchor="page" w:x="1418" w:y="446"/>
            </w:pPr>
            <w:r>
              <w:rPr>
                <w:rFonts w:ascii="宋体" w:hAnsi="宋体"/>
                <w:bCs/>
                <w:sz w:val="24"/>
              </w:rPr>
              <w:t xml:space="preserve">样品草丝色差严重、存在大量缺丝、断丝、草丝倒伏杂乱；气味刺鼻、异味浓重，环保性差；工艺粗糙，存在大面积脱丝、浮丝、底布开胶起翘、裁切残缺严重，整体外观及质量较差，存在明显使用缺陷。</w:t>
            </w:r>
            <w:r>
              <w:rPr>
                <w:rFonts w:hint="eastAsia" w:ascii="宋体" w:hAnsi="宋体"/>
                <w:bCs/>
                <w:sz w:val="24"/>
              </w:rPr>
              <w:t xml:space="preserve">得1分。</w:t>
            </w:r>
            <w:r>
              <w:rPr>
                <w:rFonts w:ascii="宋体" w:hAnsi="宋体"/>
                <w:bCs/>
                <w:sz w:val="24"/>
              </w:rPr>
            </w:r>
            <w:r/>
          </w:p>
          <w:p>
            <w:pPr>
              <w:pStyle w:val="1065"/>
              <w:ind w:firstLine="420"/>
              <w:spacing w:line="360" w:lineRule="exact"/>
              <w:rPr>
                <w:rFonts w:hint="eastAsia"/>
              </w:rPr>
              <w:framePr w:hSpace="180" w:wrap="around" w:vAnchor="text" w:hAnchor="page" w:x="1418" w:y="446"/>
            </w:pPr>
            <w:r>
              <w:rPr>
                <w:rFonts w:hint="eastAsia" w:ascii="宋体" w:hAnsi="宋体"/>
                <w:bCs/>
                <w:sz w:val="24"/>
              </w:rPr>
              <w:t xml:space="preserve">未提供不得分。</w:t>
            </w:r>
            <w:r>
              <w:rPr>
                <w:rFonts w:hint="eastAsia"/>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客观分</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46</w:t>
            </w:r>
            <w:r>
              <w:rPr>
                <w:rFonts w:ascii="宋体" w:hAnsi="宋体"/>
                <w:b/>
                <w:sz w:val="24"/>
              </w:rPr>
            </w:r>
            <w:r/>
          </w:p>
        </w:tc>
        <w:tc>
          <w:tcPr>
            <w:tcW w:w="3348" w:type="pct"/>
            <w:vAlign w:val="top"/>
            <w:textDirection w:val="lrTb"/>
            <w:noWrap w:val="false"/>
          </w:tcPr>
          <w:p>
            <w:pPr>
              <w:pStyle w:val="1065"/>
              <w:ind w:firstLine="420"/>
              <w:spacing w:line="360" w:lineRule="exact"/>
              <w:rPr>
                <w:rFonts w:hint="eastAsia" w:ascii="宋体" w:hAnsi="宋体" w:cs="Arial"/>
                <w:sz w:val="24"/>
                <w:shd w:val="clear" w:color="auto" w:fill="ffffff"/>
              </w:rPr>
              <w:framePr w:hSpace="180" w:wrap="around" w:vAnchor="text" w:hAnchor="page" w:x="1418" w:y="446"/>
            </w:pPr>
            <w:r>
              <w:rPr>
                <w:rFonts w:hint="eastAsia" w:ascii="宋体" w:hAnsi="宋体" w:cs="Arial"/>
                <w:sz w:val="24"/>
                <w:shd w:val="clear" w:color="auto" w:fill="ffffff"/>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3.1</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企业业绩</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15</w:t>
            </w:r>
            <w:r>
              <w:rPr>
                <w:rFonts w:ascii="宋体" w:hAnsi="宋体"/>
                <w:b/>
                <w:sz w:val="24"/>
              </w:rPr>
            </w:r>
            <w:r/>
          </w:p>
        </w:tc>
        <w:tc>
          <w:tcPr>
            <w:tcW w:w="3348" w:type="pct"/>
            <w:vAlign w:val="top"/>
            <w:textDirection w:val="lrTb"/>
            <w:noWrap w:val="false"/>
          </w:tcPr>
          <w:p>
            <w:pPr>
              <w:ind w:firstLine="420"/>
              <w:spacing w:line="360" w:lineRule="exact"/>
              <w:rPr>
                <w:rFonts w:ascii="宋体" w:hAnsi="宋体"/>
                <w:sz w:val="24"/>
                <w:szCs w:val="24"/>
                <w:shd w:val="clear" w:color="auto" w:fill="ffffff"/>
                <w14:ligatures w14:val="none"/>
              </w:rPr>
              <w:framePr w:hSpace="180" w:wrap="around" w:vAnchor="text" w:hAnchor="page" w:x="1418" w:y="446"/>
            </w:pPr>
            <w:r>
              <w:rPr>
                <w:rFonts w:ascii="宋体" w:hAnsi="宋体"/>
                <w:sz w:val="24"/>
                <w:szCs w:val="24"/>
              </w:rPr>
              <w:t xml:space="preserve">供应商近自2021年6月1日以来承接过类似项目业绩的，</w:t>
            </w:r>
            <w:r>
              <w:rPr>
                <w:rFonts w:ascii="宋体" w:hAnsi="宋体"/>
                <w:sz w:val="24"/>
                <w:szCs w:val="24"/>
              </w:rPr>
              <w:t xml:space="preserve">每有1份得3分，本项最高得15分。 </w:t>
            </w:r>
            <w:r>
              <w:rPr>
                <w:rFonts w:ascii="宋体" w:hAnsi="宋体"/>
                <w:sz w:val="24"/>
                <w:szCs w:val="24"/>
              </w:rPr>
            </w:r>
            <w:r/>
          </w:p>
          <w:p>
            <w:pPr>
              <w:ind w:firstLine="420"/>
              <w:spacing w:line="360" w:lineRule="exact"/>
              <w:rPr>
                <w:rFonts w:ascii="宋体" w:hAnsi="宋体"/>
                <w:sz w:val="24"/>
                <w:szCs w:val="24"/>
                <w:shd w:val="clear" w:color="auto" w:fill="ffffff"/>
                <w14:ligatures w14:val="none"/>
              </w:rPr>
              <w:framePr w:hSpace="180" w:wrap="around" w:vAnchor="text" w:hAnchor="page" w:x="1418" w:y="446"/>
            </w:pPr>
            <w:r>
              <w:rPr>
                <w:rFonts w:ascii="宋体" w:hAnsi="宋体"/>
                <w:sz w:val="24"/>
                <w:szCs w:val="24"/>
              </w:rPr>
              <w:t xml:space="preserve">注:(1)投标文件中提中标(成交)通知书、供施工合同、竣工(完工)验收证明</w:t>
            </w:r>
            <w:r>
              <w:rPr>
                <w:rFonts w:ascii="宋体" w:hAnsi="宋体"/>
                <w:sz w:val="24"/>
                <w:szCs w:val="24"/>
              </w:rPr>
              <w:t xml:space="preserve">复印件并加盖供应商公章</w:t>
            </w:r>
            <w:r>
              <w:rPr>
                <w:rFonts w:ascii="宋体" w:hAnsi="宋体"/>
                <w:sz w:val="24"/>
                <w:szCs w:val="24"/>
              </w:rPr>
              <w:t xml:space="preserve">。提供不齐全不得分。（2）时间以工程竣工(</w:t>
            </w:r>
            <w:r>
              <w:rPr>
                <w:rFonts w:ascii="宋体" w:hAnsi="宋体"/>
                <w:sz w:val="24"/>
                <w:szCs w:val="24"/>
              </w:rPr>
              <w:t xml:space="preserve">或完工)验收证明所载明的竣工时间为准。(3)业绩证明材料必须能清晰的反映评分需要明示的内容，没有明示造成无法确定的业绩，不予计分。</w:t>
            </w:r>
            <w:r>
              <w:rPr>
                <w:rFonts w:ascii="宋体" w:hAnsi="宋体"/>
                <w:sz w:val="24"/>
                <w:szCs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3.2</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项目负责人业绩</w:t>
            </w:r>
            <w:r/>
          </w:p>
        </w:tc>
        <w:tc>
          <w:tcPr>
            <w:tcW w:w="474"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9</w:t>
            </w:r>
            <w:r/>
          </w:p>
        </w:tc>
        <w:tc>
          <w:tcPr>
            <w:tcW w:w="3348" w:type="pct"/>
            <w:vAlign w:val="top"/>
            <w:textDirection w:val="lrTb"/>
            <w:noWrap w:val="false"/>
          </w:tcPr>
          <w:p>
            <w:pPr>
              <w:ind w:firstLine="420"/>
              <w:spacing w:line="360" w:lineRule="exact"/>
              <w:rPr>
                <w:rFonts w:ascii="宋体" w:hAnsi="宋体"/>
                <w:sz w:val="24"/>
                <w:szCs w:val="24"/>
                <w14:ligatures w14:val="none"/>
              </w:rPr>
              <w:framePr w:hSpace="180" w:wrap="around" w:vAnchor="text" w:hAnchor="page" w:x="1418" w:y="446"/>
            </w:pPr>
            <w:r>
              <w:rPr>
                <w:rFonts w:hint="eastAsia" w:ascii="宋体" w:hAnsi="宋体" w:cs="宋体"/>
                <w:sz w:val="24"/>
              </w:rPr>
              <w:t xml:space="preserve">供应</w:t>
            </w:r>
            <w:r>
              <w:rPr>
                <w:rFonts w:ascii="宋体" w:hAnsi="宋体"/>
                <w:sz w:val="24"/>
                <w:szCs w:val="24"/>
              </w:rPr>
              <w:t xml:space="preserve">商拟派项目负责人</w:t>
            </w:r>
            <w:r>
              <w:rPr>
                <w:rFonts w:ascii="宋体" w:hAnsi="宋体"/>
                <w:sz w:val="24"/>
                <w:szCs w:val="24"/>
              </w:rPr>
              <w:t xml:space="preserve">自2021年6月1日以来</w:t>
            </w:r>
            <w:r>
              <w:rPr>
                <w:rFonts w:ascii="宋体" w:hAnsi="宋体"/>
                <w:sz w:val="24"/>
                <w:szCs w:val="24"/>
              </w:rPr>
              <w:t xml:space="preserve">承接过运动场地施工项目业绩的，</w:t>
            </w:r>
            <w:r>
              <w:rPr>
                <w:rFonts w:ascii="宋体" w:hAnsi="宋体"/>
                <w:sz w:val="24"/>
                <w:szCs w:val="24"/>
              </w:rPr>
              <w:t xml:space="preserve">每有1份得3分，本项最高得9分。  </w:t>
            </w:r>
            <w:r>
              <w:rPr>
                <w:rFonts w:ascii="宋体" w:hAnsi="宋体"/>
                <w:sz w:val="24"/>
                <w:szCs w:val="24"/>
              </w:rPr>
            </w:r>
            <w:r/>
          </w:p>
          <w:p>
            <w:pPr>
              <w:ind w:firstLine="420"/>
              <w:spacing w:line="360" w:lineRule="exact"/>
              <w:rPr>
                <w:rFonts w:ascii="宋体" w:hAnsi="宋体" w:cs="宋体"/>
                <w:sz w:val="24"/>
              </w:rPr>
              <w:framePr w:hSpace="180" w:wrap="around" w:vAnchor="text" w:hAnchor="page" w:x="1418" w:y="446"/>
            </w:pPr>
            <w:r>
              <w:rPr>
                <w:rFonts w:ascii="宋体" w:hAnsi="宋体"/>
                <w:sz w:val="24"/>
                <w:szCs w:val="24"/>
              </w:rPr>
              <w:t xml:space="preserve">注:(1)投标文件中提供项目中标(或成交)通知书、施工合同、竣工(完工)验收证明的复印件并加盖供应商公章</w:t>
            </w:r>
            <w:r>
              <w:rPr>
                <w:rFonts w:ascii="宋体" w:hAnsi="宋体"/>
                <w:sz w:val="24"/>
                <w:szCs w:val="24"/>
              </w:rPr>
              <w:t xml:space="preserve">。提供不齐全不得分</w:t>
            </w:r>
            <w:r>
              <w:rPr>
                <w:rFonts w:ascii="宋体" w:hAnsi="宋体"/>
                <w:sz w:val="24"/>
                <w:szCs w:val="24"/>
              </w:rPr>
              <w:t xml:space="preserve">。（2）时间以工程竣工(或完工)验收证明所载明的竣</w:t>
            </w:r>
            <w:r>
              <w:rPr>
                <w:rFonts w:hint="eastAsia" w:ascii="宋体" w:hAnsi="宋体" w:cs="宋体"/>
                <w:sz w:val="24"/>
              </w:rPr>
              <w:t xml:space="preserve">工时间为准。(3)业绩证明材料必须能清晰的反映评分需要明示的内容，没有明示造成无法确定的业绩，不予计分。（4）同一个项目，项目负责人业绩与企业业绩不重复得分。（5）提供供应商2026</w:t>
            </w:r>
            <w:r>
              <w:rPr>
                <w:rFonts w:hint="eastAsia" w:ascii="宋体" w:hAnsi="宋体" w:cs="宋体"/>
                <w:sz w:val="24"/>
              </w:rPr>
              <w:t xml:space="preserve">年3月-5月为该项目负责人缴纳社保的记录。</w:t>
            </w:r>
            <w:r>
              <w:rPr>
                <w:rFonts w:ascii="宋体" w:hAnsi="宋体" w:cs="宋体"/>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3.3</w:t>
            </w:r>
            <w:r>
              <w:rPr>
                <w:rFonts w:ascii="宋体" w:hAnsi="宋体"/>
                <w:sz w:val="24"/>
              </w:rPr>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质保</w:t>
            </w:r>
            <w:r/>
          </w:p>
        </w:tc>
        <w:tc>
          <w:tcPr>
            <w:tcW w:w="474"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6</w:t>
            </w:r>
            <w:r/>
          </w:p>
        </w:tc>
        <w:tc>
          <w:tcPr>
            <w:tcW w:w="3348" w:type="pct"/>
            <w:vAlign w:val="top"/>
            <w:textDirection w:val="lrTb"/>
            <w:noWrap w:val="false"/>
          </w:tcPr>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t xml:space="preserve">供应商在满足基本质保期基础上承诺每延长一年质保得2分，最高得6分。</w:t>
            </w:r>
            <w:r>
              <w:rPr>
                <w:rFonts w:hint="eastAsia" w:ascii="宋体" w:hAnsi="宋体" w:cs="宋体"/>
                <w:b/>
                <w:sz w:val="24"/>
              </w:rPr>
              <w:t xml:space="preserve">提供承诺函，否则不得分。</w:t>
            </w:r>
            <w:r>
              <w:rPr>
                <w:rFonts w:hint="eastAsia" w:ascii="宋体" w:hAnsi="宋体" w:cs="宋体"/>
                <w:bCs/>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3.4</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拟投入项目组成员</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Cs/>
                <w:sz w:val="24"/>
              </w:rPr>
              <w:t xml:space="preserve">5</w:t>
            </w:r>
            <w:r>
              <w:rPr>
                <w:rFonts w:ascii="宋体" w:hAnsi="宋体"/>
                <w:b/>
                <w:sz w:val="24"/>
              </w:rPr>
            </w:r>
            <w:r/>
          </w:p>
        </w:tc>
        <w:tc>
          <w:tcPr>
            <w:tcW w:w="3348" w:type="pct"/>
            <w:vAlign w:val="top"/>
            <w:textDirection w:val="lrTb"/>
            <w:noWrap w:val="false"/>
          </w:tcPr>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1.拟派项目组成员(不含项目负责人)，具有建设工程系列中级及以上职称的，</w:t>
            </w:r>
            <w:r>
              <w:rPr>
                <w:rFonts w:hint="eastAsia" w:ascii="宋体" w:hAnsi="宋体"/>
                <w:bCs/>
                <w:sz w:val="24"/>
              </w:rPr>
              <w:t xml:space="preserve">每有1人得1分，最高得2分。</w:t>
            </w:r>
            <w:r>
              <w:rPr>
                <w:rFonts w:hint="eastAsia" w:ascii="宋体" w:hAnsi="宋体" w:cs="宋体"/>
                <w:sz w:val="24"/>
              </w:rPr>
            </w:r>
            <w:r/>
          </w:p>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2.拟派项目组的成员(不含项目负责人)，具有二级及以上注册建造师资格的，</w:t>
            </w:r>
            <w:r>
              <w:rPr>
                <w:rFonts w:hint="eastAsia" w:ascii="宋体" w:hAnsi="宋体"/>
                <w:bCs/>
                <w:sz w:val="24"/>
              </w:rPr>
              <w:t xml:space="preserve">每有1人得1分，最高得2分。</w:t>
            </w:r>
            <w:r>
              <w:rPr>
                <w:rFonts w:hint="eastAsia" w:ascii="宋体" w:hAnsi="宋体" w:cs="宋体"/>
                <w:sz w:val="24"/>
              </w:rPr>
            </w:r>
            <w:r/>
          </w:p>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3.</w:t>
            </w:r>
            <w:r>
              <w:rPr>
                <w:rFonts w:hint="eastAsia" w:ascii="宋体" w:hAnsi="宋体" w:cs="宋体"/>
                <w:sz w:val="24"/>
              </w:rPr>
              <w:t xml:space="preserve">拟派项目组的成员(不含项目负责人)具备建设主管部门颁发的安全员证书的，得1分。</w:t>
            </w:r>
            <w:r/>
          </w:p>
          <w:p>
            <w:pPr>
              <w:pStyle w:val="1065"/>
              <w:ind w:firstLine="420"/>
              <w:spacing w:line="360" w:lineRule="exact"/>
              <w:rPr>
                <w:rFonts w:ascii="宋体" w:hAnsi="宋体" w:cs="宋体"/>
                <w:sz w:val="24"/>
              </w:rPr>
              <w:framePr w:hSpace="180" w:wrap="around" w:vAnchor="text" w:hAnchor="page" w:x="1418" w:y="446"/>
            </w:pPr>
            <w:r>
              <w:rPr>
                <w:rFonts w:hint="eastAsia" w:ascii="宋体" w:hAnsi="宋体" w:cs="宋体"/>
                <w:sz w:val="24"/>
              </w:rPr>
              <w:t xml:space="preserve">注：（1）投标文件中提供相应证书的复印件并加盖投标人公章，未提供不得分。（2）提供供应商2026年3月-5月为上述人员缴纳社保的记录。（3）上述人员不重复得分。</w:t>
            </w:r>
            <w:r>
              <w:rPr>
                <w:rFonts w:ascii="宋体" w:hAnsi="宋体" w:cs="宋体"/>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3.5</w:t>
            </w:r>
            <w:r>
              <w:rPr>
                <w:rFonts w:ascii="宋体" w:hAnsi="宋体"/>
                <w:sz w:val="24"/>
              </w:rPr>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体系认证证</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3</w:t>
            </w:r>
            <w:r>
              <w:rPr>
                <w:rFonts w:ascii="宋体" w:hAnsi="宋体"/>
                <w:b/>
                <w:sz w:val="24"/>
              </w:rPr>
            </w:r>
            <w:r/>
          </w:p>
        </w:tc>
        <w:tc>
          <w:tcPr>
            <w:tcW w:w="3348" w:type="pct"/>
            <w:vAlign w:val="top"/>
            <w:textDirection w:val="lrTb"/>
            <w:noWrap w:val="false"/>
          </w:tcPr>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供应商具有有效期内的质量管理体系认证证书、职业健康安全管理体系认证证书、环境管理体系认证证书，每有1项得1分，本项最高得3分。</w:t>
            </w:r>
            <w:r/>
          </w:p>
          <w:p>
            <w:pPr>
              <w:pStyle w:val="1065"/>
              <w:ind w:firstLine="420"/>
              <w:spacing w:line="360" w:lineRule="exact"/>
              <w:rPr>
                <w:rFonts w:hint="eastAsia" w:ascii="宋体" w:hAnsi="宋体" w:cs="宋体"/>
                <w:b/>
                <w:szCs w:val="21"/>
              </w:rPr>
              <w:framePr w:hSpace="180" w:wrap="around" w:vAnchor="text" w:hAnchor="page" w:x="1418" w:y="446"/>
            </w:pPr>
            <w:r>
              <w:rPr>
                <w:rFonts w:hint="eastAsia" w:ascii="宋体" w:hAnsi="宋体" w:cs="宋体"/>
                <w:sz w:val="24"/>
              </w:rPr>
              <w:t xml:space="preserve">注：提供“全国认证认可信息公共服务平台”的证书查询截图并加盖公章，且证书状态为有效，否则不得分。</w:t>
            </w:r>
            <w:r>
              <w:rPr>
                <w:rFonts w:hint="eastAsia" w:ascii="宋体" w:hAnsi="宋体" w:cs="宋体"/>
                <w:b/>
                <w:szCs w:val="21"/>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3.6</w:t>
            </w:r>
            <w:r>
              <w:rPr>
                <w:rFonts w:ascii="宋体" w:hAnsi="宋体"/>
                <w:sz w:val="24"/>
              </w:rPr>
            </w:r>
            <w:r/>
          </w:p>
        </w:tc>
        <w:tc>
          <w:tcPr>
            <w:tcW w:w="759"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设备配备</w:t>
            </w:r>
            <w:r>
              <w:rPr>
                <w:rFonts w:ascii="宋体" w:hAnsi="宋体"/>
                <w:b/>
                <w:sz w:val="24"/>
              </w:rPr>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6</w:t>
            </w:r>
            <w:r>
              <w:rPr>
                <w:rFonts w:ascii="宋体" w:hAnsi="宋体"/>
                <w:b/>
                <w:sz w:val="24"/>
              </w:rPr>
            </w:r>
            <w:r/>
          </w:p>
        </w:tc>
        <w:tc>
          <w:tcPr>
            <w:tcW w:w="3348" w:type="pct"/>
            <w:vAlign w:val="top"/>
            <w:textDirection w:val="lrTb"/>
            <w:noWrap w:val="false"/>
          </w:tcPr>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供应商自有设备</w:t>
            </w:r>
            <w:r>
              <w:rPr>
                <w:rFonts w:hint="eastAsia" w:ascii="宋体" w:hAnsi="宋体" w:cs="宋体"/>
                <w:b/>
                <w:bCs/>
                <w:sz w:val="24"/>
              </w:rPr>
              <w:t xml:space="preserve">（不允许租赁）</w:t>
            </w:r>
            <w:r>
              <w:rPr>
                <w:rFonts w:hint="eastAsia" w:ascii="宋体" w:hAnsi="宋体" w:cs="宋体"/>
                <w:sz w:val="24"/>
              </w:rPr>
              <w:t xml:space="preserve">：混合搅拌机、摊铺机、喷涂机、划线机、充砂机，刷草机，每提供一种设备得1分，最多得6分。</w:t>
            </w:r>
            <w:r/>
          </w:p>
          <w:p>
            <w:pPr>
              <w:pStyle w:val="1065"/>
              <w:ind w:firstLine="420"/>
              <w:spacing w:line="360" w:lineRule="exact"/>
              <w:rPr>
                <w:rFonts w:ascii="宋体" w:hAnsi="宋体" w:cs="宋体"/>
                <w:sz w:val="24"/>
              </w:rPr>
              <w:framePr w:hSpace="180" w:wrap="around" w:vAnchor="text" w:hAnchor="page" w:x="1418" w:y="446"/>
            </w:pPr>
            <w:r>
              <w:rPr>
                <w:rFonts w:hint="eastAsia" w:ascii="宋体" w:hAnsi="宋体" w:cs="宋体"/>
                <w:sz w:val="24"/>
              </w:rPr>
              <w:t xml:space="preserve">注：投标文件中提供设备照片及对应的自行采购发票复印件并加盖公章，否则不得分。</w:t>
            </w:r>
            <w:r>
              <w:rPr>
                <w:rFonts w:ascii="宋体" w:hAnsi="宋体" w:cs="宋体"/>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3.7</w:t>
            </w:r>
            <w:r>
              <w:rPr>
                <w:rFonts w:ascii="宋体" w:hAnsi="宋体"/>
                <w:sz w:val="24"/>
              </w:rPr>
            </w:r>
            <w:r/>
          </w:p>
        </w:tc>
        <w:tc>
          <w:tcPr>
            <w:tcW w:w="759"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工期提前</w:t>
            </w:r>
            <w:r>
              <w:rPr>
                <w:rFonts w:ascii="宋体" w:hAnsi="宋体"/>
                <w:b/>
                <w:sz w:val="24"/>
              </w:rPr>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2</w:t>
            </w:r>
            <w:r>
              <w:rPr>
                <w:rFonts w:ascii="宋体" w:hAnsi="宋体"/>
                <w:b/>
                <w:sz w:val="24"/>
              </w:rPr>
            </w:r>
            <w:r/>
          </w:p>
        </w:tc>
        <w:tc>
          <w:tcPr>
            <w:tcW w:w="3348" w:type="pct"/>
            <w:vAlign w:val="top"/>
            <w:textDirection w:val="lrTb"/>
            <w:noWrap w:val="false"/>
          </w:tcPr>
          <w:p>
            <w:pPr>
              <w:pStyle w:val="1065"/>
              <w:ind w:firstLine="420"/>
              <w:spacing w:line="360" w:lineRule="exact"/>
              <w:rPr>
                <w:rFonts w:ascii="宋体" w:hAnsi="宋体" w:cs="宋体"/>
                <w:sz w:val="24"/>
              </w:rPr>
              <w:framePr w:hSpace="180" w:wrap="around" w:vAnchor="text" w:hAnchor="page" w:x="1418" w:y="446"/>
            </w:pPr>
            <w:r>
              <w:rPr>
                <w:rFonts w:hint="eastAsia" w:ascii="宋体" w:hAnsi="宋体" w:cs="宋体"/>
                <w:sz w:val="24"/>
              </w:rPr>
              <w:t xml:space="preserve">在现有工期要求(60个日历日内竣工)前提下，每提前5个日历日加1分，最多加2分。</w:t>
            </w:r>
            <w:r>
              <w:rPr>
                <w:rFonts w:hint="eastAsia" w:ascii="宋体" w:hAnsi="宋体" w:cs="宋体"/>
                <w:b/>
                <w:bCs/>
                <w:sz w:val="24"/>
              </w:rPr>
              <w:t xml:space="preserve">提供承诺函并加盖公章，否则不得分。</w:t>
            </w:r>
            <w:r>
              <w:rPr>
                <w:rFonts w:ascii="宋体" w:hAnsi="宋体" w:cs="宋体"/>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合计</w:t>
            </w:r>
            <w:r/>
          </w:p>
        </w:tc>
        <w:tc>
          <w:tcPr>
            <w:tcW w:w="474"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100</w:t>
            </w:r>
            <w:r/>
          </w:p>
        </w:tc>
        <w:tc>
          <w:tcPr>
            <w:tcW w:w="3348" w:type="pct"/>
            <w:vAlign w:val="top"/>
            <w:textDirection w:val="lrTb"/>
            <w:noWrap w:val="false"/>
          </w:tcPr>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r>
            <w:r/>
          </w:p>
        </w:tc>
      </w:tr>
    </w:tbl>
    <w:p>
      <w:pPr>
        <w:pStyle w:val="1065"/>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p>
      <w:pPr>
        <w:pStyle w:val="1065"/>
        <w:jc w:val="left"/>
        <w:widowControl/>
        <w:rPr>
          <w:rFonts w:ascii="宋体" w:hAnsi="宋体"/>
          <w:b/>
          <w:sz w:val="36"/>
          <w:szCs w:val="36"/>
        </w:rPr>
      </w:pPr>
      <w:r>
        <w:rPr>
          <w:rFonts w:ascii="宋体" w:hAnsi="宋体"/>
          <w:b/>
          <w:sz w:val="36"/>
          <w:szCs w:val="36"/>
        </w:rPr>
      </w:r>
      <w:r/>
    </w:p>
    <w:p>
      <w:pPr>
        <w:pStyle w:val="1065"/>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rPr>
          <w:rFonts w:hint="eastAsia" w:ascii="宋体" w:hAnsi="宋体" w:cs="宋体"/>
          <w:b/>
          <w:sz w:val="24"/>
        </w:rPr>
      </w:r>
      <w:r/>
    </w:p>
    <w:p>
      <w:pPr>
        <w:pStyle w:val="1065"/>
        <w:ind w:firstLine="480"/>
        <w:jc w:val="left"/>
        <w:spacing w:line="360" w:lineRule="auto"/>
        <w:rPr>
          <w:rFonts w:ascii="宋体" w:hAnsi="宋体"/>
          <w:sz w:val="24"/>
        </w:rPr>
      </w:pPr>
      <w:r>
        <w:rPr>
          <w:rFonts w:ascii="宋体" w:hAnsi="宋体"/>
          <w:sz w:val="24"/>
        </w:rPr>
        <w:t xml:space="preserve">本项目</w:t>
      </w:r>
      <w:r>
        <w:rPr>
          <w:rFonts w:hint="eastAsia" w:ascii="宋体" w:hAnsi="宋体"/>
          <w:sz w:val="24"/>
        </w:rPr>
        <w:t xml:space="preserve">包括但不限于采购文件及其基本技术要求范围内相应工程开工前的准备（包括现场踏勘、技术核对等）、技术资料、施工、技术服务、主管单位验收、养护期及维保服务和采购文件所要求的全部内容。</w:t>
      </w:r>
      <w:r>
        <w:rPr>
          <w:rFonts w:ascii="宋体" w:hAnsi="宋体"/>
          <w:sz w:val="24"/>
        </w:rPr>
      </w:r>
      <w:r/>
    </w:p>
    <w:p>
      <w:pPr>
        <w:pStyle w:val="1065"/>
        <w:ind w:firstLine="480"/>
        <w:jc w:val="left"/>
        <w:spacing w:line="360" w:lineRule="auto"/>
        <w:rPr>
          <w:rFonts w:hint="eastAsia" w:ascii="宋体" w:hAnsi="宋体"/>
          <w:b/>
          <w:bCs/>
          <w:sz w:val="24"/>
        </w:rPr>
      </w:pPr>
      <w:r>
        <w:rPr>
          <w:rFonts w:hint="eastAsia" w:ascii="宋体" w:hAnsi="宋体"/>
          <w:b/>
          <w:bCs/>
          <w:sz w:val="24"/>
        </w:rPr>
        <w:t xml:space="preserve">（一）供应商应根据项目情况拟制施工组织设计方案，包括但不限于：</w:t>
      </w:r>
      <w:r/>
    </w:p>
    <w:p>
      <w:pPr>
        <w:pStyle w:val="1065"/>
        <w:ind w:left="920" w:hanging="440"/>
        <w:jc w:val="left"/>
        <w:spacing w:line="360" w:lineRule="auto"/>
        <w:rPr>
          <w:rFonts w:hint="eastAsia" w:ascii="宋体" w:hAnsi="宋体"/>
          <w:sz w:val="24"/>
        </w:rPr>
      </w:pPr>
      <w:r>
        <w:rPr>
          <w:rFonts w:hint="eastAsia" w:ascii="宋体" w:hAnsi="宋体"/>
          <w:sz w:val="24"/>
        </w:rPr>
        <w:t xml:space="preserve">1.施工组织设计；</w:t>
      </w:r>
      <w:r/>
    </w:p>
    <w:p>
      <w:pPr>
        <w:pStyle w:val="1065"/>
        <w:ind w:left="920" w:hanging="440"/>
        <w:jc w:val="left"/>
        <w:spacing w:line="360" w:lineRule="auto"/>
        <w:rPr>
          <w:rFonts w:hint="eastAsia" w:ascii="宋体" w:hAnsi="宋体"/>
          <w:sz w:val="24"/>
        </w:rPr>
      </w:pPr>
      <w:r>
        <w:rPr>
          <w:rFonts w:hint="eastAsia" w:ascii="宋体" w:hAnsi="宋体"/>
          <w:sz w:val="24"/>
        </w:rPr>
        <w:t xml:space="preserve">2.关键施工技术、工艺及工程项目实施的重点、难点和解决方案；</w:t>
      </w:r>
      <w:r/>
    </w:p>
    <w:p>
      <w:pPr>
        <w:pStyle w:val="1065"/>
        <w:ind w:left="920" w:hanging="440"/>
        <w:jc w:val="left"/>
        <w:spacing w:line="360" w:lineRule="auto"/>
        <w:rPr>
          <w:rFonts w:hint="eastAsia" w:ascii="宋体" w:hAnsi="宋体"/>
          <w:sz w:val="24"/>
        </w:rPr>
      </w:pPr>
      <w:r>
        <w:rPr>
          <w:rFonts w:hint="eastAsia" w:ascii="宋体" w:hAnsi="宋体"/>
          <w:sz w:val="24"/>
        </w:rPr>
        <w:t xml:space="preserve">3.应急预案；</w:t>
      </w:r>
      <w:r/>
    </w:p>
    <w:p>
      <w:pPr>
        <w:pStyle w:val="1065"/>
        <w:ind w:firstLine="480"/>
        <w:jc w:val="left"/>
        <w:spacing w:line="360" w:lineRule="auto"/>
        <w:rPr>
          <w:rFonts w:hint="eastAsia" w:ascii="宋体" w:hAnsi="宋体"/>
          <w:b/>
          <w:bCs/>
          <w:sz w:val="24"/>
        </w:rPr>
      </w:pPr>
      <w:r>
        <w:rPr>
          <w:rFonts w:hint="eastAsia" w:ascii="宋体" w:hAnsi="宋体"/>
          <w:b/>
          <w:bCs/>
          <w:sz w:val="24"/>
        </w:rPr>
        <w:t xml:space="preserve">（二）供应商及其项目负责人宜具有类似业绩经验，拟投入本项目成员宜具有相应证书。</w:t>
      </w:r>
      <w:r/>
    </w:p>
    <w:p>
      <w:pPr>
        <w:pStyle w:val="1065"/>
        <w:ind w:firstLine="480"/>
        <w:jc w:val="left"/>
        <w:spacing w:line="360" w:lineRule="auto"/>
        <w:rPr>
          <w:rFonts w:hint="eastAsia" w:ascii="宋体" w:hAnsi="宋体"/>
          <w:b/>
          <w:bCs/>
          <w:sz w:val="24"/>
        </w:rPr>
      </w:pPr>
      <w:r>
        <w:rPr>
          <w:rFonts w:hint="eastAsia" w:ascii="宋体" w:hAnsi="宋体"/>
          <w:b/>
          <w:bCs/>
          <w:sz w:val="24"/>
        </w:rPr>
        <w:t xml:space="preserve">（三）施工内容及明细</w:t>
      </w:r>
      <w:r/>
    </w:p>
    <w:p>
      <w:pPr>
        <w:pStyle w:val="1065"/>
        <w:ind w:firstLine="480"/>
        <w:spacing w:line="360" w:lineRule="auto"/>
        <w:rPr>
          <w:rFonts w:hint="eastAsia" w:ascii="宋体" w:hAnsi="宋体"/>
          <w:sz w:val="24"/>
        </w:rPr>
      </w:pPr>
      <w:r>
        <w:rPr>
          <w:rFonts w:hint="eastAsia" w:ascii="宋体" w:hAnsi="宋体"/>
          <w:sz w:val="24"/>
        </w:rPr>
        <w:t xml:space="preserve">1.施工质量要求及验收标准：按国家现行规范验收执行</w:t>
      </w:r>
      <w:r/>
    </w:p>
    <w:p>
      <w:pPr>
        <w:pStyle w:val="1065"/>
        <w:ind w:firstLine="480"/>
        <w:spacing w:line="360" w:lineRule="auto"/>
        <w:rPr>
          <w:rFonts w:ascii="宋体" w:hAnsi="宋体"/>
          <w:sz w:val="24"/>
        </w:rPr>
      </w:pPr>
      <w:r>
        <w:rPr>
          <w:rFonts w:hint="eastAsia" w:ascii="宋体" w:hAnsi="宋体"/>
          <w:sz w:val="24"/>
        </w:rPr>
        <w:t xml:space="preserve">2.质量保修期：至少5年（最终以投标为准）</w:t>
      </w:r>
      <w:r>
        <w:rPr>
          <w:rFonts w:ascii="宋体" w:hAnsi="宋体"/>
          <w:sz w:val="24"/>
        </w:rPr>
      </w:r>
      <w:r/>
    </w:p>
    <w:p>
      <w:pPr>
        <w:pStyle w:val="1065"/>
        <w:ind w:firstLine="480"/>
        <w:spacing w:line="360" w:lineRule="auto"/>
        <w:rPr>
          <w:rFonts w:hint="eastAsia" w:ascii="宋体" w:hAnsi="宋体"/>
          <w:sz w:val="24"/>
        </w:rPr>
      </w:pPr>
      <w:r>
        <w:rPr>
          <w:rFonts w:hint="eastAsia" w:ascii="宋体" w:hAnsi="宋体"/>
          <w:sz w:val="24"/>
        </w:rPr>
        <w:t xml:space="preserve">3.施工内容及清单</w:t>
      </w:r>
      <w:r/>
    </w:p>
    <w:tbl>
      <w:tblPr>
        <w:tblW w:w="443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4894"/>
        <w:gridCol w:w="1077"/>
        <w:gridCol w:w="1053"/>
      </w:tblGrid>
      <w:tr>
        <w:trPr>
          <w:trHeight w:val="455"/>
        </w:trPr>
        <w:tc>
          <w:tcPr>
            <w:tcW w:w="736" w:type="pct"/>
            <w:vAlign w:val="center"/>
            <w:textDirection w:val="lrTb"/>
            <w:noWrap w:val="false"/>
          </w:tcPr>
          <w:p>
            <w:pPr>
              <w:pStyle w:val="1065"/>
              <w:spacing w:line="360" w:lineRule="exact"/>
              <w:rPr>
                <w:rFonts w:hint="eastAsia" w:ascii="宋体" w:hAnsi="宋体"/>
                <w:b/>
                <w:sz w:val="24"/>
              </w:rPr>
            </w:pPr>
            <w:r>
              <w:rPr>
                <w:rFonts w:hint="eastAsia" w:ascii="宋体" w:hAnsi="宋体"/>
                <w:b/>
                <w:sz w:val="24"/>
              </w:rPr>
              <w:t xml:space="preserve">项目名称</w:t>
            </w:r>
            <w:r/>
          </w:p>
        </w:tc>
        <w:tc>
          <w:tcPr>
            <w:tcW w:w="2968" w:type="pct"/>
            <w:vAlign w:val="center"/>
            <w:textDirection w:val="lrTb"/>
            <w:noWrap w:val="false"/>
          </w:tcPr>
          <w:p>
            <w:pPr>
              <w:pStyle w:val="1065"/>
              <w:jc w:val="center"/>
              <w:spacing w:line="360" w:lineRule="exact"/>
              <w:rPr>
                <w:rFonts w:hint="eastAsia" w:ascii="宋体" w:hAnsi="宋体"/>
                <w:b/>
                <w:sz w:val="24"/>
              </w:rPr>
            </w:pPr>
            <w:r>
              <w:rPr>
                <w:rFonts w:hint="eastAsia" w:ascii="宋体" w:hAnsi="宋体"/>
                <w:b/>
                <w:sz w:val="24"/>
              </w:rPr>
              <w:t xml:space="preserve">施工内容</w:t>
            </w:r>
            <w:r/>
          </w:p>
        </w:tc>
        <w:tc>
          <w:tcPr>
            <w:tcW w:w="654" w:type="pct"/>
            <w:vAlign w:val="center"/>
            <w:textDirection w:val="lrTb"/>
            <w:noWrap w:val="false"/>
          </w:tcPr>
          <w:p>
            <w:pPr>
              <w:pStyle w:val="1065"/>
              <w:jc w:val="center"/>
              <w:spacing w:line="360" w:lineRule="exact"/>
              <w:rPr>
                <w:rFonts w:hint="eastAsia" w:ascii="宋体" w:hAnsi="宋体"/>
                <w:b/>
                <w:sz w:val="24"/>
              </w:rPr>
            </w:pPr>
            <w:r>
              <w:rPr>
                <w:rFonts w:hint="eastAsia" w:ascii="宋体" w:hAnsi="宋体"/>
                <w:b/>
                <w:sz w:val="24"/>
              </w:rPr>
              <w:t xml:space="preserve">工程量</w:t>
            </w:r>
            <w:r/>
          </w:p>
        </w:tc>
        <w:tc>
          <w:tcPr>
            <w:tcW w:w="639" w:type="pct"/>
            <w:vAlign w:val="center"/>
            <w:textDirection w:val="lrTb"/>
            <w:noWrap w:val="false"/>
          </w:tcPr>
          <w:p>
            <w:pPr>
              <w:pStyle w:val="1065"/>
              <w:jc w:val="center"/>
              <w:spacing w:line="360" w:lineRule="exact"/>
              <w:rPr>
                <w:rFonts w:hint="eastAsia" w:ascii="宋体" w:hAnsi="宋体"/>
                <w:b/>
                <w:sz w:val="24"/>
              </w:rPr>
            </w:pPr>
            <w:r>
              <w:rPr>
                <w:rFonts w:hint="eastAsia" w:ascii="宋体" w:hAnsi="宋体"/>
                <w:b/>
                <w:sz w:val="24"/>
              </w:rPr>
              <w:t xml:space="preserve">备注</w:t>
            </w:r>
            <w:r/>
          </w:p>
        </w:tc>
      </w:tr>
      <w:tr>
        <w:trPr>
          <w:trHeight w:val="210"/>
        </w:trPr>
        <w:tc>
          <w:tcPr>
            <w:tcW w:w="736" w:type="pct"/>
            <w:vAlign w:val="center"/>
            <w:textDirection w:val="lrTb"/>
            <w:noWrap w:val="false"/>
          </w:tcPr>
          <w:p>
            <w:pPr>
              <w:pStyle w:val="1065"/>
              <w:spacing w:line="360" w:lineRule="exact"/>
              <w:rPr>
                <w:rFonts w:hint="eastAsia" w:ascii="宋体" w:hAnsi="宋体"/>
                <w:sz w:val="24"/>
              </w:rPr>
            </w:pPr>
            <w:r>
              <w:rPr>
                <w:rFonts w:hint="eastAsia" w:ascii="宋体" w:hAnsi="宋体"/>
                <w:sz w:val="24"/>
              </w:rPr>
              <w:t xml:space="preserve">运动场建设项目</w:t>
            </w:r>
            <w:r/>
          </w:p>
        </w:tc>
        <w:tc>
          <w:tcPr>
            <w:tcW w:w="2968" w:type="pct"/>
            <w:vAlign w:val="center"/>
            <w:textDirection w:val="lrTb"/>
            <w:noWrap w:val="false"/>
          </w:tcPr>
          <w:p>
            <w:pPr>
              <w:pStyle w:val="1065"/>
              <w:jc w:val="left"/>
              <w:spacing w:line="360" w:lineRule="exact"/>
              <w:rPr>
                <w:rFonts w:hint="eastAsia" w:ascii="宋体" w:hAnsi="宋体"/>
                <w:sz w:val="24"/>
              </w:rPr>
            </w:pPr>
            <w:r>
              <w:rPr>
                <w:rFonts w:hint="eastAsia" w:ascii="宋体" w:hAnsi="宋体"/>
                <w:sz w:val="24"/>
              </w:rPr>
              <w:t xml:space="preserve">原</w:t>
            </w:r>
            <w:r>
              <w:rPr>
                <w:rFonts w:hint="eastAsia" w:ascii="宋体" w:hAnsi="宋体"/>
                <w:sz w:val="24"/>
              </w:rPr>
              <w:t xml:space="preserve">有约8000平方米足球场面层清除、废料清运、新做面层（减震垫，50厚人工草坪,石英砂,EPDM橡胶颗粒,划线等）；原有约13000平方米田径场面层拆除后新做塑胶面层；原有约8000平方米篮球场面层打磨,废料外运,刮涂硅PU弹性层、加强层、面漆；投光灯及电气配套；预埋穿线管、修复部分沉降排水沟；施工过程中成品保护、安全防护等配套工作。</w:t>
            </w:r>
            <w:r>
              <w:rPr>
                <w:rFonts w:hint="eastAsia" w:ascii="宋体" w:hAnsi="宋体"/>
                <w:sz w:val="24"/>
              </w:rPr>
            </w:r>
            <w:r/>
          </w:p>
        </w:tc>
        <w:tc>
          <w:tcPr>
            <w:tcW w:w="654" w:type="pct"/>
            <w:vAlign w:val="center"/>
            <w:textDirection w:val="lrTb"/>
            <w:noWrap w:val="false"/>
          </w:tcPr>
          <w:p>
            <w:pPr>
              <w:pStyle w:val="1065"/>
              <w:spacing w:line="360" w:lineRule="exact"/>
              <w:rPr>
                <w:rFonts w:hint="eastAsia" w:ascii="宋体" w:hAnsi="宋体"/>
                <w:sz w:val="24"/>
              </w:rPr>
            </w:pPr>
            <w:r>
              <w:rPr>
                <w:rFonts w:hint="eastAsia" w:ascii="宋体" w:hAnsi="宋体"/>
                <w:sz w:val="24"/>
              </w:rPr>
              <w:t xml:space="preserve">改造面积约29000平方米</w:t>
            </w:r>
            <w:r/>
          </w:p>
        </w:tc>
        <w:tc>
          <w:tcPr>
            <w:tcW w:w="639" w:type="pct"/>
            <w:vAlign w:val="center"/>
            <w:textDirection w:val="lrTb"/>
            <w:noWrap w:val="false"/>
          </w:tcPr>
          <w:p>
            <w:pPr>
              <w:pStyle w:val="1065"/>
              <w:spacing w:line="360" w:lineRule="exact"/>
              <w:rPr>
                <w:rFonts w:hint="eastAsia" w:ascii="宋体" w:hAnsi="宋体"/>
                <w:sz w:val="24"/>
              </w:rPr>
            </w:pPr>
            <w:r>
              <w:rPr>
                <w:rFonts w:hint="eastAsia" w:ascii="宋体" w:hAnsi="宋体"/>
                <w:sz w:val="24"/>
              </w:rPr>
              <w:t xml:space="preserve">具体以施工图纸、工程量清单为准。</w:t>
            </w:r>
            <w:r/>
          </w:p>
        </w:tc>
      </w:tr>
    </w:tbl>
    <w:p>
      <w:pPr>
        <w:pStyle w:val="1065"/>
        <w:ind w:firstLine="480"/>
        <w:spacing w:line="360" w:lineRule="auto"/>
        <w:rPr>
          <w:rFonts w:hint="eastAsia" w:ascii="宋体" w:hAnsi="宋体"/>
          <w:sz w:val="24"/>
        </w:rPr>
      </w:pPr>
      <w:r>
        <w:rPr>
          <w:rFonts w:hint="eastAsia" w:ascii="宋体" w:hAnsi="宋体"/>
          <w:sz w:val="24"/>
        </w:rPr>
        <w:t xml:space="preserve">4.供应商在现场实地勘察后，应根据现场实际情况提交施工方案、安全文明措施方案及清单报价。</w:t>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pStyle w:val="1065"/>
        <w:ind w:right="210"/>
        <w:jc w:val="left"/>
        <w:spacing w:line="360" w:lineRule="auto"/>
        <w:rPr>
          <w:rFonts w:hint="eastAsia" w:ascii="宋体" w:hAnsi="宋体" w:cs="宋体"/>
          <w:sz w:val="24"/>
        </w:rPr>
      </w:pPr>
      <w:r>
        <w:rPr>
          <w:rFonts w:hint="eastAsia" w:ascii="宋体" w:hAnsi="宋体" w:cs="宋体"/>
          <w:sz w:val="24"/>
        </w:rPr>
        <w:t xml:space="preserve">通过网盘分享的文件：常州纺织服装职业技术学院运动场建设项目</w:t>
      </w:r>
      <w:r/>
    </w:p>
    <w:p>
      <w:pPr>
        <w:pStyle w:val="1065"/>
        <w:ind w:right="210"/>
        <w:jc w:val="left"/>
        <w:spacing w:line="360" w:lineRule="auto"/>
        <w:rPr>
          <w:rFonts w:hint="eastAsia" w:ascii="宋体" w:hAnsi="宋体" w:cs="宋体"/>
          <w:sz w:val="24"/>
        </w:rPr>
      </w:pPr>
      <w:r>
        <w:rPr>
          <w:rFonts w:hint="eastAsia" w:ascii="宋体" w:hAnsi="宋体" w:cs="宋体"/>
          <w:sz w:val="24"/>
        </w:rPr>
        <w:t xml:space="preserve">链接: https://pan.baidu.com/s/1UDMMum8XdpMHkyOXSEwFOg 提取码: czct</w:t>
      </w:r>
      <w:r>
        <w:rPr>
          <w:rFonts w:hint="eastAsia" w:ascii="宋体" w:hAnsi="宋体" w:cs="宋体"/>
          <w:sz w:val="24"/>
        </w:rPr>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rPr>
          <w:rFonts w:hint="eastAsia" w:ascii="宋体" w:hAnsi="宋体" w:cs="宋体"/>
          <w:b/>
          <w:sz w:val="24"/>
        </w:rPr>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（一）本清单所列工程数量是根据图纸或现场情况估算和暂定的，仅作为招投标的共同基础，不能作为最终结算与支付的依据。结算与支付应以采购人认可的、按图纸和规范要求完成的工程数量为依据。</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（二）完成的工程数量，应由中标人按采购人认可的尺寸断面或其他计量方法进行计算，经采购人确认，最终按工程量清单的单价和总价进行结算与</w:t>
      </w:r>
      <w:r>
        <w:rPr>
          <w:rFonts w:hint="eastAsia" w:ascii="宋体" w:hAnsi="宋体" w:cs="宋体"/>
          <w:sz w:val="24"/>
        </w:rPr>
        <w:t xml:space="preserve">支付。工程量清单中所列工程量的变动，丝毫不会降低或影响合同条件的效力，也不免除中标人按规定的标准进行施工和修复缺陷的责任。</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（三）工程施工期间涉及安全由中标人全部负责，涉及安全所产生的相关费用一律由中标人承担；</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（四）质量必须达到合格，凡因中标人责任，经验收达不到合格要求，必须返工合格并承担因返工引起的一切经济损失。</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（五）中标人应当办理有关施工现场交通、环卫、施工噪声等管理手续，若发生费用由中标人负责。</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（六）工程未交付之前，中标人应自始至终对成品进行保护和防止丢失。</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pStyle w:val="1065"/>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（八）在免费质保期内，如属于自身的质量问题，中标人应当免费提供需要更换的备件，在质保期结束后，中标人以其同时期现场所在区域最低的价格向采购人提供正常运行及维修所需的任何备品备件。</w:t>
      </w:r>
      <w:r/>
    </w:p>
    <w:p>
      <w:pPr>
        <w:pStyle w:val="1065"/>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中标人故障需维修，如中标人在4小时内不能到达采购人现场，每出现一次，中标人须向采购人支付违约金人民币500元。排除故障时间不得超过24小时（天气等客观因素除外），如超过24小时未修复，中标人还须向采购人支付违约金：人民币500元×影响采购人正常使用的日历天数。如超过48小时未修复，采购人也可自行委托第</w:t>
      </w:r>
      <w:r>
        <w:rPr>
          <w:rFonts w:hint="eastAsia" w:ascii="宋体" w:hAnsi="宋体" w:cs="宋体"/>
          <w:bCs/>
          <w:sz w:val="24"/>
        </w:rPr>
        <w:t xml:space="preserve">三方进行修复，所产生的全部费用由供应商承担。中标人经过2次维修仍出现故障的，采购人有权要求供应商进行更换；</w:t>
      </w:r>
      <w:r>
        <w:rPr>
          <w:rFonts w:hint="eastAsia" w:ascii="宋体" w:hAnsi="宋体" w:cs="宋体"/>
          <w:b/>
          <w:bCs/>
          <w:sz w:val="24"/>
        </w:rPr>
        <w:t xml:space="preserve">因中标人施工质量问题造成第三方财产损失或人身伤亡的，由中标人承担全部责任。若违约金无法弥补采购人实际损失的，中标人应赔偿采购人的实际损失。</w:t>
      </w:r>
      <w:r/>
    </w:p>
    <w:p>
      <w:pPr>
        <w:pStyle w:val="1065"/>
        <w:ind w:firstLine="480"/>
        <w:spacing w:line="360" w:lineRule="auto"/>
        <w:rPr>
          <w:rFonts w:hint="eastAsia" w:ascii="宋体" w:hAnsi="宋体" w:cs="宋体"/>
          <w:b/>
          <w:bCs/>
          <w:sz w:val="24"/>
        </w:rPr>
      </w:pPr>
      <w:r>
        <w:rPr>
          <w:rFonts w:hint="eastAsia" w:ascii="宋体" w:hAnsi="宋体" w:cs="宋体"/>
          <w:b/>
          <w:bCs/>
          <w:sz w:val="24"/>
        </w:rPr>
        <w:t xml:space="preserve">保险：进校施工需购买意外保险。</w:t>
      </w:r>
      <w:r/>
    </w:p>
    <w:p>
      <w:pPr>
        <w:pStyle w:val="1065"/>
        <w:spacing w:line="360" w:lineRule="exact"/>
        <w:rPr>
          <w:rFonts w:hint="eastAsia" w:ascii="宋体" w:hAnsi="宋体"/>
          <w:b/>
          <w:bCs/>
          <w:sz w:val="24"/>
        </w:rPr>
      </w:pPr>
      <w:r>
        <w:rPr>
          <w:rFonts w:hint="eastAsia" w:ascii="宋体" w:hAnsi="宋体"/>
          <w:b/>
          <w:bCs/>
          <w:sz w:val="24"/>
        </w:rPr>
        <w:t xml:space="preserve">四、技术要求</w:t>
      </w:r>
      <w:r/>
    </w:p>
    <w:p>
      <w:pPr>
        <w:pStyle w:val="1065"/>
        <w:ind w:firstLine="482"/>
        <w:spacing w:line="360" w:lineRule="auto"/>
        <w:rPr>
          <w:rFonts w:hint="eastAsia" w:ascii="宋体" w:hAnsi="宋体" w:cs="宋体"/>
          <w:sz w:val="24"/>
        </w:rPr>
      </w:pPr>
      <w:r>
        <w:rPr>
          <w:rFonts w:hint="eastAsia" w:ascii="宋体" w:hAnsi="宋体" w:cs="宋体"/>
          <w:b/>
          <w:sz w:val="24"/>
        </w:rPr>
        <w:t xml:space="preserve">（一）质量要求</w:t>
      </w:r>
      <w:r>
        <w:rPr>
          <w:rFonts w:hint="eastAsia" w:ascii="宋体" w:hAnsi="宋体" w:cs="宋体"/>
          <w:sz w:val="24"/>
        </w:rPr>
        <w:t xml:space="preserve">：</w:t>
      </w:r>
      <w:r/>
    </w:p>
    <w:p>
      <w:pPr>
        <w:pStyle w:val="1065"/>
        <w:ind w:firstLine="480"/>
        <w:spacing w:line="360" w:lineRule="auto"/>
        <w:rPr>
          <w:rFonts w:hint="eastAsia" w:ascii="宋体" w:hAnsi="宋体" w:cs="宋体"/>
          <w:sz w:val="24"/>
        </w:rPr>
      </w:pPr>
      <w:r>
        <w:rPr>
          <w:rFonts w:hint="eastAsia" w:ascii="宋体" w:hAnsi="宋体" w:cs="宋体"/>
          <w:sz w:val="24"/>
        </w:rPr>
        <w:t xml:space="preserve">本项目按国家相关工程质量要求，执行相关施工和验收规范、技术标准，主要包括但不限于：</w:t>
      </w:r>
      <w:r/>
    </w:p>
    <w:p>
      <w:pPr>
        <w:pStyle w:val="1065"/>
        <w:ind w:firstLine="480"/>
        <w:spacing w:line="360" w:lineRule="auto"/>
        <w:rPr>
          <w:rFonts w:hint="eastAsia" w:ascii="宋体" w:hAnsi="宋体" w:cs="宋体"/>
          <w:sz w:val="24"/>
        </w:rPr>
      </w:pPr>
      <w:r>
        <w:rPr>
          <w:rFonts w:hint="eastAsia" w:ascii="宋体" w:hAnsi="宋体" w:cs="宋体"/>
          <w:sz w:val="24"/>
        </w:rPr>
        <w:t xml:space="preserve">1.GB36246-2018中小学合成材料面层运动场地</w:t>
      </w:r>
      <w:r/>
    </w:p>
    <w:p>
      <w:pPr>
        <w:pStyle w:val="1065"/>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田径场按照GB/T43564—</w:t>
      </w:r>
      <w:r>
        <w:rPr>
          <w:rFonts w:hint="eastAsia" w:ascii="宋体" w:hAnsi="宋体" w:cs="宋体"/>
          <w:sz w:val="24"/>
        </w:rPr>
        <w:t xml:space="preserve">2023</w:t>
      </w:r>
      <w:r>
        <w:rPr>
          <w:rFonts w:ascii="宋体" w:hAnsi="宋体" w:cs="宋体"/>
          <w:sz w:val="24"/>
        </w:rPr>
        <w:t xml:space="preserve">《中小学合成材料面层田径场地》规范执行</w:t>
      </w:r>
      <w:r>
        <w:rPr>
          <w:rFonts w:hint="eastAsia" w:ascii="宋体" w:hAnsi="宋体" w:cs="宋体"/>
          <w:sz w:val="24"/>
        </w:rPr>
        <w:t xml:space="preserve">、</w:t>
      </w:r>
      <w:r>
        <w:rPr>
          <w:rFonts w:ascii="宋体" w:hAnsi="宋体" w:cs="宋体"/>
          <w:sz w:val="24"/>
        </w:rPr>
        <w:t xml:space="preserve">篮球场按照GB/T43565—2023《中小学合成材料面层篮球场地》规范执行</w:t>
      </w:r>
      <w:r>
        <w:rPr>
          <w:rFonts w:hint="eastAsia" w:ascii="宋体" w:hAnsi="宋体" w:cs="宋体"/>
          <w:sz w:val="24"/>
        </w:rPr>
        <w:t xml:space="preserve">、足球场</w:t>
      </w:r>
      <w:r>
        <w:rPr>
          <w:rFonts w:ascii="宋体" w:hAnsi="宋体" w:cs="宋体"/>
          <w:sz w:val="24"/>
        </w:rPr>
        <w:t xml:space="preserve">按照GB/T43566—2023《中小学人造草面层足球场地》规范执行</w:t>
      </w:r>
      <w:r>
        <w:rPr>
          <w:rFonts w:hint="eastAsia" w:ascii="宋体" w:hAnsi="宋体" w:cs="宋体"/>
          <w:sz w:val="24"/>
        </w:rPr>
        <w:t xml:space="preserve">；</w:t>
      </w:r>
      <w:r/>
    </w:p>
    <w:p>
      <w:pPr>
        <w:pStyle w:val="1065"/>
        <w:ind w:firstLine="480"/>
        <w:spacing w:line="360" w:lineRule="auto"/>
        <w:rPr>
          <w:rFonts w:hint="eastAsia" w:ascii="宋体" w:hAnsi="宋体" w:cs="宋体"/>
          <w:sz w:val="24"/>
        </w:rPr>
      </w:pPr>
      <w:r>
        <w:rPr>
          <w:rFonts w:hint="eastAsia" w:ascii="宋体" w:hAnsi="宋体" w:cs="宋体"/>
          <w:sz w:val="24"/>
        </w:rPr>
        <w:t xml:space="preserve">3.GB50013-2018《室外给排水设计规范》</w:t>
      </w:r>
      <w:r/>
    </w:p>
    <w:p>
      <w:pPr>
        <w:pStyle w:val="1065"/>
        <w:ind w:firstLine="480"/>
        <w:spacing w:line="360" w:lineRule="auto"/>
        <w:rPr>
          <w:rFonts w:hint="eastAsia" w:ascii="宋体" w:hAnsi="宋体" w:cs="宋体"/>
          <w:sz w:val="24"/>
        </w:rPr>
      </w:pPr>
      <w:r>
        <w:rPr>
          <w:rFonts w:hint="eastAsia" w:ascii="宋体" w:hAnsi="宋体" w:cs="宋体"/>
          <w:sz w:val="24"/>
        </w:rPr>
        <w:t xml:space="preserve">4.JGJ31-2003《体育建筑设计规范》</w:t>
      </w:r>
      <w:r/>
    </w:p>
    <w:p>
      <w:pPr>
        <w:pStyle w:val="1065"/>
        <w:ind w:firstLine="480"/>
        <w:spacing w:line="360" w:lineRule="auto"/>
        <w:tabs>
          <w:tab w:val="left" w:pos="7557" w:leader="none"/>
        </w:tabs>
        <w:rPr>
          <w:rFonts w:hint="eastAsia" w:ascii="宋体" w:hAnsi="宋体" w:cs="宋体"/>
          <w:sz w:val="24"/>
        </w:rPr>
      </w:pPr>
      <w:r>
        <w:rPr>
          <w:rFonts w:hint="eastAsia" w:ascii="宋体" w:hAnsi="宋体" w:cs="宋体"/>
          <w:sz w:val="24"/>
        </w:rPr>
        <w:t xml:space="preserve">5.《世界田联田径场地设施手册》（上册）、（下册）</w:t>
        <w:tab/>
      </w:r>
      <w:r/>
    </w:p>
    <w:p>
      <w:pPr>
        <w:pStyle w:val="1065"/>
        <w:ind w:firstLine="480"/>
        <w:spacing w:line="360" w:lineRule="auto"/>
        <w:rPr>
          <w:rFonts w:hint="eastAsia" w:ascii="宋体" w:hAnsi="宋体" w:cs="宋体"/>
          <w:sz w:val="24"/>
        </w:rPr>
      </w:pPr>
      <w:r>
        <w:rPr>
          <w:rFonts w:hint="eastAsia" w:ascii="宋体" w:hAnsi="宋体" w:cs="宋体"/>
          <w:sz w:val="24"/>
        </w:rPr>
        <w:t xml:space="preserve">6.GB/T 22517.5-2024体育场地使用要求及检验方法 第5部分：足球场地</w:t>
      </w:r>
      <w:r/>
    </w:p>
    <w:p>
      <w:pPr>
        <w:pStyle w:val="1065"/>
        <w:ind w:firstLine="480"/>
        <w:spacing w:line="360" w:lineRule="auto"/>
        <w:rPr>
          <w:rFonts w:hint="eastAsia" w:ascii="宋体" w:hAnsi="宋体" w:cs="宋体"/>
          <w:sz w:val="24"/>
        </w:rPr>
      </w:pPr>
      <w:r>
        <w:rPr>
          <w:rFonts w:hint="eastAsia" w:ascii="宋体" w:hAnsi="宋体" w:cs="宋体"/>
          <w:sz w:val="24"/>
        </w:rPr>
        <w:t xml:space="preserve">7.GB/T 22517.6-2020体育场地使用要求及检验方法 第6部分：田径场地</w:t>
      </w:r>
      <w:r/>
    </w:p>
    <w:p>
      <w:pPr>
        <w:pStyle w:val="1065"/>
        <w:ind w:firstLine="482"/>
        <w:spacing w:line="360" w:lineRule="auto"/>
        <w:rPr>
          <w:rFonts w:ascii="宋体" w:hAnsi="宋体" w:cs="宋体"/>
          <w:b/>
          <w:sz w:val="24"/>
        </w:rPr>
      </w:pPr>
      <w:r>
        <w:rPr>
          <w:rFonts w:hint="eastAsia" w:ascii="宋体" w:hAnsi="宋体" w:cs="宋体"/>
          <w:b/>
          <w:sz w:val="24"/>
        </w:rPr>
        <w:t xml:space="preserve">注：上述规范</w:t>
      </w:r>
      <w:r>
        <w:rPr>
          <w:rFonts w:hint="eastAsia" w:ascii="宋体" w:hAnsi="宋体" w:cs="宋体"/>
          <w:b/>
          <w:sz w:val="24"/>
        </w:rPr>
        <w:t xml:space="preserve">标准如与现行规范标准有矛盾的，以现行规范标准为准。</w:t>
      </w:r>
      <w:r>
        <w:rPr>
          <w:rFonts w:ascii="宋体" w:hAnsi="宋体" w:cs="宋体"/>
          <w:b/>
          <w:sz w:val="24"/>
        </w:rPr>
      </w:r>
      <w:r/>
    </w:p>
    <w:p>
      <w:pPr>
        <w:pStyle w:val="1065"/>
        <w:ind w:firstLine="482"/>
        <w:spacing w:line="360" w:lineRule="auto"/>
        <w:rPr>
          <w:rFonts w:hint="eastAsia" w:ascii="宋体" w:hAnsi="宋体" w:cs="宋体"/>
          <w:b/>
          <w:sz w:val="24"/>
        </w:rPr>
      </w:pPr>
      <w:r>
        <w:rPr>
          <w:rFonts w:hint="eastAsia" w:ascii="宋体" w:hAnsi="宋体" w:cs="宋体"/>
          <w:b/>
          <w:sz w:val="24"/>
        </w:rPr>
        <w:t xml:space="preserve">（二）塑胶跑道技术要求</w:t>
      </w:r>
      <w:r/>
    </w:p>
    <w:p>
      <w:pPr>
        <w:pStyle w:val="1065"/>
        <w:ind w:firstLine="482"/>
        <w:spacing w:line="360" w:lineRule="auto"/>
        <w:rPr>
          <w:rFonts w:hint="eastAsia" w:ascii="宋体" w:hAnsi="宋体" w:cs="宋体"/>
          <w:b/>
          <w:sz w:val="24"/>
        </w:rPr>
      </w:pPr>
      <w:r>
        <w:rPr>
          <w:rFonts w:hint="eastAsia" w:ascii="宋体" w:hAnsi="宋体" w:cs="宋体"/>
          <w:b/>
          <w:sz w:val="24"/>
        </w:rPr>
        <w:t xml:space="preserve">1.施工技术要求：</w:t>
      </w:r>
      <w:r/>
    </w:p>
    <w:p>
      <w:pPr>
        <w:pStyle w:val="1065"/>
        <w:ind w:firstLine="480"/>
        <w:jc w:val="left"/>
        <w:spacing w:line="360" w:lineRule="auto"/>
        <w:widowControl/>
        <w:rPr>
          <w:rFonts w:hint="eastAsia" w:ascii="宋体" w:hAnsi="宋体" w:cs="宋体"/>
          <w:sz w:val="24"/>
        </w:rPr>
      </w:pPr>
      <w:r>
        <w:rPr>
          <w:rFonts w:hint="eastAsia" w:ascii="宋体" w:hAnsi="宋体" w:cs="宋体"/>
          <w:sz w:val="24"/>
        </w:rPr>
        <w:t xml:space="preserve">田径场面层采用传统13mm厚（跳远助跑区20mm厚）混合型喷颗粒红色塑胶，面层材料均符合GB14833-2020标准。</w:t>
      </w:r>
      <w:r/>
    </w:p>
    <w:p>
      <w:pPr>
        <w:pStyle w:val="1065"/>
        <w:ind w:firstLine="482"/>
        <w:spacing w:line="360" w:lineRule="auto"/>
        <w:rPr>
          <w:rFonts w:hint="eastAsia" w:ascii="宋体" w:hAnsi="宋体" w:cs="宋体"/>
          <w:b/>
          <w:sz w:val="24"/>
        </w:rPr>
      </w:pPr>
      <w:r>
        <w:rPr>
          <w:rFonts w:hint="eastAsia" w:ascii="宋体" w:hAnsi="宋体" w:cs="宋体"/>
          <w:b/>
          <w:sz w:val="24"/>
        </w:rPr>
        <w:t xml:space="preserve">2.混合型喷颗粒塑胶层材料技术要求</w:t>
      </w:r>
      <w:r/>
    </w:p>
    <w:p>
      <w:pPr>
        <w:pStyle w:val="1065"/>
        <w:ind w:firstLine="480"/>
        <w:spacing w:line="360" w:lineRule="auto"/>
        <w:rPr>
          <w:rFonts w:hint="eastAsia" w:ascii="宋体" w:hAnsi="宋体" w:cs="宋体"/>
          <w:sz w:val="24"/>
        </w:rPr>
      </w:pPr>
      <w:r>
        <w:rPr>
          <w:rFonts w:hint="eastAsia" w:ascii="宋体" w:hAnsi="宋体" w:cs="宋体"/>
          <w:sz w:val="24"/>
        </w:rPr>
        <w:t xml:space="preserve">（1）为确保塑胶跑道面层的质量，保护师生身心健康，塑胶面层不得有明显的臭味、异味。</w:t>
      </w:r>
      <w:r/>
    </w:p>
    <w:p>
      <w:pPr>
        <w:pStyle w:val="1065"/>
        <w:ind w:firstLine="480"/>
        <w:spacing w:line="360" w:lineRule="auto"/>
        <w:rPr>
          <w:rFonts w:hint="eastAsia" w:ascii="宋体" w:hAnsi="宋体" w:cs="宋体"/>
          <w:sz w:val="24"/>
        </w:rPr>
      </w:pPr>
      <w:r>
        <w:rPr>
          <w:rFonts w:hint="eastAsia" w:ascii="宋体" w:hAnsi="宋体" w:cs="宋体"/>
          <w:sz w:val="24"/>
        </w:rPr>
        <w:t xml:space="preserve">（3）跑道的非固体原料有害物质限量满足GB36246-2018要求。</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50"/>
        <w:gridCol w:w="6778"/>
        <w:gridCol w:w="1454"/>
      </w:tblGrid>
      <w:tr>
        <w:trPr>
          <w:trHeight w:val="405"/>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检测项目</w:t>
            </w:r>
            <w:r/>
          </w:p>
        </w:tc>
        <w:tc>
          <w:tcPr>
            <w:tcBorders>
              <w:top w:val="singl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标准指标</w:t>
            </w:r>
            <w:r/>
          </w:p>
        </w:tc>
      </w:tr>
      <w:tr>
        <w:trPr>
          <w:trHeight w:val="703"/>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（DBP、BBP、DEHP）总和/（g/kg）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665"/>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（DNOP、DINP、DIDP）总和/（g/kg）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39"/>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短链氯化石蜡（C10-C13）/（g/kg）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r>
      <w:tr>
        <w:trPr>
          <w:trHeight w:val="665"/>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游离甲苯二异氰酸酯（TDI）和游离六亚甲基二异氰酸酯（HDI）总和/（g/kg）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挥发性有机化合物/（g/L）</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游离甲醛/（g/kg）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≤0.50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≤0.05</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甲苯、二甲苯和乙苯总和/（g/kg）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可溶性铅/(mg/kg)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可溶性镉/(mg/kg)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18"/>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可溶性铬/(mg/kg)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83"/>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可溶性汞/(mg/kg)</w:t>
            </w:r>
            <w:r/>
          </w:p>
        </w:tc>
        <w:tc>
          <w:tcPr>
            <w:tcBorders>
              <w:top w:val="singl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r>
    </w:tbl>
    <w:p>
      <w:pPr>
        <w:pStyle w:val="1065"/>
        <w:ind w:firstLine="480"/>
        <w:spacing w:line="360" w:lineRule="exact"/>
        <w:rPr>
          <w:rFonts w:hint="eastAsia" w:ascii="宋体" w:hAnsi="宋体" w:cs="宋体"/>
          <w:sz w:val="24"/>
        </w:rPr>
      </w:pPr>
      <w:r>
        <w:rPr>
          <w:rFonts w:hint="eastAsia" w:ascii="宋体" w:hAnsi="宋体" w:cs="宋体"/>
          <w:sz w:val="24"/>
        </w:rPr>
        <w:t xml:space="preserve">（4）跑道的弹性层颗粒固体原料有害物质限量满足GB36246-2018要求</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111"/>
        <w:gridCol w:w="6729"/>
        <w:gridCol w:w="1442"/>
      </w:tblGrid>
      <w:tr>
        <w:trPr>
          <w:trHeight w:val="36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检测项目</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标准指标</w:t>
            </w:r>
            <w:r/>
          </w:p>
        </w:tc>
      </w:tr>
      <w:tr>
        <w:trPr>
          <w:cantSplit/>
          <w:trHeight w:val="336"/>
        </w:trPr>
        <w:tc>
          <w:tcPr>
            <w:tcBorders>
              <w:top w:val="single" w:color="000000" w:sz="4" w:space="0"/>
              <w:left w:val="single" w:color="000000" w:sz="4" w:space="0"/>
              <w:right w:val="single" w:color="000000" w:sz="4" w:space="0"/>
            </w:tcBorders>
            <w:tcW w:w="598" w:type="pct"/>
            <w:vAlign w:val="center"/>
            <w:vMerge w:val="restart"/>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right w:val="single" w:color="000000" w:sz="4" w:space="0"/>
            </w:tcBorders>
            <w:tcW w:w="3623"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18种多环芳烃总和a/（mg/kg）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251"/>
        </w:trPr>
        <w:tc>
          <w:tcPr>
            <w:tcBorders>
              <w:left w:val="single" w:color="000000" w:sz="4" w:space="0"/>
              <w:bottom w:val="single" w:color="000000" w:sz="4" w:space="0"/>
              <w:right w:val="single" w:color="000000" w:sz="4" w:space="0"/>
            </w:tcBorders>
            <w:tcW w:w="598" w:type="pct"/>
            <w:vAlign w:val="center"/>
            <w:vMerge w:val="continue"/>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3623"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≤20b</w:t>
            </w:r>
            <w:r/>
          </w:p>
        </w:tc>
      </w:tr>
      <w:tr>
        <w:trPr>
          <w:trHeight w:val="308"/>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苯并【a】</w:t>
            </w:r>
            <w:bookmarkStart w:id="815" w:name="hsagtgwz"/>
            <w:r>
              <w:rPr>
                <w:rFonts w:hint="eastAsia" w:ascii="宋体" w:hAnsi="宋体" w:cs="宋体"/>
                <w:sz w:val="24"/>
              </w:rPr>
              <w:t xml:space="preserve">芘</w:t>
            </w:r>
            <w:bookmarkEnd w:id="815"/>
            <w:r>
              <w:rPr>
                <w:rFonts w:hint="eastAsia" w:ascii="宋体" w:hAnsi="宋体" w:cs="宋体"/>
                <w:sz w:val="24"/>
              </w:rPr>
              <w:t xml:space="preserve">/（mg/kg）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w:t>
            </w:r>
            <w:r/>
          </w:p>
        </w:tc>
      </w:tr>
      <w:tr>
        <w:trPr>
          <w:trHeight w:val="34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可溶性铅/（mg/kg）</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trHeight w:val="31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可溶性镉/（mg/kg）</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33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可溶性铬/（mg/kg）</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可溶性汞/（mg/kg）</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气味等级b/级</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r>
    </w:tbl>
    <w:p>
      <w:pPr>
        <w:pStyle w:val="1065"/>
        <w:ind w:firstLine="480"/>
        <w:spacing w:line="360" w:lineRule="exact"/>
        <w:rPr>
          <w:rFonts w:hint="eastAsia" w:ascii="宋体" w:hAnsi="宋体" w:cs="宋体"/>
          <w:sz w:val="24"/>
        </w:rPr>
      </w:pPr>
      <w:r>
        <w:rPr>
          <w:rFonts w:hint="eastAsia" w:ascii="宋体" w:hAnsi="宋体" w:cs="宋体"/>
          <w:sz w:val="24"/>
        </w:rPr>
        <w:t xml:space="preserve">（5）塑胶跑道成品有害物质限量满足GB36246-2018要求</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06"/>
        <w:gridCol w:w="731"/>
        <w:gridCol w:w="5903"/>
        <w:gridCol w:w="1442"/>
      </w:tblGrid>
      <w:tr>
        <w:trPr>
          <w:trHeight w:val="465"/>
        </w:trPr>
        <w:tc>
          <w:tcPr>
            <w:gridSpan w:val="3"/>
            <w:tcBorders>
              <w:top w:val="single" w:color="000000" w:sz="4" w:space="0"/>
              <w:left w:val="single" w:color="000000" w:sz="4" w:space="0"/>
              <w:bottom w:val="single" w:color="000000" w:sz="4" w:space="0"/>
              <w:right w:val="single" w:color="000000" w:sz="4" w:space="0"/>
            </w:tcBorders>
            <w:tcW w:w="4222"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检测项目</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标准指标</w:t>
            </w:r>
            <w:r/>
          </w:p>
        </w:tc>
      </w:tr>
      <w:tr>
        <w:trPr>
          <w:cantSplit/>
          <w:trHeight w:val="660"/>
        </w:trPr>
        <w:tc>
          <w:tcPr>
            <w:tcBorders>
              <w:top w:val="single" w:color="000000" w:sz="4" w:space="0"/>
              <w:left w:val="single" w:color="000000" w:sz="4" w:space="0"/>
              <w:bottom w:val="single" w:color="000000" w:sz="4" w:space="0"/>
              <w:right w:val="single" w:color="000000" w:sz="4" w:space="0"/>
            </w:tcBorders>
            <w:tcW w:w="649"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有害物质含量</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（DBP、BBP、DEHP）总和/（g/kg）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（DNOP、DINP、DIDP）总和/（g/kg）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178"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18种多环芳烃总和/(mg/kg)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260"/>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178"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≤20c</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苯并［a］芘/（mg/kg）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285"/>
        </w:trPr>
        <w:tc>
          <w:tcPr>
            <w:tcBorders>
              <w:top w:val="single" w:color="000000" w:sz="4" w:space="0"/>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短链氯化石蜡（C10-C13）/（g/kg）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r>
      <w:tr>
        <w:trPr>
          <w:cantSplit/>
          <w:trHeight w:val="645"/>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4,4′－二氨基一3,3′－二氯二苯甲烷（MOCA）/（g/kg）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65"/>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游离甲苯二异氰酸酯（TDI）和游离六亚甲基二异氰酸酯（HDI）总和/（g/kg）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≤0.2</w:t>
            </w:r>
            <w:r/>
          </w:p>
        </w:tc>
      </w:tr>
      <w:tr>
        <w:trPr>
          <w:cantSplit/>
          <w:trHeight w:val="48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游离二苯基甲烷二异氰酸酯（MDI）/（g/kg）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可溶性铅/(mg/kg)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可溶性镉/(mg/kg)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可溶性铬/(mg/kg)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可溶性汞/(mg/kg)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r>
      <w:tr>
        <w:trPr>
          <w:cantSplit/>
          <w:trHeight w:val="390"/>
        </w:trPr>
        <w:tc>
          <w:tcPr>
            <w:tcBorders>
              <w:top w:val="single" w:color="000000" w:sz="4" w:space="0"/>
              <w:left w:val="single" w:color="000000" w:sz="4" w:space="0"/>
              <w:right w:val="single" w:color="000000" w:sz="4" w:space="0"/>
            </w:tcBorders>
            <w:tcW w:w="649"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总挥发性有机化合物（TVOC）/（mg/（m2•h））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甲醛/（mg/（m2•h））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≤0.4</w:t>
            </w:r>
            <w:r/>
          </w:p>
        </w:tc>
      </w:tr>
      <w:tr>
        <w:trPr>
          <w:cantSplit/>
          <w:trHeight w:val="509"/>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≤0.1</w:t>
            </w:r>
            <w:r/>
          </w:p>
        </w:tc>
      </w:tr>
      <w:tr>
        <w:trPr>
          <w:cantSplit/>
          <w:trHeight w:val="45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甲苯、二甲苯和乙苯总和/（mg/（m2•h））</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285"/>
        </w:trPr>
        <w:tc>
          <w:tcPr>
            <w:tcBorders>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17</w:t>
            </w:r>
            <w:r/>
          </w:p>
        </w:tc>
        <w:tc>
          <w:tcPr>
            <w:tcBorders>
              <w:top w:val="non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二硫化碳/（mg/（m2•h））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≤7.0</w:t>
            </w:r>
            <w:r/>
          </w:p>
        </w:tc>
      </w:tr>
      <w:tr>
        <w:trPr>
          <w:trHeight w:val="285"/>
        </w:trPr>
        <w:tc>
          <w:tcPr>
            <w:tcBorders>
              <w:left w:val="single" w:color="000000" w:sz="4" w:space="0"/>
              <w:bottom w:val="single" w:color="000000" w:sz="4" w:space="0"/>
              <w:right w:val="single" w:color="000000" w:sz="4" w:space="0"/>
            </w:tcBorders>
            <w:tcW w:w="64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w:t>
            </w:r>
            <w:r/>
          </w:p>
        </w:tc>
        <w:tc>
          <w:tcPr>
            <w:tcBorders>
              <w:top w:val="non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气味等级/级</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r>
    </w:tbl>
    <w:p>
      <w:pPr>
        <w:pStyle w:val="1065"/>
        <w:ind w:firstLine="482"/>
        <w:spacing w:line="360" w:lineRule="auto"/>
        <w:rPr>
          <w:rFonts w:hint="eastAsia" w:ascii="宋体" w:hAnsi="宋体" w:cs="宋体"/>
          <w:b/>
          <w:sz w:val="24"/>
        </w:rPr>
      </w:pPr>
      <w:r>
        <w:rPr>
          <w:rFonts w:hint="eastAsia" w:ascii="宋体" w:hAnsi="宋体" w:cs="宋体"/>
          <w:b/>
          <w:sz w:val="24"/>
        </w:rPr>
        <w:t xml:space="preserve">（三）50mm高人造草坪技术要求</w:t>
      </w:r>
      <w:r/>
    </w:p>
    <w:p>
      <w:pPr>
        <w:pStyle w:val="1065"/>
        <w:ind w:firstLine="482"/>
        <w:spacing w:line="360" w:lineRule="auto"/>
        <w:rPr>
          <w:rFonts w:hint="eastAsia" w:ascii="宋体" w:hAnsi="宋体" w:cs="宋体"/>
          <w:b/>
          <w:sz w:val="24"/>
        </w:rPr>
      </w:pPr>
      <w:r>
        <w:rPr>
          <w:rFonts w:hint="eastAsia" w:ascii="宋体" w:hAnsi="宋体" w:cs="宋体"/>
          <w:b/>
          <w:sz w:val="24"/>
        </w:rPr>
        <w:t xml:space="preserve">1.人造草坪材料技术要求</w:t>
      </w:r>
      <w:r/>
    </w:p>
    <w:p>
      <w:pPr>
        <w:pStyle w:val="1065"/>
        <w:ind w:firstLine="480"/>
        <w:spacing w:line="360" w:lineRule="auto"/>
        <w:rPr>
          <w:rFonts w:hint="eastAsia" w:ascii="宋体" w:hAnsi="宋体" w:cs="宋体"/>
          <w:sz w:val="24"/>
        </w:rPr>
      </w:pPr>
      <w:r>
        <w:rPr>
          <w:rFonts w:hint="eastAsia" w:ascii="宋体" w:hAnsi="宋体" w:cs="宋体"/>
          <w:sz w:val="24"/>
        </w:rPr>
        <w:t xml:space="preserve">（1）人造草坪化学性能应满足GB/T20394-2019</w:t>
      </w:r>
      <w:r/>
    </w:p>
    <w:tbl>
      <w:tblPr>
        <w:tblW w:w="4818" w:type="pct"/>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2"/>
        <w:gridCol w:w="2336"/>
        <w:gridCol w:w="2332"/>
        <w:gridCol w:w="2200"/>
      </w:tblGrid>
      <w:tr>
        <w:trPr/>
        <w:tc>
          <w:tcPr>
            <w:gridSpan w:val="2"/>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检验检测项目</w:t>
            </w:r>
            <w:r/>
          </w:p>
        </w:tc>
        <w:tc>
          <w:tcPr>
            <w:tcBorders>
              <w:top w:val="single" w:color="000000" w:sz="4" w:space="0"/>
              <w:left w:val="single" w:color="000000" w:sz="4" w:space="0"/>
              <w:bottom w:val="single" w:color="000000" w:sz="4" w:space="0"/>
              <w:right w:val="single" w:color="000000" w:sz="4" w:space="0"/>
            </w:tcBorders>
            <w:tcW w:w="1302"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单位</w:t>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技术要求</w:t>
            </w:r>
            <w:r/>
          </w:p>
        </w:tc>
      </w:tr>
      <w:tr>
        <w:trPr>
          <w:cantSplit/>
        </w:trPr>
        <w:tc>
          <w:tcPr>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总挥发性有机化合物（TVOC）</w:t>
            </w:r>
            <w:r/>
          </w:p>
        </w:tc>
        <w:tc>
          <w:tcPr>
            <w:tcBorders>
              <w:top w:val="single" w:color="000000" w:sz="4" w:space="0"/>
              <w:left w:val="single" w:color="000000" w:sz="4" w:space="0"/>
              <w:bottom w:val="single" w:color="000000" w:sz="4" w:space="0"/>
              <w:right w:val="single" w:color="000000" w:sz="4" w:space="0"/>
            </w:tcBorders>
            <w:tcW w:w="1302"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mg/（㎡</w:t>
            </w:r>
            <w:r>
              <w:rPr>
                <w:sz w:val="24"/>
              </w:rPr>
              <w:t xml:space="preserve">▪</w:t>
            </w:r>
            <w:r>
              <w:rPr>
                <w:rFonts w:hint="eastAsia" w:ascii="宋体" w:hAnsi="宋体" w:cs="宋体"/>
                <w:sz w:val="24"/>
              </w:rPr>
              <w:t xml:space="preserve">h）</w:t>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≤0.6</w:t>
            </w:r>
            <w:r/>
          </w:p>
        </w:tc>
      </w:tr>
      <w:tr>
        <w:trPr>
          <w:cantSplit/>
        </w:trPr>
        <w:tc>
          <w:tcPr>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甲醛</w:t>
            </w:r>
            <w:r/>
          </w:p>
        </w:tc>
        <w:tc>
          <w:tcPr>
            <w:tcBorders>
              <w:top w:val="single" w:color="000000" w:sz="4" w:space="0"/>
              <w:left w:val="single" w:color="000000" w:sz="4" w:space="0"/>
              <w:bottom w:val="single" w:color="000000" w:sz="4" w:space="0"/>
              <w:right w:val="single" w:color="000000" w:sz="4" w:space="0"/>
            </w:tcBorders>
            <w:tcW w:w="2332" w:type="auto"/>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≤0.05</w:t>
            </w:r>
            <w:r/>
          </w:p>
        </w:tc>
      </w:tr>
      <w:tr>
        <w:trPr>
          <w:cantSplit/>
        </w:trPr>
        <w:tc>
          <w:tcPr>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苯乙烯</w:t>
            </w:r>
            <w:r/>
          </w:p>
        </w:tc>
        <w:tc>
          <w:tcPr>
            <w:tcBorders>
              <w:top w:val="single" w:color="000000" w:sz="4" w:space="0"/>
              <w:left w:val="single" w:color="000000" w:sz="4" w:space="0"/>
              <w:bottom w:val="single" w:color="000000" w:sz="4" w:space="0"/>
              <w:right w:val="single" w:color="000000" w:sz="4" w:space="0"/>
            </w:tcBorders>
            <w:tcW w:w="2332" w:type="auto"/>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≤0.5</w:t>
            </w:r>
            <w:r/>
          </w:p>
        </w:tc>
      </w:tr>
      <w:tr>
        <w:trPr>
          <w:cantSplit/>
        </w:trPr>
        <w:tc>
          <w:tcPr>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4-苯基环己烯</w:t>
            </w:r>
            <w:r/>
          </w:p>
        </w:tc>
        <w:tc>
          <w:tcPr>
            <w:tcBorders>
              <w:top w:val="single" w:color="000000" w:sz="4" w:space="0"/>
              <w:left w:val="single" w:color="000000" w:sz="4" w:space="0"/>
              <w:bottom w:val="single" w:color="000000" w:sz="4" w:space="0"/>
              <w:right w:val="single" w:color="000000" w:sz="4" w:space="0"/>
            </w:tcBorders>
            <w:tcW w:w="2332" w:type="auto"/>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≤0.05</w:t>
            </w:r>
            <w:r/>
          </w:p>
        </w:tc>
      </w:tr>
    </w:tbl>
    <w:p>
      <w:pPr>
        <w:pStyle w:val="1065"/>
        <w:ind w:firstLine="482"/>
        <w:spacing w:line="360" w:lineRule="auto"/>
        <w:rPr>
          <w:rFonts w:hint="eastAsia" w:ascii="宋体" w:hAnsi="宋体" w:cs="宋体"/>
          <w:b/>
          <w:sz w:val="24"/>
        </w:rPr>
      </w:pPr>
      <w:r>
        <w:rPr>
          <w:rFonts w:hint="eastAsia" w:ascii="宋体" w:hAnsi="宋体" w:cs="宋体"/>
          <w:b/>
          <w:sz w:val="24"/>
        </w:rPr>
        <w:t xml:space="preserve">（四）4mm硅PU面层技术要求</w:t>
      </w:r>
      <w:r/>
    </w:p>
    <w:p>
      <w:pPr>
        <w:pStyle w:val="1065"/>
        <w:ind w:firstLine="482"/>
        <w:spacing w:line="360" w:lineRule="auto"/>
        <w:rPr>
          <w:rFonts w:hint="eastAsia" w:ascii="宋体" w:hAnsi="宋体" w:cs="宋体"/>
          <w:b/>
          <w:sz w:val="24"/>
        </w:rPr>
      </w:pPr>
      <w:r>
        <w:rPr>
          <w:rFonts w:hint="eastAsia" w:ascii="宋体" w:hAnsi="宋体" w:cs="宋体"/>
          <w:b/>
          <w:sz w:val="24"/>
        </w:rPr>
        <w:t xml:space="preserve">1. 4mm硅PU面层技术要求</w:t>
      </w:r>
      <w:r/>
    </w:p>
    <w:p>
      <w:pPr>
        <w:pStyle w:val="1065"/>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b/>
          <w:sz w:val="24"/>
        </w:rPr>
        <w:t xml:space="preserve">4mm硅PU面层</w:t>
      </w:r>
      <w:r>
        <w:rPr>
          <w:rFonts w:hint="eastAsia" w:ascii="宋体" w:hAnsi="宋体" w:cs="宋体"/>
          <w:sz w:val="24"/>
        </w:rPr>
        <w:t xml:space="preserve">有害物质限量满足GB36246-2018要求。</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06"/>
        <w:gridCol w:w="731"/>
        <w:gridCol w:w="5903"/>
        <w:gridCol w:w="1442"/>
      </w:tblGrid>
      <w:tr>
        <w:trPr>
          <w:trHeight w:val="465"/>
        </w:trPr>
        <w:tc>
          <w:tcPr>
            <w:gridSpan w:val="3"/>
            <w:tcBorders>
              <w:top w:val="single" w:color="000000" w:sz="4" w:space="0"/>
              <w:left w:val="single" w:color="000000" w:sz="4" w:space="0"/>
              <w:bottom w:val="single" w:color="000000" w:sz="4" w:space="0"/>
              <w:right w:val="single" w:color="000000" w:sz="4" w:space="0"/>
            </w:tcBorders>
            <w:tcW w:w="4222"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检测项目</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标准指标</w:t>
            </w:r>
            <w:r/>
          </w:p>
        </w:tc>
      </w:tr>
      <w:tr>
        <w:trPr>
          <w:cantSplit/>
          <w:trHeight w:val="660"/>
        </w:trPr>
        <w:tc>
          <w:tcPr>
            <w:tcBorders>
              <w:top w:val="single" w:color="000000" w:sz="4" w:space="0"/>
              <w:left w:val="single" w:color="000000" w:sz="4" w:space="0"/>
              <w:bottom w:val="single" w:color="000000" w:sz="4" w:space="0"/>
              <w:right w:val="single" w:color="000000" w:sz="4" w:space="0"/>
            </w:tcBorders>
            <w:tcW w:w="649"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有害物质含量</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（DBP、BBP、DEHP）总和/（g/kg）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（DNOP、DINP、DIDP）总和/（g/kg）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178"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18种多环芳烃总和/(mg/kg)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260"/>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178"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≤20c</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苯并［a］芘/（mg/kg）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285"/>
        </w:trPr>
        <w:tc>
          <w:tcPr>
            <w:tcBorders>
              <w:top w:val="single" w:color="000000" w:sz="4" w:space="0"/>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短链氯化石蜡（C10-C13）/（g/kg）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r>
      <w:tr>
        <w:trPr>
          <w:cantSplit/>
          <w:trHeight w:val="645"/>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4,4′－二氨基一3,3′－二氯二苯甲烷（MOCA）/（g/kg）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65"/>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游离甲苯二异氰酸酯（TDI）和游离六亚甲基二异氰酸酯（HDI）总和/（g/kg）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≤0.2</w:t>
            </w:r>
            <w:r/>
          </w:p>
        </w:tc>
      </w:tr>
      <w:tr>
        <w:trPr>
          <w:cantSplit/>
          <w:trHeight w:val="48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游离二苯基甲烷二异氰酸酯（MDI）/（g/kg）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可溶性铅/(mg/kg)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可溶性镉/(mg/kg)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可溶性铬/(mg/kg)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可溶性汞/(mg/kg)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r>
      <w:tr>
        <w:trPr>
          <w:cantSplit/>
          <w:trHeight w:val="390"/>
        </w:trPr>
        <w:tc>
          <w:tcPr>
            <w:tcBorders>
              <w:top w:val="single" w:color="000000" w:sz="4" w:space="0"/>
              <w:left w:val="single" w:color="000000" w:sz="4" w:space="0"/>
              <w:right w:val="single" w:color="000000" w:sz="4" w:space="0"/>
            </w:tcBorders>
            <w:tcW w:w="649"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总挥发性有机化合物（TVOC）/（mg/（m2•h））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甲醛/</w:t>
            </w:r>
            <w:r>
              <w:rPr>
                <w:rFonts w:hint="eastAsia" w:ascii="宋体" w:hAnsi="宋体" w:cs="宋体"/>
                <w:sz w:val="24"/>
              </w:rPr>
              <w:t xml:space="preserve">（mg/（m2•h））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≤0.4</w:t>
            </w:r>
            <w:r/>
          </w:p>
        </w:tc>
      </w:tr>
      <w:tr>
        <w:trPr>
          <w:cantSplit/>
          <w:trHeight w:val="509"/>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≤0.1</w:t>
            </w:r>
            <w:r/>
          </w:p>
        </w:tc>
      </w:tr>
      <w:tr>
        <w:trPr>
          <w:cantSplit/>
          <w:trHeight w:val="45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甲苯、二甲苯和乙苯总和/（mg/（m2•h））</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285"/>
        </w:trPr>
        <w:tc>
          <w:tcPr>
            <w:tcBorders>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17</w:t>
            </w:r>
            <w:r/>
          </w:p>
        </w:tc>
        <w:tc>
          <w:tcPr>
            <w:tcBorders>
              <w:top w:val="non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二硫化碳/（mg/（m2•h））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≤7.0</w:t>
            </w:r>
            <w:r/>
          </w:p>
        </w:tc>
      </w:tr>
      <w:tr>
        <w:trPr>
          <w:trHeight w:val="285"/>
        </w:trPr>
        <w:tc>
          <w:tcPr>
            <w:tcBorders>
              <w:left w:val="single" w:color="000000" w:sz="4" w:space="0"/>
              <w:bottom w:val="single" w:color="000000" w:sz="4" w:space="0"/>
              <w:right w:val="single" w:color="000000" w:sz="4" w:space="0"/>
            </w:tcBorders>
            <w:tcW w:w="64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w:t>
            </w:r>
            <w:r/>
          </w:p>
        </w:tc>
        <w:tc>
          <w:tcPr>
            <w:tcBorders>
              <w:top w:val="non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气味等级/级</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r>
    </w:tbl>
    <w:p>
      <w:pPr>
        <w:pStyle w:val="1065"/>
        <w:ind w:firstLine="482"/>
        <w:jc w:val="left"/>
        <w:spacing w:line="360" w:lineRule="auto"/>
        <w:rPr>
          <w:rFonts w:hint="eastAsia" w:ascii="宋体" w:hAnsi="宋体" w:cs="宋体"/>
          <w:b/>
          <w:sz w:val="24"/>
        </w:rPr>
      </w:pPr>
      <w:r>
        <w:rPr>
          <w:rFonts w:hint="eastAsia" w:ascii="宋体" w:hAnsi="宋体" w:cs="宋体"/>
          <w:b/>
          <w:sz w:val="24"/>
        </w:rPr>
        <w:t xml:space="preserve">★1、投标文件中需提供混合型塑胶跑道、人造草坪、硅PU面层的第三方检测报告，该检测报告需由第三方检测机构依据现行规范标准出具，检测结论应为合格，且报告须带有CMA或CNAS标志。未提供或提供不齐全的视为无效响应。</w:t>
      </w:r>
      <w:r/>
    </w:p>
    <w:p>
      <w:pPr>
        <w:pStyle w:val="1065"/>
        <w:ind w:firstLine="482"/>
        <w:jc w:val="left"/>
        <w:spacing w:line="360" w:lineRule="auto"/>
        <w:tabs>
          <w:tab w:val="left" w:pos="284" w:leader="none"/>
        </w:tabs>
        <w:rPr>
          <w:rFonts w:ascii="宋体" w:hAnsi="宋体" w:cs="宋体"/>
          <w:b/>
          <w:sz w:val="24"/>
        </w:rPr>
      </w:pPr>
      <w:r>
        <w:rPr>
          <w:rFonts w:hint="eastAsia" w:ascii="宋体" w:hAnsi="宋体" w:cs="宋体"/>
          <w:b/>
          <w:sz w:val="24"/>
        </w:rPr>
        <w:t xml:space="preserve">★2、承诺中标公示后三个工作日内提供胶水、人造草坪</w:t>
      </w:r>
      <w:r>
        <w:rPr>
          <w:rFonts w:hint="eastAsia" w:ascii="宋体" w:hAnsi="宋体"/>
          <w:sz w:val="24"/>
        </w:rPr>
        <w:t xml:space="preserve">、</w:t>
      </w:r>
      <w:r>
        <w:rPr>
          <w:rFonts w:hint="eastAsia" w:ascii="宋体" w:hAnsi="宋体" w:cs="宋体"/>
          <w:b/>
          <w:sz w:val="24"/>
        </w:rPr>
        <w:t xml:space="preserve">硅PU生产厂家的原厂授权给采购人，否则视为放弃中标。提供承诺函，未提供视为无效。</w:t>
      </w:r>
      <w:r>
        <w:rPr>
          <w:rFonts w:ascii="宋体" w:hAnsi="宋体" w:cs="宋体"/>
          <w:b/>
          <w:sz w:val="24"/>
        </w:rPr>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、报价方式</w:t>
      </w:r>
      <w:r>
        <w:rPr>
          <w:rFonts w:hint="eastAsia" w:ascii="宋体" w:hAnsi="宋体" w:cs="宋体"/>
          <w:b/>
          <w:sz w:val="24"/>
        </w:rPr>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，投标价格应包括采购文件所确定的采购范围相应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pStyle w:val="1065"/>
        <w:ind w:firstLine="482"/>
        <w:spacing w:line="360" w:lineRule="auto"/>
        <w:tabs>
          <w:tab w:val="left" w:pos="284" w:leader="none"/>
        </w:tabs>
        <w:rPr>
          <w:rFonts w:ascii="宋体" w:hAnsi="宋体" w:cs="宋体"/>
          <w:b/>
          <w:sz w:val="24"/>
        </w:rPr>
      </w:pPr>
      <w:r>
        <w:rPr>
          <w:rFonts w:hint="eastAsia" w:ascii="宋体" w:hAnsi="宋体" w:cs="宋体"/>
          <w:b/>
          <w:sz w:val="24"/>
        </w:rPr>
        <w:t xml:space="preserve">特别强调：供应商需充分</w:t>
      </w:r>
      <w:r>
        <w:rPr>
          <w:rFonts w:ascii="宋体" w:hAnsi="宋体" w:cs="宋体"/>
          <w:b/>
          <w:sz w:val="24"/>
        </w:rPr>
        <w:t xml:space="preserve">考虑与</w:t>
      </w:r>
      <w:r>
        <w:rPr>
          <w:rFonts w:hint="eastAsia" w:ascii="宋体" w:hAnsi="宋体" w:cs="宋体"/>
          <w:b/>
          <w:sz w:val="24"/>
        </w:rPr>
        <w:t xml:space="preserve">外部单位</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、建筑</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rPr>
          <w:rFonts w:ascii="宋体" w:hAnsi="宋体" w:cs="宋体"/>
          <w:b/>
          <w:sz w:val="24"/>
        </w:rPr>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六、质量验收、审计结算方式</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b/>
          <w:bCs/>
          <w:sz w:val="24"/>
        </w:rPr>
        <w:t xml:space="preserve">1.质量验收及质保：</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（1）按国家现行工程施工及验收规范执行，一次性验收合格。田径场必须通过中国田径协会二类及以上验收（验收费用由中标人承担）。项目整体质量保修期为</w:t>
      </w:r>
      <w:r>
        <w:rPr>
          <w:rFonts w:hint="eastAsia" w:ascii="宋体" w:hAnsi="宋体"/>
          <w:sz w:val="24"/>
        </w:rPr>
        <w:t xml:space="preserve">至少5年（最终以投标为准）</w:t>
      </w:r>
      <w:r>
        <w:rPr>
          <w:rFonts w:hint="eastAsia" w:ascii="宋体" w:hAnsi="宋体" w:cs="宋体"/>
          <w:sz w:val="24"/>
        </w:rPr>
        <w:t xml:space="preserve">，自采购人组织的竣工验收合格之日起计算；</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（2）项目实施完成，中标人应完成竣工图纸文档整理和交付，竣工资料是验收的必要条件。</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3）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（4）跑道、人工草坪、硅PU面层的平整度、硬度，化学气味等经验收合格才能投入使用。</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（5）质保期内因施工、材料缺陷造成各种问题应由供应商免费进行维护、保养、更换。</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（6）供应商接到报修请求，维修应在2小时内响应，4小时内维修人员到达现场。质保期后，供应商提供终身服务。</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sz w:val="24"/>
        </w:rPr>
        <w:t xml:space="preserve">★</w:t>
      </w:r>
      <w:r>
        <w:rPr>
          <w:rFonts w:hint="eastAsia" w:ascii="宋体" w:hAnsi="宋体" w:cs="宋体"/>
          <w:b/>
          <w:bCs/>
          <w:sz w:val="24"/>
        </w:rPr>
        <w:t xml:space="preserve">（7）施工期间和项目建成后，供应商须无条件配合采购人组织的包含但不限于对施工原材料、辅料进场抽检和施工成品的第三方质量检测工作，费用由中标供应商承担。如检测结果不合格，供应商须无条件整改，并承担由此产生的一切经济损失和工期延误责任。（提供承诺函，格式自拟。未提供视为无效响应。）</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sz w:val="24"/>
        </w:rPr>
        <w:t xml:space="preserve">★</w:t>
      </w:r>
      <w:r>
        <w:rPr>
          <w:rFonts w:hint="eastAsia" w:ascii="宋体" w:hAnsi="宋体" w:cs="宋体"/>
          <w:b/>
          <w:sz w:val="24"/>
        </w:rPr>
        <w:t xml:space="preserve">（8）中标人需要按照采购人要求提供主材样品，并向采购人提供检测报告，费用由中标人承担。</w:t>
      </w:r>
      <w:r>
        <w:rPr>
          <w:rFonts w:hint="eastAsia" w:ascii="宋体" w:hAnsi="宋体" w:cs="宋体"/>
          <w:b/>
          <w:bCs/>
          <w:sz w:val="24"/>
        </w:rPr>
        <w:t xml:space="preserve">（提供承诺函，格式自拟。未提供视为无效响应。）</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b/>
          <w:bCs/>
          <w:sz w:val="24"/>
        </w:rPr>
        <w:t xml:space="preserve">2.审核、审计费用承担：</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工程审核、审计费用按核减率进行结算，核减率按审核、审计最终核定额与中标人申报的决算额之间的差额计算。结算原则如下：</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工程审计、付款时限：工程审计费用按核减率进行结算，核减额=工程管理部门审核价-造价咨询单位审定价；核减率=核减额/工程管理部门审核价。结算原则如下：当核减率超过10%时，按照核减额的8%收取中标人审计费；核减率在10%-5%之间的，按照核减额的3%收取中标人审计费；核减率不超过5%时，不收取中标人任何审计费，全部审计费用由采购人承担。</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b/>
          <w:bCs/>
          <w:sz w:val="24"/>
        </w:rPr>
        <w:t xml:space="preserve">3.付款：</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（1）合同签订后15个日历日内，支付合同总价的30%作为预付款；</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（2）项目验收合格，资料归档并经审计结束后支付至审</w:t>
      </w:r>
      <w:r>
        <w:rPr>
          <w:rFonts w:hint="eastAsia" w:ascii="宋体" w:hAnsi="宋体" w:cs="宋体"/>
          <w:sz w:val="24"/>
        </w:rPr>
        <w:t xml:space="preserve">定价的70%；</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（3）审计结束的次年支付审定价的27%；</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（4）审定总价的额3%作为质量保修金，质保期满且经采购人核查确认无质量缺陷、履约问题的，采购人一次性无息结清该笔款项（无息）。</w:t>
      </w:r>
      <w:r/>
    </w:p>
    <w:p>
      <w:pPr>
        <w:pStyle w:val="1065"/>
        <w:ind w:firstLine="480"/>
        <w:spacing w:line="360" w:lineRule="auto"/>
        <w:tabs>
          <w:tab w:val="left" w:pos="284" w:leader="none"/>
        </w:tabs>
        <w:rPr>
          <w:rFonts w:ascii="宋体" w:hAnsi="宋体" w:cs="宋体"/>
          <w:sz w:val="24"/>
        </w:rPr>
      </w:pPr>
      <w:r>
        <w:rPr>
          <w:rFonts w:hint="eastAsia" w:ascii="宋体" w:hAnsi="宋体" w:cs="宋体"/>
          <w:sz w:val="24"/>
        </w:rPr>
        <w:t xml:space="preserve">注：每次付款时供应商均需按采购人要求开具相应的发票。</w:t>
      </w:r>
      <w:r>
        <w:rPr>
          <w:rFonts w:ascii="宋体" w:hAnsi="宋体" w:cs="宋体"/>
          <w:sz w:val="24"/>
        </w:rPr>
      </w:r>
      <w:r/>
    </w:p>
    <w:p>
      <w:pPr>
        <w:pStyle w:val="1065"/>
        <w:rPr>
          <w:rFonts w:ascii="宋体" w:hAnsi="宋体"/>
        </w:rPr>
      </w:pPr>
      <w:r>
        <w:rPr>
          <w:rFonts w:ascii="宋体" w:hAnsi="宋体"/>
        </w:rPr>
      </w:r>
      <w:r/>
    </w:p>
    <w:p>
      <w:pPr>
        <w:pStyle w:val="1065"/>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5"/>
      <w:r>
        <w:rPr>
          <w:rFonts w:ascii="宋体" w:hAnsi="宋体"/>
          <w:b/>
          <w:sz w:val="36"/>
          <w:szCs w:val="36"/>
        </w:rPr>
        <w:t xml:space="preserve">第六章   拟签订的合同文本</w:t>
      </w:r>
      <w:bookmarkEnd w:id="816"/>
      <w:r>
        <w:rPr>
          <w:rFonts w:ascii="宋体" w:hAnsi="宋体"/>
          <w:b/>
          <w:sz w:val="36"/>
          <w:szCs w:val="36"/>
        </w:rPr>
      </w:r>
      <w:r/>
    </w:p>
    <w:p>
      <w:pPr>
        <w:pStyle w:val="1065"/>
        <w:ind w:firstLine="1446"/>
        <w:spacing w:line="480" w:lineRule="auto"/>
        <w:rPr>
          <w:rFonts w:ascii="宋体" w:cs="宋体"/>
          <w:b/>
          <w:sz w:val="48"/>
          <w:szCs w:val="48"/>
        </w:rPr>
      </w:pPr>
      <w:r>
        <w:rPr>
          <w:rFonts w:ascii="宋体" w:cs="宋体"/>
          <w:b/>
          <w:sz w:val="48"/>
          <w:szCs w:val="48"/>
        </w:rPr>
      </w:r>
      <w:r/>
    </w:p>
    <w:p>
      <w:pPr>
        <w:pStyle w:val="1065"/>
        <w:ind w:firstLine="1446"/>
        <w:spacing w:line="480" w:lineRule="auto"/>
        <w:rPr>
          <w:rFonts w:ascii="宋体" w:cs="宋体"/>
          <w:b/>
          <w:sz w:val="48"/>
          <w:szCs w:val="48"/>
        </w:rPr>
      </w:pPr>
      <w:r>
        <w:rPr>
          <w:rFonts w:ascii="宋体" w:cs="宋体"/>
          <w:b/>
          <w:sz w:val="48"/>
          <w:szCs w:val="48"/>
        </w:rPr>
      </w:r>
      <w:r/>
    </w:p>
    <w:p>
      <w:pPr>
        <w:pStyle w:val="1065"/>
        <w:ind w:firstLine="1446"/>
        <w:spacing w:line="480" w:lineRule="auto"/>
        <w:rPr>
          <w:rFonts w:ascii="宋体" w:cs="宋体"/>
          <w:b/>
          <w:sz w:val="48"/>
          <w:szCs w:val="48"/>
        </w:rPr>
      </w:pPr>
      <w:r>
        <w:rPr>
          <w:rFonts w:hint="eastAsia" w:ascii="宋体" w:cs="宋体"/>
          <w:b/>
          <w:sz w:val="48"/>
          <w:szCs w:val="48"/>
          <w:lang w:bidi="ar"/>
        </w:rPr>
        <w:t xml:space="preserve">常州纺织服装职业技术学院</w:t>
      </w:r>
      <w:r>
        <w:rPr>
          <w:rFonts w:ascii="宋体" w:cs="宋体"/>
          <w:b/>
          <w:sz w:val="48"/>
          <w:szCs w:val="48"/>
        </w:rPr>
      </w:r>
      <w:r/>
    </w:p>
    <w:p>
      <w:pPr>
        <w:pStyle w:val="1065"/>
        <w:spacing w:line="360" w:lineRule="auto"/>
        <w:rPr>
          <w:rFonts w:ascii="宋体" w:cs="宋体"/>
          <w:b/>
          <w:sz w:val="28"/>
          <w:szCs w:val="28"/>
        </w:rPr>
      </w:pPr>
      <w:r>
        <w:rPr>
          <w:rFonts w:ascii="宋体" w:cs="宋体"/>
          <w:b/>
          <w:sz w:val="28"/>
          <w:szCs w:val="28"/>
        </w:rPr>
      </w:r>
      <w:r/>
    </w:p>
    <w:p>
      <w:pPr>
        <w:pStyle w:val="1065"/>
        <w:spacing w:before="120" w:line="22" w:lineRule="atLeast"/>
        <w:widowControl/>
        <w:tabs>
          <w:tab w:val="left" w:pos="567" w:leader="none"/>
        </w:tabs>
        <w:rPr>
          <w:rFonts w:hint="eastAsia" w:ascii="宋体" w:hAnsi="宋体"/>
          <w:sz w:val="24"/>
        </w:rPr>
      </w:pPr>
      <w:r>
        <w:rPr>
          <w:rFonts w:hint="eastAsia" w:ascii="宋体" w:hAnsi="宋体"/>
          <w:sz w:val="24"/>
        </w:rPr>
      </w:r>
      <w:r/>
    </w:p>
    <w:p>
      <w:pPr>
        <w:pStyle w:val="1065"/>
        <w:jc w:val="center"/>
        <w:spacing w:line="360" w:lineRule="auto"/>
        <w:rPr>
          <w:rFonts w:ascii="宋体" w:cs="宋体"/>
          <w:b/>
          <w:sz w:val="52"/>
          <w:szCs w:val="52"/>
        </w:rPr>
      </w:pPr>
      <w:r>
        <w:rPr>
          <w:rFonts w:ascii="宋体" w:cs="宋体"/>
          <w:b/>
          <w:sz w:val="52"/>
          <w:szCs w:val="52"/>
        </w:rPr>
      </w:r>
      <w:r/>
    </w:p>
    <w:p>
      <w:pPr>
        <w:pStyle w:val="1065"/>
        <w:jc w:val="center"/>
        <w:spacing w:line="360" w:lineRule="auto"/>
        <w:rPr>
          <w:rFonts w:hint="eastAsia" w:ascii="宋体" w:cs="宋体"/>
          <w:b/>
          <w:sz w:val="52"/>
          <w:szCs w:val="52"/>
        </w:rPr>
      </w:pPr>
      <w:r>
        <w:rPr>
          <w:rFonts w:hint="eastAsia" w:ascii="宋体" w:cs="宋体"/>
          <w:b/>
          <w:sz w:val="52"/>
          <w:szCs w:val="52"/>
          <w:u w:val="single"/>
          <w:lang w:bidi="ar"/>
        </w:rPr>
        <w:t xml:space="preserve">运动场建设项目</w:t>
      </w:r>
      <w:r>
        <w:rPr>
          <w:rFonts w:hint="eastAsia" w:ascii="宋体" w:cs="宋体"/>
          <w:b/>
          <w:sz w:val="52"/>
          <w:szCs w:val="52"/>
        </w:rPr>
      </w:r>
      <w:r/>
    </w:p>
    <w:p>
      <w:pPr>
        <w:pStyle w:val="1065"/>
        <w:jc w:val="center"/>
        <w:spacing w:line="360" w:lineRule="auto"/>
        <w:rPr>
          <w:rFonts w:ascii="宋体" w:cs="宋体"/>
          <w:b/>
          <w:sz w:val="52"/>
          <w:szCs w:val="52"/>
        </w:rPr>
      </w:pPr>
      <w:r>
        <w:rPr>
          <w:rFonts w:hint="eastAsia" w:ascii="宋体" w:cs="宋体"/>
          <w:b/>
          <w:sz w:val="52"/>
          <w:szCs w:val="52"/>
          <w:lang w:bidi="ar"/>
        </w:rPr>
        <w:t xml:space="preserve">建设工程施工合同</w:t>
      </w:r>
      <w:r>
        <w:rPr>
          <w:rFonts w:ascii="宋体" w:cs="宋体"/>
          <w:b/>
          <w:sz w:val="52"/>
          <w:szCs w:val="52"/>
        </w:rPr>
      </w:r>
      <w:r/>
    </w:p>
    <w:p>
      <w:pPr>
        <w:pStyle w:val="1065"/>
        <w:jc w:val="center"/>
        <w:spacing w:line="360" w:lineRule="auto"/>
        <w:rPr>
          <w:rFonts w:ascii="宋体" w:cs="宋体"/>
          <w:b/>
          <w:sz w:val="52"/>
          <w:szCs w:val="52"/>
        </w:rPr>
      </w:pPr>
      <w:r>
        <w:rPr>
          <w:rFonts w:ascii="宋体" w:cs="宋体"/>
          <w:b/>
          <w:sz w:val="52"/>
          <w:szCs w:val="52"/>
        </w:rPr>
      </w:r>
      <w:r/>
    </w:p>
    <w:p>
      <w:pPr>
        <w:pStyle w:val="1065"/>
        <w:spacing w:line="360" w:lineRule="exact"/>
        <w:rPr>
          <w:rFonts w:ascii="Calibri" w:hAnsi="Calibri"/>
          <w:b/>
          <w:sz w:val="36"/>
          <w:szCs w:val="36"/>
        </w:rPr>
      </w:pPr>
      <w:r>
        <w:rPr>
          <w:rFonts w:ascii="Calibri" w:hAnsi="Calibri"/>
          <w:b/>
          <w:sz w:val="36"/>
          <w:szCs w:val="36"/>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center"/>
        <w:spacing w:line="360" w:lineRule="exact"/>
        <w:rPr>
          <w:rFonts w:ascii="Calibri" w:hAnsi="Calibri"/>
          <w:b/>
          <w:sz w:val="32"/>
          <w:szCs w:val="32"/>
        </w:rPr>
      </w:pPr>
      <w:r>
        <w:rPr>
          <w:rFonts w:ascii="Calibri" w:hAnsi="Calibri"/>
          <w:b/>
          <w:sz w:val="32"/>
          <w:szCs w:val="32"/>
        </w:rPr>
      </w:r>
      <w:r/>
    </w:p>
    <w:p>
      <w:pPr>
        <w:pStyle w:val="1065"/>
        <w:rPr>
          <w:b/>
          <w:sz w:val="32"/>
          <w:szCs w:val="32"/>
          <w:lang w:bidi="ar"/>
        </w:rPr>
        <w:sectPr>
          <w:footnotePr/>
          <w:endnotePr/>
          <w:type w:val="nextPage"/>
          <w:pgSz w:w="11906" w:h="16838" w:orient="portrait"/>
          <w:pgMar w:top="1440" w:right="1417" w:bottom="1440" w:left="1417" w:header="851" w:footer="992" w:gutter="0"/>
          <w:cols w:num="1" w:sep="0" w:space="720" w:equalWidth="1"/>
          <w:docGrid w:linePitch="360"/>
        </w:sectPr>
      </w:pPr>
      <w:r>
        <w:rPr>
          <w:b/>
          <w:sz w:val="32"/>
          <w:szCs w:val="32"/>
          <w:lang w:bidi="ar"/>
        </w:rPr>
      </w:r>
      <w:r/>
    </w:p>
    <w:p>
      <w:pPr>
        <w:pStyle w:val="1065"/>
        <w:jc w:val="center"/>
        <w:spacing w:line="360" w:lineRule="exact"/>
        <w:rPr>
          <w:rFonts w:ascii="Calibri" w:hAnsi="Calibri"/>
          <w:b/>
          <w:sz w:val="32"/>
          <w:szCs w:val="32"/>
        </w:rPr>
      </w:pPr>
      <w:r>
        <w:rPr>
          <w:rFonts w:hint="eastAsia" w:cs="宋体"/>
          <w:b/>
          <w:sz w:val="32"/>
          <w:szCs w:val="32"/>
          <w:lang w:bidi="ar"/>
        </w:rPr>
        <w:t xml:space="preserve">第一部分</w:t>
      </w:r>
      <w:r>
        <w:rPr>
          <w:b/>
          <w:sz w:val="32"/>
          <w:szCs w:val="32"/>
          <w:lang w:bidi="ar"/>
        </w:rPr>
        <w:t xml:space="preserve">  </w:t>
      </w:r>
      <w:r>
        <w:rPr>
          <w:rFonts w:hint="eastAsia" w:cs="宋体"/>
          <w:b/>
          <w:sz w:val="32"/>
          <w:szCs w:val="32"/>
          <w:lang w:bidi="ar"/>
        </w:rPr>
        <w:t xml:space="preserve">合同协议书</w:t>
      </w:r>
      <w:r>
        <w:rPr>
          <w:rFonts w:ascii="Calibri" w:hAnsi="Calibri"/>
          <w:b/>
          <w:sz w:val="32"/>
          <w:szCs w:val="32"/>
        </w:rPr>
      </w:r>
      <w:r/>
    </w:p>
    <w:p>
      <w:pPr>
        <w:pStyle w:val="1065"/>
        <w:spacing w:line="360" w:lineRule="exact"/>
        <w:rPr>
          <w:rFonts w:ascii="Calibri" w:hAnsi="Calibri"/>
          <w:szCs w:val="21"/>
        </w:rPr>
      </w:pPr>
      <w:r>
        <w:rPr>
          <w:rFonts w:ascii="Calibri" w:hAnsi="Calibri"/>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甲方(全称)：</w:t>
      </w:r>
      <w:r>
        <w:rPr>
          <w:rFonts w:hint="eastAsia" w:ascii="宋体" w:hAnsi="宋体" w:cs="宋体"/>
          <w:spacing w:val="12"/>
          <w:szCs w:val="21"/>
          <w:u w:val="single"/>
          <w:lang w:bidi="ar"/>
        </w:rPr>
        <w:t xml:space="preserve">常州纺织服装职业技术学院</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乙方(全称)：</w:t>
      </w:r>
      <w:r>
        <w:rPr>
          <w:rFonts w:hint="eastAsia" w:ascii="宋体" w:hAnsi="宋体" w:cs="宋体"/>
          <w:spacing w:val="12"/>
          <w:szCs w:val="21"/>
          <w:u w:val="single"/>
          <w:lang w:bidi="ar"/>
        </w:rPr>
        <w:t xml:space="preserve">         </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招标代理机构：</w:t>
      </w:r>
      <w:r>
        <w:rPr>
          <w:rFonts w:hint="eastAsia" w:ascii="宋体" w:hAnsi="宋体" w:cs="宋体"/>
          <w:spacing w:val="12"/>
          <w:szCs w:val="21"/>
          <w:u w:val="single"/>
          <w:lang w:bidi="ar"/>
        </w:rPr>
        <w:t xml:space="preserve">常州市城投建设工程招标有限公司</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根据《中华人民共和国民法典》、《中华人民共和国建筑法》及有关法律规定，遵循平等、自愿、公平和诚实信用的原则，双方就</w:t>
      </w:r>
      <w:r>
        <w:rPr>
          <w:rFonts w:hint="eastAsia" w:ascii="宋体" w:hAnsi="宋体" w:cs="宋体"/>
          <w:szCs w:val="21"/>
          <w:u w:val="single"/>
          <w:lang w:bidi="ar"/>
        </w:rPr>
        <w:t xml:space="preserve">运动场建设项目</w:t>
      </w:r>
      <w:r>
        <w:rPr>
          <w:rFonts w:hint="eastAsia" w:ascii="宋体" w:hAnsi="宋体" w:cs="宋体"/>
          <w:szCs w:val="21"/>
          <w:lang w:bidi="ar"/>
        </w:rPr>
        <w:t xml:space="preserve">及有关事项协商一致，共同达成如下协议：</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一、工程概况：</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1．工程名称：</w:t>
      </w:r>
      <w:r>
        <w:rPr>
          <w:rFonts w:hint="eastAsia" w:ascii="宋体" w:hAnsi="宋体" w:cs="宋体"/>
          <w:spacing w:val="12"/>
          <w:szCs w:val="21"/>
          <w:u w:val="single"/>
          <w:lang w:bidi="ar"/>
        </w:rPr>
        <w:t xml:space="preserve">运动场建设项目</w:t>
      </w:r>
      <w:r>
        <w:rPr>
          <w:rFonts w:hint="eastAsia" w:ascii="宋体" w:hAnsi="宋体" w:cs="宋体"/>
          <w:szCs w:val="21"/>
        </w:rPr>
      </w:r>
      <w:r/>
    </w:p>
    <w:p>
      <w:pPr>
        <w:pStyle w:val="1065"/>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2. 工程地点：</w:t>
      </w:r>
      <w:r>
        <w:rPr>
          <w:rFonts w:hint="eastAsia" w:ascii="宋体" w:hAnsi="宋体" w:cs="宋体"/>
          <w:szCs w:val="21"/>
          <w:u w:val="single"/>
          <w:lang w:bidi="ar"/>
        </w:rPr>
        <w:t xml:space="preserve">常州市</w:t>
      </w:r>
      <w:r>
        <w:rPr>
          <w:rFonts w:hint="eastAsia" w:ascii="宋体" w:hAnsi="宋体" w:cs="宋体"/>
          <w:spacing w:val="12"/>
          <w:szCs w:val="21"/>
          <w:u w:val="single"/>
          <w:lang w:bidi="ar"/>
        </w:rPr>
        <w:t xml:space="preserve">武进区滆湖中路53号</w:t>
      </w:r>
      <w:r>
        <w:rPr>
          <w:rFonts w:hint="eastAsia" w:ascii="宋体" w:hAnsi="宋体" w:cs="宋体"/>
          <w:spacing w:val="12"/>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 工程立项批准文号：</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4.资金来源：</w:t>
      </w:r>
      <w:r>
        <w:rPr>
          <w:rFonts w:hint="eastAsia" w:ascii="宋体" w:hAnsi="宋体" w:cs="宋体"/>
          <w:spacing w:val="12"/>
          <w:szCs w:val="21"/>
          <w:u w:val="single"/>
          <w:lang w:bidi="ar"/>
        </w:rPr>
        <w:t xml:space="preserve">自筹</w:t>
      </w:r>
      <w:r>
        <w:rPr>
          <w:rFonts w:hint="eastAsia" w:ascii="宋体" w:hAnsi="宋体" w:cs="宋体"/>
          <w:szCs w:val="21"/>
        </w:rPr>
      </w:r>
      <w:r/>
    </w:p>
    <w:p>
      <w:pPr>
        <w:pStyle w:val="1065"/>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5.工程内容：</w:t>
      </w:r>
      <w:bookmarkStart w:id="817" w:name="EB4d5e9b6441114340844dffd290d44236"/>
      <w:r>
        <w:rPr>
          <w:rFonts w:hint="eastAsia" w:ascii="宋体" w:hAnsi="宋体" w:cs="宋体"/>
          <w:szCs w:val="21"/>
          <w:u w:val="single"/>
          <w:lang w:bidi="ar"/>
        </w:rPr>
        <w:t xml:space="preserve">清单范围内工程</w:t>
      </w:r>
      <w:bookmarkEnd w:id="817"/>
      <w:r>
        <w:rPr>
          <w:rFonts w:hint="eastAsia" w:ascii="宋体" w:hAnsi="宋体" w:cs="宋体"/>
          <w:spacing w:val="12"/>
          <w:szCs w:val="21"/>
          <w:u w:val="single"/>
        </w:rPr>
      </w:r>
      <w:r/>
    </w:p>
    <w:p>
      <w:pPr>
        <w:pStyle w:val="1065"/>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6.工程承包范围：</w:t>
      </w:r>
      <w:r>
        <w:rPr>
          <w:rFonts w:hint="eastAsia" w:ascii="宋体" w:hAnsi="宋体" w:cs="宋体"/>
          <w:szCs w:val="21"/>
          <w:u w:val="single"/>
          <w:lang w:bidi="ar"/>
        </w:rPr>
        <w:t xml:space="preserve">清单范围内工程</w:t>
      </w:r>
      <w:r>
        <w:rPr>
          <w:rFonts w:hint="eastAsia" w:ascii="宋体" w:hAnsi="宋体" w:cs="宋体"/>
          <w:spacing w:val="12"/>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二、合同工期</w:t>
      </w:r>
      <w:r>
        <w:rPr>
          <w:rFonts w:hint="eastAsia" w:ascii="宋体" w:hAnsi="宋体" w:cs="宋体"/>
          <w:b/>
          <w:szCs w:val="21"/>
        </w:rPr>
      </w:r>
      <w:r/>
    </w:p>
    <w:p>
      <w:pPr>
        <w:pStyle w:val="1065"/>
        <w:ind w:firstLine="422"/>
        <w:spacing w:line="400" w:lineRule="exact"/>
        <w:rPr>
          <w:rFonts w:hint="eastAsia" w:ascii="宋体" w:hAnsi="宋体" w:cs="宋体"/>
          <w:b/>
          <w:szCs w:val="21"/>
          <w:u w:val="single"/>
        </w:rPr>
      </w:pPr>
      <w:r>
        <w:rPr>
          <w:rFonts w:hint="eastAsia" w:ascii="宋体" w:hAnsi="宋体" w:cs="宋体"/>
          <w:b/>
          <w:szCs w:val="21"/>
          <w:lang w:bidi="ar"/>
        </w:rPr>
        <w:t xml:space="preserve">自接到进场通知次日起算起</w:t>
      </w:r>
      <w:r>
        <w:rPr>
          <w:rFonts w:hint="eastAsia" w:ascii="宋体" w:hAnsi="宋体" w:cs="宋体"/>
          <w:b/>
          <w:szCs w:val="21"/>
          <w:u w:val="single"/>
          <w:lang w:bidi="ar"/>
        </w:rPr>
        <w:t xml:space="preserve"> 60 </w:t>
      </w:r>
      <w:r>
        <w:rPr>
          <w:rFonts w:hint="eastAsia" w:ascii="宋体" w:hAnsi="宋体" w:cs="宋体"/>
          <w:b/>
          <w:szCs w:val="21"/>
          <w:lang w:bidi="ar"/>
        </w:rPr>
        <w:t xml:space="preserve">个日历日内。</w:t>
      </w:r>
      <w:r>
        <w:rPr>
          <w:rFonts w:hint="eastAsia" w:ascii="宋体" w:hAnsi="宋体" w:cs="宋体"/>
          <w:b/>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三、质量标准</w:t>
      </w:r>
      <w:r>
        <w:rPr>
          <w:rFonts w:hint="eastAsia" w:ascii="宋体" w:hAnsi="宋体" w:cs="宋体"/>
          <w:b/>
          <w:szCs w:val="21"/>
        </w:rPr>
      </w:r>
      <w:r/>
    </w:p>
    <w:p>
      <w:pPr>
        <w:pStyle w:val="1065"/>
        <w:ind w:firstLine="468"/>
        <w:spacing w:line="400" w:lineRule="exact"/>
        <w:rPr>
          <w:rFonts w:hint="eastAsia" w:ascii="宋体" w:hAnsi="宋体" w:cs="宋体"/>
          <w:szCs w:val="21"/>
        </w:rPr>
      </w:pPr>
      <w:r>
        <w:rPr>
          <w:rFonts w:hint="eastAsia" w:ascii="宋体" w:hAnsi="宋体" w:cs="宋体"/>
          <w:spacing w:val="12"/>
          <w:szCs w:val="21"/>
          <w:u w:val="single"/>
          <w:lang w:bidi="ar"/>
        </w:rPr>
        <w:t xml:space="preserve">工程质量符合合格标准</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四、签约合同价与合同价格形式</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1.签约合同价为：</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人民</w:t>
      </w:r>
      <w:r>
        <w:rPr>
          <w:rFonts w:hint="eastAsia" w:ascii="宋体" w:hAnsi="宋体" w:cs="宋体"/>
          <w:szCs w:val="21"/>
          <w:lang w:bidi="ar"/>
        </w:rPr>
        <w:t xml:space="preserve">币(大写)</w:t>
      </w:r>
      <w:r>
        <w:rPr>
          <w:rFonts w:hint="eastAsia" w:ascii="宋体" w:hAnsi="宋体" w:cs="宋体"/>
          <w:szCs w:val="21"/>
          <w:lang w:bidi="ar"/>
        </w:rPr>
        <w:t xml:space="preserve"> </w:t>
      </w:r>
      <w:r>
        <w:rPr>
          <w:rFonts w:hint="eastAsia" w:cs="宋体"/>
          <w:szCs w:val="22"/>
          <w:shd w:val="clear" w:color="auto" w:fill="ffffff"/>
          <w:lang w:bidi="ar"/>
        </w:rPr>
        <w:t xml:space="preserve">：</w:t>
      </w:r>
      <w:r>
        <w:rPr>
          <w:rFonts w:hint="eastAsia" w:ascii="宋体" w:hAnsi="宋体" w:cs="宋体"/>
          <w:spacing w:val="12"/>
          <w:szCs w:val="21"/>
          <w:u w:val="single"/>
          <w:lang w:bidi="ar"/>
        </w:rPr>
        <w:t xml:space="preserve">     </w:t>
      </w:r>
      <w:r>
        <w:rPr>
          <w:rFonts w:hint="eastAsia" w:cs="宋体"/>
          <w:szCs w:val="22"/>
          <w:shd w:val="clear" w:color="auto" w:fill="ffffff"/>
          <w:lang w:bidi="ar"/>
        </w:rPr>
        <w:t xml:space="preserve">（小写：</w:t>
      </w:r>
      <w:r>
        <w:rPr>
          <w:rFonts w:hint="eastAsia" w:ascii="宋体" w:hAnsi="宋体" w:cs="宋体"/>
          <w:spacing w:val="12"/>
          <w:szCs w:val="21"/>
          <w:u w:val="single"/>
          <w:lang w:bidi="ar"/>
        </w:rPr>
        <w:t xml:space="preserve">¥       </w:t>
      </w:r>
      <w:r>
        <w:rPr>
          <w:rFonts w:hint="eastAsia" w:cs="宋体"/>
          <w:szCs w:val="22"/>
          <w:shd w:val="clear" w:color="auto" w:fill="ffffff"/>
          <w:lang w:bidi="ar"/>
        </w:rPr>
        <w:t xml:space="preserve">元）</w:t>
      </w:r>
      <w:r>
        <w:rPr>
          <w:rFonts w:hint="eastAsia" w:ascii="宋体" w:hAnsi="宋体" w:cs="宋体"/>
          <w:szCs w:val="21"/>
          <w:lang w:bidi="ar"/>
        </w:rPr>
        <w:t xml:space="preserve">；</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2.合同价格形式：固定综合单价。</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五、项目经理</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乙方项目经理：</w:t>
      </w:r>
      <w:r>
        <w:rPr>
          <w:rFonts w:hint="eastAsia" w:ascii="宋体" w:hAnsi="宋体" w:cs="宋体"/>
          <w:spacing w:val="12"/>
          <w:szCs w:val="21"/>
          <w:u w:val="single"/>
          <w:lang w:bidi="ar"/>
        </w:rPr>
        <w:t xml:space="preserve">       </w:t>
      </w:r>
      <w:r>
        <w:rPr>
          <w:rFonts w:hint="eastAsia" w:ascii="宋体" w:hAnsi="宋体" w:cs="宋体"/>
          <w:spacing w:val="12"/>
          <w:szCs w:val="21"/>
          <w:lang w:bidi="ar"/>
        </w:rPr>
        <w:t xml:space="preserve">执</w:t>
      </w:r>
      <w:r>
        <w:rPr>
          <w:rFonts w:hint="eastAsia" w:ascii="宋体" w:hAnsi="宋体" w:cs="宋体"/>
          <w:szCs w:val="21"/>
          <w:lang w:bidi="ar"/>
        </w:rPr>
        <w:t xml:space="preserve">业证书信息：</w:t>
      </w:r>
      <w:r>
        <w:rPr>
          <w:rFonts w:hint="eastAsia" w:ascii="宋体" w:hAnsi="宋体" w:cs="宋体"/>
          <w:spacing w:val="12"/>
          <w:szCs w:val="21"/>
          <w:u w:val="single"/>
          <w:lang w:bidi="ar"/>
        </w:rPr>
        <w:t xml:space="preserve">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六、合同文件构成</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本协议书与下列文件一起构成合同文件：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（1）中标通知书（如果有）；</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（2）投标函及其附录（如果有）；</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（3）专用合同条款及其附件；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（4）通用合同条款；</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（5）技术标准和要求；</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（6）图纸；</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（7）已标价工程量清单或预算</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（8）其他合同文件。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在合同订立及履行过程中形成的与合同有关的文件均构成合同文件组成部分。</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七、承诺</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1.甲方承诺按照法律规定履行项目审批手续、筹集工程建设资金并按照合同约定的期限和方式支付合同价款。</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2.乙方承诺按照法律规定及合同约定组织完成工程施工，确保工程质量和安全，不进行转包或分包，并在缺陷责任期及保修期内承担相应的工程维修责任。</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3.甲方和乙方通过招投标形式签订合同的，双方理解并承诺不再就同一工程另行签订与合同实质性内容相背离的协议。</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八、词语含义</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lang w:bidi="ar"/>
        </w:rPr>
        <w:t xml:space="preserve">协议书中词语含义与第二部分通用合同条款中赋予的含义相同。</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九、签订地点</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本合同在</w:t>
      </w:r>
      <w:r>
        <w:rPr>
          <w:rFonts w:hint="eastAsia" w:ascii="宋体" w:hAnsi="宋体" w:cs="宋体"/>
          <w:spacing w:val="12"/>
          <w:szCs w:val="21"/>
          <w:u w:val="single"/>
          <w:lang w:bidi="ar"/>
        </w:rPr>
        <w:t xml:space="preserve">常州纺织服装职业技术学院</w:t>
      </w:r>
      <w:r>
        <w:rPr>
          <w:rFonts w:hint="eastAsia" w:ascii="宋体" w:hAnsi="宋体" w:cs="宋体"/>
          <w:szCs w:val="21"/>
          <w:lang w:bidi="ar"/>
        </w:rPr>
        <w:t xml:space="preserve">签订。</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十、补充协议</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合同未尽事宜，合同当事人另行签订补充协议，补充协议是合同的组成部分。</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十一、合同生效</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本合同自甲乙双方签字盖章之日起生效。</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十二、合同份数</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本合同一式捌份，均具有同等法律效力，甲方执伍份，乙方执贰份，采购代理机构执壹份。</w:t>
      </w:r>
      <w:r>
        <w:rPr>
          <w:rFonts w:hint="eastAsia" w:ascii="宋体" w:hAnsi="宋体" w:cs="宋体"/>
          <w:szCs w:val="21"/>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left"/>
        <w:widowControl/>
        <w:rPr>
          <w:rFonts w:cs="宋体"/>
          <w:b/>
          <w:sz w:val="32"/>
          <w:szCs w:val="32"/>
          <w:lang w:bidi="ar"/>
        </w:rPr>
      </w:pPr>
      <w:r>
        <w:rPr>
          <w:rFonts w:cs="宋体"/>
          <w:b/>
          <w:sz w:val="32"/>
          <w:szCs w:val="32"/>
          <w:lang w:bidi="ar"/>
        </w:rPr>
        <w:br w:type="page" w:clear="all"/>
      </w:r>
      <w:r/>
    </w:p>
    <w:p>
      <w:pPr>
        <w:pStyle w:val="1065"/>
        <w:jc w:val="center"/>
        <w:spacing w:line="360" w:lineRule="exact"/>
        <w:rPr>
          <w:rFonts w:ascii="Calibri" w:hAnsi="Calibri"/>
          <w:b/>
          <w:sz w:val="32"/>
          <w:szCs w:val="32"/>
        </w:rPr>
      </w:pPr>
      <w:r>
        <w:rPr>
          <w:rFonts w:hint="eastAsia" w:cs="宋体"/>
          <w:b/>
          <w:sz w:val="32"/>
          <w:szCs w:val="32"/>
          <w:lang w:bidi="ar"/>
        </w:rPr>
        <w:t xml:space="preserve">第二部分</w:t>
      </w:r>
      <w:r>
        <w:rPr>
          <w:b/>
          <w:sz w:val="32"/>
          <w:szCs w:val="32"/>
          <w:lang w:bidi="ar"/>
        </w:rPr>
        <w:t xml:space="preserve">  </w:t>
      </w:r>
      <w:r>
        <w:rPr>
          <w:rFonts w:hint="eastAsia" w:cs="宋体"/>
          <w:b/>
          <w:sz w:val="32"/>
          <w:szCs w:val="32"/>
          <w:lang w:bidi="ar"/>
        </w:rPr>
        <w:t xml:space="preserve">合同条款</w:t>
      </w:r>
      <w:r>
        <w:rPr>
          <w:rFonts w:ascii="Calibri" w:hAnsi="Calibri"/>
          <w:b/>
          <w:sz w:val="32"/>
          <w:szCs w:val="32"/>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 一般约定</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1.1词语定义</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1.1.1合同</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1.1.1其他合同文件包括：招标文件、答疑纪要、工程量清单及编制说明、投标（响应）文件及双方其他书面约定。</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1.1.2合同当事人及其他相关方</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1.1.2.1项目管理公司：</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名　　称：</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资质类别和等级：</w:t>
      </w:r>
      <w:r>
        <w:rPr>
          <w:rFonts w:hint="eastAsia" w:ascii="宋体" w:hAnsi="宋体" w:cs="宋体"/>
          <w:szCs w:val="21"/>
          <w:u w:val="single"/>
          <w:lang w:bidi="ar"/>
        </w:rPr>
        <w:t xml:space="preserve">       /              ；</w:t>
      </w:r>
      <w:r>
        <w:rPr>
          <w:rFonts w:hint="eastAsia" w:ascii="宋体" w:hAnsi="宋体" w:cs="宋体"/>
          <w:szCs w:val="21"/>
          <w:u w:val="single"/>
        </w:rPr>
      </w:r>
      <w:r/>
    </w:p>
    <w:p>
      <w:pPr>
        <w:pStyle w:val="1065"/>
        <w:ind w:firstLine="420"/>
        <w:spacing w:line="400" w:lineRule="exact"/>
        <w:tabs>
          <w:tab w:val="left" w:pos="5228" w:leader="none"/>
        </w:tabs>
        <w:rPr>
          <w:rFonts w:hint="eastAsia" w:ascii="宋体" w:hAnsi="宋体" w:cs="宋体"/>
          <w:szCs w:val="21"/>
          <w:u w:val="single"/>
        </w:rPr>
      </w:pPr>
      <w:r>
        <w:rPr>
          <w:rFonts w:hint="eastAsia" w:ascii="宋体" w:hAnsi="宋体" w:cs="宋体"/>
          <w:szCs w:val="21"/>
          <w:lang w:bidi="ar"/>
        </w:rPr>
        <w:t xml:space="preserve">联系电话：</w:t>
      </w:r>
      <w:r>
        <w:rPr>
          <w:rFonts w:hint="eastAsia" w:ascii="宋体" w:hAnsi="宋体" w:cs="宋体"/>
          <w:szCs w:val="21"/>
          <w:u w:val="single"/>
          <w:lang w:bidi="ar"/>
        </w:rPr>
        <w:t xml:space="preserve">           /    ；</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通信地址：</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1.2工程和设备</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1.2.1作为施工现场组成部分的其他场所包括：乙方自行解决</w:t>
      </w:r>
      <w:r>
        <w:rPr>
          <w:rFonts w:hint="eastAsia" w:ascii="宋体" w:hAnsi="宋体" w:cs="宋体"/>
          <w:szCs w:val="21"/>
          <w:u w:val="single"/>
          <w:lang w:bidi="ar"/>
        </w:rPr>
        <w:t xml:space="preserve">现场临时办公、施工场地</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1.2.2永久占地包括：</w:t>
      </w:r>
      <w:r>
        <w:rPr>
          <w:rFonts w:hint="eastAsia" w:ascii="宋体" w:hAnsi="宋体" w:cs="宋体"/>
          <w:szCs w:val="21"/>
          <w:u w:val="single"/>
          <w:lang w:bidi="ar"/>
        </w:rPr>
        <w:t xml:space="preserve">无。</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1.2.3临时占地包括：</w:t>
      </w:r>
      <w:r>
        <w:rPr>
          <w:rFonts w:hint="eastAsia" w:ascii="宋体" w:hAnsi="宋体" w:cs="宋体"/>
          <w:szCs w:val="21"/>
          <w:u w:val="single"/>
          <w:lang w:bidi="ar"/>
        </w:rPr>
        <w:t xml:space="preserve">合同履行中确定。</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1.3法律</w:t>
      </w:r>
      <w:r>
        <w:rPr>
          <w:rFonts w:hint="eastAsia" w:ascii="宋体" w:hAnsi="宋体" w:cs="宋体"/>
          <w:b/>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适用于合同的其他规范性文件：</w:t>
      </w:r>
      <w:r>
        <w:rPr>
          <w:rFonts w:hint="eastAsia" w:ascii="宋体" w:hAnsi="宋体" w:cs="宋体"/>
          <w:szCs w:val="21"/>
          <w:u w:val="single"/>
          <w:lang w:bidi="ar"/>
        </w:rPr>
        <w:t xml:space="preserve">《中华人</w:t>
      </w:r>
      <w:r>
        <w:rPr>
          <w:rFonts w:hint="eastAsia" w:ascii="宋体" w:hAnsi="宋体" w:cs="宋体"/>
          <w:szCs w:val="21"/>
          <w:u w:val="single"/>
          <w:lang w:bidi="ar"/>
        </w:rPr>
        <w:t xml:space="preserve">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1.4标准和规范</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1.4.1适用于工程的标准规范包括：有关建设工程的标准和规范、规程，建筑质量验收评定标准，施工图纸以及设计文件所载明的标准、规范、规程等。</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1.4.2甲方提供国外标准、规范的名称：</w:t>
      </w:r>
      <w:r>
        <w:rPr>
          <w:rFonts w:hint="eastAsia" w:ascii="宋体" w:hAnsi="宋体" w:cs="宋体"/>
          <w:szCs w:val="21"/>
          <w:u w:val="single"/>
          <w:lang w:bidi="ar"/>
        </w:rPr>
        <w:t xml:space="preserve">无。</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甲方提供国外标准、规范的份数：</w:t>
      </w:r>
      <w:r>
        <w:rPr>
          <w:rFonts w:hint="eastAsia" w:ascii="宋体" w:hAnsi="宋体" w:cs="宋体"/>
          <w:szCs w:val="21"/>
          <w:u w:val="single"/>
          <w:lang w:bidi="ar"/>
        </w:rPr>
        <w:t xml:space="preserve">无。</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甲方提供国外标准、规范的名称：</w:t>
      </w:r>
      <w:r>
        <w:rPr>
          <w:rFonts w:hint="eastAsia" w:ascii="宋体" w:hAnsi="宋体" w:cs="宋体"/>
          <w:szCs w:val="21"/>
          <w:u w:val="single"/>
          <w:lang w:bidi="ar"/>
        </w:rPr>
        <w:t xml:space="preserve">无。</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1.4.3甲方对工程的技术标准和功能要求的特殊要求：</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1.5合同文件的优先顺序</w:t>
      </w:r>
      <w:r>
        <w:rPr>
          <w:rFonts w:hint="eastAsia" w:ascii="宋体" w:hAnsi="宋体" w:cs="宋体"/>
          <w:b/>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合同文件组成及优先顺序为：</w:t>
      </w:r>
      <w:r>
        <w:rPr>
          <w:rFonts w:hint="eastAsia" w:ascii="宋体" w:hAnsi="宋体" w:cs="宋体"/>
          <w:szCs w:val="21"/>
          <w:u w:val="single"/>
          <w:lang w:bidi="ar"/>
        </w:rPr>
        <w:t xml:space="preserve">（1）合同书；（2）中标通知书；（3）投标函及其附录；（4）技术标准和要求；（5）工程量清单编制说明及已标价工程量清单；（6）其他文件。</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1.6乙方文件</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1.6.1乙方文件：</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需要由乙方提供的文件，包括：</w:t>
      </w:r>
      <w:r>
        <w:rPr>
          <w:rFonts w:hint="eastAsia" w:ascii="宋体" w:hAnsi="宋体" w:cs="宋体"/>
          <w:szCs w:val="21"/>
          <w:u w:val="single"/>
          <w:lang w:bidi="ar"/>
        </w:rPr>
        <w:t xml:space="preserve">但不限于甲方和监理人要求的各类报表、验收资料及竣工资料等；</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乙方提供的文件的期限为：</w:t>
      </w:r>
      <w:r>
        <w:rPr>
          <w:rFonts w:hint="eastAsia" w:ascii="宋体" w:hAnsi="宋体" w:cs="宋体"/>
          <w:szCs w:val="21"/>
          <w:u w:val="single"/>
          <w:lang w:bidi="ar"/>
        </w:rPr>
        <w:t xml:space="preserve">甲方提出要求7天内；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乙方提供的文件的数量为：</w:t>
      </w:r>
      <w:r>
        <w:rPr>
          <w:rFonts w:hint="eastAsia" w:ascii="宋体" w:hAnsi="宋体" w:cs="宋体"/>
          <w:szCs w:val="21"/>
          <w:u w:val="single"/>
          <w:lang w:bidi="ar"/>
        </w:rPr>
        <w:t xml:space="preserve">一式肆份；</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乙方提供的文件的形式为：</w:t>
      </w:r>
      <w:r>
        <w:rPr>
          <w:rFonts w:hint="eastAsia" w:ascii="宋体" w:hAnsi="宋体" w:cs="宋体"/>
          <w:szCs w:val="21"/>
          <w:u w:val="single"/>
          <w:lang w:bidi="ar"/>
        </w:rPr>
        <w:t xml:space="preserve">纸质和电子文件；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甲方审批乙</w:t>
      </w:r>
      <w:r>
        <w:rPr>
          <w:rFonts w:hint="eastAsia" w:ascii="宋体" w:hAnsi="宋体" w:cs="宋体"/>
          <w:szCs w:val="21"/>
          <w:lang w:bidi="ar"/>
        </w:rPr>
        <w:t xml:space="preserve">方文件的期限：</w:t>
      </w:r>
      <w:r>
        <w:rPr>
          <w:rFonts w:hint="eastAsia" w:ascii="宋体" w:hAnsi="宋体" w:cs="宋体"/>
          <w:szCs w:val="21"/>
          <w:u w:val="single"/>
          <w:lang w:bidi="ar"/>
        </w:rPr>
        <w:t xml:space="preserve">乙方提供相应文件后7天内。</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1.7联络</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1.7.1甲方和乙方应当在</w:t>
      </w:r>
      <w:r>
        <w:rPr>
          <w:rFonts w:hint="eastAsia" w:ascii="宋体" w:hAnsi="宋体" w:cs="宋体"/>
          <w:szCs w:val="21"/>
          <w:u w:val="single"/>
          <w:lang w:bidi="ar"/>
        </w:rPr>
        <w:t xml:space="preserve"> 7 </w:t>
      </w:r>
      <w:r>
        <w:rPr>
          <w:rFonts w:hint="eastAsia" w:ascii="宋体" w:hAnsi="宋体" w:cs="宋体"/>
          <w:szCs w:val="21"/>
          <w:lang w:bidi="ar"/>
        </w:rPr>
        <w:t xml:space="preserve">天内将与合同有关的通知、批准、证明、证书、指示、指令、要求、请求、同意、意见、确定和决定等书面函件送达对方当事人。</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1.7.2甲方接收文件的地点：现场办公室；</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甲方指定的接收人为：</w:t>
      </w:r>
      <w:r>
        <w:rPr>
          <w:rFonts w:hint="eastAsia" w:ascii="宋体" w:hAnsi="宋体" w:cs="宋体"/>
          <w:szCs w:val="21"/>
          <w:u w:val="single"/>
          <w:lang w:bidi="ar"/>
        </w:rPr>
        <w:t xml:space="preserve">甲方代表或其授权代表；</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乙方接收文件的地点：</w:t>
      </w:r>
      <w:r>
        <w:rPr>
          <w:rFonts w:hint="eastAsia" w:ascii="宋体" w:hAnsi="宋体" w:cs="宋体"/>
          <w:szCs w:val="21"/>
          <w:u w:val="single"/>
          <w:lang w:bidi="ar"/>
        </w:rPr>
        <w:t xml:space="preserve">现场办公室；</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乙方指定的接收人为：</w:t>
      </w:r>
      <w:r>
        <w:rPr>
          <w:rFonts w:hint="eastAsia" w:ascii="宋体" w:hAnsi="宋体" w:cs="宋体"/>
          <w:szCs w:val="21"/>
          <w:u w:val="single"/>
          <w:lang w:bidi="ar"/>
        </w:rPr>
        <w:t xml:space="preserve">项目经理或其授权代表；</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项目管理公司及监理人接收文件的地点：</w:t>
      </w:r>
      <w:r>
        <w:rPr>
          <w:rFonts w:hint="eastAsia" w:ascii="宋体" w:hAnsi="宋体" w:cs="宋体"/>
          <w:szCs w:val="21"/>
          <w:u w:val="single"/>
          <w:lang w:bidi="ar"/>
        </w:rPr>
        <w:t xml:space="preserve">现场办公室；</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项目管理公司及监理人指定的接收人为：</w:t>
      </w:r>
      <w:r>
        <w:rPr>
          <w:rFonts w:hint="eastAsia" w:ascii="宋体" w:hAnsi="宋体" w:cs="宋体"/>
          <w:szCs w:val="21"/>
          <w:u w:val="single"/>
          <w:lang w:bidi="ar"/>
        </w:rPr>
        <w:t xml:space="preserve">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1.8交通运输</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1.8.1　出入现场的权利</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关于出入现场的权利的约定：</w:t>
      </w:r>
      <w:r>
        <w:rPr>
          <w:rFonts w:hint="eastAsia" w:ascii="宋体" w:hAnsi="宋体" w:cs="宋体"/>
          <w:szCs w:val="21"/>
          <w:u w:val="single"/>
          <w:lang w:bidi="ar"/>
        </w:rPr>
        <w:t xml:space="preserve">按甲方要求执行。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1.8.2场内交通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关于场外交通和场内交通的边界的约定：</w:t>
      </w:r>
      <w:r>
        <w:rPr>
          <w:rFonts w:hint="eastAsia" w:ascii="宋体" w:hAnsi="宋体" w:cs="宋体"/>
          <w:szCs w:val="21"/>
          <w:u w:val="single"/>
          <w:lang w:bidi="ar"/>
        </w:rPr>
        <w:t xml:space="preserve">以现场实际条件为准。</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关于甲方向乙方免费提供满足工程施工需要的场内道路和交通设施的约定：</w:t>
      </w:r>
      <w:r>
        <w:rPr>
          <w:rFonts w:hint="eastAsia" w:ascii="宋体" w:hAnsi="宋体" w:cs="宋体"/>
          <w:szCs w:val="21"/>
          <w:u w:val="single"/>
          <w:lang w:bidi="ar"/>
        </w:rPr>
        <w:t xml:space="preserve">以现场实际施工条件为准。</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1.8.3超大件和超重件的运输</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运输超大件或超重件所需的道路和桥梁临时加固改造费用和其他有关费用由乙方承担。</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1.9知识产权</w:t>
      </w:r>
      <w:r>
        <w:rPr>
          <w:rFonts w:hint="eastAsia" w:ascii="宋体" w:hAnsi="宋体" w:cs="宋体"/>
          <w:b/>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1.9.1关于甲方提供给乙方的图纸、甲方为实施工程自行编制或委托编制的技术规范以及反映甲方关于合同要求或其他类似性质的文件的著作权的归属：</w:t>
      </w:r>
      <w:r>
        <w:rPr>
          <w:rFonts w:hint="eastAsia" w:ascii="宋体" w:hAnsi="宋体" w:cs="宋体"/>
          <w:bCs/>
          <w:szCs w:val="21"/>
          <w:u w:val="single"/>
          <w:lang w:bidi="ar"/>
        </w:rPr>
        <w:t xml:space="preserve">归甲方所有。</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关于甲方提供的上述文件</w:t>
      </w:r>
      <w:r>
        <w:rPr>
          <w:rFonts w:hint="eastAsia" w:ascii="宋体" w:hAnsi="宋体" w:cs="宋体"/>
          <w:bCs/>
          <w:szCs w:val="21"/>
          <w:lang w:bidi="ar"/>
        </w:rPr>
        <w:t xml:space="preserve">的使用限制的要求：由甲方和监理人提供的图纸和其他文件未经甲方许可，乙方不得用于或转给第三方，为此乙方自愿按国家有关法律法规和政策及本合同约定履行保密义务。</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1.9.2关于乙方为实施工程所编制文件的著作权的归属：</w:t>
      </w:r>
      <w:r>
        <w:rPr>
          <w:rFonts w:hint="eastAsia" w:ascii="宋体" w:hAnsi="宋体" w:cs="宋体"/>
          <w:bCs/>
          <w:szCs w:val="21"/>
          <w:u w:val="single"/>
          <w:lang w:bidi="ar"/>
        </w:rPr>
        <w:t xml:space="preserve">归乙方所有。</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关于乙方提供的上述文件的使用限制的要求</w:t>
      </w:r>
      <w:r>
        <w:rPr>
          <w:rFonts w:hint="eastAsia" w:ascii="宋体" w:hAnsi="宋体" w:cs="宋体"/>
          <w:bCs/>
          <w:szCs w:val="21"/>
          <w:u w:val="single"/>
          <w:lang w:bidi="ar"/>
        </w:rPr>
        <w:t xml:space="preserve">：仅限于此工程项目。</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1.9.3乙方在施工过程中所采用的专利、专有技术、技术秘密的使用费的承担方式：执行通用条款。</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1.10工程量清单错误的修正</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出现工程量清单错误时，是否调整合同价格：</w:t>
      </w:r>
      <w:r>
        <w:rPr>
          <w:rFonts w:hint="eastAsia" w:ascii="宋体" w:hAnsi="宋体" w:cs="宋体"/>
          <w:bCs/>
          <w:szCs w:val="21"/>
          <w:u w:val="single"/>
          <w:lang w:bidi="ar"/>
        </w:rPr>
        <w:t xml:space="preserve">参照10.变更条款。</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允许调整合同价格的工程量偏差范围：</w:t>
      </w:r>
      <w:r>
        <w:rPr>
          <w:rFonts w:hint="eastAsia" w:ascii="宋体" w:hAnsi="宋体" w:cs="宋体"/>
          <w:bCs/>
          <w:szCs w:val="21"/>
          <w:u w:val="single"/>
          <w:lang w:bidi="ar"/>
        </w:rPr>
        <w:t xml:space="preserve"> / 。</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2.甲方</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2.1甲方代表</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甲方代表：</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姓　　名：</w:t>
      </w:r>
      <w:r>
        <w:rPr>
          <w:rFonts w:hint="eastAsia" w:ascii="宋体" w:hAnsi="宋体" w:cs="宋体"/>
          <w:bCs/>
          <w:szCs w:val="21"/>
          <w:u w:val="single"/>
          <w:lang w:bidi="ar"/>
        </w:rPr>
        <w:t xml:space="preserve">      ；</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身份证号：</w:t>
      </w:r>
      <w:r>
        <w:rPr>
          <w:rFonts w:hint="eastAsia" w:ascii="宋体" w:hAnsi="宋体" w:cs="宋体"/>
          <w:bCs/>
          <w:szCs w:val="21"/>
          <w:u w:val="single"/>
          <w:lang w:bidi="ar"/>
        </w:rPr>
        <w:t xml:space="preserve">          ；</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职　　务：项目负责人；</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联系电话：</w:t>
      </w:r>
      <w:r>
        <w:rPr>
          <w:rFonts w:hint="eastAsia" w:ascii="宋体" w:hAnsi="宋体" w:cs="宋体"/>
          <w:bCs/>
          <w:szCs w:val="21"/>
          <w:u w:val="single"/>
          <w:lang w:bidi="ar"/>
        </w:rPr>
        <w:t xml:space="preserve">        ；</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通信地址：</w:t>
      </w:r>
      <w:r>
        <w:rPr>
          <w:rFonts w:hint="eastAsia" w:ascii="宋体" w:hAnsi="宋体" w:cs="宋体"/>
          <w:bCs/>
          <w:szCs w:val="21"/>
          <w:u w:val="single"/>
          <w:lang w:bidi="ar"/>
        </w:rPr>
        <w:t xml:space="preserve">常州市武进区滆湖中路53号。</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甲方对甲方代表的授权范围如下：</w:t>
      </w:r>
      <w:r>
        <w:rPr>
          <w:rFonts w:hint="eastAsia" w:ascii="宋体" w:hAnsi="宋体" w:cs="宋体"/>
          <w:bCs/>
          <w:szCs w:val="21"/>
          <w:u w:val="single"/>
          <w:lang w:bidi="ar"/>
        </w:rPr>
        <w:t xml:space="preserve">按甲方要求执行。</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2.2施工现场、施工条件和基础资料的提供</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2.2.1提供施工现场</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关于甲方移交施工现场的期限要求：</w:t>
      </w:r>
      <w:r>
        <w:rPr>
          <w:rFonts w:hint="eastAsia" w:ascii="宋体" w:hAnsi="宋体" w:cs="宋体"/>
          <w:bCs/>
          <w:szCs w:val="21"/>
          <w:u w:val="single"/>
          <w:lang w:bidi="ar"/>
        </w:rPr>
        <w:t xml:space="preserve">开工前提供，施工现场具备开工条件。</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2.2.2提供施工条件</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关于甲方应负责提供施工所需要的条件，包括：</w:t>
      </w:r>
      <w:r>
        <w:rPr>
          <w:rFonts w:hint="eastAsia" w:ascii="宋体" w:hAnsi="宋体" w:cs="宋体"/>
          <w:bCs/>
          <w:szCs w:val="21"/>
          <w:u w:val="single"/>
          <w:lang w:bidi="ar"/>
        </w:rPr>
        <w:t xml:space="preserve">施工过程中由甲方提供水源和电源接驳点，乙方自行装表计量支付，并承担相关</w:t>
      </w:r>
      <w:r>
        <w:rPr>
          <w:rFonts w:hint="eastAsia" w:ascii="宋体" w:hAnsi="宋体" w:cs="宋体"/>
          <w:bCs/>
          <w:szCs w:val="21"/>
          <w:u w:val="single"/>
          <w:lang w:bidi="ar"/>
        </w:rPr>
        <w:t xml:space="preserve">费用，按实结算。</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2.3资金来源证明及支付担保</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甲方提供资金来源证明的期限要求：</w:t>
      </w:r>
      <w:r>
        <w:rPr>
          <w:rFonts w:hint="eastAsia" w:ascii="宋体" w:hAnsi="宋体" w:cs="宋体"/>
          <w:bCs/>
          <w:szCs w:val="21"/>
          <w:u w:val="single"/>
          <w:lang w:bidi="ar"/>
        </w:rPr>
        <w:t xml:space="preserve">/。</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甲方是否提供支付担保：</w:t>
      </w:r>
      <w:r>
        <w:rPr>
          <w:rFonts w:hint="eastAsia" w:ascii="宋体" w:hAnsi="宋体" w:cs="宋体"/>
          <w:bCs/>
          <w:szCs w:val="21"/>
          <w:u w:val="single"/>
          <w:lang w:bidi="ar"/>
        </w:rPr>
        <w:t xml:space="preserve">否。</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甲方提供支付担保的形式：</w:t>
      </w:r>
      <w:r>
        <w:rPr>
          <w:rFonts w:hint="eastAsia" w:ascii="宋体" w:hAnsi="宋体" w:cs="宋体"/>
          <w:bCs/>
          <w:szCs w:val="21"/>
          <w:u w:val="single"/>
          <w:lang w:bidi="ar"/>
        </w:rPr>
        <w:t xml:space="preserve">无。</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3.乙方</w:t>
      </w:r>
      <w:r>
        <w:rPr>
          <w:rFonts w:hint="eastAsia" w:ascii="宋体" w:hAnsi="宋体" w:cs="宋体"/>
          <w:bCs/>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3.1乙方的一般义务</w:t>
      </w:r>
      <w:r>
        <w:rPr>
          <w:rFonts w:hint="eastAsia" w:ascii="宋体" w:hAnsi="宋体" w:cs="宋体"/>
          <w:b/>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（1）乙方提交的竣工资料的内容：</w:t>
      </w:r>
      <w:r>
        <w:rPr>
          <w:rFonts w:hint="eastAsia" w:ascii="宋体" w:hAnsi="宋体" w:cs="宋体"/>
          <w:bCs/>
          <w:szCs w:val="21"/>
          <w:u w:val="single"/>
          <w:lang w:bidi="ar"/>
        </w:rPr>
        <w:t xml:space="preserve">提交符合工程管理部门要求的竣工资料；并提交完整的结算资料。</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乙方需要提交的竣工资料套数：</w:t>
      </w:r>
      <w:r>
        <w:rPr>
          <w:rFonts w:hint="eastAsia" w:ascii="宋体" w:hAnsi="宋体" w:cs="宋体"/>
          <w:bCs/>
          <w:szCs w:val="21"/>
          <w:u w:val="single"/>
          <w:lang w:bidi="ar"/>
        </w:rPr>
        <w:t xml:space="preserve">一式肆份。</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乙方提交的竣工资料的费用承担：</w:t>
      </w:r>
      <w:r>
        <w:rPr>
          <w:rFonts w:hint="eastAsia" w:ascii="宋体" w:hAnsi="宋体" w:cs="宋体"/>
          <w:bCs/>
          <w:szCs w:val="21"/>
          <w:u w:val="single"/>
          <w:lang w:bidi="ar"/>
        </w:rPr>
        <w:t xml:space="preserve">由乙方自行承担。</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乙方提交的竣工资料移交时间：</w:t>
      </w:r>
      <w:r>
        <w:rPr>
          <w:rFonts w:hint="eastAsia" w:ascii="宋体" w:hAnsi="宋体" w:cs="宋体"/>
          <w:bCs/>
          <w:szCs w:val="21"/>
          <w:u w:val="single"/>
          <w:lang w:bidi="ar"/>
        </w:rPr>
        <w:t xml:space="preserve">竣工验收合格后 30 日内。</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乙方提交的竣工资料形式要求：</w:t>
      </w:r>
      <w:r>
        <w:rPr>
          <w:rFonts w:hint="eastAsia" w:ascii="宋体" w:hAnsi="宋体" w:cs="宋体"/>
          <w:bCs/>
          <w:szCs w:val="21"/>
          <w:u w:val="single"/>
          <w:lang w:bidi="ar"/>
        </w:rPr>
        <w:t xml:space="preserve">纸质和电子文件。</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（2）乙方应履行的其他义务：</w:t>
      </w:r>
      <w:r>
        <w:rPr>
          <w:rFonts w:hint="eastAsia" w:ascii="宋体" w:hAnsi="宋体" w:cs="宋体"/>
          <w:bCs/>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①高（中）考、节假日、市内重大活动期间以及甲方需要的时间段内，可能对施工作出某些限制和配合要求，乙方应予服从，并按照要求作出必要的配合，这可能降低乙方的工效，甲方不向乙方增加费用支付，监理单位下达停工通知单，工期予以顺延。</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②施工周围场地、地下管线和邻近建筑物、构筑物的保护：施工周围场地、地下管线和邻近建筑物、构筑物等，乙方应做好相应保护，不得破坏，否则必须无条件及时修复，并承担由此发生的所有费用，必须安全文明施工。</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3.2项目经理</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3.2.1项目经理：</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姓　　名：</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身份证</w:t>
      </w:r>
      <w:r>
        <w:rPr>
          <w:rFonts w:hint="eastAsia" w:ascii="宋体" w:hAnsi="宋体" w:cs="宋体"/>
          <w:szCs w:val="21"/>
          <w:lang w:bidi="ar"/>
        </w:rPr>
        <w:t xml:space="preserve">号：</w:t>
      </w:r>
      <w:r>
        <w:rPr>
          <w:rFonts w:hint="eastAsia" w:ascii="宋体" w:hAnsi="宋体" w:cs="宋体"/>
          <w:bCs/>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建造师执业资格等级：</w:t>
      </w:r>
      <w:r>
        <w:rPr>
          <w:rFonts w:hint="eastAsia" w:ascii="宋体" w:hAnsi="宋体" w:cs="宋体"/>
          <w:bCs/>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建造师注册证书号：</w:t>
      </w:r>
      <w:r>
        <w:rPr>
          <w:rFonts w:hint="eastAsia" w:ascii="宋体" w:hAnsi="宋体" w:cs="宋体"/>
          <w:szCs w:val="21"/>
          <w:u w:val="single"/>
          <w:lang w:bidi="ar"/>
        </w:rPr>
        <w:t xml:space="preserve">  </w:t>
      </w:r>
      <w:r>
        <w:rPr>
          <w:rFonts w:hint="eastAsia" w:ascii="宋体" w:hAnsi="宋体" w:cs="宋体"/>
          <w:spacing w:val="12"/>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建造师执业印章号：</w:t>
      </w:r>
      <w:r>
        <w:rPr>
          <w:rFonts w:hint="eastAsia" w:ascii="宋体" w:hAnsi="宋体" w:cs="宋体"/>
          <w:szCs w:val="21"/>
          <w:u w:val="single"/>
          <w:lang w:bidi="ar"/>
        </w:rPr>
        <w:t xml:space="preserve"> /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安全生产考核合格证书号：</w:t>
      </w:r>
      <w:r>
        <w:rPr>
          <w:rFonts w:hint="eastAsia" w:ascii="宋体" w:hAnsi="宋体" w:cs="宋体"/>
          <w:bCs/>
          <w:szCs w:val="21"/>
          <w:u w:val="single"/>
          <w:lang w:bidi="ar"/>
        </w:rPr>
        <w:t xml:space="preserve"> </w:t>
      </w:r>
      <w:r>
        <w:rPr>
          <w:rFonts w:hint="eastAsia" w:ascii="宋体" w:hAnsi="宋体" w:cs="宋体"/>
          <w:szCs w:val="21"/>
          <w:u w:val="single"/>
          <w:lang w:bidi="ar"/>
        </w:rPr>
        <w:t xml:space="preserve">        </w:t>
      </w:r>
      <w:r>
        <w:rPr>
          <w:rFonts w:hint="eastAsia" w:ascii="宋体" w:hAnsi="宋体" w:cs="宋体"/>
          <w:bCs/>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联系电话</w:t>
      </w:r>
      <w:r>
        <w:rPr>
          <w:rFonts w:hint="eastAsia" w:ascii="宋体" w:hAnsi="宋体" w:cs="宋体"/>
          <w:bCs/>
          <w:szCs w:val="21"/>
          <w:lang w:bidi="ar"/>
        </w:rPr>
        <w:t xml:space="preserve">：</w:t>
      </w:r>
      <w:r>
        <w:rPr>
          <w:rFonts w:hint="eastAsia" w:ascii="宋体" w:hAnsi="宋体" w:cs="宋体"/>
          <w:bCs/>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3.2.2乙方对项目经理的授权范围如下：</w:t>
      </w:r>
      <w:r>
        <w:rPr>
          <w:rFonts w:hint="eastAsia" w:ascii="宋体" w:hAnsi="宋体" w:cs="宋体"/>
          <w:szCs w:val="21"/>
          <w:u w:val="single"/>
          <w:lang w:bidi="ar"/>
        </w:rPr>
        <w:t xml:space="preserve">代表乙方行使合同约定的权利和义务，履行合同约定的各项职责。</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关于项目经理每月在施工现场的时间要求：</w:t>
      </w:r>
      <w:r>
        <w:rPr>
          <w:rFonts w:hint="eastAsia" w:ascii="宋体" w:hAnsi="宋体" w:cs="宋体"/>
          <w:szCs w:val="21"/>
          <w:u w:val="single"/>
          <w:lang w:bidi="ar"/>
        </w:rPr>
        <w:t xml:space="preserve">项目经理每周到岗天数不少于5日，每日工作时间不低于6小时，并24小时保持通讯畅通；同时必须按规定参加工程例会。</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项目经理未经批准，擅自离开施工现场的违约责任：由甲方与监理人对项目经理进行考勤，如低于上述规定的天数和工作时间，作违约处理，乙方向甲方支付违约金5000元/天。工程例会项目经理必须准时到场，否则不到场的应支付违约金500元/次，迟到的应支付违约金100元/次；项目经理不能到会的必须书面向监理人及甲方请假，否则视为严重违约，甲方有权解除合同，并令乙方清退出场，解除合同的同时不免除乙方应当承担的上述违约责任。</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3.2.3乙方擅自更换项目经理的违约责任：</w:t>
      </w:r>
      <w:r>
        <w:rPr>
          <w:rFonts w:hint="eastAsia" w:ascii="宋体" w:hAnsi="宋体" w:cs="宋体"/>
          <w:szCs w:val="21"/>
          <w:u w:val="single"/>
          <w:lang w:bidi="ar"/>
        </w:rPr>
        <w:t xml:space="preserve">本工程中标的项目经理不得更换，如乙方擅自更换，则甲方有权解除合同，同时追回已支付的</w:t>
      </w:r>
      <w:r>
        <w:rPr>
          <w:rFonts w:hint="eastAsia" w:ascii="宋体" w:hAnsi="宋体" w:cs="宋体"/>
          <w:szCs w:val="21"/>
          <w:u w:val="single"/>
          <w:lang w:bidi="ar"/>
        </w:rPr>
        <w:t xml:space="preserve">工程款项，并报常州市建设局备案。如确有特殊原因需更换项目经理，需经甲方同意，且更换后的项目经理资历条件不得低于乙方投标（响应）文件中注明的项目经理的资质条件。</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3.2.4乙方无正当理由拒绝更换项目经理的违约责任：</w:t>
      </w:r>
      <w:r>
        <w:rPr>
          <w:rFonts w:hint="eastAsia" w:ascii="宋体" w:hAnsi="宋体" w:cs="宋体"/>
          <w:szCs w:val="21"/>
          <w:u w:val="single"/>
          <w:lang w:bidi="ar"/>
        </w:rPr>
        <w:t xml:space="preserve">甲方有证据确认本工程乙方项目经理无法胜任或者不能配合监理人及甲方正常工作的，经甲方提出后，乙方必须在 24 小时内将该项目经理调离本工程范围，并在 3 天内用甲方批准的项目经理代替上述调离的中标项目经理，否则乙方需支付违约金1000元/天。</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3.3乙方人员</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3.3.1乙方提交项目管理机构及施工现场管理人员安排报告的期限：</w:t>
      </w:r>
      <w:r>
        <w:rPr>
          <w:rFonts w:hint="eastAsia" w:ascii="宋体" w:hAnsi="宋体" w:cs="宋体"/>
          <w:szCs w:val="21"/>
          <w:u w:val="single"/>
          <w:lang w:bidi="ar"/>
        </w:rPr>
        <w:t xml:space="preserve">开工前7天。</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3.3.1乙方无正当理由拒绝撤换主要施工管理人员的违约责任：</w:t>
      </w:r>
      <w:r>
        <w:rPr>
          <w:rFonts w:hint="eastAsia" w:ascii="宋体" w:hAnsi="宋体" w:cs="宋体"/>
          <w:szCs w:val="21"/>
          <w:u w:val="single"/>
          <w:lang w:bidi="ar"/>
        </w:rPr>
        <w:t xml:space="preserve">甲方有证据确认本工程投标书中的施工员、安全员和质量员无法胜任或者不能积极配合监理人及甲方正常工作的，经甲方提出后，必须在 24 小时内调离本工程范围，否则向甲方支付 1000元/人·天违约金；同时乙方应在 3 天内用甲方批准的主要施工管理人员代替上述调离的主要施工管理人员。</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3.3.2乙方主要施工管理人员包括</w:t>
      </w:r>
      <w:r>
        <w:rPr>
          <w:rFonts w:hint="eastAsia" w:ascii="宋体" w:hAnsi="宋体" w:cs="宋体"/>
          <w:szCs w:val="21"/>
          <w:u w:val="single"/>
          <w:lang w:bidi="ar"/>
        </w:rPr>
        <w:t xml:space="preserve">项目经理、施工员、安全员、材料员和质量员。</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3.3.3乙方擅自更换主要施工管理人员的违约责任：</w:t>
      </w:r>
      <w:r>
        <w:rPr>
          <w:rFonts w:hint="eastAsia" w:ascii="宋体" w:hAnsi="宋体" w:cs="宋体"/>
          <w:szCs w:val="21"/>
          <w:u w:val="single"/>
          <w:lang w:bidi="ar"/>
        </w:rPr>
        <w:t xml:space="preserve">甲方要求乙方</w:t>
      </w:r>
      <w:r>
        <w:rPr>
          <w:rFonts w:hint="eastAsia" w:ascii="宋体" w:hAnsi="宋体" w:cs="宋体"/>
          <w:szCs w:val="21"/>
          <w:u w:val="single"/>
          <w:lang w:bidi="ar"/>
        </w:rPr>
        <w:t xml:space="preserve">投标书中的</w:t>
      </w:r>
      <w:r>
        <w:rPr>
          <w:rFonts w:hint="eastAsia" w:ascii="宋体" w:hAnsi="宋体" w:cs="宋体"/>
          <w:szCs w:val="21"/>
          <w:lang w:bidi="ar"/>
        </w:rPr>
        <w:t xml:space="preserve">主要施工管理人员</w:t>
      </w:r>
      <w:r>
        <w:rPr>
          <w:rFonts w:hint="eastAsia" w:ascii="宋体" w:hAnsi="宋体" w:cs="宋体"/>
          <w:szCs w:val="21"/>
          <w:u w:val="single"/>
          <w:lang w:bidi="ar"/>
        </w:rPr>
        <w:t xml:space="preserve">到位。未经甲方同意，乙方施工作业期间擅自更换</w:t>
      </w:r>
      <w:r>
        <w:rPr>
          <w:rFonts w:hint="eastAsia" w:ascii="宋体" w:hAnsi="宋体" w:cs="宋体"/>
          <w:szCs w:val="21"/>
          <w:lang w:bidi="ar"/>
        </w:rPr>
        <w:t xml:space="preserve">主要施工管理人员</w:t>
      </w:r>
      <w:r>
        <w:rPr>
          <w:rFonts w:hint="eastAsia" w:ascii="宋体" w:hAnsi="宋体" w:cs="宋体"/>
          <w:szCs w:val="21"/>
          <w:u w:val="single"/>
          <w:lang w:bidi="ar"/>
        </w:rPr>
        <w:t xml:space="preserve">，需承担违约金1万元/人(主要施工管理人员发生意外事故或突发重病的除外) 。</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乙方主要施工管理人员擅自离开施工现场的违约责任：</w:t>
      </w:r>
      <w:r>
        <w:rPr>
          <w:rFonts w:hint="eastAsia" w:ascii="宋体" w:hAnsi="宋体" w:cs="宋体"/>
          <w:szCs w:val="21"/>
          <w:u w:val="single"/>
          <w:lang w:bidi="ar"/>
        </w:rPr>
        <w:t xml:space="preserve">乙方投标书所报主要施工管理人员每日确保到岗，由监理人对主要施工管理人员每日考勤，如达不到上述要求，视为违约，乙方向甲方支付违约金2000元/人·天；工程例会主要施工管理人员必须准时到场，不到场处罚200元/次，迟到100元/次，有事必须出具书面请假条报监理人认可。</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3.3.4因场地特殊性，乙方主要施工管理人员不得与现场人员发生冲突，需无条件服从甲方管理。</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3.6工程照管与成品、半成品保护</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乙方负责照管工程及工程相关的材料、工程设备的起始时间：</w:t>
      </w:r>
      <w:r>
        <w:rPr>
          <w:rFonts w:hint="eastAsia" w:ascii="宋体" w:hAnsi="宋体" w:cs="宋体"/>
          <w:szCs w:val="21"/>
          <w:u w:val="single"/>
          <w:lang w:bidi="ar"/>
        </w:rPr>
        <w:t xml:space="preserve">已完工工程未交付甲方之前，乙方应负责保护工作，保护工作期间发生损坏，乙方自费修复。</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3.7履约担保</w:t>
      </w:r>
      <w:r>
        <w:rPr>
          <w:rFonts w:hint="eastAsia" w:ascii="宋体" w:hAnsi="宋体" w:cs="宋体"/>
          <w:b/>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乙方是否提供履约担保：</w:t>
      </w:r>
      <w:r>
        <w:rPr>
          <w:rFonts w:hint="eastAsia" w:ascii="宋体" w:hAnsi="宋体" w:cs="宋体"/>
          <w:szCs w:val="21"/>
          <w:u w:val="single"/>
          <w:lang w:bidi="ar"/>
        </w:rPr>
        <w:t xml:space="preserve">不提供。</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乙方提供履约担保的形式、金额及期限的：</w:t>
      </w:r>
      <w:r>
        <w:rPr>
          <w:rFonts w:hint="eastAsia" w:ascii="宋体" w:hAnsi="宋体" w:cs="宋体"/>
          <w:szCs w:val="21"/>
          <w:u w:val="single"/>
          <w:lang w:bidi="ar"/>
        </w:rPr>
        <w:t xml:space="preserve"> / </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4.项目管理公司及监理人  </w:t>
      </w:r>
      <w:r>
        <w:rPr>
          <w:rFonts w:hint="eastAsia" w:ascii="宋体" w:hAnsi="宋体" w:cs="宋体"/>
          <w:szCs w:val="21"/>
          <w:u w:val="single"/>
          <w:lang w:bidi="ar"/>
        </w:rPr>
        <w:t xml:space="preserve">         /               </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4.1项目管理公司及监理人的一般规定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关于项目管理公司及监理人的监理内容：</w:t>
      </w:r>
      <w:r>
        <w:rPr>
          <w:rFonts w:hint="eastAsia" w:ascii="宋体" w:hAnsi="宋体" w:cs="宋体"/>
          <w:szCs w:val="21"/>
          <w:u w:val="single"/>
          <w:lang w:bidi="ar"/>
        </w:rPr>
        <w:t xml:space="preserve">按监理合同执行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关于项目管理公司及</w:t>
      </w:r>
      <w:r>
        <w:rPr>
          <w:rFonts w:hint="eastAsia" w:ascii="宋体" w:hAnsi="宋体" w:cs="宋体"/>
          <w:szCs w:val="21"/>
          <w:lang w:bidi="ar"/>
        </w:rPr>
        <w:t xml:space="preserve">监理人的监理权限：</w:t>
      </w:r>
      <w:r>
        <w:rPr>
          <w:rFonts w:hint="eastAsia" w:ascii="宋体" w:hAnsi="宋体" w:cs="宋体"/>
          <w:szCs w:val="21"/>
          <w:u w:val="single"/>
          <w:lang w:bidi="ar"/>
        </w:rPr>
        <w:t xml:space="preserve">按监理合同执行。</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关于项目管理公司及监理人在施工现场的办公场所、生活场所的提供和费用承担的约定：</w:t>
      </w:r>
      <w:r>
        <w:rPr>
          <w:rFonts w:hint="eastAsia" w:ascii="宋体" w:hAnsi="宋体" w:cs="宋体"/>
          <w:szCs w:val="21"/>
          <w:u w:val="single"/>
          <w:lang w:bidi="ar"/>
        </w:rPr>
        <w:t xml:space="preserve">按监理合同执行。</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4.2商定或确定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在甲方和乙方不能通过协商达成一致意见时，甲方授权监理人对以下事项进行确定：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u w:val="single"/>
          <w:lang w:bidi="ar"/>
        </w:rPr>
        <w:t xml:space="preserve">另行协商；</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u w:val="single"/>
          <w:lang w:bidi="ar"/>
        </w:rPr>
        <w:t xml:space="preserve">/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5.工程质量</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5.1质量要求</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5.1.1特殊质量标准和要求：</w:t>
      </w:r>
      <w:r>
        <w:rPr>
          <w:rFonts w:hint="eastAsia" w:ascii="宋体" w:hAnsi="宋体" w:cs="宋体"/>
          <w:szCs w:val="21"/>
          <w:u w:val="single"/>
          <w:lang w:bidi="ar"/>
        </w:rPr>
        <w:t xml:space="preserve">合格</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关于工程奖项的约定：</w:t>
      </w:r>
      <w:r>
        <w:rPr>
          <w:rFonts w:hint="eastAsia" w:ascii="宋体" w:hAnsi="宋体" w:cs="宋体"/>
          <w:szCs w:val="21"/>
          <w:u w:val="single"/>
          <w:lang w:bidi="ar"/>
        </w:rPr>
        <w:t xml:space="preserve">（1）如因乙方自身原因未能达到质量合格的分部分项工程，除返工合格外，另按相应费用（分部分项工程费+该分部分项工程实际计量的单价措施项目费-工程设备费）的3%承担违约金，并承担由此造成的相应损失。（2）本工程不得影响建设单位评优。</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5.2隐蔽工程检查</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5.2.1乙方提前通知监理人隐蔽工程检查的期限的约定：</w:t>
      </w:r>
      <w:r>
        <w:rPr>
          <w:rFonts w:hint="eastAsia" w:ascii="宋体" w:hAnsi="宋体" w:cs="宋体"/>
          <w:szCs w:val="21"/>
          <w:u w:val="single"/>
          <w:lang w:bidi="ar"/>
        </w:rPr>
        <w:t xml:space="preserve">书面申报材料后24小时内。监理人不能按时进行检查时，应提前24小时提交书面延期要求，监理单位在施工过程中严格按照相关法律法规进行监理。</w:t>
      </w: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48小时。</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6.安全文明施工与环境保护</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6.1安全文明施工</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6.1.1项目安全生产的达标目标及相应事项的约定：</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（1）乙方在施工期间须针对周边情况做好防尘降噪工作，应遵守《中华人民共和国安全生产法》及地方政府和有关部门对</w:t>
      </w:r>
      <w:r>
        <w:rPr>
          <w:rFonts w:hint="eastAsia" w:ascii="宋体" w:hAnsi="宋体" w:cs="宋体"/>
          <w:szCs w:val="21"/>
          <w:u w:val="single"/>
          <w:lang w:bidi="ar"/>
        </w:rPr>
        <w:t xml:space="preserve">施工场地交通、噪声、污水、现场环境卫生和场外污染等管理规定并办理有关手续。</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u w:val="single"/>
          <w:lang w:bidi="ar"/>
        </w:rPr>
        <w:t xml:space="preserve">（2）乙方须做好文明施工、安全生产，在施工过程中应完善文明施工措施，在施工过程中造成的安全事故由乙方承担。</w:t>
      </w:r>
      <w:r>
        <w:rPr>
          <w:rFonts w:hint="eastAsia" w:ascii="宋体" w:hAnsi="宋体" w:cs="宋体"/>
          <w:bCs/>
          <w:szCs w:val="22"/>
          <w:lang w:bidi="ar"/>
        </w:rPr>
        <w:t xml:space="preserve">如造成甲方、乙方、第三方人身损害、财产损失的，均由乙方承担全部赔偿责任。</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6.1.2关于治安保卫的特别约定：</w:t>
      </w:r>
      <w:r>
        <w:rPr>
          <w:rFonts w:hint="eastAsia" w:ascii="宋体" w:hAnsi="宋体" w:cs="宋体"/>
          <w:szCs w:val="21"/>
          <w:u w:val="single"/>
          <w:lang w:bidi="ar"/>
        </w:rPr>
        <w:t xml:space="preserve">乙方应采取必要的安全防护措施，并承担因乙方因该项工作不力而造成的相应损失。</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关于编制施工场地治安管理计划的约定：</w:t>
      </w:r>
      <w:r>
        <w:rPr>
          <w:rFonts w:hint="eastAsia" w:ascii="宋体" w:hAnsi="宋体" w:cs="宋体"/>
          <w:szCs w:val="21"/>
          <w:u w:val="single"/>
          <w:lang w:bidi="ar"/>
        </w:rPr>
        <w:t xml:space="preserve">乙方应在开工7天内编制施工场地治安管理计划。</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6.1.3文明施工</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合同当事人对文明施工的要求：</w:t>
      </w:r>
      <w:r>
        <w:rPr>
          <w:rFonts w:hint="eastAsia" w:ascii="宋体" w:hAnsi="宋体" w:cs="宋体"/>
          <w:szCs w:val="21"/>
          <w:u w:val="single"/>
          <w:lang w:bidi="ar"/>
        </w:rPr>
        <w:t xml:space="preserve">按国家相关规范、甲方要求。</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6.1.4关于安全文明施工费支付比例和支付期限的约定：付款</w:t>
      </w:r>
      <w:r>
        <w:rPr>
          <w:rFonts w:hint="eastAsia" w:ascii="宋体" w:hAnsi="宋体" w:cs="宋体"/>
          <w:szCs w:val="21"/>
          <w:u w:val="single"/>
          <w:lang w:bidi="ar"/>
        </w:rPr>
        <w:t xml:space="preserve">按12.4付款周期执行，安全文明施工费按照监理现场考核后按比例支付。</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7.工期和进度</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7.1施工组织设计</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7.1.1 合同当事人约定的施工组织设计应包括的其他内容：</w:t>
      </w:r>
      <w:r>
        <w:rPr>
          <w:rFonts w:hint="eastAsia" w:ascii="宋体" w:hAnsi="宋体" w:cs="宋体"/>
          <w:szCs w:val="21"/>
          <w:u w:val="single"/>
          <w:lang w:bidi="ar"/>
        </w:rPr>
        <w:t xml:space="preserve">①进度计划；②主要技术方案；③劳动力安排和设备使用计划；④甲方供应的材料设备的使用计划；⑤甲方对乙方的付款计划；⑥甲方应配合的相关工作及要求；⑦监理人可以根据工程实际情况，书面要求乙方提供进一步的详细说明和其它内容；合同签订后1周内向甲方提供施工组织设计（施工方案）和进度计划1</w:t>
      </w:r>
      <w:r>
        <w:rPr>
          <w:rFonts w:hint="eastAsia" w:ascii="宋体" w:hAnsi="宋体" w:cs="宋体"/>
          <w:szCs w:val="21"/>
          <w:u w:val="single"/>
          <w:lang w:bidi="ar"/>
        </w:rPr>
        <w:t xml:space="preserve">份，进度计划须按甲方的管理要求编制。甲方予以确认或要求乙方进行修改，经确认后，乙方应于2天内提供正式的施工组织设计（施工方案）2份、进度计划1份给甲方，因乙方原因未及时提供合格的施工组织设计（施工方案）、进度计划、未能做好管理配合工作而造成损失的，由乙方承担。</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7.1.2施工组织设计的提交和修改</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乙方提交详细施工组织设计的期限的约定：</w:t>
      </w:r>
      <w:r>
        <w:rPr>
          <w:rFonts w:hint="eastAsia" w:ascii="宋体" w:hAnsi="宋体" w:cs="宋体"/>
          <w:szCs w:val="21"/>
          <w:u w:val="single"/>
          <w:lang w:bidi="ar"/>
        </w:rPr>
        <w:t xml:space="preserve">开工前7天内提供施工进度总计划和有针对性的施工组织设计。</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甲方和监理人在收到详细的施工组织设计后确认或提出修改意见的期限：</w:t>
      </w:r>
      <w:r>
        <w:rPr>
          <w:rFonts w:hint="eastAsia" w:ascii="宋体" w:hAnsi="宋体" w:cs="宋体"/>
          <w:szCs w:val="21"/>
          <w:u w:val="single"/>
          <w:lang w:bidi="ar"/>
        </w:rPr>
        <w:t xml:space="preserve">自监理人收到乙方报送的施工组织设计后7天内。</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7.2施工进度计划</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7.2.2施工进度计划的修订</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乙方在收到甲方或监理人的施工进度计划意见后进行确认和修改的期限：</w:t>
      </w:r>
      <w:r>
        <w:rPr>
          <w:rFonts w:hint="eastAsia" w:ascii="宋体" w:hAnsi="宋体" w:cs="宋体"/>
          <w:szCs w:val="21"/>
          <w:u w:val="single"/>
          <w:lang w:bidi="ar"/>
        </w:rPr>
        <w:t xml:space="preserve">自乙方收到施工组织设计修改意见后7天内。</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7.3开工</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7.3.1开工准备</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关于乙方提交工程开工报审表的期限：</w:t>
      </w:r>
      <w:r>
        <w:rPr>
          <w:rFonts w:hint="eastAsia" w:ascii="宋体" w:hAnsi="宋体" w:cs="宋体"/>
          <w:szCs w:val="21"/>
          <w:u w:val="single"/>
          <w:lang w:bidi="ar"/>
        </w:rPr>
        <w:t xml:space="preserve">在工程准备工作完成后，计划开工日期前7天提交开工报审表。</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关于甲方应完成的其他开工准备工作及期限：</w:t>
      </w:r>
      <w:r>
        <w:rPr>
          <w:rFonts w:hint="eastAsia" w:ascii="宋体" w:hAnsi="宋体" w:cs="宋体"/>
          <w:szCs w:val="21"/>
          <w:u w:val="single"/>
          <w:lang w:bidi="ar"/>
        </w:rPr>
        <w:t xml:space="preserve">计划开工日期前7天。</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关于乙方应完成的其他开工准备工作及期限：</w:t>
      </w:r>
      <w:r>
        <w:rPr>
          <w:rFonts w:hint="eastAsia" w:ascii="宋体" w:hAnsi="宋体" w:cs="宋体"/>
          <w:szCs w:val="21"/>
          <w:u w:val="single"/>
          <w:lang w:bidi="ar"/>
        </w:rPr>
        <w:t xml:space="preserve">计划开工日期前7天。</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7.3.2开工通知</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乙方进场前提供主材样品向监理人报验，确认合格后，乙方应将主材运至甲方指定地点，方可开工。因甲方原</w:t>
      </w:r>
      <w:r>
        <w:rPr>
          <w:rFonts w:hint="eastAsia" w:ascii="宋体" w:hAnsi="宋体" w:cs="宋体"/>
          <w:szCs w:val="21"/>
          <w:lang w:bidi="ar"/>
        </w:rPr>
        <w:t xml:space="preserve">因造成监理人未能在计划开工日期之日起 </w:t>
      </w:r>
      <w:r>
        <w:rPr>
          <w:rFonts w:hint="eastAsia" w:ascii="宋体" w:hAnsi="宋体" w:cs="宋体"/>
          <w:szCs w:val="21"/>
          <w:u w:val="single"/>
          <w:lang w:bidi="ar"/>
        </w:rPr>
        <w:t xml:space="preserve"> /  </w:t>
      </w:r>
      <w:r>
        <w:rPr>
          <w:rFonts w:hint="eastAsia" w:ascii="宋体" w:hAnsi="宋体" w:cs="宋体"/>
          <w:szCs w:val="21"/>
          <w:lang w:bidi="ar"/>
        </w:rPr>
        <w:t xml:space="preserve">天内发出开工通知的，乙方有权提出价格调整要求，或者解除合同。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7.4测量放线</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7.5工期延误</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7.5.1因甲方原因导致工期延误</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（1）因甲方原因导致工期延误的其他情形：</w:t>
      </w:r>
      <w:r>
        <w:rPr>
          <w:rFonts w:hint="eastAsia" w:ascii="宋体" w:hAnsi="宋体" w:cs="宋体"/>
          <w:szCs w:val="21"/>
          <w:u w:val="single"/>
          <w:lang w:bidi="ar"/>
        </w:rPr>
        <w:t xml:space="preserve">由于甲方原因和国家行政相关要求的停工（非承包方的责任），经甲方同意，工期可顺延。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7.5.2因乙方原因导致工期延误</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因乙方原因造成工期延误，逾期竣工违约金的计算方法为：</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7.5.2.1</w:t>
      </w:r>
      <w:r>
        <w:rPr>
          <w:rFonts w:hint="eastAsia" w:ascii="宋体" w:hAnsi="宋体" w:cs="宋体"/>
          <w:szCs w:val="21"/>
          <w:u w:val="single"/>
          <w:lang w:bidi="ar"/>
        </w:rPr>
        <w:t xml:space="preserve">乙方工期进度按招标文件的进度表严格执行，因自身原因未能在进度表时间内完成相应工程内容，则按延误工期的天数承担相应费用，每天按20000元计算违约金，上限为合同价的5%。</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7.5.2.2乙方施工过程中进度表工期发生偏差，后期通过纠偏措施按合同工期完成，经甲方认可的过程中产生的工期违约金可以减免。</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7.6不利物质条件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不利物质条件的其他情形和有关约定：</w:t>
      </w:r>
      <w:r>
        <w:rPr>
          <w:rFonts w:hint="eastAsia" w:ascii="宋体" w:hAnsi="宋体" w:cs="宋体"/>
          <w:szCs w:val="21"/>
          <w:u w:val="single"/>
          <w:lang w:bidi="ar"/>
        </w:rPr>
        <w:t xml:space="preserve">按通用条款执行。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7.7异常恶劣的气候条件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甲方和乙方同意以下情形视为异常恶劣的气候条件：</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（1）按通用条款执行；</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     /        ；</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     /        。</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7.8提前竣工的奖励</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7.8.1提前竣工的奖励：</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8.材料与设备</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8.1材料</w:t>
      </w:r>
      <w:r>
        <w:rPr>
          <w:rFonts w:hint="eastAsia" w:ascii="宋体" w:hAnsi="宋体" w:cs="宋体"/>
          <w:szCs w:val="21"/>
          <w:lang w:bidi="ar"/>
        </w:rPr>
        <w:t xml:space="preserve">与工程设备的保管与使用</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8.1.1甲方供应的材料设备的保管费用的承担：</w:t>
      </w:r>
      <w:r>
        <w:rPr>
          <w:rFonts w:hint="eastAsia" w:ascii="宋体" w:hAnsi="宋体" w:cs="宋体"/>
          <w:szCs w:val="21"/>
          <w:u w:val="single"/>
          <w:lang w:bidi="ar"/>
        </w:rPr>
        <w:t xml:space="preserve">甲方供应的材料设备，乙方派人参加清点后由乙方妥善保管，发生丢失损坏，由乙方负责赔偿。</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8.2样品</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8.2.1样品的报送与封存</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需要乙方报送样品的材料或工程设备，样品的种类、名称、规格、数量要求：乙方应该对用于本工程中的各种工程材料、器材、设备按规范进行检查，严禁不符合要求的材料、器材、设备用于本工程。乙方必须严格按照投标（响应）文件中确定的材料品种规格型号等进行供货，严禁擅自更改，若主材品种与投标（响应）文件中不符，需缴纳单项主材合同价0.5%的违约金，并要求无条件更换，同时承担相关违约责任。</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8.3施工设备和临时设施</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8.3.1关于修建临时设施费用承担的约定：按通用条款执行。</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9.试验与检验</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9.1试验设备与试验人员</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9.1.2试验设备</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施工现场需要配置的试验场所：</w:t>
      </w:r>
      <w:r>
        <w:rPr>
          <w:rFonts w:hint="eastAsia" w:ascii="宋体" w:hAnsi="宋体" w:cs="宋体"/>
          <w:szCs w:val="21"/>
          <w:u w:val="single"/>
          <w:lang w:bidi="ar"/>
        </w:rPr>
        <w:t xml:space="preserve">按通用条款执行。</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施工现场需要配备的试验设备：</w:t>
      </w:r>
      <w:r>
        <w:rPr>
          <w:rFonts w:hint="eastAsia" w:ascii="宋体" w:hAnsi="宋体" w:cs="宋体"/>
          <w:szCs w:val="21"/>
          <w:u w:val="single"/>
          <w:lang w:bidi="ar"/>
        </w:rPr>
        <w:t xml:space="preserve">按通用条款执行。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施工现场需要具备的其他试验条件：</w:t>
      </w:r>
      <w:r>
        <w:rPr>
          <w:rFonts w:hint="eastAsia" w:ascii="宋体" w:hAnsi="宋体" w:cs="宋体"/>
          <w:szCs w:val="21"/>
          <w:u w:val="single"/>
          <w:lang w:bidi="ar"/>
        </w:rPr>
        <w:t xml:space="preserve">按通用条款执行</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9.2现场工艺试验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现场工艺试验的有关约定：</w:t>
      </w:r>
      <w:r>
        <w:rPr>
          <w:rFonts w:hint="eastAsia" w:ascii="宋体" w:hAnsi="宋体" w:cs="宋体"/>
          <w:szCs w:val="21"/>
          <w:u w:val="single"/>
          <w:lang w:bidi="ar"/>
        </w:rPr>
        <w:t xml:space="preserve">按通用条款执行。</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10.变更</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10.1变更的范围</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关于变更的范围的约定：</w:t>
      </w:r>
      <w:r>
        <w:rPr>
          <w:rFonts w:hint="eastAsia" w:ascii="宋体" w:hAnsi="宋体" w:cs="宋体"/>
          <w:szCs w:val="21"/>
          <w:u w:val="single"/>
          <w:lang w:bidi="ar"/>
        </w:rPr>
        <w:t xml:space="preserve">按甲方要求执行。</w:t>
      </w:r>
      <w:r>
        <w:rPr>
          <w:rFonts w:hint="eastAsia" w:ascii="宋体" w:hAnsi="宋体" w:cs="宋体"/>
          <w:szCs w:val="21"/>
        </w:rPr>
      </w:r>
      <w:r/>
    </w:p>
    <w:p>
      <w:pPr>
        <w:pStyle w:val="1065"/>
        <w:ind w:firstLine="420"/>
        <w:spacing w:line="400" w:lineRule="exact"/>
        <w:rPr>
          <w:rFonts w:hint="eastAsia" w:ascii="宋体" w:hAnsi="宋体" w:cs="宋体"/>
          <w:szCs w:val="21"/>
        </w:rPr>
      </w:pPr>
      <w:r/>
      <w:bookmarkStart w:id="818" w:name="_Toc353211723"/>
      <w:r/>
      <w:bookmarkStart w:id="819" w:name="_Toc353198131"/>
      <w:r>
        <w:rPr>
          <w:rFonts w:hint="eastAsia" w:ascii="宋体" w:hAnsi="宋体" w:cs="宋体"/>
          <w:szCs w:val="21"/>
          <w:lang w:bidi="ar"/>
        </w:rPr>
        <w:t xml:space="preserve">10.2变更估价</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10.2.1</w:t>
      </w:r>
      <w:r>
        <w:rPr>
          <w:rFonts w:hint="eastAsia" w:ascii="宋体" w:hAnsi="宋体" w:cs="宋体"/>
          <w:szCs w:val="21"/>
          <w:lang w:bidi="ar"/>
        </w:rPr>
        <w:t xml:space="preserve">变更估价原则</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关于变更估价的约定：</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变更项目清单计价工程量结算方法：</w:t>
      </w:r>
      <w:r>
        <w:rPr>
          <w:rFonts w:hint="eastAsia" w:ascii="宋体" w:hAnsi="宋体" w:cs="宋体"/>
          <w:szCs w:val="21"/>
          <w:u w:val="single"/>
          <w:lang w:bidi="ar"/>
        </w:rPr>
        <w:t xml:space="preserve">由乙方提出，按监理人、甲方和审计部门审定后的数量进行结算。</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（1）变更项目清单计价综合单价的结算方法：</w:t>
      </w:r>
      <w:r>
        <w:rPr>
          <w:rFonts w:hint="eastAsia" w:ascii="宋体" w:hAnsi="宋体" w:cs="宋体"/>
          <w:szCs w:val="21"/>
          <w:u w:val="single"/>
          <w:lang w:bidi="ar"/>
        </w:rPr>
        <w:t xml:space="preserve">投标报价中已有适用于变更工程的价格，按投标的综合单价结算；投标报价中无适用或类似于变更工程的价格，由乙方提出适当的变更价格（乙方根据当年江苏省相关工程计价表编制并按投标时的下浮幅度优惠让利，其中材料价格按投标报价当月信息指导价（除税），信息指导价（除税）中没有的材料价格确定按照暂定价材料价格的确定方式确定），经监理人、审计部门、甲方审定后执行。</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优惠让利幅度（F）=1-（投标书中总分部分项工程量清单费用+总措施项目清单费用[扣除暂定价、现场安全文明施工措施费]）/（标底中总分部分项工程量清单费用+总措施项目清单费用[扣除暂定价、现场安全文明施工措施费]）</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招标时以暂估价进入报价的，其结算价格可以调整，暂估价材料采购前，乙方须申报材料价格及品牌并经甲方及审计部门书面认可后方可采购，严禁乙方擅自采购。如未申报或未经甲方及审计部门认可就已采购，则在工程结算时甲方不予结算该材料。此调整费用只计税金，不计其他费用。暂估价材料（部分设备除外）的施工</w:t>
      </w:r>
      <w:r>
        <w:rPr>
          <w:rFonts w:hint="eastAsia" w:ascii="宋体" w:hAnsi="宋体" w:cs="宋体"/>
          <w:szCs w:val="21"/>
          <w:u w:val="single"/>
          <w:lang w:bidi="ar"/>
        </w:rPr>
        <w:t xml:space="preserve">损耗量按定额损耗量计算。</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（3）措施项目清单计量与调整办法：总价措施项目费费率不随分部分项工程费及单价措施项目的增减而调整，风险范围以外约定的除外。</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4）所有涉及隐蔽工程结算的签证单上必须有乙方、监理人、审计部门、甲方的签字和盖章，方可作为竣工结算的依据，签证单上必须明确签证的原因、位置、尺寸、数量、材料、人工、机械台班、价格和签证时间等内容，并附有签证费用计算书及综合单价分析逾期不得补报且不得累积补签，如须办理签证手续的工作内容在完成后七天内未提交签证资料的，则甲方不予签认。</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u w:val="single"/>
          <w:lang w:bidi="ar"/>
        </w:rPr>
        <w:t xml:space="preserve">（5）工程变更增加内容必须在变更图纸或变更通知书发出后14天内提交相关资料，逾期未提供的则视为包含在其他清单项目中，甲方不予签认。</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监理人审查乙方合理化建议的期限：</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甲方审查乙方合理化建议的期限：</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乙方提出的合理化建议降低了合同价格或者提高了工程经济效益的奖励的方法和金额为：</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10.3暂估价</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暂估价材料和工程设备的明细详见</w:t>
      </w:r>
      <w:r>
        <w:rPr>
          <w:rFonts w:hint="eastAsia" w:ascii="宋体" w:hAnsi="宋体" w:cs="宋体"/>
          <w:szCs w:val="21"/>
          <w:u w:val="single"/>
          <w:lang w:bidi="ar"/>
        </w:rPr>
        <w:t xml:space="preserve">清单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10.3.1依法必须招标的暂估价项目</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对于依法必须招标的暂估价项目的确认和批准采取第</w:t>
      </w:r>
      <w:r>
        <w:rPr>
          <w:rFonts w:hint="eastAsia" w:ascii="宋体" w:hAnsi="宋体" w:cs="宋体"/>
          <w:szCs w:val="21"/>
          <w:u w:val="single"/>
          <w:lang w:bidi="ar"/>
        </w:rPr>
        <w:t xml:space="preserve">/</w:t>
      </w:r>
      <w:r>
        <w:rPr>
          <w:rFonts w:hint="eastAsia" w:ascii="宋体" w:hAnsi="宋体" w:cs="宋体"/>
          <w:szCs w:val="21"/>
          <w:lang w:bidi="ar"/>
        </w:rPr>
        <w:t xml:space="preserve">种方式确定。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10.3.2不属于依法必须招标的暂估价项目</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对于不属于依法必须招标的暂估价项目的确认</w:t>
      </w:r>
      <w:r>
        <w:rPr>
          <w:rFonts w:hint="eastAsia" w:ascii="宋体" w:hAnsi="宋体" w:cs="宋体"/>
          <w:szCs w:val="21"/>
          <w:lang w:bidi="ar"/>
        </w:rPr>
        <w:t xml:space="preserve">和批准采取第 </w:t>
      </w:r>
      <w:r>
        <w:rPr>
          <w:rFonts w:hint="eastAsia" w:ascii="宋体" w:hAnsi="宋体" w:cs="宋体"/>
          <w:szCs w:val="21"/>
          <w:u w:val="single"/>
          <w:lang w:bidi="ar"/>
        </w:rPr>
        <w:t xml:space="preserve"> / </w:t>
      </w:r>
      <w:r>
        <w:rPr>
          <w:rFonts w:hint="eastAsia" w:ascii="宋体" w:hAnsi="宋体" w:cs="宋体"/>
          <w:szCs w:val="21"/>
          <w:lang w:bidi="ar"/>
        </w:rPr>
        <w:t xml:space="preserve">种方式确定。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第3种方式：</w:t>
      </w:r>
      <w:r>
        <w:rPr>
          <w:rFonts w:hint="eastAsia" w:ascii="宋体" w:hAnsi="宋体" w:cs="宋体"/>
          <w:szCs w:val="21"/>
          <w:u w:val="single"/>
          <w:lang w:bidi="ar"/>
        </w:rPr>
        <w:t xml:space="preserve">乙方直接实施的暂估价项目</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乙方直接实施的暂估价项目的约定：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10.4暂列金额</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合同当事人关于暂列金额使用的约定：</w:t>
      </w:r>
      <w:r>
        <w:rPr>
          <w:rFonts w:hint="eastAsia" w:ascii="宋体" w:hAnsi="宋体" w:cs="宋体"/>
          <w:szCs w:val="21"/>
          <w:u w:val="single"/>
          <w:lang w:bidi="ar"/>
        </w:rPr>
        <w:t xml:space="preserve">暂列金额只能按照甲方的指示使用，并对合同价格进行相应调整。</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11.价格调整</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11.1市场价格波动引起的调整</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市场价格波动是否调整合同价格的约定：</w:t>
      </w:r>
      <w:r>
        <w:rPr>
          <w:rFonts w:hint="eastAsia" w:ascii="宋体" w:hAnsi="宋体" w:cs="宋体"/>
          <w:szCs w:val="21"/>
          <w:u w:val="single"/>
          <w:lang w:bidi="ar"/>
        </w:rPr>
        <w:t xml:space="preserve">合同约定的市场风险范围内综合单价不调整。</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因市场价格波动调整合同价格，采用以下第</w:t>
      </w:r>
      <w:r>
        <w:rPr>
          <w:rFonts w:hint="eastAsia" w:ascii="宋体" w:hAnsi="宋体" w:cs="宋体"/>
          <w:szCs w:val="21"/>
          <w:u w:val="single"/>
          <w:lang w:bidi="ar"/>
        </w:rPr>
        <w:t xml:space="preserve">/ </w:t>
      </w:r>
      <w:r>
        <w:rPr>
          <w:rFonts w:hint="eastAsia" w:ascii="宋体" w:hAnsi="宋体" w:cs="宋体"/>
          <w:szCs w:val="21"/>
          <w:lang w:bidi="ar"/>
        </w:rPr>
        <w:t xml:space="preserve">种方式对合同价格进行调整：</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12.合同价格、计量与支付</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12.1合同价格形式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1、单价合同。</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综合单价包含的风险范围：</w:t>
      </w:r>
      <w:r>
        <w:rPr>
          <w:rFonts w:hint="eastAsia" w:ascii="宋体" w:hAnsi="宋体" w:cs="宋体"/>
          <w:szCs w:val="21"/>
          <w:u w:val="single"/>
          <w:lang w:bidi="ar"/>
        </w:rPr>
        <w:t xml:space="preserve">（1）市场风险（包括采用新的验收标准、人工工资的市场价格波动、材料费、机械费的市场价格波动和乙方的投标施工方案、综合单价（不随工程量的增减而改变）、措施项目费用、其它项目费、经踏勘后的现场条件、因设计变更而造成乙方损失的风险）。合同约定的市场风险范围内综合单价不调整。</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风险范围以外合同价格的调整方法：</w:t>
      </w:r>
      <w:r>
        <w:rPr>
          <w:rFonts w:hint="eastAsia" w:ascii="宋体" w:hAnsi="宋体" w:cs="宋体"/>
          <w:szCs w:val="21"/>
          <w:u w:val="single"/>
          <w:lang w:bidi="ar"/>
        </w:rPr>
        <w:t xml:space="preserve">工程竣工结算时主要材料在施工期间采购当月的常州市造价信息指导价（除税）中相对应的单项材料加权平均价格如与2025年5月信息指导价（除税）相比在±10%（含±10%）范围以内则不予调整，如超</w:t>
      </w:r>
      <w:r>
        <w:rPr>
          <w:rFonts w:hint="eastAsia" w:ascii="宋体" w:hAnsi="宋体" w:cs="宋体"/>
          <w:szCs w:val="21"/>
          <w:u w:val="single"/>
          <w:lang w:bidi="ar"/>
        </w:rPr>
        <w:t xml:space="preserve">出±10%范围的，超出±10%部分的差额予以调整。差额调整方法：造价信息法。施工期间必须经监理人、审计部门、甲方根据施工进度计划时间确认签字。</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2、总价合同。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总价包含的风险范围：</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风险范围以外合同价格的调整方法：</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3、其他价格方式：</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12.2预付款</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12.2.1预付款的支付</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预付款支付比例或金额：</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预付款支付期限</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预付款扣回的方式：</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12.2.2预付款担保</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乙方提交预付款担保的期限：</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预付款担保的形式为：</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12.3计量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12.3.1计量原则</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工程量计算规则：</w:t>
      </w:r>
      <w:r>
        <w:rPr>
          <w:rFonts w:hint="eastAsia" w:ascii="宋体" w:hAnsi="宋体" w:cs="宋体"/>
          <w:szCs w:val="21"/>
          <w:u w:val="single"/>
          <w:lang w:bidi="ar"/>
        </w:rPr>
        <w:t xml:space="preserve">执行国家标准《建设工程工程量清单计价规范》或其适用的修</w:t>
      </w:r>
      <w:bookmarkEnd w:id="818"/>
      <w:r/>
      <w:bookmarkEnd w:id="819"/>
      <w:r>
        <w:rPr>
          <w:rFonts w:hint="eastAsia" w:ascii="宋体" w:hAnsi="宋体" w:cs="宋体"/>
          <w:szCs w:val="21"/>
          <w:u w:val="single"/>
          <w:lang w:bidi="ar"/>
        </w:rPr>
        <w:t xml:space="preserve">订版本，乙方实际完成的工程量按约定的工程量计算规则和现场实际进行计量。</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12.3.2计量周期</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关于计量周期的约定：</w:t>
      </w:r>
      <w:r>
        <w:rPr>
          <w:rFonts w:hint="eastAsia" w:ascii="宋体" w:hAnsi="宋体" w:cs="宋体"/>
          <w:szCs w:val="21"/>
          <w:u w:val="single"/>
          <w:lang w:bidi="ar"/>
        </w:rPr>
        <w:t xml:space="preserve">/。</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12.3.3单价合同的计量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关于单价合同计量的约定：</w:t>
      </w:r>
      <w:r>
        <w:rPr>
          <w:rFonts w:hint="eastAsia" w:ascii="宋体" w:hAnsi="宋体" w:cs="宋体"/>
          <w:szCs w:val="21"/>
          <w:u w:val="single"/>
          <w:lang w:bidi="ar"/>
        </w:rPr>
        <w:t xml:space="preserve">按通用条款执行。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12.3.4总价合同的计量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关于总价合同计量的约定：</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12.3.5总价合同采用支付分解表计量支付的，是否适用第12.3.4 项【总价合同的计量】约定进行计量：</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12.3.6其他价格形式合同的计量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其他价格形式的计量方式和程序：</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12.4工</w:t>
      </w:r>
      <w:r>
        <w:rPr>
          <w:rFonts w:hint="eastAsia" w:ascii="宋体" w:hAnsi="宋体" w:cs="宋体"/>
          <w:szCs w:val="21"/>
          <w:lang w:bidi="ar"/>
        </w:rPr>
        <w:t xml:space="preserve">程进度款支付</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12.4.1付款周期</w:t>
      </w:r>
      <w:r>
        <w:rPr>
          <w:rFonts w:hint="eastAsia" w:ascii="宋体" w:hAnsi="宋体" w:cs="宋体"/>
          <w:b/>
          <w:szCs w:val="21"/>
        </w:rPr>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（1）合同签订后15个日历日内，支付合同总价的30%作为预付款；</w:t>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（2）项目验收合格，资料归档并经审计结束后支付至审定价的70%；</w:t>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（3）审计结束的次年支付审定价的27%；</w:t>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（4）审定总价的额3%作为质量保修金，质保期满且经采购人核查确认无质量缺陷、履约问题的，采购人一次性无息结清该笔款项（无息）。</w:t>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注：每次付款时供应商均需按采购人要求开具相应的发票。</w:t>
      </w:r>
      <w:r/>
    </w:p>
    <w:p>
      <w:pPr>
        <w:pStyle w:val="1065"/>
        <w:ind w:firstLine="420"/>
        <w:spacing w:line="400" w:lineRule="exact"/>
        <w:tabs>
          <w:tab w:val="left" w:pos="5895" w:leader="none"/>
        </w:tabs>
        <w:rPr>
          <w:rFonts w:hint="eastAsia" w:ascii="宋体" w:hAnsi="宋体" w:cs="宋体"/>
          <w:szCs w:val="21"/>
        </w:rPr>
      </w:pPr>
      <w:r>
        <w:rPr>
          <w:rFonts w:hint="eastAsia" w:ascii="宋体" w:hAnsi="宋体" w:cs="宋体"/>
          <w:szCs w:val="21"/>
          <w:lang w:bidi="ar"/>
        </w:rPr>
        <w:t xml:space="preserve">12.4.2进度付款申请单的编制</w:t>
        <w:tab/>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关于进度付款申请单编制的约定</w:t>
      </w:r>
      <w:r>
        <w:rPr>
          <w:rFonts w:hint="eastAsia" w:ascii="宋体" w:hAnsi="宋体" w:cs="宋体"/>
          <w:szCs w:val="21"/>
          <w:u w:val="single"/>
          <w:lang w:bidi="ar"/>
        </w:rPr>
        <w:t xml:space="preserve">：/。</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12.4.3进度付款申请单的提交</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（1）单价合同进度付款申请单提交的约定：</w:t>
      </w:r>
      <w:r>
        <w:rPr>
          <w:rFonts w:hint="eastAsia" w:ascii="宋体" w:hAnsi="宋体" w:cs="宋体"/>
          <w:szCs w:val="21"/>
          <w:u w:val="single"/>
          <w:lang w:bidi="ar"/>
        </w:rPr>
        <w:t xml:space="preserve">/。</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（2）总价合同进度付款申请单提交的约定：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（3）其他价格形式合同进度付款申请单提交的约定：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12.4.4进度款审核和支付</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（1）监理人审查并报送甲方的期限：</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甲方完成审批并签发进度款支付证书的期限：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（2）甲方支付进度款的期限：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甲方逾期支付进度款的违约金的计算方式：</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12.4.5支付分解表的编制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1、总价合同支付分解表的编制与审批：</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2、单价合同的总价项目支付分解表的编制与审批：</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13.验收和工程试车　　</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13.1分部分项工程验</w:t>
      </w:r>
      <w:r>
        <w:rPr>
          <w:rFonts w:hint="eastAsia" w:ascii="宋体" w:hAnsi="宋体" w:cs="宋体"/>
          <w:szCs w:val="21"/>
          <w:lang w:bidi="ar"/>
        </w:rPr>
        <w:t xml:space="preserve">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13.1.2监理人不能按时进行验收时，应提前</w:t>
      </w:r>
      <w:r>
        <w:rPr>
          <w:rFonts w:hint="eastAsia" w:ascii="宋体" w:hAnsi="宋体" w:cs="宋体"/>
          <w:szCs w:val="21"/>
          <w:u w:val="single"/>
          <w:lang w:bidi="ar"/>
        </w:rPr>
        <w:t xml:space="preserve">24</w:t>
      </w:r>
      <w:r>
        <w:rPr>
          <w:rFonts w:hint="eastAsia" w:ascii="宋体" w:hAnsi="宋体" w:cs="宋体"/>
          <w:szCs w:val="21"/>
          <w:lang w:bidi="ar"/>
        </w:rPr>
        <w:t xml:space="preserve">小时提交书面延期要求。</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48小时。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13.2竣工验收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13.2.2竣工验收程序</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关于竣工验收程序的约定：</w:t>
      </w:r>
      <w:r>
        <w:rPr>
          <w:rFonts w:hint="eastAsia" w:ascii="宋体" w:hAnsi="宋体" w:cs="宋体"/>
          <w:szCs w:val="21"/>
          <w:u w:val="single"/>
          <w:lang w:bidi="ar"/>
        </w:rPr>
        <w:t xml:space="preserve">甲方颁发的竣工验收相关规定及技术档案管理条例编制整理的竣工资料（含电子档），在竣工质量验收之前经监理人及甲方认可后移交给甲方，若乙方未能及时移交，竣工质量验收延后，直至乙方完整移交竣工资料为止，由此造成的工期延误或其他相应损失由乙方承担。</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甲方不按照本项约定组织竣工验收、颁发工程接收证书的违约金的计算方法：</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13.2.3移交、接收全部与部分工程</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乙方向甲方移交工程的期限：根据甲方要求执行。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乙方需将施工区域保洁达标后才能向甲方移交。</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甲方未按本合同约定接收全部或部分工程的，违约金的计算方法为：根据甲方要求执行。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乙方未按时移交工程的，违约金的计算方法为：</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13.3工程试车</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13.3.1试车程序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工程试车内容</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（1）单机无负荷试车费用由</w:t>
      </w:r>
      <w:r>
        <w:rPr>
          <w:rFonts w:hint="eastAsia" w:ascii="宋体" w:hAnsi="宋体" w:cs="宋体"/>
          <w:szCs w:val="21"/>
          <w:u w:val="single"/>
          <w:lang w:bidi="ar"/>
        </w:rPr>
        <w:t xml:space="preserve"> /</w:t>
      </w:r>
      <w:r>
        <w:rPr>
          <w:rFonts w:hint="eastAsia" w:ascii="宋体" w:hAnsi="宋体" w:cs="宋体"/>
          <w:szCs w:val="21"/>
          <w:lang w:bidi="ar"/>
        </w:rPr>
        <w:t xml:space="preserve">承担；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（2）无负荷联动试车费用由</w:t>
      </w:r>
      <w:r>
        <w:rPr>
          <w:rFonts w:hint="eastAsia" w:ascii="宋体" w:hAnsi="宋体" w:cs="宋体"/>
          <w:szCs w:val="21"/>
          <w:u w:val="single"/>
          <w:lang w:bidi="ar"/>
        </w:rPr>
        <w:t xml:space="preserve">/</w:t>
      </w:r>
      <w:r>
        <w:rPr>
          <w:rFonts w:hint="eastAsia" w:ascii="宋体" w:hAnsi="宋体" w:cs="宋体"/>
          <w:szCs w:val="21"/>
          <w:lang w:bidi="ar"/>
        </w:rPr>
        <w:t xml:space="preserve">承担。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13.3.2投料试车</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关于投料试车相关事项的约定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13.4竣工退场</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13.4.1竣工退场</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乙方完成竣工退场的期限：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14.竣</w:t>
      </w:r>
      <w:r>
        <w:rPr>
          <w:rFonts w:hint="eastAsia" w:ascii="宋体" w:hAnsi="宋体" w:cs="宋体"/>
          <w:b/>
          <w:szCs w:val="21"/>
          <w:lang w:bidi="ar"/>
        </w:rPr>
        <w:t xml:space="preserve">工结算</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14.1竣工付款申请</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乙方提交竣工付款申请单的期限：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竣工付款申请单应包括的内容：</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14.2竣工结算审核</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甲方审批竣工付款申请单的期限：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甲方完成竣工付款的期限：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关于竣工付款证书异议部分复核的方式和程序：</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14.3最终结清;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14.3.1最终结清申请单</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乙方提交最终结清申请单的份数：</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乙方提交最终结清申请单的期限：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14.3.2最终结清证书和支付</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（1）甲方完成最终结清申请单的审批并颁发最终结清证书的期限：</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（2）甲方完成支付的期限：</w:t>
      </w:r>
      <w:r>
        <w:rPr>
          <w:rFonts w:hint="eastAsia" w:ascii="宋体" w:hAnsi="宋体" w:cs="宋体"/>
          <w:szCs w:val="21"/>
          <w:u w:val="single"/>
          <w:lang w:bidi="ar"/>
        </w:rPr>
        <w:t xml:space="preserve"> /。</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15.缺陷责任期与保修</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15.1缺陷责任制</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缺陷责任期的具体期限：</w:t>
      </w:r>
      <w:r>
        <w:rPr>
          <w:rFonts w:hint="eastAsia" w:ascii="宋体" w:hAnsi="宋体" w:cs="宋体"/>
          <w:szCs w:val="21"/>
          <w:u w:val="single"/>
          <w:lang w:bidi="ar"/>
        </w:rPr>
        <w:t xml:space="preserve">       年。</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15.2质量保证金</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关于是否扣留质量保证金的约定：</w:t>
      </w:r>
      <w:r>
        <w:rPr>
          <w:rFonts w:hint="eastAsia" w:ascii="宋体" w:hAnsi="宋体" w:cs="宋体"/>
          <w:szCs w:val="21"/>
          <w:u w:val="single"/>
          <w:lang w:bidi="ar"/>
        </w:rPr>
        <w:t xml:space="preserve">按审定价的3%扣除质量保证金。</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15.2.1乙方提供质量保证金的方式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质量保证金采用以下第</w:t>
      </w:r>
      <w:r>
        <w:rPr>
          <w:rFonts w:hint="eastAsia" w:ascii="宋体" w:hAnsi="宋体" w:cs="宋体"/>
          <w:szCs w:val="21"/>
          <w:u w:val="single"/>
          <w:lang w:bidi="ar"/>
        </w:rPr>
        <w:t xml:space="preserve">（2）</w:t>
      </w:r>
      <w:r>
        <w:rPr>
          <w:rFonts w:hint="eastAsia" w:ascii="宋体" w:hAnsi="宋体" w:cs="宋体"/>
          <w:szCs w:val="21"/>
          <w:lang w:bidi="ar"/>
        </w:rPr>
        <w:t xml:space="preserve">种方式：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（1）质量保证金保函，保证金额为：/；</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（2）审定价的3%的工程款；</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（3）其他方式：/；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15.2.2质量保证金的扣留</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质量保证金的扣留采取以下第</w:t>
      </w:r>
      <w:r>
        <w:rPr>
          <w:rFonts w:hint="eastAsia" w:ascii="宋体" w:hAnsi="宋体" w:cs="宋体"/>
          <w:szCs w:val="21"/>
          <w:u w:val="single"/>
          <w:lang w:bidi="ar"/>
        </w:rPr>
        <w:t xml:space="preserve">（2）</w:t>
      </w:r>
      <w:r>
        <w:rPr>
          <w:rFonts w:hint="eastAsia" w:ascii="宋体" w:hAnsi="宋体" w:cs="宋体"/>
          <w:szCs w:val="21"/>
          <w:lang w:bidi="ar"/>
        </w:rPr>
        <w:t xml:space="preserve">种方式：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（1）在支付工程进度款时逐次扣留，在此情形下，质量保证金的计算基数不包括预付款的支付、扣回以及价格调整的金额；</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2）工程竣工结算时一次性扣留质量保证金；</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（3）其他扣留方式：/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关于质量保证金的补充约定：</w:t>
      </w:r>
      <w:r>
        <w:rPr>
          <w:rFonts w:hint="eastAsia" w:ascii="宋体" w:hAnsi="宋体" w:cs="宋体"/>
          <w:szCs w:val="21"/>
          <w:u w:val="single"/>
          <w:lang w:bidi="ar"/>
        </w:rPr>
        <w:t xml:space="preserve">在竣工验收合格无质量问题发生       年后90天内付清。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15.3保修</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15.3.1保修责任</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工程保修期为：</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15.3.2修复通知</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乙方收到保修通知并到达工程现场的合理时间：</w:t>
      </w:r>
      <w:r>
        <w:rPr>
          <w:rFonts w:hint="eastAsia" w:ascii="宋体" w:hAnsi="宋体" w:cs="宋体"/>
          <w:szCs w:val="21"/>
          <w:u w:val="single"/>
          <w:lang w:bidi="ar"/>
        </w:rPr>
        <w:t xml:space="preserve">乙方收到保修通知后3小时内到达工程现场。</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16.违约</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16.1甲方违约</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16.1.1甲方违约的情形</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甲方违约的其他情形：</w:t>
      </w:r>
      <w:r>
        <w:rPr>
          <w:rFonts w:hint="eastAsia" w:ascii="宋体" w:hAnsi="宋体" w:cs="宋体"/>
          <w:szCs w:val="21"/>
          <w:u w:val="single"/>
          <w:lang w:bidi="ar"/>
        </w:rPr>
        <w:t xml:space="preserve">若因甲方原因需减少或取消部分工程量清单，甲方只对已发生的合格工程量负责，根据已发生的合格工程量与乙方办理结算，不承担其它违约责任。</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16.1.2甲方违约的责任</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甲方违约责任的承担方式和计算方法：</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（1）因甲方原因未能在计划开工日期前7天内下达开工通知的违约责任：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（2）因甲方原因未能按合同约定支付合同价款的违约责任：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（3）甲方违反第10.1款[变更的范围]第（2）项约定，自行实施被取消的工作或转由他人实施的违约责任：</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（4）甲方提供的材料、工程设备的规格、数量或质量不符合合同约定，或因甲方原因导致交货日期延误或交货地点变更等情况的违约责任：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（5）因甲方违反合同约定造成暂停施工的违约</w:t>
      </w:r>
      <w:r>
        <w:rPr>
          <w:rFonts w:hint="eastAsia" w:ascii="宋体" w:hAnsi="宋体" w:cs="宋体"/>
          <w:szCs w:val="21"/>
          <w:lang w:bidi="ar"/>
        </w:rPr>
        <w:t xml:space="preserve">责任：</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（6）甲方无正当理由没有在约定期限内发出复工指示，导致乙方无法复工的违约责任：</w:t>
      </w:r>
      <w:r>
        <w:rPr>
          <w:rFonts w:hint="eastAsia" w:ascii="宋体" w:hAnsi="宋体" w:cs="宋体"/>
          <w:szCs w:val="21"/>
          <w:u w:val="single"/>
          <w:lang w:bidi="ar"/>
        </w:rPr>
        <w:t xml:space="preserve">/ 。</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（7）其他：</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16.2乙方违约</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16.2.1乙方违约的情形</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乙方违约的其他情形：</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乙方必须遵守甲方发布的工程变更签证管理制度及各项管理规定。包括甲方委托的监理人签发的各类文件（包括但不限于管理规定、会议纪要、通知单、工作安排及联系函），上述各类文件为本合同协议书的组成部分。乙方如不执行上述各类文件，视为违约，并且甲方将向乙方追溯由于不执行上述各类文件造成进度延误而产生的法律责任。</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（2）乙方不得以任何理由拒绝甲方提出的关于工程设计变更及其他零星工作施工的要求，否则将按相应工作内容工程费用的5%向甲方支付违约金，且违约金不少于5千元/次。</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16.2.2乙方违约的责任</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乙方违约责任的承担方式和计算方法：</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16.2.3因乙方违约解除合同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关于乙方违约解除合同的特别约定：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甲方继续使用乙方在施工现场的材料、设备、临时工程、乙方文件和由乙方或以其名义编制的其他文件的费用承担方式：</w:t>
      </w:r>
      <w:r>
        <w:rPr>
          <w:rFonts w:hint="eastAsia" w:ascii="宋体" w:hAnsi="宋体" w:cs="宋体"/>
          <w:szCs w:val="21"/>
          <w:u w:val="single"/>
          <w:lang w:bidi="ar"/>
        </w:rPr>
        <w:t xml:space="preserve">/。</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17.不可抗力</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17.1不可抗力的确认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除通用合同条款约定的不可抗力事件之外，视为不可抗力的其他情形：</w:t>
      </w:r>
      <w:r>
        <w:rPr>
          <w:rFonts w:hint="eastAsia" w:ascii="宋体" w:hAnsi="宋体" w:cs="宋体"/>
          <w:szCs w:val="21"/>
          <w:u w:val="single"/>
          <w:lang w:bidi="ar"/>
        </w:rPr>
        <w:t xml:space="preserve">因战争、动乱</w:t>
      </w:r>
      <w:r>
        <w:rPr>
          <w:rFonts w:hint="eastAsia" w:ascii="宋体" w:hAnsi="宋体" w:cs="宋体"/>
          <w:szCs w:val="21"/>
          <w:u w:val="single"/>
          <w:lang w:bidi="ar"/>
        </w:rPr>
        <w:t xml:space="preserve">、空中飞行物体坠落或其他非发包方承包方责任造成的爆炸、火灾，以及自然灾害。</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17.2因不可抗力解除合同</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u w:val="single"/>
          <w:lang w:bidi="ar"/>
        </w:rPr>
        <w:t xml:space="preserve">合同解除后，甲方应在商定或确定甲方应支付款项后90天内完成款项的支付。</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18.保险</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18.1工程保险</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关于工程保险的特别约定：</w:t>
      </w:r>
      <w:r>
        <w:rPr>
          <w:rFonts w:hint="eastAsia" w:ascii="宋体" w:hAnsi="宋体" w:cs="宋体"/>
          <w:szCs w:val="21"/>
          <w:u w:val="single"/>
          <w:lang w:bidi="ar"/>
        </w:rPr>
        <w:t xml:space="preserve">乙方必须按国家相关规定为从事危险作业的职工办理意外伤害保险，第三方人身以及其它依据国家、江苏省、常州市有关法律、法规、规章、规范性文件应当办理的人身、财产保险，否则甲方有权从工程款中代扣缴。</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18.2其他保险</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关于其他保险的约定：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乙方是否应为其施工设备等办理财产险：</w:t>
      </w:r>
      <w:r>
        <w:rPr>
          <w:rFonts w:hint="eastAsia" w:ascii="宋体" w:hAnsi="宋体" w:cs="宋体"/>
          <w:szCs w:val="21"/>
          <w:u w:val="single"/>
          <w:lang w:bidi="ar"/>
        </w:rPr>
        <w:t xml:space="preserve">乙方自理。</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18.3通知义务</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关于变更保险合同时的通知义务的约定：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19.争议解决</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19.1争议评审</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合同当事人是否同意将工程争议提交争议评审小组决定：</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19.1.1争议评审小组的确定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争议评审小组成员的确定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选定争议评审员的期限：</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争议评审小组成员的报酬承担方式：</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其他事项的约定：</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19.2.2争议评审小组的决定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合同当事人关于本项的约定</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19.3仲裁或诉讼</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因合同及合同有关事项发生的争议，按下列第</w:t>
      </w:r>
      <w:r>
        <w:rPr>
          <w:rFonts w:hint="eastAsia" w:ascii="宋体" w:hAnsi="宋体" w:cs="宋体"/>
          <w:szCs w:val="21"/>
          <w:u w:val="single"/>
          <w:lang w:bidi="ar"/>
        </w:rPr>
        <w:t xml:space="preserve">（2）</w:t>
      </w:r>
      <w:r>
        <w:rPr>
          <w:rFonts w:hint="eastAsia" w:ascii="宋体" w:hAnsi="宋体" w:cs="宋体"/>
          <w:szCs w:val="21"/>
          <w:lang w:bidi="ar"/>
        </w:rPr>
        <w:t xml:space="preserve">种方式解决：</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（1）向仲裁委员会申请仲裁；</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（2）向常州市武进区人民法院提起诉讼</w:t>
      </w:r>
      <w:r>
        <w:rPr>
          <w:rFonts w:hint="eastAsia" w:ascii="宋体" w:hAnsi="宋体" w:cs="宋体"/>
          <w:szCs w:val="21"/>
          <w:lang w:bidi="ar"/>
        </w:rPr>
        <w:t xml:space="preserve">。律师代理费等诉讼相关费用由责任方承担。</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20.补充条款</w:t>
      </w:r>
      <w:r>
        <w:rPr>
          <w:rFonts w:hint="eastAsia" w:ascii="宋体" w:hAnsi="宋体" w:cs="宋体"/>
          <w:b/>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（1）本工程由乙方总包，不得转包，一经发现，甲方将立即取消乙方的承包资格，根据具体发包情况处以5万元的罚款，并追究其由此造成的一切后果。</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（2）乙方应保持场地整洁卫生，现场建筑垃圾应及时清理，如在甲方要求的时间内不清理干净，则由甲方组织人员进行清理，相关费用由乙方承担。</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（3）现场不提供临时设施搭设场地，乙方自行考虑。</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（4）乙方根据施工进度，应编制详细的劳动力资源计划和劳动力保障措施；施工过程中注意与其他相关单位的配合，隐蔽工程封闭前由甲方书面确认各方工作完成，并报影像资料留档。</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（5）乙方根据甲方要求，关键工序及重点必须样板先行，施工前必须由甲方、监理人评审通过后再大面积实施。</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（6）材料种类在最终实施时可能产生变更，乙方必须根据最终图纸，不得以任何理由拒绝更改；</w:t>
      </w:r>
      <w:r>
        <w:rPr>
          <w:rFonts w:hint="eastAsia" w:ascii="宋体" w:hAnsi="宋体" w:cs="宋体"/>
          <w:b/>
          <w:szCs w:val="21"/>
          <w:u w:val="single"/>
          <w:lang w:bidi="ar"/>
        </w:rPr>
        <w:t xml:space="preserve">施工前需对材料进行报样</w:t>
      </w:r>
      <w:r>
        <w:rPr>
          <w:rFonts w:hint="eastAsia" w:ascii="宋体" w:hAnsi="宋体" w:cs="宋体"/>
          <w:szCs w:val="21"/>
          <w:u w:val="single"/>
          <w:lang w:bidi="ar"/>
        </w:rPr>
        <w:t xml:space="preserve">，并由甲方、监理人确认品牌、种类、规格、部位后方可采购进场；涉及到的材料变更，乙方自行考虑变更后价格变动、工期影响等风险，不再另行签证。</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（7）本工程材料二次搬运及每周8小时以内的停水停电不得向甲方提出经济和工期索赔。</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（8）乙方应在工程竣工30日内提供竣工报告和竣工</w:t>
      </w:r>
      <w:r>
        <w:rPr>
          <w:rFonts w:hint="eastAsia" w:ascii="宋体" w:hAnsi="宋体" w:cs="宋体"/>
          <w:szCs w:val="21"/>
          <w:u w:val="single"/>
          <w:lang w:bidi="ar"/>
        </w:rPr>
        <w:t xml:space="preserve">资料，并在竣工三个月内将竣工结算以及相关资料送至监理人预审。</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（9）乙方应确保材料供应款、农民工工资的支付到位，承担因材料供应款、农民工工资不到位引发的相应责任。</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（10）乙方若虚报、瞒报、违法挂靠、转包、弄虚作假、进度滞后超投标工期20％以上的现象，则甲方单位记乙方不良记录，</w:t>
      </w:r>
      <w:r>
        <w:rPr>
          <w:rFonts w:hint="eastAsia" w:ascii="宋体" w:hAnsi="宋体" w:cs="宋体"/>
          <w:szCs w:val="22"/>
          <w:u w:val="single"/>
          <w:lang w:bidi="ar"/>
        </w:rPr>
        <w:t xml:space="preserve">参照《常州市建筑业企业信用考核实施细则》执行。</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（11）乙方对所上报的审计结算资料需认真复核，审计费用承担结算原则如下：</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核减额=工程管理部门审核价-造价咨询单位审定价；</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核减率=核减额/工程管理部门审核价；</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当核减率超过10%时，按照核减额的8%收取乙方审计费；</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核减率在10%-5%之间的，按照核减额的3%收取乙方审计费；</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核减率不超过5%时，不收取乙方任何审计费，全部审计费用由甲方承担。</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（12）乙方在领取工程计量款时应出具合规的增值税专用发票。</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（13）根据甲方要求，乙方提供现场办公相应的办公设施及软件设备。</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（14）部分分部分项工程在实施前可能会有增减，乙方应积极配合实施甲方提出的变更，对实际发生的工程量按实结算以外不得提出另外增加费用的要求。</w:t>
      </w:r>
      <w:r/>
    </w:p>
    <w:p>
      <w:pPr>
        <w:pStyle w:val="1065"/>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（15）乙方无条件配合配套设施建设，不予以配合的视为违约；</w:t>
      </w:r>
      <w:r/>
    </w:p>
    <w:p>
      <w:pPr>
        <w:pStyle w:val="1065"/>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（16）乙方必须接受甲方</w:t>
      </w:r>
      <w:r>
        <w:rPr>
          <w:rFonts w:hint="eastAsia" w:ascii="宋体" w:hAnsi="宋体" w:cs="宋体"/>
          <w:szCs w:val="21"/>
          <w:u w:val="single"/>
          <w:lang w:bidi="ar"/>
        </w:rPr>
        <w:t xml:space="preserve">和监理制订的工程现场管理制度，如果拒绝执行，甲方和监理可以视情节严重程度给予处罚、直至清退出场。</w:t>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17）乙方必须做好安全文明施工，做好施工区域的防护、围挡（含电梯轿厢、墙面、地面的保护）和警示标志；安全文明施工费由监理根据现场施工情况进行考核；施工车辆只能在指定时间和指定道路文明行使，警示鸣笛；施工人员不得在校园随地大小便、破坏校园设施以及其他污染行为，更不得与师生及其他施工人员发生冲突，一旦发生，按管理制度处罚。</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（18）甲方根据实际需要，可能会调整部分分项工程的施工时间，由此产生的工期予以顺延；但乙方不得以任何理由拒绝配合并索赔相关费用。</w:t>
      </w:r>
      <w:r>
        <w:rPr>
          <w:rFonts w:hint="eastAsia" w:ascii="宋体" w:hAnsi="宋体" w:cs="宋体"/>
          <w:szCs w:val="21"/>
          <w:u w:val="single"/>
        </w:rPr>
      </w:r>
      <w:r/>
    </w:p>
    <w:p>
      <w:pPr>
        <w:pStyle w:val="1065"/>
        <w:spacing w:before="120" w:line="22" w:lineRule="atLeast"/>
        <w:widowControl/>
        <w:tabs>
          <w:tab w:val="left" w:pos="330" w:leader="none"/>
        </w:tabs>
        <w:rPr>
          <w:rFonts w:hint="eastAsia" w:ascii="宋体" w:hAnsi="宋体" w:cs="宋体"/>
          <w:szCs w:val="21"/>
          <w:u w:val="single"/>
        </w:rPr>
      </w:pPr>
      <w:r>
        <w:rPr>
          <w:rFonts w:ascii="宋体" w:hAnsi="宋体"/>
          <w:sz w:val="24"/>
          <w:u w:val="single"/>
        </w:rPr>
        <w:tab/>
      </w:r>
      <w:r>
        <w:rPr>
          <w:rFonts w:ascii="宋体" w:hAnsi="宋体" w:cs="宋体"/>
          <w:szCs w:val="21"/>
          <w:u w:val="single"/>
        </w:rPr>
        <w:t xml:space="preserve">（19）甲方在工程竣工验收前请有资质的单位进行装修环境环保检测，乙方应确保环保检测达标后才能进入验收程序。</w:t>
      </w:r>
      <w:r>
        <w:rPr>
          <w:rFonts w:hint="eastAsia" w:ascii="宋体" w:hAnsi="宋体" w:cs="宋体"/>
          <w:szCs w:val="21"/>
          <w:u w:val="single"/>
        </w:rPr>
      </w:r>
      <w:r/>
    </w:p>
    <w:p>
      <w:pPr>
        <w:pStyle w:val="1065"/>
        <w:spacing w:before="120" w:line="22" w:lineRule="atLeast"/>
        <w:widowControl/>
        <w:tabs>
          <w:tab w:val="left" w:pos="330" w:leader="none"/>
        </w:tabs>
        <w:rPr>
          <w:rFonts w:ascii="宋体" w:hAnsi="宋体" w:cs="宋体"/>
          <w:szCs w:val="21"/>
          <w:u w:val="single"/>
        </w:rPr>
      </w:pPr>
      <w:r>
        <w:rPr>
          <w:rFonts w:ascii="宋体" w:hAnsi="宋体" w:cs="宋体"/>
          <w:szCs w:val="21"/>
          <w:u w:val="single"/>
        </w:rPr>
        <w:tab/>
        <w:t xml:space="preserve">（20）本合同上述违约金均在竣工结算中扣除。</w:t>
      </w:r>
      <w:r/>
    </w:p>
    <w:p>
      <w:pPr>
        <w:pStyle w:val="1065"/>
        <w:ind w:firstLine="420"/>
        <w:spacing w:before="120" w:line="22" w:lineRule="atLeast"/>
        <w:widowControl/>
        <w:tabs>
          <w:tab w:val="left" w:pos="330" w:leader="none"/>
        </w:tabs>
        <w:rPr>
          <w:rFonts w:hint="eastAsia" w:ascii="宋体" w:hAnsi="宋体" w:cs="宋体"/>
          <w:szCs w:val="21"/>
          <w:u w:val="single"/>
        </w:rPr>
      </w:pPr>
      <w:r>
        <w:rPr>
          <w:rFonts w:hint="eastAsia" w:ascii="宋体" w:hAnsi="宋体" w:cs="宋体"/>
          <w:szCs w:val="21"/>
          <w:u w:val="single"/>
        </w:rPr>
        <w:t xml:space="preserve">（21）其他未尽事宜双方协商解决。</w:t>
      </w:r>
      <w:r/>
    </w:p>
    <w:p>
      <w:pPr>
        <w:pStyle w:val="1065"/>
        <w:spacing w:before="120" w:line="22" w:lineRule="atLeast"/>
        <w:widowControl/>
        <w:tabs>
          <w:tab w:val="left" w:pos="330" w:leader="none"/>
        </w:tabs>
        <w:rPr>
          <w:rFonts w:hint="eastAsia" w:ascii="宋体" w:hAnsi="宋体" w:cs="宋体"/>
          <w:szCs w:val="21"/>
          <w:u w:val="single"/>
        </w:rPr>
      </w:pP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　　(公章)                            乙方：</w:t>
      </w:r>
      <w:r>
        <w:rPr>
          <w:szCs w:val="21"/>
          <w:lang w:bidi="ar"/>
        </w:rPr>
        <w:t xml:space="preserve">     </w:t>
      </w:r>
      <w:r>
        <w:rPr>
          <w:rFonts w:hint="eastAsia" w:ascii="宋体" w:hAnsi="宋体" w:cs="宋体"/>
          <w:szCs w:val="21"/>
          <w:lang w:bidi="ar"/>
        </w:rPr>
        <w:t xml:space="preserve">(公章)</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法定代表人或其委托代理人：(签字)            法定代表人或其委托代理人：(签字)</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组织机构代码：                            　组织机构代</w:t>
      </w:r>
      <w:r>
        <w:rPr>
          <w:rFonts w:hint="eastAsia" w:ascii="宋体" w:hAnsi="宋体" w:cs="宋体"/>
          <w:szCs w:val="21"/>
          <w:lang w:bidi="ar"/>
        </w:rPr>
        <w:t xml:space="preserve">码：</w:t>
      </w:r>
      <w:r>
        <w:rPr>
          <w:rFonts w:hint="eastAsia" w:ascii="宋体" w:hAnsi="宋体" w:cs="宋体"/>
          <w:szCs w:val="21"/>
          <w:u w:val="single"/>
        </w:rPr>
      </w:r>
      <w:r/>
    </w:p>
    <w:p>
      <w:pPr>
        <w:pStyle w:val="1065"/>
        <w:ind w:left="5670" w:hanging="5250"/>
        <w:spacing w:line="400" w:lineRule="exact"/>
        <w:rPr>
          <w:rFonts w:ascii="Calibri" w:hAnsi="Calibri"/>
          <w:szCs w:val="21"/>
          <w:u w:val="single"/>
        </w:rPr>
      </w:pPr>
      <w:r>
        <w:rPr>
          <w:rFonts w:hint="eastAsia" w:ascii="宋体" w:hAnsi="宋体" w:cs="宋体"/>
          <w:szCs w:val="21"/>
          <w:lang w:bidi="ar"/>
        </w:rPr>
        <w:t xml:space="preserve">地　　址：                                  地址：</w:t>
      </w:r>
      <w:r>
        <w:rPr>
          <w:rFonts w:ascii="Calibri" w:hAnsi="Calibri"/>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邮政编码：　                                邮政编码：</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法定代表人：                              　法定代表人：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委托代理人：　                              委托代理人：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电　　话：　                                电　　话：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传　　真：　                                传　　真：</w:t>
      </w:r>
      <w:r>
        <w:rPr>
          <w:rFonts w:hint="eastAsia" w:ascii="宋体" w:hAnsi="宋体" w:cs="宋体"/>
          <w:szCs w:val="21"/>
        </w:rPr>
      </w:r>
      <w:r/>
    </w:p>
    <w:p>
      <w:pPr>
        <w:pStyle w:val="1065"/>
        <w:ind w:left="6090" w:hanging="5670"/>
        <w:spacing w:line="400" w:lineRule="exact"/>
        <w:rPr>
          <w:rFonts w:hint="eastAsia" w:ascii="宋体" w:hAnsi="宋体" w:cs="宋体"/>
          <w:szCs w:val="21"/>
        </w:rPr>
      </w:pPr>
      <w:r>
        <w:rPr>
          <w:rFonts w:hint="eastAsia" w:ascii="宋体" w:hAnsi="宋体" w:cs="宋体"/>
          <w:szCs w:val="21"/>
          <w:lang w:bidi="ar"/>
        </w:rPr>
        <w:t xml:space="preserve">电子信箱：　                                电子信箱：</w:t>
      </w:r>
      <w:r>
        <w:rPr>
          <w:rFonts w:hint="eastAsia" w:ascii="宋体" w:hAnsi="宋体" w:cs="宋体"/>
          <w:szCs w:val="21"/>
        </w:rPr>
      </w:r>
      <w:r/>
    </w:p>
    <w:p>
      <w:pPr>
        <w:pStyle w:val="1065"/>
        <w:ind w:left="6090" w:hanging="5670"/>
        <w:spacing w:line="400" w:lineRule="exact"/>
        <w:rPr>
          <w:rFonts w:hint="eastAsia" w:ascii="宋体" w:hAnsi="宋体" w:cs="宋体"/>
          <w:szCs w:val="21"/>
        </w:rPr>
      </w:pPr>
      <w:r>
        <w:rPr>
          <w:rFonts w:hint="eastAsia" w:ascii="宋体" w:hAnsi="宋体" w:cs="宋体"/>
          <w:szCs w:val="21"/>
          <w:lang w:bidi="ar"/>
        </w:rPr>
        <w:t xml:space="preserve">开户银行：　                                开户银行：</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账　　号：　                                账　　号：</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经办人：                                    经办人： </w:t>
      </w:r>
      <w:r>
        <w:rPr>
          <w:rFonts w:hint="eastAsia" w:ascii="宋体" w:hAnsi="宋体" w:cs="宋体"/>
          <w:szCs w:val="21"/>
        </w:rPr>
      </w:r>
      <w:r/>
    </w:p>
    <w:p>
      <w:pPr>
        <w:pStyle w:val="1065"/>
        <w:ind w:firstLine="420"/>
        <w:spacing w:before="120" w:line="400" w:lineRule="exact"/>
        <w:widowControl/>
        <w:tabs>
          <w:tab w:val="left" w:pos="567" w:leader="none"/>
        </w:tabs>
        <w:rPr>
          <w:rFonts w:hint="eastAsia" w:ascii="宋体" w:hAnsi="宋体" w:cs="宋体"/>
          <w:szCs w:val="21"/>
        </w:rPr>
      </w:pPr>
      <w:r>
        <w:rPr>
          <w:rFonts w:hint="eastAsia" w:ascii="宋体" w:hAnsi="宋体" w:cs="宋体"/>
          <w:szCs w:val="21"/>
        </w:rPr>
      </w:r>
      <w:r/>
    </w:p>
    <w:p>
      <w:pPr>
        <w:pStyle w:val="1065"/>
        <w:ind w:firstLine="420"/>
        <w:spacing w:before="120" w:line="400" w:lineRule="exact"/>
        <w:widowControl/>
        <w:tabs>
          <w:tab w:val="left" w:pos="567" w:leader="none"/>
        </w:tabs>
        <w:rPr>
          <w:rFonts w:hint="eastAsia" w:ascii="宋体" w:hAnsi="宋体" w:cs="宋体"/>
          <w:szCs w:val="21"/>
          <w:u w:val="single"/>
        </w:rPr>
      </w:pPr>
      <w:r>
        <w:rPr>
          <w:rFonts w:ascii="宋体" w:hAnsi="宋体" w:cs="宋体"/>
          <w:szCs w:val="21"/>
        </w:rPr>
        <w:t xml:space="preserve">采购代理机构(盖公章):</w:t>
      </w:r>
      <w:r>
        <w:rPr>
          <w:rFonts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r>
      <w:r/>
    </w:p>
    <w:p>
      <w:pPr>
        <w:pStyle w:val="1065"/>
        <w:ind w:firstLine="420"/>
        <w:spacing w:before="120" w:line="400" w:lineRule="exact"/>
        <w:widowControl/>
        <w:tabs>
          <w:tab w:val="left" w:pos="567" w:leader="none"/>
        </w:tabs>
        <w:rPr>
          <w:rFonts w:hint="eastAsia" w:ascii="宋体" w:hAnsi="宋体" w:cs="宋体"/>
          <w:szCs w:val="21"/>
        </w:rPr>
      </w:pPr>
      <w:r>
        <w:rPr>
          <w:rFonts w:ascii="宋体" w:hAnsi="宋体" w:cs="宋体"/>
          <w:szCs w:val="21"/>
        </w:rPr>
        <w:t xml:space="preserve">法定代表人:</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经办人：                       电话：</w:t>
      </w:r>
      <w:r>
        <w:rPr>
          <w:rFonts w:hint="eastAsia" w:ascii="宋体" w:hAnsi="宋体" w:cs="宋体"/>
          <w:szCs w:val="21"/>
        </w:rPr>
      </w:r>
      <w:r/>
    </w:p>
    <w:p>
      <w:pPr>
        <w:pStyle w:val="1065"/>
        <w:rPr>
          <w:rFonts w:ascii="Calibri" w:hAnsi="Calibri"/>
        </w:rPr>
      </w:pPr>
      <w:r>
        <w:rPr>
          <w:rFonts w:ascii="Calibri" w:hAnsi="Calibri"/>
        </w:rPr>
      </w:r>
      <w:r/>
    </w:p>
    <w:p>
      <w:pPr>
        <w:pStyle w:val="1065"/>
        <w:rPr>
          <w:rFonts w:ascii="Calibri" w:hAnsi="Calibri"/>
        </w:rPr>
      </w:pPr>
      <w:r>
        <w:rPr>
          <w:szCs w:val="22"/>
          <w:lang w:bidi="ar"/>
        </w:rPr>
        <w:br w:type="page" w:clear="all"/>
      </w:r>
      <w:r>
        <w:rPr>
          <w:rFonts w:ascii="Calibri" w:hAnsi="Calibri"/>
        </w:rPr>
      </w:r>
      <w:r/>
    </w:p>
    <w:p>
      <w:pPr>
        <w:pStyle w:val="1065"/>
        <w:spacing w:line="440" w:lineRule="exact"/>
        <w:rPr>
          <w:rFonts w:hint="eastAsia" w:ascii="宋体" w:hAnsi="宋体" w:cs="宋体"/>
          <w:b/>
          <w:sz w:val="30"/>
          <w:szCs w:val="30"/>
        </w:rPr>
      </w:pPr>
      <w:r>
        <w:rPr>
          <w:rFonts w:hint="eastAsia" w:ascii="宋体" w:hAnsi="宋体" w:cs="宋体"/>
          <w:b/>
          <w:sz w:val="30"/>
          <w:szCs w:val="30"/>
          <w:lang w:bidi="ar"/>
        </w:rPr>
        <w:t xml:space="preserve">附</w:t>
      </w:r>
      <w:bookmarkStart w:id="820" w:name="_Toc296346727"/>
      <w:r/>
      <w:bookmarkStart w:id="821" w:name="_Toc296891054"/>
      <w:r/>
      <w:bookmarkStart w:id="822" w:name="_Toc296944565"/>
      <w:r/>
      <w:bookmarkStart w:id="823" w:name="_Toc296503226"/>
      <w:r/>
      <w:bookmarkStart w:id="824" w:name="_Toc296347225"/>
      <w:r/>
      <w:bookmarkStart w:id="825" w:name="_Toc296891266"/>
      <w:r/>
      <w:bookmarkStart w:id="826" w:name="_Toc267261693"/>
      <w:r>
        <w:rPr>
          <w:rFonts w:hint="eastAsia" w:ascii="宋体" w:hAnsi="宋体" w:cs="宋体"/>
          <w:b/>
          <w:sz w:val="30"/>
          <w:szCs w:val="30"/>
          <w:lang w:bidi="ar"/>
        </w:rPr>
        <w:t xml:space="preserve">件：</w:t>
      </w:r>
      <w:bookmarkEnd w:id="820"/>
      <w:r/>
      <w:bookmarkEnd w:id="821"/>
      <w:r/>
      <w:bookmarkEnd w:id="822"/>
      <w:r/>
      <w:bookmarkEnd w:id="823"/>
      <w:r/>
      <w:bookmarkEnd w:id="824"/>
      <w:r/>
      <w:bookmarkEnd w:id="825"/>
      <w:r/>
      <w:bookmarkEnd w:id="826"/>
      <w:r>
        <w:rPr>
          <w:rFonts w:hint="eastAsia" w:ascii="宋体" w:hAnsi="宋体" w:cs="宋体"/>
          <w:b/>
          <w:sz w:val="30"/>
          <w:szCs w:val="30"/>
        </w:rPr>
      </w:r>
      <w:r/>
    </w:p>
    <w:p>
      <w:pPr>
        <w:pStyle w:val="1065"/>
        <w:jc w:val="center"/>
        <w:spacing w:before="120" w:after="120" w:line="440" w:lineRule="exact"/>
        <w:rPr>
          <w:rFonts w:ascii="Calibri" w:hAnsi="Calibri" w:eastAsia="黑体"/>
          <w:sz w:val="30"/>
          <w:szCs w:val="30"/>
        </w:rPr>
      </w:pPr>
      <w:r>
        <w:rPr>
          <w:rFonts w:hint="eastAsia" w:eastAsia="黑体" w:cs="黑体"/>
          <w:sz w:val="30"/>
          <w:szCs w:val="30"/>
          <w:lang w:bidi="ar"/>
        </w:rPr>
        <w:t xml:space="preserve">工程质量保修书</w:t>
      </w:r>
      <w:r>
        <w:rPr>
          <w:rFonts w:ascii="Calibri" w:hAnsi="Calibri" w:eastAsia="黑体"/>
          <w:sz w:val="30"/>
          <w:szCs w:val="30"/>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甲方（全称）：常州纺织服装职业技术学院</w:t>
      </w:r>
      <w:r>
        <w:rPr>
          <w:rFonts w:hint="eastAsia" w:ascii="宋体" w:hAnsi="宋体" w:cs="宋体"/>
          <w:szCs w:val="21"/>
        </w:rPr>
      </w:r>
      <w:r/>
    </w:p>
    <w:p>
      <w:pPr>
        <w:pStyle w:val="1065"/>
        <w:ind w:firstLine="420"/>
        <w:spacing w:line="380" w:lineRule="exact"/>
        <w:rPr>
          <w:rFonts w:hint="eastAsia" w:ascii="宋体" w:hAnsi="宋体" w:cs="宋体"/>
          <w:b/>
          <w:bCs/>
          <w:szCs w:val="21"/>
          <w:u w:val="single"/>
        </w:rPr>
      </w:pPr>
      <w:r>
        <w:rPr>
          <w:rFonts w:hint="eastAsia" w:ascii="宋体" w:hAnsi="宋体" w:cs="宋体"/>
          <w:szCs w:val="21"/>
          <w:lang w:bidi="ar"/>
        </w:rPr>
        <w:t xml:space="preserve">乙方（全称）：</w:t>
      </w:r>
      <w:r>
        <w:rPr>
          <w:rFonts w:hint="eastAsia" w:ascii="宋体" w:hAnsi="宋体" w:cs="宋体"/>
          <w:b/>
          <w:bCs/>
          <w:szCs w:val="21"/>
          <w:u w:val="single"/>
        </w:rPr>
      </w:r>
      <w:r/>
    </w:p>
    <w:p>
      <w:pPr>
        <w:pStyle w:val="1065"/>
        <w:spacing w:line="380" w:lineRule="exact"/>
        <w:rPr>
          <w:rFonts w:hint="eastAsia" w:ascii="宋体" w:hAnsi="宋体" w:cs="宋体"/>
          <w:szCs w:val="21"/>
        </w:rPr>
      </w:pPr>
      <w:r>
        <w:rPr>
          <w:rFonts w:hint="eastAsia" w:ascii="宋体" w:hAnsi="宋体" w:cs="宋体"/>
          <w:szCs w:val="21"/>
          <w:lang w:bidi="ar"/>
        </w:rPr>
        <w:t xml:space="preserve">　　甲方和乙方根据《中华人民共和国建筑法》和《建设工程质量管理条例》，经协商一致就</w:t>
      </w:r>
      <w:r>
        <w:rPr>
          <w:rFonts w:hint="eastAsia" w:ascii="宋体" w:hAnsi="宋体" w:cs="宋体"/>
          <w:szCs w:val="21"/>
          <w:u w:val="single"/>
          <w:lang w:bidi="ar"/>
        </w:rPr>
        <w:t xml:space="preserve">运动场建设项目</w:t>
      </w:r>
      <w:r>
        <w:rPr>
          <w:rFonts w:hint="eastAsia" w:ascii="宋体" w:hAnsi="宋体" w:cs="宋体"/>
          <w:bCs/>
          <w:szCs w:val="21"/>
          <w:u w:val="single"/>
          <w:lang w:bidi="ar"/>
        </w:rPr>
        <w:t xml:space="preserve">（</w:t>
      </w:r>
      <w:r>
        <w:rPr>
          <w:rFonts w:hint="eastAsia" w:ascii="宋体" w:hAnsi="宋体" w:cs="宋体"/>
          <w:szCs w:val="21"/>
          <w:lang w:bidi="ar"/>
        </w:rPr>
        <w:t xml:space="preserve">工程全称）签订工程质量保修书。</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一、工程质量保修范围和内容</w:t>
      </w: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　　乙方在质量保修期内，按照有关法律规定和合同约定，承担工程质量保修责任。</w:t>
      </w: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　</w:t>
      </w:r>
      <w:r>
        <w:rPr>
          <w:rFonts w:hint="eastAsia" w:ascii="宋体" w:hAnsi="宋体" w:cs="宋体"/>
          <w:b/>
          <w:bCs/>
          <w:szCs w:val="21"/>
          <w:u w:val="single"/>
          <w:lang w:bidi="ar"/>
        </w:rPr>
        <w:t xml:space="preserve">以乙方施工范围内容为准。</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二、质量保修期</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根据《建设工程质量管理条例》及有关规定，工程的质量保修期如下：</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1．地基基础工程和主体结构工程为设计文件规定的工程合理使用年限；</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2．屋面防水工程、有防水要求的卫生间、房间和外墙面的防渗为</w:t>
      </w:r>
      <w:r>
        <w:rPr>
          <w:rFonts w:hint="eastAsia" w:ascii="宋体" w:hAnsi="宋体" w:cs="宋体"/>
          <w:szCs w:val="21"/>
          <w:u w:val="single"/>
          <w:lang w:bidi="ar"/>
        </w:rPr>
        <w:t xml:space="preserve">  伍 </w:t>
      </w:r>
      <w:r>
        <w:rPr>
          <w:rFonts w:hint="eastAsia" w:ascii="宋体" w:hAnsi="宋体" w:cs="宋体"/>
          <w:szCs w:val="21"/>
          <w:lang w:bidi="ar"/>
        </w:rPr>
        <w:t xml:space="preserve">年；</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3．装修工程为</w:t>
      </w:r>
      <w:r>
        <w:rPr>
          <w:rFonts w:hint="eastAsia" w:ascii="宋体" w:hAnsi="宋体" w:cs="宋体"/>
          <w:szCs w:val="21"/>
          <w:u w:val="single"/>
          <w:lang w:bidi="ar"/>
        </w:rPr>
        <w:t xml:space="preserve"> 贰 </w:t>
      </w:r>
      <w:r>
        <w:rPr>
          <w:rFonts w:hint="eastAsia" w:ascii="宋体" w:hAnsi="宋体" w:cs="宋体"/>
          <w:szCs w:val="21"/>
          <w:lang w:bidi="ar"/>
        </w:rPr>
        <w:t xml:space="preserve">年；</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4．电气管线、给排水管道、设备安装工程为</w:t>
      </w:r>
      <w:r>
        <w:rPr>
          <w:rFonts w:hint="eastAsia" w:ascii="宋体" w:hAnsi="宋体" w:cs="宋体"/>
          <w:szCs w:val="21"/>
          <w:u w:val="single"/>
          <w:lang w:bidi="ar"/>
        </w:rPr>
        <w:t xml:space="preserve"> 贰 </w:t>
      </w:r>
      <w:r>
        <w:rPr>
          <w:rFonts w:hint="eastAsia" w:ascii="宋体" w:hAnsi="宋体" w:cs="宋体"/>
          <w:szCs w:val="21"/>
          <w:lang w:bidi="ar"/>
        </w:rPr>
        <w:t xml:space="preserve">年；</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5．供热与供冷系统为</w:t>
      </w:r>
      <w:r>
        <w:rPr>
          <w:rFonts w:hint="eastAsia" w:ascii="宋体" w:hAnsi="宋体" w:cs="宋体"/>
          <w:szCs w:val="21"/>
          <w:u w:val="single"/>
          <w:lang w:bidi="ar"/>
        </w:rPr>
        <w:t xml:space="preserve">贰</w:t>
      </w:r>
      <w:r>
        <w:rPr>
          <w:rFonts w:hint="eastAsia" w:ascii="宋体" w:hAnsi="宋体" w:cs="宋体"/>
          <w:szCs w:val="21"/>
          <w:lang w:bidi="ar"/>
        </w:rPr>
        <w:t xml:space="preserve">个采暖期、</w:t>
      </w:r>
      <w:r>
        <w:rPr>
          <w:rFonts w:hint="eastAsia" w:ascii="宋体" w:hAnsi="宋体" w:cs="宋体"/>
          <w:szCs w:val="21"/>
          <w:lang w:bidi="ar"/>
        </w:rPr>
        <w:t xml:space="preserve">供冷期；</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6．住宅小区内的给排水设施、道路等配套工程为</w:t>
      </w:r>
      <w:r>
        <w:rPr>
          <w:rFonts w:hint="eastAsia" w:ascii="宋体" w:hAnsi="宋体" w:cs="宋体"/>
          <w:szCs w:val="21"/>
          <w:u w:val="single"/>
          <w:lang w:bidi="ar"/>
        </w:rPr>
        <w:t xml:space="preserve"> 贰 </w:t>
      </w:r>
      <w:r>
        <w:rPr>
          <w:rFonts w:hint="eastAsia" w:ascii="宋体" w:hAnsi="宋体" w:cs="宋体"/>
          <w:szCs w:val="21"/>
          <w:lang w:bidi="ar"/>
        </w:rPr>
        <w:t xml:space="preserve">年；</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7. 其他项目保修期限约定如下：</w:t>
      </w: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　　质量保修期自工程竣工验收合格之日起计算。</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三、缺陷责任期</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工程缺陷责任期为</w:t>
      </w:r>
      <w:r>
        <w:rPr>
          <w:rFonts w:hint="eastAsia" w:ascii="宋体" w:hAnsi="宋体" w:cs="宋体"/>
          <w:szCs w:val="21"/>
          <w:u w:val="single"/>
          <w:lang w:bidi="ar"/>
        </w:rPr>
        <w:t xml:space="preserve">    年</w:t>
      </w:r>
      <w:r>
        <w:rPr>
          <w:rFonts w:hint="eastAsia" w:ascii="宋体" w:hAnsi="宋体" w:cs="宋体"/>
          <w:szCs w:val="21"/>
          <w:lang w:bidi="ar"/>
        </w:rPr>
        <w:t xml:space="preserve">，缺陷责任期自工程通过竣工验收之日起计算。单位工程先于全部工程进行验收，单位工程缺陷责任期自单位工程验收合格之日起算。</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缺陷责任期终止后，甲方应退还剩余的质量保证金。</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四、质量保修责任</w:t>
      </w:r>
      <w:r>
        <w:rPr>
          <w:rFonts w:hint="eastAsia" w:ascii="宋体" w:hAnsi="宋体" w:cs="宋体"/>
          <w:szCs w:val="21"/>
        </w:rPr>
      </w:r>
      <w:r/>
    </w:p>
    <w:p>
      <w:pPr>
        <w:pStyle w:val="1065"/>
        <w:ind w:left="105" w:firstLine="428"/>
        <w:spacing w:line="380" w:lineRule="exact"/>
        <w:rPr>
          <w:rFonts w:hint="eastAsia" w:ascii="宋体" w:hAnsi="宋体" w:cs="宋体"/>
          <w:szCs w:val="21"/>
        </w:rPr>
      </w:pPr>
      <w:r>
        <w:rPr>
          <w:rFonts w:hint="eastAsia" w:ascii="宋体" w:hAnsi="宋体" w:cs="宋体"/>
          <w:szCs w:val="21"/>
          <w:lang w:bidi="ar"/>
        </w:rPr>
        <w:t xml:space="preserve">1．属于保修范围、内容的项目，乙方应当在接到保修通知之日起24小时内派人保修。乙方不在约定期限内派人保修的，甲方可以委托他人修理。</w:t>
      </w:r>
      <w:r>
        <w:rPr>
          <w:rFonts w:hint="eastAsia" w:ascii="宋体" w:hAnsi="宋体" w:cs="宋体"/>
          <w:szCs w:val="21"/>
        </w:rPr>
      </w:r>
      <w:r/>
    </w:p>
    <w:p>
      <w:pPr>
        <w:pStyle w:val="1065"/>
        <w:ind w:left="105" w:firstLine="428"/>
        <w:spacing w:line="380" w:lineRule="exact"/>
        <w:rPr>
          <w:rFonts w:hint="eastAsia" w:ascii="宋体" w:hAnsi="宋体" w:cs="宋体"/>
          <w:szCs w:val="21"/>
        </w:rPr>
      </w:pPr>
      <w:r>
        <w:rPr>
          <w:rFonts w:hint="eastAsia" w:ascii="宋体" w:hAnsi="宋体" w:cs="宋体"/>
          <w:szCs w:val="21"/>
          <w:lang w:bidi="ar"/>
        </w:rPr>
        <w:t xml:space="preserve">2．发生紧急事故需抢修的，乙方在接到事故通知后，应当立即到达事故现场抢修。</w:t>
      </w:r>
      <w:r>
        <w:rPr>
          <w:rFonts w:hint="eastAsia" w:ascii="宋体" w:hAnsi="宋体" w:cs="宋体"/>
          <w:szCs w:val="21"/>
        </w:rPr>
      </w:r>
      <w:r/>
    </w:p>
    <w:p>
      <w:pPr>
        <w:pStyle w:val="1065"/>
        <w:ind w:left="105" w:firstLine="428"/>
        <w:spacing w:line="380" w:lineRule="exact"/>
        <w:rPr>
          <w:rFonts w:hint="eastAsia" w:ascii="宋体" w:hAnsi="宋体" w:cs="宋体"/>
          <w:szCs w:val="21"/>
        </w:rPr>
      </w:pPr>
      <w:r>
        <w:rPr>
          <w:rFonts w:hint="eastAsia" w:ascii="宋体" w:hAnsi="宋体" w:cs="宋体"/>
          <w:szCs w:val="21"/>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4．质量保修完成后，由甲方组织验收。</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五、保修费用</w:t>
      </w:r>
      <w:r>
        <w:rPr>
          <w:rFonts w:hint="eastAsia" w:ascii="宋体" w:hAnsi="宋体" w:cs="宋体"/>
          <w:szCs w:val="21"/>
        </w:rPr>
      </w:r>
      <w:r/>
    </w:p>
    <w:p>
      <w:pPr>
        <w:pStyle w:val="1065"/>
        <w:ind w:firstLine="600"/>
        <w:spacing w:line="380" w:lineRule="exact"/>
        <w:rPr>
          <w:rFonts w:hint="eastAsia" w:ascii="宋体" w:hAnsi="宋体" w:cs="宋体"/>
          <w:szCs w:val="21"/>
        </w:rPr>
      </w:pPr>
      <w:r>
        <w:rPr>
          <w:rFonts w:hint="eastAsia" w:ascii="宋体" w:hAnsi="宋体" w:cs="宋体"/>
          <w:szCs w:val="21"/>
          <w:lang w:bidi="ar"/>
        </w:rPr>
        <w:t xml:space="preserve">保修费用由造成质量缺陷的责任方承担。</w:t>
      </w:r>
      <w:r>
        <w:rPr>
          <w:rFonts w:hint="eastAsia" w:ascii="宋体" w:hAnsi="宋体" w:cs="宋体"/>
          <w:szCs w:val="21"/>
        </w:rPr>
      </w:r>
      <w:r/>
    </w:p>
    <w:p>
      <w:pPr>
        <w:pStyle w:val="1065"/>
        <w:ind w:firstLine="420"/>
        <w:jc w:val="left"/>
        <w:spacing w:line="380" w:lineRule="exact"/>
        <w:rPr>
          <w:rFonts w:hint="eastAsia" w:ascii="宋体" w:hAnsi="宋体" w:cs="宋体"/>
          <w:szCs w:val="21"/>
        </w:rPr>
      </w:pPr>
      <w:r>
        <w:rPr>
          <w:rFonts w:hint="eastAsia" w:ascii="宋体" w:hAnsi="宋体" w:cs="宋体"/>
          <w:szCs w:val="21"/>
          <w:lang w:bidi="ar"/>
        </w:rPr>
        <w:t xml:space="preserve">六、双方约定的其他工程质量保修事项</w:t>
      </w:r>
      <w:r>
        <w:rPr>
          <w:rFonts w:hint="eastAsia" w:ascii="宋体" w:hAnsi="宋体" w:cs="宋体"/>
          <w:szCs w:val="21"/>
        </w:rPr>
      </w:r>
      <w:r/>
    </w:p>
    <w:p>
      <w:pPr>
        <w:pStyle w:val="1065"/>
        <w:ind w:firstLine="420"/>
        <w:jc w:val="left"/>
        <w:spacing w:line="380" w:lineRule="exact"/>
        <w:rPr>
          <w:rFonts w:hint="eastAsia" w:ascii="宋体" w:hAnsi="宋体" w:cs="宋体"/>
          <w:szCs w:val="32"/>
          <w:u w:val="single"/>
        </w:rPr>
      </w:pPr>
      <w:r>
        <w:rPr>
          <w:rFonts w:hint="eastAsia" w:ascii="宋体" w:hAnsi="宋体" w:cs="宋体"/>
          <w:szCs w:val="32"/>
          <w:u w:val="single"/>
          <w:lang w:bidi="ar"/>
        </w:rPr>
        <w:t xml:space="preserve">/。</w:t>
      </w:r>
      <w:r>
        <w:rPr>
          <w:rFonts w:hint="eastAsia" w:ascii="宋体" w:hAnsi="宋体" w:cs="宋体"/>
          <w:szCs w:val="32"/>
          <w:u w:val="single"/>
        </w:rPr>
      </w:r>
      <w:r/>
    </w:p>
    <w:p>
      <w:pPr>
        <w:pStyle w:val="1065"/>
        <w:ind w:firstLine="399"/>
        <w:spacing w:line="380" w:lineRule="exact"/>
        <w:rPr>
          <w:rFonts w:hint="eastAsia" w:ascii="宋体" w:hAnsi="宋体" w:cs="宋体"/>
          <w:szCs w:val="21"/>
        </w:rPr>
      </w:pPr>
      <w:r>
        <w:rPr>
          <w:rFonts w:hint="eastAsia" w:ascii="宋体" w:hAnsi="宋体" w:cs="宋体"/>
          <w:szCs w:val="21"/>
          <w:lang w:bidi="ar"/>
        </w:rPr>
        <w:t xml:space="preserve">工程质量保修书由甲方、乙方在工程竣工验收前共同签署，作为施工合同附件，其有效期限至保修期满。</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甲方(公章)</w:t>
      </w:r>
      <w:r>
        <w:rPr>
          <w:rFonts w:hint="eastAsia" w:ascii="宋体" w:hAnsi="宋体" w:cs="宋体"/>
          <w:szCs w:val="21"/>
          <w:lang w:bidi="ar"/>
        </w:rPr>
        <w:t xml:space="preserve">：</w:t>
      </w:r>
      <w:r>
        <w:rPr>
          <w:rFonts w:hint="eastAsia" w:ascii="宋体" w:hAnsi="宋体" w:cs="宋体"/>
          <w:szCs w:val="21"/>
          <w:u w:val="single"/>
          <w:lang w:bidi="ar"/>
        </w:rPr>
        <w:t xml:space="preserve">                       </w:t>
      </w:r>
      <w:r>
        <w:rPr>
          <w:rFonts w:hint="eastAsia" w:ascii="宋体" w:hAnsi="宋体" w:cs="宋体"/>
          <w:szCs w:val="21"/>
          <w:lang w:bidi="ar"/>
        </w:rPr>
        <w:t xml:space="preserve">   乙方(公章)：</w:t>
      </w:r>
      <w:r>
        <w:rPr>
          <w:rFonts w:hint="eastAsia" w:ascii="宋体" w:hAnsi="宋体" w:cs="宋体"/>
          <w:szCs w:val="21"/>
          <w:u w:val="single"/>
          <w:lang w:bidi="ar"/>
        </w:rPr>
        <w:t xml:space="preserve">                           </w:t>
      </w:r>
      <w:r>
        <w:rPr>
          <w:rFonts w:hint="eastAsia" w:ascii="宋体" w:hAnsi="宋体" w:cs="宋体"/>
          <w:szCs w:val="21"/>
        </w:rPr>
      </w:r>
      <w:r/>
    </w:p>
    <w:p>
      <w:pPr>
        <w:pStyle w:val="1065"/>
        <w:ind w:left="5460" w:hanging="5460"/>
        <w:spacing w:line="380" w:lineRule="exact"/>
        <w:rPr>
          <w:rFonts w:hint="eastAsia" w:ascii="宋体" w:hAnsi="宋体" w:cs="宋体"/>
          <w:szCs w:val="21"/>
        </w:rPr>
      </w:pPr>
      <w:r>
        <w:rPr>
          <w:rFonts w:hint="eastAsia" w:ascii="宋体" w:hAnsi="宋体" w:cs="宋体"/>
          <w:szCs w:val="21"/>
          <w:lang w:bidi="ar"/>
        </w:rPr>
        <w:t xml:space="preserve">地  址：</w:t>
      </w:r>
      <w:r>
        <w:rPr>
          <w:rFonts w:hint="eastAsia" w:ascii="宋体" w:hAnsi="宋体" w:cs="宋体"/>
          <w:szCs w:val="21"/>
          <w:u w:val="single"/>
          <w:lang w:bidi="ar"/>
        </w:rPr>
        <w:t xml:space="preserve">                            </w:t>
      </w:r>
      <w:r>
        <w:rPr>
          <w:rFonts w:hint="eastAsia" w:ascii="宋体" w:hAnsi="宋体" w:cs="宋体"/>
          <w:szCs w:val="21"/>
          <w:lang w:bidi="ar"/>
        </w:rPr>
        <w:t xml:space="preserve">  地  址：</w:t>
      </w:r>
      <w:r>
        <w:rPr>
          <w:rFonts w:hint="eastAsia" w:ascii="宋体" w:hAnsi="宋体" w:cs="宋体"/>
          <w:szCs w:val="21"/>
          <w:u w:val="single"/>
          <w:lang w:bidi="ar"/>
        </w:rPr>
        <w:t xml:space="preserve">                                  </w:t>
      </w:r>
      <w:r>
        <w:rPr>
          <w:rFonts w:hint="eastAsia" w:ascii="宋体" w:hAnsi="宋体" w:cs="宋体"/>
          <w:szCs w:val="21"/>
        </w:rPr>
      </w:r>
      <w:r/>
    </w:p>
    <w:p>
      <w:pPr>
        <w:pStyle w:val="1065"/>
        <w:spacing w:line="380" w:lineRule="exact"/>
        <w:rPr>
          <w:rFonts w:hint="eastAsia" w:ascii="宋体" w:hAnsi="宋体" w:cs="宋体"/>
          <w:szCs w:val="21"/>
          <w:u w:val="single"/>
        </w:rPr>
      </w:pPr>
      <w:r>
        <w:rPr>
          <w:rFonts w:hint="eastAsia" w:ascii="宋体" w:hAnsi="宋体" w:cs="宋体"/>
          <w:szCs w:val="21"/>
          <w:lang w:bidi="ar"/>
        </w:rPr>
        <w:t xml:space="preserve">法定代表人(签字)：</w:t>
      </w:r>
      <w:r>
        <w:rPr>
          <w:rFonts w:hint="eastAsia" w:ascii="宋体" w:hAnsi="宋体" w:cs="宋体"/>
          <w:szCs w:val="21"/>
          <w:u w:val="single"/>
          <w:lang w:bidi="ar"/>
        </w:rPr>
        <w:t xml:space="preserve">                  </w:t>
      </w:r>
      <w:r>
        <w:rPr>
          <w:rFonts w:hint="eastAsia" w:ascii="宋体" w:hAnsi="宋体" w:cs="宋体"/>
          <w:szCs w:val="21"/>
          <w:lang w:bidi="ar"/>
        </w:rPr>
        <w:t xml:space="preserve">  法定代表人(签字)：</w:t>
      </w:r>
      <w:r>
        <w:rPr>
          <w:rFonts w:hint="eastAsia" w:ascii="宋体" w:hAnsi="宋体" w:cs="宋体"/>
          <w:szCs w:val="21"/>
          <w:u w:val="single"/>
          <w:lang w:bidi="ar"/>
        </w:rPr>
        <w:t xml:space="preserve">                           </w:t>
      </w:r>
      <w:r>
        <w:rPr>
          <w:rFonts w:hint="eastAsia" w:ascii="宋体" w:hAnsi="宋体" w:cs="宋体"/>
          <w:szCs w:val="21"/>
          <w:u w:val="single"/>
        </w:rPr>
      </w:r>
      <w:r/>
    </w:p>
    <w:p>
      <w:pPr>
        <w:pStyle w:val="1065"/>
        <w:spacing w:line="380" w:lineRule="exact"/>
        <w:rPr>
          <w:rFonts w:hint="eastAsia" w:ascii="宋体" w:hAnsi="宋体" w:cs="宋体"/>
          <w:szCs w:val="21"/>
        </w:rPr>
      </w:pPr>
      <w:r>
        <w:rPr>
          <w:rFonts w:hint="eastAsia" w:ascii="宋体" w:hAnsi="宋体" w:cs="宋体"/>
          <w:szCs w:val="21"/>
          <w:lang w:bidi="ar"/>
        </w:rPr>
        <w:t xml:space="preserve">委托代理人(签字)：</w:t>
      </w:r>
      <w:r>
        <w:rPr>
          <w:rFonts w:hint="eastAsia" w:ascii="宋体" w:hAnsi="宋体" w:cs="宋体"/>
          <w:szCs w:val="21"/>
          <w:u w:val="single"/>
          <w:lang w:bidi="ar"/>
        </w:rPr>
        <w:t xml:space="preserve">                  </w:t>
      </w:r>
      <w:r>
        <w:rPr>
          <w:rFonts w:hint="eastAsia" w:ascii="宋体" w:hAnsi="宋体" w:cs="宋体"/>
          <w:szCs w:val="21"/>
          <w:lang w:bidi="ar"/>
        </w:rPr>
        <w:t xml:space="preserve">  委托代理人(签字)：</w:t>
      </w:r>
      <w:r>
        <w:rPr>
          <w:rFonts w:hint="eastAsia" w:ascii="宋体" w:hAnsi="宋体" w:cs="宋体"/>
          <w:szCs w:val="21"/>
          <w:u w:val="single"/>
          <w:lang w:bidi="ar"/>
        </w:rPr>
        <w:t xml:space="preserve">                           </w:t>
      </w:r>
      <w:r>
        <w:rPr>
          <w:rFonts w:hint="eastAsia" w:ascii="宋体" w:hAnsi="宋体" w:cs="宋体"/>
          <w:szCs w:val="21"/>
        </w:rPr>
      </w:r>
      <w:r/>
    </w:p>
    <w:p>
      <w:pPr>
        <w:pStyle w:val="1065"/>
        <w:spacing w:line="380" w:lineRule="exact"/>
        <w:rPr>
          <w:rFonts w:hint="eastAsia" w:ascii="宋体" w:hAnsi="宋体" w:cs="宋体"/>
          <w:szCs w:val="21"/>
          <w:u w:val="single"/>
        </w:rPr>
      </w:pPr>
      <w:r>
        <w:rPr>
          <w:rFonts w:hint="eastAsia" w:ascii="宋体" w:hAnsi="宋体" w:cs="宋体"/>
          <w:szCs w:val="21"/>
          <w:lang w:bidi="ar"/>
        </w:rPr>
        <w:t xml:space="preserve">电  话：</w:t>
      </w:r>
      <w:r>
        <w:rPr>
          <w:rFonts w:hint="eastAsia" w:ascii="宋体" w:hAnsi="宋体" w:cs="宋体"/>
          <w:szCs w:val="21"/>
          <w:u w:val="single"/>
          <w:lang w:bidi="ar"/>
        </w:rPr>
        <w:t xml:space="preserve">                            </w:t>
      </w:r>
      <w:r>
        <w:rPr>
          <w:rFonts w:hint="eastAsia" w:ascii="宋体" w:hAnsi="宋体" w:cs="宋体"/>
          <w:szCs w:val="21"/>
          <w:lang w:bidi="ar"/>
        </w:rPr>
        <w:t xml:space="preserve">  电  话：</w:t>
      </w:r>
      <w:r>
        <w:rPr>
          <w:rFonts w:hint="eastAsia" w:ascii="宋体" w:hAnsi="宋体" w:cs="宋体"/>
          <w:szCs w:val="21"/>
          <w:u w:val="single"/>
          <w:lang w:bidi="ar"/>
        </w:rPr>
        <w:t xml:space="preserve">                                   </w:t>
      </w:r>
      <w:r>
        <w:rPr>
          <w:rFonts w:hint="eastAsia" w:ascii="宋体" w:hAnsi="宋体" w:cs="宋体"/>
          <w:szCs w:val="21"/>
          <w:u w:val="single"/>
        </w:rPr>
      </w:r>
      <w:r/>
    </w:p>
    <w:p>
      <w:pPr>
        <w:pStyle w:val="1065"/>
        <w:spacing w:line="380" w:lineRule="exact"/>
        <w:rPr>
          <w:rFonts w:hint="eastAsia" w:ascii="宋体" w:hAnsi="宋体" w:cs="宋体"/>
          <w:szCs w:val="21"/>
        </w:rPr>
      </w:pPr>
      <w:r>
        <w:rPr>
          <w:rFonts w:hint="eastAsia" w:ascii="宋体" w:hAnsi="宋体" w:cs="宋体"/>
          <w:szCs w:val="21"/>
          <w:lang w:bidi="ar"/>
        </w:rPr>
        <w:t xml:space="preserve">传  真：</w:t>
      </w:r>
      <w:r>
        <w:rPr>
          <w:rFonts w:hint="eastAsia" w:ascii="宋体" w:hAnsi="宋体" w:cs="宋体"/>
          <w:szCs w:val="21"/>
          <w:u w:val="single"/>
          <w:lang w:bidi="ar"/>
        </w:rPr>
        <w:t xml:space="preserve">                            </w:t>
      </w:r>
      <w:r>
        <w:rPr>
          <w:rFonts w:hint="eastAsia" w:ascii="宋体" w:hAnsi="宋体" w:cs="宋体"/>
          <w:szCs w:val="21"/>
          <w:lang w:bidi="ar"/>
        </w:rPr>
        <w:t xml:space="preserve">  传  真：</w:t>
      </w:r>
      <w:r>
        <w:rPr>
          <w:rFonts w:hint="eastAsia" w:ascii="宋体" w:hAnsi="宋体" w:cs="宋体"/>
          <w:szCs w:val="21"/>
          <w:u w:val="single"/>
          <w:lang w:bidi="ar"/>
        </w:rPr>
        <w:t xml:space="preserve">                                 </w:t>
      </w:r>
      <w:r>
        <w:rPr>
          <w:rFonts w:hint="eastAsia" w:ascii="宋体" w:hAnsi="宋体" w:cs="宋体"/>
          <w:szCs w:val="21"/>
        </w:rPr>
      </w:r>
      <w:r/>
    </w:p>
    <w:p>
      <w:pPr>
        <w:pStyle w:val="1065"/>
        <w:ind w:left="5460" w:hanging="5460"/>
        <w:spacing w:line="380" w:lineRule="exact"/>
        <w:rPr>
          <w:rFonts w:hint="eastAsia" w:ascii="宋体" w:hAnsi="宋体" w:cs="宋体"/>
          <w:szCs w:val="21"/>
        </w:rPr>
      </w:pPr>
      <w:r>
        <w:rPr>
          <w:rFonts w:hint="eastAsia" w:ascii="宋体" w:hAnsi="宋体" w:cs="宋体"/>
          <w:szCs w:val="21"/>
          <w:lang w:bidi="ar"/>
        </w:rPr>
        <w:t xml:space="preserve">开户银行：</w:t>
      </w:r>
      <w:r>
        <w:rPr>
          <w:rFonts w:hint="eastAsia" w:ascii="宋体" w:hAnsi="宋体" w:cs="宋体"/>
          <w:szCs w:val="21"/>
          <w:u w:val="single"/>
          <w:lang w:bidi="ar"/>
        </w:rPr>
        <w:t xml:space="preserve">                          </w:t>
      </w:r>
      <w:r>
        <w:rPr>
          <w:rFonts w:hint="eastAsia" w:ascii="宋体" w:hAnsi="宋体" w:cs="宋体"/>
          <w:szCs w:val="21"/>
          <w:lang w:bidi="ar"/>
        </w:rPr>
        <w:t xml:space="preserve">  开户银行：</w:t>
      </w:r>
      <w:r>
        <w:rPr>
          <w:rFonts w:hint="eastAsia" w:ascii="宋体" w:hAnsi="宋体" w:cs="宋体"/>
          <w:szCs w:val="21"/>
          <w:u w:val="single"/>
          <w:lang w:bidi="ar"/>
        </w:rPr>
        <w:t xml:space="preserve">                                 </w:t>
      </w:r>
      <w:r>
        <w:rPr>
          <w:rFonts w:hint="eastAsia" w:ascii="宋体" w:hAnsi="宋体" w:cs="宋体"/>
          <w:szCs w:val="21"/>
        </w:rPr>
      </w:r>
      <w:r/>
    </w:p>
    <w:p>
      <w:pPr>
        <w:pStyle w:val="1065"/>
        <w:spacing w:line="380" w:lineRule="exact"/>
        <w:rPr>
          <w:rFonts w:hint="eastAsia" w:ascii="宋体" w:hAnsi="宋体" w:cs="宋体"/>
          <w:szCs w:val="21"/>
          <w:u w:val="single"/>
        </w:rPr>
      </w:pPr>
      <w:r>
        <w:rPr>
          <w:rFonts w:hint="eastAsia" w:ascii="宋体" w:hAnsi="宋体" w:cs="宋体"/>
          <w:szCs w:val="21"/>
          <w:lang w:bidi="ar"/>
        </w:rPr>
        <w:t xml:space="preserve">账  号：</w:t>
      </w:r>
      <w:r>
        <w:rPr>
          <w:rFonts w:hint="eastAsia" w:ascii="宋体" w:hAnsi="宋体" w:cs="宋体"/>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 xml:space="preserve">  账 号：</w:t>
      </w:r>
      <w:r>
        <w:rPr>
          <w:rFonts w:hint="eastAsia" w:ascii="宋体" w:hAnsi="宋体" w:cs="宋体"/>
          <w:szCs w:val="21"/>
          <w:u w:val="single"/>
          <w:lang w:bidi="ar"/>
        </w:rPr>
        <w:t xml:space="preserve">                                  </w:t>
      </w:r>
      <w:r>
        <w:rPr>
          <w:rFonts w:hint="eastAsia" w:ascii="宋体" w:hAnsi="宋体" w:cs="宋体"/>
          <w:szCs w:val="21"/>
          <w:u w:val="single"/>
        </w:rPr>
      </w:r>
      <w:r/>
    </w:p>
    <w:p>
      <w:pPr>
        <w:pStyle w:val="1065"/>
        <w:rPr>
          <w:rFonts w:ascii="Calibri" w:hAnsi="Calibri"/>
        </w:rPr>
      </w:pPr>
      <w:r>
        <w:rPr>
          <w:rFonts w:hint="eastAsia" w:ascii="宋体" w:hAnsi="宋体" w:cs="宋体"/>
          <w:szCs w:val="21"/>
          <w:lang w:bidi="ar"/>
        </w:rPr>
        <w:t xml:space="preserve">邮政编码：</w:t>
      </w:r>
      <w:r>
        <w:rPr>
          <w:rFonts w:hint="eastAsia" w:ascii="宋体" w:hAnsi="宋体" w:cs="宋体"/>
          <w:szCs w:val="21"/>
          <w:u w:val="single"/>
          <w:lang w:bidi="ar"/>
        </w:rPr>
        <w:t xml:space="preserve">                          </w:t>
      </w:r>
      <w:r>
        <w:rPr>
          <w:rFonts w:hint="eastAsia" w:ascii="宋体" w:hAnsi="宋体" w:cs="宋体"/>
          <w:szCs w:val="21"/>
          <w:lang w:bidi="ar"/>
        </w:rPr>
        <w:t xml:space="preserve">  邮政编码：</w:t>
      </w:r>
      <w:r>
        <w:rPr>
          <w:rFonts w:hint="eastAsia" w:ascii="宋体" w:hAnsi="宋体" w:cs="宋体"/>
          <w:szCs w:val="21"/>
          <w:u w:val="single"/>
          <w:lang w:bidi="ar"/>
        </w:rPr>
        <w:t xml:space="preserve">                               </w:t>
      </w:r>
      <w:r>
        <w:rPr>
          <w:rFonts w:ascii="Calibri" w:hAnsi="Calibri"/>
        </w:rPr>
      </w:r>
      <w:r/>
    </w:p>
    <w:p>
      <w:pPr>
        <w:pStyle w:val="1065"/>
        <w:rPr>
          <w:rFonts w:ascii="Calibri" w:hAnsi="Calibri"/>
        </w:rPr>
      </w:pPr>
      <w:r>
        <w:rPr>
          <w:rFonts w:ascii="Calibri" w:hAnsi="Calibri"/>
        </w:rPr>
      </w:r>
      <w:r/>
    </w:p>
    <w:p>
      <w:pPr>
        <w:pStyle w:val="1065"/>
        <w:jc w:val="left"/>
        <w:spacing w:line="400" w:lineRule="exact"/>
        <w:rPr>
          <w:rFonts w:hint="eastAsia" w:ascii="宋体" w:hAnsi="宋体" w:cs="宋体"/>
          <w:b/>
          <w:bCs/>
          <w:sz w:val="24"/>
        </w:rPr>
      </w:pPr>
      <w:r>
        <w:rPr>
          <w:rFonts w:hint="eastAsia" w:ascii="宋体" w:hAnsi="宋体" w:cs="宋体"/>
          <w:b/>
          <w:bCs/>
          <w:sz w:val="24"/>
        </w:rPr>
      </w:r>
      <w:r/>
    </w:p>
    <w:p>
      <w:pPr>
        <w:pStyle w:val="1065"/>
        <w:spacing w:line="400" w:lineRule="exact"/>
        <w:rPr>
          <w:rFonts w:ascii="Calibri" w:hAnsi="Calibri"/>
        </w:rPr>
      </w:pPr>
      <w:r>
        <w:rPr>
          <w:rFonts w:hint="eastAsia" w:ascii="宋体" w:hAnsi="宋体" w:cs="宋体"/>
          <w:b/>
          <w:bCs/>
          <w:sz w:val="24"/>
          <w:szCs w:val="22"/>
          <w:lang w:bidi="ar"/>
        </w:rPr>
        <w:t xml:space="preserve">注：上述格式及内容仅供参考，具体以甲乙双方签订合同时内容为准。</w:t>
      </w:r>
      <w:r>
        <w:rPr>
          <w:rFonts w:ascii="Calibri" w:hAnsi="Calibri"/>
        </w:rPr>
      </w:r>
      <w:r/>
    </w:p>
    <w:p>
      <w:pPr>
        <w:pStyle w:val="1065"/>
        <w:jc w:val="left"/>
        <w:widowControl/>
        <w:rPr>
          <w:b/>
          <w:sz w:val="36"/>
          <w:szCs w:val="36"/>
        </w:rPr>
      </w:pPr>
      <w:r>
        <w:rPr>
          <w:b/>
          <w:sz w:val="36"/>
          <w:szCs w:val="36"/>
        </w:rPr>
      </w:r>
      <w:r/>
    </w:p>
    <w:p>
      <w:pPr>
        <w:pStyle w:val="1065"/>
        <w:jc w:val="center"/>
        <w:widowControl/>
        <w:rPr>
          <w:rFonts w:hint="eastAsia" w:ascii="宋体" w:hAnsi="宋体"/>
          <w:b/>
          <w:sz w:val="36"/>
          <w:szCs w:val="36"/>
        </w:rPr>
      </w:pPr>
      <w:r>
        <w:rPr>
          <w:rFonts w:hint="eastAsia" w:ascii="宋体" w:hAnsi="宋体"/>
          <w:b/>
          <w:sz w:val="36"/>
          <w:szCs w:val="36"/>
        </w:rPr>
      </w:r>
      <w:r/>
    </w:p>
    <w:p>
      <w:pPr>
        <w:pStyle w:val="1065"/>
        <w:spacing w:line="360" w:lineRule="auto"/>
        <w:rPr>
          <w:rFonts w:ascii="宋体" w:hAnsi="宋体" w:cs="宋体"/>
          <w:sz w:val="24"/>
        </w:rPr>
      </w:pPr>
      <w:r>
        <w:rPr>
          <w:rFonts w:ascii="宋体" w:hAnsi="宋体" w:cs="宋体"/>
          <w:sz w:val="24"/>
        </w:rPr>
        <w:br w:type="page" w:clear="all"/>
      </w:r>
      <w:r/>
    </w:p>
    <w:p>
      <w:pPr>
        <w:pStyle w:val="1068"/>
        <w:numPr>
          <w:ilvl w:val="2"/>
          <w:numId w:val="13"/>
        </w:numPr>
        <w:contextualSpacing/>
        <w:ind w:firstLine="643"/>
        <w:jc w:val="center"/>
        <w:spacing w:before="120" w:after="0" w:line="360" w:lineRule="auto"/>
        <w:tabs>
          <w:tab w:val="center" w:pos="4677" w:leader="none"/>
          <w:tab w:val="left" w:pos="7652" w:leader="none"/>
        </w:tabs>
        <w:rPr>
          <w:rFonts w:hAnsi="宋体"/>
          <w:sz w:val="32"/>
          <w:szCs w:val="32"/>
          <w:u w:val="none"/>
        </w:rPr>
      </w:pPr>
      <w:r>
        <w:rPr>
          <w:rFonts w:hint="eastAsia" w:hAnsi="宋体"/>
          <w:sz w:val="32"/>
          <w:szCs w:val="32"/>
          <w:u w:val="none"/>
        </w:rPr>
        <w:t xml:space="preserve">安全协议</w:t>
      </w:r>
      <w:r>
        <w:rPr>
          <w:rFonts w:hAnsi="宋体"/>
          <w:sz w:val="32"/>
          <w:szCs w:val="32"/>
          <w:u w:val="none"/>
        </w:rPr>
      </w:r>
      <w:r/>
    </w:p>
    <w:p>
      <w:pPr>
        <w:pStyle w:val="1065"/>
        <w:contextualSpacing/>
        <w:ind w:firstLine="420"/>
        <w:spacing w:line="360" w:lineRule="auto"/>
        <w:rPr>
          <w:rFonts w:ascii="宋体" w:hAnsi="宋体"/>
          <w:szCs w:val="21"/>
        </w:rPr>
      </w:pPr>
      <w:r>
        <w:rPr>
          <w:rFonts w:ascii="宋体" w:hAnsi="宋体"/>
          <w:szCs w:val="21"/>
        </w:rPr>
      </w:r>
      <w:r/>
    </w:p>
    <w:p>
      <w:pPr>
        <w:pStyle w:val="1065"/>
        <w:contextualSpacing/>
        <w:ind w:firstLine="480"/>
        <w:spacing w:after="120" w:line="360" w:lineRule="auto"/>
        <w:rPr>
          <w:rFonts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rPr>
          <w:rFonts w:ascii="宋体" w:hAnsi="宋体"/>
          <w:b/>
          <w:sz w:val="24"/>
          <w:u w:val="single"/>
        </w:rPr>
      </w:r>
      <w:r/>
    </w:p>
    <w:p>
      <w:pPr>
        <w:pStyle w:val="1065"/>
        <w:contextualSpacing/>
        <w:ind w:firstLine="480"/>
        <w:spacing w:after="120" w:line="360" w:lineRule="auto"/>
        <w:rPr>
          <w:rFonts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bCs/>
          <w:sz w:val="24"/>
        </w:rPr>
      </w:r>
      <w:r/>
    </w:p>
    <w:p>
      <w:pPr>
        <w:pStyle w:val="1065"/>
        <w:contextualSpacing/>
        <w:ind w:firstLine="480"/>
        <w:spacing w:after="120" w:line="360" w:lineRule="auto"/>
        <w:rPr>
          <w:rFonts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rPr>
          <w:rFonts w:ascii="宋体" w:hAnsi="宋体"/>
          <w:bCs/>
          <w:sz w:val="24"/>
        </w:rPr>
      </w:r>
      <w:r/>
    </w:p>
    <w:p>
      <w:pPr>
        <w:pStyle w:val="1065"/>
        <w:contextualSpacing/>
        <w:ind w:firstLine="480"/>
        <w:spacing w:after="120" w:line="360" w:lineRule="auto"/>
        <w:rPr>
          <w:rFonts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rPr>
          <w:rFonts w:ascii="宋体" w:hAnsi="宋体"/>
          <w:bCs/>
          <w:sz w:val="24"/>
        </w:rPr>
      </w:r>
      <w:r/>
    </w:p>
    <w:p>
      <w:pPr>
        <w:pStyle w:val="1065"/>
        <w:contextualSpacing/>
        <w:ind w:firstLine="480"/>
        <w:spacing w:line="360" w:lineRule="auto"/>
        <w:rPr>
          <w:rFonts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rFonts w:ascii="宋体" w:hAnsi="宋体"/>
          <w:sz w:val="24"/>
        </w:rPr>
      </w:r>
      <w:r/>
    </w:p>
    <w:p>
      <w:pPr>
        <w:pStyle w:val="1065"/>
        <w:contextualSpacing/>
        <w:ind w:firstLine="480"/>
        <w:spacing w:line="360" w:lineRule="auto"/>
        <w:tabs>
          <w:tab w:val="left" w:pos="537" w:leader="none"/>
        </w:tabs>
        <w:rPr>
          <w:rFonts w:ascii="宋体" w:hAnsi="宋体"/>
          <w:sz w:val="24"/>
        </w:rPr>
      </w:pPr>
      <w:r>
        <w:rPr>
          <w:rFonts w:hint="eastAsia" w:ascii="宋体" w:hAnsi="宋体"/>
          <w:sz w:val="24"/>
        </w:rPr>
        <w:t xml:space="preserve">一、甲方责任</w:t>
      </w:r>
      <w:r>
        <w:rPr>
          <w:rFonts w:ascii="宋体" w:hAnsi="宋体"/>
          <w:sz w:val="24"/>
        </w:rPr>
      </w:r>
      <w:r/>
    </w:p>
    <w:p>
      <w:pPr>
        <w:pStyle w:val="1065"/>
        <w:contextualSpacing/>
        <w:ind w:firstLine="480"/>
        <w:spacing w:line="360" w:lineRule="auto"/>
        <w:tabs>
          <w:tab w:val="left" w:pos="537" w:leader="none"/>
        </w:tabs>
        <w:rPr>
          <w:rFonts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65"/>
        <w:contextualSpacing/>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w:t>
      </w:r>
      <w:r>
        <w:rPr>
          <w:rFonts w:hint="eastAsia" w:ascii="宋体" w:hAnsi="宋体"/>
          <w:sz w:val="24"/>
        </w:rPr>
        <w:t xml:space="preserve">全生产的组织保证体系，建立健全安全生产责任制。</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rPr>
          <w:rFonts w:ascii="宋体" w:hAnsi="宋体"/>
          <w:sz w:val="24"/>
        </w:rPr>
      </w:r>
      <w:r/>
    </w:p>
    <w:p>
      <w:pPr>
        <w:pStyle w:val="1065"/>
        <w:numPr>
          <w:ilvl w:val="0"/>
          <w:numId w:val="14"/>
        </w:numPr>
        <w:contextualSpacing/>
        <w:ind w:firstLine="480"/>
        <w:jc w:val="left"/>
        <w:spacing w:line="360" w:lineRule="auto"/>
        <w:widowControl/>
        <w:rPr>
          <w:rFonts w:ascii="宋体" w:hAnsi="宋体"/>
          <w:sz w:val="24"/>
        </w:rPr>
      </w:pPr>
      <w:r>
        <w:rPr>
          <w:rFonts w:hint="eastAsia" w:ascii="宋体" w:hAnsi="宋体"/>
          <w:sz w:val="24"/>
        </w:rPr>
        <w:t xml:space="preserve">乙方责任</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w:t>
      </w:r>
      <w:r>
        <w:rPr>
          <w:rFonts w:hint="eastAsia" w:ascii="宋体" w:hAnsi="宋体"/>
          <w:sz w:val="24"/>
        </w:rPr>
        <w:t xml:space="preserve">成安全事故的，责任自负，并按照规定无条件接受处罚。</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ascii="宋体" w:hAnsi="宋体"/>
          <w:sz w:val="24"/>
        </w:rPr>
      </w:r>
      <w:r/>
    </w:p>
    <w:p>
      <w:pPr>
        <w:pStyle w:val="1065"/>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65"/>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68"/>
        <w:numPr>
          <w:ilvl w:val="2"/>
          <w:numId w:val="13"/>
        </w:numPr>
        <w:contextualSpacing/>
        <w:ind w:firstLine="482"/>
        <w:jc w:val="center"/>
        <w:spacing w:before="120" w:after="0" w:line="360" w:lineRule="auto"/>
        <w:tabs>
          <w:tab w:val="center" w:pos="4677" w:leader="none"/>
          <w:tab w:val="left" w:pos="7652" w:leader="none"/>
        </w:tabs>
        <w:rPr>
          <w:rFonts w:hint="eastAsia" w:hAnsi="宋体"/>
          <w:b w:val="0"/>
          <w:sz w:val="32"/>
          <w:szCs w:val="32"/>
        </w:rPr>
      </w:pPr>
      <w:r>
        <w:rPr>
          <w:rFonts w:hAnsi="宋体"/>
        </w:rPr>
        <w:br w:type="page" w:clear="all"/>
      </w:r>
      <w:r>
        <w:rPr>
          <w:rFonts w:hint="eastAsia" w:hAnsi="宋体"/>
          <w:sz w:val="32"/>
          <w:szCs w:val="32"/>
          <w:u w:val="none"/>
        </w:rPr>
        <w:t xml:space="preserve">廉 政 责 任 书</w:t>
      </w:r>
      <w:r>
        <w:rPr>
          <w:rFonts w:hint="eastAsia" w:hAnsi="宋体"/>
          <w:b w:val="0"/>
          <w:sz w:val="32"/>
          <w:szCs w:val="32"/>
        </w:rPr>
      </w:r>
      <w:r/>
    </w:p>
    <w:p>
      <w:pPr>
        <w:pStyle w:val="1065"/>
        <w:ind w:firstLine="560"/>
        <w:spacing w:line="400" w:lineRule="exact"/>
        <w:widowControl/>
        <w:rPr>
          <w:rFonts w:hint="eastAsia" w:ascii="宋体" w:hAnsi="宋体"/>
          <w:sz w:val="28"/>
          <w:szCs w:val="28"/>
        </w:rPr>
      </w:pPr>
      <w:r>
        <w:rPr>
          <w:rFonts w:hint="eastAsia" w:ascii="宋体" w:hAnsi="宋体"/>
          <w:sz w:val="28"/>
          <w:szCs w:val="28"/>
        </w:rPr>
      </w:r>
      <w:r/>
    </w:p>
    <w:p>
      <w:pPr>
        <w:pStyle w:val="1065"/>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pStyle w:val="1065"/>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pStyle w:val="1065"/>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pStyle w:val="1065"/>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pStyle w:val="1065"/>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pStyle w:val="1065"/>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pStyle w:val="1065"/>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pStyle w:val="1065"/>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pStyle w:val="1065"/>
        <w:ind w:firstLine="482"/>
        <w:spacing w:line="540" w:lineRule="exact"/>
        <w:widowControl/>
        <w:rPr>
          <w:rFonts w:hint="eastAsia" w:ascii="宋体" w:hAnsi="宋体"/>
          <w:b/>
          <w:sz w:val="24"/>
        </w:rPr>
      </w:pPr>
      <w:r>
        <w:rPr>
          <w:rFonts w:hint="eastAsia" w:ascii="宋体" w:hAnsi="宋体"/>
          <w:b/>
          <w:sz w:val="24"/>
        </w:rPr>
        <w:t xml:space="preserve">二、违约责任</w:t>
      </w:r>
      <w:r/>
    </w:p>
    <w:p>
      <w:pPr>
        <w:pStyle w:val="1065"/>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65"/>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w:t>
      </w:r>
      <w:r>
        <w:rPr>
          <w:rFonts w:hint="eastAsia" w:ascii="宋体" w:hAnsi="宋体"/>
          <w:sz w:val="24"/>
        </w:rPr>
        <w:t xml:space="preserve">，送交甲方的监督单位一份。</w:t>
      </w:r>
      <w:r/>
    </w:p>
    <w:p>
      <w:pPr>
        <w:pStyle w:val="1065"/>
        <w:ind w:firstLine="480"/>
        <w:spacing w:line="540" w:lineRule="exact"/>
        <w:widowControl/>
        <w:rPr>
          <w:rFonts w:ascii="宋体" w:hAnsi="宋体"/>
          <w:sz w:val="24"/>
        </w:rPr>
      </w:pPr>
      <w:r>
        <w:rPr>
          <w:rFonts w:ascii="宋体" w:hAnsi="宋体"/>
          <w:sz w:val="24"/>
        </w:rPr>
      </w:r>
      <w:r/>
    </w:p>
    <w:p>
      <w:pPr>
        <w:pStyle w:val="1065"/>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65"/>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65"/>
        <w:spacing w:line="360" w:lineRule="auto"/>
        <w:rPr>
          <w:rFonts w:ascii="宋体" w:hAnsi="宋体" w:cs="宋体"/>
          <w:sz w:val="24"/>
        </w:rPr>
      </w:pPr>
      <w:r>
        <w:rPr>
          <w:rFonts w:ascii="宋体" w:hAnsi="宋体" w:cs="宋体"/>
          <w:sz w:val="24"/>
        </w:rPr>
      </w:r>
      <w:r/>
    </w:p>
    <w:p>
      <w:pPr>
        <w:pStyle w:val="1065"/>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1065"/>
        <w:jc w:val="center"/>
        <w:spacing w:line="360" w:lineRule="auto"/>
        <w:rPr>
          <w:rFonts w:ascii="宋体" w:hAnsi="宋体"/>
          <w:b/>
          <w:sz w:val="36"/>
          <w:szCs w:val="36"/>
        </w:rPr>
        <w:outlineLvl w:val="0"/>
      </w:pPr>
      <w:r>
        <w:rPr>
          <w:rFonts w:ascii="宋体" w:hAnsi="宋体"/>
          <w:b/>
          <w:sz w:val="36"/>
          <w:szCs w:val="36"/>
        </w:rPr>
        <w:br w:type="page" w:clear="all"/>
      </w:r>
      <w:bookmarkStart w:id="827" w:name="_Toc99301426"/>
      <w:r>
        <w:rPr>
          <w:rFonts w:ascii="宋体" w:hAnsi="宋体"/>
          <w:b/>
          <w:sz w:val="36"/>
          <w:szCs w:val="36"/>
        </w:rPr>
        <w:t xml:space="preserve">第七章   投标文件格式</w:t>
      </w:r>
      <w:bookmarkEnd w:id="827"/>
      <w:r>
        <w:rPr>
          <w:rFonts w:ascii="宋体" w:hAnsi="宋体"/>
          <w:b/>
          <w:sz w:val="36"/>
          <w:szCs w:val="36"/>
        </w:rPr>
      </w:r>
      <w:r/>
    </w:p>
    <w:p>
      <w:pPr>
        <w:pStyle w:val="106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6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6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6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6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w:t>
      </w:r>
      <w:r>
        <w:rPr>
          <w:rFonts w:hint="eastAsia" w:ascii="宋体" w:hAnsi="宋体"/>
          <w:sz w:val="24"/>
        </w:rPr>
        <w:t xml:space="preserve">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5"/>
        <w:jc w:val="left"/>
        <w:widowControl/>
        <w:rPr>
          <w:rFonts w:ascii="宋体" w:hAnsi="宋体"/>
          <w:sz w:val="24"/>
        </w:rPr>
      </w:pPr>
      <w:r>
        <w:rPr>
          <w:rFonts w:ascii="宋体" w:hAnsi="宋体"/>
          <w:sz w:val="24"/>
        </w:rPr>
        <w:br w:type="page" w:clear="all"/>
      </w:r>
      <w:r/>
    </w:p>
    <w:p>
      <w:pPr>
        <w:pStyle w:val="1065"/>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65"/>
        <w:rPr>
          <w:rFonts w:ascii="宋体" w:hAnsi="宋体"/>
          <w:b/>
          <w:spacing w:val="20"/>
          <w:szCs w:val="21"/>
        </w:rPr>
      </w:pPr>
      <w:r>
        <w:rPr>
          <w:rFonts w:ascii="宋体" w:hAnsi="宋体"/>
          <w:b/>
          <w:spacing w:val="20"/>
          <w:szCs w:val="21"/>
        </w:rPr>
      </w:r>
      <w:r/>
    </w:p>
    <w:p>
      <w:pPr>
        <w:pStyle w:val="106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65"/>
        <w:jc w:val="center"/>
        <w:rPr>
          <w:rFonts w:ascii="宋体" w:hAnsi="宋体"/>
          <w:szCs w:val="21"/>
        </w:rPr>
      </w:pPr>
      <w:r>
        <w:rPr>
          <w:rFonts w:ascii="宋体" w:hAnsi="宋体"/>
          <w:szCs w:val="21"/>
        </w:rPr>
      </w:r>
      <w:r/>
    </w:p>
    <w:p>
      <w:pPr>
        <w:pStyle w:val="1065"/>
        <w:jc w:val="center"/>
        <w:rPr>
          <w:rFonts w:ascii="宋体" w:hAnsi="宋体"/>
          <w:b/>
          <w:spacing w:val="60"/>
          <w:sz w:val="84"/>
          <w:szCs w:val="84"/>
        </w:rPr>
      </w:pPr>
      <w:r>
        <w:rPr>
          <w:rFonts w:ascii="宋体" w:hAnsi="宋体"/>
          <w:b/>
          <w:spacing w:val="60"/>
          <w:sz w:val="84"/>
          <w:szCs w:val="84"/>
        </w:rPr>
        <w:t xml:space="preserve">投 标 文 件</w:t>
      </w:r>
      <w:r/>
    </w:p>
    <w:p>
      <w:pPr>
        <w:pStyle w:val="1065"/>
        <w:ind w:firstLine="963"/>
        <w:rPr>
          <w:rFonts w:hint="eastAsia" w:ascii="宋体" w:hAnsi="宋体"/>
          <w:b/>
          <w:spacing w:val="60"/>
          <w:sz w:val="52"/>
          <w:szCs w:val="52"/>
        </w:rPr>
      </w:pPr>
      <w:r>
        <w:rPr>
          <w:rFonts w:hint="eastAsia" w:ascii="宋体" w:hAnsi="宋体"/>
          <w:b/>
          <w:spacing w:val="60"/>
          <w:sz w:val="52"/>
          <w:szCs w:val="52"/>
        </w:rPr>
      </w:r>
      <w:r/>
    </w:p>
    <w:p>
      <w:pPr>
        <w:pStyle w:val="1065"/>
        <w:ind w:firstLine="963"/>
        <w:rPr>
          <w:rFonts w:hint="eastAsia" w:ascii="宋体" w:hAnsi="宋体"/>
          <w:b/>
          <w:spacing w:val="60"/>
          <w:sz w:val="52"/>
          <w:szCs w:val="52"/>
        </w:rPr>
      </w:pPr>
      <w:r>
        <w:rPr>
          <w:rFonts w:hint="eastAsia" w:ascii="宋体" w:hAnsi="宋体"/>
          <w:b/>
          <w:spacing w:val="60"/>
          <w:sz w:val="52"/>
          <w:szCs w:val="52"/>
        </w:rPr>
      </w:r>
      <w:r/>
    </w:p>
    <w:p>
      <w:pPr>
        <w:pStyle w:val="1065"/>
        <w:ind w:firstLine="542"/>
        <w:rPr>
          <w:rFonts w:ascii="宋体" w:hAnsi="宋体"/>
          <w:b/>
          <w:spacing w:val="20"/>
          <w:sz w:val="32"/>
          <w:szCs w:val="32"/>
        </w:rPr>
      </w:pPr>
      <w:r>
        <w:rPr>
          <w:rFonts w:ascii="宋体" w:hAnsi="宋体"/>
          <w:b/>
          <w:spacing w:val="20"/>
          <w:sz w:val="32"/>
          <w:szCs w:val="32"/>
        </w:rPr>
      </w:r>
      <w:r/>
    </w:p>
    <w:p>
      <w:pPr>
        <w:pStyle w:val="1065"/>
        <w:ind w:firstLine="542"/>
        <w:rPr>
          <w:rFonts w:ascii="宋体" w:hAnsi="宋体"/>
          <w:b/>
          <w:spacing w:val="20"/>
          <w:sz w:val="32"/>
          <w:szCs w:val="32"/>
        </w:rPr>
      </w:pPr>
      <w:r>
        <w:rPr>
          <w:rFonts w:ascii="宋体" w:hAnsi="宋体"/>
          <w:b/>
          <w:spacing w:val="20"/>
          <w:sz w:val="32"/>
          <w:szCs w:val="32"/>
        </w:rPr>
      </w:r>
      <w:r/>
    </w:p>
    <w:p>
      <w:pPr>
        <w:pStyle w:val="106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6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6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6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65"/>
        <w:jc w:val="center"/>
        <w:rPr>
          <w:rFonts w:ascii="宋体" w:hAnsi="宋体"/>
          <w:b/>
          <w:sz w:val="32"/>
          <w:szCs w:val="32"/>
        </w:rPr>
      </w:pPr>
      <w:r>
        <w:rPr>
          <w:rFonts w:ascii="宋体" w:hAnsi="宋体"/>
          <w:b/>
          <w:sz w:val="32"/>
          <w:szCs w:val="32"/>
        </w:rPr>
      </w:r>
      <w:r/>
    </w:p>
    <w:p>
      <w:pPr>
        <w:pStyle w:val="106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65"/>
        <w:rPr>
          <w:rFonts w:ascii="宋体" w:hAnsi="宋体"/>
          <w:b/>
        </w:rPr>
      </w:pPr>
      <w:r>
        <w:rPr>
          <w:rFonts w:ascii="宋体" w:hAnsi="宋体"/>
          <w:b/>
        </w:rPr>
      </w:r>
      <w:r/>
    </w:p>
    <w:p>
      <w:pPr>
        <w:pStyle w:val="1065"/>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68"/>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6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6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0"/>
        <w:ind w:firstLine="480"/>
        <w:spacing w:line="460" w:lineRule="exact"/>
        <w:rPr>
          <w:rFonts w:hAnsi="宋体"/>
        </w:rPr>
      </w:pPr>
      <w:r>
        <w:rPr>
          <w:rFonts w:hAnsi="宋体"/>
        </w:rPr>
      </w:r>
      <w:r/>
    </w:p>
    <w:p>
      <w:pPr>
        <w:pStyle w:val="1080"/>
        <w:ind w:firstLine="480"/>
        <w:spacing w:line="460" w:lineRule="exact"/>
        <w:rPr>
          <w:rFonts w:hAnsi="宋体"/>
        </w:rPr>
      </w:pPr>
      <w:r>
        <w:rPr>
          <w:rFonts w:hint="eastAsia" w:hAnsi="宋体"/>
        </w:rPr>
        <w:t xml:space="preserve">致：常州市城投建设工程招标有限公司</w:t>
      </w:r>
      <w:r>
        <w:rPr>
          <w:rFonts w:hAnsi="宋体"/>
        </w:rPr>
      </w:r>
      <w:r/>
    </w:p>
    <w:p>
      <w:pPr>
        <w:pStyle w:val="108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0"/>
        <w:ind w:firstLine="480"/>
        <w:spacing w:line="460" w:lineRule="exact"/>
        <w:rPr>
          <w:rFonts w:hAnsi="宋体"/>
        </w:rPr>
      </w:pPr>
      <w:r>
        <w:rPr>
          <w:rFonts w:hAnsi="宋体"/>
        </w:rPr>
      </w:r>
      <w:r/>
    </w:p>
    <w:p>
      <w:pPr>
        <w:pStyle w:val="108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w:t>
      </w:r>
      <w:r>
        <w:rPr>
          <w:rFonts w:hint="eastAsia" w:hAnsi="宋体"/>
        </w:rPr>
        <w:t xml:space="preserve">度。</w:t>
      </w:r>
      <w:r>
        <w:rPr>
          <w:rFonts w:hAnsi="宋体"/>
        </w:rPr>
      </w:r>
      <w:r/>
    </w:p>
    <w:p>
      <w:pPr>
        <w:pStyle w:val="1080"/>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u w:val="single"/>
        </w:rPr>
        <w:t xml:space="preserve">               </w:t>
      </w:r>
      <w:r>
        <w:rPr>
          <w:rFonts w:hint="eastAsia" w:hAnsi="宋体"/>
        </w:rPr>
        <w:t xml:space="preserve"> </w:t>
      </w:r>
      <w:r>
        <w:rPr>
          <w:rFonts w:hAnsi="宋体"/>
        </w:rPr>
      </w:r>
      <w:r/>
    </w:p>
    <w:p>
      <w:pPr>
        <w:pStyle w:val="108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65"/>
        <w:ind w:firstLine="480"/>
        <w:jc w:val="left"/>
        <w:spacing w:line="460" w:lineRule="exact"/>
        <w:rPr>
          <w:rFonts w:hint="eastAsia" w:ascii="宋体"/>
          <w:sz w:val="24"/>
        </w:rPr>
      </w:pPr>
      <w:r>
        <w:rPr>
          <w:rFonts w:hint="eastAsia" w:ascii="宋体"/>
          <w:sz w:val="24"/>
        </w:rPr>
        <w:t xml:space="preserve">八、我单位法定代表人的社保缴纳单位为：</w:t>
      </w:r>
      <w:r>
        <w:rPr>
          <w:rFonts w:hint="eastAsia" w:ascii="宋体"/>
          <w:sz w:val="24"/>
          <w:u w:val="single"/>
        </w:rPr>
        <w:t xml:space="preserve">              </w:t>
      </w:r>
      <w:r>
        <w:rPr>
          <w:rFonts w:hint="eastAsia" w:ascii="宋体"/>
          <w:sz w:val="24"/>
        </w:rPr>
        <w:t xml:space="preserve"> </w:t>
      </w:r>
      <w:r/>
    </w:p>
    <w:p>
      <w:pPr>
        <w:pStyle w:val="1065"/>
        <w:ind w:firstLine="480"/>
        <w:jc w:val="left"/>
        <w:spacing w:line="460" w:lineRule="exact"/>
        <w:rPr>
          <w:rFonts w:hint="eastAsia" w:ascii="宋体"/>
          <w:sz w:val="24"/>
        </w:rPr>
      </w:pPr>
      <w:r>
        <w:rPr>
          <w:rFonts w:hint="eastAsia" w:ascii="宋体"/>
          <w:sz w:val="24"/>
        </w:rPr>
        <w:t xml:space="preserve">九、我单位不属于为本项目提供整体设计、规范编制或者项目管理、监理、检测等服务的供应商。</w:t>
      </w:r>
      <w:r/>
    </w:p>
    <w:p>
      <w:pPr>
        <w:pStyle w:val="1065"/>
        <w:ind w:firstLine="480"/>
        <w:jc w:val="left"/>
        <w:spacing w:line="460" w:lineRule="exact"/>
        <w:rPr>
          <w:rFonts w:ascii="宋体"/>
          <w:sz w:val="24"/>
        </w:rPr>
      </w:pPr>
      <w:r>
        <w:rPr>
          <w:rFonts w:hint="eastAsia" w:ascii="宋体"/>
          <w:sz w:val="24"/>
        </w:rPr>
        <w:t xml:space="preserve">十、我单位无以下不良信用记录情形：</w:t>
      </w:r>
      <w:r>
        <w:rPr>
          <w:rFonts w:ascii="宋体"/>
          <w:sz w:val="24"/>
        </w:rPr>
      </w:r>
      <w:r/>
    </w:p>
    <w:p>
      <w:pPr>
        <w:pStyle w:val="108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0"/>
        <w:ind w:firstLine="480"/>
        <w:spacing w:line="460" w:lineRule="exact"/>
        <w:rPr>
          <w:rFonts w:hAnsi="宋体"/>
        </w:rPr>
      </w:pPr>
      <w:r>
        <w:rPr>
          <w:rFonts w:hAnsi="宋体"/>
        </w:rPr>
      </w:r>
      <w:r/>
    </w:p>
    <w:p>
      <w:pPr>
        <w:pStyle w:val="108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0"/>
        <w:ind w:firstLine="480"/>
        <w:spacing w:line="460" w:lineRule="exact"/>
        <w:rPr>
          <w:rFonts w:hAnsi="宋体"/>
        </w:rPr>
      </w:pPr>
      <w:r>
        <w:rPr>
          <w:rFonts w:hAnsi="宋体"/>
        </w:rPr>
      </w:r>
      <w:r/>
    </w:p>
    <w:p>
      <w:pPr>
        <w:pStyle w:val="1080"/>
        <w:ind w:firstLine="480"/>
        <w:spacing w:line="460" w:lineRule="exact"/>
        <w:rPr>
          <w:rFonts w:hAnsi="宋体"/>
        </w:rPr>
      </w:pPr>
      <w:r>
        <w:rPr>
          <w:rFonts w:hAnsi="宋体"/>
        </w:rPr>
      </w:r>
      <w:r/>
    </w:p>
    <w:p>
      <w:pPr>
        <w:pStyle w:val="1080"/>
        <w:ind w:firstLine="840"/>
        <w:spacing w:line="460" w:lineRule="exact"/>
        <w:rPr>
          <w:rFonts w:hAnsi="宋体"/>
        </w:rPr>
      </w:pPr>
      <w:r>
        <w:rPr>
          <w:rFonts w:hint="eastAsia" w:hAnsi="宋体"/>
        </w:rPr>
        <w:t xml:space="preserve">投标人：（加盖公章）</w:t>
      </w:r>
      <w:r>
        <w:rPr>
          <w:rFonts w:hAnsi="宋体"/>
        </w:rPr>
      </w:r>
      <w:r/>
    </w:p>
    <w:p>
      <w:pPr>
        <w:pStyle w:val="1080"/>
        <w:ind w:firstLine="840"/>
        <w:spacing w:line="460" w:lineRule="exact"/>
        <w:rPr>
          <w:rFonts w:hAnsi="宋体"/>
        </w:rPr>
      </w:pPr>
      <w:r>
        <w:rPr>
          <w:rFonts w:hint="eastAsia" w:hAnsi="宋体"/>
        </w:rPr>
        <w:t xml:space="preserve">法定代表人（或单位负责人）签字或盖章：</w:t>
      </w:r>
      <w:r>
        <w:rPr>
          <w:rFonts w:hAnsi="宋体"/>
        </w:rPr>
      </w:r>
      <w:r/>
    </w:p>
    <w:p>
      <w:pPr>
        <w:pStyle w:val="1080"/>
        <w:ind w:firstLine="840"/>
        <w:spacing w:line="460" w:lineRule="exact"/>
        <w:rPr>
          <w:rFonts w:hint="eastAsia" w:hAnsi="宋体"/>
        </w:rPr>
      </w:pPr>
      <w:r>
        <w:rPr>
          <w:rFonts w:hint="eastAsia" w:hAnsi="宋体"/>
        </w:rPr>
        <w:t xml:space="preserve">日期：    年    月    日</w:t>
      </w:r>
      <w:r/>
    </w:p>
    <w:p>
      <w:pPr>
        <w:pStyle w:val="1065"/>
        <w:spacing w:line="360" w:lineRule="auto"/>
        <w:rPr>
          <w:rFonts w:hint="eastAsia" w:ascii="宋体" w:hAnsi="宋体"/>
          <w:sz w:val="24"/>
        </w:rPr>
      </w:pPr>
      <w:r>
        <w:rPr>
          <w:rFonts w:hint="eastAsia" w:ascii="宋体" w:hAnsi="宋体"/>
          <w:sz w:val="24"/>
        </w:rPr>
      </w:r>
      <w:r/>
    </w:p>
    <w:p>
      <w:pPr>
        <w:pStyle w:val="1065"/>
        <w:spacing w:line="360" w:lineRule="auto"/>
        <w:rPr>
          <w:rFonts w:hint="eastAsia" w:ascii="宋体" w:hAnsi="宋体"/>
          <w:sz w:val="24"/>
        </w:rPr>
      </w:pPr>
      <w:r>
        <w:rPr>
          <w:rFonts w:hint="eastAsia" w:ascii="宋体" w:hAnsi="宋体"/>
          <w:sz w:val="24"/>
        </w:rPr>
      </w:r>
      <w:r/>
    </w:p>
    <w:p>
      <w:pPr>
        <w:pStyle w:val="1065"/>
        <w:spacing w:line="360" w:lineRule="auto"/>
        <w:rPr>
          <w:rFonts w:hint="eastAsia" w:ascii="宋体" w:hAnsi="宋体"/>
          <w:sz w:val="24"/>
        </w:rPr>
      </w:pPr>
      <w:r>
        <w:rPr>
          <w:rFonts w:hint="eastAsia" w:ascii="宋体" w:hAnsi="宋体"/>
          <w:sz w:val="24"/>
        </w:rPr>
      </w:r>
      <w:r/>
    </w:p>
    <w:p>
      <w:pPr>
        <w:pStyle w:val="106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68"/>
        <w:rPr>
          <w:rFonts w:hAnsi="宋体"/>
          <w:szCs w:val="24"/>
          <w:u w:val="none"/>
        </w:rPr>
      </w:pPr>
      <w:r>
        <w:rPr>
          <w:rFonts w:hint="eastAsia" w:hAnsi="宋体"/>
        </w:rPr>
        <w:br w:type="page" w:clear="all"/>
      </w:r>
      <w:r>
        <w:rPr>
          <w:rFonts w:hint="eastAsia" w:hAnsi="宋体"/>
          <w:szCs w:val="24"/>
          <w:u w:val="none"/>
        </w:rPr>
        <w:t xml:space="preserve">1-2 供应商管理关系或控股关系信息情况表</w:t>
      </w:r>
      <w:r>
        <w:rPr>
          <w:rFonts w:hAnsi="宋体"/>
          <w:u w:val="none"/>
        </w:rPr>
        <w:t xml:space="preserve">（实质性格式）</w:t>
      </w:r>
      <w:r>
        <w:rPr>
          <w:rFonts w:hAnsi="宋体"/>
          <w:szCs w:val="24"/>
          <w:u w:val="none"/>
        </w:rPr>
      </w:r>
      <w:r/>
    </w:p>
    <w:p>
      <w:pPr>
        <w:pStyle w:val="1065"/>
        <w:ind w:firstLine="560"/>
        <w:jc w:val="center"/>
        <w:spacing w:line="520" w:lineRule="exact"/>
        <w:rPr>
          <w:rFonts w:ascii="宋体" w:hAnsi="宋体"/>
          <w:b/>
          <w:sz w:val="24"/>
        </w:rPr>
      </w:pPr>
      <w:r>
        <w:rPr>
          <w:rFonts w:ascii="宋体" w:hAnsi="宋体"/>
          <w:b/>
          <w:sz w:val="24"/>
        </w:rPr>
      </w:r>
      <w:r/>
    </w:p>
    <w:p>
      <w:pPr>
        <w:pStyle w:val="1065"/>
        <w:ind w:firstLine="560"/>
        <w:jc w:val="center"/>
        <w:spacing w:line="520" w:lineRule="exact"/>
        <w:rPr>
          <w:rFonts w:hint="eastAsia" w:ascii="宋体" w:hAnsi="宋体" w:cs="宋体"/>
          <w:b/>
          <w:bCs/>
          <w:sz w:val="24"/>
        </w:rPr>
      </w:pPr>
      <w:r>
        <w:rPr>
          <w:rFonts w:hint="eastAsia" w:ascii="宋体" w:hAnsi="宋体"/>
          <w:b/>
          <w:sz w:val="24"/>
        </w:rPr>
        <w:t xml:space="preserve">供应商管理关系或控股关系信息情况表</w:t>
      </w:r>
      <w:r>
        <w:rPr>
          <w:rFonts w:hint="eastAsia" w:ascii="宋体" w:hAnsi="宋体" w:cs="宋体"/>
          <w:b/>
          <w:bCs/>
          <w:sz w:val="24"/>
        </w:rPr>
      </w:r>
      <w:r/>
    </w:p>
    <w:tbl>
      <w:tblPr>
        <w:tblW w:w="874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r>
      <w:tr>
        <w:trPr>
          <w:cantSplit/>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万元</w:t>
            </w:r>
            <w:r/>
          </w:p>
        </w:tc>
      </w:tr>
      <w:tr>
        <w:trPr>
          <w:cantSplit/>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r>
      <w:tr>
        <w:trPr>
          <w:cantSplit/>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r>
      <w:tr>
        <w:trPr>
          <w:cantSplit/>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股东</w:t>
            </w:r>
            <w:r>
              <w:rPr>
                <w:rFonts w:ascii="宋体" w:hAnsi="宋体" w:cs="宋体"/>
                <w:sz w:val="24"/>
              </w:rPr>
              <w:t xml:space="preserve">1（姓</w:t>
            </w:r>
            <w:r>
              <w:rPr>
                <w:rFonts w:ascii="宋体" w:hAnsi="宋体" w:cs="宋体"/>
                <w:sz w:val="24"/>
              </w:rPr>
              <w:t xml:space="preserve">名或单位名称）：</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股东</w:t>
            </w:r>
            <w:r>
              <w:rPr>
                <w:rFonts w:ascii="宋体" w:hAnsi="宋体" w:cs="宋体"/>
                <w:sz w:val="24"/>
              </w:rPr>
              <w:t xml:space="preserve">1持股比例：</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股东</w:t>
            </w:r>
            <w:r>
              <w:rPr>
                <w:rFonts w:ascii="宋体" w:hAnsi="宋体" w:cs="宋体"/>
                <w:sz w:val="24"/>
              </w:rPr>
              <w:t xml:space="preserve">2（姓名或单位名称）：</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股东</w:t>
            </w:r>
            <w:r>
              <w:rPr>
                <w:rFonts w:ascii="宋体" w:hAnsi="宋体" w:cs="宋体"/>
                <w:sz w:val="24"/>
              </w:rPr>
              <w:t xml:space="preserve">2持股比例：</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（不够的可自行增加）</w:t>
            </w:r>
            <w:r/>
          </w:p>
        </w:tc>
      </w:tr>
      <w:tr>
        <w:trPr>
          <w:cantSplit/>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公司是否有直接控股、管理关系的关联企业（在</w:t>
            </w:r>
            <w:r>
              <w:rPr>
                <w:rFonts w:ascii="Wingdings 2" w:hAnsi="Wingdings 2" w:eastAsia="Wingdings 2" w:cs="Wingdings 2"/>
                <w:sz w:val="24"/>
              </w:rPr>
              <w:t xml:space="preserve">£</w:t>
            </w:r>
            <w:r>
              <w:rPr>
                <w:rFonts w:hint="eastAsia" w:ascii="宋体" w:hAnsi="宋体" w:cs="宋体"/>
                <w:sz w:val="24"/>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1065"/>
              <w:jc w:val="left"/>
              <w:spacing w:line="360" w:lineRule="exac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无直接控股、管理关系的关联企业</w:t>
            </w:r>
            <w:r/>
          </w:p>
          <w:p>
            <w:pPr>
              <w:pStyle w:val="1065"/>
              <w:jc w:val="left"/>
              <w:spacing w:line="360" w:lineRule="exac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有直接控股、管理关系的关联企业，关联信息如下：</w:t>
            </w:r>
            <w:r/>
          </w:p>
          <w:p>
            <w:pPr>
              <w:pStyle w:val="1065"/>
              <w:jc w:val="left"/>
              <w:spacing w:line="360" w:lineRule="exact"/>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1名称：</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w:t>
            </w:r>
            <w:r>
              <w:rPr>
                <w:rFonts w:ascii="宋体" w:hAnsi="宋体" w:cs="宋体"/>
                <w:sz w:val="24"/>
              </w:rPr>
              <w:t xml:space="preserve">    % ；管理关系</w:t>
            </w:r>
            <w:r>
              <w:rPr>
                <w:rFonts w:ascii="Wingdings 2" w:hAnsi="Wingdings 2" w:eastAsia="Wingdings 2" w:cs="Wingdings 2"/>
                <w:sz w:val="24"/>
              </w:rPr>
              <w:t xml:space="preserve">£</w:t>
            </w:r>
            <w:r>
              <w:rPr>
                <w:rFonts w:hint="eastAsia" w:ascii="宋体" w:hAnsi="宋体" w:cs="宋体"/>
                <w:sz w:val="24"/>
              </w:rPr>
              <w:t xml:space="preserve"> ）</w:t>
            </w:r>
            <w:r/>
          </w:p>
          <w:p>
            <w:pPr>
              <w:pStyle w:val="1065"/>
              <w:jc w:val="left"/>
              <w:spacing w:line="360" w:lineRule="exact"/>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2名称：</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w:t>
            </w:r>
            <w:r>
              <w:rPr>
                <w:rFonts w:ascii="宋体" w:hAnsi="宋体" w:cs="宋体"/>
                <w:sz w:val="24"/>
              </w:rPr>
              <w:t xml:space="preserve">    % ；管理关系</w:t>
            </w:r>
            <w:r>
              <w:rPr>
                <w:rFonts w:ascii="Wingdings 2" w:hAnsi="Wingdings 2" w:eastAsia="Wingdings 2" w:cs="Wingdings 2"/>
                <w:sz w:val="24"/>
              </w:rPr>
              <w:t xml:space="preserve">£</w:t>
            </w:r>
            <w:r>
              <w:rPr>
                <w:rFonts w:hint="eastAsia" w:ascii="宋体" w:hAnsi="宋体" w:cs="宋体"/>
                <w:sz w:val="24"/>
              </w:rPr>
              <w:t xml:space="preserve"> ）</w:t>
            </w:r>
            <w:r/>
          </w:p>
          <w:p>
            <w:pPr>
              <w:pStyle w:val="1065"/>
              <w:jc w:val="left"/>
              <w:spacing w:line="360" w:lineRule="exact"/>
              <w:rPr>
                <w:rFonts w:hint="eastAsia" w:ascii="宋体" w:hAnsi="宋体" w:cs="宋体"/>
                <w:sz w:val="24"/>
              </w:rPr>
            </w:pPr>
            <w:r>
              <w:rPr>
                <w:rFonts w:hint="eastAsia" w:ascii="宋体" w:hAnsi="宋体" w:cs="宋体"/>
                <w:sz w:val="24"/>
              </w:rPr>
              <w:t xml:space="preserve">（不够的可自行增加）</w:t>
            </w:r>
            <w:r/>
          </w:p>
        </w:tc>
      </w:tr>
      <w:tr>
        <w:trPr>
          <w:cantSplit/>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pStyle w:val="1065"/>
              <w:ind w:firstLine="561"/>
              <w:jc w:val="left"/>
              <w:spacing w:line="360" w:lineRule="exact"/>
              <w:rPr>
                <w:rFonts w:hint="eastAsia" w:ascii="宋体" w:hAnsi="宋体" w:cs="宋体"/>
                <w:sz w:val="24"/>
              </w:rPr>
            </w:pPr>
            <w:r>
              <w:rPr>
                <w:rFonts w:hint="eastAsia" w:ascii="宋体" w:hAnsi="宋体" w:cs="宋体"/>
                <w:sz w:val="24"/>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pStyle w:val="1065"/>
              <w:ind w:firstLine="561"/>
              <w:jc w:val="left"/>
              <w:spacing w:line="360" w:lineRule="exact"/>
              <w:rPr>
                <w:rFonts w:hint="eastAsia" w:ascii="宋体" w:hAnsi="宋体" w:cs="宋体"/>
                <w:sz w:val="24"/>
              </w:rPr>
            </w:pPr>
            <w:r>
              <w:rPr>
                <w:rFonts w:hint="eastAsia" w:ascii="宋体" w:hAnsi="宋体" w:cs="宋体"/>
                <w:sz w:val="24"/>
              </w:rPr>
              <w:t xml:space="preserve">供应商（盖章）：</w:t>
            </w:r>
            <w:r/>
          </w:p>
          <w:p>
            <w:pPr>
              <w:pStyle w:val="1065"/>
              <w:ind w:firstLine="561"/>
              <w:jc w:val="left"/>
              <w:spacing w:line="360" w:lineRule="exact"/>
              <w:rPr>
                <w:rFonts w:hint="eastAsia" w:ascii="宋体" w:hAnsi="宋体" w:cs="宋体"/>
                <w:sz w:val="24"/>
              </w:rPr>
            </w:pPr>
            <w:r>
              <w:rPr>
                <w:rFonts w:hint="eastAsia" w:ascii="宋体" w:hAnsi="宋体" w:cs="宋体"/>
                <w:sz w:val="24"/>
              </w:rPr>
              <w:t xml:space="preserve">法定代表人（签字或盖章）：</w:t>
            </w:r>
            <w:r/>
          </w:p>
          <w:p>
            <w:pPr>
              <w:pStyle w:val="1065"/>
              <w:ind w:firstLine="560"/>
              <w:jc w:val="left"/>
              <w:spacing w:line="360" w:lineRule="exact"/>
              <w:rPr>
                <w:rFonts w:hint="eastAsia" w:ascii="宋体" w:hAnsi="宋体" w:cs="宋体"/>
                <w:sz w:val="24"/>
              </w:rPr>
            </w:pPr>
            <w:r>
              <w:rPr>
                <w:rFonts w:ascii="宋体" w:hAnsi="宋体" w:cs="宋体"/>
                <w:sz w:val="24"/>
              </w:rPr>
              <w:t xml:space="preserve">                                              日期：   年  月  日</w:t>
            </w:r>
            <w:r>
              <w:rPr>
                <w:rFonts w:hint="eastAsia" w:ascii="宋体" w:hAnsi="宋体" w:cs="宋体"/>
                <w:sz w:val="24"/>
              </w:rPr>
            </w:r>
            <w:r/>
          </w:p>
        </w:tc>
      </w:tr>
    </w:tbl>
    <w:p>
      <w:pPr>
        <w:pStyle w:val="1065"/>
        <w:spacing w:line="360" w:lineRule="auto"/>
        <w:rPr>
          <w:rFonts w:ascii="宋体" w:hAnsi="宋体"/>
          <w:sz w:val="24"/>
        </w:rPr>
      </w:pPr>
      <w:r>
        <w:rPr>
          <w:rFonts w:ascii="宋体" w:hAnsi="宋体"/>
          <w:sz w:val="24"/>
        </w:rPr>
      </w:r>
      <w:r/>
    </w:p>
    <w:p>
      <w:pPr>
        <w:pStyle w:val="1065"/>
        <w:spacing w:line="360" w:lineRule="auto"/>
        <w:rPr>
          <w:rFonts w:hint="eastAsia" w:ascii="宋体" w:hAnsi="宋体"/>
          <w:sz w:val="24"/>
        </w:rPr>
      </w:pPr>
      <w:r>
        <w:rPr>
          <w:rFonts w:hint="eastAsia" w:ascii="宋体" w:hAnsi="宋体"/>
          <w:sz w:val="24"/>
        </w:rPr>
      </w:r>
      <w:r/>
    </w:p>
    <w:p>
      <w:pPr>
        <w:pStyle w:val="106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65"/>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rPr>
          <w:rFonts w:ascii="宋体" w:hAnsi="宋体"/>
          <w:b/>
          <w:sz w:val="24"/>
          <w:szCs w:val="20"/>
        </w:rPr>
      </w:r>
      <w:r/>
    </w:p>
    <w:p>
      <w:pPr>
        <w:pStyle w:val="1065"/>
        <w:spacing w:line="360" w:lineRule="auto"/>
        <w:rPr>
          <w:rFonts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1</w:t>
      </w:r>
      <w:r>
        <w:rPr>
          <w:rFonts w:ascii="宋体" w:hAnsi="宋体"/>
          <w:b/>
          <w:sz w:val="24"/>
          <w:szCs w:val="20"/>
        </w:rPr>
        <w:t xml:space="preserve"> </w:t>
      </w:r>
      <w:r>
        <w:rPr>
          <w:rFonts w:ascii="宋体" w:hAnsi="宋体"/>
          <w:b/>
          <w:sz w:val="24"/>
        </w:rPr>
        <w:t xml:space="preserve">其它落实政府采购政策的资格要求</w:t>
      </w:r>
      <w:r>
        <w:rPr>
          <w:rFonts w:ascii="宋体" w:hAnsi="宋体"/>
          <w:b/>
          <w:sz w:val="24"/>
          <w:szCs w:val="20"/>
        </w:rPr>
        <w:t xml:space="preserve">（如有）</w:t>
      </w:r>
      <w:r/>
    </w:p>
    <w:p>
      <w:pPr>
        <w:pStyle w:val="1065"/>
        <w:jc w:val="left"/>
        <w:widowControl/>
        <w:rPr>
          <w:rFonts w:ascii="宋体" w:hAnsi="宋体"/>
          <w:sz w:val="24"/>
        </w:rPr>
      </w:pPr>
      <w:r>
        <w:rPr>
          <w:rFonts w:ascii="宋体" w:hAnsi="宋体"/>
          <w:sz w:val="24"/>
        </w:rPr>
      </w:r>
      <w:r/>
    </w:p>
    <w:p>
      <w:pPr>
        <w:pStyle w:val="1065"/>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65"/>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1065"/>
        <w:ind w:left="719" w:hanging="240"/>
        <w:spacing w:line="360" w:lineRule="auto"/>
        <w:rPr>
          <w:rFonts w:hint="eastAsia" w:ascii="宋体" w:hAnsi="宋体"/>
          <w:sz w:val="24"/>
          <w:szCs w:val="20"/>
        </w:rPr>
      </w:pPr>
      <w:r>
        <w:rPr>
          <w:rFonts w:hint="eastAsia" w:ascii="宋体" w:hAnsi="宋体"/>
          <w:sz w:val="24"/>
          <w:szCs w:val="20"/>
        </w:rPr>
      </w:r>
      <w:r/>
    </w:p>
    <w:p>
      <w:pPr>
        <w:pStyle w:val="1065"/>
        <w:ind w:left="719" w:hanging="240"/>
        <w:spacing w:line="360" w:lineRule="auto"/>
        <w:rPr>
          <w:rFonts w:hint="eastAsia" w:ascii="宋体" w:hAnsi="宋体"/>
          <w:sz w:val="24"/>
          <w:szCs w:val="20"/>
        </w:rPr>
      </w:pPr>
      <w:r>
        <w:rPr>
          <w:rFonts w:hint="eastAsia" w:ascii="宋体" w:hAnsi="宋体"/>
          <w:sz w:val="24"/>
          <w:szCs w:val="20"/>
        </w:rPr>
      </w:r>
      <w:r/>
    </w:p>
    <w:p>
      <w:pPr>
        <w:pStyle w:val="1065"/>
        <w:jc w:val="left"/>
        <w:widowControl/>
        <w:rPr>
          <w:rFonts w:hint="eastAsia" w:ascii="宋体" w:hAnsi="宋体"/>
          <w:sz w:val="24"/>
        </w:rPr>
      </w:pPr>
      <w:r>
        <w:rPr>
          <w:rFonts w:hint="eastAsia" w:ascii="宋体" w:hAnsi="宋体"/>
          <w:sz w:val="24"/>
        </w:rPr>
      </w:r>
      <w:r/>
    </w:p>
    <w:p>
      <w:pPr>
        <w:pStyle w:val="1065"/>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8" w:name="_Toc150774761"/>
      <w:r/>
      <w:bookmarkStart w:id="829" w:name="_Toc127151556"/>
      <w:r/>
      <w:bookmarkStart w:id="830" w:name="_Toc520356217"/>
      <w:r/>
      <w:bookmarkStart w:id="831" w:name="_Toc480942349"/>
      <w:r/>
      <w:bookmarkStart w:id="832" w:name="_Ref467988698"/>
      <w:r/>
      <w:bookmarkStart w:id="833" w:name="_Toc142311058"/>
      <w:r/>
      <w:bookmarkStart w:id="834" w:name="_Toc150480794"/>
      <w:r/>
      <w:bookmarkStart w:id="835" w:name="_Toc226337252"/>
      <w:r/>
      <w:bookmarkStart w:id="836" w:name="_Toc226309800"/>
      <w:r/>
      <w:bookmarkStart w:id="837" w:name="_Toc226965746"/>
      <w:r/>
      <w:bookmarkStart w:id="838" w:name="_Toc195842921"/>
      <w:r/>
      <w:bookmarkStart w:id="839" w:name="_Toc226965829"/>
      <w:r>
        <w:rPr>
          <w:rFonts w:hint="eastAsia" w:ascii="宋体" w:hAnsi="宋体"/>
          <w:b/>
          <w:sz w:val="32"/>
          <w:szCs w:val="32"/>
        </w:rPr>
      </w:r>
      <w:r/>
    </w:p>
    <w:p>
      <w:pPr>
        <w:pStyle w:val="1065"/>
        <w:jc w:val="center"/>
        <w:widowControl/>
        <w:rPr>
          <w:rFonts w:hint="eastAsia" w:ascii="宋体" w:hAnsi="宋体"/>
          <w:b/>
          <w:sz w:val="32"/>
          <w:szCs w:val="32"/>
        </w:rPr>
      </w:pPr>
      <w:r>
        <w:rPr>
          <w:rFonts w:hint="eastAsia" w:ascii="宋体" w:hAnsi="宋体"/>
          <w:b/>
          <w:sz w:val="32"/>
          <w:szCs w:val="32"/>
        </w:rPr>
      </w:r>
      <w:r/>
    </w:p>
    <w:p>
      <w:pPr>
        <w:pStyle w:val="106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b/>
          <w:sz w:val="24"/>
        </w:rPr>
        <w:t xml:space="preserve">函</w:t>
      </w:r>
      <w:r>
        <w:rPr>
          <w:rFonts w:ascii="宋体" w:hAnsi="宋体"/>
          <w:b/>
          <w:sz w:val="24"/>
          <w:szCs w:val="20"/>
        </w:rPr>
        <w:t xml:space="preserve">（实质性格式）</w:t>
      </w:r>
      <w:r/>
    </w:p>
    <w:p>
      <w:pPr>
        <w:pStyle w:val="1065"/>
        <w:spacing w:line="360" w:lineRule="auto"/>
        <w:tabs>
          <w:tab w:val="left" w:pos="5580" w:leader="none"/>
        </w:tabs>
        <w:rPr>
          <w:rFonts w:ascii="宋体" w:hAnsi="宋体"/>
          <w:sz w:val="24"/>
        </w:rPr>
      </w:pPr>
      <w:r>
        <w:rPr>
          <w:rFonts w:ascii="宋体" w:hAnsi="宋体"/>
          <w:sz w:val="24"/>
        </w:rPr>
      </w:r>
      <w:r/>
    </w:p>
    <w:p>
      <w:pPr>
        <w:pStyle w:val="1065"/>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65"/>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65"/>
        <w:spacing w:line="360" w:lineRule="auto"/>
        <w:tabs>
          <w:tab w:val="left" w:pos="5580" w:leader="none"/>
        </w:tabs>
        <w:rPr>
          <w:rFonts w:ascii="宋体" w:hAnsi="宋体"/>
          <w:sz w:val="24"/>
          <w:szCs w:val="20"/>
        </w:rPr>
      </w:pPr>
      <w:r>
        <w:rPr>
          <w:rFonts w:ascii="宋体" w:hAnsi="宋体"/>
          <w:sz w:val="24"/>
          <w:szCs w:val="20"/>
        </w:rPr>
      </w:r>
      <w:r/>
    </w:p>
    <w:p>
      <w:pPr>
        <w:pStyle w:val="1065"/>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65"/>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6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6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65"/>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65"/>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65"/>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65"/>
        <w:ind w:firstLine="480"/>
        <w:spacing w:line="360" w:lineRule="auto"/>
        <w:rPr>
          <w:rFonts w:ascii="宋体" w:hAnsi="宋体"/>
          <w:sz w:val="24"/>
        </w:rPr>
      </w:pPr>
      <w:r>
        <w:rPr>
          <w:rFonts w:ascii="宋体" w:hAnsi="宋体"/>
          <w:sz w:val="24"/>
        </w:rPr>
        <w:t xml:space="preserve">与本投标有关的一切正式往来信函请寄：</w:t>
      </w:r>
      <w:r/>
    </w:p>
    <w:p>
      <w:pPr>
        <w:pStyle w:val="1065"/>
        <w:ind w:left="420"/>
        <w:spacing w:line="360" w:lineRule="auto"/>
        <w:tabs>
          <w:tab w:val="left" w:pos="5580" w:leader="none"/>
        </w:tabs>
        <w:rPr>
          <w:rFonts w:ascii="宋体" w:hAnsi="宋体"/>
          <w:sz w:val="24"/>
          <w:szCs w:val="20"/>
        </w:rPr>
      </w:pPr>
      <w:r>
        <w:rPr>
          <w:rFonts w:ascii="宋体" w:hAnsi="宋体"/>
          <w:sz w:val="24"/>
          <w:szCs w:val="20"/>
        </w:rPr>
      </w:r>
      <w:r/>
    </w:p>
    <w:p>
      <w:pPr>
        <w:pStyle w:val="1065"/>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65"/>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w:t>
      </w:r>
      <w:r>
        <w:rPr>
          <w:rFonts w:ascii="宋体" w:hAnsi="宋体"/>
          <w:sz w:val="24"/>
          <w:szCs w:val="20"/>
        </w:rPr>
        <w:t xml:space="preserve">______________</w:t>
      </w:r>
      <w:r/>
    </w:p>
    <w:p>
      <w:pPr>
        <w:pStyle w:val="1065"/>
        <w:ind w:left="420"/>
        <w:spacing w:line="360" w:lineRule="auto"/>
        <w:tabs>
          <w:tab w:val="left" w:pos="5580" w:leader="none"/>
        </w:tabs>
        <w:rPr>
          <w:rFonts w:ascii="宋体" w:hAnsi="宋体"/>
          <w:sz w:val="24"/>
          <w:szCs w:val="20"/>
        </w:rPr>
      </w:pPr>
      <w:r>
        <w:rPr>
          <w:rFonts w:ascii="宋体" w:hAnsi="宋体"/>
          <w:sz w:val="24"/>
          <w:szCs w:val="20"/>
        </w:rPr>
      </w:r>
      <w:r/>
    </w:p>
    <w:p>
      <w:pPr>
        <w:pStyle w:val="1065"/>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65"/>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65"/>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65"/>
        <w:jc w:val="left"/>
        <w:widowControl/>
        <w:rPr>
          <w:rFonts w:hint="eastAsia" w:ascii="宋体" w:hAnsi="宋体"/>
          <w:b/>
          <w:sz w:val="24"/>
        </w:rPr>
      </w:pPr>
      <w:r/>
      <w:bookmarkStart w:id="840" w:name="_Hlt520356243"/>
      <w:r/>
      <w:bookmarkEnd w:id="840"/>
      <w:r/>
      <w:bookmarkStart w:id="841" w:name="_Hlt520355938"/>
      <w:r/>
      <w:bookmarkEnd w:id="841"/>
      <w:r>
        <w:rPr>
          <w:rFonts w:ascii="宋体" w:hAnsi="宋体"/>
          <w:sz w:val="24"/>
        </w:rPr>
        <w:br w:type="page" w:clear="all"/>
      </w:r>
      <w:r>
        <w:rPr>
          <w:rFonts w:hint="eastAsia" w:ascii="宋体" w:hAnsi="宋体"/>
          <w:b/>
          <w:sz w:val="24"/>
        </w:rPr>
      </w:r>
      <w:r/>
    </w:p>
    <w:p>
      <w:pPr>
        <w:pStyle w:val="1065"/>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65"/>
        <w:jc w:val="center"/>
        <w:spacing w:line="360" w:lineRule="auto"/>
        <w:rPr>
          <w:rFonts w:hint="eastAsia" w:ascii="宋体" w:hAnsi="宋体"/>
          <w:b/>
          <w:sz w:val="32"/>
          <w:szCs w:val="32"/>
        </w:rPr>
      </w:pPr>
      <w:r>
        <w:rPr>
          <w:rFonts w:hint="eastAsia" w:ascii="宋体" w:hAnsi="宋体"/>
          <w:b/>
          <w:sz w:val="32"/>
          <w:szCs w:val="32"/>
        </w:rPr>
      </w:r>
      <w:r/>
    </w:p>
    <w:p>
      <w:pPr>
        <w:pStyle w:val="106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6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65"/>
        <w:spacing w:line="560" w:lineRule="exact"/>
        <w:rPr>
          <w:rFonts w:ascii="宋体" w:hAnsi="宋体"/>
          <w:sz w:val="24"/>
        </w:rPr>
      </w:pPr>
      <w:r>
        <w:rPr>
          <w:rFonts w:ascii="宋体" w:hAnsi="宋体"/>
          <w:sz w:val="24"/>
        </w:rPr>
      </w:r>
      <w:r/>
    </w:p>
    <w:p>
      <w:pPr>
        <w:pStyle w:val="109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5"/>
              <w:jc w:val="left"/>
              <w:spacing w:line="360" w:lineRule="auto"/>
              <w:tabs>
                <w:tab w:val="left" w:pos="5580" w:leader="none"/>
              </w:tabs>
              <w:rPr>
                <w:rFonts w:ascii="宋体" w:hAnsi="宋体"/>
                <w:sz w:val="24"/>
                <w:szCs w:val="20"/>
              </w:rPr>
            </w:pPr>
            <w:r>
              <w:rPr>
                <w:rFonts w:ascii="宋体" w:hAnsi="宋体"/>
                <w:sz w:val="24"/>
                <w:szCs w:val="20"/>
              </w:rPr>
            </w:r>
            <w:r/>
          </w:p>
          <w:p>
            <w:pPr>
              <w:pStyle w:val="1065"/>
              <w:jc w:val="left"/>
              <w:spacing w:line="360" w:lineRule="auto"/>
              <w:tabs>
                <w:tab w:val="left" w:pos="5580" w:leader="none"/>
              </w:tabs>
              <w:rPr>
                <w:rFonts w:ascii="宋体" w:hAnsi="宋体"/>
                <w:sz w:val="24"/>
                <w:szCs w:val="20"/>
              </w:rPr>
            </w:pPr>
            <w:r>
              <w:rPr>
                <w:rFonts w:ascii="宋体" w:hAnsi="宋体"/>
                <w:sz w:val="24"/>
                <w:szCs w:val="20"/>
              </w:rPr>
            </w:r>
            <w:r/>
          </w:p>
          <w:p>
            <w:pPr>
              <w:pStyle w:val="106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65"/>
              <w:jc w:val="left"/>
              <w:spacing w:line="360" w:lineRule="auto"/>
              <w:tabs>
                <w:tab w:val="left" w:pos="5580" w:leader="none"/>
              </w:tabs>
              <w:rPr>
                <w:rFonts w:ascii="宋体" w:hAnsi="宋体"/>
                <w:sz w:val="24"/>
                <w:szCs w:val="20"/>
              </w:rPr>
            </w:pPr>
            <w:r>
              <w:rPr>
                <w:rFonts w:ascii="宋体" w:hAnsi="宋体"/>
                <w:sz w:val="24"/>
                <w:szCs w:val="20"/>
              </w:rPr>
            </w:r>
            <w:r/>
          </w:p>
          <w:p>
            <w:pPr>
              <w:pStyle w:val="1065"/>
              <w:jc w:val="left"/>
              <w:spacing w:line="360" w:lineRule="auto"/>
              <w:tabs>
                <w:tab w:val="left" w:pos="5580" w:leader="none"/>
              </w:tabs>
              <w:rPr>
                <w:rFonts w:ascii="宋体" w:hAnsi="宋体"/>
                <w:sz w:val="24"/>
                <w:szCs w:val="20"/>
              </w:rPr>
            </w:pPr>
            <w:r>
              <w:rPr>
                <w:rFonts w:ascii="宋体" w:hAnsi="宋体"/>
                <w:sz w:val="24"/>
                <w:szCs w:val="20"/>
              </w:rPr>
            </w:r>
            <w:r/>
          </w:p>
          <w:p>
            <w:pPr>
              <w:pStyle w:val="106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6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65"/>
        <w:jc w:val="left"/>
        <w:widowControl/>
        <w:rPr>
          <w:rFonts w:hint="eastAsia" w:ascii="宋体" w:hAnsi="宋体"/>
          <w:sz w:val="24"/>
        </w:rPr>
      </w:pPr>
      <w:r>
        <w:rPr>
          <w:rFonts w:hint="eastAsia" w:ascii="宋体" w:hAnsi="宋体"/>
          <w:sz w:val="24"/>
        </w:rPr>
      </w:r>
      <w:r/>
    </w:p>
    <w:p>
      <w:pPr>
        <w:pStyle w:val="1065"/>
        <w:jc w:val="left"/>
        <w:widowControl/>
        <w:rPr>
          <w:rFonts w:hint="eastAsia" w:ascii="宋体" w:hAnsi="宋体"/>
          <w:sz w:val="24"/>
        </w:rPr>
      </w:pPr>
      <w:r>
        <w:rPr>
          <w:rFonts w:hint="eastAsia" w:ascii="宋体" w:hAnsi="宋体"/>
          <w:sz w:val="24"/>
        </w:rPr>
      </w:r>
      <w:r/>
    </w:p>
    <w:p>
      <w:pPr>
        <w:pStyle w:val="1065"/>
        <w:jc w:val="left"/>
        <w:widowControl/>
        <w:rPr>
          <w:rFonts w:hint="eastAsia" w:ascii="宋体" w:hAnsi="宋体"/>
          <w:sz w:val="24"/>
        </w:rPr>
      </w:pPr>
      <w:r>
        <w:rPr>
          <w:rFonts w:hint="eastAsia" w:ascii="宋体" w:hAnsi="宋体"/>
          <w:sz w:val="24"/>
        </w:rPr>
      </w:r>
      <w:r/>
    </w:p>
    <w:p>
      <w:pPr>
        <w:pStyle w:val="106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6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6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65"/>
        <w:jc w:val="left"/>
        <w:widowControl/>
        <w:rPr>
          <w:rFonts w:hint="eastAsia" w:ascii="宋体" w:hAnsi="宋体"/>
          <w:sz w:val="24"/>
        </w:rPr>
      </w:pPr>
      <w:r>
        <w:rPr>
          <w:rFonts w:hint="eastAsia" w:ascii="宋体" w:hAnsi="宋体"/>
          <w:sz w:val="24"/>
        </w:rPr>
      </w:r>
      <w:r/>
    </w:p>
    <w:p>
      <w:pPr>
        <w:pStyle w:val="1065"/>
        <w:jc w:val="left"/>
        <w:widowControl/>
        <w:rPr>
          <w:rFonts w:hint="eastAsia" w:ascii="宋体" w:hAnsi="宋体"/>
          <w:sz w:val="24"/>
        </w:rPr>
      </w:pPr>
      <w:r>
        <w:rPr>
          <w:rFonts w:hint="eastAsia" w:ascii="宋体" w:hAnsi="宋体"/>
          <w:sz w:val="24"/>
        </w:rPr>
      </w:r>
      <w:r/>
    </w:p>
    <w:p>
      <w:pPr>
        <w:pStyle w:val="106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65"/>
        <w:jc w:val="center"/>
        <w:rPr>
          <w:rFonts w:hint="eastAsia" w:ascii="宋体" w:hAnsi="宋体"/>
          <w:b/>
          <w:sz w:val="32"/>
          <w:szCs w:val="32"/>
        </w:rPr>
      </w:pPr>
      <w:r>
        <w:rPr>
          <w:rFonts w:hint="eastAsia" w:ascii="宋体" w:hAnsi="宋体"/>
          <w:b/>
          <w:sz w:val="32"/>
          <w:szCs w:val="32"/>
        </w:rPr>
      </w:r>
      <w:r/>
    </w:p>
    <w:p>
      <w:pPr>
        <w:pStyle w:val="1318"/>
        <w:jc w:val="center"/>
        <w:spacing w:line="480" w:lineRule="auto"/>
        <w:rPr>
          <w:rFonts w:cs="宋体"/>
          <w:sz w:val="24"/>
        </w:rPr>
      </w:pPr>
      <w:r>
        <w:rPr>
          <w:rFonts w:hint="eastAsia"/>
          <w:b/>
          <w:sz w:val="36"/>
          <w:szCs w:val="36"/>
        </w:rPr>
        <w:t xml:space="preserve">授权委托书</w:t>
      </w:r>
      <w:r>
        <w:rPr>
          <w:rFonts w:cs="宋体"/>
          <w:sz w:val="24"/>
        </w:rPr>
      </w:r>
      <w:r/>
    </w:p>
    <w:p>
      <w:pPr>
        <w:pStyle w:val="1065"/>
        <w:ind w:firstLine="516"/>
        <w:spacing w:line="360" w:lineRule="auto"/>
        <w:rPr>
          <w:rFonts w:ascii="宋体" w:hAnsi="宋体" w:cs="宋体"/>
          <w:sz w:val="24"/>
        </w:rPr>
      </w:pPr>
      <w:r>
        <w:rPr>
          <w:rFonts w:hint="eastAsia" w:ascii="宋体" w:hAnsi="宋体" w:cs="宋体"/>
          <w:sz w:val="24"/>
        </w:rPr>
        <w:t xml:space="preserve">本授权委托书声明：我 _______</w:t>
      </w:r>
      <w:r>
        <w:rPr>
          <w:rFonts w:hint="eastAsia" w:ascii="宋体" w:hAnsi="宋体" w:cs="宋体"/>
          <w:sz w:val="24"/>
        </w:rPr>
        <w:t xml:space="preserve">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6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65"/>
        <w:spacing w:line="400" w:lineRule="exact"/>
        <w:rPr>
          <w:rFonts w:hint="eastAsia" w:ascii="宋体" w:hAnsi="宋体" w:cs="宋体"/>
          <w:szCs w:val="21"/>
        </w:rPr>
      </w:pPr>
      <w:r>
        <w:rPr>
          <w:rFonts w:hint="eastAsia" w:ascii="宋体" w:hAnsi="宋体" w:cs="宋体"/>
          <w:szCs w:val="21"/>
        </w:rPr>
      </w:r>
      <w:r/>
    </w:p>
    <w:p>
      <w:pPr>
        <w:pStyle w:val="106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6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4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65"/>
        <w:spacing w:line="400" w:lineRule="exact"/>
        <w:rPr>
          <w:rFonts w:ascii="宋体" w:hAnsi="宋体" w:cs="宋体"/>
          <w:sz w:val="24"/>
        </w:rPr>
      </w:pPr>
      <w:r>
        <w:rPr>
          <w:rFonts w:ascii="宋体" w:hAnsi="宋体" w:cs="宋体"/>
          <w:sz w:val="24"/>
        </w:rPr>
      </w:r>
      <w:r/>
    </w:p>
    <w:p>
      <w:pPr>
        <w:pStyle w:val="109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5"/>
              <w:jc w:val="left"/>
              <w:spacing w:line="360" w:lineRule="auto"/>
              <w:tabs>
                <w:tab w:val="left" w:pos="5580" w:leader="none"/>
              </w:tabs>
              <w:rPr>
                <w:rFonts w:ascii="宋体" w:hAnsi="宋体"/>
                <w:szCs w:val="21"/>
              </w:rPr>
            </w:pPr>
            <w:r>
              <w:rPr>
                <w:rFonts w:ascii="宋体" w:hAnsi="宋体"/>
                <w:szCs w:val="21"/>
              </w:rPr>
            </w:r>
            <w:r/>
          </w:p>
          <w:p>
            <w:pPr>
              <w:pStyle w:val="1065"/>
              <w:jc w:val="left"/>
              <w:spacing w:line="360" w:lineRule="auto"/>
              <w:tabs>
                <w:tab w:val="left" w:pos="5580" w:leader="none"/>
              </w:tabs>
              <w:rPr>
                <w:rFonts w:ascii="宋体" w:hAnsi="宋体"/>
                <w:szCs w:val="21"/>
              </w:rPr>
            </w:pPr>
            <w:r>
              <w:rPr>
                <w:rFonts w:ascii="宋体" w:hAnsi="宋体"/>
                <w:szCs w:val="21"/>
              </w:rPr>
            </w:r>
            <w:r/>
          </w:p>
          <w:p>
            <w:pPr>
              <w:pStyle w:val="106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65"/>
              <w:jc w:val="left"/>
              <w:spacing w:line="360" w:lineRule="auto"/>
              <w:tabs>
                <w:tab w:val="left" w:pos="5580" w:leader="none"/>
              </w:tabs>
              <w:rPr>
                <w:rFonts w:ascii="宋体" w:hAnsi="宋体"/>
                <w:szCs w:val="21"/>
              </w:rPr>
            </w:pPr>
            <w:r>
              <w:rPr>
                <w:rFonts w:ascii="宋体" w:hAnsi="宋体"/>
                <w:szCs w:val="21"/>
              </w:rPr>
            </w:r>
            <w:r/>
          </w:p>
          <w:p>
            <w:pPr>
              <w:pStyle w:val="1065"/>
              <w:jc w:val="left"/>
              <w:spacing w:line="360" w:lineRule="auto"/>
              <w:tabs>
                <w:tab w:val="left" w:pos="5580" w:leader="none"/>
              </w:tabs>
              <w:rPr>
                <w:rFonts w:ascii="宋体" w:hAnsi="宋体"/>
                <w:szCs w:val="21"/>
              </w:rPr>
            </w:pPr>
            <w:r>
              <w:rPr>
                <w:rFonts w:ascii="宋体" w:hAnsi="宋体"/>
                <w:szCs w:val="21"/>
              </w:rPr>
            </w:r>
            <w:r/>
          </w:p>
          <w:p>
            <w:pPr>
              <w:pStyle w:val="1065"/>
              <w:jc w:val="left"/>
              <w:spacing w:line="360" w:lineRule="auto"/>
              <w:tabs>
                <w:tab w:val="left" w:pos="5580" w:leader="none"/>
              </w:tabs>
              <w:rPr>
                <w:rFonts w:ascii="宋体" w:hAnsi="宋体"/>
                <w:szCs w:val="21"/>
              </w:rPr>
            </w:pPr>
            <w:r>
              <w:rPr>
                <w:rFonts w:ascii="宋体" w:hAnsi="宋体"/>
                <w:szCs w:val="21"/>
              </w:rPr>
            </w:r>
            <w:r/>
          </w:p>
        </w:tc>
      </w:tr>
    </w:tbl>
    <w:p>
      <w:pPr>
        <w:pStyle w:val="1097"/>
        <w:ind w:right="-46"/>
        <w:spacing w:line="583" w:lineRule="auto"/>
        <w:rPr>
          <w:rFonts w:hint="eastAsia"/>
          <w:b/>
          <w:bCs/>
        </w:rPr>
      </w:pPr>
      <w:r>
        <w:rPr>
          <w:rFonts w:hint="eastAsia"/>
          <w:b/>
          <w:bCs/>
        </w:rPr>
        <w:t xml:space="preserve">投标人近三个月（自开标之日往前推）为其缴纳社保的记录</w:t>
      </w:r>
      <w:r/>
    </w:p>
    <w:p>
      <w:pPr>
        <w:pStyle w:val="1065"/>
        <w:spacing w:line="360" w:lineRule="auto"/>
        <w:rPr>
          <w:rFonts w:hint="eastAsia" w:ascii="宋体" w:hAnsi="宋体" w:cs="宋体"/>
          <w:szCs w:val="21"/>
        </w:rPr>
      </w:pPr>
      <w:r>
        <w:rPr>
          <w:rFonts w:hint="eastAsia" w:ascii="宋体" w:hAnsi="宋体" w:cs="宋体"/>
          <w:szCs w:val="21"/>
        </w:rPr>
      </w:r>
      <w:r/>
    </w:p>
    <w:p>
      <w:pPr>
        <w:pStyle w:val="106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65"/>
        <w:spacing w:line="360" w:lineRule="auto"/>
        <w:rPr>
          <w:rFonts w:ascii="宋体" w:hAnsi="宋体" w:cs="宋体"/>
          <w:szCs w:val="21"/>
        </w:rPr>
      </w:pPr>
      <w:r>
        <w:rPr>
          <w:rFonts w:hint="eastAsia" w:ascii="宋体" w:hAnsi="宋体" w:cs="宋体"/>
          <w:szCs w:val="21"/>
        </w:rPr>
        <w:t xml:space="preserve">1.法定代表人参加投标时，不需要提供本授权委托书。</w:t>
      </w:r>
      <w:r>
        <w:rPr>
          <w:rFonts w:ascii="宋体" w:hAnsi="宋体" w:cs="宋体"/>
          <w:szCs w:val="21"/>
        </w:rPr>
      </w:r>
      <w:r/>
    </w:p>
    <w:p>
      <w:pPr>
        <w:pStyle w:val="1318"/>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65"/>
        <w:jc w:val="left"/>
        <w:widowControl/>
        <w:rPr>
          <w:rFonts w:hint="eastAsia" w:ascii="宋体" w:hAnsi="宋体"/>
          <w:sz w:val="24"/>
        </w:rPr>
      </w:pPr>
      <w:r>
        <w:rPr>
          <w:rFonts w:hint="eastAsia" w:ascii="宋体" w:hAnsi="宋体"/>
          <w:sz w:val="24"/>
        </w:rPr>
      </w:r>
      <w:r/>
    </w:p>
    <w:p>
      <w:pPr>
        <w:pStyle w:val="1065"/>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65"/>
        <w:ind w:firstLine="321"/>
        <w:jc w:val="center"/>
        <w:spacing w:line="560" w:lineRule="exact"/>
        <w:rPr>
          <w:rFonts w:hint="eastAsia" w:ascii="宋体" w:hAnsi="宋体"/>
          <w:b/>
          <w:sz w:val="32"/>
          <w:szCs w:val="32"/>
        </w:rPr>
      </w:pPr>
      <w:r>
        <w:rPr>
          <w:rFonts w:hint="eastAsia" w:ascii="宋体" w:hAnsi="宋体"/>
          <w:b/>
          <w:sz w:val="32"/>
          <w:szCs w:val="32"/>
        </w:rPr>
      </w:r>
      <w:r/>
    </w:p>
    <w:p>
      <w:pPr>
        <w:pStyle w:val="106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65"/>
        <w:ind w:firstLine="640"/>
        <w:rPr>
          <w:rFonts w:ascii="宋体" w:hAnsi="宋体"/>
        </w:rPr>
      </w:pPr>
      <w:r>
        <w:rPr>
          <w:rFonts w:ascii="宋体" w:hAnsi="宋体"/>
        </w:rPr>
      </w:r>
      <w:r/>
    </w:p>
    <w:p>
      <w:pPr>
        <w:pStyle w:val="106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w:t>
      </w:r>
      <w:r>
        <w:rPr>
          <w:rFonts w:hint="eastAsia" w:ascii="宋体" w:hAnsi="宋体"/>
          <w:sz w:val="24"/>
        </w:rPr>
        <w:t xml:space="preserve">下承诺：</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九、根</w:t>
      </w:r>
      <w:r>
        <w:rPr>
          <w:rFonts w:hint="eastAsia" w:ascii="宋体" w:hAnsi="宋体"/>
          <w:sz w:val="24"/>
        </w:rPr>
        <w:t xml:space="preserve">据政府采购相关法律法规的规定需要作出的其他承诺。 </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sz w:val="24"/>
          <w:szCs w:val="20"/>
        </w:rPr>
        <w:outlineLvl w:val="2"/>
      </w:pPr>
      <w:r/>
      <w:bookmarkStart w:id="842" w:name="_Hlt520343392"/>
      <w:r/>
      <w:bookmarkEnd w:id="842"/>
      <w:r/>
      <w:bookmarkStart w:id="843" w:name="_Hlt520274407"/>
      <w:r/>
      <w:bookmarkEnd w:id="843"/>
      <w:r/>
      <w:bookmarkStart w:id="844" w:name="_Hlt520274393"/>
      <w:r/>
      <w:bookmarkEnd w:id="844"/>
      <w:r/>
      <w:bookmarkStart w:id="845" w:name="_Hlt520343000"/>
      <w:r/>
      <w:bookmarkEnd w:id="845"/>
      <w:r/>
      <w:bookmarkStart w:id="846" w:name="_Hlt520271212"/>
      <w:r/>
      <w:bookmarkEnd w:id="846"/>
      <w:r/>
      <w:bookmarkStart w:id="847" w:name="_Hlt520273711"/>
      <w:r/>
      <w:bookmarkEnd w:id="847"/>
      <w:r/>
      <w:bookmarkStart w:id="848" w:name="_Hlt520350918"/>
      <w:r/>
      <w:bookmarkEnd w:id="848"/>
      <w:r/>
      <w:bookmarkStart w:id="849" w:name="_Hlt520274121"/>
      <w:r/>
      <w:bookmarkEnd w:id="849"/>
      <w:r/>
      <w:bookmarkStart w:id="850" w:name="_Hlt520355504"/>
      <w:r/>
      <w:bookmarkEnd w:id="850"/>
      <w:r/>
      <w:bookmarkStart w:id="851" w:name="_Hlt520274065"/>
      <w:r/>
      <w:bookmarkEnd w:id="851"/>
      <w:r/>
      <w:bookmarkStart w:id="852" w:name="_Toc127151557"/>
      <w:r/>
      <w:bookmarkStart w:id="853" w:name="_Toc142311059"/>
      <w:r/>
      <w:bookmarkStart w:id="854" w:name="_Ref467988705"/>
      <w:r/>
      <w:bookmarkStart w:id="855" w:name="_Toc480942350"/>
      <w:r/>
      <w:bookmarkStart w:id="856" w:name="_Toc150480795"/>
      <w:r/>
      <w:bookmarkStart w:id="857" w:name="_Toc226337253"/>
      <w:r/>
      <w:bookmarkStart w:id="858" w:name="_Toc264969247"/>
      <w:r/>
      <w:bookmarkStart w:id="859" w:name="_Toc226309801"/>
      <w:r/>
      <w:bookmarkStart w:id="860" w:name="_Toc226965830"/>
      <w:r/>
      <w:bookmarkStart w:id="861" w:name="_Toc195842922"/>
      <w:r/>
      <w:bookmarkStart w:id="862" w:name="_Toc265228395"/>
      <w:r/>
      <w:bookmarkStart w:id="863" w:name="_Toc305158899"/>
      <w:r/>
      <w:bookmarkStart w:id="864" w:name="_Toc150774762"/>
      <w:r/>
      <w:bookmarkStart w:id="865" w:name="_Toc305158825"/>
      <w:r/>
      <w:bookmarkStart w:id="866" w:name="_Toc520356218"/>
      <w:r/>
      <w:bookmarkStart w:id="867" w:name="_Toc2269657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24"/>
        </w:rPr>
        <w:t xml:space="preserve">（实质性格式）</w:t>
      </w:r>
      <w:r>
        <w:rPr>
          <w:rFonts w:ascii="宋体" w:hAnsi="宋体"/>
          <w:b/>
          <w:sz w:val="24"/>
          <w:szCs w:val="20"/>
        </w:rPr>
      </w:r>
      <w:r/>
    </w:p>
    <w:p>
      <w:pPr>
        <w:pStyle w:val="1065"/>
        <w:jc w:val="center"/>
        <w:spacing w:line="360" w:lineRule="exact"/>
        <w:rPr>
          <w:rFonts w:ascii="宋体" w:hAnsi="宋体"/>
          <w:b/>
          <w:sz w:val="36"/>
          <w:szCs w:val="36"/>
        </w:rPr>
      </w:pPr>
      <w:r/>
      <w:bookmarkStart w:id="868" w:name="_Toc226337254"/>
      <w:r/>
      <w:bookmarkStart w:id="869" w:name="_Toc226965831"/>
      <w:r/>
      <w:bookmarkStart w:id="870" w:name="_Toc264969248"/>
      <w:r/>
      <w:bookmarkStart w:id="871" w:name="_Toc305158826"/>
      <w:r/>
      <w:bookmarkStart w:id="872" w:name="_Toc164608672"/>
      <w:r/>
      <w:bookmarkStart w:id="873" w:name="_Toc226965748"/>
      <w:r/>
      <w:bookmarkStart w:id="874" w:name="_Toc195842923"/>
      <w:r/>
      <w:bookmarkStart w:id="875" w:name="_Toc305158900"/>
      <w:r/>
      <w:bookmarkStart w:id="876" w:name="_Toc265228396"/>
      <w:r/>
      <w:bookmarkStart w:id="877" w:name="_Toc164608827"/>
      <w:r/>
      <w:bookmarkStart w:id="878" w:name="_Toc226309802"/>
      <w:r>
        <w:rPr>
          <w:rFonts w:hint="eastAsia" w:ascii="宋体" w:hAnsi="宋体"/>
          <w:b/>
          <w:sz w:val="36"/>
          <w:szCs w:val="36"/>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b/>
          <w:sz w:val="36"/>
          <w:szCs w:val="36"/>
        </w:rPr>
      </w:r>
      <w:r/>
    </w:p>
    <w:p>
      <w:pPr>
        <w:pStyle w:val="106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65"/>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6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6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65"/>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6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6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65"/>
              <w:jc w:val="center"/>
              <w:tabs>
                <w:tab w:val="left" w:pos="5580" w:leader="none"/>
              </w:tabs>
              <w:rPr>
                <w:rFonts w:ascii="宋体" w:hAnsi="宋体"/>
                <w:sz w:val="24"/>
              </w:rPr>
            </w:pPr>
            <w:r>
              <w:rPr>
                <w:rFonts w:ascii="宋体" w:hAnsi="宋体"/>
                <w:sz w:val="24"/>
              </w:rPr>
            </w:r>
            <w:r/>
          </w:p>
        </w:tc>
      </w:tr>
    </w:tbl>
    <w:p>
      <w:pPr>
        <w:pStyle w:val="1065"/>
        <w:jc w:val="left"/>
        <w:rPr>
          <w:rFonts w:ascii="宋体" w:hAnsi="宋体"/>
          <w:sz w:val="24"/>
        </w:rPr>
      </w:pPr>
      <w:r>
        <w:rPr>
          <w:rFonts w:ascii="宋体" w:hAnsi="宋体"/>
          <w:sz w:val="24"/>
        </w:rPr>
      </w:r>
      <w:r/>
    </w:p>
    <w:p>
      <w:pPr>
        <w:pStyle w:val="1065"/>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65"/>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65"/>
        <w:spacing w:before="25" w:after="25" w:line="360" w:lineRule="auto"/>
        <w:rPr>
          <w:rFonts w:ascii="宋体" w:hAnsi="宋体"/>
          <w:sz w:val="24"/>
          <w:lang w:val="zh-CN"/>
        </w:rPr>
      </w:pPr>
      <w:r>
        <w:rPr>
          <w:rFonts w:ascii="宋体" w:hAnsi="宋体"/>
          <w:sz w:val="24"/>
          <w:lang w:val="zh-CN"/>
        </w:rPr>
      </w:r>
      <w:r/>
    </w:p>
    <w:p>
      <w:pPr>
        <w:pStyle w:val="1065"/>
        <w:spacing w:before="25" w:after="25" w:line="360" w:lineRule="auto"/>
        <w:rPr>
          <w:rFonts w:ascii="宋体" w:hAnsi="宋体"/>
          <w:sz w:val="24"/>
          <w:lang w:val="zh-CN"/>
        </w:rPr>
      </w:pPr>
      <w:r>
        <w:rPr>
          <w:rFonts w:ascii="宋体" w:hAnsi="宋体"/>
          <w:sz w:val="24"/>
          <w:lang w:val="zh-CN"/>
        </w:rPr>
        <w:t xml:space="preserve">                         </w:t>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sz w:val="24"/>
          <w:szCs w:val="20"/>
        </w:rPr>
        <w:outlineLvl w:val="2"/>
      </w:pPr>
      <w:r/>
      <w:bookmarkStart w:id="879" w:name="_Toc226965749"/>
      <w:r/>
      <w:bookmarkStart w:id="880" w:name="_Toc265228397"/>
      <w:r/>
      <w:bookmarkStart w:id="881" w:name="_Toc150774763"/>
      <w:r/>
      <w:bookmarkStart w:id="882" w:name="_Toc142311060"/>
      <w:r/>
      <w:bookmarkStart w:id="883" w:name="_Toc127151558"/>
      <w:r/>
      <w:bookmarkStart w:id="884" w:name="_Toc305158901"/>
      <w:r/>
      <w:bookmarkStart w:id="885" w:name="_Toc150480796"/>
      <w:r/>
      <w:bookmarkStart w:id="886" w:name="_Toc264969249"/>
      <w:r/>
      <w:bookmarkStart w:id="887" w:name="_Toc305158827"/>
      <w:r/>
      <w:bookmarkStart w:id="888" w:name="_Toc226965832"/>
      <w:r/>
      <w:bookmarkStart w:id="889" w:name="_Toc226337255"/>
      <w:r/>
      <w:bookmarkStart w:id="890" w:name="_Toc195842924"/>
      <w:r/>
      <w:bookmarkStart w:id="891" w:name="_Toc226309803"/>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ascii="宋体" w:hAnsi="宋体"/>
          <w:b/>
          <w:sz w:val="24"/>
        </w:rPr>
        <w:t xml:space="preserve">（实质性格式）</w:t>
      </w:r>
      <w:r>
        <w:rPr>
          <w:rFonts w:ascii="宋体" w:hAnsi="宋体"/>
          <w:b/>
          <w:sz w:val="24"/>
          <w:szCs w:val="20"/>
        </w:rPr>
      </w:r>
      <w:r/>
    </w:p>
    <w:p>
      <w:pPr>
        <w:pStyle w:val="1065"/>
        <w:jc w:val="center"/>
        <w:spacing w:line="360" w:lineRule="exact"/>
        <w:rPr>
          <w:rFonts w:ascii="宋体" w:hAnsi="宋体"/>
          <w:sz w:val="36"/>
          <w:szCs w:val="36"/>
        </w:rPr>
      </w:pPr>
      <w:r>
        <w:rPr>
          <w:rFonts w:ascii="宋体" w:hAnsi="宋体"/>
          <w:sz w:val="36"/>
          <w:szCs w:val="36"/>
        </w:rPr>
      </w:r>
      <w:r/>
    </w:p>
    <w:p>
      <w:pPr>
        <w:pStyle w:val="1065"/>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65"/>
        <w:spacing w:before="25" w:after="25" w:line="360" w:lineRule="auto"/>
        <w:rPr>
          <w:rFonts w:ascii="宋体" w:hAnsi="宋体"/>
          <w:sz w:val="24"/>
        </w:rPr>
      </w:pPr>
      <w:r/>
      <w:bookmarkStart w:id="892" w:name="_Toc195842927"/>
      <w:r/>
      <w:bookmarkStart w:id="893" w:name="_Toc226965835"/>
      <w:r/>
      <w:bookmarkStart w:id="894" w:name="_Toc127151562"/>
      <w:r/>
      <w:bookmarkStart w:id="895" w:name="_Toc305158904"/>
      <w:r/>
      <w:bookmarkStart w:id="896" w:name="_Toc305158830"/>
      <w:r/>
      <w:bookmarkStart w:id="897" w:name="_Toc226337258"/>
      <w:r/>
      <w:bookmarkStart w:id="898" w:name="_Toc265228400"/>
      <w:r/>
      <w:bookmarkStart w:id="899" w:name="_Toc150480798"/>
      <w:r/>
      <w:bookmarkStart w:id="900" w:name="_Toc150774765"/>
      <w:r/>
      <w:bookmarkStart w:id="901" w:name="_Toc226965752"/>
      <w:r/>
      <w:bookmarkStart w:id="902" w:name="_Toc264969252"/>
      <w:r/>
      <w:bookmarkStart w:id="903" w:name="_Toc142311062"/>
      <w:r/>
      <w:bookmarkStart w:id="904" w:name="_Toc226309806"/>
      <w:r/>
      <w:bookmarkStart w:id="905" w:name="_Toc305158829"/>
      <w:r/>
      <w:bookmarkStart w:id="906" w:name="_Toc226337257"/>
      <w:r/>
      <w:bookmarkStart w:id="907" w:name="_Toc150480797"/>
      <w:r/>
      <w:bookmarkStart w:id="908" w:name="_Toc226965751"/>
      <w:r/>
      <w:bookmarkStart w:id="909" w:name="_Toc305158903"/>
      <w:r/>
      <w:bookmarkStart w:id="910" w:name="_Toc195842926"/>
      <w:r/>
      <w:bookmarkStart w:id="911" w:name="_Toc127151561"/>
      <w:r/>
      <w:bookmarkStart w:id="912" w:name="_Toc226309805"/>
      <w:r/>
      <w:bookmarkStart w:id="913" w:name="_Toc142311061"/>
      <w:r/>
      <w:bookmarkStart w:id="914" w:name="_Toc226965834"/>
      <w:r/>
      <w:bookmarkStart w:id="915" w:name="_Toc264969251"/>
      <w:r/>
      <w:bookmarkStart w:id="916" w:name="_Toc150774764"/>
      <w:r/>
      <w:bookmarkStart w:id="917" w:name="_Toc265228399"/>
      <w:r>
        <w:rPr>
          <w:rFonts w:ascii="宋体" w:hAnsi="宋体"/>
          <w:sz w:val="24"/>
        </w:rPr>
      </w:r>
      <w:r/>
    </w:p>
    <w:p>
      <w:pPr>
        <w:pStyle w:val="1065"/>
        <w:jc w:val="center"/>
        <w:rPr>
          <w:b/>
          <w:sz w:val="36"/>
          <w:szCs w:val="36"/>
        </w:rPr>
      </w:pPr>
      <w:r>
        <w:rPr>
          <w:rFonts w:hint="eastAsia"/>
          <w:b/>
          <w:sz w:val="36"/>
          <w:szCs w:val="36"/>
        </w:rPr>
        <w:t xml:space="preserve">详见工程量清单</w:t>
      </w:r>
      <w:r>
        <w:rPr>
          <w:b/>
          <w:sz w:val="36"/>
          <w:szCs w:val="36"/>
        </w:rPr>
      </w:r>
      <w:r/>
    </w:p>
    <w:p>
      <w:pPr>
        <w:pStyle w:val="1065"/>
        <w:spacing w:before="25" w:after="25" w:line="360" w:lineRule="auto"/>
        <w:rPr>
          <w:rFonts w:ascii="宋体" w:hAnsi="宋体"/>
          <w:sz w:val="24"/>
        </w:rPr>
      </w:pPr>
      <w:r>
        <w:rPr>
          <w:rFonts w:ascii="宋体" w:hAnsi="宋体"/>
          <w:sz w:val="24"/>
        </w:rPr>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w:t>
      </w:r>
      <w:r>
        <w:rPr>
          <w:rFonts w:ascii="宋体" w:hAnsi="宋体"/>
          <w:sz w:val="24"/>
          <w:szCs w:val="20"/>
        </w:rPr>
        <w:t xml:space="preserve">____月______日   </w:t>
      </w:r>
      <w:r>
        <w:rPr>
          <w:rFonts w:ascii="宋体" w:hAnsi="宋体"/>
          <w:sz w:val="24"/>
          <w:lang w:val="zh-CN"/>
        </w:rPr>
      </w:r>
      <w:r/>
    </w:p>
    <w:p>
      <w:pPr>
        <w:pStyle w:val="10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ascii="宋体" w:hAnsi="宋体"/>
          <w:b/>
          <w:sz w:val="24"/>
        </w:rPr>
        <w:t xml:space="preserve">（实质性格式）</w:t>
      </w:r>
      <w:r>
        <w:rPr>
          <w:rFonts w:ascii="宋体" w:hAnsi="宋体"/>
          <w:b/>
          <w:sz w:val="24"/>
          <w:szCs w:val="20"/>
        </w:rPr>
      </w:r>
      <w:r/>
    </w:p>
    <w:p>
      <w:pPr>
        <w:pStyle w:val="1065"/>
        <w:spacing w:line="360" w:lineRule="auto"/>
        <w:rPr>
          <w:rFonts w:ascii="宋体" w:hAnsi="宋体"/>
          <w:sz w:val="24"/>
          <w:szCs w:val="20"/>
        </w:rPr>
      </w:pPr>
      <w:r>
        <w:rPr>
          <w:rFonts w:ascii="宋体" w:hAnsi="宋体"/>
          <w:sz w:val="24"/>
          <w:szCs w:val="20"/>
        </w:rPr>
      </w:r>
      <w:r/>
    </w:p>
    <w:p>
      <w:pPr>
        <w:pStyle w:val="1065"/>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65"/>
        <w:spacing w:line="360" w:lineRule="auto"/>
        <w:rPr>
          <w:rFonts w:ascii="宋体" w:hAnsi="宋体"/>
          <w:sz w:val="24"/>
          <w:szCs w:val="20"/>
        </w:rPr>
      </w:pPr>
      <w:r>
        <w:rPr>
          <w:rFonts w:ascii="宋体" w:hAnsi="宋体"/>
          <w:sz w:val="24"/>
          <w:szCs w:val="20"/>
        </w:rPr>
      </w:r>
      <w:r/>
    </w:p>
    <w:p>
      <w:pPr>
        <w:pStyle w:val="1065"/>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65"/>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6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65"/>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65"/>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65"/>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65"/>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65"/>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65"/>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r>
            <w:r/>
          </w:p>
        </w:tc>
        <w:tc>
          <w:tcPr>
            <w:tcW w:w="1301" w:type="dxa"/>
            <w:vAlign w:val="center"/>
            <w:textDirection w:val="lrTb"/>
            <w:noWrap w:val="false"/>
          </w:tcPr>
          <w:p>
            <w:pPr>
              <w:pStyle w:val="1065"/>
              <w:jc w:val="center"/>
              <w:rPr>
                <w:rFonts w:ascii="宋体" w:hAnsi="宋体"/>
                <w:sz w:val="24"/>
              </w:rPr>
            </w:pPr>
            <w:r>
              <w:rPr>
                <w:rFonts w:ascii="宋体" w:hAnsi="宋体"/>
                <w:sz w:val="24"/>
              </w:rPr>
            </w:r>
            <w:r/>
          </w:p>
        </w:tc>
        <w:tc>
          <w:tcPr>
            <w:tcW w:w="2007" w:type="dxa"/>
            <w:vAlign w:val="center"/>
            <w:textDirection w:val="lrTb"/>
            <w:noWrap w:val="false"/>
          </w:tcPr>
          <w:p>
            <w:pPr>
              <w:pStyle w:val="1065"/>
              <w:jc w:val="center"/>
              <w:rPr>
                <w:rFonts w:ascii="宋体" w:hAnsi="宋体"/>
                <w:sz w:val="24"/>
              </w:rPr>
            </w:pPr>
            <w:r>
              <w:rPr>
                <w:rFonts w:ascii="宋体" w:hAnsi="宋体"/>
                <w:sz w:val="24"/>
              </w:rPr>
            </w:r>
            <w:r/>
          </w:p>
        </w:tc>
        <w:tc>
          <w:tcPr>
            <w:tcW w:w="2008" w:type="dxa"/>
            <w:vAlign w:val="center"/>
            <w:textDirection w:val="lrTb"/>
            <w:noWrap w:val="false"/>
          </w:tcPr>
          <w:p>
            <w:pPr>
              <w:pStyle w:val="1065"/>
              <w:jc w:val="center"/>
              <w:rPr>
                <w:rFonts w:ascii="宋体" w:hAnsi="宋体"/>
                <w:sz w:val="24"/>
              </w:rPr>
            </w:pPr>
            <w:r>
              <w:rPr>
                <w:rFonts w:ascii="宋体" w:hAnsi="宋体"/>
                <w:sz w:val="24"/>
              </w:rPr>
            </w:r>
            <w:r/>
          </w:p>
        </w:tc>
        <w:tc>
          <w:tcPr>
            <w:tcW w:w="2458" w:type="dxa"/>
            <w:vAlign w:val="center"/>
            <w:textDirection w:val="lrTb"/>
            <w:noWrap w:val="false"/>
          </w:tcPr>
          <w:p>
            <w:pPr>
              <w:pStyle w:val="1065"/>
              <w:jc w:val="center"/>
              <w:rPr>
                <w:rFonts w:ascii="宋体" w:hAnsi="宋体"/>
                <w:sz w:val="24"/>
              </w:rPr>
            </w:pPr>
            <w:r>
              <w:rPr>
                <w:rFonts w:ascii="宋体" w:hAnsi="宋体"/>
                <w:sz w:val="24"/>
              </w:rPr>
            </w:r>
            <w:r/>
          </w:p>
        </w:tc>
        <w:tc>
          <w:tcPr>
            <w:tcW w:w="788"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r>
            <w:r/>
          </w:p>
        </w:tc>
        <w:tc>
          <w:tcPr>
            <w:tcW w:w="1301" w:type="dxa"/>
            <w:vAlign w:val="center"/>
            <w:textDirection w:val="lrTb"/>
            <w:noWrap w:val="false"/>
          </w:tcPr>
          <w:p>
            <w:pPr>
              <w:pStyle w:val="1065"/>
              <w:jc w:val="center"/>
              <w:rPr>
                <w:rFonts w:ascii="宋体" w:hAnsi="宋体"/>
                <w:sz w:val="24"/>
              </w:rPr>
            </w:pPr>
            <w:r>
              <w:rPr>
                <w:rFonts w:ascii="宋体" w:hAnsi="宋体"/>
                <w:sz w:val="24"/>
              </w:rPr>
            </w:r>
            <w:r/>
          </w:p>
        </w:tc>
        <w:tc>
          <w:tcPr>
            <w:tcW w:w="2007" w:type="dxa"/>
            <w:vAlign w:val="center"/>
            <w:textDirection w:val="lrTb"/>
            <w:noWrap w:val="false"/>
          </w:tcPr>
          <w:p>
            <w:pPr>
              <w:pStyle w:val="1065"/>
              <w:jc w:val="center"/>
              <w:rPr>
                <w:rFonts w:ascii="宋体" w:hAnsi="宋体"/>
                <w:sz w:val="24"/>
              </w:rPr>
            </w:pPr>
            <w:r>
              <w:rPr>
                <w:rFonts w:ascii="宋体" w:hAnsi="宋体"/>
                <w:sz w:val="24"/>
              </w:rPr>
            </w:r>
            <w:r/>
          </w:p>
        </w:tc>
        <w:tc>
          <w:tcPr>
            <w:tcW w:w="2008" w:type="dxa"/>
            <w:vAlign w:val="center"/>
            <w:textDirection w:val="lrTb"/>
            <w:noWrap w:val="false"/>
          </w:tcPr>
          <w:p>
            <w:pPr>
              <w:pStyle w:val="1065"/>
              <w:jc w:val="center"/>
              <w:rPr>
                <w:rFonts w:ascii="宋体" w:hAnsi="宋体"/>
                <w:sz w:val="24"/>
              </w:rPr>
            </w:pPr>
            <w:r>
              <w:rPr>
                <w:rFonts w:ascii="宋体" w:hAnsi="宋体"/>
                <w:sz w:val="24"/>
              </w:rPr>
            </w:r>
            <w:r/>
          </w:p>
        </w:tc>
        <w:tc>
          <w:tcPr>
            <w:tcW w:w="2458" w:type="dxa"/>
            <w:vAlign w:val="center"/>
            <w:textDirection w:val="lrTb"/>
            <w:noWrap w:val="false"/>
          </w:tcPr>
          <w:p>
            <w:pPr>
              <w:pStyle w:val="1065"/>
              <w:jc w:val="center"/>
              <w:rPr>
                <w:rFonts w:ascii="宋体" w:hAnsi="宋体"/>
                <w:sz w:val="24"/>
              </w:rPr>
            </w:pPr>
            <w:r>
              <w:rPr>
                <w:rFonts w:ascii="宋体" w:hAnsi="宋体"/>
                <w:sz w:val="24"/>
              </w:rPr>
            </w:r>
            <w:r/>
          </w:p>
        </w:tc>
        <w:tc>
          <w:tcPr>
            <w:tcW w:w="788"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r>
            <w:r/>
          </w:p>
        </w:tc>
        <w:tc>
          <w:tcPr>
            <w:tcW w:w="1301" w:type="dxa"/>
            <w:vAlign w:val="center"/>
            <w:textDirection w:val="lrTb"/>
            <w:noWrap w:val="false"/>
          </w:tcPr>
          <w:p>
            <w:pPr>
              <w:pStyle w:val="1065"/>
              <w:jc w:val="center"/>
              <w:rPr>
                <w:rFonts w:ascii="宋体" w:hAnsi="宋体"/>
                <w:sz w:val="24"/>
              </w:rPr>
            </w:pPr>
            <w:r>
              <w:rPr>
                <w:rFonts w:ascii="宋体" w:hAnsi="宋体"/>
                <w:sz w:val="24"/>
              </w:rPr>
            </w:r>
            <w:r/>
          </w:p>
        </w:tc>
        <w:tc>
          <w:tcPr>
            <w:tcW w:w="2007" w:type="dxa"/>
            <w:vAlign w:val="center"/>
            <w:textDirection w:val="lrTb"/>
            <w:noWrap w:val="false"/>
          </w:tcPr>
          <w:p>
            <w:pPr>
              <w:pStyle w:val="1065"/>
              <w:jc w:val="center"/>
              <w:rPr>
                <w:rFonts w:ascii="宋体" w:hAnsi="宋体"/>
                <w:sz w:val="24"/>
              </w:rPr>
            </w:pPr>
            <w:r>
              <w:rPr>
                <w:rFonts w:ascii="宋体" w:hAnsi="宋体"/>
                <w:sz w:val="24"/>
              </w:rPr>
            </w:r>
            <w:r/>
          </w:p>
        </w:tc>
        <w:tc>
          <w:tcPr>
            <w:tcW w:w="2008" w:type="dxa"/>
            <w:vAlign w:val="center"/>
            <w:textDirection w:val="lrTb"/>
            <w:noWrap w:val="false"/>
          </w:tcPr>
          <w:p>
            <w:pPr>
              <w:pStyle w:val="1065"/>
              <w:jc w:val="center"/>
              <w:rPr>
                <w:rFonts w:ascii="宋体" w:hAnsi="宋体"/>
                <w:sz w:val="24"/>
              </w:rPr>
            </w:pPr>
            <w:r>
              <w:rPr>
                <w:rFonts w:ascii="宋体" w:hAnsi="宋体"/>
                <w:sz w:val="24"/>
              </w:rPr>
            </w:r>
            <w:r/>
          </w:p>
        </w:tc>
        <w:tc>
          <w:tcPr>
            <w:tcW w:w="2458" w:type="dxa"/>
            <w:vAlign w:val="center"/>
            <w:textDirection w:val="lrTb"/>
            <w:noWrap w:val="false"/>
          </w:tcPr>
          <w:p>
            <w:pPr>
              <w:pStyle w:val="1065"/>
              <w:jc w:val="center"/>
              <w:rPr>
                <w:rFonts w:ascii="宋体" w:hAnsi="宋体"/>
                <w:sz w:val="24"/>
              </w:rPr>
            </w:pPr>
            <w:r>
              <w:rPr>
                <w:rFonts w:ascii="宋体" w:hAnsi="宋体"/>
                <w:sz w:val="24"/>
              </w:rPr>
            </w:r>
            <w:r/>
          </w:p>
        </w:tc>
        <w:tc>
          <w:tcPr>
            <w:tcW w:w="788"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65"/>
              <w:jc w:val="center"/>
              <w:rPr>
                <w:rFonts w:ascii="宋体" w:hAnsi="宋体"/>
                <w:sz w:val="24"/>
              </w:rPr>
            </w:pPr>
            <w:r>
              <w:rPr>
                <w:rFonts w:ascii="宋体" w:hAnsi="宋体"/>
                <w:sz w:val="24"/>
              </w:rPr>
            </w:r>
            <w:r/>
          </w:p>
        </w:tc>
        <w:tc>
          <w:tcPr>
            <w:tcW w:w="2007" w:type="dxa"/>
            <w:vAlign w:val="center"/>
            <w:textDirection w:val="lrTb"/>
            <w:noWrap w:val="false"/>
          </w:tcPr>
          <w:p>
            <w:pPr>
              <w:pStyle w:val="1065"/>
              <w:jc w:val="center"/>
              <w:rPr>
                <w:rFonts w:ascii="宋体" w:hAnsi="宋体"/>
                <w:sz w:val="24"/>
              </w:rPr>
            </w:pPr>
            <w:r>
              <w:rPr>
                <w:rFonts w:ascii="宋体" w:hAnsi="宋体"/>
                <w:sz w:val="24"/>
              </w:rPr>
            </w:r>
            <w:r/>
          </w:p>
        </w:tc>
        <w:tc>
          <w:tcPr>
            <w:tcW w:w="2008" w:type="dxa"/>
            <w:vAlign w:val="center"/>
            <w:textDirection w:val="lrTb"/>
            <w:noWrap w:val="false"/>
          </w:tcPr>
          <w:p>
            <w:pPr>
              <w:pStyle w:val="1065"/>
              <w:jc w:val="center"/>
              <w:rPr>
                <w:rFonts w:ascii="宋体" w:hAnsi="宋体"/>
                <w:sz w:val="24"/>
              </w:rPr>
            </w:pPr>
            <w:r>
              <w:rPr>
                <w:rFonts w:ascii="宋体" w:hAnsi="宋体"/>
                <w:sz w:val="24"/>
              </w:rPr>
            </w:r>
            <w:r/>
          </w:p>
        </w:tc>
        <w:tc>
          <w:tcPr>
            <w:tcW w:w="2458" w:type="dxa"/>
            <w:vAlign w:val="center"/>
            <w:textDirection w:val="lrTb"/>
            <w:noWrap w:val="false"/>
          </w:tcPr>
          <w:p>
            <w:pPr>
              <w:pStyle w:val="1065"/>
              <w:jc w:val="center"/>
              <w:rPr>
                <w:rFonts w:ascii="宋体" w:hAnsi="宋体"/>
                <w:sz w:val="24"/>
              </w:rPr>
            </w:pPr>
            <w:r>
              <w:rPr>
                <w:rFonts w:ascii="宋体" w:hAnsi="宋体"/>
                <w:sz w:val="24"/>
              </w:rPr>
            </w:r>
            <w:r/>
          </w:p>
        </w:tc>
        <w:tc>
          <w:tcPr>
            <w:tcW w:w="788" w:type="dxa"/>
            <w:vAlign w:val="center"/>
            <w:textDirection w:val="lrTb"/>
            <w:noWrap w:val="false"/>
          </w:tcPr>
          <w:p>
            <w:pPr>
              <w:pStyle w:val="1065"/>
              <w:jc w:val="center"/>
              <w:rPr>
                <w:rFonts w:ascii="宋体" w:hAnsi="宋体"/>
                <w:sz w:val="24"/>
              </w:rPr>
            </w:pPr>
            <w:r>
              <w:rPr>
                <w:rFonts w:ascii="宋体" w:hAnsi="宋体"/>
                <w:sz w:val="24"/>
              </w:rPr>
            </w:r>
            <w:r/>
          </w:p>
        </w:tc>
      </w:tr>
    </w:tbl>
    <w:p>
      <w:pPr>
        <w:pStyle w:val="1065"/>
        <w:jc w:val="left"/>
        <w:tabs>
          <w:tab w:val="left" w:pos="1800" w:leader="none"/>
          <w:tab w:val="left" w:pos="5580" w:leader="none"/>
        </w:tabs>
        <w:rPr>
          <w:rFonts w:ascii="宋体" w:hAnsi="宋体"/>
          <w:sz w:val="24"/>
        </w:rPr>
      </w:pPr>
      <w:r>
        <w:rPr>
          <w:rFonts w:ascii="宋体" w:hAnsi="宋体"/>
          <w:sz w:val="24"/>
        </w:rPr>
      </w:r>
      <w:r/>
    </w:p>
    <w:p>
      <w:pPr>
        <w:pStyle w:val="1065"/>
        <w:jc w:val="left"/>
        <w:tabs>
          <w:tab w:val="left" w:pos="1800" w:leader="none"/>
          <w:tab w:val="left" w:pos="5580" w:leader="none"/>
        </w:tabs>
        <w:rPr>
          <w:rFonts w:ascii="宋体" w:hAnsi="宋体"/>
          <w:sz w:val="24"/>
        </w:rPr>
      </w:pPr>
      <w:r>
        <w:rPr>
          <w:rFonts w:ascii="宋体" w:hAnsi="宋体"/>
          <w:sz w:val="24"/>
        </w:rPr>
        <w:t xml:space="preserve">注：</w:t>
      </w:r>
      <w:r/>
    </w:p>
    <w:p>
      <w:pPr>
        <w:pStyle w:val="106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65"/>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65"/>
        <w:spacing w:line="360" w:lineRule="auto"/>
        <w:rPr>
          <w:rFonts w:ascii="宋体" w:hAnsi="宋体"/>
          <w:sz w:val="24"/>
          <w:szCs w:val="20"/>
        </w:rPr>
      </w:pPr>
      <w:r>
        <w:rPr>
          <w:rFonts w:ascii="宋体" w:hAnsi="宋体"/>
          <w:sz w:val="24"/>
          <w:szCs w:val="20"/>
        </w:rPr>
      </w:r>
      <w:r/>
    </w:p>
    <w:p>
      <w:pPr>
        <w:pStyle w:val="1065"/>
        <w:spacing w:before="25" w:after="25" w:line="360" w:lineRule="auto"/>
        <w:rPr>
          <w:rFonts w:ascii="宋体" w:hAnsi="宋体"/>
          <w:sz w:val="24"/>
          <w:lang w:val="zh-CN"/>
        </w:rPr>
      </w:pPr>
      <w:r>
        <w:rPr>
          <w:rFonts w:ascii="宋体" w:hAnsi="宋体"/>
          <w:sz w:val="24"/>
          <w:lang w:val="zh-CN"/>
        </w:rPr>
        <w:t xml:space="preserve">                      </w:t>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b/>
          <w:sz w:val="24"/>
          <w:szCs w:val="20"/>
        </w:rPr>
        <w:t xml:space="preserve">采购需求偏离表（实质性格式）</w:t>
      </w:r>
      <w:r/>
    </w:p>
    <w:p>
      <w:pPr>
        <w:pStyle w:val="1065"/>
        <w:jc w:val="center"/>
        <w:spacing w:line="360" w:lineRule="auto"/>
        <w:rPr>
          <w:rFonts w:hint="eastAsia" w:ascii="宋体" w:hAnsi="宋体"/>
          <w:b/>
          <w:sz w:val="36"/>
          <w:szCs w:val="36"/>
        </w:rPr>
      </w:pPr>
      <w:r>
        <w:rPr>
          <w:rFonts w:hint="eastAsia" w:ascii="宋体" w:hAnsi="宋体"/>
          <w:b/>
          <w:sz w:val="36"/>
          <w:szCs w:val="36"/>
        </w:rPr>
      </w:r>
      <w:r/>
    </w:p>
    <w:p>
      <w:pPr>
        <w:pStyle w:val="1065"/>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65"/>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65"/>
              <w:jc w:val="left"/>
              <w:rPr>
                <w:rFonts w:hint="eastAsia" w:ascii="宋体" w:hAnsi="宋体"/>
                <w:b/>
                <w:bCs/>
                <w:sz w:val="24"/>
              </w:rPr>
            </w:pPr>
            <w:r>
              <w:rPr>
                <w:rFonts w:hint="eastAsia" w:ascii="宋体" w:hAnsi="宋体"/>
                <w:b/>
                <w:bCs/>
                <w:sz w:val="24"/>
              </w:rPr>
              <w:t xml:space="preserve">对本项目采购需求的偏离情况（请进行勾选）：</w:t>
            </w:r>
            <w:r/>
          </w:p>
          <w:p>
            <w:pPr>
              <w:pStyle w:val="1065"/>
              <w:jc w:val="left"/>
              <w:rPr>
                <w:rFonts w:hint="eastAsia" w:ascii="宋体" w:hAnsi="宋体"/>
                <w:b/>
                <w:bCs/>
                <w:sz w:val="24"/>
              </w:rPr>
            </w:pPr>
            <w:r>
              <w:rPr>
                <w:rFonts w:hint="eastAsia" w:ascii="宋体" w:hAnsi="宋体"/>
                <w:b/>
                <w:bCs/>
                <w:sz w:val="24"/>
              </w:rPr>
              <w:t xml:space="preserve">□无偏离（如无偏离，仅勾选无偏离即可）</w:t>
            </w:r>
            <w:r>
              <w:rPr>
                <w:rFonts w:hint="eastAsia" w:ascii="宋体" w:hAnsi="宋体"/>
                <w:b/>
                <w:bCs/>
                <w:sz w:val="24"/>
              </w:rPr>
            </w:r>
            <w:r/>
          </w:p>
          <w:p>
            <w:pPr>
              <w:pStyle w:val="1065"/>
              <w:jc w:val="left"/>
              <w:rPr>
                <w:rFonts w:ascii="宋体" w:hAnsi="宋体"/>
                <w:b/>
                <w:bCs/>
                <w:sz w:val="24"/>
              </w:rPr>
            </w:pPr>
            <w:r>
              <w:rPr>
                <w:rFonts w:hint="eastAsia" w:ascii="宋体" w:hAnsi="宋体"/>
                <w:b/>
                <w:bCs/>
                <w:sz w:val="24"/>
              </w:rPr>
              <w:t xml:space="preserve">□有偏离（如有偏离，则应在本表中对偏离项逐一列明）</w:t>
            </w:r>
            <w:r>
              <w:rPr>
                <w:rFonts w:ascii="宋体" w:hAnsi="宋体"/>
                <w:b/>
                <w:bCs/>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65"/>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65"/>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65"/>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65"/>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65"/>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bl>
    <w:p>
      <w:pPr>
        <w:pStyle w:val="1065"/>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65"/>
        <w:jc w:val="left"/>
        <w:tabs>
          <w:tab w:val="left" w:pos="1800" w:leader="none"/>
          <w:tab w:val="left" w:pos="5580" w:leader="none"/>
        </w:tabs>
        <w:rPr>
          <w:rFonts w:ascii="宋体" w:hAnsi="宋体"/>
          <w:sz w:val="24"/>
        </w:rPr>
      </w:pPr>
      <w:r>
        <w:rPr>
          <w:rFonts w:ascii="宋体" w:hAnsi="宋体"/>
          <w:sz w:val="24"/>
        </w:rPr>
        <w:t xml:space="preserve">注：</w:t>
      </w:r>
      <w:r/>
    </w:p>
    <w:p>
      <w:pPr>
        <w:pStyle w:val="106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65"/>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65"/>
        <w:jc w:val="left"/>
        <w:tabs>
          <w:tab w:val="left" w:pos="1800" w:leader="none"/>
          <w:tab w:val="left" w:pos="5580" w:leader="none"/>
        </w:tabs>
        <w:rPr>
          <w:rFonts w:ascii="宋体" w:hAnsi="宋体"/>
          <w:sz w:val="24"/>
        </w:rPr>
      </w:pPr>
      <w:r>
        <w:rPr>
          <w:rFonts w:ascii="宋体" w:hAnsi="宋体"/>
          <w:sz w:val="24"/>
        </w:rPr>
      </w:r>
      <w:r/>
    </w:p>
    <w:p>
      <w:pPr>
        <w:pStyle w:val="1065"/>
        <w:jc w:val="left"/>
        <w:tabs>
          <w:tab w:val="left" w:pos="1800" w:leader="none"/>
          <w:tab w:val="left" w:pos="5580" w:leader="none"/>
        </w:tabs>
        <w:rPr>
          <w:rFonts w:ascii="宋体" w:hAnsi="宋体"/>
          <w:sz w:val="24"/>
        </w:rPr>
      </w:pPr>
      <w:r>
        <w:rPr>
          <w:rFonts w:ascii="宋体" w:hAnsi="宋体"/>
          <w:sz w:val="24"/>
        </w:rPr>
      </w:r>
      <w:r/>
    </w:p>
    <w:p>
      <w:pPr>
        <w:pStyle w:val="1065"/>
        <w:rPr>
          <w:rFonts w:ascii="宋体" w:hAnsi="宋体"/>
          <w:sz w:val="24"/>
          <w:szCs w:val="20"/>
        </w:rPr>
      </w:pPr>
      <w:r>
        <w:rPr>
          <w:rFonts w:ascii="宋体" w:hAnsi="宋体"/>
          <w:sz w:val="24"/>
          <w:szCs w:val="20"/>
        </w:rPr>
      </w:r>
      <w:r/>
    </w:p>
    <w:p>
      <w:pPr>
        <w:pStyle w:val="1065"/>
        <w:spacing w:before="25" w:after="25" w:line="360" w:lineRule="auto"/>
        <w:rPr>
          <w:rFonts w:ascii="宋体" w:hAnsi="宋体"/>
          <w:sz w:val="24"/>
          <w:lang w:val="zh-CN"/>
        </w:rPr>
      </w:pPr>
      <w:r>
        <w:rPr>
          <w:rFonts w:ascii="宋体" w:hAnsi="宋体"/>
          <w:sz w:val="24"/>
          <w:lang w:val="zh-CN"/>
        </w:rPr>
        <w:t xml:space="preserve">                  </w:t>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color w:val="000000"/>
          <w:sz w:val="24"/>
          <w:szCs w:val="20"/>
        </w:rPr>
        <w:outlineLvl w:val="2"/>
      </w:pPr>
      <w:r>
        <w:rPr>
          <w:rFonts w:hint="eastAsia" w:ascii="宋体" w:hAnsi="宋体"/>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p>
    <w:p>
      <w:pPr>
        <w:pStyle w:val="1065"/>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65"/>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6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65"/>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65"/>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6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w:instrText>
      </w:r>
      <w:r>
        <w:rPr>
          <w:rFonts w:ascii="宋体" w:hAnsi="宋体"/>
          <w:sz w:val="24"/>
        </w:rPr>
        <w:instrText xml:space="preserve">Scale.html" </w:instrText>
      </w:r>
      <w:r>
        <w:rPr>
          <w:rFonts w:ascii="宋体" w:hAnsi="宋体"/>
          <w:sz w:val="24"/>
        </w:rPr>
        <w:fldChar w:fldCharType="separate"/>
      </w:r>
      <w:r>
        <w:rPr>
          <w:rStyle w:val="1141"/>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65"/>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65"/>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65"/>
        <w:jc w:val="left"/>
        <w:widowControl/>
        <w:rPr>
          <w:rFonts w:ascii="宋体" w:hAnsi="宋体"/>
          <w:b/>
          <w:bCs/>
          <w:color w:val="000000"/>
          <w:sz w:val="36"/>
          <w:szCs w:val="36"/>
        </w:rPr>
      </w:pPr>
      <w:r>
        <w:rPr>
          <w:rFonts w:ascii="宋体" w:hAnsi="宋体"/>
          <w:b/>
          <w:bCs/>
          <w:color w:val="000000"/>
          <w:sz w:val="24"/>
        </w:rPr>
        <w:br w:type="page" w:clear="all"/>
      </w:r>
      <w:r>
        <w:rPr>
          <w:rFonts w:ascii="宋体" w:hAnsi="宋体"/>
          <w:b/>
          <w:bCs/>
          <w:color w:val="000000"/>
          <w:sz w:val="36"/>
          <w:szCs w:val="36"/>
        </w:rPr>
      </w:r>
      <w:r/>
    </w:p>
    <w:p>
      <w:pPr>
        <w:pStyle w:val="1065"/>
        <w:jc w:val="center"/>
        <w:spacing w:before="240" w:after="240" w:line="360" w:lineRule="auto"/>
        <w:rPr>
          <w:rFonts w:ascii="宋体" w:hAnsi="宋体"/>
          <w:b/>
          <w:bCs/>
          <w:color w:val="000000"/>
          <w:sz w:val="36"/>
          <w:szCs w:val="36"/>
        </w:rPr>
      </w:pPr>
      <w:r>
        <w:rPr>
          <w:rFonts w:ascii="宋体" w:hAnsi="宋体"/>
          <w:b/>
          <w:bCs/>
          <w:color w:val="000000"/>
          <w:sz w:val="36"/>
          <w:szCs w:val="36"/>
        </w:rPr>
        <w:t xml:space="preserve">中</w:t>
      </w:r>
      <w:r>
        <w:rPr>
          <w:rFonts w:ascii="宋体" w:hAnsi="宋体"/>
          <w:b/>
          <w:bCs/>
          <w:color w:val="000000"/>
          <w:sz w:val="36"/>
          <w:szCs w:val="36"/>
        </w:rPr>
        <w:t xml:space="preserve">小企业声明函（工程</w:t>
      </w:r>
      <w:r>
        <w:rPr>
          <w:rFonts w:ascii="宋体" w:hAnsi="宋体"/>
          <w:b/>
          <w:bCs/>
          <w:color w:val="000000"/>
          <w:sz w:val="36"/>
          <w:szCs w:val="36"/>
        </w:rPr>
        <w:t xml:space="preserve">）格式</w:t>
      </w:r>
      <w:r/>
    </w:p>
    <w:p>
      <w:pPr>
        <w:pStyle w:val="1065"/>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sz w:val="24"/>
          <w:u w:val="single"/>
        </w:rPr>
        <w:tab/>
      </w:r>
      <w:r>
        <w:rPr>
          <w:rFonts w:ascii="宋体" w:hAnsi="宋体"/>
          <w:i/>
          <w:sz w:val="24"/>
          <w:u w:val="single"/>
        </w:rPr>
        <w:t xml:space="preserve">（单位名称）</w:t>
      </w:r>
      <w:r>
        <w:rPr>
          <w:rFonts w:ascii="宋体" w:hAnsi="宋体"/>
          <w:sz w:val="24"/>
        </w:rPr>
        <w:t xml:space="preserve">的</w:t>
      </w:r>
      <w:r>
        <w:rPr>
          <w:rFonts w:ascii="宋体" w:hAnsi="宋体"/>
          <w:sz w:val="24"/>
          <w:u w:val="single"/>
        </w:rPr>
        <w:tab/>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65"/>
        <w:numPr>
          <w:ilvl w:val="0"/>
          <w:numId w:val="16"/>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sz w:val="24"/>
          <w:u w:val="single"/>
        </w:rPr>
        <w:tab/>
      </w: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建筑业</w:t>
      </w:r>
      <w:r>
        <w:rPr>
          <w:rFonts w:ascii="宋体" w:hAnsi="宋体"/>
          <w:sz w:val="24"/>
        </w:rPr>
        <w:t xml:space="preserve">；承建（承接）企业为</w:t>
      </w:r>
      <w:r>
        <w:rPr>
          <w:rFonts w:ascii="宋体" w:hAnsi="宋体"/>
          <w:sz w:val="24"/>
          <w:u w:val="single"/>
        </w:rPr>
        <w:tab/>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sz w:val="24"/>
          <w:u w:val="single"/>
        </w:rPr>
        <w:tab/>
      </w:r>
      <w:r>
        <w:rPr>
          <w:rFonts w:ascii="宋体" w:hAnsi="宋体"/>
          <w:i/>
          <w:sz w:val="24"/>
          <w:u w:val="single"/>
        </w:rPr>
        <w:t xml:space="preserve">（中型企业、小型企业、微型企业）</w:t>
      </w:r>
      <w:r>
        <w:rPr>
          <w:rFonts w:ascii="宋体" w:hAnsi="宋体"/>
          <w:sz w:val="24"/>
        </w:rPr>
        <w:t xml:space="preserve">；</w:t>
      </w:r>
      <w:r/>
    </w:p>
    <w:p>
      <w:pPr>
        <w:pStyle w:val="1065"/>
        <w:numPr>
          <w:ilvl w:val="0"/>
          <w:numId w:val="16"/>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建筑业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65"/>
        <w:ind w:left="860"/>
        <w:jc w:val="left"/>
        <w:spacing w:line="360" w:lineRule="auto"/>
        <w:rPr>
          <w:rFonts w:ascii="宋体" w:hAnsi="宋体"/>
          <w:sz w:val="24"/>
        </w:rPr>
      </w:pPr>
      <w:r>
        <w:rPr>
          <w:rFonts w:ascii="宋体" w:hAnsi="宋体"/>
          <w:sz w:val="24"/>
        </w:rPr>
        <w:t xml:space="preserve">……</w:t>
      </w:r>
      <w:r/>
    </w:p>
    <w:p>
      <w:pPr>
        <w:pStyle w:val="1065"/>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65"/>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65"/>
        <w:ind w:firstLine="504"/>
        <w:spacing w:line="360" w:lineRule="auto"/>
        <w:rPr>
          <w:rFonts w:ascii="宋体" w:hAnsi="宋体"/>
          <w:spacing w:val="6"/>
          <w:sz w:val="24"/>
        </w:rPr>
      </w:pPr>
      <w:r>
        <w:rPr>
          <w:rFonts w:ascii="宋体" w:hAnsi="宋体"/>
          <w:spacing w:val="6"/>
          <w:sz w:val="24"/>
        </w:rPr>
      </w:r>
      <w:r/>
    </w:p>
    <w:p>
      <w:pPr>
        <w:pStyle w:val="1065"/>
        <w:ind w:right="360" w:firstLine="480"/>
        <w:jc w:val="right"/>
        <w:spacing w:line="360" w:lineRule="auto"/>
        <w:rPr>
          <w:rFonts w:ascii="宋体" w:hAnsi="宋体"/>
          <w:color w:val="000000"/>
          <w:sz w:val="24"/>
        </w:rPr>
      </w:pPr>
      <w:r>
        <w:rPr>
          <w:rFonts w:ascii="宋体" w:hAnsi="宋体"/>
          <w:color w:val="000000"/>
          <w:sz w:val="24"/>
        </w:rPr>
      </w:r>
      <w:r/>
    </w:p>
    <w:p>
      <w:pPr>
        <w:pStyle w:val="1065"/>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p>
    <w:p>
      <w:pPr>
        <w:pStyle w:val="1065"/>
        <w:ind w:right="360" w:firstLine="480"/>
        <w:jc w:val="right"/>
        <w:spacing w:line="360" w:lineRule="auto"/>
        <w:rPr>
          <w:rFonts w:ascii="宋体" w:hAnsi="宋体"/>
          <w:color w:val="000000"/>
          <w:sz w:val="24"/>
        </w:rPr>
      </w:pPr>
      <w:r>
        <w:rPr>
          <w:rFonts w:ascii="宋体" w:hAnsi="宋体"/>
          <w:color w:val="000000"/>
          <w:sz w:val="24"/>
        </w:rPr>
        <w:t xml:space="preserve">日 期：________</w:t>
      </w:r>
      <w:r/>
    </w:p>
    <w:p>
      <w:pPr>
        <w:pStyle w:val="1065"/>
        <w:ind w:right="360" w:firstLine="480"/>
        <w:jc w:val="right"/>
        <w:spacing w:line="360" w:lineRule="auto"/>
        <w:rPr>
          <w:rFonts w:ascii="宋体" w:hAnsi="宋体"/>
          <w:color w:val="000000"/>
          <w:sz w:val="24"/>
        </w:rPr>
      </w:pPr>
      <w:r>
        <w:rPr>
          <w:rFonts w:ascii="宋体" w:hAnsi="宋体"/>
          <w:color w:val="000000"/>
          <w:sz w:val="24"/>
        </w:rPr>
      </w:r>
      <w:r/>
    </w:p>
    <w:p>
      <w:pPr>
        <w:pStyle w:val="1065"/>
        <w:jc w:val="left"/>
        <w:rPr>
          <w:rFonts w:ascii="宋体" w:hAnsi="宋体"/>
          <w:color w:val="000000"/>
          <w:sz w:val="24"/>
          <w:szCs w:val="21"/>
        </w:rPr>
      </w:pPr>
      <w:r>
        <w:rPr>
          <w:rFonts w:ascii="宋体" w:hAnsi="宋体"/>
          <w:color w:val="000000"/>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5"/>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pStyle w:val="1065"/>
        <w:jc w:val="left"/>
        <w:rPr>
          <w:rFonts w:ascii="宋体" w:hAnsi="宋体"/>
          <w:color w:val="000000"/>
          <w:szCs w:val="21"/>
          <w:vertAlign w:val="superscript"/>
        </w:rPr>
      </w:pPr>
      <w:r>
        <w:rPr>
          <w:rFonts w:ascii="宋体" w:hAnsi="宋体"/>
          <w:color w:val="000000"/>
          <w:szCs w:val="21"/>
          <w:vertAlign w:val="superscript"/>
        </w:rPr>
      </w:r>
      <w:r/>
    </w:p>
    <w:p>
      <w:pPr>
        <w:pStyle w:val="1065"/>
        <w:ind w:right="360" w:firstLine="480"/>
        <w:jc w:val="right"/>
        <w:spacing w:line="360" w:lineRule="auto"/>
        <w:rPr>
          <w:rFonts w:ascii="宋体" w:hAnsi="宋体"/>
          <w:color w:val="000000"/>
          <w:sz w:val="24"/>
        </w:rPr>
      </w:pPr>
      <w:r>
        <w:rPr>
          <w:rFonts w:ascii="宋体" w:hAnsi="宋体"/>
          <w:color w:val="000000"/>
          <w:sz w:val="24"/>
        </w:rPr>
      </w:r>
      <w:r/>
    </w:p>
    <w:p>
      <w:pPr>
        <w:pStyle w:val="1065"/>
        <w:ind w:right="360" w:firstLine="480"/>
        <w:jc w:val="right"/>
        <w:spacing w:line="360" w:lineRule="auto"/>
        <w:rPr>
          <w:rFonts w:ascii="宋体" w:hAnsi="宋体"/>
          <w:color w:val="000000"/>
          <w:sz w:val="24"/>
        </w:rPr>
      </w:pPr>
      <w:r>
        <w:rPr>
          <w:rFonts w:ascii="宋体" w:hAnsi="宋体"/>
          <w:color w:val="000000"/>
          <w:sz w:val="24"/>
        </w:rPr>
      </w:r>
      <w:r/>
    </w:p>
    <w:p>
      <w:pPr>
        <w:pStyle w:val="1065"/>
        <w:jc w:val="center"/>
        <w:spacing w:before="240" w:after="240" w:line="360" w:lineRule="auto"/>
        <w:rPr>
          <w:rFonts w:ascii="宋体" w:hAnsi="宋体"/>
          <w:color w:val="000000"/>
          <w:sz w:val="36"/>
          <w:szCs w:val="36"/>
        </w:rPr>
      </w:pPr>
      <w:r>
        <w:rPr>
          <w:rFonts w:ascii="宋体" w:hAnsi="宋体"/>
          <w:b/>
          <w:bCs/>
          <w:color w:val="000000"/>
          <w:sz w:val="36"/>
          <w:szCs w:val="36"/>
        </w:rPr>
        <w:br w:type="page" w:clear="all"/>
        <w:t xml:space="preserve">残疾人福利性单位声明函格式</w:t>
      </w:r>
      <w:r>
        <w:rPr>
          <w:rFonts w:ascii="宋体" w:hAnsi="宋体"/>
          <w:color w:val="000000"/>
          <w:sz w:val="36"/>
          <w:szCs w:val="36"/>
        </w:rPr>
        <w:t xml:space="preserve"> </w:t>
      </w:r>
      <w:r/>
    </w:p>
    <w:p>
      <w:pPr>
        <w:pStyle w:val="106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6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6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6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65"/>
        <w:ind w:firstLine="504"/>
        <w:spacing w:line="588" w:lineRule="exact"/>
        <w:rPr>
          <w:rFonts w:ascii="宋体" w:hAnsi="宋体"/>
          <w:spacing w:val="6"/>
          <w:sz w:val="24"/>
        </w:rPr>
      </w:pPr>
      <w:r>
        <w:rPr>
          <w:rFonts w:ascii="宋体" w:hAnsi="宋体"/>
          <w:spacing w:val="6"/>
          <w:sz w:val="24"/>
        </w:rPr>
      </w:r>
      <w:r/>
    </w:p>
    <w:p>
      <w:pPr>
        <w:pStyle w:val="1065"/>
        <w:ind w:firstLine="504"/>
        <w:spacing w:line="588" w:lineRule="exact"/>
        <w:rPr>
          <w:rFonts w:ascii="宋体" w:hAnsi="宋体"/>
          <w:spacing w:val="6"/>
          <w:sz w:val="24"/>
        </w:rPr>
      </w:pPr>
      <w:r>
        <w:rPr>
          <w:rFonts w:ascii="宋体" w:hAnsi="宋体"/>
          <w:spacing w:val="6"/>
          <w:sz w:val="24"/>
        </w:rPr>
      </w:r>
      <w:r/>
    </w:p>
    <w:p>
      <w:pPr>
        <w:pStyle w:val="106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65"/>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10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10</w:t>
      </w:r>
      <w:r>
        <w:rPr>
          <w:rFonts w:hint="eastAsia" w:ascii="宋体" w:hAnsi="宋体"/>
          <w:b/>
          <w:sz w:val="24"/>
          <w:szCs w:val="20"/>
        </w:rPr>
        <w:t xml:space="preserve">  关于符合本国产品标准的声明函（采购包号：**）</w:t>
      </w:r>
      <w:r>
        <w:rPr>
          <w:rFonts w:ascii="宋体" w:hAnsi="宋体"/>
          <w:b/>
          <w:sz w:val="24"/>
          <w:szCs w:val="20"/>
        </w:rPr>
      </w:r>
      <w:r/>
    </w:p>
    <w:p>
      <w:pPr>
        <w:pStyle w:val="112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2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0"/>
          <w:rFonts w:hint="eastAsia" w:ascii="方正魏碑_GBK" w:hAnsi="方正魏碑_GBK" w:eastAsia="方正魏碑_GBK" w:cs="方正魏碑_GBK"/>
          <w:color w:val="000000"/>
          <w:u w:val="single"/>
          <w:shd w:val="clear" w:color="auto" w:fill="ffffff"/>
        </w:rPr>
        <w:t xml:space="preserve">（产品名称1）</w:t>
      </w:r>
      <w:r>
        <w:rPr>
          <w:rStyle w:val="1140"/>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0"/>
          <w:rFonts w:hint="eastAsia" w:ascii="方正魏碑_GBK" w:hAnsi="方正魏碑_GBK" w:eastAsia="方正魏碑_GBK" w:cs="方正魏碑_GBK"/>
          <w:color w:val="000000"/>
          <w:u w:val="single"/>
          <w:shd w:val="clear" w:color="auto" w:fill="ffffff"/>
        </w:rPr>
        <w:t xml:space="preserve">（厂名）</w:t>
      </w:r>
      <w:r>
        <w:rPr>
          <w:rStyle w:val="1140"/>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0"/>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0"/>
          <w:rFonts w:hint="eastAsia" w:ascii="方正魏碑_GBK" w:hAnsi="方正魏碑_GBK" w:eastAsia="方正魏碑_GBK" w:cs="方正魏碑_GBK"/>
          <w:color w:val="000000"/>
          <w:u w:val="single"/>
          <w:shd w:val="clear" w:color="auto" w:fill="ffffff"/>
        </w:rPr>
        <w:t xml:space="preserve">（规定</w:t>
      </w:r>
      <w:r>
        <w:rPr>
          <w:rStyle w:val="1140"/>
          <w:rFonts w:ascii="方正魏碑_GBK" w:hAnsi="方正魏碑_GBK" w:eastAsia="方正魏碑_GBK" w:cs="方正魏碑_GBK"/>
          <w:color w:val="000000"/>
          <w:u w:val="single"/>
          <w:shd w:val="clear" w:color="auto" w:fill="ffffff"/>
        </w:rPr>
        <w:t xml:space="preserve">比例</w:t>
      </w:r>
      <w:r>
        <w:rPr>
          <w:rStyle w:val="1140"/>
          <w:rFonts w:hint="eastAsia" w:ascii="方正魏碑_GBK" w:hAnsi="方正魏碑_GBK" w:eastAsia="方正魏碑_GBK" w:cs="方正魏碑_GBK"/>
          <w:color w:val="000000"/>
          <w:u w:val="single"/>
          <w:shd w:val="clear" w:color="auto" w:fill="ffffff"/>
        </w:rPr>
        <w:t xml:space="preserve">）</w:t>
      </w:r>
      <w:r>
        <w:rPr>
          <w:rStyle w:val="1140"/>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0"/>
          <w:rFonts w:hint="eastAsia" w:ascii="方正魏碑_GBK" w:hAnsi="方正魏碑_GBK" w:eastAsia="方正魏碑_GBK" w:cs="方正魏碑_GBK"/>
          <w:color w:val="000000"/>
          <w:u w:val="single"/>
          <w:shd w:val="clear" w:color="auto" w:fill="ffffff"/>
        </w:rPr>
        <w:t xml:space="preserve">（关键</w:t>
      </w:r>
      <w:r>
        <w:rPr>
          <w:rStyle w:val="1140"/>
          <w:rFonts w:ascii="方正魏碑_GBK" w:hAnsi="方正魏碑_GBK" w:eastAsia="方正魏碑_GBK" w:cs="方正魏碑_GBK"/>
          <w:color w:val="000000"/>
          <w:u w:val="single"/>
          <w:shd w:val="clear" w:color="auto" w:fill="ffffff"/>
        </w:rPr>
        <w:t xml:space="preserve">组件</w:t>
      </w:r>
      <w:r>
        <w:rPr>
          <w:rStyle w:val="1140"/>
          <w:rFonts w:hint="eastAsia" w:ascii="方正魏碑_GBK" w:hAnsi="方正魏碑_GBK" w:eastAsia="方正魏碑_GBK" w:cs="方正魏碑_GBK"/>
          <w:color w:val="000000"/>
          <w:u w:val="single"/>
          <w:shd w:val="clear" w:color="auto" w:fill="ffffff"/>
        </w:rPr>
        <w:t xml:space="preserve">）</w:t>
      </w:r>
      <w:r>
        <w:rPr>
          <w:rStyle w:val="1140"/>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0"/>
          <w:rFonts w:hint="eastAsia" w:ascii="方正魏碑_GBK" w:hAnsi="方正魏碑_GBK" w:eastAsia="方正魏碑_GBK" w:cs="方正魏碑_GBK"/>
          <w:color w:val="000000"/>
          <w:u w:val="single"/>
          <w:shd w:val="clear" w:color="auto" w:fill="ffffff"/>
        </w:rPr>
        <w:t xml:space="preserve">（关键工序）</w:t>
      </w:r>
      <w:r>
        <w:rPr>
          <w:rStyle w:val="1140"/>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0"/>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0"/>
          <w:rFonts w:hint="eastAsia" w:ascii="方正魏碑_GBK" w:hAnsi="方正魏碑_GBK" w:eastAsia="方正魏碑_GBK" w:cs="方正魏碑_GBK"/>
          <w:color w:val="000000"/>
          <w:u w:val="single"/>
          <w:shd w:val="clear" w:color="auto" w:fill="ffffff"/>
        </w:rPr>
        <w:t xml:space="preserve">（规定</w:t>
      </w:r>
      <w:r>
        <w:rPr>
          <w:rStyle w:val="1140"/>
          <w:rFonts w:ascii="方正魏碑_GBK" w:hAnsi="方正魏碑_GBK" w:eastAsia="方正魏碑_GBK" w:cs="方正魏碑_GBK"/>
          <w:color w:val="000000"/>
          <w:u w:val="single"/>
          <w:shd w:val="clear" w:color="auto" w:fill="ffffff"/>
        </w:rPr>
        <w:t xml:space="preserve">比例</w:t>
      </w:r>
      <w:r>
        <w:rPr>
          <w:rStyle w:val="114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0"/>
          <w:rFonts w:hint="eastAsia" w:ascii="方正魏碑_GBK" w:hAnsi="方正魏碑_GBK" w:eastAsia="方正魏碑_GBK" w:cs="方正魏碑_GBK"/>
          <w:color w:val="000000"/>
          <w:u w:val="single"/>
          <w:shd w:val="clear" w:color="auto" w:fill="ffffff"/>
        </w:rPr>
        <w:t xml:space="preserve">（关键</w:t>
      </w:r>
      <w:r>
        <w:rPr>
          <w:rStyle w:val="1140"/>
          <w:rFonts w:ascii="方正魏碑_GBK" w:hAnsi="方正魏碑_GBK" w:eastAsia="方正魏碑_GBK" w:cs="方正魏碑_GBK"/>
          <w:color w:val="000000"/>
          <w:u w:val="single"/>
          <w:shd w:val="clear" w:color="auto" w:fill="ffffff"/>
        </w:rPr>
        <w:t xml:space="preserve">组件</w:t>
      </w:r>
      <w:r>
        <w:rPr>
          <w:rStyle w:val="114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0"/>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2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27"/>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27"/>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2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w:t>
      </w:r>
      <w:r>
        <w:rPr>
          <w:rFonts w:hint="eastAsia" w:ascii="方正魏碑_GBK" w:hAnsi="方正魏碑_GBK" w:eastAsia="方正魏碑_GBK" w:cs="方正魏碑_GBK"/>
          <w:sz w:val="22"/>
          <w:shd w:val="clear" w:color="auto" w:fill="ffffff"/>
        </w:rPr>
        <w:t xml:space="preserve">生产厂名与厂址应与生产厂营业执照载明的相关信息保持一致。</w:t>
      </w:r>
      <w:r>
        <w:rPr>
          <w:rFonts w:hint="eastAsia" w:ascii="方正魏碑_GBK" w:hAnsi="方正魏碑_GBK" w:eastAsia="方正魏碑_GBK" w:cs="方正魏碑_GBK"/>
          <w:sz w:val="22"/>
        </w:rPr>
      </w:r>
      <w:r/>
    </w:p>
    <w:p>
      <w:pPr>
        <w:pStyle w:val="11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65"/>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065"/>
        <w:spacing w:line="360" w:lineRule="auto"/>
        <w:rPr>
          <w:rFonts w:ascii="宋体" w:hAnsi="宋体"/>
          <w:b/>
          <w:sz w:val="24"/>
          <w:szCs w:val="20"/>
        </w:rPr>
        <w:outlineLvl w:val="2"/>
      </w:pPr>
      <w:r>
        <w:rPr>
          <w:rFonts w:hint="eastAsia" w:ascii="宋体" w:hAnsi="宋体"/>
          <w:b/>
          <w:sz w:val="24"/>
        </w:rPr>
        <w:t xml:space="preserve">1</w:t>
      </w:r>
      <w:r>
        <w:rPr>
          <w:rFonts w:hint="eastAsia" w:ascii="宋体" w:hAnsi="宋体"/>
          <w:b/>
          <w:sz w:val="24"/>
        </w:rPr>
        <w:t xml:space="preserve">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65"/>
        <w:rPr>
          <w:sz w:val="24"/>
        </w:rPr>
      </w:pPr>
      <w:r>
        <w:rPr>
          <w:rFonts w:hint="eastAsia"/>
          <w:sz w:val="24"/>
        </w:rPr>
        <w:t xml:space="preserve">详见评标标准</w:t>
      </w:r>
      <w:r>
        <w:rPr>
          <w:sz w:val="24"/>
        </w:rPr>
      </w:r>
      <w:r/>
    </w:p>
    <w:p>
      <w:pPr>
        <w:pStyle w:val="1065"/>
        <w:spacing w:line="360" w:lineRule="auto"/>
        <w:rPr>
          <w:rFonts w:ascii="宋体" w:hAnsi="宋体"/>
          <w:sz w:val="24"/>
          <w:szCs w:val="20"/>
        </w:rPr>
        <w:outlineLvl w:val="2"/>
      </w:pPr>
      <w:r>
        <w:rPr>
          <w:rFonts w:ascii="宋体" w:hAnsi="宋体"/>
          <w:sz w:val="24"/>
          <w:szCs w:val="20"/>
        </w:rPr>
      </w:r>
      <w:r/>
    </w:p>
    <w:p>
      <w:pPr>
        <w:pStyle w:val="1065"/>
        <w:spacing w:line="360" w:lineRule="auto"/>
        <w:rPr>
          <w:rFonts w:ascii="宋体" w:hAnsi="宋体"/>
          <w:b/>
          <w:sz w:val="24"/>
        </w:rPr>
        <w:outlineLvl w:val="2"/>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  参加本项目人员一览表</w:t>
      </w:r>
      <w:r>
        <w:rPr>
          <w:rFonts w:ascii="宋体" w:hAnsi="宋体"/>
          <w:b/>
          <w:sz w:val="24"/>
        </w:rPr>
      </w:r>
      <w:r/>
    </w:p>
    <w:p>
      <w:pPr>
        <w:pStyle w:val="1065"/>
        <w:jc w:val="center"/>
        <w:spacing w:line="360" w:lineRule="auto"/>
        <w:rPr>
          <w:rFonts w:hint="eastAsia" w:ascii="宋体" w:hAnsi="宋体"/>
          <w:b/>
          <w:sz w:val="32"/>
          <w:szCs w:val="32"/>
        </w:rPr>
      </w:pPr>
      <w:r>
        <w:rPr>
          <w:rFonts w:hint="eastAsia" w:ascii="宋体" w:hAnsi="宋体"/>
          <w:b/>
          <w:sz w:val="32"/>
          <w:szCs w:val="32"/>
        </w:rPr>
      </w:r>
      <w:r/>
    </w:p>
    <w:p>
      <w:pPr>
        <w:pStyle w:val="106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65"/>
        <w:spacing w:line="360" w:lineRule="auto"/>
        <w:rPr>
          <w:rFonts w:ascii="宋体" w:hAnsi="宋体"/>
          <w:sz w:val="22"/>
        </w:rPr>
      </w:pPr>
      <w:r>
        <w:rPr>
          <w:rFonts w:ascii="宋体" w:hAnsi="宋体"/>
          <w:sz w:val="22"/>
        </w:rPr>
      </w:r>
      <w:r/>
    </w:p>
    <w:p>
      <w:pPr>
        <w:pStyle w:val="106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65"/>
        <w:tabs>
          <w:tab w:val="left" w:pos="9765" w:leader="none"/>
        </w:tabs>
        <w:rPr>
          <w:rFonts w:ascii="宋体" w:hAnsi="宋体" w:cs="宋体"/>
          <w:b/>
          <w:sz w:val="24"/>
          <w:lang w:val="zh-CN"/>
        </w:rPr>
      </w:pPr>
      <w:r>
        <w:rPr>
          <w:rFonts w:ascii="宋体" w:hAnsi="宋体" w:cs="宋体"/>
          <w:b/>
          <w:sz w:val="24"/>
          <w:lang w:val="zh-CN"/>
        </w:rPr>
      </w:r>
      <w:r/>
    </w:p>
    <w:p>
      <w:pPr>
        <w:pStyle w:val="106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65"/>
        <w:spacing w:line="360" w:lineRule="auto"/>
        <w:rPr>
          <w:rFonts w:ascii="宋体" w:hAnsi="宋体"/>
          <w:sz w:val="24"/>
        </w:rPr>
      </w:pPr>
      <w:r>
        <w:rPr>
          <w:rFonts w:ascii="宋体" w:hAnsi="宋体"/>
          <w:sz w:val="24"/>
        </w:rPr>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sz w:val="24"/>
          <w:szCs w:val="20"/>
        </w:rPr>
        <w:outlineLvl w:val="2"/>
      </w:pPr>
      <w:r>
        <w:rPr>
          <w:rFonts w:ascii="宋体" w:hAnsi="宋体"/>
          <w:sz w:val="22"/>
        </w:rPr>
        <w:br w:type="page" w:clear="all"/>
      </w:r>
      <w:bookmarkStart w:id="918" w:name="_Toc288738397"/>
      <w:r/>
      <w:bookmarkStart w:id="919" w:name="_Toc288738839"/>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  相关业绩案例一览表</w:t>
      </w:r>
      <w:r>
        <w:rPr>
          <w:rFonts w:ascii="宋体" w:hAnsi="宋体"/>
          <w:b/>
          <w:sz w:val="24"/>
          <w:szCs w:val="20"/>
        </w:rPr>
      </w:r>
      <w:r/>
    </w:p>
    <w:p>
      <w:pPr>
        <w:pStyle w:val="1065"/>
        <w:rPr>
          <w:rFonts w:ascii="宋体" w:hAnsi="宋体"/>
          <w:sz w:val="24"/>
          <w:szCs w:val="20"/>
        </w:rPr>
      </w:pPr>
      <w:r>
        <w:rPr>
          <w:rFonts w:ascii="宋体" w:hAnsi="宋体"/>
          <w:sz w:val="24"/>
          <w:szCs w:val="20"/>
        </w:rPr>
      </w:r>
      <w:r/>
    </w:p>
    <w:p>
      <w:pPr>
        <w:pStyle w:val="1065"/>
        <w:jc w:val="center"/>
        <w:rPr>
          <w:rFonts w:ascii="宋体" w:hAnsi="宋体"/>
          <w:b/>
          <w:sz w:val="32"/>
          <w:szCs w:val="32"/>
        </w:rPr>
      </w:pPr>
      <w:r>
        <w:rPr>
          <w:rFonts w:hint="eastAsia" w:ascii="宋体" w:hAnsi="宋体"/>
          <w:b/>
          <w:sz w:val="32"/>
          <w:szCs w:val="32"/>
        </w:rPr>
        <w:t xml:space="preserve">相关业绩案例一览表</w:t>
      </w:r>
      <w:bookmarkEnd w:id="918"/>
      <w:r/>
      <w:bookmarkEnd w:id="919"/>
      <w:r>
        <w:rPr>
          <w:rFonts w:ascii="宋体" w:hAnsi="宋体"/>
          <w:b/>
          <w:sz w:val="32"/>
          <w:szCs w:val="32"/>
        </w:rPr>
      </w:r>
      <w:r/>
    </w:p>
    <w:p>
      <w:pPr>
        <w:pStyle w:val="1065"/>
        <w:jc w:val="center"/>
        <w:spacing w:line="360" w:lineRule="auto"/>
        <w:rPr>
          <w:rFonts w:ascii="宋体" w:hAnsi="宋体"/>
          <w:b/>
          <w:sz w:val="28"/>
          <w:szCs w:val="30"/>
        </w:rPr>
      </w:pPr>
      <w:r>
        <w:rPr>
          <w:rFonts w:ascii="宋体" w:hAnsi="宋体"/>
          <w:b/>
          <w:sz w:val="28"/>
          <w:szCs w:val="30"/>
        </w:rPr>
      </w:r>
      <w:r/>
    </w:p>
    <w:p>
      <w:pPr>
        <w:pStyle w:val="106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bl>
    <w:p>
      <w:pPr>
        <w:pStyle w:val="1065"/>
        <w:tabs>
          <w:tab w:val="left" w:pos="9765" w:leader="none"/>
        </w:tabs>
        <w:rPr>
          <w:rFonts w:ascii="宋体" w:hAnsi="宋体" w:cs="宋体"/>
          <w:sz w:val="24"/>
          <w:lang w:val="zh-CN"/>
        </w:rPr>
      </w:pPr>
      <w:r>
        <w:rPr>
          <w:rFonts w:ascii="宋体" w:hAnsi="宋体" w:cs="宋体"/>
          <w:sz w:val="24"/>
          <w:lang w:val="zh-CN"/>
        </w:rPr>
      </w:r>
      <w:r/>
    </w:p>
    <w:p>
      <w:pPr>
        <w:pStyle w:val="1065"/>
        <w:spacing w:line="360" w:lineRule="auto"/>
        <w:rPr>
          <w:rFonts w:ascii="宋体" w:hAnsi="宋体" w:cs="宋体"/>
          <w:sz w:val="24"/>
        </w:rPr>
      </w:pPr>
      <w:r>
        <w:rPr>
          <w:rFonts w:ascii="宋体" w:hAnsi="宋体" w:cs="宋体"/>
          <w:sz w:val="24"/>
        </w:rPr>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rPr>
          <w:rFonts w:ascii="宋体" w:hAnsi="宋体"/>
          <w:b/>
          <w:sz w:val="24"/>
        </w:rPr>
      </w:pPr>
      <w:r>
        <w:rPr>
          <w:rFonts w:ascii="宋体" w:hAnsi="宋体"/>
          <w:b/>
          <w:sz w:val="24"/>
        </w:rPr>
      </w:r>
      <w:r/>
    </w:p>
    <w:p>
      <w:pPr>
        <w:pStyle w:val="1065"/>
        <w:spacing w:line="360" w:lineRule="auto"/>
        <w:rPr>
          <w:rFonts w:ascii="宋体" w:hAnsi="宋体"/>
          <w:b/>
          <w:sz w:val="24"/>
          <w:szCs w:val="20"/>
        </w:rPr>
        <w:outlineLvl w:val="2"/>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  </w:t>
      </w:r>
      <w:r>
        <w:rPr>
          <w:rFonts w:ascii="宋体" w:hAnsi="宋体"/>
          <w:b/>
          <w:sz w:val="24"/>
        </w:rPr>
        <w:t xml:space="preserve">招标文件要求提供或投标人认为应附的其他材料</w:t>
      </w:r>
      <w:r>
        <w:rPr>
          <w:rFonts w:ascii="宋体" w:hAnsi="宋体"/>
          <w:b/>
          <w:sz w:val="24"/>
          <w:szCs w:val="20"/>
        </w:rPr>
      </w:r>
      <w:r/>
    </w:p>
    <w:p>
      <w:pPr>
        <w:pStyle w:val="1065"/>
        <w:rPr>
          <w:rFonts w:ascii="宋体" w:hAnsi="宋体"/>
          <w:sz w:val="36"/>
          <w:szCs w:val="36"/>
        </w:rPr>
      </w:pPr>
      <w:r>
        <w:rPr>
          <w:rFonts w:ascii="宋体" w:hAnsi="宋体"/>
          <w:sz w:val="36"/>
          <w:szCs w:val="36"/>
        </w:rPr>
      </w:r>
      <w:r/>
    </w:p>
    <w:p>
      <w:pPr>
        <w:pStyle w:val="1065"/>
        <w:rPr>
          <w:rFonts w:ascii="宋体" w:hAnsi="宋体"/>
          <w:sz w:val="36"/>
          <w:szCs w:val="36"/>
        </w:rPr>
      </w:pPr>
      <w:r>
        <w:rPr>
          <w:rFonts w:ascii="宋体" w:hAnsi="宋体"/>
          <w:sz w:val="36"/>
          <w:szCs w:val="36"/>
        </w:rPr>
      </w:r>
      <w:r/>
    </w:p>
    <w:p>
      <w:pPr>
        <w:pStyle w:val="1065"/>
        <w:rPr>
          <w:rFonts w:ascii="宋体" w:hAnsi="宋体"/>
          <w:sz w:val="36"/>
          <w:szCs w:val="36"/>
        </w:rPr>
      </w:pPr>
      <w:r>
        <w:rPr>
          <w:rFonts w:ascii="宋体" w:hAnsi="宋体"/>
          <w:sz w:val="36"/>
          <w:szCs w:val="36"/>
        </w:rPr>
      </w:r>
      <w:r/>
    </w:p>
    <w:p>
      <w:pPr>
        <w:pStyle w:val="1065"/>
        <w:rPr>
          <w:rFonts w:hint="eastAsia" w:ascii="宋体" w:hAnsi="宋体"/>
          <w:sz w:val="36"/>
          <w:szCs w:val="36"/>
        </w:rPr>
      </w:pPr>
      <w:r>
        <w:rPr>
          <w:rFonts w:hint="eastAsia" w:ascii="宋体" w:hAnsi="宋体"/>
          <w:sz w:val="36"/>
          <w:szCs w:val="36"/>
        </w:rPr>
      </w:r>
      <w:r/>
    </w:p>
    <w:p>
      <w:pPr>
        <w:pStyle w:val="1065"/>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65"/>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right="360"/>
      <w:rPr>
        <w:rStyle w:val="1138"/>
      </w:rPr>
      <w:framePr w:wrap="around" w:vAnchor="text" w:hAnchor="margin" w:y="1"/>
    </w:pPr>
    <w:r>
      <w:rPr>
        <w:rStyle w:val="1138"/>
      </w:rPr>
    </w:r>
    <w:r/>
  </w:p>
  <w:p>
    <w:pPr>
      <w:pStyle w:val="111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center" w:y="1"/>
    </w:pPr>
    <w:r>
      <w:fldChar w:fldCharType="begin"/>
    </w:r>
    <w:r>
      <w:rPr>
        <w:rStyle w:val="1138"/>
      </w:rPr>
      <w:instrText xml:space="preserve">PAGE  </w:instrText>
    </w:r>
    <w:r>
      <w:fldChar w:fldCharType="end"/>
    </w:r>
    <w:r>
      <w:rPr>
        <w:rStyle w:val="1138"/>
      </w:rPr>
    </w:r>
    <w:r/>
  </w:p>
  <w:p>
    <w:pPr>
      <w:pStyle w:val="111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right" w:y="1"/>
    </w:pPr>
    <w:r>
      <w:rPr>
        <w:rStyle w:val="1138"/>
      </w:rPr>
    </w:r>
    <w:r/>
  </w:p>
  <w:p>
    <w:pPr>
      <w:pStyle w:val="111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end"/>
    </w:r>
    <w:r>
      <w:rPr>
        <w:rStyle w:val="1138"/>
      </w:rPr>
    </w:r>
    <w:r/>
  </w:p>
  <w:p>
    <w:pPr>
      <w:pStyle w:val="111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end"/>
    </w:r>
    <w:r>
      <w:rPr>
        <w:rStyle w:val="1138"/>
      </w:rPr>
    </w:r>
    <w:r/>
  </w:p>
  <w:p>
    <w:pPr>
      <w:pStyle w:val="1114"/>
      <w:ind w:right="360"/>
    </w:pPr>
    <w:r/>
    <w:r/>
  </w:p>
  <w:p>
    <w:pPr>
      <w:pStyle w:val="106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p>
    <w:pPr>
      <w:pStyle w:val="106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5"/>
        <w:ind w:left="4941" w:hanging="1140"/>
        <w:tabs>
          <w:tab w:val="num" w:pos="4941" w:leader="none"/>
        </w:tabs>
      </w:pPr>
      <w:rPr>
        <w:rFonts w:hint="eastAsia"/>
      </w:rPr>
    </w:lvl>
    <w:lvl w:ilvl="1">
      <w:start w:val="1"/>
      <w:numFmt w:val="lowerLetter"/>
      <w:isLgl w:val="false"/>
      <w:suff w:val="tab"/>
      <w:lvlText w:val="%2)"/>
      <w:lvlJc w:val="left"/>
      <w:pPr>
        <w:pStyle w:val="1065"/>
        <w:ind w:left="4641" w:hanging="420"/>
        <w:tabs>
          <w:tab w:val="num" w:pos="4641" w:leader="none"/>
        </w:tabs>
      </w:pPr>
    </w:lvl>
    <w:lvl w:ilvl="2">
      <w:start w:val="1"/>
      <w:numFmt w:val="lowerRoman"/>
      <w:isLgl w:val="false"/>
      <w:suff w:val="tab"/>
      <w:lvlText w:val="%3."/>
      <w:lvlJc w:val="right"/>
      <w:pPr>
        <w:pStyle w:val="1065"/>
        <w:ind w:left="5061" w:hanging="420"/>
        <w:tabs>
          <w:tab w:val="num" w:pos="5061" w:leader="none"/>
        </w:tabs>
      </w:pPr>
    </w:lvl>
    <w:lvl w:ilvl="3">
      <w:start w:val="1"/>
      <w:numFmt w:val="decimal"/>
      <w:isLgl w:val="false"/>
      <w:suff w:val="tab"/>
      <w:lvlText w:val="%4."/>
      <w:lvlJc w:val="left"/>
      <w:pPr>
        <w:pStyle w:val="1065"/>
        <w:ind w:left="5481" w:hanging="420"/>
        <w:tabs>
          <w:tab w:val="num" w:pos="5481" w:leader="none"/>
        </w:tabs>
      </w:pPr>
    </w:lvl>
    <w:lvl w:ilvl="4">
      <w:start w:val="1"/>
      <w:numFmt w:val="lowerLetter"/>
      <w:isLgl w:val="false"/>
      <w:suff w:val="tab"/>
      <w:lvlText w:val="%5)"/>
      <w:lvlJc w:val="left"/>
      <w:pPr>
        <w:pStyle w:val="1065"/>
        <w:ind w:left="5901" w:hanging="420"/>
        <w:tabs>
          <w:tab w:val="num" w:pos="5901" w:leader="none"/>
        </w:tabs>
      </w:pPr>
    </w:lvl>
    <w:lvl w:ilvl="5">
      <w:start w:val="1"/>
      <w:numFmt w:val="lowerRoman"/>
      <w:isLgl w:val="false"/>
      <w:suff w:val="tab"/>
      <w:lvlText w:val="%6."/>
      <w:lvlJc w:val="right"/>
      <w:pPr>
        <w:pStyle w:val="1065"/>
        <w:ind w:left="6321" w:hanging="420"/>
        <w:tabs>
          <w:tab w:val="num" w:pos="6321" w:leader="none"/>
        </w:tabs>
      </w:pPr>
    </w:lvl>
    <w:lvl w:ilvl="6">
      <w:start w:val="1"/>
      <w:numFmt w:val="decimal"/>
      <w:isLgl w:val="false"/>
      <w:suff w:val="tab"/>
      <w:lvlText w:val="%7."/>
      <w:lvlJc w:val="left"/>
      <w:pPr>
        <w:pStyle w:val="1065"/>
        <w:ind w:left="6741" w:hanging="420"/>
        <w:tabs>
          <w:tab w:val="num" w:pos="6741" w:leader="none"/>
        </w:tabs>
      </w:pPr>
    </w:lvl>
    <w:lvl w:ilvl="7">
      <w:start w:val="1"/>
      <w:numFmt w:val="lowerLetter"/>
      <w:isLgl w:val="false"/>
      <w:suff w:val="tab"/>
      <w:lvlText w:val="%8)"/>
      <w:lvlJc w:val="left"/>
      <w:pPr>
        <w:pStyle w:val="1065"/>
        <w:ind w:left="7161" w:hanging="420"/>
        <w:tabs>
          <w:tab w:val="num" w:pos="7161" w:leader="none"/>
        </w:tabs>
      </w:pPr>
    </w:lvl>
    <w:lvl w:ilvl="8">
      <w:start w:val="1"/>
      <w:numFmt w:val="lowerRoman"/>
      <w:isLgl w:val="false"/>
      <w:suff w:val="tab"/>
      <w:lvlText w:val="%9."/>
      <w:lvlJc w:val="right"/>
      <w:pPr>
        <w:pStyle w:val="1065"/>
        <w:ind w:left="7581" w:hanging="420"/>
        <w:tabs>
          <w:tab w:val="num" w:pos="7581" w:leader="none"/>
        </w:tabs>
      </w:pPr>
    </w:lvl>
  </w:abstractNum>
  <w:abstractNum w:abstractNumId="1">
    <w:multiLevelType w:val="hybridMultilevel"/>
    <w:lvl w:ilvl="0">
      <w:start w:val="1"/>
      <w:numFmt w:val="decimal"/>
      <w:pStyle w:val="1174"/>
      <w:isLgl w:val="false"/>
      <w:suff w:val="tab"/>
      <w:lvlText w:val="%1."/>
      <w:lvlJc w:val="left"/>
      <w:pPr>
        <w:pStyle w:val="1065"/>
        <w:ind w:left="420" w:hanging="420"/>
      </w:pPr>
    </w:lvl>
    <w:lvl w:ilvl="1">
      <w:start w:val="1"/>
      <w:numFmt w:val="decimal"/>
      <w:isLgl w:val="false"/>
      <w:suff w:val="tab"/>
      <w:lvlText w:val="（%2）"/>
      <w:lvlJc w:val="left"/>
      <w:pPr>
        <w:pStyle w:val="1065"/>
        <w:ind w:left="1140" w:hanging="720"/>
        <w:tabs>
          <w:tab w:val="num" w:pos="1140" w:leader="none"/>
        </w:tabs>
      </w:pPr>
      <w:rPr>
        <w:rFonts w:hint="eastAsia"/>
      </w:rPr>
    </w:lvl>
    <w:lvl w:ilvl="2">
      <w:start w:val="1"/>
      <w:numFmt w:val="lowerRoman"/>
      <w:isLgl w:val="false"/>
      <w:suff w:val="tab"/>
      <w:lvlText w:val="%3."/>
      <w:lvlJc w:val="right"/>
      <w:pPr>
        <w:pStyle w:val="1065"/>
        <w:ind w:left="1260" w:hanging="420"/>
      </w:pPr>
    </w:lvl>
    <w:lvl w:ilvl="3">
      <w:start w:val="1"/>
      <w:numFmt w:val="decimal"/>
      <w:isLgl w:val="false"/>
      <w:suff w:val="tab"/>
      <w:lvlText w:val="%4."/>
      <w:lvlJc w:val="left"/>
      <w:pPr>
        <w:pStyle w:val="1065"/>
        <w:ind w:left="1680" w:hanging="420"/>
      </w:pPr>
    </w:lvl>
    <w:lvl w:ilvl="4">
      <w:start w:val="1"/>
      <w:numFmt w:val="lowerLetter"/>
      <w:isLgl w:val="false"/>
      <w:suff w:val="tab"/>
      <w:lvlText w:val="%5)"/>
      <w:lvlJc w:val="left"/>
      <w:pPr>
        <w:pStyle w:val="1065"/>
        <w:ind w:left="2100" w:hanging="420"/>
      </w:pPr>
    </w:lvl>
    <w:lvl w:ilvl="5">
      <w:start w:val="1"/>
      <w:numFmt w:val="lowerRoman"/>
      <w:isLgl w:val="false"/>
      <w:suff w:val="tab"/>
      <w:lvlText w:val="%6."/>
      <w:lvlJc w:val="right"/>
      <w:pPr>
        <w:pStyle w:val="1065"/>
        <w:ind w:left="2520" w:hanging="420"/>
      </w:pPr>
    </w:lvl>
    <w:lvl w:ilvl="6">
      <w:start w:val="1"/>
      <w:numFmt w:val="decimal"/>
      <w:isLgl w:val="false"/>
      <w:suff w:val="tab"/>
      <w:lvlText w:val="%7."/>
      <w:lvlJc w:val="left"/>
      <w:pPr>
        <w:pStyle w:val="1065"/>
        <w:ind w:left="2940" w:hanging="420"/>
      </w:pPr>
    </w:lvl>
    <w:lvl w:ilvl="7">
      <w:start w:val="1"/>
      <w:numFmt w:val="lowerLetter"/>
      <w:isLgl w:val="false"/>
      <w:suff w:val="tab"/>
      <w:lvlText w:val="%8)"/>
      <w:lvlJc w:val="left"/>
      <w:pPr>
        <w:pStyle w:val="1065"/>
        <w:ind w:left="3360" w:hanging="420"/>
      </w:pPr>
    </w:lvl>
    <w:lvl w:ilvl="8">
      <w:start w:val="1"/>
      <w:numFmt w:val="lowerRoman"/>
      <w:isLgl w:val="false"/>
      <w:suff w:val="tab"/>
      <w:lvlText w:val="%9."/>
      <w:lvlJc w:val="right"/>
      <w:pPr>
        <w:pStyle w:val="1065"/>
        <w:ind w:left="3780" w:hanging="420"/>
      </w:pPr>
    </w:lvl>
  </w:abstractNum>
  <w:abstractNum w:abstractNumId="2">
    <w:multiLevelType w:val="hybridMultilevel"/>
    <w:lvl w:ilvl="0">
      <w:start w:val="1"/>
      <w:numFmt w:val="lowerLetter"/>
      <w:pStyle w:val="1249"/>
      <w:isLgl w:val="false"/>
      <w:suff w:val="tab"/>
      <w:lvlText w:val="%1)"/>
      <w:lvlJc w:val="left"/>
      <w:pPr>
        <w:pStyle w:val="1065"/>
        <w:ind w:left="902" w:hanging="420"/>
      </w:pPr>
      <w:rPr>
        <w:color w:val="000000"/>
      </w:rPr>
    </w:lvl>
    <w:lvl w:ilvl="1">
      <w:start w:val="1"/>
      <w:numFmt w:val="lowerLetter"/>
      <w:isLgl w:val="false"/>
      <w:suff w:val="tab"/>
      <w:lvlText w:val="%2)"/>
      <w:lvlJc w:val="left"/>
      <w:pPr>
        <w:pStyle w:val="1065"/>
        <w:ind w:left="1322" w:hanging="420"/>
      </w:pPr>
    </w:lvl>
    <w:lvl w:ilvl="2">
      <w:start w:val="1"/>
      <w:numFmt w:val="lowerRoman"/>
      <w:isLgl w:val="false"/>
      <w:suff w:val="tab"/>
      <w:lvlText w:val="%3."/>
      <w:lvlJc w:val="right"/>
      <w:pPr>
        <w:pStyle w:val="1065"/>
        <w:ind w:left="1742" w:hanging="420"/>
      </w:pPr>
    </w:lvl>
    <w:lvl w:ilvl="3">
      <w:start w:val="1"/>
      <w:numFmt w:val="decimal"/>
      <w:isLgl w:val="false"/>
      <w:suff w:val="tab"/>
      <w:lvlText w:val="%4."/>
      <w:lvlJc w:val="left"/>
      <w:pPr>
        <w:pStyle w:val="1065"/>
        <w:ind w:left="2162" w:hanging="420"/>
      </w:pPr>
    </w:lvl>
    <w:lvl w:ilvl="4">
      <w:start w:val="1"/>
      <w:numFmt w:val="lowerLetter"/>
      <w:isLgl w:val="false"/>
      <w:suff w:val="tab"/>
      <w:lvlText w:val="%5)"/>
      <w:lvlJc w:val="left"/>
      <w:pPr>
        <w:pStyle w:val="1065"/>
        <w:ind w:left="2582" w:hanging="420"/>
      </w:pPr>
    </w:lvl>
    <w:lvl w:ilvl="5">
      <w:start w:val="1"/>
      <w:numFmt w:val="lowerRoman"/>
      <w:isLgl w:val="false"/>
      <w:suff w:val="tab"/>
      <w:lvlText w:val="%6."/>
      <w:lvlJc w:val="right"/>
      <w:pPr>
        <w:pStyle w:val="1065"/>
        <w:ind w:left="3002" w:hanging="420"/>
      </w:pPr>
    </w:lvl>
    <w:lvl w:ilvl="6">
      <w:start w:val="1"/>
      <w:numFmt w:val="decimal"/>
      <w:isLgl w:val="false"/>
      <w:suff w:val="tab"/>
      <w:lvlText w:val="%7."/>
      <w:lvlJc w:val="left"/>
      <w:pPr>
        <w:pStyle w:val="1065"/>
        <w:ind w:left="3422" w:hanging="420"/>
      </w:pPr>
    </w:lvl>
    <w:lvl w:ilvl="7">
      <w:start w:val="1"/>
      <w:numFmt w:val="lowerLetter"/>
      <w:isLgl w:val="false"/>
      <w:suff w:val="tab"/>
      <w:lvlText w:val="%8)"/>
      <w:lvlJc w:val="left"/>
      <w:pPr>
        <w:pStyle w:val="1065"/>
        <w:ind w:left="3842" w:hanging="420"/>
      </w:pPr>
    </w:lvl>
    <w:lvl w:ilvl="8">
      <w:start w:val="1"/>
      <w:numFmt w:val="lowerRoman"/>
      <w:isLgl w:val="false"/>
      <w:suff w:val="tab"/>
      <w:lvlText w:val="%9."/>
      <w:lvlJc w:val="right"/>
      <w:pPr>
        <w:pStyle w:val="1065"/>
        <w:ind w:left="4262" w:hanging="420"/>
      </w:pPr>
    </w:lvl>
  </w:abstractNum>
  <w:abstractNum w:abstractNumId="3">
    <w:multiLevelType w:val="hybridMultilevel"/>
    <w:lvl w:ilvl="0">
      <w:start w:val="1"/>
      <w:numFmt w:val="decimal"/>
      <w:pStyle w:val="1219"/>
      <w:isLgl w:val="false"/>
      <w:suff w:val="tab"/>
      <w:lvlText w:val="%1."/>
      <w:lvlJc w:val="left"/>
      <w:pPr>
        <w:pStyle w:val="106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65"/>
      </w:pPr>
    </w:lvl>
    <w:lvl w:ilvl="1">
      <w:start w:val="1"/>
      <w:numFmt w:val="decimal"/>
      <w:isLgl w:val="false"/>
      <w:suff w:val="nothing"/>
      <w:lvlText w:val=""/>
      <w:lvlJc w:val="left"/>
      <w:pPr>
        <w:pStyle w:val="1065"/>
      </w:pPr>
    </w:lvl>
    <w:lvl w:ilvl="2">
      <w:start w:val="1"/>
      <w:numFmt w:val="decimal"/>
      <w:isLgl w:val="false"/>
      <w:suff w:val="nothing"/>
      <w:lvlText w:val=""/>
      <w:lvlJc w:val="left"/>
      <w:pPr>
        <w:pStyle w:val="1065"/>
      </w:pPr>
    </w:lvl>
    <w:lvl w:ilvl="3">
      <w:start w:val="1"/>
      <w:numFmt w:val="decimal"/>
      <w:isLgl w:val="false"/>
      <w:suff w:val="nothing"/>
      <w:lvlText w:val=""/>
      <w:lvlJc w:val="left"/>
      <w:pPr>
        <w:pStyle w:val="1065"/>
      </w:pPr>
    </w:lvl>
    <w:lvl w:ilvl="4">
      <w:start w:val="1"/>
      <w:numFmt w:val="decimal"/>
      <w:isLgl w:val="false"/>
      <w:suff w:val="nothing"/>
      <w:lvlText w:val=""/>
      <w:lvlJc w:val="left"/>
      <w:pPr>
        <w:pStyle w:val="1065"/>
      </w:pPr>
    </w:lvl>
    <w:lvl w:ilvl="5">
      <w:start w:val="1"/>
      <w:numFmt w:val="decimal"/>
      <w:isLgl w:val="false"/>
      <w:suff w:val="nothing"/>
      <w:lvlText w:val=""/>
      <w:lvlJc w:val="left"/>
      <w:pPr>
        <w:pStyle w:val="1065"/>
      </w:pPr>
    </w:lvl>
    <w:lvl w:ilvl="6">
      <w:start w:val="1"/>
      <w:numFmt w:val="decimal"/>
      <w:isLgl w:val="false"/>
      <w:suff w:val="nothing"/>
      <w:lvlText w:val=""/>
      <w:lvlJc w:val="left"/>
      <w:pPr>
        <w:pStyle w:val="1065"/>
      </w:pPr>
    </w:lvl>
    <w:lvl w:ilvl="7">
      <w:start w:val="1"/>
      <w:numFmt w:val="decimal"/>
      <w:isLgl w:val="false"/>
      <w:suff w:val="nothing"/>
      <w:lvlText w:val=""/>
      <w:lvlJc w:val="left"/>
      <w:pPr>
        <w:pStyle w:val="1065"/>
      </w:pPr>
    </w:lvl>
    <w:lvl w:ilvl="8">
      <w:start w:val="1"/>
      <w:numFmt w:val="decimal"/>
      <w:isLgl w:val="false"/>
      <w:suff w:val="nothing"/>
      <w:lvlText w:val=""/>
      <w:lvlJc w:val="left"/>
      <w:pPr>
        <w:pStyle w:val="1065"/>
      </w:pPr>
    </w:lvl>
  </w:abstractNum>
  <w:abstractNum w:abstractNumId="5">
    <w:multiLevelType w:val="hybridMultilevel"/>
    <w:lvl w:ilvl="0">
      <w:start w:val="1"/>
      <w:numFmt w:val="decimal"/>
      <w:pStyle w:val="1168"/>
      <w:isLgl w:val="false"/>
      <w:suff w:val="nothing"/>
      <w:lvlText w:val="%1　"/>
      <w:lvlJc w:val="left"/>
      <w:pPr>
        <w:pStyle w:val="106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5"/>
        <w:ind w:left="-25" w:firstLine="0"/>
      </w:pPr>
      <w:rPr>
        <w:rFonts w:ascii="Times New Roman" w:hAnsi="Times New Roman" w:eastAsia="黑体"/>
        <w:b/>
        <w:i w:val="0"/>
        <w:sz w:val="28"/>
      </w:rPr>
    </w:lvl>
    <w:lvl w:ilvl="3">
      <w:start w:val="1"/>
      <w:numFmt w:val="decimal"/>
      <w:pStyle w:val="1204"/>
      <w:isLgl w:val="false"/>
      <w:suff w:val="nothing"/>
      <w:lvlText w:val="%1.%2.%3.%4　"/>
      <w:lvlJc w:val="left"/>
      <w:pPr>
        <w:pStyle w:val="106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5"/>
        <w:ind w:left="-25" w:firstLine="0"/>
      </w:pPr>
      <w:rPr>
        <w:rFonts w:ascii="Times New Roman" w:hAnsi="Times New Roman" w:eastAsia="宋体"/>
        <w:b/>
        <w:i w:val="0"/>
        <w:sz w:val="28"/>
      </w:rPr>
    </w:lvl>
    <w:lvl w:ilvl="6">
      <w:start w:val="1"/>
      <w:numFmt w:val="lowerLetter"/>
      <w:pStyle w:val="1225"/>
      <w:isLgl w:val="false"/>
      <w:suff w:val="tab"/>
      <w:lvlText w:val="%7) "/>
      <w:lvlJc w:val="left"/>
      <w:pPr>
        <w:pStyle w:val="1065"/>
        <w:ind w:left="-125" w:firstLine="400"/>
        <w:tabs>
          <w:tab w:val="num" w:pos="635" w:leader="none"/>
        </w:tabs>
      </w:pPr>
      <w:rPr>
        <w:rFonts w:ascii="Times New Roman" w:hAnsi="Times New Roman" w:eastAsia="宋体"/>
        <w:b/>
        <w:i w:val="0"/>
        <w:color w:val="000000"/>
        <w:sz w:val="28"/>
        <w:u w:val="none"/>
      </w:rPr>
    </w:lvl>
    <w:lvl w:ilvl="7">
      <w:start w:val="1"/>
      <w:numFmt w:val="decimal"/>
      <w:pStyle w:val="1188"/>
      <w:isLgl w:val="false"/>
      <w:suff w:val="tab"/>
      <w:lvlText w:val="%8) "/>
      <w:lvlJc w:val="left"/>
      <w:pPr>
        <w:pStyle w:val="106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65"/>
        <w:ind w:left="768" w:hanging="360"/>
        <w:tabs>
          <w:tab w:val="num" w:pos="768" w:leader="none"/>
        </w:tabs>
      </w:pPr>
      <w:rPr>
        <w:rFonts w:hint="eastAsia"/>
      </w:rPr>
    </w:lvl>
    <w:lvl w:ilvl="1">
      <w:start w:val="1"/>
      <w:numFmt w:val="decimal"/>
      <w:pStyle w:val="1206"/>
      <w:isLgl w:val="false"/>
      <w:suff w:val="tab"/>
      <w:lvlText w:val="%2、"/>
      <w:lvlJc w:val="left"/>
      <w:pPr>
        <w:pStyle w:val="1065"/>
        <w:ind w:left="1188" w:hanging="360"/>
        <w:tabs>
          <w:tab w:val="num" w:pos="1188" w:leader="none"/>
        </w:tabs>
      </w:pPr>
      <w:rPr>
        <w:rFonts w:hint="eastAsia"/>
      </w:rPr>
    </w:lvl>
    <w:lvl w:ilvl="2">
      <w:start w:val="1"/>
      <w:numFmt w:val="decimal"/>
      <w:isLgl w:val="false"/>
      <w:suff w:val="tab"/>
      <w:lvlText w:val="（%3）"/>
      <w:lvlJc w:val="left"/>
      <w:pPr>
        <w:pStyle w:val="1065"/>
        <w:ind w:left="1968" w:hanging="720"/>
        <w:tabs>
          <w:tab w:val="num" w:pos="1968" w:leader="none"/>
        </w:tabs>
      </w:pPr>
      <w:rPr>
        <w:rFonts w:hint="eastAsia"/>
        <w:u w:val="none"/>
      </w:rPr>
    </w:lvl>
    <w:lvl w:ilvl="3">
      <w:start w:val="1"/>
      <w:numFmt w:val="decimal"/>
      <w:isLgl w:val="false"/>
      <w:suff w:val="tab"/>
      <w:lvlText w:val="%4."/>
      <w:lvlJc w:val="left"/>
      <w:pPr>
        <w:pStyle w:val="1065"/>
        <w:ind w:left="2088" w:hanging="420"/>
        <w:tabs>
          <w:tab w:val="num" w:pos="2088" w:leader="none"/>
        </w:tabs>
      </w:pPr>
    </w:lvl>
    <w:lvl w:ilvl="4">
      <w:start w:val="1"/>
      <w:numFmt w:val="lowerLetter"/>
      <w:isLgl w:val="false"/>
      <w:suff w:val="tab"/>
      <w:lvlText w:val="%5)"/>
      <w:lvlJc w:val="left"/>
      <w:pPr>
        <w:pStyle w:val="1065"/>
        <w:ind w:left="2508" w:hanging="420"/>
        <w:tabs>
          <w:tab w:val="num" w:pos="2508" w:leader="none"/>
        </w:tabs>
      </w:pPr>
    </w:lvl>
    <w:lvl w:ilvl="5">
      <w:start w:val="1"/>
      <w:numFmt w:val="lowerRoman"/>
      <w:isLgl w:val="false"/>
      <w:suff w:val="tab"/>
      <w:lvlText w:val="%6."/>
      <w:lvlJc w:val="right"/>
      <w:pPr>
        <w:pStyle w:val="1065"/>
        <w:ind w:left="2928" w:hanging="420"/>
        <w:tabs>
          <w:tab w:val="num" w:pos="2928" w:leader="none"/>
        </w:tabs>
      </w:pPr>
    </w:lvl>
    <w:lvl w:ilvl="6">
      <w:start w:val="1"/>
      <w:numFmt w:val="decimal"/>
      <w:isLgl w:val="false"/>
      <w:suff w:val="tab"/>
      <w:lvlText w:val="%7."/>
      <w:lvlJc w:val="left"/>
      <w:pPr>
        <w:pStyle w:val="1065"/>
        <w:ind w:left="3348" w:hanging="420"/>
        <w:tabs>
          <w:tab w:val="num" w:pos="3348" w:leader="none"/>
        </w:tabs>
      </w:pPr>
    </w:lvl>
    <w:lvl w:ilvl="7">
      <w:start w:val="1"/>
      <w:numFmt w:val="lowerLetter"/>
      <w:isLgl w:val="false"/>
      <w:suff w:val="tab"/>
      <w:lvlText w:val="%8)"/>
      <w:lvlJc w:val="left"/>
      <w:pPr>
        <w:pStyle w:val="1065"/>
        <w:ind w:left="3768" w:hanging="420"/>
        <w:tabs>
          <w:tab w:val="num" w:pos="3768" w:leader="none"/>
        </w:tabs>
      </w:pPr>
    </w:lvl>
    <w:lvl w:ilvl="8">
      <w:start w:val="1"/>
      <w:numFmt w:val="lowerRoman"/>
      <w:isLgl w:val="false"/>
      <w:suff w:val="tab"/>
      <w:lvlText w:val="%9."/>
      <w:lvlJc w:val="right"/>
      <w:pPr>
        <w:pStyle w:val="106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65"/>
        <w:ind w:left="900" w:hanging="900"/>
        <w:tabs>
          <w:tab w:val="num" w:pos="900" w:leader="none"/>
        </w:tabs>
      </w:pPr>
      <w:rPr>
        <w:rFonts w:hint="eastAsia"/>
        <w:b/>
      </w:rPr>
    </w:lvl>
    <w:lvl w:ilvl="1">
      <w:start w:val="1"/>
      <w:numFmt w:val="decimal"/>
      <w:isLgl w:val="false"/>
      <w:suff w:val="tab"/>
      <w:lvlText w:val="%1.%2"/>
      <w:lvlJc w:val="left"/>
      <w:pPr>
        <w:pStyle w:val="106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abstractNum w:abstractNumId="8">
    <w:multiLevelType w:val="hybridMultilevel"/>
    <w:lvl w:ilvl="0">
      <w:start w:val="1"/>
      <w:numFmt w:val="decimal"/>
      <w:pStyle w:val="1173"/>
      <w:isLgl w:val="false"/>
      <w:suff w:val="tab"/>
      <w:lvlText w:val="%1)"/>
      <w:lvlJc w:val="left"/>
      <w:pPr>
        <w:pStyle w:val="1065"/>
        <w:ind w:left="420" w:hanging="420"/>
      </w:pPr>
    </w:lvl>
    <w:lvl w:ilvl="1">
      <w:start w:val="1"/>
      <w:numFmt w:val="lowerLetter"/>
      <w:isLgl w:val="false"/>
      <w:suff w:val="tab"/>
      <w:lvlText w:val="%2)"/>
      <w:lvlJc w:val="left"/>
      <w:pPr>
        <w:pStyle w:val="1065"/>
        <w:ind w:left="840" w:hanging="420"/>
      </w:pPr>
    </w:lvl>
    <w:lvl w:ilvl="2">
      <w:start w:val="1"/>
      <w:numFmt w:val="lowerRoman"/>
      <w:isLgl w:val="false"/>
      <w:suff w:val="tab"/>
      <w:lvlText w:val="%3."/>
      <w:lvlJc w:val="right"/>
      <w:pPr>
        <w:pStyle w:val="1065"/>
        <w:ind w:left="1260" w:hanging="420"/>
      </w:pPr>
    </w:lvl>
    <w:lvl w:ilvl="3">
      <w:start w:val="1"/>
      <w:numFmt w:val="decimal"/>
      <w:isLgl w:val="false"/>
      <w:suff w:val="tab"/>
      <w:lvlText w:val="%4."/>
      <w:lvlJc w:val="left"/>
      <w:pPr>
        <w:pStyle w:val="1065"/>
        <w:ind w:left="1680" w:hanging="420"/>
      </w:pPr>
    </w:lvl>
    <w:lvl w:ilvl="4">
      <w:start w:val="1"/>
      <w:numFmt w:val="lowerLetter"/>
      <w:isLgl w:val="false"/>
      <w:suff w:val="tab"/>
      <w:lvlText w:val="%5)"/>
      <w:lvlJc w:val="left"/>
      <w:pPr>
        <w:pStyle w:val="1065"/>
        <w:ind w:left="2100" w:hanging="420"/>
      </w:pPr>
    </w:lvl>
    <w:lvl w:ilvl="5">
      <w:start w:val="1"/>
      <w:numFmt w:val="lowerRoman"/>
      <w:isLgl w:val="false"/>
      <w:suff w:val="tab"/>
      <w:lvlText w:val="%6."/>
      <w:lvlJc w:val="right"/>
      <w:pPr>
        <w:pStyle w:val="1065"/>
        <w:ind w:left="2520" w:hanging="420"/>
      </w:pPr>
    </w:lvl>
    <w:lvl w:ilvl="6">
      <w:start w:val="1"/>
      <w:numFmt w:val="decimal"/>
      <w:isLgl w:val="false"/>
      <w:suff w:val="tab"/>
      <w:lvlText w:val="%7."/>
      <w:lvlJc w:val="left"/>
      <w:pPr>
        <w:pStyle w:val="1065"/>
        <w:ind w:left="2940" w:hanging="420"/>
      </w:pPr>
    </w:lvl>
    <w:lvl w:ilvl="7">
      <w:start w:val="1"/>
      <w:numFmt w:val="lowerLetter"/>
      <w:isLgl w:val="false"/>
      <w:suff w:val="tab"/>
      <w:lvlText w:val="%8)"/>
      <w:lvlJc w:val="left"/>
      <w:pPr>
        <w:pStyle w:val="1065"/>
        <w:ind w:left="3360" w:hanging="420"/>
      </w:pPr>
    </w:lvl>
    <w:lvl w:ilvl="8">
      <w:start w:val="1"/>
      <w:numFmt w:val="lowerRoman"/>
      <w:isLgl w:val="false"/>
      <w:suff w:val="tab"/>
      <w:lvlText w:val="%9."/>
      <w:lvlJc w:val="right"/>
      <w:pPr>
        <w:pStyle w:val="1065"/>
        <w:ind w:left="3780" w:hanging="420"/>
      </w:pPr>
    </w:lvl>
  </w:abstractNum>
  <w:abstractNum w:abstractNumId="9">
    <w:multiLevelType w:val="hybridMultilevel"/>
    <w:lvl w:ilvl="0">
      <w:start w:val="1"/>
      <w:numFmt w:val="decimal"/>
      <w:isLgl w:val="false"/>
      <w:suff w:val="tab"/>
      <w:lvlText w:val="%1."/>
      <w:lvlJc w:val="left"/>
      <w:pPr>
        <w:pStyle w:val="1065"/>
        <w:ind w:left="1242" w:hanging="382"/>
      </w:pPr>
      <w:rPr>
        <w:rFonts w:ascii="仿宋" w:hAnsi="仿宋" w:eastAsia="仿宋" w:cs="仿宋"/>
        <w:spacing w:val="0"/>
        <w:sz w:val="32"/>
        <w:szCs w:val="32"/>
      </w:rPr>
    </w:lvl>
    <w:lvl w:ilvl="1">
      <w:start w:val="0"/>
      <w:numFmt w:val="bullet"/>
      <w:isLgl w:val="false"/>
      <w:suff w:val="tab"/>
      <w:lvlText w:val="•"/>
      <w:lvlJc w:val="left"/>
      <w:pPr>
        <w:pStyle w:val="1065"/>
        <w:ind w:left="2010" w:hanging="382"/>
      </w:pPr>
    </w:lvl>
    <w:lvl w:ilvl="2">
      <w:start w:val="0"/>
      <w:numFmt w:val="bullet"/>
      <w:isLgl w:val="false"/>
      <w:suff w:val="tab"/>
      <w:lvlText w:val="•"/>
      <w:lvlJc w:val="left"/>
      <w:pPr>
        <w:pStyle w:val="1065"/>
        <w:ind w:left="2781" w:hanging="382"/>
      </w:pPr>
    </w:lvl>
    <w:lvl w:ilvl="3">
      <w:start w:val="0"/>
      <w:numFmt w:val="bullet"/>
      <w:isLgl w:val="false"/>
      <w:suff w:val="tab"/>
      <w:lvlText w:val="•"/>
      <w:lvlJc w:val="left"/>
      <w:pPr>
        <w:pStyle w:val="1065"/>
        <w:ind w:left="3551" w:hanging="382"/>
      </w:pPr>
    </w:lvl>
    <w:lvl w:ilvl="4">
      <w:start w:val="0"/>
      <w:numFmt w:val="bullet"/>
      <w:isLgl w:val="false"/>
      <w:suff w:val="tab"/>
      <w:lvlText w:val="•"/>
      <w:lvlJc w:val="left"/>
      <w:pPr>
        <w:pStyle w:val="1065"/>
        <w:ind w:left="4322" w:hanging="382"/>
      </w:pPr>
    </w:lvl>
    <w:lvl w:ilvl="5">
      <w:start w:val="0"/>
      <w:numFmt w:val="bullet"/>
      <w:isLgl w:val="false"/>
      <w:suff w:val="tab"/>
      <w:lvlText w:val="•"/>
      <w:lvlJc w:val="left"/>
      <w:pPr>
        <w:pStyle w:val="1065"/>
        <w:ind w:left="5093" w:hanging="382"/>
      </w:pPr>
    </w:lvl>
    <w:lvl w:ilvl="6">
      <w:start w:val="0"/>
      <w:numFmt w:val="bullet"/>
      <w:isLgl w:val="false"/>
      <w:suff w:val="tab"/>
      <w:lvlText w:val="•"/>
      <w:lvlJc w:val="left"/>
      <w:pPr>
        <w:pStyle w:val="1065"/>
        <w:ind w:left="5863" w:hanging="382"/>
      </w:pPr>
    </w:lvl>
    <w:lvl w:ilvl="7">
      <w:start w:val="0"/>
      <w:numFmt w:val="bullet"/>
      <w:isLgl w:val="false"/>
      <w:suff w:val="tab"/>
      <w:lvlText w:val="•"/>
      <w:lvlJc w:val="left"/>
      <w:pPr>
        <w:pStyle w:val="1065"/>
        <w:ind w:left="6634" w:hanging="382"/>
      </w:pPr>
    </w:lvl>
    <w:lvl w:ilvl="8">
      <w:start w:val="0"/>
      <w:numFmt w:val="bullet"/>
      <w:isLgl w:val="false"/>
      <w:suff w:val="tab"/>
      <w:lvlText w:val="•"/>
      <w:lvlJc w:val="left"/>
      <w:pPr>
        <w:pStyle w:val="1065"/>
        <w:ind w:left="7404" w:hanging="382"/>
      </w:pPr>
    </w:lvl>
  </w:abstractNum>
  <w:abstractNum w:abstractNumId="10">
    <w:multiLevelType w:val="hybridMultilevel"/>
    <w:lvl w:ilvl="0">
      <w:start w:val="1"/>
      <w:numFmt w:val="decimal"/>
      <w:pStyle w:val="1274"/>
      <w:isLgl w:val="false"/>
      <w:suff w:val="tab"/>
      <w:lvlText w:val="%1"/>
      <w:lvlJc w:val="left"/>
      <w:pPr>
        <w:pStyle w:val="1065"/>
        <w:ind w:left="680" w:hanging="680"/>
      </w:pPr>
      <w:rPr>
        <w:rFonts w:hint="eastAsia" w:ascii="宋体" w:hAnsi="宋体" w:eastAsia="宋体"/>
      </w:rPr>
    </w:lvl>
    <w:lvl w:ilvl="1">
      <w:start w:val="1"/>
      <w:numFmt w:val="decimal"/>
      <w:pStyle w:val="1275"/>
      <w:isLgl w:val="false"/>
      <w:suff w:val="tab"/>
      <w:lvlText w:val="%1.%2"/>
      <w:lvlJc w:val="left"/>
      <w:pPr>
        <w:pStyle w:val="1065"/>
        <w:ind w:left="851" w:hanging="851"/>
      </w:pPr>
      <w:rPr>
        <w:rFonts w:hint="eastAsia" w:ascii="宋体" w:hAnsi="宋体" w:eastAsia="宋体"/>
        <w:color w:val="000000"/>
      </w:rPr>
    </w:lvl>
    <w:lvl w:ilvl="2">
      <w:start w:val="1"/>
      <w:numFmt w:val="decimal"/>
      <w:pStyle w:val="1276"/>
      <w:isLgl w:val="false"/>
      <w:suff w:val="tab"/>
      <w:lvlText w:val="%1.%2.%3"/>
      <w:lvlJc w:val="left"/>
      <w:pPr>
        <w:pStyle w:val="1065"/>
        <w:ind w:left="851" w:hanging="851"/>
      </w:pPr>
      <w:rPr>
        <w:rFonts w:hint="eastAsia"/>
      </w:rPr>
    </w:lvl>
    <w:lvl w:ilvl="3">
      <w:start w:val="1"/>
      <w:numFmt w:val="decimal"/>
      <w:isLgl w:val="false"/>
      <w:suff w:val="tab"/>
      <w:lvlText w:val="%1.%2.%3.%4"/>
      <w:lvlJc w:val="left"/>
      <w:pPr>
        <w:pStyle w:val="1065"/>
        <w:ind w:left="680" w:hanging="680"/>
      </w:pPr>
      <w:rPr>
        <w:rFonts w:hint="eastAsia"/>
      </w:rPr>
    </w:lvl>
    <w:lvl w:ilvl="4">
      <w:start w:val="1"/>
      <w:numFmt w:val="decimal"/>
      <w:isLgl w:val="false"/>
      <w:suff w:val="tab"/>
      <w:lvlText w:val="%1.%2.%3.%4.%5"/>
      <w:lvlJc w:val="left"/>
      <w:pPr>
        <w:pStyle w:val="1065"/>
        <w:ind w:left="680" w:hanging="680"/>
      </w:pPr>
      <w:rPr>
        <w:rFonts w:hint="eastAsia"/>
      </w:rPr>
    </w:lvl>
    <w:lvl w:ilvl="5">
      <w:start w:val="1"/>
      <w:numFmt w:val="decimal"/>
      <w:isLgl w:val="false"/>
      <w:suff w:val="tab"/>
      <w:lvlText w:val="%1.%2.%3.%4.%5.%6"/>
      <w:lvlJc w:val="left"/>
      <w:pPr>
        <w:pStyle w:val="1065"/>
        <w:ind w:left="680" w:hanging="680"/>
      </w:pPr>
      <w:rPr>
        <w:rFonts w:hint="eastAsia"/>
      </w:rPr>
    </w:lvl>
    <w:lvl w:ilvl="6">
      <w:start w:val="1"/>
      <w:numFmt w:val="decimal"/>
      <w:isLgl w:val="false"/>
      <w:suff w:val="tab"/>
      <w:lvlText w:val="%1.%2.%3.%4.%5.%6.%7"/>
      <w:lvlJc w:val="left"/>
      <w:pPr>
        <w:pStyle w:val="1065"/>
        <w:ind w:left="680" w:hanging="680"/>
      </w:pPr>
      <w:rPr>
        <w:rFonts w:hint="eastAsia"/>
      </w:rPr>
    </w:lvl>
    <w:lvl w:ilvl="7">
      <w:start w:val="1"/>
      <w:numFmt w:val="decimal"/>
      <w:isLgl w:val="false"/>
      <w:suff w:val="tab"/>
      <w:lvlText w:val="%1.%2.%3.%4.%5.%6.%7.%8"/>
      <w:lvlJc w:val="left"/>
      <w:pPr>
        <w:pStyle w:val="1065"/>
        <w:ind w:left="680" w:hanging="680"/>
      </w:pPr>
      <w:rPr>
        <w:rFonts w:hint="eastAsia"/>
      </w:rPr>
    </w:lvl>
    <w:lvl w:ilvl="8">
      <w:start w:val="1"/>
      <w:numFmt w:val="decimal"/>
      <w:isLgl w:val="false"/>
      <w:suff w:val="tab"/>
      <w:lvlText w:val="%1.%2.%3.%4.%5.%6.%7.%8.%9"/>
      <w:lvlJc w:val="left"/>
      <w:pPr>
        <w:pStyle w:val="1065"/>
        <w:ind w:left="680" w:hanging="680"/>
      </w:pPr>
      <w:rPr>
        <w:rFonts w:hint="eastAsia"/>
      </w:rPr>
    </w:lvl>
  </w:abstractNum>
  <w:abstractNum w:abstractNumId="11">
    <w:multiLevelType w:val="hybridMultilevel"/>
    <w:lvl w:ilvl="0">
      <w:start w:val="1"/>
      <w:numFmt w:val="decimal"/>
      <w:isLgl w:val="false"/>
      <w:suff w:val="tab"/>
      <w:lvlText w:val="%1."/>
      <w:lvlJc w:val="left"/>
      <w:pPr>
        <w:pStyle w:val="1065"/>
        <w:ind w:left="900" w:hanging="900"/>
        <w:tabs>
          <w:tab w:val="num" w:pos="900" w:leader="none"/>
        </w:tabs>
      </w:pPr>
      <w:rPr>
        <w:rFonts w:hint="eastAsia"/>
      </w:rPr>
    </w:lvl>
    <w:lvl w:ilvl="1">
      <w:start w:val="1"/>
      <w:numFmt w:val="decimal"/>
      <w:isLgl w:val="false"/>
      <w:suff w:val="tab"/>
      <w:lvlText w:val="%1.%2"/>
      <w:lvlJc w:val="left"/>
      <w:pPr>
        <w:pStyle w:val="106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5"/>
        <w:ind w:left="900" w:hanging="900"/>
        <w:tabs>
          <w:tab w:val="num" w:pos="900" w:leader="none"/>
        </w:tabs>
      </w:pPr>
      <w:rPr>
        <w:rFonts w:hint="eastAsia"/>
      </w:rPr>
    </w:lvl>
    <w:lvl w:ilvl="1">
      <w:start w:val="1"/>
      <w:numFmt w:val="decimal"/>
      <w:isLgl w:val="false"/>
      <w:suff w:val="tab"/>
      <w:lvlText w:val="%1.%2"/>
      <w:lvlJc w:val="left"/>
      <w:pPr>
        <w:pStyle w:val="10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5"/>
        <w:ind w:left="1980" w:hanging="900"/>
        <w:tabs>
          <w:tab w:val="num" w:pos="1980" w:leader="none"/>
        </w:tabs>
      </w:pPr>
      <w:rPr>
        <w:rFonts w:hint="eastAsia"/>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65"/>
        <w:ind w:left="205" w:hanging="322"/>
      </w:pPr>
      <w:rPr>
        <w:rFonts w:ascii="仿宋" w:hAnsi="仿宋" w:eastAsia="仿宋" w:cs="仿宋"/>
        <w:spacing w:val="-46"/>
        <w:sz w:val="30"/>
        <w:szCs w:val="30"/>
      </w:rPr>
    </w:lvl>
    <w:lvl w:ilvl="1">
      <w:start w:val="1"/>
      <w:numFmt w:val="lowerLetter"/>
      <w:isLgl w:val="false"/>
      <w:suff w:val="tab"/>
      <w:lvlText w:val="%2)"/>
      <w:lvlJc w:val="left"/>
      <w:pPr>
        <w:pStyle w:val="1065"/>
        <w:ind w:left="840" w:hanging="420"/>
      </w:pPr>
    </w:lvl>
    <w:lvl w:ilvl="2">
      <w:start w:val="1"/>
      <w:numFmt w:val="lowerRoman"/>
      <w:isLgl w:val="false"/>
      <w:suff w:val="tab"/>
      <w:lvlText w:val="%3."/>
      <w:lvlJc w:val="right"/>
      <w:pPr>
        <w:pStyle w:val="1065"/>
        <w:ind w:left="1260" w:hanging="420"/>
      </w:pPr>
    </w:lvl>
    <w:lvl w:ilvl="3">
      <w:start w:val="1"/>
      <w:numFmt w:val="decimal"/>
      <w:isLgl w:val="false"/>
      <w:suff w:val="tab"/>
      <w:lvlText w:val="%4."/>
      <w:lvlJc w:val="left"/>
      <w:pPr>
        <w:pStyle w:val="1065"/>
        <w:ind w:left="1680" w:hanging="420"/>
      </w:pPr>
    </w:lvl>
    <w:lvl w:ilvl="4">
      <w:start w:val="1"/>
      <w:numFmt w:val="lowerLetter"/>
      <w:isLgl w:val="false"/>
      <w:suff w:val="tab"/>
      <w:lvlText w:val="%5)"/>
      <w:lvlJc w:val="left"/>
      <w:pPr>
        <w:pStyle w:val="1065"/>
        <w:ind w:left="2100" w:hanging="420"/>
      </w:pPr>
    </w:lvl>
    <w:lvl w:ilvl="5">
      <w:start w:val="1"/>
      <w:numFmt w:val="lowerRoman"/>
      <w:isLgl w:val="false"/>
      <w:suff w:val="tab"/>
      <w:lvlText w:val="%6."/>
      <w:lvlJc w:val="right"/>
      <w:pPr>
        <w:pStyle w:val="1065"/>
        <w:ind w:left="2520" w:hanging="420"/>
      </w:pPr>
    </w:lvl>
    <w:lvl w:ilvl="6">
      <w:start w:val="1"/>
      <w:numFmt w:val="decimal"/>
      <w:isLgl w:val="false"/>
      <w:suff w:val="tab"/>
      <w:lvlText w:val="%7."/>
      <w:lvlJc w:val="left"/>
      <w:pPr>
        <w:pStyle w:val="1065"/>
        <w:ind w:left="2940" w:hanging="420"/>
      </w:pPr>
    </w:lvl>
    <w:lvl w:ilvl="7">
      <w:start w:val="1"/>
      <w:numFmt w:val="lowerLetter"/>
      <w:isLgl w:val="false"/>
      <w:suff w:val="tab"/>
      <w:lvlText w:val="%8)"/>
      <w:lvlJc w:val="left"/>
      <w:pPr>
        <w:pStyle w:val="1065"/>
        <w:ind w:left="3360" w:hanging="420"/>
      </w:pPr>
    </w:lvl>
    <w:lvl w:ilvl="8">
      <w:start w:val="1"/>
      <w:numFmt w:val="lowerRoman"/>
      <w:isLgl w:val="false"/>
      <w:suff w:val="tab"/>
      <w:lvlText w:val="%9."/>
      <w:lvlJc w:val="right"/>
      <w:pPr>
        <w:pStyle w:val="1065"/>
        <w:ind w:left="3780" w:hanging="420"/>
      </w:pPr>
    </w:lvl>
  </w:abstractNum>
  <w:abstractNum w:abstractNumId="14">
    <w:multiLevelType w:val="hybridMultilevel"/>
    <w:lvl w:ilvl="0">
      <w:start w:val="2"/>
      <w:numFmt w:val="chineseCounting"/>
      <w:isLgl w:val="false"/>
      <w:suff w:val="nothing"/>
      <w:lvlText w:val="%1、"/>
      <w:lvlJc w:val="left"/>
      <w:pPr>
        <w:pStyle w:val="10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65"/>
        <w:ind w:left="900" w:hanging="900"/>
        <w:tabs>
          <w:tab w:val="num" w:pos="900" w:leader="none"/>
        </w:tabs>
      </w:pPr>
      <w:rPr>
        <w:rFonts w:hint="eastAsia"/>
      </w:rPr>
    </w:lvl>
    <w:lvl w:ilvl="1">
      <w:start w:val="1"/>
      <w:numFmt w:val="decimal"/>
      <w:isLgl w:val="false"/>
      <w:suff w:val="tab"/>
      <w:lvlText w:val="%1.%2"/>
      <w:lvlJc w:val="left"/>
      <w:pPr>
        <w:pStyle w:val="10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5"/>
        <w:ind w:left="1980" w:hanging="900"/>
        <w:tabs>
          <w:tab w:val="num" w:pos="1980" w:leader="none"/>
        </w:tabs>
      </w:pPr>
      <w:rPr>
        <w:rFonts w:hint="eastAsia"/>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10"/>
  </w:num>
  <w:num w:numId="8">
    <w:abstractNumId w:val="7"/>
  </w:num>
  <w:num w:numId="9">
    <w:abstractNumId w:val="0"/>
  </w:num>
  <w:num w:numId="10">
    <w:abstractNumId w:val="12"/>
  </w:num>
  <w:num w:numId="11">
    <w:abstractNumId w:val="11"/>
  </w:num>
  <w:num w:numId="12">
    <w:abstractNumId w:val="15"/>
  </w:num>
  <w:num w:numId="13">
    <w:abstractNumId w:val="4"/>
  </w:num>
  <w:num w:numId="14">
    <w:abstractNumId w:val="14"/>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65"/>
    <w:next w:val="1065"/>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65"/>
    <w:next w:val="1065"/>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65"/>
    <w:next w:val="1065"/>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65"/>
    <w:next w:val="1065"/>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65"/>
    <w:next w:val="1065"/>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65"/>
    <w:next w:val="1065"/>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65"/>
    <w:next w:val="1065"/>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65"/>
    <w:next w:val="1065"/>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65"/>
    <w:next w:val="1065"/>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65"/>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65"/>
    <w:next w:val="1065"/>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65"/>
    <w:next w:val="1065"/>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65"/>
    <w:next w:val="1065"/>
    <w:link w:val="921"/>
    <w:uiPriority w:val="29"/>
    <w:qFormat/>
    <w:pPr>
      <w:ind w:left="720" w:right="720"/>
    </w:pPr>
    <w:rPr>
      <w:i/>
    </w:rPr>
  </w:style>
  <w:style w:type="character" w:styleId="921">
    <w:name w:val="Quote Char"/>
    <w:link w:val="920"/>
    <w:uiPriority w:val="29"/>
    <w:rPr>
      <w:i/>
    </w:rPr>
  </w:style>
  <w:style w:type="paragraph" w:styleId="922">
    <w:name w:val="Intense Quote"/>
    <w:basedOn w:val="1065"/>
    <w:next w:val="1065"/>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65"/>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65"/>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65"/>
    <w:next w:val="1065"/>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65"/>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65"/>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Heading"/>
    <w:uiPriority w:val="39"/>
    <w:unhideWhenUsed/>
  </w:style>
  <w:style w:type="paragraph" w:styleId="1064">
    <w:name w:val="table of figures"/>
    <w:basedOn w:val="1065"/>
    <w:next w:val="1065"/>
    <w:uiPriority w:val="99"/>
    <w:unhideWhenUsed/>
    <w:pPr>
      <w:spacing w:after="0" w:afterAutospacing="0"/>
    </w:pPr>
  </w:style>
  <w:style w:type="paragraph" w:styleId="1065" w:default="1">
    <w:name w:val="Normal"/>
    <w:next w:val="1065"/>
    <w:link w:val="1065"/>
    <w:qFormat/>
    <w:pPr>
      <w:jc w:val="both"/>
      <w:widowControl w:val="off"/>
    </w:pPr>
    <w:rPr>
      <w:sz w:val="21"/>
      <w:szCs w:val="24"/>
      <w:lang w:val="en-US" w:eastAsia="zh-CN" w:bidi="ar-SA"/>
    </w:rPr>
  </w:style>
  <w:style w:type="paragraph" w:styleId="1066">
    <w:name w:val="标题 1"/>
    <w:basedOn w:val="1065"/>
    <w:next w:val="1065"/>
    <w:link w:val="1078"/>
    <w:qFormat/>
    <w:pPr>
      <w:jc w:val="center"/>
      <w:keepLines/>
      <w:keepNext/>
      <w:spacing w:before="240" w:after="120" w:line="300" w:lineRule="auto"/>
      <w:outlineLvl w:val="0"/>
    </w:pPr>
    <w:rPr>
      <w:rFonts w:ascii="宋体"/>
      <w:b/>
      <w:sz w:val="32"/>
      <w:szCs w:val="20"/>
    </w:rPr>
  </w:style>
  <w:style w:type="paragraph" w:styleId="1067">
    <w:name w:val="标题 2"/>
    <w:basedOn w:val="1065"/>
    <w:next w:val="1080"/>
    <w:link w:val="1079"/>
    <w:qFormat/>
    <w:pPr>
      <w:jc w:val="center"/>
      <w:keepLines/>
      <w:keepNext/>
      <w:spacing w:before="120" w:line="300" w:lineRule="auto"/>
      <w:outlineLvl w:val="1"/>
    </w:pPr>
    <w:rPr>
      <w:rFonts w:ascii="Arial" w:hAnsi="Arial" w:eastAsia="黑体"/>
      <w:b/>
      <w:sz w:val="30"/>
      <w:szCs w:val="20"/>
    </w:rPr>
  </w:style>
  <w:style w:type="paragraph" w:styleId="1068">
    <w:name w:val="标题 3"/>
    <w:basedOn w:val="1065"/>
    <w:next w:val="1080"/>
    <w:link w:val="1082"/>
    <w:qFormat/>
    <w:pPr>
      <w:jc w:val="left"/>
      <w:keepLines/>
      <w:keepNext/>
      <w:spacing w:before="360" w:after="120"/>
      <w:outlineLvl w:val="2"/>
    </w:pPr>
    <w:rPr>
      <w:rFonts w:ascii="宋体"/>
      <w:b/>
      <w:sz w:val="24"/>
      <w:szCs w:val="20"/>
      <w:u w:val="single"/>
    </w:rPr>
  </w:style>
  <w:style w:type="paragraph" w:styleId="1069">
    <w:name w:val="标题 4"/>
    <w:basedOn w:val="1065"/>
    <w:next w:val="1065"/>
    <w:link w:val="1083"/>
    <w:qFormat/>
    <w:pPr>
      <w:keepLines/>
      <w:keepNext/>
      <w:spacing w:before="280" w:after="290" w:line="376" w:lineRule="atLeast"/>
      <w:outlineLvl w:val="3"/>
    </w:pPr>
    <w:rPr>
      <w:rFonts w:ascii="Arial" w:hAnsi="Arial" w:eastAsia="黑体"/>
      <w:b/>
      <w:sz w:val="28"/>
      <w:szCs w:val="20"/>
    </w:rPr>
  </w:style>
  <w:style w:type="paragraph" w:styleId="1070">
    <w:name w:val="标题 5"/>
    <w:basedOn w:val="1065"/>
    <w:next w:val="1065"/>
    <w:link w:val="1084"/>
    <w:qFormat/>
    <w:pPr>
      <w:keepLines/>
      <w:keepNext/>
      <w:spacing w:before="280" w:after="290" w:line="376" w:lineRule="atLeast"/>
      <w:outlineLvl w:val="4"/>
    </w:pPr>
    <w:rPr>
      <w:b/>
      <w:sz w:val="28"/>
      <w:szCs w:val="20"/>
    </w:rPr>
  </w:style>
  <w:style w:type="paragraph" w:styleId="1071">
    <w:name w:val="标题 6"/>
    <w:basedOn w:val="1065"/>
    <w:next w:val="1065"/>
    <w:link w:val="1085"/>
    <w:qFormat/>
    <w:pPr>
      <w:keepLines/>
      <w:keepNext/>
      <w:spacing w:before="240" w:after="64" w:line="320" w:lineRule="atLeast"/>
      <w:outlineLvl w:val="5"/>
    </w:pPr>
    <w:rPr>
      <w:rFonts w:ascii="Arial" w:hAnsi="Arial" w:eastAsia="黑体"/>
      <w:b/>
      <w:sz w:val="24"/>
      <w:szCs w:val="20"/>
    </w:rPr>
  </w:style>
  <w:style w:type="paragraph" w:styleId="1072">
    <w:name w:val="标题 7"/>
    <w:basedOn w:val="1065"/>
    <w:next w:val="1065"/>
    <w:link w:val="1086"/>
    <w:qFormat/>
    <w:pPr>
      <w:keepLines/>
      <w:keepNext/>
      <w:spacing w:before="240" w:after="64" w:line="320" w:lineRule="atLeast"/>
      <w:outlineLvl w:val="6"/>
    </w:pPr>
    <w:rPr>
      <w:b/>
      <w:sz w:val="24"/>
      <w:szCs w:val="20"/>
    </w:rPr>
  </w:style>
  <w:style w:type="paragraph" w:styleId="1073">
    <w:name w:val="标题 8"/>
    <w:basedOn w:val="1065"/>
    <w:next w:val="1065"/>
    <w:link w:val="1087"/>
    <w:qFormat/>
    <w:pPr>
      <w:keepLines/>
      <w:keepNext/>
      <w:spacing w:before="240" w:after="64" w:line="320" w:lineRule="atLeast"/>
      <w:outlineLvl w:val="7"/>
    </w:pPr>
    <w:rPr>
      <w:rFonts w:ascii="Arial" w:hAnsi="Arial" w:eastAsia="黑体"/>
      <w:sz w:val="24"/>
      <w:szCs w:val="20"/>
    </w:rPr>
  </w:style>
  <w:style w:type="paragraph" w:styleId="1074">
    <w:name w:val="标题 9"/>
    <w:basedOn w:val="1065"/>
    <w:next w:val="1065"/>
    <w:link w:val="1088"/>
    <w:qFormat/>
    <w:pPr>
      <w:keepLines/>
      <w:keepNext/>
      <w:spacing w:before="240" w:after="64" w:line="320" w:lineRule="atLeast"/>
      <w:outlineLvl w:val="8"/>
    </w:pPr>
    <w:rPr>
      <w:rFonts w:ascii="Arial" w:hAnsi="Arial" w:eastAsia="黑体"/>
      <w:szCs w:val="20"/>
    </w:rPr>
  </w:style>
  <w:style w:type="character" w:styleId="1075">
    <w:name w:val="默认段落字体"/>
    <w:next w:val="1075"/>
    <w:link w:val="1065"/>
    <w:uiPriority w:val="1"/>
    <w:unhideWhenUsed/>
    <w:qFormat/>
  </w:style>
  <w:style w:type="table" w:styleId="1076">
    <w:name w:val="普通表格"/>
    <w:next w:val="1076"/>
    <w:link w:val="1065"/>
    <w:uiPriority w:val="99"/>
    <w:unhideWhenUsed/>
    <w:qFormat/>
    <w:tblPr/>
  </w:style>
  <w:style w:type="numbering" w:styleId="1077">
    <w:name w:val="无列表"/>
    <w:next w:val="1077"/>
    <w:link w:val="1065"/>
    <w:uiPriority w:val="99"/>
    <w:semiHidden/>
    <w:unhideWhenUsed/>
  </w:style>
  <w:style w:type="character" w:styleId="1078">
    <w:name w:val="标题 1 字符"/>
    <w:next w:val="1078"/>
    <w:link w:val="1066"/>
    <w:qFormat/>
    <w:rPr>
      <w:rFonts w:ascii="宋体"/>
      <w:b/>
      <w:sz w:val="32"/>
    </w:rPr>
  </w:style>
  <w:style w:type="character" w:styleId="1079">
    <w:name w:val="标题 2 字符"/>
    <w:next w:val="1079"/>
    <w:link w:val="1067"/>
    <w:qFormat/>
    <w:rPr>
      <w:rFonts w:ascii="Arial" w:hAnsi="Arial" w:eastAsia="黑体"/>
      <w:b/>
      <w:sz w:val="30"/>
      <w:lang w:val="en-US" w:eastAsia="zh-CN" w:bidi="ar-SA"/>
    </w:rPr>
  </w:style>
  <w:style w:type="paragraph" w:styleId="1080">
    <w:name w:val="正文缩进"/>
    <w:basedOn w:val="1065"/>
    <w:next w:val="1080"/>
    <w:link w:val="1081"/>
    <w:uiPriority w:val="99"/>
    <w:qFormat/>
    <w:pPr>
      <w:ind w:firstLine="420"/>
      <w:jc w:val="left"/>
    </w:pPr>
    <w:rPr>
      <w:rFonts w:ascii="宋体"/>
      <w:sz w:val="24"/>
    </w:rPr>
  </w:style>
  <w:style w:type="character" w:styleId="1081">
    <w:name w:val="正文缩进 字符1"/>
    <w:next w:val="1081"/>
    <w:link w:val="1080"/>
    <w:qFormat/>
    <w:rPr>
      <w:rFonts w:ascii="宋体" w:eastAsia="宋体"/>
      <w:sz w:val="24"/>
      <w:szCs w:val="24"/>
      <w:lang w:val="en-US" w:eastAsia="zh-CN" w:bidi="ar-SA"/>
    </w:rPr>
  </w:style>
  <w:style w:type="character" w:styleId="1082">
    <w:name w:val="标题 3 字符"/>
    <w:next w:val="1082"/>
    <w:link w:val="1068"/>
    <w:qFormat/>
    <w:rPr>
      <w:rFonts w:ascii="宋体" w:eastAsia="宋体"/>
      <w:b/>
      <w:sz w:val="24"/>
      <w:u w:val="single"/>
      <w:lang w:val="en-US" w:eastAsia="zh-CN" w:bidi="ar-SA"/>
    </w:rPr>
  </w:style>
  <w:style w:type="character" w:styleId="1083">
    <w:name w:val="标题 4 字符"/>
    <w:next w:val="1083"/>
    <w:link w:val="1069"/>
    <w:qFormat/>
    <w:rPr>
      <w:rFonts w:ascii="Arial" w:hAnsi="Arial" w:eastAsia="黑体"/>
      <w:b/>
      <w:sz w:val="28"/>
    </w:rPr>
  </w:style>
  <w:style w:type="character" w:styleId="1084">
    <w:name w:val="标题 5 字符"/>
    <w:next w:val="1084"/>
    <w:link w:val="1070"/>
    <w:qFormat/>
    <w:rPr>
      <w:b/>
      <w:sz w:val="28"/>
    </w:rPr>
  </w:style>
  <w:style w:type="character" w:styleId="1085">
    <w:name w:val="标题 6 字符"/>
    <w:next w:val="1085"/>
    <w:link w:val="1071"/>
    <w:qFormat/>
    <w:rPr>
      <w:rFonts w:ascii="Arial" w:hAnsi="Arial" w:eastAsia="黑体"/>
      <w:b/>
      <w:sz w:val="24"/>
    </w:rPr>
  </w:style>
  <w:style w:type="character" w:styleId="1086">
    <w:name w:val="标题 7 字符"/>
    <w:next w:val="1086"/>
    <w:link w:val="1072"/>
    <w:qFormat/>
    <w:rPr>
      <w:b/>
      <w:sz w:val="24"/>
    </w:rPr>
  </w:style>
  <w:style w:type="character" w:styleId="1087">
    <w:name w:val="标题 8 字符"/>
    <w:next w:val="1087"/>
    <w:link w:val="1073"/>
    <w:qFormat/>
    <w:rPr>
      <w:rFonts w:ascii="Arial" w:hAnsi="Arial" w:eastAsia="黑体"/>
      <w:sz w:val="24"/>
    </w:rPr>
  </w:style>
  <w:style w:type="character" w:styleId="1088">
    <w:name w:val="标题 9 字符"/>
    <w:next w:val="1088"/>
    <w:link w:val="1074"/>
    <w:qFormat/>
    <w:rPr>
      <w:rFonts w:ascii="Arial" w:hAnsi="Arial" w:eastAsia="黑体"/>
      <w:sz w:val="21"/>
    </w:rPr>
  </w:style>
  <w:style w:type="paragraph" w:styleId="1089">
    <w:name w:val="toc 7"/>
    <w:basedOn w:val="1065"/>
    <w:next w:val="1065"/>
    <w:link w:val="1065"/>
    <w:qFormat/>
    <w:pPr>
      <w:ind w:left="2520"/>
    </w:pPr>
  </w:style>
  <w:style w:type="paragraph" w:styleId="1090">
    <w:name w:val="题注"/>
    <w:basedOn w:val="1065"/>
    <w:next w:val="1065"/>
    <w:link w:val="1065"/>
    <w:qFormat/>
    <w:pPr>
      <w:spacing w:line="480" w:lineRule="auto"/>
    </w:pPr>
    <w:rPr>
      <w:rFonts w:ascii="华文中宋" w:hAnsi="华文中宋" w:eastAsia="华文中宋"/>
      <w:sz w:val="36"/>
      <w:szCs w:val="20"/>
    </w:rPr>
  </w:style>
  <w:style w:type="paragraph" w:styleId="1091">
    <w:name w:val="文档结构图"/>
    <w:basedOn w:val="1065"/>
    <w:next w:val="1091"/>
    <w:link w:val="1092"/>
    <w:qFormat/>
    <w:pPr>
      <w:shd w:val="clear" w:color="auto" w:fill="000080"/>
    </w:pPr>
  </w:style>
  <w:style w:type="character" w:styleId="1092">
    <w:name w:val="文档结构图 字符"/>
    <w:next w:val="1092"/>
    <w:link w:val="1091"/>
    <w:qFormat/>
    <w:rPr>
      <w:sz w:val="21"/>
      <w:szCs w:val="24"/>
      <w:shd w:val="clear" w:color="auto" w:fill="000080"/>
    </w:rPr>
  </w:style>
  <w:style w:type="paragraph" w:styleId="1093">
    <w:name w:val="批注文字"/>
    <w:basedOn w:val="1065"/>
    <w:next w:val="1093"/>
    <w:link w:val="1094"/>
    <w:qFormat/>
    <w:pPr>
      <w:jc w:val="left"/>
    </w:pPr>
  </w:style>
  <w:style w:type="character" w:styleId="1094">
    <w:name w:val="批注文字 字符1"/>
    <w:next w:val="1094"/>
    <w:link w:val="1093"/>
    <w:uiPriority w:val="99"/>
    <w:qFormat/>
    <w:rPr>
      <w:sz w:val="21"/>
      <w:szCs w:val="24"/>
    </w:rPr>
  </w:style>
  <w:style w:type="paragraph" w:styleId="1095">
    <w:name w:val="正文文本 3"/>
    <w:basedOn w:val="1065"/>
    <w:next w:val="1095"/>
    <w:link w:val="1096"/>
    <w:qFormat/>
    <w:pPr>
      <w:spacing w:after="120"/>
    </w:pPr>
    <w:rPr>
      <w:sz w:val="16"/>
      <w:szCs w:val="16"/>
    </w:rPr>
  </w:style>
  <w:style w:type="character" w:styleId="1096">
    <w:name w:val="正文文本 3 字符"/>
    <w:next w:val="1096"/>
    <w:link w:val="1095"/>
    <w:qFormat/>
    <w:rPr>
      <w:sz w:val="16"/>
      <w:szCs w:val="16"/>
    </w:rPr>
  </w:style>
  <w:style w:type="paragraph" w:styleId="1097">
    <w:name w:val="正文文本"/>
    <w:basedOn w:val="1065"/>
    <w:next w:val="1097"/>
    <w:link w:val="1098"/>
    <w:qFormat/>
    <w:pPr>
      <w:spacing w:before="120" w:line="22" w:lineRule="atLeast"/>
      <w:tabs>
        <w:tab w:val="left" w:pos="567" w:leader="none"/>
      </w:tabs>
    </w:pPr>
    <w:rPr>
      <w:rFonts w:ascii="宋体" w:hAnsi="宋体"/>
      <w:sz w:val="24"/>
    </w:rPr>
  </w:style>
  <w:style w:type="character" w:styleId="1098">
    <w:name w:val="正文文本 字符1"/>
    <w:next w:val="1098"/>
    <w:link w:val="1097"/>
    <w:qFormat/>
    <w:rPr>
      <w:rFonts w:ascii="宋体" w:hAnsi="宋体"/>
      <w:sz w:val="24"/>
      <w:szCs w:val="24"/>
    </w:rPr>
  </w:style>
  <w:style w:type="paragraph" w:styleId="1099">
    <w:name w:val="正文文本缩进"/>
    <w:basedOn w:val="1065"/>
    <w:next w:val="1099"/>
    <w:link w:val="1100"/>
    <w:qFormat/>
    <w:pPr>
      <w:ind w:firstLine="570"/>
      <w:spacing w:line="360" w:lineRule="auto"/>
    </w:pPr>
    <w:rPr>
      <w:sz w:val="24"/>
    </w:rPr>
  </w:style>
  <w:style w:type="character" w:styleId="1100">
    <w:name w:val="正文文本缩进 字符"/>
    <w:next w:val="1100"/>
    <w:link w:val="1099"/>
    <w:qFormat/>
    <w:rPr>
      <w:rFonts w:eastAsia="宋体"/>
      <w:sz w:val="24"/>
      <w:szCs w:val="24"/>
      <w:lang w:val="en-US" w:eastAsia="zh-CN" w:bidi="ar-SA"/>
    </w:rPr>
  </w:style>
  <w:style w:type="paragraph" w:styleId="1101">
    <w:name w:val="列表 2"/>
    <w:basedOn w:val="1065"/>
    <w:next w:val="1101"/>
    <w:link w:val="1065"/>
    <w:qFormat/>
    <w:pPr>
      <w:ind w:left="100" w:hanging="200"/>
    </w:pPr>
  </w:style>
  <w:style w:type="paragraph" w:styleId="1102">
    <w:name w:val="文本块"/>
    <w:basedOn w:val="1065"/>
    <w:next w:val="1102"/>
    <w:link w:val="1065"/>
    <w:qFormat/>
    <w:pPr>
      <w:ind w:left="480" w:right="-341" w:firstLine="513"/>
      <w:widowControl/>
    </w:pPr>
    <w:rPr>
      <w:sz w:val="24"/>
      <w:szCs w:val="20"/>
    </w:rPr>
  </w:style>
  <w:style w:type="paragraph" w:styleId="1103">
    <w:name w:val="toc 5"/>
    <w:basedOn w:val="1065"/>
    <w:next w:val="1065"/>
    <w:link w:val="1065"/>
    <w:qFormat/>
    <w:pPr>
      <w:ind w:left="1680"/>
    </w:pPr>
  </w:style>
  <w:style w:type="paragraph" w:styleId="1104">
    <w:name w:val="toc 3"/>
    <w:basedOn w:val="1065"/>
    <w:next w:val="1065"/>
    <w:link w:val="1065"/>
    <w:uiPriority w:val="39"/>
    <w:qFormat/>
    <w:pPr>
      <w:ind w:left="840"/>
    </w:pPr>
  </w:style>
  <w:style w:type="paragraph" w:styleId="1105">
    <w:name w:val="纯文本"/>
    <w:basedOn w:val="1065"/>
    <w:next w:val="1105"/>
    <w:link w:val="1106"/>
    <w:qFormat/>
    <w:rPr>
      <w:rFonts w:hint="eastAsia" w:ascii="宋体" w:hAnsi="Courier New"/>
      <w:szCs w:val="20"/>
    </w:rPr>
  </w:style>
  <w:style w:type="character" w:styleId="1106">
    <w:name w:val="纯文本 字符2"/>
    <w:next w:val="1106"/>
    <w:link w:val="1105"/>
    <w:uiPriority w:val="99"/>
    <w:qFormat/>
    <w:rPr>
      <w:rFonts w:hint="eastAsia" w:ascii="宋体" w:hAnsi="Courier New" w:eastAsia="宋体" w:cs="宋体"/>
      <w:sz w:val="21"/>
    </w:rPr>
  </w:style>
  <w:style w:type="paragraph" w:styleId="1107">
    <w:name w:val="toc 8"/>
    <w:basedOn w:val="1065"/>
    <w:next w:val="1065"/>
    <w:link w:val="1065"/>
    <w:qFormat/>
    <w:pPr>
      <w:ind w:left="2940"/>
    </w:pPr>
  </w:style>
  <w:style w:type="paragraph" w:styleId="1108">
    <w:name w:val="日期"/>
    <w:basedOn w:val="1065"/>
    <w:next w:val="1065"/>
    <w:link w:val="1109"/>
    <w:qFormat/>
    <w:pPr>
      <w:ind w:left="100"/>
    </w:pPr>
    <w:rPr>
      <w:rFonts w:ascii="仿宋_GB2312" w:hAnsi="宋体" w:eastAsia="仿宋_GB2312"/>
      <w:color w:val="000000"/>
      <w:sz w:val="24"/>
    </w:rPr>
  </w:style>
  <w:style w:type="character" w:styleId="1109">
    <w:name w:val="日期 字符"/>
    <w:next w:val="1109"/>
    <w:link w:val="1108"/>
    <w:qFormat/>
    <w:rPr>
      <w:rFonts w:ascii="仿宋_GB2312" w:hAnsi="宋体" w:eastAsia="仿宋_GB2312"/>
      <w:color w:val="000000"/>
      <w:sz w:val="24"/>
      <w:szCs w:val="24"/>
    </w:rPr>
  </w:style>
  <w:style w:type="paragraph" w:styleId="1110">
    <w:name w:val="正文文本缩进 2"/>
    <w:basedOn w:val="1065"/>
    <w:next w:val="1110"/>
    <w:link w:val="1111"/>
    <w:qFormat/>
    <w:pPr>
      <w:ind w:firstLine="480"/>
    </w:pPr>
    <w:rPr>
      <w:rFonts w:ascii="仿宋_GB2312" w:eastAsia="仿宋_GB2312"/>
      <w:sz w:val="24"/>
    </w:rPr>
  </w:style>
  <w:style w:type="character" w:styleId="1111">
    <w:name w:val="正文文本缩进 2 字符"/>
    <w:next w:val="1111"/>
    <w:link w:val="1110"/>
    <w:qFormat/>
    <w:rPr>
      <w:rFonts w:ascii="仿宋_GB2312" w:eastAsia="仿宋_GB2312"/>
      <w:sz w:val="24"/>
      <w:szCs w:val="24"/>
    </w:rPr>
  </w:style>
  <w:style w:type="paragraph" w:styleId="1112">
    <w:name w:val="批注框文本"/>
    <w:basedOn w:val="1065"/>
    <w:next w:val="1112"/>
    <w:link w:val="1113"/>
    <w:qFormat/>
    <w:rPr>
      <w:sz w:val="18"/>
      <w:szCs w:val="18"/>
    </w:rPr>
  </w:style>
  <w:style w:type="character" w:styleId="1113">
    <w:name w:val="批注框文本 字符"/>
    <w:next w:val="1113"/>
    <w:link w:val="1112"/>
    <w:qFormat/>
    <w:rPr>
      <w:sz w:val="18"/>
      <w:szCs w:val="18"/>
    </w:rPr>
  </w:style>
  <w:style w:type="paragraph" w:styleId="1114">
    <w:name w:val="页脚"/>
    <w:basedOn w:val="1065"/>
    <w:next w:val="1114"/>
    <w:link w:val="1115"/>
    <w:uiPriority w:val="99"/>
    <w:qFormat/>
    <w:pPr>
      <w:jc w:val="left"/>
      <w:tabs>
        <w:tab w:val="center" w:pos="4153" w:leader="none"/>
        <w:tab w:val="right" w:pos="8306" w:leader="none"/>
      </w:tabs>
    </w:pPr>
    <w:rPr>
      <w:rFonts w:ascii="宋体"/>
      <w:sz w:val="18"/>
      <w:szCs w:val="20"/>
    </w:rPr>
  </w:style>
  <w:style w:type="character" w:styleId="1115">
    <w:name w:val="页脚 字符"/>
    <w:next w:val="1115"/>
    <w:link w:val="1114"/>
    <w:uiPriority w:val="99"/>
    <w:qFormat/>
    <w:rPr>
      <w:rFonts w:ascii="宋体" w:eastAsia="宋体"/>
      <w:sz w:val="18"/>
      <w:lang w:val="en-US" w:eastAsia="zh-CN" w:bidi="ar-SA"/>
    </w:rPr>
  </w:style>
  <w:style w:type="paragraph" w:styleId="1116">
    <w:name w:val="页眉"/>
    <w:basedOn w:val="1065"/>
    <w:next w:val="1116"/>
    <w:link w:val="1117"/>
    <w:qFormat/>
    <w:pPr>
      <w:jc w:val="center"/>
      <w:tabs>
        <w:tab w:val="center" w:pos="4153" w:leader="none"/>
        <w:tab w:val="right" w:pos="8306" w:leader="none"/>
      </w:tabs>
      <w:pBdr>
        <w:bottom w:val="single" w:color="000000" w:sz="6" w:space="1"/>
      </w:pBdr>
    </w:pPr>
    <w:rPr>
      <w:sz w:val="18"/>
      <w:szCs w:val="18"/>
    </w:rPr>
  </w:style>
  <w:style w:type="character" w:styleId="1117">
    <w:name w:val="页眉 字符"/>
    <w:next w:val="1117"/>
    <w:link w:val="1116"/>
    <w:qFormat/>
    <w:rPr>
      <w:rFonts w:eastAsia="宋体"/>
      <w:sz w:val="18"/>
      <w:szCs w:val="18"/>
      <w:lang w:val="en-US" w:eastAsia="zh-CN" w:bidi="ar-SA"/>
    </w:rPr>
  </w:style>
  <w:style w:type="paragraph" w:styleId="1118">
    <w:name w:val="toc 1"/>
    <w:basedOn w:val="1065"/>
    <w:next w:val="1065"/>
    <w:link w:val="1065"/>
    <w:uiPriority w:val="39"/>
    <w:qFormat/>
    <w:pPr>
      <w:spacing w:line="300" w:lineRule="auto"/>
      <w:tabs>
        <w:tab w:val="left" w:pos="1050" w:leader="none"/>
        <w:tab w:val="right" w:pos="8937" w:leader="dot"/>
      </w:tabs>
    </w:pPr>
    <w:rPr>
      <w:rFonts w:ascii="宋体" w:hAnsi="宋体"/>
      <w:b/>
      <w:sz w:val="24"/>
    </w:rPr>
  </w:style>
  <w:style w:type="paragraph" w:styleId="1119">
    <w:name w:val="toc 4"/>
    <w:basedOn w:val="1065"/>
    <w:next w:val="1065"/>
    <w:link w:val="1065"/>
    <w:qFormat/>
    <w:pPr>
      <w:ind w:left="1260"/>
    </w:pPr>
  </w:style>
  <w:style w:type="paragraph" w:styleId="1120">
    <w:name w:val="toc 6"/>
    <w:basedOn w:val="1065"/>
    <w:next w:val="1065"/>
    <w:link w:val="1065"/>
    <w:qFormat/>
    <w:pPr>
      <w:ind w:left="2100"/>
    </w:pPr>
  </w:style>
  <w:style w:type="paragraph" w:styleId="1121">
    <w:name w:val="正文文本缩进 3"/>
    <w:basedOn w:val="1065"/>
    <w:next w:val="1121"/>
    <w:link w:val="1122"/>
    <w:qFormat/>
    <w:pPr>
      <w:ind w:left="720" w:firstLine="480"/>
      <w:jc w:val="left"/>
      <w:spacing w:before="120" w:line="22" w:lineRule="atLeast"/>
    </w:pPr>
    <w:rPr>
      <w:rFonts w:ascii="宋体"/>
      <w:sz w:val="24"/>
      <w:szCs w:val="20"/>
    </w:rPr>
  </w:style>
  <w:style w:type="character" w:styleId="1122">
    <w:name w:val="正文文本缩进 3 字符"/>
    <w:next w:val="1122"/>
    <w:link w:val="1121"/>
    <w:qFormat/>
    <w:rPr>
      <w:rFonts w:ascii="宋体"/>
      <w:sz w:val="24"/>
    </w:rPr>
  </w:style>
  <w:style w:type="paragraph" w:styleId="1123">
    <w:name w:val="toc 2"/>
    <w:basedOn w:val="1065"/>
    <w:next w:val="1065"/>
    <w:link w:val="1065"/>
    <w:uiPriority w:val="39"/>
    <w:qFormat/>
    <w:pPr>
      <w:ind w:left="420"/>
      <w:spacing w:line="312" w:lineRule="auto"/>
      <w:tabs>
        <w:tab w:val="right" w:pos="8937" w:leader="dot"/>
      </w:tabs>
    </w:pPr>
  </w:style>
  <w:style w:type="paragraph" w:styleId="1124">
    <w:name w:val="toc 9"/>
    <w:basedOn w:val="1065"/>
    <w:next w:val="1065"/>
    <w:link w:val="1065"/>
    <w:qFormat/>
    <w:pPr>
      <w:ind w:left="3360"/>
    </w:pPr>
  </w:style>
  <w:style w:type="paragraph" w:styleId="1125">
    <w:name w:val="HTML 预设格式"/>
    <w:basedOn w:val="1065"/>
    <w:next w:val="1125"/>
    <w:link w:val="11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6">
    <w:name w:val="HTML 预设格式 字符"/>
    <w:next w:val="1126"/>
    <w:link w:val="1125"/>
    <w:qFormat/>
    <w:rPr>
      <w:rFonts w:ascii="宋体" w:hAnsi="宋体" w:cs="宋体"/>
      <w:sz w:val="24"/>
      <w:szCs w:val="24"/>
    </w:rPr>
  </w:style>
  <w:style w:type="paragraph" w:styleId="1127">
    <w:name w:val="普通(网站)"/>
    <w:basedOn w:val="1065"/>
    <w:next w:val="1127"/>
    <w:link w:val="1065"/>
    <w:uiPriority w:val="99"/>
    <w:unhideWhenUsed/>
    <w:qFormat/>
    <w:pPr>
      <w:jc w:val="left"/>
      <w:spacing w:before="100" w:beforeAutospacing="1" w:after="100" w:afterAutospacing="1"/>
      <w:widowControl/>
    </w:pPr>
    <w:rPr>
      <w:rFonts w:ascii="宋体" w:hAnsi="宋体" w:cs="宋体"/>
      <w:sz w:val="24"/>
    </w:rPr>
  </w:style>
  <w:style w:type="paragraph" w:styleId="1128">
    <w:name w:val="索引 1"/>
    <w:basedOn w:val="1065"/>
    <w:next w:val="1065"/>
    <w:link w:val="1065"/>
    <w:qFormat/>
    <w:rPr>
      <w:szCs w:val="20"/>
    </w:rPr>
  </w:style>
  <w:style w:type="paragraph" w:styleId="1129">
    <w:name w:val="标题"/>
    <w:basedOn w:val="1065"/>
    <w:next w:val="1129"/>
    <w:link w:val="1130"/>
    <w:qFormat/>
    <w:pPr>
      <w:jc w:val="center"/>
      <w:outlineLvl w:val="0"/>
    </w:pPr>
    <w:rPr>
      <w:b/>
      <w:sz w:val="32"/>
      <w:szCs w:val="20"/>
    </w:rPr>
  </w:style>
  <w:style w:type="character" w:styleId="1130">
    <w:name w:val="标题 字符"/>
    <w:next w:val="1130"/>
    <w:link w:val="1129"/>
    <w:qFormat/>
    <w:rPr>
      <w:b/>
      <w:sz w:val="32"/>
    </w:rPr>
  </w:style>
  <w:style w:type="paragraph" w:styleId="1131">
    <w:name w:val="批注主题"/>
    <w:basedOn w:val="1093"/>
    <w:next w:val="1093"/>
    <w:link w:val="1132"/>
    <w:qFormat/>
    <w:rPr>
      <w:b/>
      <w:bCs/>
    </w:rPr>
  </w:style>
  <w:style w:type="character" w:styleId="1132">
    <w:name w:val="批注主题 字符"/>
    <w:next w:val="1132"/>
    <w:link w:val="1131"/>
    <w:qFormat/>
    <w:rPr>
      <w:rFonts w:ascii="Times New Roman" w:hAnsi="Times New Roman" w:eastAsia="宋体" w:cs="Times New Roman"/>
      <w:b/>
      <w:bCs/>
      <w:sz w:val="21"/>
      <w:szCs w:val="24"/>
      <w:lang w:val="en-US" w:eastAsia="zh-CN" w:bidi="ar-SA"/>
    </w:rPr>
  </w:style>
  <w:style w:type="paragraph" w:styleId="1133">
    <w:name w:val="正文文本首行缩进 2"/>
    <w:basedOn w:val="1099"/>
    <w:next w:val="1133"/>
    <w:link w:val="1134"/>
    <w:qFormat/>
    <w:pPr>
      <w:ind w:left="420" w:firstLine="420"/>
      <w:spacing w:after="120" w:line="480" w:lineRule="exact"/>
    </w:pPr>
    <w:rPr>
      <w:szCs w:val="20"/>
    </w:rPr>
  </w:style>
  <w:style w:type="character" w:styleId="1134">
    <w:name w:val="正文文本首行缩进 2 字符"/>
    <w:next w:val="1134"/>
    <w:link w:val="1133"/>
    <w:qFormat/>
    <w:rPr>
      <w:rFonts w:eastAsia="宋体"/>
      <w:sz w:val="24"/>
      <w:szCs w:val="24"/>
      <w:lang w:val="en-US" w:eastAsia="zh-CN" w:bidi="ar-SA"/>
    </w:rPr>
  </w:style>
  <w:style w:type="table" w:styleId="1135">
    <w:name w:val="网格型"/>
    <w:basedOn w:val="1076"/>
    <w:next w:val="1135"/>
    <w:link w:val="1065"/>
    <w:uiPriority w:val="39"/>
    <w:qFormat/>
    <w:tblPr/>
  </w:style>
  <w:style w:type="table" w:styleId="1136">
    <w:name w:val="中等深浅网格 1 - 着色 2"/>
    <w:basedOn w:val="1076"/>
    <w:next w:val="1136"/>
    <w:link w:val="1065"/>
    <w:qFormat/>
    <w:rPr>
      <w:sz w:val="21"/>
      <w:szCs w:val="24"/>
    </w:rPr>
    <w:tblPr/>
  </w:style>
  <w:style w:type="character" w:styleId="1137">
    <w:name w:val="要点"/>
    <w:next w:val="1137"/>
    <w:link w:val="1065"/>
    <w:qFormat/>
    <w:rPr>
      <w:b/>
      <w:bCs/>
    </w:rPr>
  </w:style>
  <w:style w:type="character" w:styleId="1138">
    <w:name w:val="页码"/>
    <w:next w:val="1138"/>
    <w:link w:val="1065"/>
    <w:qFormat/>
  </w:style>
  <w:style w:type="character" w:styleId="1139">
    <w:name w:val="访问过的超链接"/>
    <w:next w:val="1139"/>
    <w:link w:val="1065"/>
    <w:qFormat/>
    <w:rPr>
      <w:color w:val="800080"/>
      <w:u w:val="single"/>
    </w:rPr>
  </w:style>
  <w:style w:type="character" w:styleId="1140">
    <w:name w:val="强调"/>
    <w:next w:val="1140"/>
    <w:link w:val="1065"/>
    <w:qFormat/>
    <w:rPr>
      <w:color w:val="cc0033"/>
    </w:rPr>
  </w:style>
  <w:style w:type="character" w:styleId="1141">
    <w:name w:val="超链接"/>
    <w:next w:val="1141"/>
    <w:link w:val="1065"/>
    <w:uiPriority w:val="99"/>
    <w:qFormat/>
    <w:rPr>
      <w:color w:val="0000ff"/>
      <w:u w:val="single"/>
    </w:rPr>
  </w:style>
  <w:style w:type="character" w:styleId="1142">
    <w:name w:val="批注引用"/>
    <w:next w:val="1142"/>
    <w:link w:val="1065"/>
    <w:qFormat/>
    <w:rPr>
      <w:sz w:val="21"/>
      <w:szCs w:val="21"/>
    </w:rPr>
  </w:style>
  <w:style w:type="character" w:styleId="1143">
    <w:name w:val="HTML 引文"/>
    <w:next w:val="1143"/>
    <w:link w:val="1065"/>
    <w:qFormat/>
    <w:rPr>
      <w:i/>
      <w:iCs/>
    </w:rPr>
  </w:style>
  <w:style w:type="character" w:styleId="1144">
    <w:name w:val="批注文字 字符"/>
    <w:next w:val="1144"/>
    <w:link w:val="1065"/>
    <w:uiPriority w:val="99"/>
    <w:qFormat/>
    <w:rPr>
      <w:rFonts w:ascii="Times New Roman" w:hAnsi="Times New Roman" w:eastAsia="宋体" w:cs="Times New Roman"/>
      <w:sz w:val="24"/>
      <w:lang w:val="en-US" w:eastAsia="zh-CN" w:bidi="ar-SA"/>
    </w:rPr>
  </w:style>
  <w:style w:type="character" w:styleId="1145">
    <w:name w:val="c21"/>
    <w:next w:val="1145"/>
    <w:link w:val="1065"/>
    <w:qFormat/>
    <w:rPr>
      <w:rFonts w:ascii="ˎ̥" w:hAnsi="ˎ̥"/>
      <w:color w:val="000000"/>
      <w:sz w:val="20"/>
      <w:szCs w:val="20"/>
      <w:u w:val="none"/>
    </w:rPr>
  </w:style>
  <w:style w:type="character" w:styleId="1146">
    <w:name w:val="title4"/>
    <w:next w:val="1146"/>
    <w:link w:val="1065"/>
    <w:qFormat/>
    <w:rPr>
      <w:b/>
      <w:bCs/>
      <w:color w:val="1d87b3"/>
      <w:sz w:val="15"/>
      <w:szCs w:val="15"/>
    </w:rPr>
  </w:style>
  <w:style w:type="character" w:styleId="1147">
    <w:name w:val="标题 2 Char Char"/>
    <w:next w:val="1147"/>
    <w:link w:val="1065"/>
    <w:qFormat/>
    <w:rPr>
      <w:rFonts w:ascii="Arial" w:hAnsi="Arial" w:eastAsia="黑体"/>
      <w:b/>
      <w:bCs/>
      <w:sz w:val="32"/>
      <w:szCs w:val="32"/>
      <w:lang w:val="en-US" w:eastAsia="zh-CN" w:bidi="ar-SA"/>
    </w:rPr>
  </w:style>
  <w:style w:type="character" w:styleId="1148">
    <w:name w:val="black1"/>
    <w:next w:val="1148"/>
    <w:link w:val="1065"/>
    <w:qFormat/>
    <w:rPr>
      <w:color w:val="000000"/>
    </w:rPr>
  </w:style>
  <w:style w:type="character" w:styleId="1149">
    <w:name w:val="street-address"/>
    <w:next w:val="1149"/>
    <w:link w:val="1065"/>
    <w:qFormat/>
  </w:style>
  <w:style w:type="character" w:styleId="1150">
    <w:name w:val="locality"/>
    <w:next w:val="1150"/>
    <w:link w:val="1065"/>
    <w:qFormat/>
  </w:style>
  <w:style w:type="character" w:styleId="1151">
    <w:name w:val="正文文本缩进 Char1"/>
    <w:next w:val="1151"/>
    <w:link w:val="1152"/>
    <w:qFormat/>
    <w:rPr>
      <w:rFonts w:ascii="宋体" w:hAnsi="宋体" w:eastAsia="宋体"/>
      <w:sz w:val="24"/>
      <w:szCs w:val="24"/>
      <w:lang w:bidi="ar-SA"/>
    </w:rPr>
  </w:style>
  <w:style w:type="paragraph" w:styleId="1152">
    <w:name w:val="正文文本缩进1"/>
    <w:basedOn w:val="1065"/>
    <w:next w:val="1152"/>
    <w:link w:val="1151"/>
    <w:qFormat/>
    <w:pPr>
      <w:ind w:firstLine="480"/>
      <w:spacing w:line="480" w:lineRule="exact"/>
    </w:pPr>
    <w:rPr>
      <w:rFonts w:ascii="宋体" w:hAnsi="宋体"/>
      <w:sz w:val="24"/>
    </w:rPr>
  </w:style>
  <w:style w:type="character" w:styleId="1153">
    <w:name w:val="Char Char11"/>
    <w:next w:val="1153"/>
    <w:link w:val="1065"/>
    <w:qFormat/>
    <w:rPr>
      <w:rFonts w:ascii="宋体" w:eastAsia="宋体"/>
      <w:b/>
      <w:sz w:val="24"/>
      <w:u w:val="single"/>
      <w:lang w:val="en-US" w:eastAsia="zh-CN" w:bidi="ar-SA"/>
    </w:rPr>
  </w:style>
  <w:style w:type="character" w:styleId="1154">
    <w:name w:val="txt"/>
    <w:next w:val="1154"/>
    <w:link w:val="1065"/>
    <w:qFormat/>
  </w:style>
  <w:style w:type="character" w:styleId="1155">
    <w:name w:val="正文缩进 Char Char"/>
    <w:next w:val="1155"/>
    <w:link w:val="1156"/>
    <w:qFormat/>
    <w:rPr>
      <w:rFonts w:ascii="宋体" w:eastAsia="宋体"/>
      <w:color w:val="000000"/>
      <w:sz w:val="28"/>
      <w:lang w:bidi="ar-SA"/>
    </w:rPr>
  </w:style>
  <w:style w:type="paragraph" w:styleId="1156">
    <w:name w:val="正文缩进1"/>
    <w:basedOn w:val="1065"/>
    <w:next w:val="1156"/>
    <w:link w:val="1155"/>
    <w:qFormat/>
    <w:pPr>
      <w:ind w:firstLine="567"/>
      <w:spacing w:line="480" w:lineRule="exact"/>
      <w:widowControl/>
    </w:pPr>
    <w:rPr>
      <w:rFonts w:ascii="宋体"/>
      <w:color w:val="000000"/>
      <w:sz w:val="28"/>
      <w:szCs w:val="20"/>
    </w:rPr>
  </w:style>
  <w:style w:type="character" w:styleId="1157">
    <w:name w:val="普通文字1 Char1"/>
    <w:next w:val="1157"/>
    <w:link w:val="1065"/>
    <w:qFormat/>
    <w:rPr>
      <w:rFonts w:ascii="宋体" w:hAnsi="Courier New" w:eastAsia="宋体"/>
      <w:sz w:val="21"/>
      <w:lang w:val="en-US" w:eastAsia="zh-CN" w:bidi="ar-SA"/>
    </w:rPr>
  </w:style>
  <w:style w:type="character" w:styleId="1158">
    <w:name w:val="chanpin1"/>
    <w:next w:val="1158"/>
    <w:link w:val="1065"/>
    <w:qFormat/>
    <w:rPr>
      <w:rFonts w:ascii="ˎ̥" w:hAnsi="ˎ̥"/>
      <w:color w:val="000000"/>
      <w:sz w:val="20"/>
      <w:szCs w:val="20"/>
      <w:u w:val="none"/>
    </w:rPr>
  </w:style>
  <w:style w:type="character" w:styleId="1159">
    <w:name w:val="列表段落 字符"/>
    <w:next w:val="1159"/>
    <w:link w:val="1160"/>
    <w:uiPriority w:val="34"/>
    <w:qFormat/>
    <w:rPr>
      <w:rFonts w:ascii="Calibri" w:hAnsi="Calibri" w:eastAsia="宋体"/>
      <w:sz w:val="21"/>
      <w:szCs w:val="22"/>
      <w:lang w:val="en-US" w:eastAsia="zh-CN" w:bidi="ar-SA"/>
    </w:rPr>
  </w:style>
  <w:style w:type="paragraph" w:styleId="1160">
    <w:name w:val="列表段落"/>
    <w:basedOn w:val="1065"/>
    <w:next w:val="1160"/>
    <w:link w:val="1159"/>
    <w:uiPriority w:val="34"/>
    <w:qFormat/>
    <w:pPr>
      <w:ind w:firstLine="420"/>
    </w:pPr>
    <w:rPr>
      <w:rFonts w:ascii="Calibri" w:hAnsi="Calibri"/>
      <w:szCs w:val="22"/>
    </w:rPr>
  </w:style>
  <w:style w:type="character" w:styleId="1161">
    <w:name w:val="标题 3 Char Char"/>
    <w:next w:val="1161"/>
    <w:link w:val="1065"/>
    <w:qFormat/>
    <w:rPr>
      <w:rFonts w:eastAsia="宋体"/>
      <w:b/>
      <w:bCs/>
      <w:sz w:val="32"/>
      <w:szCs w:val="32"/>
      <w:lang w:val="en-US" w:eastAsia="zh-CN" w:bidi="ar-SA"/>
    </w:rPr>
  </w:style>
  <w:style w:type="character" w:styleId="1162">
    <w:name w:val="段1 Char"/>
    <w:next w:val="1162"/>
    <w:link w:val="1065"/>
    <w:qFormat/>
    <w:rPr>
      <w:rFonts w:ascii="宋体" w:eastAsia="宋体"/>
      <w:sz w:val="24"/>
      <w:lang w:val="en-US" w:eastAsia="zh-CN" w:bidi="ar-SA"/>
    </w:rPr>
  </w:style>
  <w:style w:type="character" w:styleId="1163">
    <w:name w:val="chanpin拷贝"/>
    <w:next w:val="1163"/>
    <w:link w:val="1065"/>
    <w:qFormat/>
  </w:style>
  <w:style w:type="character" w:styleId="1164">
    <w:name w:val="纯文本 Char1"/>
    <w:next w:val="1164"/>
    <w:link w:val="1065"/>
    <w:uiPriority w:val="99"/>
    <w:qFormat/>
    <w:rPr>
      <w:rFonts w:ascii="宋体" w:hAnsi="Courier New" w:eastAsia="宋体"/>
      <w:sz w:val="21"/>
      <w:lang w:val="en-US" w:eastAsia="zh-CN" w:bidi="ar-SA"/>
    </w:rPr>
  </w:style>
  <w:style w:type="character" w:styleId="1165">
    <w:name w:val="apple-style-span"/>
    <w:next w:val="1165"/>
    <w:link w:val="1065"/>
    <w:qFormat/>
    <w:rPr>
      <w:rFonts w:cs="Times New Roman"/>
    </w:rPr>
  </w:style>
  <w:style w:type="paragraph" w:styleId="1166">
    <w:name w:val="二级条标题"/>
    <w:basedOn w:val="1167"/>
    <w:next w:val="1065"/>
    <w:link w:val="1065"/>
    <w:qFormat/>
    <w:pPr>
      <w:numPr>
        <w:ilvl w:val="0"/>
        <w:numId w:val="0"/>
      </w:numPr>
      <w:ind w:hanging="840"/>
      <w:tabs>
        <w:tab w:val="left" w:pos="360" w:leader="none"/>
        <w:tab w:val="left" w:pos="840" w:leader="none"/>
      </w:tabs>
      <w:outlineLvl w:val="2"/>
    </w:pPr>
    <w:rPr>
      <w:rFonts w:ascii="宋体" w:eastAsia="宋体"/>
      <w:b w:val="0"/>
    </w:rPr>
  </w:style>
  <w:style w:type="paragraph" w:styleId="1167">
    <w:name w:val="一级条标题"/>
    <w:basedOn w:val="1168"/>
    <w:next w:val="1065"/>
    <w:link w:val="1065"/>
    <w:qFormat/>
    <w:pPr>
      <w:numPr>
        <w:ilvl w:val="1"/>
      </w:numPr>
      <w:ind w:left="0" w:hanging="840"/>
      <w:tabs>
        <w:tab w:val="left" w:pos="360" w:leader="none"/>
        <w:tab w:val="left" w:pos="840" w:leader="none"/>
      </w:tabs>
      <w:outlineLvl w:val="1"/>
    </w:pPr>
  </w:style>
  <w:style w:type="paragraph" w:styleId="1168">
    <w:name w:val="章标题"/>
    <w:next w:val="1065"/>
    <w:link w:val="106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9">
    <w:name w:val="font7"/>
    <w:basedOn w:val="1065"/>
    <w:next w:val="1169"/>
    <w:link w:val="1065"/>
    <w:qFormat/>
    <w:pPr>
      <w:jc w:val="left"/>
      <w:spacing w:before="100" w:beforeAutospacing="1" w:after="100" w:afterAutospacing="1"/>
      <w:widowControl/>
    </w:pPr>
    <w:rPr>
      <w:rFonts w:eastAsia="Arial Unicode MS"/>
      <w:b/>
      <w:bCs/>
      <w:color w:val="000000"/>
      <w:sz w:val="20"/>
      <w:szCs w:val="20"/>
    </w:rPr>
  </w:style>
  <w:style w:type="paragraph" w:styleId="1170">
    <w:name w:val="字元 字元"/>
    <w:basedOn w:val="1065"/>
    <w:next w:val="1170"/>
    <w:link w:val="1065"/>
    <w:qFormat/>
    <w:rPr>
      <w:rFonts w:ascii="Tahoma" w:hAnsi="Tahoma"/>
      <w:sz w:val="24"/>
      <w:szCs w:val="20"/>
    </w:rPr>
  </w:style>
  <w:style w:type="paragraph" w:styleId="1171">
    <w:name w:val="Char3 Char Char Char"/>
    <w:basedOn w:val="1065"/>
    <w:next w:val="1171"/>
    <w:link w:val="1065"/>
    <w:qFormat/>
    <w:rPr>
      <w:rFonts w:ascii="Tahoma" w:hAnsi="Tahoma"/>
      <w:sz w:val="24"/>
      <w:szCs w:val="20"/>
    </w:rPr>
  </w:style>
  <w:style w:type="paragraph" w:styleId="1172">
    <w:name w:val="font6"/>
    <w:basedOn w:val="1065"/>
    <w:next w:val="1172"/>
    <w:link w:val="1065"/>
    <w:qFormat/>
    <w:pPr>
      <w:jc w:val="left"/>
      <w:spacing w:before="100" w:beforeAutospacing="1" w:after="100" w:afterAutospacing="1"/>
      <w:widowControl/>
    </w:pPr>
    <w:rPr>
      <w:rFonts w:ascii="宋体" w:hAnsi="宋体" w:cs="宋体"/>
      <w:sz w:val="20"/>
      <w:szCs w:val="20"/>
    </w:rPr>
  </w:style>
  <w:style w:type="paragraph" w:styleId="1173">
    <w:name w:val="项目编号2"/>
    <w:basedOn w:val="1174"/>
    <w:next w:val="1173"/>
    <w:link w:val="1065"/>
    <w:qFormat/>
    <w:pPr>
      <w:numPr>
        <w:numId w:val="3"/>
      </w:numPr>
    </w:pPr>
  </w:style>
  <w:style w:type="paragraph" w:styleId="1174">
    <w:name w:val="项目编号1"/>
    <w:basedOn w:val="1065"/>
    <w:next w:val="1174"/>
    <w:link w:val="1065"/>
    <w:qFormat/>
    <w:pPr>
      <w:numPr>
        <w:ilvl w:val="0"/>
        <w:numId w:val="2"/>
      </w:numPr>
      <w:spacing w:before="100" w:beforeAutospacing="1" w:after="100" w:afterAutospacing="1" w:line="360" w:lineRule="auto"/>
    </w:pPr>
    <w:rPr>
      <w:sz w:val="24"/>
    </w:rPr>
  </w:style>
  <w:style w:type="paragraph" w:styleId="1175">
    <w:name w:val="图中文字"/>
    <w:basedOn w:val="1065"/>
    <w:next w:val="1175"/>
    <w:link w:val="1065"/>
    <w:qFormat/>
    <w:pPr>
      <w:jc w:val="center"/>
      <w:spacing w:line="0" w:lineRule="atLeast"/>
    </w:pPr>
    <w:rPr>
      <w:sz w:val="24"/>
      <w:szCs w:val="20"/>
    </w:rPr>
  </w:style>
  <w:style w:type="paragraph" w:styleId="1176">
    <w:name w:val="xl46"/>
    <w:basedOn w:val="1065"/>
    <w:next w:val="1176"/>
    <w:link w:val="106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7">
    <w:name w:val="xl25"/>
    <w:basedOn w:val="1065"/>
    <w:next w:val="1177"/>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Char2"/>
    <w:basedOn w:val="1065"/>
    <w:next w:val="1178"/>
    <w:link w:val="1065"/>
    <w:qFormat/>
    <w:rPr>
      <w:rFonts w:ascii="Tahoma" w:hAnsi="Tahoma"/>
      <w:sz w:val="24"/>
      <w:szCs w:val="20"/>
    </w:rPr>
  </w:style>
  <w:style w:type="paragraph" w:styleId="1179">
    <w:name w:val="xl35"/>
    <w:basedOn w:val="1065"/>
    <w:next w:val="1179"/>
    <w:link w:val="10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name w:val="xl40"/>
    <w:basedOn w:val="1065"/>
    <w:next w:val="1180"/>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1">
    <w:name w:val="xl52"/>
    <w:basedOn w:val="1065"/>
    <w:next w:val="1181"/>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2">
    <w:name w:val="xl43"/>
    <w:basedOn w:val="1065"/>
    <w:next w:val="1182"/>
    <w:link w:val="10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3">
    <w:name w:val="background1"/>
    <w:basedOn w:val="1065"/>
    <w:next w:val="1183"/>
    <w:link w:val="1065"/>
    <w:qFormat/>
    <w:pPr>
      <w:jc w:val="left"/>
      <w:spacing w:before="100" w:beforeAutospacing="1" w:after="100" w:afterAutospacing="1"/>
      <w:widowControl/>
    </w:pPr>
    <w:rPr>
      <w:rFonts w:ascii="宋体" w:hAnsi="宋体" w:cs="宋体"/>
      <w:sz w:val="24"/>
    </w:rPr>
  </w:style>
  <w:style w:type="paragraph" w:styleId="1184">
    <w:name w:val="Char Char Char Char Char Char Char"/>
    <w:basedOn w:val="1065"/>
    <w:next w:val="1184"/>
    <w:link w:val="1065"/>
    <w:qFormat/>
    <w:pPr>
      <w:ind w:firstLine="200"/>
      <w:spacing w:line="360" w:lineRule="auto"/>
    </w:pPr>
    <w:rPr>
      <w:rFonts w:eastAsia="仿宋_GB2312"/>
      <w:sz w:val="24"/>
    </w:rPr>
  </w:style>
  <w:style w:type="paragraph" w:styleId="1185">
    <w:name w:val="xl38"/>
    <w:basedOn w:val="1065"/>
    <w:next w:val="1185"/>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6">
    <w:name w:val="xl36"/>
    <w:basedOn w:val="1065"/>
    <w:next w:val="1186"/>
    <w:link w:val="106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正文 + 宋体"/>
    <w:basedOn w:val="1065"/>
    <w:next w:val="1187"/>
    <w:link w:val="1065"/>
    <w:qFormat/>
    <w:pPr>
      <w:ind w:left="360" w:hanging="360"/>
      <w:jc w:val="left"/>
      <w:widowControl/>
    </w:pPr>
    <w:rPr>
      <w:rFonts w:ascii="宋体" w:hAnsi="宋体" w:cs="宋体"/>
      <w:b/>
      <w:bCs/>
      <w:color w:val="000000"/>
      <w:sz w:val="18"/>
      <w:szCs w:val="18"/>
    </w:rPr>
  </w:style>
  <w:style w:type="paragraph" w:styleId="1188">
    <w:name w:val="正文列项_数字"/>
    <w:basedOn w:val="1065"/>
    <w:next w:val="1188"/>
    <w:link w:val="1065"/>
    <w:qFormat/>
    <w:pPr>
      <w:numPr>
        <w:ilvl w:val="7"/>
        <w:numId w:val="1"/>
      </w:numPr>
      <w:ind w:left="680" w:hanging="150"/>
      <w:spacing w:line="460" w:lineRule="exact"/>
      <w:tabs>
        <w:tab w:val="clear" w:pos="860" w:leader="none"/>
      </w:tabs>
      <w:outlineLvl w:val="7"/>
    </w:pPr>
    <w:rPr>
      <w:rFonts w:ascii="宋体"/>
      <w:sz w:val="28"/>
      <w:szCs w:val="20"/>
    </w:rPr>
  </w:style>
  <w:style w:type="paragraph" w:styleId="1189">
    <w:name w:val="xl39"/>
    <w:basedOn w:val="1065"/>
    <w:next w:val="1189"/>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xl37"/>
    <w:basedOn w:val="1065"/>
    <w:next w:val="1190"/>
    <w:link w:val="10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xl32"/>
    <w:basedOn w:val="1065"/>
    <w:next w:val="1191"/>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font8"/>
    <w:basedOn w:val="1065"/>
    <w:next w:val="1192"/>
    <w:link w:val="1065"/>
    <w:qFormat/>
    <w:pPr>
      <w:jc w:val="left"/>
      <w:spacing w:before="100" w:beforeAutospacing="1" w:after="100" w:afterAutospacing="1"/>
      <w:widowControl/>
    </w:pPr>
    <w:rPr>
      <w:sz w:val="36"/>
      <w:szCs w:val="36"/>
    </w:rPr>
  </w:style>
  <w:style w:type="paragraph" w:styleId="1193">
    <w:name w:val="Char"/>
    <w:basedOn w:val="1065"/>
    <w:next w:val="1193"/>
    <w:link w:val="1065"/>
    <w:qFormat/>
    <w:pPr>
      <w:tabs>
        <w:tab w:val="left" w:pos="360" w:leader="none"/>
      </w:tabs>
    </w:pPr>
    <w:rPr>
      <w:sz w:val="24"/>
    </w:rPr>
  </w:style>
  <w:style w:type="paragraph" w:styleId="1194">
    <w:name w:val="Char Char Char Char Char Char Char Char Char Char Char Char Char Char Char Char"/>
    <w:basedOn w:val="1065"/>
    <w:next w:val="1194"/>
    <w:link w:val="1065"/>
    <w:qFormat/>
    <w:pPr>
      <w:jc w:val="center"/>
      <w:spacing w:after="160" w:line="240" w:lineRule="exact"/>
      <w:widowControl/>
    </w:pPr>
    <w:rPr>
      <w:rFonts w:ascii="宋体" w:hAnsi="宋体"/>
      <w:b/>
      <w:sz w:val="30"/>
      <w:szCs w:val="30"/>
      <w:lang w:eastAsia="en-US"/>
    </w:rPr>
  </w:style>
  <w:style w:type="paragraph" w:styleId="1195">
    <w:name w:val="xl45"/>
    <w:basedOn w:val="1065"/>
    <w:next w:val="1195"/>
    <w:link w:val="10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6">
    <w:name w:val="Char Char1 Char Char Char Char Char Char"/>
    <w:basedOn w:val="1065"/>
    <w:next w:val="1196"/>
    <w:link w:val="1065"/>
    <w:qFormat/>
    <w:pPr>
      <w:jc w:val="left"/>
      <w:spacing w:after="160" w:line="240" w:lineRule="exact"/>
      <w:widowControl/>
    </w:pPr>
    <w:rPr>
      <w:rFonts w:ascii="Verdana" w:hAnsi="Verdana" w:eastAsia="仿宋_GB2312"/>
      <w:sz w:val="24"/>
      <w:szCs w:val="20"/>
      <w:lang w:eastAsia="en-US"/>
    </w:rPr>
  </w:style>
  <w:style w:type="paragraph" w:styleId="1197">
    <w:name w:val="Char Char1"/>
    <w:basedOn w:val="1091"/>
    <w:next w:val="1197"/>
    <w:link w:val="1065"/>
    <w:qFormat/>
    <w:rPr>
      <w:rFonts w:ascii="Tahoma" w:hAnsi="Tahoma"/>
      <w:sz w:val="24"/>
    </w:rPr>
  </w:style>
  <w:style w:type="paragraph" w:styleId="1198">
    <w:name w:val="xl26"/>
    <w:basedOn w:val="1065"/>
    <w:next w:val="1198"/>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9">
    <w:name w:val="xl30"/>
    <w:basedOn w:val="1065"/>
    <w:next w:val="1199"/>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xl41"/>
    <w:basedOn w:val="1065"/>
    <w:next w:val="1200"/>
    <w:link w:val="106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1">
    <w:name w:val="样式 宋体 五号 行距: 单倍行距"/>
    <w:basedOn w:val="1065"/>
    <w:next w:val="1201"/>
    <w:link w:val="1065"/>
    <w:qFormat/>
    <w:pPr>
      <w:jc w:val="left"/>
    </w:pPr>
    <w:rPr>
      <w:rFonts w:ascii="宋体" w:hAnsi="宋体"/>
      <w:szCs w:val="20"/>
    </w:rPr>
  </w:style>
  <w:style w:type="paragraph" w:styleId="1202">
    <w:name w:val="Char1 Char Char Char1"/>
    <w:basedOn w:val="1065"/>
    <w:next w:val="1202"/>
    <w:link w:val="1065"/>
    <w:qFormat/>
    <w:rPr>
      <w:rFonts w:ascii="Tahoma" w:hAnsi="Tahoma" w:cs="仿宋_GB2312"/>
      <w:sz w:val="24"/>
      <w:szCs w:val="28"/>
    </w:rPr>
  </w:style>
  <w:style w:type="paragraph" w:styleId="1203">
    <w:name w:val="四级条标题"/>
    <w:basedOn w:val="1204"/>
    <w:next w:val="1065"/>
    <w:link w:val="1065"/>
    <w:qFormat/>
    <w:pPr>
      <w:numPr>
        <w:ilvl w:val="4"/>
      </w:numPr>
      <w:ind w:left="0" w:hanging="840"/>
      <w:tabs>
        <w:tab w:val="left" w:pos="360" w:leader="none"/>
        <w:tab w:val="left" w:pos="840" w:leader="none"/>
      </w:tabs>
      <w:outlineLvl w:val="4"/>
    </w:pPr>
  </w:style>
  <w:style w:type="paragraph" w:styleId="1204">
    <w:name w:val="三级条标题"/>
    <w:basedOn w:val="1166"/>
    <w:next w:val="1065"/>
    <w:link w:val="1065"/>
    <w:qFormat/>
    <w:pPr>
      <w:numPr>
        <w:ilvl w:val="3"/>
        <w:numId w:val="1"/>
      </w:numPr>
      <w:ind w:left="0" w:hanging="840"/>
      <w:tabs>
        <w:tab w:val="left" w:pos="360" w:leader="none"/>
        <w:tab w:val="left" w:pos="840" w:leader="none"/>
      </w:tabs>
      <w:outlineLvl w:val="3"/>
    </w:pPr>
  </w:style>
  <w:style w:type="paragraph" w:styleId="1205">
    <w:name w:val="??"/>
    <w:next w:val="1205"/>
    <w:link w:val="1065"/>
    <w:qFormat/>
    <w:pPr>
      <w:jc w:val="both"/>
      <w:widowControl w:val="off"/>
    </w:pPr>
    <w:rPr>
      <w:sz w:val="21"/>
      <w:lang w:val="en-US" w:eastAsia="en-US" w:bidi="ar-SA"/>
    </w:rPr>
  </w:style>
  <w:style w:type="paragraph" w:styleId="1206">
    <w:name w:val="样式 标题 2 + 宋体 五号 行距: 单倍行距"/>
    <w:basedOn w:val="1067"/>
    <w:next w:val="1206"/>
    <w:link w:val="106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7">
    <w:name w:val="List Paragraph1"/>
    <w:basedOn w:val="1065"/>
    <w:next w:val="1207"/>
    <w:link w:val="1065"/>
    <w:qFormat/>
    <w:pPr>
      <w:ind w:firstLine="420"/>
    </w:pPr>
    <w:rPr>
      <w:rFonts w:ascii="Calibri" w:hAnsi="Calibri"/>
      <w:szCs w:val="22"/>
    </w:rPr>
  </w:style>
  <w:style w:type="paragraph" w:styleId="1208">
    <w:name w:val="项目符号1"/>
    <w:basedOn w:val="1209"/>
    <w:next w:val="1208"/>
    <w:link w:val="1065"/>
    <w:qFormat/>
    <w:pPr>
      <w:ind w:left="-25" w:firstLine="0"/>
    </w:pPr>
  </w:style>
  <w:style w:type="paragraph" w:styleId="1209">
    <w:name w:val="正文文本样式"/>
    <w:basedOn w:val="1065"/>
    <w:next w:val="1209"/>
    <w:link w:val="1065"/>
    <w:qFormat/>
    <w:pPr>
      <w:ind w:firstLine="482"/>
      <w:spacing w:line="360" w:lineRule="auto"/>
    </w:pPr>
    <w:rPr>
      <w:rFonts w:cs="宋体"/>
      <w:sz w:val="24"/>
      <w:szCs w:val="20"/>
    </w:rPr>
  </w:style>
  <w:style w:type="paragraph" w:styleId="1210">
    <w:name w:val="xl27"/>
    <w:basedOn w:val="1065"/>
    <w:next w:val="1210"/>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font5"/>
    <w:basedOn w:val="1065"/>
    <w:next w:val="1211"/>
    <w:link w:val="1065"/>
    <w:qFormat/>
    <w:pPr>
      <w:jc w:val="left"/>
      <w:spacing w:before="100" w:beforeAutospacing="1" w:after="100" w:afterAutospacing="1"/>
      <w:widowControl/>
    </w:pPr>
    <w:rPr>
      <w:rFonts w:ascii="宋体" w:hAnsi="宋体" w:cs="宋体"/>
      <w:sz w:val="18"/>
      <w:szCs w:val="18"/>
    </w:rPr>
  </w:style>
  <w:style w:type="paragraph" w:styleId="1212">
    <w:name w:val="五级条标题"/>
    <w:basedOn w:val="1203"/>
    <w:next w:val="1065"/>
    <w:link w:val="1065"/>
    <w:qFormat/>
    <w:pPr>
      <w:numPr>
        <w:ilvl w:val="5"/>
      </w:numPr>
      <w:ind w:left="0" w:hanging="840"/>
      <w:tabs>
        <w:tab w:val="left" w:pos="360" w:leader="none"/>
        <w:tab w:val="left" w:pos="840" w:leader="none"/>
      </w:tabs>
      <w:outlineLvl w:val="5"/>
    </w:pPr>
  </w:style>
  <w:style w:type="paragraph" w:styleId="1213">
    <w:name w:val="xl49"/>
    <w:basedOn w:val="1065"/>
    <w:next w:val="1213"/>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4">
    <w:name w:val="文档正文"/>
    <w:basedOn w:val="1065"/>
    <w:next w:val="1214"/>
    <w:link w:val="1065"/>
    <w:qFormat/>
    <w:pPr>
      <w:spacing w:before="120" w:after="120" w:line="180" w:lineRule="auto"/>
    </w:pPr>
    <w:rPr>
      <w:rFonts w:ascii="Arial" w:hAnsi="Arial"/>
      <w:szCs w:val="20"/>
    </w:rPr>
  </w:style>
  <w:style w:type="paragraph" w:styleId="1215">
    <w:name w:val="xl33"/>
    <w:basedOn w:val="1065"/>
    <w:next w:val="1215"/>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xl42"/>
    <w:basedOn w:val="1065"/>
    <w:next w:val="1216"/>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7">
    <w:name w:val="Char Char Char1 Char"/>
    <w:basedOn w:val="1065"/>
    <w:next w:val="1217"/>
    <w:link w:val="1065"/>
    <w:qFormat/>
    <w:rPr>
      <w:rFonts w:ascii="Tahoma" w:hAnsi="Tahoma"/>
      <w:sz w:val="24"/>
      <w:szCs w:val="20"/>
    </w:rPr>
  </w:style>
  <w:style w:type="paragraph" w:styleId="1218">
    <w:name w:val="xl44"/>
    <w:basedOn w:val="1065"/>
    <w:next w:val="1218"/>
    <w:link w:val="10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9">
    <w:name w:val="1名"/>
    <w:basedOn w:val="1065"/>
    <w:next w:val="1219"/>
    <w:link w:val="1065"/>
    <w:qFormat/>
    <w:pPr>
      <w:numPr>
        <w:ilvl w:val="0"/>
        <w:numId w:val="5"/>
      </w:numPr>
      <w:spacing w:before="120"/>
      <w:tabs>
        <w:tab w:val="left" w:pos="360" w:leader="none"/>
      </w:tabs>
    </w:pPr>
    <w:rPr>
      <w:rFonts w:ascii="宋体"/>
      <w:sz w:val="28"/>
      <w:szCs w:val="20"/>
    </w:rPr>
  </w:style>
  <w:style w:type="paragraph" w:styleId="1220">
    <w:name w:val="font9"/>
    <w:basedOn w:val="1065"/>
    <w:next w:val="1220"/>
    <w:link w:val="1065"/>
    <w:qFormat/>
    <w:pPr>
      <w:jc w:val="left"/>
      <w:spacing w:before="100" w:beforeAutospacing="1" w:after="100" w:afterAutospacing="1"/>
      <w:widowControl/>
    </w:pPr>
    <w:rPr>
      <w:rFonts w:hint="eastAsia" w:ascii="宋体" w:hAnsi="宋体" w:cs="Arial Unicode MS"/>
      <w:color w:val="000000"/>
      <w:sz w:val="20"/>
      <w:szCs w:val="20"/>
    </w:rPr>
  </w:style>
  <w:style w:type="paragraph" w:styleId="1221">
    <w:name w:val="Char Char Char1 Char1"/>
    <w:basedOn w:val="1065"/>
    <w:next w:val="1221"/>
    <w:link w:val="1065"/>
    <w:qFormat/>
    <w:rPr>
      <w:rFonts w:ascii="Tahoma" w:hAnsi="Tahoma"/>
      <w:sz w:val="24"/>
      <w:szCs w:val="20"/>
    </w:rPr>
  </w:style>
  <w:style w:type="paragraph" w:styleId="1222">
    <w:name w:val="Char Char Char Char Char Char Char Char Char Char"/>
    <w:basedOn w:val="1065"/>
    <w:next w:val="1222"/>
    <w:link w:val="1065"/>
    <w:qFormat/>
  </w:style>
  <w:style w:type="paragraph" w:styleId="1223">
    <w:name w:val="Char Char1 Char Char Char Char Char Char Char Char"/>
    <w:basedOn w:val="1065"/>
    <w:next w:val="1223"/>
    <w:link w:val="1065"/>
    <w:qFormat/>
    <w:pPr>
      <w:jc w:val="left"/>
      <w:spacing w:after="160" w:line="240" w:lineRule="exact"/>
      <w:widowControl/>
    </w:pPr>
    <w:rPr>
      <w:rFonts w:ascii="Verdana" w:hAnsi="Verdana"/>
      <w:sz w:val="20"/>
      <w:szCs w:val="20"/>
      <w:lang w:eastAsia="en-US"/>
    </w:rPr>
  </w:style>
  <w:style w:type="paragraph" w:styleId="1224">
    <w:name w:val="Char1"/>
    <w:basedOn w:val="1065"/>
    <w:next w:val="1224"/>
    <w:link w:val="1065"/>
    <w:qFormat/>
    <w:pPr>
      <w:tabs>
        <w:tab w:val="left" w:pos="360" w:leader="none"/>
      </w:tabs>
    </w:pPr>
    <w:rPr>
      <w:sz w:val="24"/>
    </w:rPr>
  </w:style>
  <w:style w:type="paragraph" w:styleId="1225">
    <w:name w:val="正文列项_字母"/>
    <w:basedOn w:val="1065"/>
    <w:next w:val="1225"/>
    <w:link w:val="1065"/>
    <w:qFormat/>
    <w:pPr>
      <w:numPr>
        <w:ilvl w:val="6"/>
        <w:numId w:val="1"/>
      </w:numPr>
      <w:ind w:left="480" w:hanging="180"/>
      <w:spacing w:line="460" w:lineRule="exact"/>
      <w:tabs>
        <w:tab w:val="clear" w:pos="635" w:leader="none"/>
      </w:tabs>
      <w:outlineLvl w:val="6"/>
    </w:pPr>
    <w:rPr>
      <w:rFonts w:ascii="宋体"/>
      <w:sz w:val="28"/>
      <w:szCs w:val="20"/>
    </w:rPr>
  </w:style>
  <w:style w:type="paragraph" w:styleId="1226">
    <w:name w:val="xl28"/>
    <w:basedOn w:val="1065"/>
    <w:next w:val="1226"/>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7">
    <w:name w:val="xl47"/>
    <w:basedOn w:val="1065"/>
    <w:next w:val="1227"/>
    <w:link w:val="10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name w:val="默认段落字体 Para Char Char Char Char"/>
    <w:basedOn w:val="1065"/>
    <w:next w:val="1228"/>
    <w:link w:val="1065"/>
    <w:qFormat/>
    <w:rPr>
      <w:rFonts w:ascii="Arial" w:hAnsi="Arial" w:cs="Arial"/>
      <w:szCs w:val="21"/>
    </w:rPr>
  </w:style>
  <w:style w:type="paragraph" w:styleId="1229">
    <w:name w:val="xl48"/>
    <w:basedOn w:val="1065"/>
    <w:next w:val="1229"/>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0">
    <w:name w:val="xl31"/>
    <w:basedOn w:val="1065"/>
    <w:next w:val="1230"/>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xl53"/>
    <w:basedOn w:val="1065"/>
    <w:next w:val="1231"/>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Char Char Char"/>
    <w:basedOn w:val="1065"/>
    <w:next w:val="1232"/>
    <w:link w:val="1065"/>
    <w:qFormat/>
    <w:rPr>
      <w:rFonts w:ascii="Tahoma" w:hAnsi="Tahoma"/>
      <w:sz w:val="24"/>
      <w:szCs w:val="20"/>
    </w:rPr>
  </w:style>
  <w:style w:type="paragraph" w:styleId="1233">
    <w:name w:val="xl50"/>
    <w:basedOn w:val="1065"/>
    <w:next w:val="1233"/>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4">
    <w:name w:val="缺省文本"/>
    <w:basedOn w:val="1065"/>
    <w:next w:val="1234"/>
    <w:link w:val="1065"/>
    <w:qFormat/>
    <w:pPr>
      <w:jc w:val="left"/>
    </w:pPr>
    <w:rPr>
      <w:sz w:val="24"/>
    </w:rPr>
  </w:style>
  <w:style w:type="paragraph" w:styleId="1235">
    <w:name w:val="Char Char Char1"/>
    <w:basedOn w:val="1065"/>
    <w:next w:val="1235"/>
    <w:link w:val="1065"/>
    <w:qFormat/>
    <w:rPr>
      <w:rFonts w:ascii="Tahoma" w:hAnsi="Tahoma"/>
      <w:sz w:val="24"/>
      <w:szCs w:val="20"/>
    </w:rPr>
  </w:style>
  <w:style w:type="paragraph" w:styleId="1236">
    <w:name w:val="Char Char Char Char Char Char Char1"/>
    <w:basedOn w:val="1065"/>
    <w:next w:val="1236"/>
    <w:link w:val="1065"/>
    <w:qFormat/>
    <w:pPr>
      <w:ind w:firstLine="200"/>
      <w:spacing w:line="360" w:lineRule="auto"/>
    </w:pPr>
    <w:rPr>
      <w:rFonts w:eastAsia="仿宋_GB2312"/>
      <w:sz w:val="24"/>
    </w:rPr>
  </w:style>
  <w:style w:type="paragraph" w:styleId="1237">
    <w:name w:val="xl51"/>
    <w:basedOn w:val="1065"/>
    <w:next w:val="1237"/>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样式2"/>
    <w:basedOn w:val="1128"/>
    <w:next w:val="1238"/>
    <w:link w:val="1065"/>
    <w:qFormat/>
    <w:pPr>
      <w:jc w:val="center"/>
      <w:spacing w:line="360" w:lineRule="auto"/>
    </w:pPr>
    <w:rPr>
      <w:sz w:val="24"/>
    </w:rPr>
  </w:style>
  <w:style w:type="paragraph" w:styleId="1239">
    <w:name w:val="xl24"/>
    <w:basedOn w:val="1065"/>
    <w:next w:val="1239"/>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xl29"/>
    <w:basedOn w:val="1065"/>
    <w:next w:val="1240"/>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1">
    <w:name w:val="正文 + 楷体_GB2312"/>
    <w:basedOn w:val="1065"/>
    <w:next w:val="1241"/>
    <w:link w:val="1065"/>
    <w:qFormat/>
    <w:pPr>
      <w:jc w:val="left"/>
      <w:widowControl/>
    </w:pPr>
    <w:rPr>
      <w:rFonts w:ascii="楷体_GB2312" w:eastAsia="楷体_GB2312" w:cs="Arial"/>
      <w:sz w:val="24"/>
    </w:rPr>
  </w:style>
  <w:style w:type="paragraph" w:styleId="1242">
    <w:name w:val="xl34"/>
    <w:basedOn w:val="1065"/>
    <w:next w:val="1242"/>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3">
    <w:name w:val="1 Char Char Char Char"/>
    <w:basedOn w:val="1065"/>
    <w:next w:val="1243"/>
    <w:link w:val="1065"/>
    <w:qFormat/>
    <w:rPr>
      <w:rFonts w:ascii="Tahoma" w:hAnsi="Tahoma"/>
      <w:sz w:val="24"/>
      <w:szCs w:val="20"/>
    </w:rPr>
  </w:style>
  <w:style w:type="paragraph" w:styleId="1244">
    <w:name w:val="Default"/>
    <w:next w:val="1244"/>
    <w:link w:val="1065"/>
    <w:qFormat/>
    <w:pPr>
      <w:widowControl w:val="off"/>
    </w:pPr>
    <w:rPr>
      <w:rFonts w:ascii="Symbol" w:hAnsi="Symbol" w:cs="Symbol"/>
      <w:color w:val="000000"/>
      <w:sz w:val="24"/>
      <w:szCs w:val="24"/>
      <w:lang w:val="en-US" w:eastAsia="zh-CN" w:bidi="ar-SA"/>
    </w:rPr>
  </w:style>
  <w:style w:type="paragraph" w:styleId="1245">
    <w:name w:val="列出段落1"/>
    <w:basedOn w:val="1065"/>
    <w:next w:val="1245"/>
    <w:link w:val="1065"/>
    <w:qFormat/>
    <w:pPr>
      <w:ind w:firstLine="420"/>
    </w:pPr>
    <w:rPr>
      <w:rFonts w:ascii="Calibri" w:hAnsi="Calibri"/>
      <w:szCs w:val="22"/>
    </w:rPr>
  </w:style>
  <w:style w:type="paragraph" w:styleId="1246">
    <w:name w:val="default"/>
    <w:basedOn w:val="1065"/>
    <w:next w:val="1246"/>
    <w:link w:val="1065"/>
    <w:qFormat/>
    <w:pPr>
      <w:jc w:val="left"/>
      <w:spacing w:before="100" w:beforeAutospacing="1" w:after="100" w:afterAutospacing="1"/>
      <w:widowControl/>
    </w:pPr>
    <w:rPr>
      <w:rFonts w:ascii="宋体" w:hAnsi="宋体" w:cs="宋体"/>
      <w:sz w:val="24"/>
    </w:rPr>
  </w:style>
  <w:style w:type="paragraph" w:styleId="1247">
    <w:name w:val="字元 字元1"/>
    <w:basedOn w:val="1065"/>
    <w:next w:val="1247"/>
    <w:link w:val="1065"/>
    <w:qFormat/>
    <w:rPr>
      <w:rFonts w:ascii="Tahoma" w:hAnsi="Tahoma"/>
      <w:sz w:val="24"/>
      <w:szCs w:val="20"/>
    </w:rPr>
  </w:style>
  <w:style w:type="paragraph" w:styleId="1248">
    <w:name w:val="_Style 160"/>
    <w:next w:val="1248"/>
    <w:link w:val="1065"/>
    <w:qFormat/>
    <w:rPr>
      <w:sz w:val="21"/>
      <w:szCs w:val="24"/>
      <w:lang w:val="en-US" w:eastAsia="zh-CN" w:bidi="ar-SA"/>
    </w:rPr>
  </w:style>
  <w:style w:type="paragraph" w:styleId="1249">
    <w:name w:val="项目编号3"/>
    <w:basedOn w:val="1209"/>
    <w:next w:val="1249"/>
    <w:link w:val="1065"/>
    <w:qFormat/>
    <w:pPr>
      <w:numPr>
        <w:ilvl w:val="0"/>
        <w:numId w:val="6"/>
      </w:numPr>
    </w:pPr>
  </w:style>
  <w:style w:type="paragraph" w:styleId="1250">
    <w:name w:val="Char21"/>
    <w:basedOn w:val="1065"/>
    <w:next w:val="1250"/>
    <w:link w:val="1065"/>
    <w:qFormat/>
    <w:rPr>
      <w:rFonts w:ascii="Tahoma" w:hAnsi="Tahoma"/>
      <w:sz w:val="24"/>
      <w:szCs w:val="20"/>
    </w:rPr>
  </w:style>
  <w:style w:type="paragraph" w:styleId="1251">
    <w:name w:val="表格文字"/>
    <w:basedOn w:val="1099"/>
    <w:next w:val="1251"/>
    <w:link w:val="1065"/>
    <w:qFormat/>
    <w:pPr>
      <w:ind w:firstLine="0"/>
      <w:spacing w:before="20" w:after="20" w:line="240" w:lineRule="auto"/>
    </w:pPr>
    <w:rPr>
      <w:rFonts w:ascii="Century Gothic" w:hAnsi="Century Gothic"/>
      <w:sz w:val="20"/>
      <w:szCs w:val="20"/>
    </w:rPr>
  </w:style>
  <w:style w:type="paragraph" w:styleId="1252">
    <w:name w:val="Char Char Char Char Char Char Char Char Char Char1"/>
    <w:basedOn w:val="1065"/>
    <w:next w:val="1252"/>
    <w:link w:val="1065"/>
    <w:qFormat/>
    <w:rPr>
      <w:rFonts w:ascii="宋体" w:hAnsi="宋体" w:cs="Courier New"/>
      <w:sz w:val="32"/>
      <w:szCs w:val="32"/>
    </w:rPr>
  </w:style>
  <w:style w:type="paragraph" w:styleId="1253">
    <w:name w:val="正文文本样式 加粗"/>
    <w:basedOn w:val="1209"/>
    <w:next w:val="1253"/>
    <w:link w:val="1065"/>
    <w:qFormat/>
    <w:rPr>
      <w:b/>
    </w:rPr>
  </w:style>
  <w:style w:type="paragraph" w:styleId="1254">
    <w:name w:val="Char2 Char Char Char Char Char Char"/>
    <w:basedOn w:val="1065"/>
    <w:next w:val="1254"/>
    <w:link w:val="1065"/>
    <w:qFormat/>
    <w:pPr>
      <w:jc w:val="center"/>
      <w:spacing w:line="400" w:lineRule="exact"/>
      <w:widowControl/>
    </w:pPr>
  </w:style>
  <w:style w:type="paragraph" w:styleId="1255">
    <w:name w:val="Char Char4"/>
    <w:basedOn w:val="1065"/>
    <w:next w:val="1255"/>
    <w:link w:val="1065"/>
    <w:qFormat/>
    <w:pPr>
      <w:jc w:val="center"/>
      <w:spacing w:line="400" w:lineRule="exact"/>
      <w:widowControl/>
    </w:pPr>
  </w:style>
  <w:style w:type="paragraph" w:styleId="1256">
    <w:name w:val="Char3 Char Char Char1"/>
    <w:basedOn w:val="1065"/>
    <w:next w:val="1256"/>
    <w:link w:val="1065"/>
    <w:qFormat/>
    <w:rPr>
      <w:rFonts w:ascii="Tahoma" w:hAnsi="Tahoma"/>
      <w:sz w:val="24"/>
      <w:szCs w:val="20"/>
    </w:rPr>
  </w:style>
  <w:style w:type="paragraph" w:styleId="1257">
    <w:name w:val="无间隔"/>
    <w:next w:val="1257"/>
    <w:link w:val="1065"/>
    <w:qFormat/>
    <w:pPr>
      <w:jc w:val="both"/>
      <w:widowControl w:val="off"/>
    </w:pPr>
    <w:rPr>
      <w:sz w:val="21"/>
      <w:szCs w:val="24"/>
      <w:lang w:val="en-US" w:eastAsia="zh-CN" w:bidi="ar-SA"/>
    </w:rPr>
  </w:style>
  <w:style w:type="paragraph" w:styleId="1258">
    <w:name w:val="22222222222222"/>
    <w:basedOn w:val="1065"/>
    <w:next w:val="1258"/>
    <w:link w:val="1065"/>
    <w:qFormat/>
    <w:pPr>
      <w:ind w:firstLine="480"/>
      <w:jc w:val="left"/>
      <w:spacing w:line="360" w:lineRule="auto"/>
      <w:widowControl/>
    </w:pPr>
    <w:rPr>
      <w:color w:val="ff0000"/>
      <w:sz w:val="24"/>
      <w:szCs w:val="20"/>
    </w:rPr>
  </w:style>
  <w:style w:type="character" w:styleId="1259">
    <w:name w:val="中等深浅网格 1 - 强调文字颜色 2 Char"/>
    <w:next w:val="1259"/>
    <w:link w:val="1260"/>
    <w:qFormat/>
    <w:rPr>
      <w:sz w:val="21"/>
      <w:szCs w:val="24"/>
      <w:lang w:val="zh-CN" w:eastAsia="zh-CN" w:bidi="ar-SA"/>
    </w:rPr>
  </w:style>
  <w:style w:type="paragraph" w:styleId="1260">
    <w:name w:val="1"/>
    <w:next w:val="1260"/>
    <w:link w:val="1259"/>
    <w:qFormat/>
    <w:rPr>
      <w:sz w:val="21"/>
      <w:szCs w:val="24"/>
      <w:lang w:val="zh-CN" w:eastAsia="zh-CN" w:bidi="ar-SA"/>
    </w:rPr>
  </w:style>
  <w:style w:type="paragraph" w:styleId="1261">
    <w:name w:val="图文"/>
    <w:basedOn w:val="1065"/>
    <w:next w:val="1261"/>
    <w:link w:val="1065"/>
    <w:qFormat/>
    <w:pPr>
      <w:spacing w:after="50" w:line="360" w:lineRule="auto"/>
    </w:pPr>
    <w:rPr>
      <w:sz w:val="24"/>
    </w:rPr>
  </w:style>
  <w:style w:type="paragraph" w:styleId="1262">
    <w:name w:val="xl23"/>
    <w:basedOn w:val="1065"/>
    <w:next w:val="1262"/>
    <w:link w:val="1065"/>
    <w:qFormat/>
    <w:pPr>
      <w:spacing w:before="100" w:beforeAutospacing="1" w:after="100" w:afterAutospacing="1" w:line="360" w:lineRule="auto"/>
      <w:widowControl/>
    </w:pPr>
    <w:rPr>
      <w:sz w:val="24"/>
      <w:szCs w:val="20"/>
    </w:rPr>
  </w:style>
  <w:style w:type="paragraph" w:styleId="1263">
    <w:name w:val="正文表格"/>
    <w:basedOn w:val="1065"/>
    <w:next w:val="1263"/>
    <w:link w:val="1264"/>
    <w:qFormat/>
    <w:pPr>
      <w:jc w:val="left"/>
    </w:pPr>
    <w:rPr>
      <w:rFonts w:ascii="宋体" w:hAnsi="宋体"/>
      <w:color w:val="000000"/>
      <w:szCs w:val="21"/>
    </w:rPr>
  </w:style>
  <w:style w:type="character" w:styleId="1264">
    <w:name w:val="正文表格 Char"/>
    <w:next w:val="1264"/>
    <w:link w:val="1263"/>
    <w:qFormat/>
    <w:rPr>
      <w:rFonts w:ascii="宋体" w:hAnsi="宋体"/>
      <w:color w:val="000000"/>
      <w:sz w:val="21"/>
      <w:szCs w:val="21"/>
    </w:rPr>
  </w:style>
  <w:style w:type="paragraph" w:styleId="1265">
    <w:name w:val="正文重点"/>
    <w:basedOn w:val="1065"/>
    <w:next w:val="1265"/>
    <w:link w:val="1266"/>
    <w:qFormat/>
    <w:pPr>
      <w:ind w:firstLine="482"/>
      <w:jc w:val="left"/>
      <w:spacing w:line="360" w:lineRule="auto"/>
    </w:pPr>
    <w:rPr>
      <w:b/>
      <w:sz w:val="24"/>
      <w:szCs w:val="20"/>
    </w:rPr>
  </w:style>
  <w:style w:type="character" w:styleId="1266">
    <w:name w:val="正文重点 Char"/>
    <w:next w:val="1266"/>
    <w:link w:val="1265"/>
    <w:qFormat/>
    <w:rPr>
      <w:b/>
      <w:sz w:val="24"/>
    </w:rPr>
  </w:style>
  <w:style w:type="paragraph" w:styleId="1267">
    <w:name w:val="标题1-附件"/>
    <w:basedOn w:val="1066"/>
    <w:next w:val="1267"/>
    <w:link w:val="1065"/>
    <w:qFormat/>
    <w:pPr>
      <w:jc w:val="left"/>
    </w:pPr>
    <w:rPr>
      <w:sz w:val="24"/>
      <w:szCs w:val="24"/>
    </w:rPr>
  </w:style>
  <w:style w:type="paragraph" w:styleId="1268">
    <w:name w:val="正文小标题"/>
    <w:basedOn w:val="1065"/>
    <w:next w:val="1080"/>
    <w:link w:val="1269"/>
    <w:qFormat/>
    <w:pPr>
      <w:ind w:firstLine="482"/>
      <w:jc w:val="left"/>
      <w:spacing w:before="312" w:after="312"/>
    </w:pPr>
    <w:rPr>
      <w:rFonts w:ascii="宋体" w:hAnsi="宋体"/>
      <w:b/>
      <w:i/>
      <w:color w:val="ff0000"/>
      <w:sz w:val="24"/>
      <w:szCs w:val="20"/>
    </w:rPr>
  </w:style>
  <w:style w:type="character" w:styleId="1269">
    <w:name w:val="正文小标题 Char"/>
    <w:next w:val="1269"/>
    <w:link w:val="1268"/>
    <w:qFormat/>
    <w:rPr>
      <w:rFonts w:ascii="宋体" w:hAnsi="宋体"/>
      <w:b/>
      <w:i/>
      <w:color w:val="ff0000"/>
      <w:sz w:val="24"/>
    </w:rPr>
  </w:style>
  <w:style w:type="paragraph" w:styleId="1270">
    <w:name w:val="正文大标题"/>
    <w:basedOn w:val="1268"/>
    <w:next w:val="1080"/>
    <w:link w:val="1271"/>
    <w:qFormat/>
    <w:pPr>
      <w:jc w:val="center"/>
    </w:pPr>
    <w:rPr>
      <w:i w:val="0"/>
      <w:color w:val="000000"/>
      <w:sz w:val="28"/>
      <w:szCs w:val="21"/>
    </w:rPr>
  </w:style>
  <w:style w:type="character" w:styleId="1271">
    <w:name w:val="正文大标题 Char"/>
    <w:next w:val="1271"/>
    <w:link w:val="1270"/>
    <w:qFormat/>
    <w:rPr>
      <w:rFonts w:ascii="宋体" w:hAnsi="宋体"/>
      <w:b/>
      <w:color w:val="000000"/>
      <w:sz w:val="28"/>
      <w:szCs w:val="21"/>
    </w:rPr>
  </w:style>
  <w:style w:type="paragraph" w:styleId="1272">
    <w:name w:val="注释"/>
    <w:basedOn w:val="1065"/>
    <w:next w:val="1272"/>
    <w:link w:val="1273"/>
    <w:qFormat/>
    <w:pPr>
      <w:ind w:left="420" w:hanging="420"/>
      <w:jc w:val="left"/>
    </w:pPr>
    <w:rPr>
      <w:rFonts w:ascii="宋体" w:hAnsi="宋体"/>
      <w:szCs w:val="21"/>
    </w:rPr>
  </w:style>
  <w:style w:type="character" w:styleId="1273">
    <w:name w:val="注释 Char"/>
    <w:next w:val="1273"/>
    <w:link w:val="1272"/>
    <w:qFormat/>
    <w:rPr>
      <w:rFonts w:ascii="宋体" w:hAnsi="宋体"/>
      <w:sz w:val="21"/>
      <w:szCs w:val="21"/>
    </w:rPr>
  </w:style>
  <w:style w:type="paragraph" w:styleId="1274">
    <w:name w:val="正文须知-1级"/>
    <w:basedOn w:val="1065"/>
    <w:next w:val="1065"/>
    <w:link w:val="1065"/>
    <w:qFormat/>
    <w:pPr>
      <w:numPr>
        <w:ilvl w:val="0"/>
        <w:numId w:val="7"/>
      </w:numPr>
      <w:spacing w:line="300" w:lineRule="auto"/>
    </w:pPr>
    <w:rPr>
      <w:rFonts w:ascii="宋体" w:hAnsi="Calibri"/>
      <w:sz w:val="24"/>
      <w:szCs w:val="21"/>
    </w:rPr>
  </w:style>
  <w:style w:type="paragraph" w:styleId="1275">
    <w:name w:val="正文须知-2级"/>
    <w:basedOn w:val="1065"/>
    <w:next w:val="1275"/>
    <w:link w:val="1065"/>
    <w:qFormat/>
    <w:pPr>
      <w:numPr>
        <w:ilvl w:val="1"/>
        <w:numId w:val="7"/>
      </w:numPr>
      <w:spacing w:line="300" w:lineRule="auto"/>
    </w:pPr>
    <w:rPr>
      <w:rFonts w:ascii="宋体" w:hAnsi="Calibri"/>
      <w:sz w:val="24"/>
      <w:szCs w:val="21"/>
    </w:rPr>
  </w:style>
  <w:style w:type="paragraph" w:styleId="1276">
    <w:name w:val="正文须知-3级"/>
    <w:basedOn w:val="1065"/>
    <w:next w:val="1276"/>
    <w:link w:val="1065"/>
    <w:qFormat/>
    <w:pPr>
      <w:numPr>
        <w:ilvl w:val="2"/>
        <w:numId w:val="7"/>
      </w:numPr>
      <w:ind w:hanging="355"/>
      <w:spacing w:line="300" w:lineRule="auto"/>
    </w:pPr>
    <w:rPr>
      <w:rFonts w:ascii="宋体" w:hAnsi="Calibri"/>
      <w:sz w:val="24"/>
      <w:szCs w:val="21"/>
    </w:rPr>
  </w:style>
  <w:style w:type="character" w:styleId="1277">
    <w:name w:val="纯文本 字符"/>
    <w:next w:val="1277"/>
    <w:link w:val="1065"/>
    <w:uiPriority w:val="99"/>
    <w:qFormat/>
    <w:rPr>
      <w:rFonts w:ascii="宋体" w:hAnsi="Courier New" w:eastAsia="宋体" w:cs="Times New Roman"/>
      <w:sz w:val="21"/>
      <w:szCs w:val="21"/>
      <w:lang w:val="en-US" w:eastAsia="zh-CN" w:bidi="ar-SA"/>
    </w:rPr>
  </w:style>
  <w:style w:type="paragraph" w:styleId="1278">
    <w:name w:val="表格1"/>
    <w:basedOn w:val="1065"/>
    <w:next w:val="1278"/>
    <w:link w:val="1065"/>
    <w:qFormat/>
    <w:pPr>
      <w:ind w:firstLine="480"/>
      <w:jc w:val="center"/>
    </w:pPr>
    <w:rPr>
      <w:sz w:val="24"/>
      <w:szCs w:val="20"/>
    </w:rPr>
  </w:style>
  <w:style w:type="character" w:styleId="1279">
    <w:name w:val="纯文本 字符1"/>
    <w:next w:val="1279"/>
    <w:link w:val="1065"/>
    <w:qFormat/>
    <w:rPr>
      <w:rFonts w:ascii="宋体" w:hAnsi="Courier New"/>
    </w:rPr>
  </w:style>
  <w:style w:type="character" w:styleId="1280">
    <w:name w:val="bjh-p"/>
    <w:next w:val="1280"/>
    <w:link w:val="1065"/>
    <w:qFormat/>
  </w:style>
  <w:style w:type="paragraph" w:styleId="1281">
    <w:name w:val="无标题条"/>
    <w:next w:val="1065"/>
    <w:link w:val="1065"/>
    <w:qFormat/>
    <w:pPr>
      <w:jc w:val="both"/>
    </w:pPr>
    <w:rPr>
      <w:sz w:val="21"/>
      <w:lang w:val="en-US" w:eastAsia="zh-CN" w:bidi="ar-SA"/>
    </w:rPr>
  </w:style>
  <w:style w:type="character" w:styleId="1282">
    <w:name w:val="正文格式 Char"/>
    <w:next w:val="1282"/>
    <w:link w:val="1283"/>
    <w:qFormat/>
    <w:rPr>
      <w:rFonts w:ascii="宋体" w:hAnsi="宋体"/>
      <w:sz w:val="24"/>
      <w:szCs w:val="24"/>
      <w:lang w:val="en-GB"/>
    </w:rPr>
  </w:style>
  <w:style w:type="paragraph" w:styleId="1283">
    <w:name w:val="正文格式"/>
    <w:basedOn w:val="1065"/>
    <w:next w:val="1283"/>
    <w:link w:val="1282"/>
    <w:qFormat/>
    <w:pPr>
      <w:ind w:firstLine="480"/>
      <w:spacing w:line="360" w:lineRule="auto"/>
    </w:pPr>
    <w:rPr>
      <w:rFonts w:ascii="宋体" w:hAnsi="宋体"/>
      <w:sz w:val="24"/>
      <w:lang w:val="en-GB"/>
    </w:rPr>
  </w:style>
  <w:style w:type="character" w:styleId="1284">
    <w:name w:val="标题 3 Char"/>
    <w:next w:val="1284"/>
    <w:link w:val="1065"/>
    <w:qFormat/>
    <w:rPr>
      <w:rFonts w:ascii="宋体" w:eastAsia="宋体"/>
      <w:b/>
      <w:sz w:val="24"/>
      <w:u w:val="single"/>
      <w:lang w:val="en-US" w:eastAsia="zh-CN" w:bidi="ar-SA"/>
    </w:rPr>
  </w:style>
  <w:style w:type="character" w:styleId="1285">
    <w:name w:val="正文缩进 Char"/>
    <w:next w:val="1285"/>
    <w:link w:val="1065"/>
    <w:qFormat/>
    <w:rPr>
      <w:rFonts w:ascii="宋体" w:eastAsia="宋体"/>
      <w:sz w:val="24"/>
      <w:szCs w:val="24"/>
      <w:lang w:val="en-US" w:eastAsia="zh-CN" w:bidi="ar-SA"/>
    </w:rPr>
  </w:style>
  <w:style w:type="character" w:styleId="1286">
    <w:name w:val="Char Char111"/>
    <w:next w:val="1286"/>
    <w:link w:val="1065"/>
    <w:qFormat/>
    <w:rPr>
      <w:rFonts w:ascii="宋体" w:eastAsia="宋体"/>
      <w:b/>
      <w:sz w:val="24"/>
      <w:u w:val="single"/>
      <w:lang w:val="en-US" w:eastAsia="zh-CN" w:bidi="ar-SA"/>
    </w:rPr>
  </w:style>
  <w:style w:type="character" w:styleId="1287">
    <w:name w:val="正文文本缩进 Char"/>
    <w:next w:val="1287"/>
    <w:link w:val="1065"/>
    <w:qFormat/>
    <w:rPr>
      <w:rFonts w:eastAsia="宋体"/>
      <w:sz w:val="24"/>
      <w:szCs w:val="24"/>
      <w:lang w:val="en-US" w:eastAsia="zh-CN" w:bidi="ar-SA"/>
    </w:rPr>
  </w:style>
  <w:style w:type="character" w:styleId="1288">
    <w:name w:val="列出段落 Char"/>
    <w:next w:val="1288"/>
    <w:link w:val="1065"/>
    <w:qFormat/>
    <w:rPr>
      <w:rFonts w:ascii="Calibri" w:hAnsi="Calibri" w:eastAsia="宋体"/>
      <w:sz w:val="21"/>
      <w:szCs w:val="22"/>
      <w:lang w:val="en-US" w:eastAsia="zh-CN" w:bidi="ar-SA"/>
    </w:rPr>
  </w:style>
  <w:style w:type="character" w:styleId="1289">
    <w:name w:val="页眉 Char"/>
    <w:next w:val="1289"/>
    <w:link w:val="1065"/>
    <w:qFormat/>
    <w:rPr>
      <w:rFonts w:eastAsia="宋体"/>
      <w:sz w:val="18"/>
      <w:szCs w:val="18"/>
      <w:lang w:val="en-US" w:eastAsia="zh-CN" w:bidi="ar-SA"/>
    </w:rPr>
  </w:style>
  <w:style w:type="character" w:styleId="1290">
    <w:name w:val="标题 2 Char"/>
    <w:next w:val="1290"/>
    <w:link w:val="1065"/>
    <w:qFormat/>
    <w:rPr>
      <w:rFonts w:ascii="Arial" w:hAnsi="Arial" w:eastAsia="黑体"/>
      <w:b/>
      <w:sz w:val="30"/>
      <w:lang w:val="en-US" w:eastAsia="zh-CN" w:bidi="ar-SA"/>
    </w:rPr>
  </w:style>
  <w:style w:type="paragraph" w:styleId="1291">
    <w:name w:val="字元 字元2"/>
    <w:basedOn w:val="1065"/>
    <w:next w:val="1291"/>
    <w:link w:val="1065"/>
    <w:qFormat/>
    <w:rPr>
      <w:rFonts w:ascii="Tahoma" w:hAnsi="Tahoma"/>
      <w:sz w:val="24"/>
      <w:szCs w:val="20"/>
    </w:rPr>
  </w:style>
  <w:style w:type="paragraph" w:styleId="1292">
    <w:name w:val="Char3 Char Char Char2"/>
    <w:basedOn w:val="1065"/>
    <w:next w:val="1292"/>
    <w:link w:val="1065"/>
    <w:qFormat/>
    <w:rPr>
      <w:rFonts w:ascii="Tahoma" w:hAnsi="Tahoma"/>
      <w:sz w:val="24"/>
      <w:szCs w:val="20"/>
    </w:rPr>
  </w:style>
  <w:style w:type="paragraph" w:styleId="1293">
    <w:name w:val="正文文本缩进2"/>
    <w:basedOn w:val="1065"/>
    <w:next w:val="1293"/>
    <w:link w:val="1065"/>
    <w:qFormat/>
    <w:pPr>
      <w:ind w:firstLine="480"/>
      <w:spacing w:line="480" w:lineRule="exact"/>
    </w:pPr>
    <w:rPr>
      <w:rFonts w:ascii="宋体" w:hAnsi="宋体"/>
      <w:sz w:val="24"/>
      <w:lang w:val="zh-CN" w:eastAsia="zh-CN"/>
    </w:rPr>
  </w:style>
  <w:style w:type="paragraph" w:styleId="1294">
    <w:name w:val="Char3"/>
    <w:basedOn w:val="1065"/>
    <w:next w:val="1294"/>
    <w:link w:val="1065"/>
    <w:qFormat/>
    <w:pPr>
      <w:tabs>
        <w:tab w:val="left" w:pos="360" w:leader="none"/>
      </w:tabs>
    </w:pPr>
    <w:rPr>
      <w:sz w:val="24"/>
    </w:rPr>
  </w:style>
  <w:style w:type="paragraph" w:styleId="1295">
    <w:name w:val="Char Char Char Char Char Char Char Char Char Char Char Char Char Char Char Char1"/>
    <w:basedOn w:val="1065"/>
    <w:next w:val="1295"/>
    <w:link w:val="1065"/>
    <w:qFormat/>
    <w:pPr>
      <w:jc w:val="center"/>
      <w:spacing w:after="160" w:line="240" w:lineRule="exact"/>
      <w:widowControl/>
    </w:pPr>
    <w:rPr>
      <w:rFonts w:ascii="宋体" w:hAnsi="宋体"/>
      <w:b/>
      <w:sz w:val="30"/>
      <w:szCs w:val="30"/>
      <w:lang w:eastAsia="en-US"/>
    </w:rPr>
  </w:style>
  <w:style w:type="paragraph" w:styleId="1296">
    <w:name w:val="Char Char1 Char Char Char Char Char Char1"/>
    <w:basedOn w:val="1065"/>
    <w:next w:val="1296"/>
    <w:link w:val="1065"/>
    <w:qFormat/>
    <w:pPr>
      <w:jc w:val="left"/>
      <w:spacing w:after="160" w:line="240" w:lineRule="exact"/>
      <w:widowControl/>
    </w:pPr>
    <w:rPr>
      <w:rFonts w:ascii="Verdana" w:hAnsi="Verdana" w:eastAsia="仿宋_GB2312"/>
      <w:sz w:val="24"/>
      <w:szCs w:val="20"/>
      <w:lang w:eastAsia="en-US"/>
    </w:rPr>
  </w:style>
  <w:style w:type="paragraph" w:styleId="1297">
    <w:name w:val="列出段落2"/>
    <w:basedOn w:val="1065"/>
    <w:next w:val="1297"/>
    <w:link w:val="1065"/>
    <w:qFormat/>
    <w:pPr>
      <w:ind w:firstLine="420"/>
    </w:pPr>
    <w:rPr>
      <w:rFonts w:ascii="Calibri" w:hAnsi="Calibri"/>
      <w:szCs w:val="22"/>
    </w:rPr>
  </w:style>
  <w:style w:type="paragraph" w:styleId="1298">
    <w:name w:val="Char Char Char1 Char2"/>
    <w:basedOn w:val="1065"/>
    <w:next w:val="1298"/>
    <w:link w:val="1065"/>
    <w:qFormat/>
    <w:rPr>
      <w:rFonts w:ascii="Tahoma" w:hAnsi="Tahoma"/>
      <w:sz w:val="24"/>
      <w:szCs w:val="20"/>
    </w:rPr>
  </w:style>
  <w:style w:type="paragraph" w:styleId="1299">
    <w:name w:val="Char Char Char2"/>
    <w:basedOn w:val="1065"/>
    <w:next w:val="1299"/>
    <w:link w:val="1065"/>
    <w:qFormat/>
    <w:rPr>
      <w:rFonts w:ascii="Tahoma" w:hAnsi="Tahoma"/>
      <w:sz w:val="24"/>
      <w:szCs w:val="20"/>
    </w:rPr>
  </w:style>
  <w:style w:type="paragraph" w:styleId="1300">
    <w:name w:val="Char Char Char Char Char Char Char2"/>
    <w:basedOn w:val="1065"/>
    <w:next w:val="1300"/>
    <w:link w:val="1065"/>
    <w:qFormat/>
    <w:pPr>
      <w:ind w:firstLine="200"/>
      <w:spacing w:line="360" w:lineRule="auto"/>
    </w:pPr>
    <w:rPr>
      <w:rFonts w:eastAsia="仿宋_GB2312"/>
      <w:sz w:val="24"/>
    </w:rPr>
  </w:style>
  <w:style w:type="paragraph" w:styleId="1301">
    <w:name w:val="正文缩进2"/>
    <w:basedOn w:val="1065"/>
    <w:next w:val="1301"/>
    <w:link w:val="1065"/>
    <w:qFormat/>
    <w:pPr>
      <w:ind w:firstLine="567"/>
      <w:spacing w:line="480" w:lineRule="exact"/>
      <w:widowControl/>
    </w:pPr>
    <w:rPr>
      <w:rFonts w:ascii="宋体"/>
      <w:color w:val="000000"/>
      <w:sz w:val="28"/>
      <w:szCs w:val="20"/>
      <w:lang w:val="zh-CN" w:eastAsia="zh-CN"/>
    </w:rPr>
  </w:style>
  <w:style w:type="paragraph" w:styleId="1302">
    <w:name w:val="Revision"/>
    <w:next w:val="1302"/>
    <w:link w:val="1065"/>
    <w:qFormat/>
    <w:rPr>
      <w:sz w:val="21"/>
      <w:szCs w:val="24"/>
      <w:lang w:val="en-US" w:eastAsia="zh-CN" w:bidi="ar-SA"/>
    </w:rPr>
  </w:style>
  <w:style w:type="paragraph" w:styleId="1303">
    <w:name w:val="Char22"/>
    <w:basedOn w:val="1065"/>
    <w:next w:val="1303"/>
    <w:link w:val="1065"/>
    <w:qFormat/>
    <w:rPr>
      <w:rFonts w:ascii="Tahoma" w:hAnsi="Tahoma"/>
      <w:sz w:val="24"/>
      <w:szCs w:val="20"/>
    </w:rPr>
  </w:style>
  <w:style w:type="paragraph" w:styleId="1304">
    <w:name w:val="Char Char Char Char Char Char Char Char Char Char2"/>
    <w:basedOn w:val="1065"/>
    <w:next w:val="1304"/>
    <w:link w:val="1065"/>
    <w:qFormat/>
    <w:rPr>
      <w:rFonts w:ascii="宋体" w:hAnsi="宋体" w:cs="Courier New"/>
      <w:sz w:val="32"/>
      <w:szCs w:val="32"/>
    </w:rPr>
  </w:style>
  <w:style w:type="paragraph" w:styleId="1305">
    <w:name w:val="Char2 Char Char Char Char Char Char1"/>
    <w:basedOn w:val="1065"/>
    <w:next w:val="1305"/>
    <w:link w:val="1065"/>
    <w:qFormat/>
    <w:pPr>
      <w:jc w:val="center"/>
      <w:spacing w:line="400" w:lineRule="exact"/>
      <w:widowControl/>
    </w:pPr>
  </w:style>
  <w:style w:type="character" w:styleId="1306">
    <w:name w:val="页脚 Char"/>
    <w:next w:val="1306"/>
    <w:link w:val="1065"/>
    <w:qFormat/>
    <w:rPr>
      <w:rFonts w:ascii="宋体" w:eastAsia="宋体"/>
      <w:sz w:val="18"/>
      <w:lang w:val="en-US" w:eastAsia="zh-CN" w:bidi="ar-SA"/>
    </w:rPr>
  </w:style>
  <w:style w:type="paragraph" w:styleId="1307">
    <w:name w:val="Char Char41"/>
    <w:basedOn w:val="1065"/>
    <w:next w:val="1307"/>
    <w:link w:val="1065"/>
    <w:qFormat/>
    <w:pPr>
      <w:jc w:val="center"/>
      <w:spacing w:line="400" w:lineRule="exact"/>
      <w:widowControl/>
    </w:pPr>
  </w:style>
  <w:style w:type="character" w:styleId="1308">
    <w:name w:val="批注文字 Char"/>
    <w:next w:val="1308"/>
    <w:link w:val="1065"/>
    <w:uiPriority w:val="99"/>
    <w:qFormat/>
    <w:rPr>
      <w:sz w:val="21"/>
      <w:szCs w:val="24"/>
    </w:rPr>
  </w:style>
  <w:style w:type="character" w:styleId="1309">
    <w:name w:val="标题 Char"/>
    <w:next w:val="1309"/>
    <w:link w:val="1065"/>
    <w:qFormat/>
    <w:rPr>
      <w:b/>
      <w:sz w:val="32"/>
    </w:rPr>
  </w:style>
  <w:style w:type="paragraph" w:styleId="1310">
    <w:name w:val="图例"/>
    <w:basedOn w:val="1065"/>
    <w:next w:val="1310"/>
    <w:link w:val="1065"/>
    <w:qFormat/>
    <w:pPr>
      <w:jc w:val="center"/>
      <w:spacing w:before="120" w:after="120" w:line="360" w:lineRule="auto"/>
    </w:pPr>
    <w:rPr>
      <w:rFonts w:eastAsia="仿宋_GB2312"/>
      <w:b/>
      <w:sz w:val="24"/>
      <w:szCs w:val="20"/>
    </w:rPr>
  </w:style>
  <w:style w:type="table" w:styleId="1311">
    <w:name w:val="Table Normal"/>
    <w:next w:val="1311"/>
    <w:link w:val="1065"/>
    <w:uiPriority w:val="2"/>
    <w:unhideWhenUsed/>
    <w:qFormat/>
    <w:pPr>
      <w:widowControl w:val="off"/>
    </w:pPr>
    <w:rPr>
      <w:rFonts w:ascii="Calibri" w:hAnsi="Calibri"/>
      <w:sz w:val="22"/>
      <w:szCs w:val="22"/>
      <w:lang w:val="en-US" w:eastAsia="en-US" w:bidi="ar-SA"/>
    </w:rPr>
    <w:tblPr/>
  </w:style>
  <w:style w:type="paragraph" w:styleId="1312">
    <w:name w:val="Table Paragraph"/>
    <w:basedOn w:val="1065"/>
    <w:next w:val="1312"/>
    <w:link w:val="1065"/>
    <w:uiPriority w:val="1"/>
    <w:qFormat/>
    <w:pPr>
      <w:jc w:val="left"/>
    </w:pPr>
    <w:rPr>
      <w:rFonts w:ascii="宋体" w:hAnsi="宋体" w:cs="宋体"/>
      <w:sz w:val="22"/>
      <w:szCs w:val="22"/>
      <w:lang w:eastAsia="en-US"/>
    </w:rPr>
  </w:style>
  <w:style w:type="paragraph" w:styleId="1313">
    <w:name w:val="成文日期"/>
    <w:basedOn w:val="1065"/>
    <w:next w:val="1313"/>
    <w:link w:val="1314"/>
    <w:qFormat/>
    <w:pPr>
      <w:ind w:right="400" w:firstLine="200"/>
      <w:jc w:val="right"/>
      <w:spacing w:line="570" w:lineRule="exact"/>
    </w:pPr>
    <w:rPr>
      <w:rFonts w:ascii="仿宋_GB2312" w:eastAsia="仿宋_GB2312"/>
      <w:sz w:val="32"/>
      <w:szCs w:val="20"/>
    </w:rPr>
  </w:style>
  <w:style w:type="character" w:styleId="1314">
    <w:name w:val="成文日期 Char"/>
    <w:next w:val="1314"/>
    <w:link w:val="1313"/>
    <w:rPr>
      <w:rFonts w:ascii="仿宋_GB2312" w:eastAsia="仿宋_GB2312"/>
      <w:sz w:val="32"/>
    </w:rPr>
  </w:style>
  <w:style w:type="paragraph" w:styleId="1315">
    <w:name w:val="修订"/>
    <w:next w:val="1315"/>
    <w:link w:val="1065"/>
    <w:uiPriority w:val="99"/>
    <w:unhideWhenUsed/>
    <w:rPr>
      <w:sz w:val="21"/>
      <w:szCs w:val="24"/>
      <w:lang w:val="en-US" w:eastAsia="zh-CN" w:bidi="ar-SA"/>
    </w:rPr>
  </w:style>
  <w:style w:type="character" w:styleId="1316">
    <w:name w:val="正文缩进 字符"/>
    <w:next w:val="1316"/>
    <w:link w:val="1065"/>
    <w:uiPriority w:val="99"/>
    <w:qFormat/>
    <w:rPr>
      <w:rFonts w:ascii="宋体" w:hAnsi="Times New Roman" w:eastAsia="宋体" w:cs="Times New Roman"/>
      <w:sz w:val="24"/>
    </w:rPr>
  </w:style>
  <w:style w:type="character" w:styleId="1317">
    <w:name w:val="正文文本 字符"/>
    <w:next w:val="1317"/>
    <w:link w:val="1065"/>
    <w:qFormat/>
    <w:rPr>
      <w:rFonts w:ascii="宋体" w:hAnsi="宋体"/>
      <w:sz w:val="24"/>
      <w:szCs w:val="24"/>
    </w:rPr>
  </w:style>
  <w:style w:type="paragraph" w:styleId="1318">
    <w:name w:val="纯文本1"/>
    <w:next w:val="1119"/>
    <w:link w:val="1065"/>
    <w:qFormat/>
    <w:pPr>
      <w:jc w:val="both"/>
      <w:widowControl w:val="off"/>
    </w:pPr>
    <w:rPr>
      <w:rFonts w:ascii="宋体" w:hAnsi="宋体"/>
      <w:sz w:val="26"/>
      <w:szCs w:val="24"/>
      <w:lang w:val="en-US" w:eastAsia="zh-CN" w:bidi="ar-SA"/>
    </w:rPr>
  </w:style>
  <w:style w:type="paragraph" w:styleId="1319">
    <w:name w:val="AONormal"/>
    <w:next w:val="1319"/>
    <w:link w:val="1065"/>
    <w:qFormat/>
    <w:pPr>
      <w:ind w:firstLine="440"/>
      <w:spacing w:line="400" w:lineRule="exact"/>
    </w:pPr>
    <w:rPr>
      <w:rFonts w:ascii="华文楷体" w:hAnsi="华文楷体" w:eastAsia="华文楷体" w:cs="华文楷体"/>
      <w:sz w:val="22"/>
      <w:szCs w:val="21"/>
      <w:lang w:val="en-US" w:eastAsia="zh-CN" w:bidi="ar-SA"/>
    </w:rPr>
  </w:style>
  <w:style w:type="character" w:styleId="1320" w:default="1">
    <w:name w:val="Default Paragraph Font"/>
    <w:uiPriority w:val="1"/>
    <w:semiHidden/>
    <w:unhideWhenUsed/>
  </w:style>
  <w:style w:type="numbering" w:styleId="1321" w:default="1">
    <w:name w:val="No List"/>
    <w:uiPriority w:val="99"/>
    <w:semiHidden/>
    <w:unhideWhenUsed/>
  </w:style>
  <w:style w:type="table" w:styleId="13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29</cp:revision>
  <dcterms:created xsi:type="dcterms:W3CDTF">2022-05-30T08:08:00Z</dcterms:created>
  <dcterms:modified xsi:type="dcterms:W3CDTF">2026-06-29T07:41:24Z</dcterms:modified>
  <cp:version>1048576</cp:version>
</cp:coreProperties>
</file>