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AA0E">
      <w:pPr>
        <w:tabs>
          <w:tab w:val="left" w:pos="720"/>
        </w:tabs>
        <w:snapToGrid w:val="0"/>
        <w:spacing w:line="360" w:lineRule="auto"/>
        <w:jc w:val="center"/>
        <w:rPr>
          <w:rFonts w:hint="eastAsia" w:ascii="宋体" w:hAnsi="宋体"/>
          <w:b/>
          <w:bCs/>
          <w:color w:val="auto"/>
          <w:position w:val="-6"/>
          <w:sz w:val="32"/>
          <w:szCs w:val="32"/>
        </w:rPr>
      </w:pPr>
      <w:r>
        <w:rPr>
          <w:rFonts w:hint="eastAsia" w:ascii="宋体" w:hAnsi="宋体"/>
          <w:b/>
          <w:bCs/>
          <w:color w:val="auto"/>
          <w:position w:val="-6"/>
          <w:sz w:val="32"/>
          <w:szCs w:val="32"/>
        </w:rPr>
        <w:t>编制说明</w:t>
      </w:r>
    </w:p>
    <w:p w14:paraId="6446F622">
      <w:pPr>
        <w:tabs>
          <w:tab w:val="left" w:pos="720"/>
        </w:tabs>
        <w:snapToGrid w:val="0"/>
        <w:spacing w:line="360" w:lineRule="auto"/>
        <w:rPr>
          <w:rFonts w:ascii="宋体"/>
          <w:b/>
          <w:bCs/>
          <w:color w:val="auto"/>
          <w:position w:val="-6"/>
          <w:sz w:val="24"/>
        </w:rPr>
      </w:pPr>
      <w:r>
        <w:rPr>
          <w:rFonts w:hint="eastAsia" w:ascii="宋体"/>
          <w:b/>
          <w:bCs/>
          <w:color w:val="auto"/>
          <w:position w:val="-6"/>
          <w:sz w:val="24"/>
        </w:rPr>
        <w:t>一、</w:t>
      </w:r>
      <w:r>
        <w:rPr>
          <w:rFonts w:hint="eastAsia" w:ascii="宋体" w:hAnsi="宋体"/>
          <w:b/>
          <w:bCs/>
          <w:color w:val="auto"/>
          <w:position w:val="-6"/>
          <w:sz w:val="24"/>
        </w:rPr>
        <w:t>工程概况:</w:t>
      </w:r>
    </w:p>
    <w:p w14:paraId="2F3133F1">
      <w:pPr>
        <w:snapToGrid w:val="0"/>
        <w:spacing w:line="360" w:lineRule="auto"/>
        <w:ind w:firstLine="480" w:firstLineChars="200"/>
        <w:rPr>
          <w:rFonts w:ascii="宋体"/>
          <w:color w:val="auto"/>
          <w:position w:val="-6"/>
          <w:sz w:val="24"/>
        </w:rPr>
      </w:pPr>
      <w:r>
        <w:rPr>
          <w:rFonts w:hint="eastAsia" w:ascii="宋体" w:hAnsi="宋体"/>
          <w:color w:val="auto"/>
          <w:position w:val="-6"/>
          <w:sz w:val="24"/>
        </w:rPr>
        <w:t>关庙初级中学农村寄宿制学校改造工程（运动场修缮提升项目）位于宿迁市宿豫区</w:t>
      </w:r>
      <w:r>
        <w:rPr>
          <w:rFonts w:hint="eastAsia" w:ascii="宋体" w:hAnsi="宋体"/>
          <w:color w:val="auto"/>
          <w:position w:val="-6"/>
          <w:sz w:val="24"/>
          <w:lang w:eastAsia="zh-CN"/>
        </w:rPr>
        <w:t>关庙初级中学</w:t>
      </w:r>
      <w:r>
        <w:rPr>
          <w:rFonts w:hint="eastAsia" w:ascii="宋体" w:hAnsi="宋体"/>
          <w:color w:val="auto"/>
          <w:position w:val="-6"/>
          <w:sz w:val="24"/>
        </w:rPr>
        <w:t>。本次招标范围包含运动场塑胶跑道、人造草坪</w:t>
      </w:r>
      <w:r>
        <w:rPr>
          <w:rFonts w:hint="eastAsia" w:ascii="宋体" w:hAnsi="宋体"/>
          <w:color w:val="auto"/>
          <w:position w:val="-6"/>
          <w:sz w:val="24"/>
          <w:lang w:val="en-US" w:eastAsia="zh-CN"/>
        </w:rPr>
        <w:t>及</w:t>
      </w:r>
      <w:r>
        <w:rPr>
          <w:rFonts w:hint="eastAsia" w:ascii="宋体" w:hAnsi="宋体"/>
          <w:color w:val="auto"/>
          <w:position w:val="-6"/>
          <w:sz w:val="24"/>
        </w:rPr>
        <w:t>篮球场</w:t>
      </w:r>
      <w:r>
        <w:rPr>
          <w:rFonts w:hint="eastAsia" w:ascii="宋体" w:hAnsi="宋体"/>
          <w:color w:val="auto"/>
          <w:position w:val="-6"/>
          <w:sz w:val="24"/>
          <w:lang w:val="en-US" w:eastAsia="zh-CN"/>
        </w:rPr>
        <w:t>改造</w:t>
      </w:r>
      <w:r>
        <w:rPr>
          <w:rFonts w:hint="eastAsia" w:ascii="宋体" w:hAnsi="宋体"/>
          <w:color w:val="auto"/>
          <w:position w:val="-6"/>
          <w:sz w:val="24"/>
        </w:rPr>
        <w:t>等。</w:t>
      </w:r>
    </w:p>
    <w:p w14:paraId="10A96F37">
      <w:pPr>
        <w:snapToGrid w:val="0"/>
        <w:spacing w:line="360" w:lineRule="auto"/>
        <w:rPr>
          <w:rFonts w:ascii="宋体"/>
          <w:b/>
          <w:bCs/>
          <w:color w:val="auto"/>
          <w:position w:val="-6"/>
          <w:sz w:val="24"/>
        </w:rPr>
      </w:pPr>
      <w:r>
        <w:rPr>
          <w:rFonts w:hint="eastAsia" w:ascii="宋体" w:hAnsi="宋体"/>
          <w:b/>
          <w:bCs/>
          <w:color w:val="auto"/>
          <w:position w:val="-6"/>
          <w:sz w:val="24"/>
        </w:rPr>
        <w:t>二、编制依据:</w:t>
      </w:r>
    </w:p>
    <w:p w14:paraId="74BFBF7E">
      <w:pPr>
        <w:snapToGrid w:val="0"/>
        <w:spacing w:line="360" w:lineRule="auto"/>
        <w:ind w:firstLine="480" w:firstLineChars="200"/>
        <w:rPr>
          <w:rFonts w:ascii="宋体"/>
          <w:color w:val="auto"/>
          <w:position w:val="-6"/>
          <w:sz w:val="24"/>
        </w:rPr>
      </w:pPr>
      <w:r>
        <w:rPr>
          <w:rFonts w:ascii="宋体" w:hAnsi="宋体"/>
          <w:color w:val="auto"/>
          <w:position w:val="-6"/>
          <w:sz w:val="24"/>
        </w:rPr>
        <w:t>1</w:t>
      </w:r>
      <w:r>
        <w:rPr>
          <w:rFonts w:hint="eastAsia" w:ascii="宋体" w:hAnsi="宋体"/>
          <w:color w:val="auto"/>
          <w:position w:val="-6"/>
          <w:sz w:val="24"/>
        </w:rPr>
        <w:t>、</w:t>
      </w:r>
      <w:r>
        <w:rPr>
          <w:rFonts w:ascii="宋体" w:hAnsi="宋体"/>
          <w:color w:val="auto"/>
          <w:position w:val="-6"/>
          <w:sz w:val="24"/>
        </w:rPr>
        <w:t xml:space="preserve"> </w:t>
      </w:r>
      <w:r>
        <w:rPr>
          <w:rFonts w:hint="eastAsia" w:ascii="宋体" w:hAnsi="宋体"/>
          <w:color w:val="auto"/>
          <w:position w:val="-6"/>
          <w:sz w:val="24"/>
        </w:rPr>
        <w:t>建设单位提供的施工图纸(CAD版本)；</w:t>
      </w:r>
    </w:p>
    <w:p w14:paraId="742EEE5B">
      <w:pPr>
        <w:snapToGrid w:val="0"/>
        <w:spacing w:line="360" w:lineRule="auto"/>
        <w:ind w:firstLine="480" w:firstLineChars="200"/>
        <w:rPr>
          <w:rFonts w:hint="eastAsia" w:ascii="宋体" w:hAnsi="宋体"/>
          <w:color w:val="auto"/>
          <w:position w:val="-6"/>
          <w:sz w:val="24"/>
        </w:rPr>
      </w:pPr>
      <w:r>
        <w:rPr>
          <w:rFonts w:ascii="宋体" w:hAnsi="宋体"/>
          <w:color w:val="auto"/>
          <w:position w:val="-6"/>
          <w:sz w:val="24"/>
        </w:rPr>
        <w:t>2</w:t>
      </w:r>
      <w:r>
        <w:rPr>
          <w:rFonts w:hint="eastAsia" w:ascii="宋体" w:hAnsi="宋体"/>
          <w:color w:val="auto"/>
          <w:position w:val="-6"/>
          <w:sz w:val="24"/>
        </w:rPr>
        <w:t>、《建设工程工程量清单计价规范》（</w:t>
      </w:r>
      <w:r>
        <w:rPr>
          <w:rFonts w:ascii="宋体" w:hAnsi="宋体"/>
          <w:color w:val="auto"/>
          <w:position w:val="-6"/>
          <w:sz w:val="24"/>
        </w:rPr>
        <w:t>GB50500-2013</w:t>
      </w:r>
      <w:r>
        <w:rPr>
          <w:rFonts w:hint="eastAsia" w:ascii="宋体" w:hAnsi="宋体"/>
          <w:color w:val="auto"/>
          <w:position w:val="-6"/>
          <w:sz w:val="24"/>
        </w:rPr>
        <w:t>）、《市政工程工程量计算规范》（GB50857-2013）、《江苏省市政工程计价定额》（2014）、《江苏省安装工程计价定额》（2014年）、《江苏省建设工程费用定额》（</w:t>
      </w:r>
      <w:r>
        <w:rPr>
          <w:rFonts w:ascii="宋体" w:hAnsi="宋体"/>
          <w:color w:val="auto"/>
          <w:position w:val="-6"/>
          <w:sz w:val="24"/>
        </w:rPr>
        <w:t>2014</w:t>
      </w:r>
      <w:r>
        <w:rPr>
          <w:rFonts w:hint="eastAsia" w:ascii="宋体" w:hAnsi="宋体"/>
          <w:color w:val="auto"/>
          <w:position w:val="-6"/>
          <w:sz w:val="24"/>
        </w:rPr>
        <w:t>）及其配套文件；</w:t>
      </w:r>
    </w:p>
    <w:p w14:paraId="785DBF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color w:val="auto"/>
        </w:rPr>
        <w:t>3、《省住房城乡建设厅关于建筑业实施营改增后江苏省建设工程计价依据调整的通知》（苏建价[2016]154号）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《省住房城乡建设厅关于调整建设工程计价增值税税率的通知》</w:t>
      </w:r>
      <w:r>
        <w:rPr>
          <w:rFonts w:hint="eastAsia" w:ascii="宋体" w:hAnsi="宋体" w:eastAsia="宋体" w:cs="宋体"/>
          <w:color w:val="auto"/>
          <w:sz w:val="24"/>
          <w:szCs w:val="24"/>
        </w:rPr>
        <w:t>（苏建函价〔2019〕178号）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《省住房城乡建设厅关于调整建设工程按质论价等费用计取方法的公告》（公告〔2018〕24号）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《省住房城乡建设厅关于建筑工人实名制费用计取方法的公告》（公告〔2019〕19号）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关于明确材料预算价格中含税价和除税价计算方式的通知</w:t>
      </w:r>
      <w:r>
        <w:rPr>
          <w:rFonts w:hint="eastAsia" w:ascii="宋体" w:hAnsi="宋体" w:eastAsia="宋体" w:cs="宋体"/>
          <w:color w:val="auto"/>
          <w:sz w:val="24"/>
          <w:szCs w:val="24"/>
        </w:rPr>
        <w:t>》苏建价函﹝2025﹞2号；</w:t>
      </w:r>
    </w:p>
    <w:p w14:paraId="022F40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《省住房和城乡建设厅关于发布2026年上半年建设工程人工价格指数的通知》（苏建函价[202</w:t>
      </w:r>
      <w:r>
        <w:rPr>
          <w:rFonts w:hint="eastAsia" w:cs="宋体"/>
          <w:color w:val="auto"/>
          <w:sz w:val="24"/>
          <w:szCs w:val="24"/>
          <w:lang w:val="en-US" w:eastAsia="zh-CN"/>
        </w:rPr>
        <w:t>6</w:t>
      </w:r>
      <w:r>
        <w:rPr>
          <w:rFonts w:hint="eastAsia" w:ascii="宋体" w:hAnsi="宋体" w:eastAsia="宋体" w:cs="宋体"/>
          <w:color w:val="auto"/>
          <w:sz w:val="24"/>
          <w:szCs w:val="24"/>
        </w:rPr>
        <w:t>]</w:t>
      </w:r>
      <w:r>
        <w:rPr>
          <w:rFonts w:hint="eastAsia" w:cs="宋体"/>
          <w:color w:val="auto"/>
          <w:sz w:val="24"/>
          <w:szCs w:val="24"/>
          <w:lang w:val="en-US" w:eastAsia="zh-CN"/>
        </w:rPr>
        <w:t>27</w:t>
      </w:r>
      <w:r>
        <w:rPr>
          <w:rFonts w:hint="eastAsia" w:ascii="宋体" w:hAnsi="宋体" w:eastAsia="宋体" w:cs="宋体"/>
          <w:color w:val="auto"/>
          <w:sz w:val="24"/>
          <w:szCs w:val="24"/>
        </w:rPr>
        <w:t xml:space="preserve">号）； </w:t>
      </w:r>
    </w:p>
    <w:p w14:paraId="3B64B2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、材料价格执行《宿迁工程造价管理》202</w:t>
      </w:r>
      <w:r>
        <w:rPr>
          <w:rFonts w:hint="eastAsia" w:cs="宋体"/>
          <w:color w:val="auto"/>
          <w:sz w:val="24"/>
          <w:szCs w:val="24"/>
          <w:lang w:val="en-US" w:eastAsia="zh-CN"/>
        </w:rPr>
        <w:t>6</w:t>
      </w:r>
      <w:r>
        <w:rPr>
          <w:rFonts w:hint="eastAsia" w:ascii="宋体" w:hAnsi="宋体" w:eastAsia="宋体" w:cs="宋体"/>
          <w:color w:val="auto"/>
          <w:sz w:val="24"/>
          <w:szCs w:val="24"/>
        </w:rPr>
        <w:t>年第</w:t>
      </w:r>
      <w:r>
        <w:rPr>
          <w:rFonts w:hint="eastAsia" w:ascii="宋体" w:hAnsi="宋体" w:eastAsia="宋体" w:cs="宋体"/>
          <w:color w:val="auto"/>
          <w:sz w:val="24"/>
          <w:szCs w:val="24"/>
          <w:lang w:val="en-US" w:eastAsia="zh-CN"/>
        </w:rPr>
        <w:t>0</w:t>
      </w:r>
      <w:r>
        <w:rPr>
          <w:rFonts w:hint="eastAsia" w:cs="宋体"/>
          <w:color w:val="auto"/>
          <w:sz w:val="24"/>
          <w:szCs w:val="24"/>
          <w:lang w:val="en-US" w:eastAsia="zh-CN"/>
        </w:rPr>
        <w:t>3</w:t>
      </w:r>
      <w:r>
        <w:rPr>
          <w:rFonts w:hint="eastAsia" w:ascii="宋体" w:hAnsi="宋体" w:eastAsia="宋体" w:cs="宋体"/>
          <w:color w:val="auto"/>
          <w:sz w:val="24"/>
          <w:szCs w:val="24"/>
        </w:rPr>
        <w:t>期，对于工程造价信</w:t>
      </w:r>
      <w:r>
        <w:rPr>
          <w:rFonts w:hint="eastAsia" w:ascii="宋体" w:hAnsi="宋体" w:eastAsia="宋体" w:cs="宋体"/>
          <w:color w:val="auto"/>
          <w:sz w:val="24"/>
          <w:szCs w:val="24"/>
        </w:rPr>
        <w:t xml:space="preserve">息没有发布价格信息的材料，其价格参照市场价； </w:t>
      </w:r>
    </w:p>
    <w:p w14:paraId="12E104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、本工程涉及的图集、规范等其它相关造价资料。</w:t>
      </w:r>
    </w:p>
    <w:p w14:paraId="4A2DD422">
      <w:pPr>
        <w:snapToGrid w:val="0"/>
        <w:spacing w:line="360" w:lineRule="auto"/>
        <w:rPr>
          <w:rFonts w:hint="eastAsia" w:ascii="宋体" w:hAnsi="宋体"/>
          <w:b/>
          <w:bCs/>
          <w:color w:val="auto"/>
          <w:position w:val="-6"/>
          <w:sz w:val="24"/>
        </w:rPr>
      </w:pPr>
      <w:r>
        <w:rPr>
          <w:rFonts w:hint="eastAsia" w:ascii="宋体" w:hAnsi="宋体"/>
          <w:b/>
          <w:bCs/>
          <w:color w:val="auto"/>
          <w:position w:val="-6"/>
          <w:sz w:val="24"/>
        </w:rPr>
        <w:t>三、根据发包人要求，结合工程具体情况，本项目作如下说明：</w:t>
      </w:r>
    </w:p>
    <w:p w14:paraId="4D203268">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1</w:t>
      </w:r>
      <w:r>
        <w:rPr>
          <w:rFonts w:hint="eastAsia" w:ascii="宋体"/>
          <w:color w:val="auto"/>
          <w:sz w:val="24"/>
          <w:szCs w:val="24"/>
        </w:rPr>
        <w:t>、</w:t>
      </w:r>
      <w:r>
        <w:rPr>
          <w:rFonts w:hint="eastAsia" w:ascii="宋体" w:hAnsi="Courier New" w:eastAsia="宋体" w:cs="Courier New"/>
          <w:color w:val="auto"/>
          <w:sz w:val="24"/>
          <w:szCs w:val="24"/>
        </w:rPr>
        <w:t>田径场足球场地</w:t>
      </w:r>
      <w:r>
        <w:rPr>
          <w:rFonts w:hint="eastAsia" w:ascii="宋体"/>
          <w:color w:val="auto"/>
          <w:sz w:val="24"/>
          <w:szCs w:val="24"/>
        </w:rPr>
        <w:t>人造草坪参数：</w:t>
      </w:r>
    </w:p>
    <w:p w14:paraId="4894691E">
      <w:pPr>
        <w:pStyle w:val="2"/>
        <w:spacing w:line="360" w:lineRule="auto"/>
        <w:rPr>
          <w:rFonts w:ascii="宋体"/>
          <w:color w:val="auto"/>
          <w:sz w:val="24"/>
          <w:szCs w:val="24"/>
        </w:rPr>
      </w:pPr>
      <w:r>
        <w:rPr>
          <w:rFonts w:hint="eastAsia" w:ascii="宋体"/>
          <w:color w:val="auto"/>
          <w:sz w:val="24"/>
          <w:szCs w:val="24"/>
        </w:rPr>
        <w:t>（1）材质及颜色：聚乙烯PE，翠绿/深绿双色</w:t>
      </w:r>
    </w:p>
    <w:p w14:paraId="3FDAEBAF">
      <w:pPr>
        <w:pStyle w:val="2"/>
        <w:spacing w:line="360" w:lineRule="auto"/>
        <w:rPr>
          <w:rFonts w:ascii="宋体"/>
          <w:color w:val="auto"/>
          <w:sz w:val="24"/>
          <w:szCs w:val="24"/>
        </w:rPr>
      </w:pPr>
      <w:r>
        <w:rPr>
          <w:rFonts w:hint="eastAsia" w:ascii="宋体"/>
          <w:color w:val="auto"/>
          <w:sz w:val="24"/>
          <w:szCs w:val="24"/>
        </w:rPr>
        <w:t>（2）走针方式：直线型一字走针</w:t>
      </w:r>
    </w:p>
    <w:p w14:paraId="2AE51AEA">
      <w:pPr>
        <w:pStyle w:val="2"/>
        <w:spacing w:line="360" w:lineRule="auto"/>
        <w:rPr>
          <w:rFonts w:ascii="宋体"/>
          <w:color w:val="auto"/>
          <w:sz w:val="24"/>
          <w:szCs w:val="24"/>
        </w:rPr>
      </w:pPr>
      <w:r>
        <w:rPr>
          <w:rFonts w:hint="eastAsia" w:ascii="宋体"/>
          <w:color w:val="auto"/>
          <w:sz w:val="24"/>
          <w:szCs w:val="24"/>
        </w:rPr>
        <w:t>（3）草簇伸长10000m克重(dtex)：12000分特(H.单簇草丝不低于6股12根)，耐磨Lisport55万周、抗老化UVA13000H</w:t>
      </w:r>
    </w:p>
    <w:p w14:paraId="42B24684">
      <w:pPr>
        <w:pStyle w:val="2"/>
        <w:spacing w:line="360" w:lineRule="auto"/>
        <w:rPr>
          <w:rFonts w:ascii="宋体"/>
          <w:color w:val="auto"/>
          <w:sz w:val="24"/>
          <w:szCs w:val="24"/>
        </w:rPr>
      </w:pPr>
      <w:r>
        <w:rPr>
          <w:rFonts w:hint="eastAsia" w:ascii="宋体"/>
          <w:color w:val="auto"/>
          <w:sz w:val="24"/>
          <w:szCs w:val="24"/>
        </w:rPr>
        <w:t>（4）植草草高：50±1mm</w:t>
      </w:r>
    </w:p>
    <w:p w14:paraId="6AAB2815">
      <w:pPr>
        <w:pStyle w:val="2"/>
        <w:spacing w:line="360" w:lineRule="auto"/>
        <w:rPr>
          <w:rFonts w:ascii="宋体"/>
          <w:color w:val="auto"/>
          <w:sz w:val="24"/>
          <w:szCs w:val="24"/>
        </w:rPr>
      </w:pPr>
      <w:r>
        <w:rPr>
          <w:rFonts w:hint="eastAsia" w:ascii="宋体"/>
          <w:color w:val="auto"/>
          <w:sz w:val="24"/>
          <w:szCs w:val="24"/>
        </w:rPr>
        <w:t>（5）行距：5/8英寸</w:t>
      </w:r>
    </w:p>
    <w:p w14:paraId="59253C89">
      <w:pPr>
        <w:pStyle w:val="2"/>
        <w:spacing w:line="360" w:lineRule="auto"/>
        <w:rPr>
          <w:rFonts w:ascii="宋体"/>
          <w:color w:val="auto"/>
          <w:sz w:val="24"/>
          <w:szCs w:val="24"/>
        </w:rPr>
      </w:pPr>
      <w:r>
        <w:rPr>
          <w:rFonts w:hint="eastAsia" w:ascii="宋体"/>
          <w:color w:val="auto"/>
          <w:sz w:val="24"/>
          <w:szCs w:val="24"/>
        </w:rPr>
        <w:t>（6）织距：19针/10 cm</w:t>
      </w:r>
    </w:p>
    <w:p w14:paraId="2DF0B6C3">
      <w:pPr>
        <w:pStyle w:val="2"/>
        <w:spacing w:line="360" w:lineRule="auto"/>
        <w:rPr>
          <w:rFonts w:ascii="宋体"/>
          <w:color w:val="auto"/>
          <w:sz w:val="24"/>
          <w:szCs w:val="24"/>
        </w:rPr>
      </w:pPr>
      <w:r>
        <w:rPr>
          <w:rFonts w:hint="eastAsia" w:ascii="宋体"/>
          <w:color w:val="auto"/>
          <w:sz w:val="24"/>
          <w:szCs w:val="24"/>
        </w:rPr>
        <w:t>（7）密度：12000针/m2</w:t>
      </w:r>
    </w:p>
    <w:p w14:paraId="1BF883EF">
      <w:pPr>
        <w:pStyle w:val="2"/>
        <w:spacing w:line="360" w:lineRule="auto"/>
        <w:rPr>
          <w:rFonts w:ascii="宋体"/>
          <w:color w:val="auto"/>
          <w:sz w:val="24"/>
          <w:szCs w:val="24"/>
        </w:rPr>
      </w:pPr>
      <w:r>
        <w:rPr>
          <w:rFonts w:hint="eastAsia" w:ascii="宋体"/>
          <w:color w:val="auto"/>
          <w:sz w:val="24"/>
          <w:szCs w:val="24"/>
        </w:rPr>
        <w:t>（8）草丝厚度：230µm ± 10 µm</w:t>
      </w:r>
    </w:p>
    <w:p w14:paraId="5EDDD4D6">
      <w:pPr>
        <w:pStyle w:val="2"/>
        <w:spacing w:line="360" w:lineRule="auto"/>
        <w:rPr>
          <w:rFonts w:ascii="宋体"/>
          <w:color w:val="auto"/>
          <w:sz w:val="24"/>
          <w:szCs w:val="24"/>
        </w:rPr>
      </w:pPr>
      <w:r>
        <w:rPr>
          <w:rFonts w:hint="eastAsia" w:ascii="宋体"/>
          <w:color w:val="auto"/>
          <w:sz w:val="24"/>
          <w:szCs w:val="24"/>
        </w:rPr>
        <w:t>（9）宽度：1.5-1.7mm</w:t>
      </w:r>
    </w:p>
    <w:p w14:paraId="7574ACD1">
      <w:pPr>
        <w:pStyle w:val="2"/>
        <w:spacing w:line="360" w:lineRule="auto"/>
        <w:rPr>
          <w:rFonts w:ascii="宋体"/>
          <w:color w:val="auto"/>
          <w:sz w:val="24"/>
          <w:szCs w:val="24"/>
        </w:rPr>
      </w:pPr>
      <w:r>
        <w:rPr>
          <w:rFonts w:hint="eastAsia" w:ascii="宋体"/>
          <w:color w:val="auto"/>
          <w:sz w:val="24"/>
          <w:szCs w:val="24"/>
        </w:rPr>
        <w:t>（10）底布材质及背胶：加强型抗撕裂双层基布、环保丁苯乳胶</w:t>
      </w:r>
    </w:p>
    <w:p w14:paraId="140E5895">
      <w:pPr>
        <w:pStyle w:val="2"/>
        <w:spacing w:line="360" w:lineRule="auto"/>
        <w:rPr>
          <w:rFonts w:ascii="宋体"/>
          <w:color w:val="auto"/>
          <w:sz w:val="24"/>
          <w:szCs w:val="24"/>
        </w:rPr>
      </w:pPr>
      <w:r>
        <w:rPr>
          <w:rFonts w:hint="eastAsia" w:ascii="宋体"/>
          <w:color w:val="auto"/>
          <w:sz w:val="24"/>
          <w:szCs w:val="24"/>
        </w:rPr>
        <w:t>（11）卷宽及草坪专用环保颗粒：宽4m，TPE颗粒;拉条切粒工艺,规格1.5-3mm,绿色环保高弹力,填充量≥5kg/m2,高聚物含量</w:t>
      </w:r>
      <w:r>
        <w:rPr>
          <w:rFonts w:hint="eastAsia" w:ascii="宋体"/>
          <w:color w:val="auto"/>
          <w:sz w:val="24"/>
          <w:szCs w:val="24"/>
        </w:rPr>
        <w:t>≥</w:t>
      </w:r>
      <w:r>
        <w:rPr>
          <w:rFonts w:hint="eastAsia" w:ascii="宋体"/>
          <w:color w:val="auto"/>
          <w:sz w:val="24"/>
          <w:szCs w:val="24"/>
        </w:rPr>
        <w:t>20%</w:t>
      </w:r>
    </w:p>
    <w:p w14:paraId="43979F10">
      <w:pPr>
        <w:pStyle w:val="2"/>
        <w:spacing w:line="360" w:lineRule="auto"/>
        <w:rPr>
          <w:rFonts w:ascii="宋体"/>
          <w:color w:val="auto"/>
          <w:sz w:val="24"/>
          <w:szCs w:val="24"/>
        </w:rPr>
      </w:pPr>
      <w:r>
        <w:rPr>
          <w:rFonts w:hint="eastAsia" w:ascii="宋体"/>
          <w:color w:val="auto"/>
          <w:sz w:val="24"/>
          <w:szCs w:val="24"/>
        </w:rPr>
        <w:t>（12）草坪专用填充砂：20-40目颗粒均匀石英砂28-30kg/m2,颗粒圆润无棱角</w:t>
      </w:r>
    </w:p>
    <w:p w14:paraId="5A44E8CC">
      <w:pPr>
        <w:pStyle w:val="2"/>
        <w:spacing w:line="360" w:lineRule="auto"/>
        <w:rPr>
          <w:rFonts w:ascii="宋体"/>
          <w:color w:val="auto"/>
          <w:sz w:val="24"/>
          <w:szCs w:val="24"/>
        </w:rPr>
      </w:pPr>
      <w:r>
        <w:rPr>
          <w:rFonts w:hint="eastAsia" w:ascii="宋体"/>
          <w:color w:val="auto"/>
          <w:sz w:val="24"/>
          <w:szCs w:val="24"/>
        </w:rPr>
        <w:t>（13）环保双组份高粘性胶水；白色专用无纺布接缝带</w:t>
      </w:r>
    </w:p>
    <w:p w14:paraId="04F10AFA">
      <w:pPr>
        <w:pStyle w:val="2"/>
        <w:spacing w:line="360" w:lineRule="auto"/>
        <w:rPr>
          <w:rFonts w:ascii="宋体"/>
          <w:color w:val="auto"/>
          <w:sz w:val="24"/>
          <w:szCs w:val="24"/>
        </w:rPr>
      </w:pPr>
      <w:r>
        <w:rPr>
          <w:rFonts w:hint="eastAsia" w:ascii="宋体"/>
          <w:color w:val="auto"/>
          <w:sz w:val="24"/>
          <w:szCs w:val="24"/>
        </w:rPr>
        <w:t>（14）含白线镶嵌粘接</w:t>
      </w:r>
    </w:p>
    <w:p w14:paraId="046291E2">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2</w:t>
      </w:r>
      <w:r>
        <w:rPr>
          <w:rFonts w:hint="eastAsia" w:ascii="宋体"/>
          <w:color w:val="auto"/>
          <w:sz w:val="24"/>
          <w:szCs w:val="24"/>
        </w:rPr>
        <w:t>、8mm厚硅PU塑胶面层参数：</w:t>
      </w:r>
    </w:p>
    <w:p w14:paraId="7872A2B7">
      <w:pPr>
        <w:pStyle w:val="2"/>
        <w:spacing w:line="360" w:lineRule="auto"/>
        <w:ind w:firstLine="240" w:firstLineChars="100"/>
        <w:rPr>
          <w:rFonts w:ascii="宋体"/>
          <w:color w:val="auto"/>
          <w:sz w:val="24"/>
          <w:szCs w:val="24"/>
        </w:rPr>
      </w:pPr>
      <w:r>
        <w:rPr>
          <w:rFonts w:hint="eastAsia" w:ascii="宋体"/>
          <w:color w:val="auto"/>
          <w:sz w:val="24"/>
          <w:szCs w:val="24"/>
        </w:rPr>
        <w:t>（1）滚涂水性底涂层0.2kg/㎡；</w:t>
      </w:r>
    </w:p>
    <w:p w14:paraId="0FF8448B">
      <w:pPr>
        <w:pStyle w:val="2"/>
        <w:spacing w:line="360" w:lineRule="auto"/>
        <w:ind w:firstLine="240" w:firstLineChars="100"/>
        <w:rPr>
          <w:rFonts w:ascii="宋体"/>
          <w:color w:val="auto"/>
          <w:sz w:val="24"/>
          <w:szCs w:val="24"/>
        </w:rPr>
      </w:pPr>
      <w:r>
        <w:rPr>
          <w:rFonts w:hint="eastAsia" w:ascii="宋体"/>
          <w:color w:val="auto"/>
          <w:sz w:val="24"/>
          <w:szCs w:val="24"/>
        </w:rPr>
        <w:t>（2）弹性层5mm；</w:t>
      </w:r>
    </w:p>
    <w:p w14:paraId="33EB71F3">
      <w:pPr>
        <w:pStyle w:val="2"/>
        <w:spacing w:line="360" w:lineRule="auto"/>
        <w:ind w:firstLine="240" w:firstLineChars="100"/>
        <w:rPr>
          <w:rFonts w:ascii="宋体"/>
          <w:color w:val="auto"/>
          <w:sz w:val="24"/>
          <w:szCs w:val="24"/>
        </w:rPr>
      </w:pPr>
      <w:r>
        <w:rPr>
          <w:rFonts w:hint="eastAsia" w:ascii="宋体"/>
          <w:color w:val="auto"/>
          <w:sz w:val="24"/>
          <w:szCs w:val="24"/>
        </w:rPr>
        <w:t>（3）加强层3mm；</w:t>
      </w:r>
    </w:p>
    <w:p w14:paraId="098F0291">
      <w:pPr>
        <w:pStyle w:val="2"/>
        <w:spacing w:line="360" w:lineRule="auto"/>
        <w:ind w:firstLine="240" w:firstLineChars="100"/>
        <w:rPr>
          <w:rFonts w:ascii="宋体"/>
          <w:color w:val="auto"/>
          <w:sz w:val="24"/>
          <w:szCs w:val="24"/>
        </w:rPr>
      </w:pPr>
      <w:r>
        <w:rPr>
          <w:rFonts w:hint="eastAsia" w:ascii="宋体"/>
          <w:color w:val="auto"/>
          <w:sz w:val="24"/>
          <w:szCs w:val="24"/>
        </w:rPr>
        <w:t>（4）水性面漆0.2kg/㎡，颜色甲定；</w:t>
      </w:r>
    </w:p>
    <w:p w14:paraId="4E2D8278">
      <w:pPr>
        <w:pStyle w:val="2"/>
        <w:spacing w:line="360" w:lineRule="auto"/>
        <w:ind w:firstLine="240" w:firstLineChars="100"/>
        <w:rPr>
          <w:rFonts w:ascii="宋体"/>
          <w:color w:val="auto"/>
          <w:sz w:val="24"/>
          <w:szCs w:val="24"/>
        </w:rPr>
      </w:pPr>
      <w:r>
        <w:rPr>
          <w:rFonts w:hint="eastAsia" w:ascii="宋体"/>
          <w:color w:val="auto"/>
          <w:sz w:val="24"/>
          <w:szCs w:val="24"/>
        </w:rPr>
        <w:t>（5）球场画线，白色，线宽50mm。</w:t>
      </w:r>
    </w:p>
    <w:p w14:paraId="0E3CE874">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3</w:t>
      </w:r>
      <w:r>
        <w:rPr>
          <w:rFonts w:hint="eastAsia" w:ascii="宋体"/>
          <w:color w:val="auto"/>
          <w:sz w:val="24"/>
          <w:szCs w:val="24"/>
        </w:rPr>
        <w:t>、13mm厚塑胶面层参数：</w:t>
      </w:r>
    </w:p>
    <w:p w14:paraId="718DC981">
      <w:pPr>
        <w:pStyle w:val="2"/>
        <w:spacing w:line="360" w:lineRule="auto"/>
        <w:ind w:firstLine="240" w:firstLineChars="100"/>
        <w:rPr>
          <w:rFonts w:ascii="宋体"/>
          <w:color w:val="auto"/>
          <w:sz w:val="24"/>
          <w:szCs w:val="24"/>
        </w:rPr>
      </w:pPr>
      <w:r>
        <w:rPr>
          <w:rFonts w:hint="eastAsia" w:ascii="宋体"/>
          <w:color w:val="auto"/>
          <w:sz w:val="24"/>
          <w:szCs w:val="24"/>
        </w:rPr>
        <w:t>（1）滚涂界面剂（胶水）一道；</w:t>
      </w:r>
    </w:p>
    <w:p w14:paraId="6F7A2AD7">
      <w:pPr>
        <w:pStyle w:val="2"/>
        <w:spacing w:line="360" w:lineRule="auto"/>
        <w:ind w:firstLine="240" w:firstLineChars="100"/>
        <w:rPr>
          <w:rFonts w:ascii="宋体"/>
          <w:color w:val="auto"/>
          <w:sz w:val="24"/>
          <w:szCs w:val="24"/>
        </w:rPr>
      </w:pPr>
      <w:r>
        <w:rPr>
          <w:rFonts w:hint="eastAsia" w:ascii="宋体"/>
          <w:color w:val="auto"/>
          <w:sz w:val="24"/>
          <w:szCs w:val="24"/>
        </w:rPr>
        <w:t>（2）铺设13mm厚塑胶面层（10mm厚颗粒层+3mm喷涂层，其中颗粒材料的三元乙丙橡胶含量≥20%），排水沟盖板</w:t>
      </w:r>
      <w:r>
        <w:rPr>
          <w:rFonts w:hint="eastAsia" w:ascii="宋体"/>
          <w:color w:val="auto"/>
          <w:sz w:val="24"/>
          <w:szCs w:val="24"/>
        </w:rPr>
        <w:t>面层</w:t>
      </w:r>
      <w:r>
        <w:rPr>
          <w:rFonts w:hint="eastAsia" w:ascii="宋体"/>
          <w:color w:val="auto"/>
          <w:sz w:val="24"/>
          <w:szCs w:val="24"/>
        </w:rPr>
        <w:t>与塑胶场地</w:t>
      </w:r>
      <w:r>
        <w:rPr>
          <w:rFonts w:hint="eastAsia" w:ascii="宋体"/>
          <w:color w:val="auto"/>
          <w:sz w:val="24"/>
          <w:szCs w:val="24"/>
        </w:rPr>
        <w:t>面层</w:t>
      </w:r>
      <w:r>
        <w:rPr>
          <w:rFonts w:hint="eastAsia" w:ascii="宋体"/>
          <w:color w:val="auto"/>
          <w:sz w:val="24"/>
          <w:szCs w:val="24"/>
        </w:rPr>
        <w:t>一致；</w:t>
      </w:r>
    </w:p>
    <w:p w14:paraId="5F5E0A91">
      <w:pPr>
        <w:pStyle w:val="2"/>
        <w:spacing w:line="360" w:lineRule="auto"/>
        <w:ind w:firstLine="240" w:firstLineChars="100"/>
        <w:rPr>
          <w:rFonts w:ascii="宋体"/>
          <w:color w:val="auto"/>
          <w:sz w:val="24"/>
          <w:szCs w:val="24"/>
        </w:rPr>
      </w:pPr>
      <w:r>
        <w:rPr>
          <w:rFonts w:hint="eastAsia" w:ascii="宋体"/>
          <w:color w:val="auto"/>
          <w:sz w:val="24"/>
          <w:szCs w:val="24"/>
        </w:rPr>
        <w:t>（3）抗紫外线聚氨酯罩面剂喷涂（每平方用量≥0.25 kg）；</w:t>
      </w:r>
    </w:p>
    <w:p w14:paraId="67496B6A">
      <w:pPr>
        <w:pStyle w:val="2"/>
        <w:spacing w:line="360" w:lineRule="auto"/>
        <w:ind w:firstLine="240" w:firstLineChars="100"/>
        <w:rPr>
          <w:rFonts w:ascii="宋体"/>
          <w:color w:val="auto"/>
          <w:sz w:val="24"/>
          <w:szCs w:val="24"/>
        </w:rPr>
      </w:pPr>
      <w:r>
        <w:rPr>
          <w:rFonts w:hint="eastAsia" w:ascii="宋体"/>
          <w:color w:val="auto"/>
          <w:sz w:val="24"/>
          <w:szCs w:val="24"/>
        </w:rPr>
        <w:t>（4）画标志线，采用聚氨酯运动标线漆，颜色鲜艳清晰，线宽50mm。</w:t>
      </w:r>
    </w:p>
    <w:p w14:paraId="4E2B1F4B">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4</w:t>
      </w:r>
      <w:r>
        <w:rPr>
          <w:rFonts w:hint="eastAsia" w:ascii="宋体"/>
          <w:color w:val="auto"/>
          <w:sz w:val="24"/>
          <w:szCs w:val="24"/>
        </w:rPr>
        <w:t>、人造草坪场地须满足国家标准GB36246-2018 《中小学合成材料面层运动场地》、国家标准GB/T20394-2019《体育用人造草》；</w:t>
      </w:r>
    </w:p>
    <w:p w14:paraId="6153F231">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5</w:t>
      </w:r>
      <w:r>
        <w:rPr>
          <w:rFonts w:hint="eastAsia" w:ascii="宋体"/>
          <w:color w:val="auto"/>
          <w:sz w:val="24"/>
          <w:szCs w:val="24"/>
        </w:rPr>
        <w:t>、所有碎石、级配碎石均须采用原生青石碎石，不得使用再生碎石等其他种类；</w:t>
      </w:r>
    </w:p>
    <w:p w14:paraId="24244834">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6</w:t>
      </w:r>
      <w:r>
        <w:rPr>
          <w:rFonts w:hint="eastAsia" w:ascii="宋体"/>
          <w:color w:val="auto"/>
          <w:sz w:val="24"/>
          <w:szCs w:val="24"/>
        </w:rPr>
        <w:t>、场地混凝土养生需要土工布覆盖，洒水，养护期不少于7d；</w:t>
      </w:r>
    </w:p>
    <w:p w14:paraId="5DD42FA6">
      <w:pPr>
        <w:pStyle w:val="2"/>
        <w:spacing w:line="360" w:lineRule="auto"/>
        <w:ind w:firstLine="240" w:firstLineChars="100"/>
        <w:rPr>
          <w:rFonts w:ascii="宋体"/>
          <w:color w:val="auto"/>
          <w:sz w:val="24"/>
          <w:szCs w:val="24"/>
        </w:rPr>
      </w:pPr>
    </w:p>
    <w:p w14:paraId="0AB17FE0">
      <w:pPr>
        <w:pStyle w:val="2"/>
        <w:spacing w:line="360" w:lineRule="auto"/>
        <w:ind w:firstLine="482" w:firstLineChars="200"/>
        <w:rPr>
          <w:rFonts w:ascii="宋体"/>
          <w:b/>
          <w:bCs/>
          <w:color w:val="auto"/>
          <w:sz w:val="24"/>
          <w:szCs w:val="24"/>
        </w:rPr>
      </w:pPr>
      <w:r>
        <w:rPr>
          <w:rFonts w:hint="eastAsia" w:ascii="宋体"/>
          <w:b/>
          <w:bCs/>
          <w:color w:val="auto"/>
          <w:sz w:val="24"/>
          <w:szCs w:val="24"/>
        </w:rPr>
        <w:t>四、其他:</w:t>
      </w:r>
    </w:p>
    <w:p w14:paraId="565D9CF2">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1、各投标单位应充分勘察现场，在投标报价中综合考虑因施工场地受限无法堆放发生的二次转运费用及材料二次搬运等费用，结算时不予调整； </w:t>
      </w:r>
    </w:p>
    <w:p w14:paraId="408F3996">
      <w:pPr>
        <w:pStyle w:val="2"/>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施工过程中发生的临时设施，如现场临时道路、施工围挡、实名制等费用由各投标单位自行考虑在投标报价中，结算时不予调整；</w:t>
      </w:r>
    </w:p>
    <w:p w14:paraId="6517D0D5">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3、因本工程工期要求紧，各投标单位应充分考虑施工过程中发生的夜间施工费、赶工费、冬雨季施工费等费用，并综合考虑在投标报价内；</w:t>
      </w:r>
    </w:p>
    <w:p w14:paraId="4D887376">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hAnsi="宋体" w:cs="宋体"/>
          <w:color w:val="auto"/>
          <w:sz w:val="24"/>
          <w:szCs w:val="24"/>
        </w:rPr>
        <w:t>施工作业现场采取隔离洒水、围挡、场地硬化、场地遮盖等防止扬尘污染措施，要满足《宿迁市市区扬尘污染防治标准化管理有关规定》要求，各投标单位须充分考虑此部分报价，</w:t>
      </w:r>
      <w:r>
        <w:rPr>
          <w:rFonts w:hint="eastAsia" w:ascii="宋体" w:hAnsi="宋体" w:cs="宋体"/>
          <w:color w:val="auto"/>
          <w:sz w:val="24"/>
          <w:szCs w:val="24"/>
        </w:rPr>
        <w:t>结算时不予调整</w:t>
      </w:r>
      <w:r>
        <w:rPr>
          <w:rFonts w:hint="eastAsia" w:hAnsi="宋体" w:cs="宋体"/>
          <w:color w:val="auto"/>
          <w:sz w:val="24"/>
          <w:szCs w:val="24"/>
        </w:rPr>
        <w:t>；</w:t>
      </w:r>
    </w:p>
    <w:p w14:paraId="1B71EADD">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5、本工程材料施工前业主选样，颜色及样式满足业主使用要求，业主选样不低于同类型市场标准且满足使用要求，不得以不平衡报价为由降低采购标准；</w:t>
      </w:r>
    </w:p>
    <w:p w14:paraId="7C146FD2">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6、本项目混凝土为商品混凝土、砂浆为预拌砂浆；</w:t>
      </w:r>
    </w:p>
    <w:p w14:paraId="0589CA34">
      <w:pPr>
        <w:pStyle w:val="2"/>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7、所有混凝土模板安拆等一切措施费包含在混凝土工程量清单项中，不在单独计列模板安拆费；</w:t>
      </w:r>
    </w:p>
    <w:p w14:paraId="39995AA1">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、施工过程中发生的降排水措施费用，由各投标单位自行考虑在投标报价中，结算时不予调整；</w:t>
      </w:r>
    </w:p>
    <w:p w14:paraId="3F80A846">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、施工过程中产生的建筑垃圾，施工单位自行弃置；</w:t>
      </w:r>
    </w:p>
    <w:p w14:paraId="429C6388">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、材料检测费综合考虑在报价内；</w:t>
      </w:r>
    </w:p>
    <w:p w14:paraId="0E6B7B98">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sz w:val="24"/>
          <w:szCs w:val="24"/>
        </w:rPr>
        <w:t>、运动场地材料进场</w:t>
      </w:r>
      <w:r>
        <w:rPr>
          <w:rFonts w:ascii="宋体" w:hAnsi="宋体" w:cs="宋体"/>
          <w:color w:val="auto"/>
          <w:sz w:val="24"/>
          <w:szCs w:val="24"/>
        </w:rPr>
        <w:t>须进行现场取样检测的材料：橡胶颗粒（塑胶面层、草坪填充）、胶水、面层罩面剂、人造草坪、硅PU原材等（非同批次进场，须另行检测</w:t>
      </w:r>
      <w:r>
        <w:rPr>
          <w:rFonts w:hint="eastAsia" w:ascii="宋体" w:hAnsi="宋体" w:cs="宋体"/>
          <w:color w:val="auto"/>
          <w:sz w:val="24"/>
          <w:szCs w:val="24"/>
        </w:rPr>
        <w:t>）</w:t>
      </w:r>
      <w:r>
        <w:rPr>
          <w:rFonts w:ascii="宋体" w:hAnsi="宋体" w:cs="宋体"/>
          <w:color w:val="auto"/>
          <w:sz w:val="24"/>
          <w:szCs w:val="24"/>
        </w:rPr>
        <w:t>，费用由施工方负责</w:t>
      </w:r>
      <w:r>
        <w:rPr>
          <w:rFonts w:hint="eastAsia" w:ascii="宋体" w:hAnsi="宋体" w:cs="宋体"/>
          <w:color w:val="auto"/>
          <w:sz w:val="24"/>
          <w:szCs w:val="24"/>
        </w:rPr>
        <w:t>，综合考虑在报价内</w:t>
      </w:r>
      <w:r>
        <w:rPr>
          <w:rFonts w:hint="eastAsia" w:ascii="宋体" w:hAnsi="宋体" w:cs="宋体"/>
          <w:color w:val="auto"/>
          <w:sz w:val="24"/>
          <w:szCs w:val="24"/>
          <w:lang w:eastAsia="zh-CN"/>
        </w:rPr>
        <w:t>；</w:t>
      </w:r>
    </w:p>
    <w:p w14:paraId="5DDC7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lang w:val="en-US" w:eastAsia="zh-CN"/>
        </w:rPr>
      </w:pPr>
      <w:r>
        <w:rPr>
          <w:rFonts w:hint="eastAsia"/>
          <w:color w:val="auto"/>
          <w:lang w:val="en-US" w:eastAsia="zh-CN"/>
        </w:rPr>
        <w:t>12</w:t>
      </w:r>
      <w:r>
        <w:rPr>
          <w:rFonts w:hint="eastAsia"/>
          <w:color w:val="auto"/>
        </w:rPr>
        <w:t>、</w:t>
      </w:r>
      <w:r>
        <w:rPr>
          <w:rFonts w:hint="eastAsia"/>
          <w:color w:val="auto"/>
          <w:lang w:val="en-US" w:eastAsia="zh-CN"/>
        </w:rPr>
        <w:t>分部分项工程量清单中对工程项目特征及具体做法只做重点描述，详细情况见施工图设计及相关标准图集。组价时应结合投标人现场勘察情况包括完成所有工序工作内容的全部费</w:t>
      </w:r>
      <w:bookmarkStart w:id="0" w:name="_GoBack"/>
      <w:bookmarkEnd w:id="0"/>
      <w:r>
        <w:rPr>
          <w:rFonts w:hint="eastAsia"/>
          <w:color w:val="auto"/>
          <w:lang w:val="en-US" w:eastAsia="zh-CN"/>
        </w:rPr>
        <w:t>用。</w:t>
      </w:r>
    </w:p>
    <w:p w14:paraId="2DEFAE61">
      <w:pPr>
        <w:snapToGrid w:val="0"/>
        <w:spacing w:line="360" w:lineRule="auto"/>
        <w:rPr>
          <w:rFonts w:hint="eastAsia" w:ascii="宋体" w:hAnsi="宋体"/>
          <w:color w:val="auto"/>
          <w:position w:val="-6"/>
          <w:sz w:val="24"/>
        </w:rPr>
      </w:pPr>
    </w:p>
    <w:p w14:paraId="24217872">
      <w:pPr>
        <w:pStyle w:val="2"/>
        <w:spacing w:line="360" w:lineRule="auto"/>
        <w:ind w:firstLine="240" w:firstLineChars="100"/>
        <w:rPr>
          <w:rFonts w:ascii="宋体"/>
          <w:color w:val="auto"/>
          <w:sz w:val="24"/>
          <w:szCs w:val="24"/>
        </w:rPr>
      </w:pPr>
    </w:p>
    <w:p w14:paraId="02EC644D">
      <w:pPr>
        <w:pStyle w:val="2"/>
        <w:spacing w:line="360" w:lineRule="auto"/>
        <w:ind w:firstLine="240" w:firstLineChars="100"/>
        <w:rPr>
          <w:rFonts w:hint="eastAsia" w:ascii="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2Nzg4MzlmMmUyNWE2ZTYyNTFmNzQyNzMyNmY2ZGQifQ=="/>
  </w:docVars>
  <w:rsids>
    <w:rsidRoot w:val="601C2C99"/>
    <w:rsid w:val="0006378E"/>
    <w:rsid w:val="00072215"/>
    <w:rsid w:val="000C02E9"/>
    <w:rsid w:val="001836CD"/>
    <w:rsid w:val="00195C95"/>
    <w:rsid w:val="001F52AC"/>
    <w:rsid w:val="00292BAB"/>
    <w:rsid w:val="00335C6D"/>
    <w:rsid w:val="00352343"/>
    <w:rsid w:val="003B5034"/>
    <w:rsid w:val="003E0EA0"/>
    <w:rsid w:val="00430CA5"/>
    <w:rsid w:val="00484051"/>
    <w:rsid w:val="004903C3"/>
    <w:rsid w:val="004C1DBB"/>
    <w:rsid w:val="00526713"/>
    <w:rsid w:val="00552A6C"/>
    <w:rsid w:val="00563920"/>
    <w:rsid w:val="00573F69"/>
    <w:rsid w:val="005A3A24"/>
    <w:rsid w:val="005D0E39"/>
    <w:rsid w:val="005D7F2B"/>
    <w:rsid w:val="00662E76"/>
    <w:rsid w:val="006E05BE"/>
    <w:rsid w:val="0072044B"/>
    <w:rsid w:val="00723D80"/>
    <w:rsid w:val="00737193"/>
    <w:rsid w:val="00765B27"/>
    <w:rsid w:val="007847AC"/>
    <w:rsid w:val="007B456A"/>
    <w:rsid w:val="00880602"/>
    <w:rsid w:val="008A27D1"/>
    <w:rsid w:val="008F2426"/>
    <w:rsid w:val="0091491D"/>
    <w:rsid w:val="00986981"/>
    <w:rsid w:val="00AA239C"/>
    <w:rsid w:val="00AA30D5"/>
    <w:rsid w:val="00B677A8"/>
    <w:rsid w:val="00BD0CB7"/>
    <w:rsid w:val="00BD1C1F"/>
    <w:rsid w:val="00BD20A2"/>
    <w:rsid w:val="00BF23B6"/>
    <w:rsid w:val="00CE0C98"/>
    <w:rsid w:val="00D15236"/>
    <w:rsid w:val="00D26D89"/>
    <w:rsid w:val="00D63C4F"/>
    <w:rsid w:val="00D82757"/>
    <w:rsid w:val="00D83CBA"/>
    <w:rsid w:val="00DC1F63"/>
    <w:rsid w:val="00DC2E56"/>
    <w:rsid w:val="00DC37B6"/>
    <w:rsid w:val="00E31963"/>
    <w:rsid w:val="00E85A01"/>
    <w:rsid w:val="01884CB2"/>
    <w:rsid w:val="01AA23CD"/>
    <w:rsid w:val="01AD2C0C"/>
    <w:rsid w:val="02500CA1"/>
    <w:rsid w:val="02652F9F"/>
    <w:rsid w:val="03AB5692"/>
    <w:rsid w:val="03B404C2"/>
    <w:rsid w:val="03D41672"/>
    <w:rsid w:val="03E33B48"/>
    <w:rsid w:val="042E0BFD"/>
    <w:rsid w:val="04934DE4"/>
    <w:rsid w:val="04F61969"/>
    <w:rsid w:val="050B0AD1"/>
    <w:rsid w:val="059E5FE3"/>
    <w:rsid w:val="05B92CC3"/>
    <w:rsid w:val="05D41B38"/>
    <w:rsid w:val="06486CD9"/>
    <w:rsid w:val="06AE2589"/>
    <w:rsid w:val="06C62F02"/>
    <w:rsid w:val="0750721E"/>
    <w:rsid w:val="07615D17"/>
    <w:rsid w:val="08657DA5"/>
    <w:rsid w:val="08946AA8"/>
    <w:rsid w:val="08AF79C5"/>
    <w:rsid w:val="08D77648"/>
    <w:rsid w:val="090613FF"/>
    <w:rsid w:val="09244BD8"/>
    <w:rsid w:val="09B8051F"/>
    <w:rsid w:val="09C7449B"/>
    <w:rsid w:val="09DB5986"/>
    <w:rsid w:val="09F16F98"/>
    <w:rsid w:val="0A356415"/>
    <w:rsid w:val="0A3D797F"/>
    <w:rsid w:val="0A6A629A"/>
    <w:rsid w:val="0A88103F"/>
    <w:rsid w:val="0A8E01DA"/>
    <w:rsid w:val="0A9F0A27"/>
    <w:rsid w:val="0B0009AC"/>
    <w:rsid w:val="0B37315D"/>
    <w:rsid w:val="0B6A30BD"/>
    <w:rsid w:val="0C085CC4"/>
    <w:rsid w:val="0C6D65F6"/>
    <w:rsid w:val="0CA77D49"/>
    <w:rsid w:val="0CAA5DCA"/>
    <w:rsid w:val="0CE85A7E"/>
    <w:rsid w:val="0D1F511A"/>
    <w:rsid w:val="0D4C5C3F"/>
    <w:rsid w:val="0D53032B"/>
    <w:rsid w:val="0D8F33F5"/>
    <w:rsid w:val="0DA018D8"/>
    <w:rsid w:val="0DCC64ED"/>
    <w:rsid w:val="0E5C239D"/>
    <w:rsid w:val="0ED2586E"/>
    <w:rsid w:val="0F78156B"/>
    <w:rsid w:val="0FC26D3E"/>
    <w:rsid w:val="10CB4EDB"/>
    <w:rsid w:val="11271B20"/>
    <w:rsid w:val="115719E3"/>
    <w:rsid w:val="11A523DF"/>
    <w:rsid w:val="129E4D32"/>
    <w:rsid w:val="13076D7C"/>
    <w:rsid w:val="133076ED"/>
    <w:rsid w:val="13505745"/>
    <w:rsid w:val="136A2E67"/>
    <w:rsid w:val="137E06B8"/>
    <w:rsid w:val="13824567"/>
    <w:rsid w:val="144766FF"/>
    <w:rsid w:val="148137BC"/>
    <w:rsid w:val="14914EE5"/>
    <w:rsid w:val="14922404"/>
    <w:rsid w:val="14B81224"/>
    <w:rsid w:val="156C0368"/>
    <w:rsid w:val="15741CD2"/>
    <w:rsid w:val="15BA0012"/>
    <w:rsid w:val="15D430C7"/>
    <w:rsid w:val="162571CC"/>
    <w:rsid w:val="163C6D3C"/>
    <w:rsid w:val="163D1137"/>
    <w:rsid w:val="166444E5"/>
    <w:rsid w:val="16B40FC8"/>
    <w:rsid w:val="16B97ABD"/>
    <w:rsid w:val="16D8458B"/>
    <w:rsid w:val="172309EA"/>
    <w:rsid w:val="17354D99"/>
    <w:rsid w:val="17A559C9"/>
    <w:rsid w:val="183708D9"/>
    <w:rsid w:val="187D2DCD"/>
    <w:rsid w:val="18A25DD1"/>
    <w:rsid w:val="18BD3CF0"/>
    <w:rsid w:val="18C7515C"/>
    <w:rsid w:val="1931230D"/>
    <w:rsid w:val="193D1B2E"/>
    <w:rsid w:val="19595320"/>
    <w:rsid w:val="19950328"/>
    <w:rsid w:val="19B11DB6"/>
    <w:rsid w:val="19C86B39"/>
    <w:rsid w:val="19CA6C2D"/>
    <w:rsid w:val="19ED03AF"/>
    <w:rsid w:val="1A871244"/>
    <w:rsid w:val="1AF66C5A"/>
    <w:rsid w:val="1B0263D6"/>
    <w:rsid w:val="1B0D7F94"/>
    <w:rsid w:val="1BC81072"/>
    <w:rsid w:val="1BDE1650"/>
    <w:rsid w:val="1BF956CF"/>
    <w:rsid w:val="1C1115CF"/>
    <w:rsid w:val="1CA95A84"/>
    <w:rsid w:val="1D0956AC"/>
    <w:rsid w:val="1D0B6311"/>
    <w:rsid w:val="1D427B62"/>
    <w:rsid w:val="1DA54312"/>
    <w:rsid w:val="1DB25267"/>
    <w:rsid w:val="1DD55C08"/>
    <w:rsid w:val="1DD81F78"/>
    <w:rsid w:val="1E1A2ED4"/>
    <w:rsid w:val="1E276524"/>
    <w:rsid w:val="1E4A2B06"/>
    <w:rsid w:val="1E63477D"/>
    <w:rsid w:val="1E9A6CF6"/>
    <w:rsid w:val="1EBE70DB"/>
    <w:rsid w:val="1EF91128"/>
    <w:rsid w:val="1F1934DC"/>
    <w:rsid w:val="1F8160C5"/>
    <w:rsid w:val="1FB70E3C"/>
    <w:rsid w:val="1FBC2966"/>
    <w:rsid w:val="20035B8C"/>
    <w:rsid w:val="203E2FC7"/>
    <w:rsid w:val="20576E20"/>
    <w:rsid w:val="20AD70CA"/>
    <w:rsid w:val="20B17640"/>
    <w:rsid w:val="210276C4"/>
    <w:rsid w:val="2107263D"/>
    <w:rsid w:val="214E5E08"/>
    <w:rsid w:val="215110BA"/>
    <w:rsid w:val="21584C46"/>
    <w:rsid w:val="2182195C"/>
    <w:rsid w:val="21CC0BCE"/>
    <w:rsid w:val="222F3A95"/>
    <w:rsid w:val="226F0499"/>
    <w:rsid w:val="22713F0E"/>
    <w:rsid w:val="229C79A5"/>
    <w:rsid w:val="231D6D5E"/>
    <w:rsid w:val="231F125A"/>
    <w:rsid w:val="23EA734F"/>
    <w:rsid w:val="240D658A"/>
    <w:rsid w:val="242372A3"/>
    <w:rsid w:val="244020ED"/>
    <w:rsid w:val="245E217C"/>
    <w:rsid w:val="245E4322"/>
    <w:rsid w:val="24DB58F6"/>
    <w:rsid w:val="24DD30B8"/>
    <w:rsid w:val="250E3778"/>
    <w:rsid w:val="251D2DBE"/>
    <w:rsid w:val="253D1946"/>
    <w:rsid w:val="254562CA"/>
    <w:rsid w:val="25A6073A"/>
    <w:rsid w:val="25B64735"/>
    <w:rsid w:val="25F6066C"/>
    <w:rsid w:val="25FC1D32"/>
    <w:rsid w:val="26383E02"/>
    <w:rsid w:val="268F073D"/>
    <w:rsid w:val="26E64FD7"/>
    <w:rsid w:val="273D0B66"/>
    <w:rsid w:val="275B11D1"/>
    <w:rsid w:val="27812CF2"/>
    <w:rsid w:val="282D0BDB"/>
    <w:rsid w:val="28427BA7"/>
    <w:rsid w:val="28AA222B"/>
    <w:rsid w:val="28F154F3"/>
    <w:rsid w:val="2933232E"/>
    <w:rsid w:val="29BD5F8E"/>
    <w:rsid w:val="29F352C3"/>
    <w:rsid w:val="2A000821"/>
    <w:rsid w:val="2A443FBA"/>
    <w:rsid w:val="2A942629"/>
    <w:rsid w:val="2BB74201"/>
    <w:rsid w:val="2BBF2DA8"/>
    <w:rsid w:val="2BC540FC"/>
    <w:rsid w:val="2BC72C28"/>
    <w:rsid w:val="2C5B080D"/>
    <w:rsid w:val="2C841B7A"/>
    <w:rsid w:val="2D133C3A"/>
    <w:rsid w:val="2D1F486A"/>
    <w:rsid w:val="2D487449"/>
    <w:rsid w:val="2D6A01DB"/>
    <w:rsid w:val="2DDF391B"/>
    <w:rsid w:val="2DF332BA"/>
    <w:rsid w:val="2DFD1CC1"/>
    <w:rsid w:val="2E1C6298"/>
    <w:rsid w:val="2E7C1CFA"/>
    <w:rsid w:val="2E91281A"/>
    <w:rsid w:val="2E9C2616"/>
    <w:rsid w:val="2EA200D4"/>
    <w:rsid w:val="2EB026D6"/>
    <w:rsid w:val="2EC7189B"/>
    <w:rsid w:val="2F2F331C"/>
    <w:rsid w:val="2F4161ED"/>
    <w:rsid w:val="2F441F9F"/>
    <w:rsid w:val="2F4C40F9"/>
    <w:rsid w:val="2F615021"/>
    <w:rsid w:val="2F8054F6"/>
    <w:rsid w:val="2FEF560F"/>
    <w:rsid w:val="30114E82"/>
    <w:rsid w:val="3056438A"/>
    <w:rsid w:val="30B61537"/>
    <w:rsid w:val="30ED037E"/>
    <w:rsid w:val="30FD0926"/>
    <w:rsid w:val="31994BEB"/>
    <w:rsid w:val="31B67159"/>
    <w:rsid w:val="31CB54A8"/>
    <w:rsid w:val="323339D3"/>
    <w:rsid w:val="3263298E"/>
    <w:rsid w:val="32BA7336"/>
    <w:rsid w:val="334212B2"/>
    <w:rsid w:val="334776C2"/>
    <w:rsid w:val="33E74334"/>
    <w:rsid w:val="341C7BD2"/>
    <w:rsid w:val="346B17D1"/>
    <w:rsid w:val="351C6023"/>
    <w:rsid w:val="35467513"/>
    <w:rsid w:val="3592690D"/>
    <w:rsid w:val="35E36D7D"/>
    <w:rsid w:val="35E85A24"/>
    <w:rsid w:val="360F7405"/>
    <w:rsid w:val="37121E57"/>
    <w:rsid w:val="37155F41"/>
    <w:rsid w:val="37952F25"/>
    <w:rsid w:val="37A22B0D"/>
    <w:rsid w:val="37D42E21"/>
    <w:rsid w:val="3814368D"/>
    <w:rsid w:val="38293D34"/>
    <w:rsid w:val="385F0BB8"/>
    <w:rsid w:val="386F3E41"/>
    <w:rsid w:val="38A42E31"/>
    <w:rsid w:val="38E71421"/>
    <w:rsid w:val="39412735"/>
    <w:rsid w:val="397E6949"/>
    <w:rsid w:val="398B39B3"/>
    <w:rsid w:val="399A5E52"/>
    <w:rsid w:val="39F9167C"/>
    <w:rsid w:val="3A3E774A"/>
    <w:rsid w:val="3A59760D"/>
    <w:rsid w:val="3A63751C"/>
    <w:rsid w:val="3A646210"/>
    <w:rsid w:val="3A733053"/>
    <w:rsid w:val="3AAC3E7A"/>
    <w:rsid w:val="3ADE2335"/>
    <w:rsid w:val="3AE7022C"/>
    <w:rsid w:val="3B4D592A"/>
    <w:rsid w:val="3B510CDC"/>
    <w:rsid w:val="3B861A76"/>
    <w:rsid w:val="3B8C1443"/>
    <w:rsid w:val="3BBE3EDE"/>
    <w:rsid w:val="3C04497D"/>
    <w:rsid w:val="3C1D609E"/>
    <w:rsid w:val="3C614A75"/>
    <w:rsid w:val="3CC11630"/>
    <w:rsid w:val="3D385C00"/>
    <w:rsid w:val="3DDF5DD8"/>
    <w:rsid w:val="3E0D2837"/>
    <w:rsid w:val="3E677426"/>
    <w:rsid w:val="3E702C93"/>
    <w:rsid w:val="3E834868"/>
    <w:rsid w:val="3F17044E"/>
    <w:rsid w:val="3F2D07F9"/>
    <w:rsid w:val="3F814E12"/>
    <w:rsid w:val="3FBB48C6"/>
    <w:rsid w:val="3FE1686E"/>
    <w:rsid w:val="3FF272E9"/>
    <w:rsid w:val="4073079D"/>
    <w:rsid w:val="407D0EA5"/>
    <w:rsid w:val="40FB4B32"/>
    <w:rsid w:val="419D58A2"/>
    <w:rsid w:val="41CE067B"/>
    <w:rsid w:val="42130481"/>
    <w:rsid w:val="42905DEB"/>
    <w:rsid w:val="42C959F6"/>
    <w:rsid w:val="431D622C"/>
    <w:rsid w:val="432D1637"/>
    <w:rsid w:val="43864E27"/>
    <w:rsid w:val="43946F51"/>
    <w:rsid w:val="43AA2C88"/>
    <w:rsid w:val="43D37B83"/>
    <w:rsid w:val="44241127"/>
    <w:rsid w:val="44815E63"/>
    <w:rsid w:val="44D2693A"/>
    <w:rsid w:val="450A3C7E"/>
    <w:rsid w:val="45FE3954"/>
    <w:rsid w:val="46087C22"/>
    <w:rsid w:val="46366BB5"/>
    <w:rsid w:val="46BC5F21"/>
    <w:rsid w:val="46C366E2"/>
    <w:rsid w:val="46DC0B38"/>
    <w:rsid w:val="46EB7C9A"/>
    <w:rsid w:val="47174AD8"/>
    <w:rsid w:val="471E017C"/>
    <w:rsid w:val="47553501"/>
    <w:rsid w:val="476D46F8"/>
    <w:rsid w:val="47775577"/>
    <w:rsid w:val="47776EB7"/>
    <w:rsid w:val="478D4D9A"/>
    <w:rsid w:val="479D484B"/>
    <w:rsid w:val="47BA23AB"/>
    <w:rsid w:val="47C1596E"/>
    <w:rsid w:val="47E80656"/>
    <w:rsid w:val="47F866B8"/>
    <w:rsid w:val="481C2E9C"/>
    <w:rsid w:val="482769FE"/>
    <w:rsid w:val="48974BC8"/>
    <w:rsid w:val="489F3996"/>
    <w:rsid w:val="48A76563"/>
    <w:rsid w:val="48DC2F0A"/>
    <w:rsid w:val="48E67E97"/>
    <w:rsid w:val="495A38F2"/>
    <w:rsid w:val="49C5384E"/>
    <w:rsid w:val="4A62250E"/>
    <w:rsid w:val="4A704BE4"/>
    <w:rsid w:val="4AB72C4F"/>
    <w:rsid w:val="4B794F3B"/>
    <w:rsid w:val="4BC52D55"/>
    <w:rsid w:val="4BDE2CA0"/>
    <w:rsid w:val="4BE37A7D"/>
    <w:rsid w:val="4BF172D8"/>
    <w:rsid w:val="4C6C1422"/>
    <w:rsid w:val="4C820C7C"/>
    <w:rsid w:val="4C954266"/>
    <w:rsid w:val="4CDD22B6"/>
    <w:rsid w:val="4CDF573F"/>
    <w:rsid w:val="4D4E28D6"/>
    <w:rsid w:val="4D6572E6"/>
    <w:rsid w:val="4E453CD9"/>
    <w:rsid w:val="4E66261D"/>
    <w:rsid w:val="4E6A7BE3"/>
    <w:rsid w:val="4F512B51"/>
    <w:rsid w:val="4F762717"/>
    <w:rsid w:val="4F8E3480"/>
    <w:rsid w:val="4FD50EF7"/>
    <w:rsid w:val="4FE61A40"/>
    <w:rsid w:val="4FF06C8D"/>
    <w:rsid w:val="50280AFB"/>
    <w:rsid w:val="50447FC0"/>
    <w:rsid w:val="508D3835"/>
    <w:rsid w:val="509C3857"/>
    <w:rsid w:val="50B9156F"/>
    <w:rsid w:val="50DB6B76"/>
    <w:rsid w:val="50E35E33"/>
    <w:rsid w:val="51423CD4"/>
    <w:rsid w:val="52A71EEB"/>
    <w:rsid w:val="531620E8"/>
    <w:rsid w:val="5340081D"/>
    <w:rsid w:val="534C7F7F"/>
    <w:rsid w:val="53755060"/>
    <w:rsid w:val="53E73C17"/>
    <w:rsid w:val="54483050"/>
    <w:rsid w:val="548E5CAE"/>
    <w:rsid w:val="54F21519"/>
    <w:rsid w:val="559834C9"/>
    <w:rsid w:val="565D3347"/>
    <w:rsid w:val="567452DA"/>
    <w:rsid w:val="56A33C92"/>
    <w:rsid w:val="56AF09E0"/>
    <w:rsid w:val="56CE6559"/>
    <w:rsid w:val="572172AD"/>
    <w:rsid w:val="572E1AFD"/>
    <w:rsid w:val="575B27BF"/>
    <w:rsid w:val="579E2F3E"/>
    <w:rsid w:val="583E64D3"/>
    <w:rsid w:val="58403763"/>
    <w:rsid w:val="58617C41"/>
    <w:rsid w:val="587A73C2"/>
    <w:rsid w:val="58900246"/>
    <w:rsid w:val="58FE1DB7"/>
    <w:rsid w:val="593E47E8"/>
    <w:rsid w:val="5940365A"/>
    <w:rsid w:val="59510660"/>
    <w:rsid w:val="5959565F"/>
    <w:rsid w:val="595C4DA6"/>
    <w:rsid w:val="59AF6DF2"/>
    <w:rsid w:val="59EF4ACB"/>
    <w:rsid w:val="59F40CA9"/>
    <w:rsid w:val="59FC48EB"/>
    <w:rsid w:val="5A4257DC"/>
    <w:rsid w:val="5A5A6FA3"/>
    <w:rsid w:val="5A753146"/>
    <w:rsid w:val="5B1A5976"/>
    <w:rsid w:val="5B4B55C4"/>
    <w:rsid w:val="5B4C6A1E"/>
    <w:rsid w:val="5B5540CF"/>
    <w:rsid w:val="5BB55E03"/>
    <w:rsid w:val="5BB84C82"/>
    <w:rsid w:val="5BDB5C7C"/>
    <w:rsid w:val="5BDB7A2A"/>
    <w:rsid w:val="5D325D70"/>
    <w:rsid w:val="5DD21301"/>
    <w:rsid w:val="5DD24D7C"/>
    <w:rsid w:val="5DE502D4"/>
    <w:rsid w:val="5E033269"/>
    <w:rsid w:val="5E7A2347"/>
    <w:rsid w:val="5F2F2EC5"/>
    <w:rsid w:val="5F375401"/>
    <w:rsid w:val="5FAF3C56"/>
    <w:rsid w:val="601C2C99"/>
    <w:rsid w:val="608333B1"/>
    <w:rsid w:val="60A83274"/>
    <w:rsid w:val="60B20F71"/>
    <w:rsid w:val="61212F01"/>
    <w:rsid w:val="616B7AA3"/>
    <w:rsid w:val="619821B1"/>
    <w:rsid w:val="61A057A0"/>
    <w:rsid w:val="61A16F07"/>
    <w:rsid w:val="622E0DE6"/>
    <w:rsid w:val="625B535E"/>
    <w:rsid w:val="629522E0"/>
    <w:rsid w:val="629B0BCD"/>
    <w:rsid w:val="629C1204"/>
    <w:rsid w:val="62B23FC1"/>
    <w:rsid w:val="62DD677E"/>
    <w:rsid w:val="63082785"/>
    <w:rsid w:val="63A738EC"/>
    <w:rsid w:val="63F773CC"/>
    <w:rsid w:val="64526BD9"/>
    <w:rsid w:val="64655CE9"/>
    <w:rsid w:val="648D1623"/>
    <w:rsid w:val="64991773"/>
    <w:rsid w:val="64A274CE"/>
    <w:rsid w:val="64A9239B"/>
    <w:rsid w:val="64CF725E"/>
    <w:rsid w:val="64FF6D14"/>
    <w:rsid w:val="651D6ECA"/>
    <w:rsid w:val="65362175"/>
    <w:rsid w:val="655626E6"/>
    <w:rsid w:val="65A92E4F"/>
    <w:rsid w:val="665A373A"/>
    <w:rsid w:val="66AE4A59"/>
    <w:rsid w:val="66B17F22"/>
    <w:rsid w:val="67097C61"/>
    <w:rsid w:val="67667925"/>
    <w:rsid w:val="677949A3"/>
    <w:rsid w:val="67B04765"/>
    <w:rsid w:val="67F34CCE"/>
    <w:rsid w:val="682E6E8D"/>
    <w:rsid w:val="68372C26"/>
    <w:rsid w:val="68627244"/>
    <w:rsid w:val="689D04F9"/>
    <w:rsid w:val="68CB4A2D"/>
    <w:rsid w:val="68DF1B0E"/>
    <w:rsid w:val="693537F5"/>
    <w:rsid w:val="69847953"/>
    <w:rsid w:val="69E21CE4"/>
    <w:rsid w:val="6A1C5DDE"/>
    <w:rsid w:val="6A221AA9"/>
    <w:rsid w:val="6AA0387E"/>
    <w:rsid w:val="6AA6271D"/>
    <w:rsid w:val="6AA87D5E"/>
    <w:rsid w:val="6AAC5806"/>
    <w:rsid w:val="6B122EBC"/>
    <w:rsid w:val="6B8559C7"/>
    <w:rsid w:val="6B9C5837"/>
    <w:rsid w:val="6BB55BC6"/>
    <w:rsid w:val="6BBE506F"/>
    <w:rsid w:val="6BE504A8"/>
    <w:rsid w:val="6C612A29"/>
    <w:rsid w:val="6C617674"/>
    <w:rsid w:val="6C8C469B"/>
    <w:rsid w:val="6C9972B6"/>
    <w:rsid w:val="6CBE3268"/>
    <w:rsid w:val="6CCC089D"/>
    <w:rsid w:val="6CFC1EF7"/>
    <w:rsid w:val="6D0B49EE"/>
    <w:rsid w:val="6D401A9F"/>
    <w:rsid w:val="6E2126A2"/>
    <w:rsid w:val="6E5C0E9F"/>
    <w:rsid w:val="6EB6706C"/>
    <w:rsid w:val="6ED529FF"/>
    <w:rsid w:val="6EFA10E7"/>
    <w:rsid w:val="6F017D36"/>
    <w:rsid w:val="6F091A32"/>
    <w:rsid w:val="6F784FA8"/>
    <w:rsid w:val="6F814BAE"/>
    <w:rsid w:val="6FE17987"/>
    <w:rsid w:val="70075488"/>
    <w:rsid w:val="706A0CDA"/>
    <w:rsid w:val="70A72AA5"/>
    <w:rsid w:val="70C83141"/>
    <w:rsid w:val="70CD594B"/>
    <w:rsid w:val="70D556BB"/>
    <w:rsid w:val="70E25D12"/>
    <w:rsid w:val="71125845"/>
    <w:rsid w:val="711B7B4D"/>
    <w:rsid w:val="712E74B9"/>
    <w:rsid w:val="715D10EF"/>
    <w:rsid w:val="718E2C9A"/>
    <w:rsid w:val="71CF7BDA"/>
    <w:rsid w:val="71D83F08"/>
    <w:rsid w:val="71DE7E1D"/>
    <w:rsid w:val="72005FE5"/>
    <w:rsid w:val="721B2868"/>
    <w:rsid w:val="72391616"/>
    <w:rsid w:val="725621B1"/>
    <w:rsid w:val="728A43D2"/>
    <w:rsid w:val="72A72D20"/>
    <w:rsid w:val="72BC3918"/>
    <w:rsid w:val="72BD7110"/>
    <w:rsid w:val="72DF79E3"/>
    <w:rsid w:val="730D7295"/>
    <w:rsid w:val="733A613B"/>
    <w:rsid w:val="73F85EC6"/>
    <w:rsid w:val="74617986"/>
    <w:rsid w:val="74B3781B"/>
    <w:rsid w:val="74FF4FBF"/>
    <w:rsid w:val="75061F71"/>
    <w:rsid w:val="7578452B"/>
    <w:rsid w:val="75DA10CD"/>
    <w:rsid w:val="76007E81"/>
    <w:rsid w:val="762A4048"/>
    <w:rsid w:val="763444AF"/>
    <w:rsid w:val="766052A4"/>
    <w:rsid w:val="76C80B05"/>
    <w:rsid w:val="774677D5"/>
    <w:rsid w:val="774D0819"/>
    <w:rsid w:val="77843214"/>
    <w:rsid w:val="77900C69"/>
    <w:rsid w:val="77BC66AE"/>
    <w:rsid w:val="781112D0"/>
    <w:rsid w:val="78202910"/>
    <w:rsid w:val="78307C78"/>
    <w:rsid w:val="787964D9"/>
    <w:rsid w:val="78BB0A66"/>
    <w:rsid w:val="795D2D6F"/>
    <w:rsid w:val="79F1494A"/>
    <w:rsid w:val="79F876CB"/>
    <w:rsid w:val="79FD4047"/>
    <w:rsid w:val="7A016C1F"/>
    <w:rsid w:val="7A692F36"/>
    <w:rsid w:val="7A6A4943"/>
    <w:rsid w:val="7AA73184"/>
    <w:rsid w:val="7AD46261"/>
    <w:rsid w:val="7AD76419"/>
    <w:rsid w:val="7B2861AD"/>
    <w:rsid w:val="7B9074FF"/>
    <w:rsid w:val="7BAF22D4"/>
    <w:rsid w:val="7BF10968"/>
    <w:rsid w:val="7C082EE5"/>
    <w:rsid w:val="7C113BAE"/>
    <w:rsid w:val="7C37057C"/>
    <w:rsid w:val="7C653614"/>
    <w:rsid w:val="7CFA2E45"/>
    <w:rsid w:val="7D230C16"/>
    <w:rsid w:val="7D715FE9"/>
    <w:rsid w:val="7D896468"/>
    <w:rsid w:val="7D937D0D"/>
    <w:rsid w:val="7E311CE2"/>
    <w:rsid w:val="7E3B6F32"/>
    <w:rsid w:val="7E6873EC"/>
    <w:rsid w:val="7E7A635E"/>
    <w:rsid w:val="7EFB3419"/>
    <w:rsid w:val="7F074EE1"/>
    <w:rsid w:val="7F0D7445"/>
    <w:rsid w:val="7F331898"/>
    <w:rsid w:val="7F4E65E2"/>
    <w:rsid w:val="7F641DFD"/>
    <w:rsid w:val="7F6A0F42"/>
    <w:rsid w:val="7F9938DF"/>
    <w:rsid w:val="7F9E0278"/>
    <w:rsid w:val="7FC23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locked/>
    <w:uiPriority w:val="0"/>
    <w:rPr>
      <w:b/>
    </w:rPr>
  </w:style>
  <w:style w:type="character" w:customStyle="1" w:styleId="10">
    <w:name w:val="页眉 字符"/>
    <w:link w:val="4"/>
    <w:uiPriority w:val="99"/>
    <w:rPr>
      <w:kern w:val="2"/>
      <w:sz w:val="18"/>
      <w:szCs w:val="18"/>
    </w:rPr>
  </w:style>
  <w:style w:type="character" w:customStyle="1" w:styleId="11">
    <w:name w:val="页脚 字符"/>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2079</Characters>
  <Lines>20</Lines>
  <Paragraphs>5</Paragraphs>
  <TotalTime>4</TotalTime>
  <ScaleCrop>false</ScaleCrop>
  <LinksUpToDate>false</LinksUpToDate>
  <CharactersWithSpaces>2089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2019-12-27T03:01:00Z</dcterms:created>
  <dc:creator>Administrator</dc:creator>
  <cp:lastModifiedBy>Am</cp:lastModifiedBy>
  <dcterms:modified xsi:type="dcterms:W3CDTF">2026-06-15T07:12:42Z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4A11DF0DA93445239A23377216C43F81</vt:lpwstr>
  </property>
  <property fmtid="{D5CDD505-2E9C-101B-9397-08002B2CF9AE}" pid="4" name="KSOTemplateDocerSaveRecord">
    <vt:lpwstr>eyJoZGlkIjoiOWU3ZjM0ODgwZjNiMWQ3NjI3ZmVmZjM2ZTk2NmRmZmUiLCJ1c2VySWQiOiIyNTMxNjgyNjAifQ==</vt:lpwstr>
  </property>
</Properties>
</file>