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auto"/>
          <w:spacing w:val="20"/>
          <w:sz w:val="44"/>
          <w:highlight w:val="none"/>
          <w:lang w:val="en-US" w:eastAsia="zh-CN"/>
        </w:rPr>
      </w:pPr>
      <w:r>
        <w:rPr>
          <w:rFonts w:hint="eastAsia" w:ascii="宋体" w:hAnsi="宋体" w:eastAsia="宋体" w:cs="宋体"/>
          <w:bCs/>
          <w:color w:val="auto"/>
          <w:spacing w:val="20"/>
          <w:sz w:val="44"/>
          <w:highlight w:val="none"/>
          <w:lang w:val="en-US" w:eastAsia="zh-CN"/>
        </w:rPr>
      </w:r>
      <w:r/>
    </w:p>
    <w:p>
      <w:pPr>
        <w:jc w:val="center"/>
        <w:rPr>
          <w:rFonts w:hint="eastAsia" w:ascii="宋体" w:hAnsi="宋体" w:eastAsia="宋体" w:cs="宋体"/>
          <w:bCs/>
          <w:color w:val="auto"/>
          <w:spacing w:val="20"/>
          <w:sz w:val="44"/>
          <w:highlight w:val="none"/>
          <w:lang w:val="en-US" w:eastAsia="zh-CN"/>
        </w:rPr>
      </w:pPr>
      <w:r>
        <w:rPr>
          <w:rFonts w:hint="eastAsia" w:ascii="宋体" w:hAnsi="宋体" w:eastAsia="宋体" w:cs="宋体"/>
          <w:bCs/>
          <w:color w:val="auto"/>
          <w:spacing w:val="20"/>
          <w:sz w:val="44"/>
          <w:highlight w:val="none"/>
          <w:lang w:val="en-US" w:eastAsia="zh-CN"/>
        </w:rPr>
        <w:t xml:space="preserve">启东市第二人民医院异地新建项目手术设备（4K高清腹腔镜系统）采购项目</w:t>
      </w:r>
      <w:r/>
    </w:p>
    <w:p>
      <w:pPr>
        <w:jc w:val="center"/>
        <w:rPr>
          <w:rFonts w:hint="eastAsia" w:ascii="宋体" w:hAnsi="宋体" w:eastAsia="宋体" w:cs="宋体"/>
          <w:bCs/>
          <w:color w:val="auto"/>
          <w:sz w:val="100"/>
          <w:szCs w:val="100"/>
          <w:highlight w:val="none"/>
          <w:lang w:val="en-US" w:eastAsia="zh-CN"/>
        </w:rPr>
      </w:pPr>
      <w:r>
        <w:rPr>
          <w:rFonts w:hint="eastAsia" w:ascii="宋体" w:hAnsi="宋体" w:eastAsia="宋体" w:cs="宋体"/>
          <w:bCs/>
          <w:color w:val="auto"/>
          <w:sz w:val="100"/>
          <w:szCs w:val="100"/>
          <w:highlight w:val="none"/>
          <w:lang w:val="en-US" w:eastAsia="zh-CN"/>
        </w:rPr>
      </w:r>
      <w:r/>
    </w:p>
    <w:p>
      <w:pPr>
        <w:jc w:val="center"/>
        <w:rPr>
          <w:rFonts w:hint="eastAsia" w:ascii="宋体" w:hAnsi="宋体" w:eastAsia="宋体" w:cs="宋体"/>
          <w:bCs/>
          <w:color w:val="auto"/>
          <w:sz w:val="100"/>
          <w:szCs w:val="100"/>
          <w:highlight w:val="none"/>
        </w:rPr>
      </w:pPr>
      <w:r>
        <w:rPr>
          <w:rFonts w:hint="eastAsia" w:ascii="宋体" w:hAnsi="宋体" w:eastAsia="宋体" w:cs="宋体"/>
          <w:bCs/>
          <w:color w:val="auto"/>
          <w:sz w:val="100"/>
          <w:szCs w:val="100"/>
          <w:highlight w:val="none"/>
          <w:lang w:val="en-US" w:eastAsia="zh-CN"/>
        </w:rPr>
        <w:t xml:space="preserve">分散</w:t>
      </w:r>
      <w:r>
        <w:rPr>
          <w:rFonts w:hint="eastAsia" w:ascii="宋体" w:hAnsi="宋体" w:eastAsia="宋体" w:cs="宋体"/>
          <w:bCs/>
          <w:color w:val="auto"/>
          <w:sz w:val="100"/>
          <w:szCs w:val="100"/>
          <w:highlight w:val="none"/>
        </w:rPr>
        <w:t xml:space="preserve">采购招标文件</w:t>
      </w:r>
      <w:r/>
    </w:p>
    <w:p>
      <w:pPr>
        <w:pStyle w:val="836"/>
        <w:spacing w:line="50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836"/>
        <w:ind w:firstLine="720"/>
        <w:jc w:val="both"/>
        <w:spacing w:line="50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val="0"/>
          <w:bCs/>
          <w:color w:val="auto"/>
          <w:sz w:val="36"/>
          <w:szCs w:val="36"/>
          <w:highlight w:val="none"/>
        </w:rPr>
        <w:t xml:space="preserve">项目编号：JSZC-320681-HXTH-G2026-0025</w:t>
      </w:r>
      <w:r>
        <w:rPr>
          <w:rFonts w:hint="eastAsia" w:ascii="宋体" w:hAnsi="宋体" w:eastAsia="宋体" w:cs="宋体"/>
          <w:b w:val="0"/>
          <w:bCs/>
          <w:color w:val="auto"/>
          <w:sz w:val="36"/>
          <w:szCs w:val="36"/>
          <w:highlight w:val="none"/>
          <w:lang w:val="en-US" w:eastAsia="zh-CN"/>
        </w:rPr>
        <w:t xml:space="preserve">  </w:t>
      </w:r>
      <w:r/>
    </w:p>
    <w:p>
      <w:pPr>
        <w:pStyle w:val="836"/>
        <w:spacing w:line="500" w:lineRule="exact"/>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44"/>
        <w:ind w:firstLine="0"/>
        <w:rPr>
          <w:rFonts w:hint="eastAsia" w:ascii="宋体" w:hAnsi="宋体" w:eastAsia="宋体" w:cs="宋体"/>
          <w:b/>
          <w:color w:val="auto"/>
          <w:spacing w:val="20"/>
          <w:sz w:val="44"/>
          <w:highlight w:val="none"/>
          <w:lang w:val="zh-CN" w:eastAsia="zh-CN"/>
        </w:rPr>
      </w:pPr>
      <w:r>
        <w:rPr>
          <w:rFonts w:hint="eastAsia" w:ascii="宋体" w:hAnsi="宋体" w:eastAsia="宋体" w:cs="宋体"/>
          <w:b/>
          <w:color w:val="auto"/>
          <w:spacing w:val="20"/>
          <w:sz w:val="44"/>
          <w:highlight w:val="none"/>
          <w:lang w:val="zh-CN" w:eastAsia="zh-CN"/>
        </w:rPr>
        <w:t xml:space="preserve">启东市卫生健康委员会</w:t>
      </w:r>
      <w:r/>
    </w:p>
    <w:p>
      <w:pPr>
        <w:pStyle w:val="844"/>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u w:val="singl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u w:val="single"/>
          <w:lang w:val="en-US" w:eastAsia="zh-CN"/>
        </w:rPr>
        <w:t xml:space="preserve"> </w:t>
      </w:r>
      <w:r>
        <w:rPr>
          <w:rFonts w:hint="eastAsia" w:ascii="宋体" w:hAnsi="宋体" w:cs="宋体"/>
          <w:b/>
          <w:bCs/>
          <w:color w:val="auto"/>
          <w:sz w:val="32"/>
          <w:highlight w:val="none"/>
          <w:u w:val="single"/>
          <w:lang w:val="en-US" w:eastAsia="zh-CN"/>
        </w:rPr>
        <w:t xml:space="preserve">06 </w:t>
      </w:r>
      <w:r>
        <w:rPr>
          <w:rFonts w:hint="eastAsia" w:ascii="宋体" w:hAnsi="宋体" w:eastAsia="宋体" w:cs="宋体"/>
          <w:b/>
          <w:bCs/>
          <w:color w:val="auto"/>
          <w:sz w:val="32"/>
          <w:highlight w:val="none"/>
        </w:rPr>
        <w:t xml:space="preserve">月</w:t>
      </w:r>
      <w:r>
        <w:rPr>
          <w:rFonts w:hint="eastAsia" w:ascii="宋体" w:hAnsi="宋体" w:eastAsia="宋体" w:cs="宋体"/>
          <w:b/>
          <w:bCs/>
          <w:color w:val="auto"/>
          <w:sz w:val="32"/>
          <w:highlight w:val="none"/>
          <w:u w:val="single"/>
          <w:lang w:val="en-US" w:eastAsia="zh-CN"/>
        </w:rPr>
        <w:t xml:space="preserve"> </w:t>
      </w:r>
      <w:r>
        <w:rPr>
          <w:rFonts w:hint="eastAsia" w:ascii="宋体" w:hAnsi="宋体" w:cs="宋体"/>
          <w:b/>
          <w:bCs/>
          <w:color w:val="auto"/>
          <w:sz w:val="32"/>
          <w:highlight w:val="none"/>
          <w:u w:val="single"/>
          <w:lang w:val="en-US" w:eastAsia="zh-CN"/>
        </w:rPr>
        <w:t xml:space="preserve">25</w:t>
      </w:r>
      <w:r>
        <w:rPr>
          <w:rFonts w:hint="eastAsia" w:ascii="宋体" w:hAnsi="宋体" w:eastAsia="宋体" w:cs="宋体"/>
          <w:b/>
          <w:bCs/>
          <w:color w:val="auto"/>
          <w:sz w:val="32"/>
          <w:highlight w:val="none"/>
          <w:u w:val="single"/>
          <w:lang w:val="en-US" w:eastAsia="zh-CN"/>
        </w:rPr>
        <w:t xml:space="preserve"> </w:t>
      </w:r>
      <w:r>
        <w:rPr>
          <w:rFonts w:hint="eastAsia" w:ascii="宋体" w:hAnsi="宋体" w:eastAsia="宋体" w:cs="宋体"/>
          <w:b/>
          <w:bCs/>
          <w:color w:val="auto"/>
          <w:sz w:val="32"/>
          <w:highlight w:val="none"/>
        </w:rPr>
        <w:t xml:space="preserve">日</w:t>
      </w:r>
      <w:r/>
    </w:p>
    <w:p>
      <w:pPr>
        <w:ind w:left="-158"/>
        <w:rPr>
          <w:rFonts w:hint="eastAsia" w:ascii="宋体" w:hAnsi="宋体" w:eastAsia="宋体" w:cs="宋体"/>
          <w:b/>
          <w:color w:val="auto"/>
          <w:sz w:val="26"/>
          <w:szCs w:val="28"/>
          <w:highlight w:val="none"/>
          <w:u w:val="single"/>
        </w:rPr>
      </w:pPr>
      <w:r/>
      <w:bookmarkStart w:id="0" w:name="_Hlk194478377"/>
      <w:r>
        <w:rPr>
          <w:rFonts w:hint="eastAsia" w:ascii="宋体" w:hAnsi="宋体" w:eastAsia="宋体" w:cs="宋体"/>
          <w:b/>
          <w:color w:val="auto"/>
          <w:sz w:val="26"/>
          <w:szCs w:val="28"/>
          <w:highlight w:val="none"/>
          <w:u w:val="single"/>
        </w:rPr>
        <w:t xml:space="preserve">________________________________________________________________</w:t>
      </w:r>
      <w:bookmarkEnd w:id="0"/>
      <w:r/>
      <w:r/>
    </w:p>
    <w:p>
      <w:pPr>
        <w:ind w:left="-158"/>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地址：</w:t>
      </w:r>
      <w:r>
        <w:rPr>
          <w:rFonts w:hint="eastAsia" w:ascii="宋体" w:hAnsi="宋体" w:eastAsia="宋体" w:cs="宋体"/>
          <w:color w:val="auto"/>
          <w:sz w:val="32"/>
          <w:szCs w:val="32"/>
          <w:highlight w:val="none"/>
          <w:lang w:val="en-US" w:eastAsia="zh-CN"/>
        </w:rPr>
        <w:t xml:space="preserve">启东市汇龙镇民胜南路公共卫生中心</w:t>
      </w:r>
      <w:r/>
    </w:p>
    <w:p>
      <w:pPr>
        <w:ind w:left="-158"/>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邮政编码：</w:t>
      </w:r>
      <w:r>
        <w:rPr>
          <w:rFonts w:hint="eastAsia" w:ascii="宋体" w:hAnsi="宋体" w:eastAsia="宋体" w:cs="宋体"/>
          <w:color w:val="auto"/>
          <w:sz w:val="32"/>
          <w:szCs w:val="32"/>
          <w:highlight w:val="none"/>
        </w:rPr>
        <w:t xml:space="preserve">226200</w:t>
      </w:r>
      <w:r/>
    </w:p>
    <w:p>
      <w:pPr>
        <w:ind w:left="-158" w:right="-60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江苏政府采购网</w:t>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 xml:space="preserve">目 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第一部分  投标邀请</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第二部分  投标须知</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第三部分  项目需求</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color w:val="auto"/>
          <w:sz w:val="32"/>
          <w:szCs w:val="32"/>
          <w:highlight w:val="none"/>
        </w:rPr>
        <w:t xml:space="preserve">第四部分  </w:t>
      </w:r>
      <w:r>
        <w:rPr>
          <w:rFonts w:hint="eastAsia" w:ascii="宋体" w:hAnsi="宋体" w:eastAsia="宋体" w:cs="宋体"/>
          <w:bCs/>
          <w:color w:val="auto"/>
          <w:sz w:val="32"/>
          <w:szCs w:val="32"/>
          <w:highlight w:val="none"/>
        </w:rPr>
        <w:t xml:space="preserve">开标和评标</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第五部分  投标文件格式</w:t>
      </w:r>
      <w:r/>
    </w:p>
    <w:p>
      <w:pP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0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第一部分  </w:t>
      </w:r>
      <w:bookmarkStart w:id="1" w:name="OLE_LINK5"/>
      <w:r/>
      <w:bookmarkStart w:id="2" w:name="OLE_LINK7"/>
      <w:r>
        <w:rPr>
          <w:rFonts w:hint="eastAsia" w:ascii="宋体" w:hAnsi="宋体" w:eastAsia="宋体" w:cs="宋体"/>
          <w:bCs/>
          <w:color w:val="auto"/>
          <w:sz w:val="36"/>
          <w:szCs w:val="36"/>
          <w:highlight w:val="none"/>
        </w:rPr>
        <w:t xml:space="preserve">投标邀请</w:t>
      </w:r>
      <w:r/>
    </w:p>
    <w:p>
      <w:pPr>
        <w:ind w:firstLine="560"/>
        <w:spacing w:line="500" w:lineRule="exact"/>
        <w:rPr>
          <w:rFonts w:hint="eastAsia" w:ascii="宋体" w:hAnsi="宋体" w:eastAsia="宋体" w:cs="宋体"/>
          <w:color w:val="auto"/>
          <w:sz w:val="28"/>
          <w:szCs w:val="28"/>
          <w:highlight w:val="none"/>
        </w:rPr>
      </w:pPr>
      <w:r/>
      <w:bookmarkStart w:id="3" w:name="OLE_LINK6"/>
      <w:r>
        <w:rPr>
          <w:rFonts w:hint="eastAsia" w:ascii="宋体" w:hAnsi="宋体" w:eastAsia="宋体" w:cs="宋体"/>
          <w:color w:val="auto"/>
          <w:sz w:val="28"/>
          <w:szCs w:val="28"/>
          <w:highlight w:val="none"/>
        </w:rPr>
        <w:t xml:space="preserve">受[</w:t>
      </w:r>
      <w:r>
        <w:rPr>
          <w:rFonts w:hint="eastAsia" w:ascii="宋体" w:hAnsi="宋体" w:eastAsia="宋体" w:cs="宋体"/>
          <w:color w:val="auto"/>
          <w:sz w:val="28"/>
          <w:szCs w:val="28"/>
          <w:highlight w:val="none"/>
          <w:lang w:val="en-US" w:eastAsia="zh-CN"/>
        </w:rPr>
        <w:t xml:space="preserve">启东市卫生健康委员会</w:t>
      </w:r>
      <w:r>
        <w:rPr>
          <w:rFonts w:hint="eastAsia" w:ascii="宋体" w:hAnsi="宋体" w:eastAsia="宋体" w:cs="宋体"/>
          <w:color w:val="auto"/>
          <w:sz w:val="28"/>
          <w:szCs w:val="28"/>
          <w:highlight w:val="none"/>
        </w:rPr>
        <w:t xml:space="preserve">]的委托，就[</w:t>
      </w:r>
      <w:r>
        <w:rPr>
          <w:rFonts w:hint="eastAsia" w:ascii="宋体" w:hAnsi="宋体" w:eastAsia="宋体" w:cs="宋体"/>
          <w:color w:val="auto"/>
          <w:sz w:val="28"/>
          <w:szCs w:val="28"/>
          <w:highlight w:val="none"/>
          <w:lang w:val="en-US" w:eastAsia="zh-CN"/>
        </w:rPr>
        <w:t xml:space="preserve">启东市第二人民医院异地新建项目手术设备（4K高清腹腔镜系统）采购项目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val="en-US" w:eastAsia="zh-CN"/>
        </w:rPr>
        <w:t xml:space="preserve">JSZC-320681-HXTH-G2026-0025</w:t>
      </w:r>
      <w:r>
        <w:rPr>
          <w:rFonts w:hint="eastAsia" w:ascii="宋体" w:hAnsi="宋体" w:eastAsia="宋体" w:cs="宋体"/>
          <w:color w:val="auto"/>
          <w:sz w:val="28"/>
          <w:szCs w:val="28"/>
          <w:highlight w:val="none"/>
        </w:rPr>
        <w:t xml:space="preserve">）进行公开招标采购，欢迎符合条件的供应商投标。</w:t>
      </w:r>
      <w:r/>
    </w:p>
    <w:p>
      <w:pPr>
        <w:ind w:firstLine="560"/>
        <w:spacing w:line="50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rPr>
        <w:t xml:space="preserve">项目概况</w:t>
      </w:r>
      <w:r/>
    </w:p>
    <w:p>
      <w:pPr>
        <w:ind w:firstLine="560"/>
        <w:spacing w:line="50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启东市第二人民医院异地新建项目手术设备（4K高清腹腔镜系统）采购项目</w:t>
      </w:r>
      <w:r>
        <w:rPr>
          <w:rFonts w:hint="eastAsia" w:ascii="宋体" w:hAnsi="宋体" w:eastAsia="宋体" w:cs="宋体"/>
          <w:color w:val="auto"/>
          <w:sz w:val="28"/>
          <w:szCs w:val="28"/>
          <w:highlight w:val="none"/>
        </w:rPr>
        <w:t xml:space="preserve">]的潜在投标人应在江苏政府采购网获取招标文件，并于</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16</w:t>
      </w:r>
      <w:r>
        <w:rPr>
          <w:rFonts w:hint="eastAsia" w:ascii="宋体" w:hAnsi="宋体" w:eastAsia="宋体" w:cs="宋体"/>
          <w:color w:val="auto"/>
          <w:sz w:val="28"/>
          <w:szCs w:val="28"/>
          <w:highlight w:val="none"/>
        </w:rPr>
        <w:t xml:space="preserve">日9点00分（北京时间）前递交投标文件。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一、项目基本情况</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项目编号：JSZC-320681-HXTH-G2026-0025</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pacing w:val="-6"/>
          <w:sz w:val="28"/>
          <w:szCs w:val="28"/>
          <w:highlight w:val="none"/>
          <w:lang w:val="en-US" w:eastAsia="zh-CN"/>
        </w:rPr>
        <w:t xml:space="preserve">启东市第二人民医院异地新建项目手术设备（4K高清腹腔镜系统）采购项目</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项目类型：货物</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所属行业：</w:t>
      </w:r>
      <w:r>
        <w:rPr>
          <w:rFonts w:hint="eastAsia" w:ascii="宋体" w:hAnsi="宋体" w:eastAsia="宋体" w:cs="宋体"/>
          <w:color w:val="auto"/>
          <w:sz w:val="28"/>
          <w:szCs w:val="28"/>
          <w:highlight w:val="none"/>
          <w:lang w:eastAsia="zh-CN"/>
        </w:rPr>
        <w:t xml:space="preserve">工业</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247.7071</w:t>
      </w:r>
      <w:r>
        <w:rPr>
          <w:rFonts w:hint="eastAsia" w:ascii="宋体" w:hAnsi="宋体" w:eastAsia="宋体" w:cs="宋体"/>
          <w:color w:val="auto"/>
          <w:sz w:val="28"/>
          <w:szCs w:val="28"/>
          <w:highlight w:val="none"/>
        </w:rPr>
        <w:t xml:space="preserve">万元</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148.8571</w:t>
      </w:r>
      <w:r>
        <w:rPr>
          <w:rFonts w:hint="eastAsia" w:ascii="宋体" w:hAnsi="宋体" w:eastAsia="宋体" w:cs="宋体"/>
          <w:color w:val="auto"/>
          <w:sz w:val="28"/>
          <w:szCs w:val="28"/>
          <w:highlight w:val="none"/>
        </w:rPr>
        <w:t xml:space="preserve">万元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采购需求：详见招标文件，请仔细研究。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合同履行期限：详见招标文件第三部分项目需求。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二、申请人的资格要求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2.落实政府采购政策需满足的资格要求：</w:t>
      </w:r>
      <w:r>
        <w:rPr>
          <w:rFonts w:hint="eastAsia" w:ascii="宋体" w:hAnsi="宋体" w:eastAsia="宋体" w:cs="宋体"/>
          <w:color w:val="auto"/>
          <w:sz w:val="28"/>
          <w:szCs w:val="28"/>
          <w:highlight w:val="none"/>
          <w:u w:val="none"/>
        </w:rPr>
        <w:t xml:space="preserve">本项目属于非专门面向中小企业采购的项目，无落实政府采购政策需满足的资格要求</w:t>
      </w:r>
      <w:r>
        <w:rPr>
          <w:rFonts w:hint="eastAsia" w:ascii="宋体" w:hAnsi="宋体" w:eastAsia="宋体" w:cs="宋体"/>
          <w:bCs/>
          <w:color w:val="auto"/>
          <w:sz w:val="28"/>
          <w:szCs w:val="28"/>
          <w:highlight w:val="none"/>
          <w:u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3.本项目的特定资格要求：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3.1投标产品按国家规定须医疗器械注册证的，投标人须提供投标产品的《医疗器械注册证》；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3.2投标人如为医疗器械</w:t>
      </w:r>
      <w:r>
        <w:rPr>
          <w:rFonts w:hint="eastAsia" w:ascii="宋体" w:hAnsi="宋体" w:eastAsia="宋体" w:cs="宋体"/>
          <w:b/>
          <w:bCs/>
          <w:color w:val="auto"/>
          <w:sz w:val="28"/>
          <w:szCs w:val="28"/>
          <w:highlight w:val="none"/>
        </w:rPr>
        <w:t xml:space="preserve">生产企业</w:t>
      </w:r>
      <w:r>
        <w:rPr>
          <w:rFonts w:hint="eastAsia" w:ascii="宋体" w:hAnsi="宋体" w:eastAsia="宋体" w:cs="宋体"/>
          <w:color w:val="auto"/>
          <w:sz w:val="28"/>
          <w:szCs w:val="28"/>
          <w:highlight w:val="none"/>
        </w:rPr>
        <w:t xml:space="preserve">投标本企业产品的，须提供《医疗器械生产许可证》；如为医疗器械</w:t>
      </w:r>
      <w:r>
        <w:rPr>
          <w:rFonts w:hint="eastAsia" w:ascii="宋体" w:hAnsi="宋体" w:eastAsia="宋体" w:cs="宋体"/>
          <w:b/>
          <w:bCs/>
          <w:color w:val="auto"/>
          <w:sz w:val="28"/>
          <w:szCs w:val="28"/>
          <w:highlight w:val="none"/>
        </w:rPr>
        <w:t xml:space="preserve">经营企业</w:t>
      </w:r>
      <w:r>
        <w:rPr>
          <w:rFonts w:hint="eastAsia" w:ascii="宋体" w:hAnsi="宋体" w:eastAsia="宋体" w:cs="宋体"/>
          <w:color w:val="auto"/>
          <w:sz w:val="28"/>
          <w:szCs w:val="28"/>
          <w:highlight w:val="none"/>
        </w:rPr>
        <w:t xml:space="preserve">的，须根据投标产品的类别，提供投标人的《医疗器械经营许可证》或者《医疗器械经营备案凭证》；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auto"/>
          <w:sz w:val="28"/>
          <w:szCs w:val="28"/>
          <w:highlight w:val="none"/>
        </w:rPr>
        <w:t xml:space="preserve">（投标文件中无需提供证明材料）</w:t>
      </w:r>
      <w:r/>
    </w:p>
    <w:p>
      <w:pPr>
        <w:ind w:firstLine="56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4.投标产品若为进口设备，投标人须提供代理授权书或制造商授权书；投标产品若为国产设备，则本项无需提供材料。</w:t>
      </w:r>
      <w:r/>
    </w:p>
    <w:p>
      <w:pPr>
        <w:numPr>
          <w:ilvl w:val="0"/>
          <w:numId w:val="0"/>
        </w:num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三、获取招标文件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03</w:t>
      </w:r>
      <w:r>
        <w:rPr>
          <w:rFonts w:hint="eastAsia" w:ascii="宋体" w:hAnsi="宋体" w:eastAsia="宋体" w:cs="宋体"/>
          <w:color w:val="auto"/>
          <w:sz w:val="28"/>
          <w:szCs w:val="28"/>
          <w:highlight w:val="none"/>
        </w:rPr>
        <w:t xml:space="preserve">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2.潜在供应商访问“苏采云”系统的网络地址和方法：“苏采云”系统的网址：http://jszfcg.jsczt.cn/。</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注：如潜在供应商未按上述要求操作，将自行承担所产生的风险。</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四、提交投标文件截止时间、开标时间和地点</w:t>
      </w:r>
      <w:r/>
    </w:p>
    <w:p>
      <w:pPr>
        <w:ind w:firstLine="560"/>
        <w:spacing w:line="50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16</w:t>
      </w:r>
      <w:r>
        <w:rPr>
          <w:rFonts w:hint="eastAsia" w:ascii="宋体" w:hAnsi="宋体" w:eastAsia="宋体" w:cs="宋体"/>
          <w:color w:val="auto"/>
          <w:sz w:val="28"/>
          <w:szCs w:val="28"/>
          <w:highlight w:val="none"/>
        </w:rPr>
        <w:t xml:space="preserve">日9点00分（北京时间）</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逾时，交易系统将拒绝接受上传投标文件电子文档。</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地点：各供应商请关注开标大厅交流区，在开标结束后，请勿离开开标大厅。</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2.线上开标地点：“苏采云”系统（网址：http://jszfcg.jsczt.cn/）“开标大厅”。</w:t>
      </w:r>
      <w:r/>
    </w:p>
    <w:p>
      <w:pPr>
        <w:ind w:firstLine="560"/>
        <w:spacing w:line="50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auto"/>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五、公告期限</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自本公告发布之日起5个工作日。</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六、其他补充事宜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1.投标保证金：免收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2.项目开标活动模式：不见面远程开标模式，投标人在各自地点通过“苏采云”系统参加开标会。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七、本次招标联系方式</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w:t>
      </w:r>
      <w:r>
        <w:rPr>
          <w:rFonts w:hint="eastAsia" w:ascii="宋体" w:hAnsi="宋体" w:eastAsia="宋体" w:cs="宋体"/>
          <w:color w:val="auto"/>
          <w:sz w:val="28"/>
          <w:szCs w:val="28"/>
          <w:highlight w:val="none"/>
          <w:lang w:val="en-US" w:eastAsia="zh-CN"/>
        </w:rPr>
        <w:t xml:space="preserve">启东市卫生健康委员会</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rPr>
          <w:rFonts w:hint="eastAsia" w:ascii="宋体" w:hAnsi="宋体" w:eastAsia="宋体" w:cs="宋体"/>
          <w:color w:val="auto"/>
          <w:sz w:val="28"/>
          <w:szCs w:val="28"/>
          <w:highlight w:val="none"/>
          <w:lang w:val="en-US" w:eastAsia="zh-CN"/>
        </w:rPr>
        <w:t xml:space="preserve">启东市汇龙镇民胜南路公共卫生中心</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陆先生</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r>
        <w:rPr>
          <w:rFonts w:hint="eastAsia" w:ascii="宋体" w:hAnsi="宋体" w:eastAsia="宋体" w:cs="宋体"/>
          <w:color w:val="auto"/>
          <w:sz w:val="28"/>
          <w:szCs w:val="28"/>
          <w:highlight w:val="none"/>
          <w:lang w:val="en-US" w:eastAsia="zh-CN"/>
        </w:rPr>
        <w:t xml:space="preserve">13962821722</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2.采购代理机构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称：江苏天宏华信工程投资管理咨询有限公司</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联系人：</w:t>
      </w:r>
      <w:r>
        <w:rPr>
          <w:rFonts w:hint="eastAsia" w:ascii="宋体" w:hAnsi="宋体" w:eastAsia="宋体" w:cs="宋体"/>
          <w:color w:val="auto"/>
          <w:sz w:val="28"/>
          <w:szCs w:val="28"/>
          <w:highlight w:val="none"/>
          <w:lang w:val="en-US" w:eastAsia="zh-CN"/>
        </w:rPr>
        <w:t xml:space="preserve">陈佩芬</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联系方式：0513-83248588</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3.软件技术支持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br w:type="page" w:clear="all"/>
      </w:r>
      <w:r>
        <w:rPr>
          <w:rFonts w:hint="eastAsia" w:ascii="宋体" w:hAnsi="宋体" w:eastAsia="宋体" w:cs="宋体"/>
          <w:bCs/>
          <w:color w:val="auto"/>
          <w:sz w:val="36"/>
          <w:szCs w:val="36"/>
          <w:highlight w:val="none"/>
        </w:rPr>
        <w:t xml:space="preserve">第二部分  投标须知</w:t>
      </w:r>
      <w:r/>
    </w:p>
    <w:p>
      <w:pPr>
        <w:ind w:firstLine="560"/>
        <w:spacing w:line="500" w:lineRule="exact"/>
        <w:rPr>
          <w:rFonts w:hint="eastAsia" w:ascii="宋体" w:hAnsi="宋体" w:eastAsia="宋体" w:cs="宋体"/>
          <w:bCs/>
          <w:color w:val="auto"/>
          <w:sz w:val="28"/>
          <w:szCs w:val="28"/>
          <w:highlight w:val="none"/>
        </w:rPr>
      </w:pPr>
      <w:r/>
      <w:bookmarkStart w:id="4" w:name="_Toc16938519"/>
      <w:r/>
      <w:bookmarkStart w:id="5" w:name="_Toc120614214"/>
      <w:r/>
      <w:bookmarkStart w:id="6" w:name="_Toc20823275"/>
      <w:r/>
      <w:bookmarkStart w:id="7" w:name="_Toc513029203"/>
      <w:r>
        <w:rPr>
          <w:rFonts w:hint="eastAsia" w:ascii="宋体" w:hAnsi="宋体" w:eastAsia="宋体" w:cs="宋体"/>
          <w:bCs/>
          <w:color w:val="auto"/>
          <w:sz w:val="28"/>
          <w:szCs w:val="28"/>
          <w:highlight w:val="none"/>
        </w:rPr>
        <w:t xml:space="preserve">一、总则</w:t>
      </w:r>
      <w:bookmarkEnd w:id="4"/>
      <w:r/>
      <w:bookmarkEnd w:id="5"/>
      <w:r/>
      <w:bookmarkEnd w:id="6"/>
      <w:r/>
      <w:bookmarkEnd w:id="7"/>
      <w:r/>
      <w:r/>
    </w:p>
    <w:p>
      <w:pPr>
        <w:pStyle w:val="835"/>
        <w:ind w:firstLine="560"/>
        <w:jc w:val="both"/>
        <w:spacing w:line="500" w:lineRule="exact"/>
        <w:rPr>
          <w:rFonts w:hint="eastAsia" w:ascii="宋体" w:hAnsi="宋体" w:eastAsia="宋体" w:cs="宋体"/>
          <w:b/>
          <w:bCs/>
          <w:color w:val="auto"/>
          <w:sz w:val="28"/>
          <w:szCs w:val="28"/>
          <w:highlight w:val="none"/>
        </w:rPr>
      </w:pPr>
      <w:r/>
      <w:bookmarkStart w:id="8" w:name="_Hlt16619475"/>
      <w:r/>
      <w:bookmarkEnd w:id="8"/>
      <w:r/>
      <w:bookmarkStart w:id="9" w:name="_Toc458694821"/>
      <w:r/>
      <w:bookmarkStart w:id="10" w:name="_Toc513029204"/>
      <w:r/>
      <w:bookmarkStart w:id="11" w:name="_Toc20823276"/>
      <w:r/>
      <w:bookmarkStart w:id="12" w:name="_Toc16938520"/>
      <w:r>
        <w:rPr>
          <w:rFonts w:hint="eastAsia" w:ascii="宋体" w:hAnsi="宋体" w:eastAsia="宋体" w:cs="宋体"/>
          <w:color w:val="auto"/>
          <w:sz w:val="28"/>
          <w:szCs w:val="28"/>
          <w:highlight w:val="none"/>
        </w:rPr>
        <w:t xml:space="preserve">1</w:t>
      </w:r>
      <w:bookmarkEnd w:id="9"/>
      <w:r>
        <w:rPr>
          <w:rFonts w:hint="eastAsia" w:ascii="宋体" w:hAnsi="宋体" w:eastAsia="宋体" w:cs="宋体"/>
          <w:color w:val="auto"/>
          <w:sz w:val="28"/>
          <w:szCs w:val="28"/>
          <w:highlight w:val="none"/>
        </w:rPr>
        <w:t xml:space="preserve">.招标方式</w:t>
      </w:r>
      <w:bookmarkEnd w:id="10"/>
      <w:r/>
      <w:bookmarkEnd w:id="11"/>
      <w:r/>
      <w:bookmarkEnd w:id="1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1.1本次招标采取公开招标方式，本招标文件仅适用于招标公告中所述项目。</w:t>
      </w:r>
      <w:r/>
    </w:p>
    <w:p>
      <w:pPr>
        <w:pStyle w:val="835"/>
        <w:ind w:firstLine="560"/>
        <w:jc w:val="both"/>
        <w:spacing w:line="500" w:lineRule="exact"/>
        <w:rPr>
          <w:rFonts w:hint="eastAsia" w:ascii="宋体" w:hAnsi="宋体" w:eastAsia="宋体" w:cs="宋体"/>
          <w:color w:val="auto"/>
          <w:sz w:val="28"/>
          <w:szCs w:val="28"/>
          <w:highlight w:val="none"/>
        </w:rPr>
      </w:pPr>
      <w:r/>
      <w:bookmarkStart w:id="13" w:name="_Toc513029205"/>
      <w:r/>
      <w:bookmarkStart w:id="14" w:name="_Toc16938521"/>
      <w:r/>
      <w:bookmarkStart w:id="15" w:name="_Toc20823277"/>
      <w:r>
        <w:rPr>
          <w:rFonts w:hint="eastAsia" w:ascii="宋体" w:hAnsi="宋体" w:eastAsia="宋体" w:cs="宋体"/>
          <w:color w:val="auto"/>
          <w:sz w:val="28"/>
          <w:szCs w:val="28"/>
          <w:highlight w:val="none"/>
        </w:rPr>
        <w:t xml:space="preserve">2.合格的投标人</w:t>
      </w:r>
      <w:bookmarkEnd w:id="13"/>
      <w:r/>
      <w:bookmarkEnd w:id="14"/>
      <w:r/>
      <w:bookmarkEnd w:id="15"/>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2.1满足招标公告中供应商的资格要求的规定。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pStyle w:val="835"/>
        <w:ind w:firstLine="560"/>
        <w:jc w:val="both"/>
        <w:spacing w:line="500" w:lineRule="exact"/>
        <w:rPr>
          <w:rFonts w:hint="eastAsia" w:ascii="宋体" w:hAnsi="宋体" w:eastAsia="宋体" w:cs="宋体"/>
          <w:color w:val="auto"/>
          <w:sz w:val="28"/>
          <w:szCs w:val="28"/>
          <w:highlight w:val="none"/>
        </w:rPr>
      </w:pPr>
      <w:r/>
      <w:bookmarkStart w:id="16" w:name="_Toc16938522"/>
      <w:r/>
      <w:bookmarkStart w:id="17" w:name="_Toc513029206"/>
      <w:r/>
      <w:bookmarkStart w:id="18" w:name="_Toc20823278"/>
      <w:r>
        <w:rPr>
          <w:rFonts w:hint="eastAsia" w:ascii="宋体" w:hAnsi="宋体" w:eastAsia="宋体" w:cs="宋体"/>
          <w:color w:val="auto"/>
          <w:sz w:val="28"/>
          <w:szCs w:val="28"/>
          <w:highlight w:val="none"/>
        </w:rPr>
        <w:t xml:space="preserve">3.适用法律</w:t>
      </w:r>
      <w:bookmarkEnd w:id="16"/>
      <w:r/>
      <w:bookmarkEnd w:id="17"/>
      <w:r/>
      <w:bookmarkEnd w:id="18"/>
      <w:r/>
      <w:r/>
    </w:p>
    <w:p>
      <w:pPr>
        <w:ind w:firstLine="49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3.1本次招标及由此产生的合同受中华人民共和国有关的法律法规制约和保护。</w:t>
      </w:r>
      <w:r/>
    </w:p>
    <w:p>
      <w:pPr>
        <w:pStyle w:val="835"/>
        <w:ind w:firstLine="560"/>
        <w:jc w:val="both"/>
        <w:spacing w:line="500" w:lineRule="exact"/>
        <w:rPr>
          <w:rFonts w:hint="eastAsia" w:ascii="宋体" w:hAnsi="宋体" w:eastAsia="宋体" w:cs="宋体"/>
          <w:color w:val="auto"/>
          <w:sz w:val="28"/>
          <w:szCs w:val="28"/>
          <w:highlight w:val="none"/>
        </w:rPr>
      </w:pPr>
      <w:r/>
      <w:bookmarkStart w:id="19" w:name="_Toc462564067"/>
      <w:r/>
      <w:bookmarkStart w:id="20" w:name="_Toc20823279"/>
      <w:r/>
      <w:bookmarkStart w:id="21" w:name="_Toc513029207"/>
      <w:r/>
      <w:bookmarkStart w:id="22" w:name="_Toc16938523"/>
      <w:r>
        <w:rPr>
          <w:rFonts w:hint="eastAsia" w:ascii="宋体" w:hAnsi="宋体" w:eastAsia="宋体" w:cs="宋体"/>
          <w:color w:val="auto"/>
          <w:sz w:val="28"/>
          <w:szCs w:val="28"/>
          <w:highlight w:val="none"/>
        </w:rPr>
        <w:t xml:space="preserve">4.投标费用</w:t>
      </w:r>
      <w:bookmarkEnd w:id="19"/>
      <w:r/>
      <w:bookmarkEnd w:id="20"/>
      <w:r/>
      <w:bookmarkEnd w:id="21"/>
      <w:r/>
      <w:bookmarkEnd w:id="2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投标人应自行承担所有与参加投标有关的费用，无论投标过程中的做法和结果如何，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4.2本次采购人不收取标书工本费。</w:t>
      </w:r>
      <w:r/>
    </w:p>
    <w:p>
      <w:pPr>
        <w:pStyle w:val="835"/>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投标人一旦参加本项目采购活动，即被认为接受了本招标文件的规定和约束。</w:t>
      </w:r>
      <w:r/>
    </w:p>
    <w:p>
      <w:pPr>
        <w:pStyle w:val="835"/>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6.招标文件的解释</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解释。</w:t>
      </w:r>
      <w:r/>
    </w:p>
    <w:p>
      <w:pPr>
        <w:ind w:firstLine="560"/>
        <w:spacing w:line="500" w:lineRule="exact"/>
        <w:rPr>
          <w:rFonts w:hint="eastAsia" w:ascii="宋体" w:hAnsi="宋体" w:eastAsia="宋体" w:cs="宋体"/>
          <w:bCs/>
          <w:color w:val="auto"/>
          <w:sz w:val="28"/>
          <w:szCs w:val="28"/>
          <w:highlight w:val="none"/>
        </w:rPr>
      </w:pPr>
      <w:r/>
      <w:bookmarkStart w:id="23" w:name="_Toc120614215"/>
      <w:r/>
      <w:bookmarkStart w:id="24" w:name="_Toc16938525"/>
      <w:r/>
      <w:bookmarkStart w:id="25" w:name="_Toc513029209"/>
      <w:r/>
      <w:bookmarkStart w:id="26" w:name="_Toc20823281"/>
      <w:r>
        <w:rPr>
          <w:rFonts w:hint="eastAsia" w:ascii="宋体" w:hAnsi="宋体" w:eastAsia="宋体" w:cs="宋体"/>
          <w:bCs/>
          <w:color w:val="auto"/>
          <w:sz w:val="28"/>
          <w:szCs w:val="28"/>
          <w:highlight w:val="none"/>
        </w:rPr>
        <w:t xml:space="preserve">二、招标文件</w:t>
      </w:r>
      <w:bookmarkEnd w:id="23"/>
      <w:r/>
      <w:bookmarkEnd w:id="24"/>
      <w:r/>
      <w:bookmarkEnd w:id="25"/>
      <w:r/>
      <w:bookmarkEnd w:id="26"/>
      <w:r/>
      <w:r/>
    </w:p>
    <w:p>
      <w:pPr>
        <w:pStyle w:val="835"/>
        <w:ind w:firstLine="560"/>
        <w:jc w:val="both"/>
        <w:spacing w:line="500" w:lineRule="exact"/>
        <w:rPr>
          <w:rFonts w:hint="eastAsia" w:ascii="宋体" w:hAnsi="宋体" w:eastAsia="宋体" w:cs="宋体"/>
          <w:color w:val="auto"/>
          <w:sz w:val="28"/>
          <w:szCs w:val="28"/>
          <w:highlight w:val="none"/>
        </w:rPr>
      </w:pPr>
      <w:r/>
      <w:bookmarkStart w:id="27" w:name="_Toc16938526"/>
      <w:r/>
      <w:bookmarkStart w:id="28" w:name="_Toc20823282"/>
      <w:r/>
      <w:bookmarkStart w:id="29" w:name="_Toc513029210"/>
      <w:r>
        <w:rPr>
          <w:rFonts w:hint="eastAsia" w:ascii="宋体" w:hAnsi="宋体" w:eastAsia="宋体" w:cs="宋体"/>
          <w:color w:val="auto"/>
          <w:sz w:val="28"/>
          <w:szCs w:val="28"/>
          <w:highlight w:val="none"/>
        </w:rPr>
        <w:t xml:space="preserve">1.招标文件构成</w:t>
      </w:r>
      <w:bookmarkEnd w:id="27"/>
      <w:r/>
      <w:bookmarkEnd w:id="28"/>
      <w:r/>
      <w:bookmarkEnd w:id="29"/>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招标文件由以下部分组成：</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（1）投标邀请</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（2）投标须知</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（4）开标和评标</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（5）投标文件格式</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（6）附件（如有）</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请仔细检查招标文件是否齐全，如有缺漏请立即与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lang w:val="en-US" w:eastAsia="zh-CN"/>
        </w:rPr>
        <w:t xml:space="preserve">或代理机构</w:t>
      </w:r>
      <w:r>
        <w:rPr>
          <w:rFonts w:hint="eastAsia" w:ascii="宋体" w:hAnsi="宋体" w:eastAsia="宋体" w:cs="宋体"/>
          <w:color w:val="auto"/>
          <w:sz w:val="28"/>
          <w:szCs w:val="28"/>
          <w:highlight w:val="none"/>
        </w:rPr>
        <w:t xml:space="preserve">联系解决。</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5"/>
        <w:ind w:firstLine="560"/>
        <w:jc w:val="both"/>
        <w:spacing w:line="500" w:lineRule="exact"/>
        <w:rPr>
          <w:rFonts w:hint="eastAsia" w:ascii="宋体" w:hAnsi="宋体" w:eastAsia="宋体" w:cs="宋体"/>
          <w:color w:val="auto"/>
          <w:sz w:val="28"/>
          <w:szCs w:val="28"/>
          <w:highlight w:val="none"/>
        </w:rPr>
      </w:pPr>
      <w:r/>
      <w:bookmarkStart w:id="30" w:name="_Toc16938527"/>
      <w:r/>
      <w:bookmarkStart w:id="31" w:name="_Toc513029211"/>
      <w:r/>
      <w:bookmarkStart w:id="32" w:name="_Toc462564070"/>
      <w:r/>
      <w:bookmarkStart w:id="33" w:name="_Toc20823283"/>
      <w:r>
        <w:rPr>
          <w:rFonts w:hint="eastAsia" w:ascii="宋体" w:hAnsi="宋体" w:eastAsia="宋体" w:cs="宋体"/>
          <w:color w:val="auto"/>
          <w:sz w:val="28"/>
          <w:szCs w:val="28"/>
          <w:highlight w:val="none"/>
        </w:rPr>
        <w:t xml:space="preserve">2.招标文件的澄清</w:t>
      </w:r>
      <w:bookmarkEnd w:id="30"/>
      <w:r/>
      <w:bookmarkEnd w:id="31"/>
      <w:r/>
      <w:bookmarkEnd w:id="32"/>
      <w:r/>
      <w:bookmarkEnd w:id="33"/>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pStyle w:val="835"/>
        <w:ind w:firstLine="560"/>
        <w:jc w:val="both"/>
        <w:spacing w:line="500" w:lineRule="exact"/>
        <w:rPr>
          <w:rFonts w:hint="eastAsia" w:ascii="宋体" w:hAnsi="宋体" w:eastAsia="宋体" w:cs="宋体"/>
          <w:color w:val="auto"/>
          <w:sz w:val="28"/>
          <w:szCs w:val="28"/>
          <w:highlight w:val="none"/>
        </w:rPr>
      </w:pPr>
      <w:r/>
      <w:bookmarkStart w:id="34" w:name="_Toc513029212"/>
      <w:r/>
      <w:bookmarkStart w:id="35" w:name="_Toc16938528"/>
      <w:r/>
      <w:bookmarkStart w:id="36" w:name="_Toc20823284"/>
      <w:r/>
      <w:bookmarkStart w:id="37" w:name="_Toc462564071"/>
      <w:r>
        <w:rPr>
          <w:rFonts w:hint="eastAsia" w:ascii="宋体" w:hAnsi="宋体" w:eastAsia="宋体" w:cs="宋体"/>
          <w:color w:val="auto"/>
          <w:sz w:val="28"/>
          <w:szCs w:val="28"/>
          <w:highlight w:val="none"/>
        </w:rPr>
        <w:t xml:space="preserve">3.招标文件的修改</w:t>
      </w:r>
      <w:bookmarkEnd w:id="34"/>
      <w:r/>
      <w:bookmarkEnd w:id="35"/>
      <w:r/>
      <w:bookmarkEnd w:id="36"/>
      <w:r/>
      <w:bookmarkEnd w:id="37"/>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在投标截止时间前，</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可以对招标文件进行修改。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z w:val="28"/>
          <w:szCs w:val="28"/>
          <w:highlight w:val="none"/>
          <w:lang w:val="en-US" w:eastAsia="zh-CN" w:bidi="ar-SA"/>
        </w:rPr>
        <w:t xml:space="preserve">采购人</w:t>
      </w:r>
      <w:r>
        <w:rPr>
          <w:rFonts w:hint="eastAsia" w:ascii="宋体" w:hAnsi="宋体" w:eastAsia="宋体" w:cs="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招标文件的修改将在江苏政府采购网公布，补充文件将作为招标文件的组成部分，并对投标人具有约束力。</w:t>
      </w:r>
      <w:r/>
    </w:p>
    <w:p>
      <w:pPr>
        <w:ind w:firstLine="560"/>
        <w:spacing w:line="500" w:lineRule="exact"/>
        <w:rPr>
          <w:rFonts w:hint="eastAsia" w:ascii="宋体" w:hAnsi="宋体" w:eastAsia="宋体" w:cs="宋体"/>
          <w:bCs/>
          <w:color w:val="auto"/>
          <w:sz w:val="28"/>
          <w:szCs w:val="28"/>
          <w:highlight w:val="none"/>
        </w:rPr>
      </w:pPr>
      <w:r/>
      <w:bookmarkStart w:id="38" w:name="_Toc513029213"/>
      <w:r/>
      <w:bookmarkStart w:id="39" w:name="_Toc462564072"/>
      <w:r/>
      <w:bookmarkStart w:id="40" w:name="_Toc120614216"/>
      <w:r/>
      <w:bookmarkStart w:id="41" w:name="_Toc20823285"/>
      <w:r/>
      <w:bookmarkStart w:id="42" w:name="_Toc16938529"/>
      <w:r>
        <w:rPr>
          <w:rFonts w:hint="eastAsia" w:ascii="宋体" w:hAnsi="宋体" w:eastAsia="宋体" w:cs="宋体"/>
          <w:bCs/>
          <w:color w:val="auto"/>
          <w:sz w:val="28"/>
          <w:szCs w:val="28"/>
          <w:highlight w:val="none"/>
        </w:rPr>
        <w:t xml:space="preserve">三、投标文件的编制</w:t>
      </w:r>
      <w:bookmarkEnd w:id="38"/>
      <w:r/>
      <w:bookmarkEnd w:id="39"/>
      <w:r/>
      <w:bookmarkEnd w:id="40"/>
      <w:r/>
      <w:bookmarkEnd w:id="41"/>
      <w:r/>
      <w:bookmarkEnd w:id="42"/>
      <w:r/>
      <w:r/>
    </w:p>
    <w:p>
      <w:pPr>
        <w:pStyle w:val="835"/>
        <w:ind w:firstLine="560"/>
        <w:jc w:val="both"/>
        <w:spacing w:line="500" w:lineRule="exact"/>
        <w:rPr>
          <w:rFonts w:hint="eastAsia" w:ascii="宋体" w:hAnsi="宋体" w:eastAsia="宋体" w:cs="宋体"/>
          <w:color w:val="auto"/>
          <w:sz w:val="28"/>
          <w:szCs w:val="28"/>
          <w:highlight w:val="none"/>
        </w:rPr>
      </w:pPr>
      <w:r/>
      <w:bookmarkStart w:id="43" w:name="_Toc462564073"/>
      <w:r/>
      <w:bookmarkStart w:id="44" w:name="_Toc20823286"/>
      <w:r/>
      <w:bookmarkStart w:id="45" w:name="_Toc513029214"/>
      <w:r/>
      <w:bookmarkStart w:id="46" w:name="_Toc16938530"/>
      <w:r>
        <w:rPr>
          <w:rFonts w:hint="eastAsia" w:ascii="宋体" w:hAnsi="宋体" w:eastAsia="宋体" w:cs="宋体"/>
          <w:color w:val="auto"/>
          <w:sz w:val="28"/>
          <w:szCs w:val="28"/>
          <w:highlight w:val="none"/>
        </w:rPr>
        <w:t xml:space="preserve">1.投标文件的语言及度量衡单位</w:t>
      </w:r>
      <w:bookmarkEnd w:id="43"/>
      <w:r/>
      <w:bookmarkEnd w:id="44"/>
      <w:r/>
      <w:bookmarkEnd w:id="45"/>
      <w:r/>
      <w:bookmarkEnd w:id="46"/>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投标人提交的投标文件以及投标人与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就有关投标的所有来往通知、函件和文件均应使用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除技术性能另有规定外，投标文件所使用的度量衡单位，均须采用国家法定计量单位。</w:t>
      </w:r>
      <w:r/>
    </w:p>
    <w:p>
      <w:pPr>
        <w:pStyle w:val="835"/>
        <w:ind w:firstLine="560"/>
        <w:jc w:val="both"/>
        <w:spacing w:line="500" w:lineRule="exact"/>
        <w:rPr>
          <w:rFonts w:hint="eastAsia" w:ascii="宋体" w:hAnsi="宋体" w:eastAsia="宋体" w:cs="宋体"/>
          <w:color w:val="auto"/>
          <w:sz w:val="28"/>
          <w:szCs w:val="28"/>
          <w:highlight w:val="none"/>
        </w:rPr>
      </w:pPr>
      <w:r/>
      <w:bookmarkStart w:id="47" w:name="_Toc20823287"/>
      <w:r/>
      <w:bookmarkStart w:id="48" w:name="_Toc16938531"/>
      <w:r/>
      <w:bookmarkStart w:id="49" w:name="_Toc462564074"/>
      <w:r/>
      <w:bookmarkStart w:id="50" w:name="_Toc513029215"/>
      <w:r>
        <w:rPr>
          <w:rFonts w:hint="eastAsia" w:ascii="宋体" w:hAnsi="宋体" w:eastAsia="宋体" w:cs="宋体"/>
          <w:color w:val="auto"/>
          <w:sz w:val="28"/>
          <w:szCs w:val="28"/>
          <w:highlight w:val="none"/>
        </w:rPr>
        <w:t xml:space="preserve">2.投标文件构成</w:t>
      </w:r>
      <w:bookmarkEnd w:id="47"/>
      <w:r/>
      <w:bookmarkEnd w:id="48"/>
      <w:r/>
      <w:bookmarkEnd w:id="49"/>
      <w:r/>
      <w:bookmarkEnd w:id="50"/>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投标人编写的投标文件应包括资格证明文件、符合性证明文件、开标一览表、分项报价明细表、其他证明文件等部分。投标人按“第五部分 投标文件格式” 及“苏采云系统”中电子投标（响应）文件格式目录要求的内容编写投标文件。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2.2如标书制作工具中格式和内容与“江苏政府采购网”发布的招标文件不一致，请以“江苏政府采购网”发布的招标文件为准。</w:t>
      </w:r>
      <w:bookmarkStart w:id="51" w:name="_Toc513029219"/>
      <w:r/>
      <w:bookmarkStart w:id="52" w:name="_Toc49090509"/>
      <w:r/>
      <w:bookmarkStart w:id="53" w:name="_Toc14577357"/>
      <w:r/>
      <w:bookmarkStart w:id="54" w:name="_Toc513029216"/>
      <w:r/>
      <w:bookmarkStart w:id="55" w:name="_Toc14577354"/>
      <w:r/>
      <w:bookmarkStart w:id="56" w:name="_Toc49090507"/>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3.证明投标人及投标标的符合招标文件规定的文件</w:t>
      </w:r>
      <w:bookmarkEnd w:id="51"/>
      <w:r/>
      <w:bookmarkEnd w:id="52"/>
      <w:r/>
      <w:bookmarkEnd w:id="53"/>
      <w:r/>
      <w:bookmarkEnd w:id="54"/>
      <w:r/>
      <w:bookmarkEnd w:id="55"/>
      <w:r/>
      <w:bookmarkEnd w:id="56"/>
      <w:r/>
      <w:r/>
    </w:p>
    <w:p>
      <w:pPr>
        <w:ind w:firstLine="560"/>
        <w:spacing w:line="500" w:lineRule="exact"/>
        <w:rPr>
          <w:rFonts w:hint="eastAsia" w:ascii="宋体" w:hAnsi="宋体" w:eastAsia="宋体" w:cs="宋体"/>
          <w:color w:val="auto"/>
          <w:sz w:val="28"/>
          <w:szCs w:val="28"/>
          <w:highlight w:val="none"/>
        </w:rPr>
      </w:pPr>
      <w:r/>
      <w:bookmarkStart w:id="57" w:name="_Toc49090508"/>
      <w:r/>
      <w:bookmarkStart w:id="58" w:name="_Toc14577355"/>
      <w:r>
        <w:rPr>
          <w:rFonts w:hint="eastAsia" w:ascii="宋体" w:hAnsi="宋体" w:eastAsia="宋体" w:cs="宋体"/>
          <w:color w:val="auto"/>
          <w:sz w:val="28"/>
          <w:szCs w:val="28"/>
          <w:highlight w:val="none"/>
        </w:rPr>
        <w:t xml:space="preserve">3.1投标人应按照法律、法规、规章和规范性文件以及招标文件要求提交证明文件，证明其及投标标的符合招标文件规定。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3.2招标文件对证明文件无明确形式要求的，证明文件可以以文字资料、图纸和数据等形式提交。</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bookmarkEnd w:id="57"/>
      <w:r/>
      <w:bookmarkEnd w:id="58"/>
      <w:r>
        <w:rPr>
          <w:rFonts w:hint="eastAsia" w:ascii="宋体" w:hAnsi="宋体" w:eastAsia="宋体" w:cs="宋体"/>
          <w:color w:val="auto"/>
          <w:sz w:val="28"/>
          <w:szCs w:val="28"/>
          <w:highlight w:val="none"/>
        </w:rPr>
        <w:t xml:space="preserve">分项报价明细表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4.1投</w:t>
      </w:r>
      <w:bookmarkStart w:id="59" w:name="_Hlt26954840"/>
      <w:r/>
      <w:bookmarkEnd w:id="59"/>
      <w:r>
        <w:rPr>
          <w:rFonts w:hint="eastAsia" w:ascii="宋体" w:hAnsi="宋体" w:eastAsia="宋体" w:cs="宋体"/>
          <w:color w:val="auto"/>
          <w:sz w:val="28"/>
          <w:szCs w:val="28"/>
          <w:highlight w:val="none"/>
        </w:rPr>
        <w:t xml:space="preserve">标人应按照招标文件规定格式填报</w:t>
      </w:r>
      <w:bookmarkStart w:id="60" w:name="_Hlt26670399"/>
      <w:r/>
      <w:bookmarkEnd w:id="60"/>
      <w:r>
        <w:rPr>
          <w:rFonts w:hint="eastAsia" w:ascii="宋体" w:hAnsi="宋体" w:eastAsia="宋体" w:cs="宋体"/>
          <w:color w:val="auto"/>
          <w:sz w:val="28"/>
          <w:szCs w:val="28"/>
          <w:highlight w:val="none"/>
        </w:rPr>
        <w:t xml:space="preserve">分项报价明细表。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4.2投标货币。投标文件中的单价和总价无特殊规定的采用人民币报价，以元为单位标注。招标文件中另有规定的按规定执行。</w:t>
      </w:r>
      <w:r/>
    </w:p>
    <w:p>
      <w:pPr>
        <w:ind w:firstLine="560"/>
        <w:spacing w:line="500" w:lineRule="exact"/>
        <w:rPr>
          <w:rFonts w:hint="eastAsia" w:ascii="宋体" w:hAnsi="宋体" w:eastAsia="宋体" w:cs="宋体"/>
          <w:color w:val="auto"/>
          <w:sz w:val="28"/>
          <w:szCs w:val="28"/>
          <w:highlight w:val="none"/>
        </w:rPr>
      </w:pPr>
      <w:r/>
      <w:bookmarkStart w:id="61" w:name="_Hlt26668983"/>
      <w:r/>
      <w:bookmarkEnd w:id="61"/>
      <w:r/>
      <w:bookmarkStart w:id="62" w:name="_Hlt26670403"/>
      <w:r/>
      <w:bookmarkEnd w:id="62"/>
      <w:r/>
      <w:bookmarkStart w:id="63" w:name="_Hlt26954848"/>
      <w:r/>
      <w:bookmarkEnd w:id="63"/>
      <w:r/>
      <w:bookmarkStart w:id="64" w:name="_Hlt26670486"/>
      <w:r/>
      <w:bookmarkEnd w:id="64"/>
      <w:r/>
      <w:bookmarkStart w:id="65" w:name="_Hlt26954842"/>
      <w:r/>
      <w:bookmarkEnd w:id="65"/>
      <w:r/>
      <w:bookmarkStart w:id="66" w:name="_Hlt26670482"/>
      <w:r/>
      <w:bookmarkEnd w:id="66"/>
      <w:r/>
      <w:bookmarkStart w:id="67" w:name="_Hlt26954846"/>
      <w:r/>
      <w:bookmarkEnd w:id="67"/>
      <w:r/>
      <w:bookmarkStart w:id="68" w:name="_Hlt26954731"/>
      <w:r/>
      <w:bookmarkEnd w:id="68"/>
      <w:r/>
      <w:bookmarkStart w:id="69" w:name="_Hlt26954844"/>
      <w:r/>
      <w:bookmarkEnd w:id="69"/>
      <w:r/>
      <w:bookmarkStart w:id="70" w:name="_Hlt26670425"/>
      <w:r/>
      <w:bookmarkEnd w:id="70"/>
      <w:r>
        <w:rPr>
          <w:rFonts w:hint="eastAsia" w:ascii="宋体" w:hAnsi="宋体" w:eastAsia="宋体" w:cs="宋体"/>
          <w:color w:val="auto"/>
          <w:sz w:val="28"/>
          <w:szCs w:val="28"/>
          <w:highlight w:val="none"/>
        </w:rPr>
        <w:t xml:space="preserve">5.技术部分正负偏离表、商务部分正负偏离表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5.1投标人需按招标文件中的技术要求与商务要求作出响应或偏离，并说明原因。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5.2投标人可在投标文件中提供认为需要的其他技术文件或说明。</w:t>
      </w:r>
      <w:r/>
    </w:p>
    <w:p>
      <w:pPr>
        <w:ind w:firstLine="560"/>
        <w:spacing w:line="500" w:lineRule="exact"/>
        <w:rPr>
          <w:rFonts w:hint="eastAsia" w:ascii="宋体" w:hAnsi="宋体" w:eastAsia="宋体" w:cs="宋体"/>
          <w:color w:val="auto"/>
          <w:sz w:val="28"/>
          <w:szCs w:val="28"/>
          <w:highlight w:val="none"/>
        </w:rPr>
      </w:pPr>
      <w:r/>
      <w:bookmarkStart w:id="71" w:name="_Toc49090510"/>
      <w:r/>
      <w:bookmarkStart w:id="72" w:name="_Toc14577359"/>
      <w:r>
        <w:rPr>
          <w:rFonts w:hint="eastAsia" w:ascii="宋体" w:hAnsi="宋体" w:eastAsia="宋体" w:cs="宋体"/>
          <w:color w:val="auto"/>
          <w:sz w:val="28"/>
          <w:szCs w:val="28"/>
          <w:highlight w:val="none"/>
        </w:rPr>
        <w:t xml:space="preserve">6.投标函和开标一览表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6.1投标人应按照招标文件中提供的格式完整、正确填写投标函、开标一览表。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6.2对于采用货币报价的项目，开标一览表中的投标总报价应与分项报价明细表中的投标总报价一致，如不一致，不作为无效投标处理，但评标时按开标一览表中价格为准。</w:t>
      </w:r>
      <w:bookmarkEnd w:id="71"/>
      <w:r/>
      <w:bookmarkEnd w:id="72"/>
      <w:r/>
      <w:r/>
    </w:p>
    <w:p>
      <w:pPr>
        <w:pStyle w:val="835"/>
        <w:ind w:firstLine="560"/>
        <w:jc w:val="both"/>
        <w:spacing w:line="500" w:lineRule="exact"/>
        <w:rPr>
          <w:rFonts w:hint="eastAsia" w:ascii="宋体" w:hAnsi="宋体" w:eastAsia="宋体" w:cs="宋体"/>
          <w:color w:val="auto"/>
          <w:sz w:val="28"/>
          <w:szCs w:val="28"/>
          <w:highlight w:val="none"/>
        </w:rPr>
      </w:pPr>
      <w:r/>
      <w:bookmarkStart w:id="73" w:name="_Hlt26670360"/>
      <w:r/>
      <w:bookmarkEnd w:id="73"/>
      <w:r/>
      <w:bookmarkStart w:id="74" w:name="_Hlt26954838"/>
      <w:r/>
      <w:bookmarkEnd w:id="74"/>
      <w:r/>
      <w:bookmarkStart w:id="75" w:name="_Hlt26668975"/>
      <w:r/>
      <w:bookmarkEnd w:id="75"/>
      <w:r/>
      <w:bookmarkStart w:id="76" w:name="_Toc14577360"/>
      <w:r/>
      <w:bookmarkStart w:id="77" w:name="_Toc49090511"/>
      <w:r>
        <w:rPr>
          <w:rFonts w:hint="eastAsia" w:ascii="宋体" w:hAnsi="宋体" w:eastAsia="宋体" w:cs="宋体"/>
          <w:color w:val="auto"/>
          <w:sz w:val="28"/>
          <w:szCs w:val="28"/>
          <w:highlight w:val="none"/>
        </w:rPr>
        <w:t xml:space="preserve">7.投标有效期</w:t>
      </w:r>
      <w:bookmarkEnd w:id="76"/>
      <w:r/>
      <w:bookmarkEnd w:id="77"/>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7.1投标有效期为</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规定的开标之日后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。投标有效期比规定短的将被视为非响应性投标而予以拒绝。</w:t>
      </w:r>
      <w:r/>
    </w:p>
    <w:p>
      <w:pPr>
        <w:ind w:firstLine="560"/>
        <w:spacing w:line="5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8.投标有效期的延长</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8.1在特殊情况下，</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auto"/>
          <w:sz w:val="28"/>
          <w:szCs w:val="28"/>
          <w:highlight w:val="none"/>
        </w:rPr>
        <w:t xml:space="preserve">受投标有效期约束的所有权利与义务均延长至新的有效期</w:t>
      </w:r>
      <w:r>
        <w:rPr>
          <w:rFonts w:hint="eastAsia" w:ascii="宋体" w:hAnsi="宋体" w:eastAsia="宋体" w:cs="宋体"/>
          <w:bCs/>
          <w:color w:val="auto"/>
          <w:sz w:val="28"/>
          <w:szCs w:val="28"/>
          <w:highlight w:val="none"/>
        </w:rPr>
        <w:t xml:space="preserve">。</w:t>
      </w:r>
      <w:r/>
    </w:p>
    <w:p>
      <w:pPr>
        <w:ind w:firstLine="560"/>
        <w:spacing w:line="500" w:lineRule="exact"/>
        <w:rPr>
          <w:rFonts w:hint="eastAsia" w:ascii="宋体" w:hAnsi="宋体" w:eastAsia="宋体" w:cs="宋体"/>
          <w:bCs/>
          <w:color w:val="auto"/>
          <w:sz w:val="28"/>
          <w:szCs w:val="28"/>
          <w:highlight w:val="none"/>
        </w:rPr>
      </w:pPr>
      <w:r/>
      <w:bookmarkStart w:id="78" w:name="_Hlt26954852"/>
      <w:r/>
      <w:bookmarkEnd w:id="78"/>
      <w:r/>
      <w:bookmarkStart w:id="79" w:name="_Hlt26954739"/>
      <w:r/>
      <w:bookmarkEnd w:id="79"/>
      <w:r/>
      <w:bookmarkStart w:id="80" w:name="_Toc20823296"/>
      <w:r/>
      <w:bookmarkStart w:id="81" w:name="_Toc120614217"/>
      <w:r/>
      <w:bookmarkStart w:id="82" w:name="_Toc513029224"/>
      <w:r/>
      <w:bookmarkStart w:id="83" w:name="_Toc16938540"/>
      <w:r>
        <w:rPr>
          <w:rFonts w:hint="eastAsia" w:ascii="宋体" w:hAnsi="宋体" w:eastAsia="宋体" w:cs="宋体"/>
          <w:bCs/>
          <w:color w:val="auto"/>
          <w:sz w:val="28"/>
          <w:szCs w:val="28"/>
          <w:highlight w:val="none"/>
        </w:rPr>
        <w:t xml:space="preserve">四、投标文件的递交</w:t>
      </w:r>
      <w:bookmarkEnd w:id="80"/>
      <w:r/>
      <w:bookmarkEnd w:id="81"/>
      <w:r/>
      <w:bookmarkEnd w:id="82"/>
      <w:r/>
      <w:bookmarkEnd w:id="83"/>
      <w:r/>
      <w:r/>
    </w:p>
    <w:p>
      <w:pPr>
        <w:pStyle w:val="835"/>
        <w:ind w:firstLine="560"/>
        <w:jc w:val="both"/>
        <w:spacing w:line="500" w:lineRule="exact"/>
        <w:rPr>
          <w:rFonts w:hint="eastAsia" w:ascii="宋体" w:hAnsi="宋体" w:eastAsia="宋体" w:cs="宋体"/>
          <w:color w:val="auto"/>
          <w:sz w:val="28"/>
          <w:szCs w:val="28"/>
          <w:highlight w:val="none"/>
        </w:rPr>
      </w:pPr>
      <w:r/>
      <w:bookmarkStart w:id="84" w:name="_Toc16938541"/>
      <w:r/>
      <w:bookmarkStart w:id="85" w:name="_Toc462564084"/>
      <w:r/>
      <w:bookmarkStart w:id="86" w:name="_Toc513029225"/>
      <w:r/>
      <w:bookmarkStart w:id="87" w:name="_Toc20823297"/>
      <w:r>
        <w:rPr>
          <w:rFonts w:hint="eastAsia" w:ascii="宋体" w:hAnsi="宋体" w:eastAsia="宋体" w:cs="宋体"/>
          <w:color w:val="auto"/>
          <w:sz w:val="28"/>
          <w:szCs w:val="28"/>
          <w:highlight w:val="none"/>
        </w:rPr>
        <w:t xml:space="preserve">1.投标文件</w:t>
      </w:r>
      <w:bookmarkEnd w:id="84"/>
      <w:r/>
      <w:bookmarkEnd w:id="85"/>
      <w:r/>
      <w:bookmarkEnd w:id="86"/>
      <w:r/>
      <w:bookmarkEnd w:id="87"/>
      <w:r>
        <w:rPr>
          <w:rFonts w:hint="eastAsia" w:ascii="宋体" w:hAnsi="宋体" w:eastAsia="宋体" w:cs="宋体"/>
          <w:color w:val="auto"/>
          <w:sz w:val="28"/>
          <w:szCs w:val="28"/>
          <w:highlight w:val="none"/>
        </w:rPr>
        <w:t xml:space="preserve">的递交</w:t>
      </w:r>
      <w:r/>
    </w:p>
    <w:p>
      <w:pPr>
        <w:ind w:firstLine="556"/>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88" w:name="_Toc513029226"/>
      <w:r/>
      <w:bookmarkStart w:id="89" w:name="_Toc20823298"/>
      <w:r/>
      <w:bookmarkStart w:id="90" w:name="_Toc16938542"/>
      <w:r>
        <w:rPr>
          <w:rFonts w:hint="eastAsia" w:ascii="宋体" w:hAnsi="宋体" w:eastAsia="宋体" w:cs="宋体"/>
          <w:bCs/>
          <w:color w:val="auto"/>
          <w:sz w:val="28"/>
          <w:szCs w:val="28"/>
          <w:highlight w:val="none"/>
        </w:rPr>
        <w:t xml:space="preserve">投标人应当按照江苏政府采购网—资料下载中《江苏省政府采购管理交易系统（苏采云）供应商操作指南》规定，在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截止时间前按要求制作并上传电子响应文件。</w:t>
      </w:r>
      <w:r/>
    </w:p>
    <w:p>
      <w:pPr>
        <w:pStyle w:val="835"/>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2.投标截止日期</w:t>
      </w:r>
      <w:bookmarkEnd w:id="88"/>
      <w:r/>
      <w:bookmarkEnd w:id="89"/>
      <w:r/>
      <w:bookmarkEnd w:id="90"/>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2.1投标人上传电子投标文件的时间不得迟于招标公告中规定的投标截止时间。</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835"/>
        <w:ind w:firstLine="560"/>
        <w:jc w:val="both"/>
        <w:spacing w:line="500" w:lineRule="exact"/>
        <w:rPr>
          <w:rFonts w:hint="eastAsia" w:ascii="宋体" w:hAnsi="宋体" w:eastAsia="宋体" w:cs="宋体"/>
          <w:color w:val="auto"/>
          <w:sz w:val="28"/>
          <w:szCs w:val="28"/>
          <w:highlight w:val="none"/>
        </w:rPr>
      </w:pPr>
      <w:r/>
      <w:bookmarkStart w:id="91" w:name="_Toc513029227"/>
      <w:r/>
      <w:bookmarkStart w:id="92" w:name="_Toc16938543"/>
      <w:r/>
      <w:bookmarkStart w:id="93" w:name="_Toc20823299"/>
      <w:r>
        <w:rPr>
          <w:rFonts w:hint="eastAsia" w:ascii="宋体" w:hAnsi="宋体" w:eastAsia="宋体" w:cs="宋体"/>
          <w:color w:val="auto"/>
          <w:sz w:val="28"/>
          <w:szCs w:val="28"/>
          <w:highlight w:val="none"/>
        </w:rPr>
        <w:t xml:space="preserve">3.投标文件</w:t>
      </w:r>
      <w:bookmarkEnd w:id="91"/>
      <w:r/>
      <w:bookmarkEnd w:id="92"/>
      <w:r/>
      <w:bookmarkEnd w:id="93"/>
      <w:r>
        <w:rPr>
          <w:rFonts w:hint="eastAsia" w:ascii="宋体" w:hAnsi="宋体" w:eastAsia="宋体" w:cs="宋体"/>
          <w:color w:val="auto"/>
          <w:sz w:val="28"/>
          <w:szCs w:val="28"/>
          <w:highlight w:val="none"/>
        </w:rPr>
        <w:t xml:space="preserve">的拒收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拒绝接收在其规定的投标截止时间后上传的任何投标文件。</w:t>
      </w:r>
      <w:r/>
    </w:p>
    <w:p>
      <w:pPr>
        <w:pStyle w:val="835"/>
        <w:ind w:firstLine="560"/>
        <w:jc w:val="both"/>
        <w:spacing w:line="500" w:lineRule="exact"/>
        <w:rPr>
          <w:rFonts w:hint="eastAsia" w:ascii="宋体" w:hAnsi="宋体" w:eastAsia="宋体" w:cs="宋体"/>
          <w:color w:val="auto"/>
          <w:sz w:val="28"/>
          <w:szCs w:val="28"/>
          <w:highlight w:val="none"/>
        </w:rPr>
      </w:pPr>
      <w:r/>
      <w:bookmarkStart w:id="94" w:name="_Toc16938544"/>
      <w:r/>
      <w:bookmarkStart w:id="95" w:name="_Toc20823300"/>
      <w:r/>
      <w:bookmarkStart w:id="96" w:name="_Toc513029228"/>
      <w:r>
        <w:rPr>
          <w:rFonts w:hint="eastAsia" w:ascii="宋体" w:hAnsi="宋体" w:eastAsia="宋体" w:cs="宋体"/>
          <w:color w:val="auto"/>
          <w:sz w:val="28"/>
          <w:szCs w:val="28"/>
          <w:highlight w:val="none"/>
        </w:rPr>
        <w:t xml:space="preserve">4.投标文件的撤回和修改</w:t>
      </w:r>
      <w:bookmarkEnd w:id="94"/>
      <w:r/>
      <w:bookmarkEnd w:id="95"/>
      <w:r/>
      <w:bookmarkEnd w:id="96"/>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4.1投标文件的撤回</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4.1.1电子投标文件的撤回</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投标人可在投标截止时间前，撤回其电子投标文件，具体操作方法见《江苏省政府采购管理交易系统（苏采云）供应商操作指南》。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4.1.2投标人撤回电子投标文件，则认为其不再参与本项目投标活动。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4.2投标文件的修改</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投标人可在投标截止时间前，对其电子投标文件进行修改，具体操作方法见</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在投标截止时间之后，投标人不得对其电子投标文件作任何修改。</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在投标截止时间至招标文件中规定的投标有效期满之间的这段时间内，投标人不得撤回其投标。</w:t>
      </w:r>
      <w:r/>
    </w:p>
    <w:p>
      <w:pPr>
        <w:ind w:firstLine="560"/>
        <w:spacing w:line="500" w:lineRule="exact"/>
        <w:rPr>
          <w:rFonts w:hint="eastAsia" w:ascii="宋体" w:hAnsi="宋体" w:eastAsia="宋体" w:cs="宋体"/>
          <w:bCs/>
          <w:color w:val="auto"/>
          <w:sz w:val="28"/>
          <w:szCs w:val="28"/>
          <w:highlight w:val="none"/>
        </w:rPr>
      </w:pPr>
      <w:r/>
      <w:bookmarkStart w:id="97" w:name="_Toc20823301"/>
      <w:r/>
      <w:bookmarkStart w:id="98" w:name="_Toc120614218"/>
      <w:r/>
      <w:bookmarkStart w:id="99" w:name="_Toc16938545"/>
      <w:r/>
      <w:bookmarkStart w:id="100" w:name="_Toc513029229"/>
      <w:r>
        <w:rPr>
          <w:rFonts w:hint="eastAsia" w:ascii="宋体" w:hAnsi="宋体" w:eastAsia="宋体" w:cs="宋体"/>
          <w:bCs/>
          <w:color w:val="auto"/>
          <w:sz w:val="28"/>
          <w:szCs w:val="28"/>
          <w:highlight w:val="none"/>
        </w:rPr>
        <w:t xml:space="preserve">五、开标与评标</w:t>
      </w:r>
      <w:bookmarkEnd w:id="97"/>
      <w:r/>
      <w:bookmarkEnd w:id="98"/>
      <w:r/>
      <w:bookmarkEnd w:id="99"/>
      <w:r/>
      <w:bookmarkEnd w:id="100"/>
      <w:r/>
      <w:r/>
    </w:p>
    <w:p>
      <w:pPr>
        <w:pStyle w:val="835"/>
        <w:ind w:firstLine="560"/>
        <w:jc w:val="both"/>
        <w:spacing w:line="500" w:lineRule="exact"/>
        <w:rPr>
          <w:rFonts w:hint="eastAsia" w:ascii="宋体" w:hAnsi="宋体" w:eastAsia="宋体" w:cs="宋体"/>
          <w:color w:val="auto"/>
          <w:sz w:val="28"/>
          <w:szCs w:val="28"/>
          <w:highlight w:val="none"/>
        </w:rPr>
      </w:pPr>
      <w:r/>
      <w:bookmarkStart w:id="101" w:name="_Toc20823302"/>
      <w:r/>
      <w:bookmarkStart w:id="102" w:name="_Toc16938546"/>
      <w:r/>
      <w:bookmarkStart w:id="103" w:name="_Toc513029230"/>
      <w:r>
        <w:rPr>
          <w:rFonts w:hint="eastAsia" w:ascii="宋体" w:hAnsi="宋体" w:eastAsia="宋体" w:cs="宋体"/>
          <w:color w:val="auto"/>
          <w:sz w:val="28"/>
          <w:szCs w:val="28"/>
          <w:highlight w:val="none"/>
        </w:rPr>
        <w:t xml:space="preserve">1开标</w:t>
      </w:r>
      <w:bookmarkEnd w:id="101"/>
      <w:r/>
      <w:bookmarkEnd w:id="102"/>
      <w:r/>
      <w:bookmarkEnd w:id="103"/>
      <w:r/>
      <w:r/>
    </w:p>
    <w:p>
      <w:pPr>
        <w:ind w:firstLine="556"/>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将在招标公告中规定的时间和地点组织公开开标。</w:t>
      </w:r>
      <w:r/>
    </w:p>
    <w:p>
      <w:pPr>
        <w:ind w:firstLine="556"/>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1.2开标仪</w:t>
      </w:r>
      <w:r>
        <w:rPr>
          <w:rFonts w:hint="eastAsia" w:ascii="宋体" w:hAnsi="宋体" w:eastAsia="宋体" w:cs="宋体"/>
          <w:color w:val="auto"/>
          <w:sz w:val="28"/>
          <w:szCs w:val="28"/>
          <w:highlight w:val="none"/>
        </w:rPr>
        <w:t xml:space="preserve">式由</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组织，在“苏采云”系统中进行开标，并公布各投标人的报价。</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1.3投标人在开标过程中涉及的投标文件解密、开标结果确认等工作，按照《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Style w:val="835"/>
        <w:ind w:firstLine="560"/>
        <w:jc w:val="both"/>
        <w:spacing w:line="500" w:lineRule="exact"/>
        <w:rPr>
          <w:rFonts w:hint="eastAsia" w:ascii="宋体" w:hAnsi="宋体" w:eastAsia="宋体" w:cs="宋体"/>
          <w:color w:val="auto"/>
          <w:sz w:val="28"/>
          <w:szCs w:val="28"/>
          <w:highlight w:val="none"/>
        </w:rPr>
      </w:pPr>
      <w:r/>
      <w:bookmarkStart w:id="104" w:name="_Toc16938547"/>
      <w:r/>
      <w:bookmarkStart w:id="105" w:name="_Toc513029231"/>
      <w:r/>
      <w:bookmarkStart w:id="106" w:name="_Toc20823303"/>
      <w:r>
        <w:rPr>
          <w:rFonts w:hint="eastAsia" w:ascii="宋体" w:hAnsi="宋体" w:eastAsia="宋体" w:cs="宋体"/>
          <w:color w:val="auto"/>
          <w:sz w:val="28"/>
          <w:szCs w:val="28"/>
          <w:highlight w:val="none"/>
        </w:rPr>
        <w:t xml:space="preserve">2评标委员会</w:t>
      </w:r>
      <w:r/>
    </w:p>
    <w:p>
      <w:pPr>
        <w:ind w:firstLine="56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2.1开标后，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将组织评标委员会（以下简称评委会）进行</w:t>
      </w:r>
      <w:r>
        <w:rPr>
          <w:rFonts w:hint="eastAsia" w:ascii="宋体" w:hAnsi="宋体" w:eastAsia="宋体" w:cs="宋体"/>
          <w:color w:val="auto"/>
          <w:sz w:val="28"/>
          <w:szCs w:val="28"/>
          <w:highlight w:val="none"/>
        </w:rPr>
        <w:t xml:space="preserve">评标。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2.2评委会由采购人代表和有关技术、经济等方面的专家组成，且人员构成符合政府采购有关规定。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2.3评委会独立工作，负责评审所有投标文件并确定中标候选人。</w:t>
      </w:r>
      <w:r/>
    </w:p>
    <w:p>
      <w:pPr>
        <w:pStyle w:val="835"/>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3.评标过程的保密与公正</w:t>
      </w:r>
      <w:bookmarkEnd w:id="104"/>
      <w:r/>
      <w:bookmarkEnd w:id="105"/>
      <w:r/>
      <w:bookmarkEnd w:id="106"/>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3.1</w:t>
      </w:r>
      <w:r>
        <w:rPr>
          <w:rFonts w:hint="eastAsia" w:ascii="宋体" w:hAnsi="宋体" w:eastAsia="宋体" w:cs="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均不得向投标人或与评标无关的其他人员透露。</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3.3在评标期间，</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将设专门人员与投标人联系。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和评标委员会不向未中标的投标人解释未中标原因，也不公布评标过程中的相关细节。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3.5采用综合评分法的项目，未中标的投标人可于中标结果公告期限届满之日起通过“苏采云”系统查看自己的评审得分及排序情况。</w:t>
      </w:r>
      <w:r/>
    </w:p>
    <w:p>
      <w:pPr>
        <w:pStyle w:val="835"/>
        <w:ind w:firstLine="560"/>
        <w:jc w:val="both"/>
        <w:spacing w:line="500" w:lineRule="exact"/>
        <w:rPr>
          <w:rFonts w:hint="eastAsia" w:ascii="宋体" w:hAnsi="宋体" w:eastAsia="宋体" w:cs="宋体"/>
          <w:color w:val="auto"/>
          <w:sz w:val="28"/>
          <w:szCs w:val="28"/>
          <w:highlight w:val="none"/>
        </w:rPr>
      </w:pPr>
      <w:r/>
      <w:bookmarkStart w:id="107" w:name="_Toc513029232"/>
      <w:r/>
      <w:bookmarkStart w:id="108" w:name="_Toc20823304"/>
      <w:r/>
      <w:bookmarkStart w:id="109" w:name="_Toc16938548"/>
      <w:r>
        <w:rPr>
          <w:rFonts w:hint="eastAsia" w:ascii="宋体" w:hAnsi="宋体" w:eastAsia="宋体" w:cs="宋体"/>
          <w:color w:val="auto"/>
          <w:sz w:val="28"/>
          <w:szCs w:val="28"/>
          <w:highlight w:val="none"/>
        </w:rPr>
        <w:t xml:space="preserve">4.投标的澄清</w:t>
      </w:r>
      <w:bookmarkEnd w:id="107"/>
      <w:r/>
      <w:bookmarkEnd w:id="108"/>
      <w:r/>
      <w:bookmarkEnd w:id="109"/>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4.3接到评委会澄清要求的投标人如未按规定作出澄清，其风险由投标人自行承担。</w:t>
      </w:r>
      <w:r/>
    </w:p>
    <w:p>
      <w:pPr>
        <w:pStyle w:val="835"/>
        <w:ind w:firstLine="560"/>
        <w:jc w:val="both"/>
        <w:spacing w:line="500" w:lineRule="exact"/>
        <w:rPr>
          <w:rFonts w:hint="eastAsia" w:ascii="宋体" w:hAnsi="宋体" w:eastAsia="宋体" w:cs="宋体"/>
          <w:color w:val="auto"/>
          <w:sz w:val="28"/>
          <w:szCs w:val="28"/>
          <w:highlight w:val="none"/>
        </w:rPr>
      </w:pPr>
      <w:r/>
      <w:bookmarkStart w:id="110" w:name="_Toc20823305"/>
      <w:r/>
      <w:bookmarkStart w:id="111" w:name="_Toc513029233"/>
      <w:r/>
      <w:bookmarkStart w:id="112" w:name="_Toc16938549"/>
      <w:r>
        <w:rPr>
          <w:rFonts w:hint="eastAsia" w:ascii="宋体" w:hAnsi="宋体" w:eastAsia="宋体" w:cs="宋体"/>
          <w:color w:val="auto"/>
          <w:sz w:val="28"/>
          <w:szCs w:val="28"/>
          <w:highlight w:val="none"/>
        </w:rPr>
        <w:t xml:space="preserve">5对投标文件的初审</w:t>
      </w:r>
      <w:bookmarkEnd w:id="110"/>
      <w:r/>
      <w:bookmarkEnd w:id="111"/>
      <w:r/>
      <w:bookmarkEnd w:id="112"/>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5.1</w:t>
      </w:r>
      <w:r>
        <w:rPr>
          <w:rFonts w:hint="eastAsia" w:ascii="宋体" w:hAnsi="宋体" w:eastAsia="宋体" w:cs="宋体"/>
          <w:bCs/>
          <w:color w:val="auto"/>
          <w:sz w:val="28"/>
          <w:szCs w:val="28"/>
          <w:highlight w:val="none"/>
        </w:rPr>
        <w:t xml:space="preserve">投标文件初审分为资格审查和符合性审查。</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招标文件的规定，由评委会从投标文件的有效性、完整性和对招标文件的响应程度（包括技术部分、商务部分和其他投标材料的响应）进行审查，以确定是否对招标文件的实质性要求作出响应。</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5.1.3未通过资格审查或符合性审查的投标人，</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将告知未通过资格审查或符合性审查的原因，评审结束后，</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将不再告知未通过资格审查或符合性审查的原因。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5.3</w:t>
      </w:r>
      <w:r>
        <w:rPr>
          <w:rFonts w:hint="eastAsia" w:ascii="宋体" w:hAnsi="宋体" w:eastAsia="宋体" w:cs="宋体"/>
          <w:bCs/>
          <w:color w:val="auto"/>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5.5</w:t>
      </w:r>
      <w:r>
        <w:rPr>
          <w:rFonts w:hint="eastAsia" w:ascii="宋体" w:hAnsi="宋体" w:eastAsia="宋体" w:cs="宋体"/>
          <w:bCs/>
          <w:color w:val="auto"/>
          <w:sz w:val="28"/>
          <w:szCs w:val="28"/>
          <w:highlight w:val="none"/>
        </w:rPr>
        <w:t xml:space="preserve">评委会将按上述修正错误的方法调整投标文件中的投标报价，并通过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系统告知投标人，调整后的价格应对投标人具有约束力。如果投标人不接受修正后的价格，则其投标将被拒绝。</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5.6</w:t>
      </w:r>
      <w:r>
        <w:rPr>
          <w:rFonts w:hint="eastAsia" w:ascii="宋体" w:hAnsi="宋体" w:eastAsia="宋体" w:cs="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宋体" w:hAnsi="宋体" w:eastAsia="宋体" w:cs="宋体"/>
          <w:color w:val="auto"/>
          <w:sz w:val="28"/>
          <w:szCs w:val="28"/>
          <w:highlight w:val="none"/>
        </w:rPr>
      </w:pPr>
      <w:r/>
      <w:bookmarkStart w:id="113" w:name="_Toc513029234"/>
      <w:r/>
      <w:bookmarkStart w:id="114" w:name="_Toc20823306"/>
      <w:r/>
      <w:bookmarkStart w:id="115" w:name="_Toc16938550"/>
      <w:r>
        <w:rPr>
          <w:rFonts w:hint="eastAsia" w:ascii="宋体" w:hAnsi="宋体" w:eastAsia="宋体" w:cs="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5.8投标人在开、评标全过程中应保持通信畅通，并安排专人与</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及评标委员会联系。</w:t>
      </w:r>
      <w:bookmarkEnd w:id="113"/>
      <w:r/>
      <w:bookmarkEnd w:id="114"/>
      <w:r/>
      <w:bookmarkEnd w:id="115"/>
      <w:r/>
      <w:r/>
    </w:p>
    <w:p>
      <w:pPr>
        <w:pStyle w:val="835"/>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6.无效投标条款和废标条款</w:t>
      </w:r>
      <w:r/>
    </w:p>
    <w:p>
      <w:pPr>
        <w:ind w:firstLine="560"/>
        <w:spacing w:line="500" w:lineRule="exact"/>
        <w:rPr>
          <w:rFonts w:hint="eastAsia" w:ascii="宋体" w:hAnsi="宋体" w:eastAsia="宋体" w:cs="宋体"/>
          <w:bCs/>
          <w:color w:val="auto"/>
          <w:sz w:val="28"/>
          <w:szCs w:val="28"/>
          <w:highlight w:val="none"/>
        </w:rPr>
      </w:pPr>
      <w:r/>
      <w:bookmarkStart w:id="116" w:name="_Toc513029235"/>
      <w:r/>
      <w:bookmarkStart w:id="117" w:name="_Toc16938551"/>
      <w:r/>
      <w:bookmarkStart w:id="118" w:name="_Toc20823307"/>
      <w:r>
        <w:rPr>
          <w:rFonts w:hint="eastAsia" w:ascii="宋体" w:hAnsi="宋体" w:eastAsia="宋体" w:cs="宋体"/>
          <w:bCs/>
          <w:color w:val="auto"/>
          <w:sz w:val="28"/>
          <w:szCs w:val="28"/>
          <w:highlight w:val="none"/>
        </w:rPr>
        <w:t xml:space="preserve">6.1无效投标条款</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6.1.1投标人在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系统规定的时间内未成功解密电子投标文件的。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6.1.2投标人未按照招标文件要求上传电子投标文件的。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6.1.3同一投标人提交两个（含两个）以上不同的投标报价的。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6.1.4投标人不具备招标文件中规定资格要求的。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6.1.5投标人的报价超过了采购预算或最高限价的。</w:t>
      </w:r>
      <w:r/>
    </w:p>
    <w:p>
      <w:pPr>
        <w:ind w:firstLine="560"/>
        <w:spacing w:line="500" w:lineRule="exact"/>
        <w:rPr>
          <w:rFonts w:hint="eastAsia" w:ascii="宋体" w:hAnsi="宋体" w:eastAsia="宋体" w:cs="宋体"/>
          <w:bCs/>
          <w:i/>
          <w:color w:val="auto"/>
          <w:sz w:val="28"/>
          <w:szCs w:val="28"/>
          <w:highlight w:val="none"/>
          <w:u w:val="single"/>
        </w:rPr>
      </w:pPr>
      <w:r>
        <w:rPr>
          <w:rFonts w:hint="eastAsia" w:ascii="宋体" w:hAnsi="宋体" w:eastAsia="宋体" w:cs="宋体"/>
          <w:bCs/>
          <w:color w:val="auto"/>
          <w:sz w:val="28"/>
          <w:szCs w:val="28"/>
          <w:highlight w:val="none"/>
        </w:rPr>
        <w:t xml:space="preserve">6.1.6未通过符合性检查的。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6.1.7不符合招标文件中规定的其他实质性要求和条件的。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6.1.9投标文件含有采购人不能接受的附加条件的。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6.1.10.1评审过程中出现下列情形之一的，评标委员会应当启动异常低价投标（响应）审查程序：</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③投标（响应）报价低于采购项目最高限价45%的，即投标（响应）报价&lt;采购项目最高限价×45%；</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④评标委员会基于专业判断，认为供应商报价过低，有可能影响产品质量或者不能诚信履约的其他情形。</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6.1.10.2启动异常低价投标（响应）审查后，属于前述第① 项至第④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6.1.12投标文件未按照招标文件要求加盖电子签章。</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6.1.14其他法律、法规及本招标文件规定的属于无效投标的情形。</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6.2废标条款：</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6.2.1符合专业条件的供应商或者对招标文件作实质响应的供应商不足三家的。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6.2.4评标委员会认定招标文件存在歧义、重大缺陷导致评审工作无法进行。</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“苏采云”系统故障</w:t>
      </w:r>
      <w:r>
        <w:rPr>
          <w:rFonts w:hint="eastAsia" w:ascii="宋体" w:hAnsi="宋体" w:eastAsia="宋体" w:cs="宋体"/>
          <w:bCs/>
          <w:color w:val="auto"/>
          <w:sz w:val="28"/>
          <w:szCs w:val="28"/>
          <w:highlight w:val="none"/>
        </w:rPr>
        <w:t xml:space="preserve">原因造成开评标无法继续进行的。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6.3投标截止时间结束后参加投标的供应商不足三家的处理：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116"/>
      <w:r/>
      <w:bookmarkEnd w:id="117"/>
      <w:r/>
      <w:bookmarkEnd w:id="118"/>
      <w:r/>
      <w:r/>
    </w:p>
    <w:p>
      <w:pPr>
        <w:ind w:firstLine="560"/>
        <w:spacing w:line="500" w:lineRule="exact"/>
        <w:rPr>
          <w:rFonts w:hint="eastAsia" w:ascii="宋体" w:hAnsi="宋体" w:eastAsia="宋体" w:cs="宋体"/>
          <w:bCs/>
          <w:color w:val="auto"/>
          <w:sz w:val="28"/>
          <w:szCs w:val="28"/>
          <w:highlight w:val="none"/>
        </w:rPr>
      </w:pPr>
      <w:r/>
      <w:bookmarkStart w:id="119" w:name="_Toc120614219"/>
      <w:r>
        <w:rPr>
          <w:rFonts w:hint="eastAsia" w:ascii="宋体" w:hAnsi="宋体" w:eastAsia="宋体" w:cs="宋体"/>
          <w:bCs/>
          <w:color w:val="auto"/>
          <w:sz w:val="28"/>
          <w:szCs w:val="28"/>
          <w:highlight w:val="none"/>
        </w:rPr>
        <w:t xml:space="preserve">六、定标</w:t>
      </w:r>
      <w:bookmarkEnd w:id="119"/>
      <w:r/>
      <w:r/>
    </w:p>
    <w:p>
      <w:pPr>
        <w:ind w:firstLine="560"/>
        <w:spacing w:line="500" w:lineRule="exact"/>
        <w:rPr>
          <w:rFonts w:hint="eastAsia" w:ascii="宋体" w:hAnsi="宋体" w:eastAsia="宋体" w:cs="宋体"/>
          <w:bCs/>
          <w:color w:val="auto"/>
          <w:sz w:val="28"/>
          <w:szCs w:val="28"/>
          <w:highlight w:val="none"/>
        </w:rPr>
      </w:pPr>
      <w:r/>
      <w:bookmarkStart w:id="120" w:name="_Toc20823310"/>
      <w:r/>
      <w:bookmarkStart w:id="121" w:name="_Toc16938554"/>
      <w:r>
        <w:rPr>
          <w:rFonts w:hint="eastAsia" w:ascii="宋体" w:hAnsi="宋体" w:eastAsia="宋体" w:cs="宋体"/>
          <w:bCs/>
          <w:color w:val="auto"/>
          <w:sz w:val="28"/>
          <w:szCs w:val="28"/>
          <w:highlight w:val="none"/>
        </w:rPr>
        <w:t xml:space="preserve">1.确定</w:t>
      </w:r>
      <w:bookmarkEnd w:id="120"/>
      <w:r/>
      <w:bookmarkEnd w:id="121"/>
      <w:r>
        <w:rPr>
          <w:rFonts w:hint="eastAsia" w:ascii="宋体" w:hAnsi="宋体" w:eastAsia="宋体" w:cs="宋体"/>
          <w:bCs/>
          <w:color w:val="auto"/>
          <w:sz w:val="28"/>
          <w:szCs w:val="28"/>
          <w:highlight w:val="none"/>
        </w:rPr>
        <w:t xml:space="preserve">中标单位</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1.1中标候选人的选取原则和数量见招标文件第四部分规定。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采购人应根据评委会推荐的中标候选人确定中标人。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将在江苏政府采购网发布中标公告，公告期限为1个工作日。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1.4若有充分证据证明，中标人出现下列情况之一的，一经查实，将被取消中标资格：</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1.4.1提供虚假材料谋取中标的。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行贿或者提供其他不正当利益的。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1.4.3恶意竞争，投标总报价明显低于其自身合理成本且又无法提供证明的。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1.4.4属于本文件规定的无效条件，但在评标过程中又未被评委会发现的。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spacing w:line="500" w:lineRule="exact"/>
        <w:rPr>
          <w:rFonts w:hint="eastAsia" w:ascii="宋体" w:hAnsi="宋体" w:eastAsia="宋体" w:cs="宋体"/>
          <w:color w:val="auto"/>
          <w:sz w:val="28"/>
          <w:szCs w:val="28"/>
          <w:highlight w:val="none"/>
        </w:rPr>
      </w:pPr>
      <w:r/>
      <w:bookmarkStart w:id="122" w:name="_Toc200451960"/>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rPr>
        <w:t xml:space="preserve">有下列情形之一的，视为投标人串通投标，投标无效：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1.5.1不同投标人的投标文件由同一单位或者个人编制；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1.5.2不同投标人委托同一单位或者个人办理投标事宜；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1.5.3不同投标人的投标文件载明的项目管理成员或者联系人员为同一人；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1.5.4不同投标人的投标文件异常一致或者投标报价呈规律性差异；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1.5.5不同投标人的投标文件相互混装；</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2.质疑处理</w:t>
      </w:r>
      <w:bookmarkEnd w:id="12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w:t>
      </w:r>
      <w:r>
        <w:rPr>
          <w:rFonts w:hint="eastAsia" w:ascii="宋体" w:hAnsi="宋体" w:eastAsia="宋体" w:cs="宋体"/>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w:t>
      </w:r>
      <w:r>
        <w:rPr>
          <w:rFonts w:hint="eastAsia" w:ascii="宋体" w:hAnsi="宋体" w:eastAsia="宋体" w:cs="宋体"/>
          <w:color w:val="auto"/>
          <w:sz w:val="28"/>
          <w:szCs w:val="28"/>
          <w:highlight w:val="none"/>
        </w:rPr>
        <w:t xml:space="preserve">对采购过程提出质疑的，为各采购程序环节结束之日；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w:t>
      </w:r>
      <w:r>
        <w:rPr>
          <w:rFonts w:hint="eastAsia" w:ascii="宋体" w:hAnsi="宋体" w:eastAsia="宋体" w:cs="宋体"/>
          <w:color w:val="auto"/>
          <w:sz w:val="28"/>
          <w:szCs w:val="28"/>
          <w:highlight w:val="none"/>
        </w:rPr>
        <w:t xml:space="preserve">对中标或者成交结果提出质疑的，为中标或者成交结果公告期限届满之日。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采购人质疑接收人及联系方式，见招标文件第一章。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3中标通知书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3.l中标结果确定后，</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将向中标供应商发出中标通知书</w:t>
      </w:r>
      <w:r>
        <w:rPr>
          <w:rFonts w:hint="eastAsia" w:ascii="宋体" w:hAnsi="宋体" w:eastAsia="宋体" w:cs="宋体"/>
          <w:bCs/>
          <w:color w:val="auto"/>
          <w:sz w:val="28"/>
          <w:szCs w:val="28"/>
          <w:highlight w:val="none"/>
        </w:rPr>
        <w:t xml:space="preserve">（详见招标文件第四部分）</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hint="eastAsia" w:ascii="宋体" w:hAnsi="宋体" w:eastAsia="宋体" w:cs="宋体"/>
          <w:bCs/>
          <w:color w:val="auto"/>
          <w:sz w:val="28"/>
          <w:szCs w:val="28"/>
          <w:highlight w:val="none"/>
        </w:rPr>
      </w:pPr>
      <w:r/>
      <w:bookmarkStart w:id="123" w:name="_Toc120614220"/>
      <w:r/>
      <w:bookmarkStart w:id="124" w:name="_Toc20823308"/>
      <w:r/>
      <w:bookmarkStart w:id="125" w:name="_Toc16938552"/>
      <w:r/>
      <w:bookmarkStart w:id="126" w:name="_Toc513029236"/>
      <w:r>
        <w:rPr>
          <w:rFonts w:hint="eastAsia" w:ascii="宋体" w:hAnsi="宋体" w:eastAsia="宋体" w:cs="宋体"/>
          <w:bCs/>
          <w:color w:val="auto"/>
          <w:sz w:val="28"/>
          <w:szCs w:val="28"/>
          <w:highlight w:val="none"/>
        </w:rPr>
        <w:t xml:space="preserve">七、授予合同</w:t>
      </w:r>
      <w:bookmarkEnd w:id="123"/>
      <w:r/>
      <w:bookmarkEnd w:id="124"/>
      <w:r/>
      <w:bookmarkEnd w:id="125"/>
      <w:r/>
      <w:bookmarkEnd w:id="126"/>
      <w:r/>
      <w:r/>
    </w:p>
    <w:p>
      <w:pPr>
        <w:ind w:firstLine="560"/>
        <w:spacing w:line="500" w:lineRule="exact"/>
        <w:rPr>
          <w:rFonts w:hint="eastAsia" w:ascii="宋体" w:hAnsi="宋体" w:eastAsia="宋体" w:cs="宋体"/>
          <w:color w:val="auto"/>
          <w:sz w:val="28"/>
          <w:szCs w:val="28"/>
          <w:highlight w:val="none"/>
        </w:rPr>
      </w:pPr>
      <w:r/>
      <w:bookmarkStart w:id="127" w:name="_Toc513029237"/>
      <w:r/>
      <w:bookmarkStart w:id="128" w:name="_Toc16938553"/>
      <w:r/>
      <w:bookmarkStart w:id="129" w:name="_Toc20823309"/>
      <w:r>
        <w:rPr>
          <w:rFonts w:hint="eastAsia" w:ascii="宋体" w:hAnsi="宋体" w:eastAsia="宋体" w:cs="宋体"/>
          <w:color w:val="auto"/>
          <w:sz w:val="28"/>
          <w:szCs w:val="28"/>
          <w:highlight w:val="none"/>
        </w:rPr>
        <w:t xml:space="preserve">1.签订合同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2.货物和服务的追加、减少和添购</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7"/>
      <w:r/>
      <w:bookmarkEnd w:id="128"/>
      <w:r/>
      <w:bookmarkEnd w:id="129"/>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bCs/>
          <w:color w:val="auto"/>
          <w:sz w:val="36"/>
          <w:szCs w:val="36"/>
          <w:highlight w:val="none"/>
        </w:rPr>
        <w:t xml:space="preserve">第三部分  项目需求</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项目需求内容：</w:t>
      </w:r>
      <w:r/>
    </w:p>
    <w:p>
      <w:pPr>
        <w:pStyle w:val="840"/>
        <w:ind w:left="0" w:firstLine="562"/>
        <w:spacing w:before="0" w:line="54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一、采购清单及</w:t>
      </w:r>
      <w:r>
        <w:rPr>
          <w:rFonts w:hint="eastAsia" w:ascii="宋体" w:hAnsi="宋体" w:eastAsia="宋体" w:cs="宋体"/>
          <w:b/>
          <w:bCs/>
          <w:color w:val="auto"/>
          <w:sz w:val="28"/>
          <w:szCs w:val="28"/>
          <w:highlight w:val="none"/>
          <w:lang w:eastAsia="zh-CN"/>
        </w:rPr>
        <w:t xml:space="preserve">技术参数要求</w:t>
      </w:r>
      <w:r/>
    </w:p>
    <w:tbl>
      <w:tblPr>
        <w:tblStyle w:val="838"/>
        <w:tblW w:w="50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7"/>
        <w:gridCol w:w="7312"/>
      </w:tblGrid>
      <w:tr>
        <w:trPr>
          <w:jc w:val="center"/>
          <w:trHeight w:val="390" w:hRule="exact"/>
        </w:trPr>
        <w:tc>
          <w:tcPr>
            <w:tcW w:w="762" w:type="pct"/>
            <w:vAlign w:val="center"/>
            <w:textDirection w:val="lrTb"/>
            <w:noWrap w:val="false"/>
          </w:tcPr>
          <w:p>
            <w:pPr>
              <w:numPr>
                <w:ilvl w:val="0"/>
                <w:numId w:val="0"/>
              </w:numPr>
              <w:ind w:left="160"/>
              <w:spacing w:line="500" w:lineRule="exact"/>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color w:val="auto"/>
                <w:sz w:val="24"/>
                <w:highlight w:val="none"/>
              </w:rPr>
              <w:t xml:space="preserve"> </w:t>
            </w:r>
            <w:r>
              <w:rPr>
                <w:rFonts w:hint="eastAsia" w:ascii="宋体" w:hAnsi="宋体" w:eastAsia="宋体" w:cs="宋体"/>
                <w:b/>
                <w:bCs/>
                <w:i w:val="0"/>
                <w:iCs w:val="0"/>
                <w:color w:val="auto"/>
                <w:sz w:val="24"/>
                <w:szCs w:val="24"/>
                <w:highlight w:val="none"/>
                <w:lang w:val="en-US" w:eastAsia="zh-CN"/>
              </w:rPr>
              <w:t xml:space="preserve">一</w:t>
            </w:r>
            <w:r/>
          </w:p>
        </w:tc>
        <w:tc>
          <w:tcPr>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4K高清腹腔镜系统   1套</w:t>
            </w:r>
            <w:r/>
          </w:p>
        </w:tc>
      </w:tr>
      <w:tr>
        <w:trPr>
          <w:jc w:val="center"/>
          <w:trHeight w:val="406" w:hRule="exact"/>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配置</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要求</w:t>
            </w:r>
            <w:r>
              <w:rPr>
                <w:rFonts w:hint="eastAsia" w:ascii="宋体" w:hAnsi="宋体" w:eastAsia="宋体" w:cs="宋体"/>
                <w:b/>
                <w:bCs/>
                <w:color w:val="auto"/>
                <w:sz w:val="24"/>
                <w:szCs w:val="24"/>
                <w:highlight w:val="none"/>
                <w:lang w:eastAsia="zh-CN"/>
              </w:rPr>
              <w:t xml:space="preserve">（至少包含）（需</w:t>
            </w:r>
            <w:r>
              <w:rPr>
                <w:rFonts w:hint="eastAsia" w:ascii="宋体" w:hAnsi="宋体" w:eastAsia="宋体" w:cs="宋体"/>
                <w:b/>
                <w:bCs/>
                <w:color w:val="auto"/>
                <w:sz w:val="24"/>
                <w:szCs w:val="24"/>
                <w:highlight w:val="none"/>
                <w:lang w:val="en-US" w:eastAsia="zh-CN"/>
              </w:rPr>
              <w:t xml:space="preserve">提供配置清单并加盖公章，格式自拟</w:t>
            </w:r>
            <w:r>
              <w:rPr>
                <w:rFonts w:hint="eastAsia" w:ascii="宋体" w:hAnsi="宋体" w:eastAsia="宋体" w:cs="宋体"/>
                <w:b/>
                <w:bCs/>
                <w:color w:val="auto"/>
                <w:sz w:val="24"/>
                <w:szCs w:val="24"/>
                <w:highlight w:val="none"/>
                <w:lang w:eastAsia="zh-CN"/>
              </w:rPr>
              <w:t xml:space="preserve">）</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p>
        </w:tc>
        <w:tc>
          <w:tcPr>
            <w:shd w:val="clear" w:color="auto" w:fill="auto"/>
            <w:tcW w:w="4237"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内窥镜摄像主机          1套</w:t>
            </w:r>
            <w:r/>
          </w:p>
        </w:tc>
      </w:tr>
      <w:tr>
        <w:trPr>
          <w:jc w:val="center"/>
          <w:trHeight w:val="376"/>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p>
        </w:tc>
        <w:tc>
          <w:tcPr>
            <w:shd w:val="clear" w:color="auto" w:fill="auto"/>
            <w:tcW w:w="4237" w:type="pct"/>
            <w:vAlign w:val="center"/>
            <w:textDirection w:val="lrTb"/>
            <w:noWrap w:val="false"/>
          </w:tcPr>
          <w:p>
            <w:pP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4K摄像头               1个</w:t>
            </w:r>
            <w:r>
              <w:rPr>
                <w:rFonts w:hint="eastAsia" w:ascii="宋体" w:hAnsi="宋体" w:cs="宋体"/>
                <w:color w:val="auto"/>
                <w:sz w:val="24"/>
                <w:highlight w:val="none"/>
                <w:lang w:val="en-US" w:eastAsia="zh-CN"/>
              </w:rPr>
              <w:t xml:space="preserve">  </w:t>
            </w:r>
            <w:r/>
          </w:p>
        </w:tc>
      </w:tr>
      <w:tr>
        <w:trPr>
          <w:jc w:val="center"/>
          <w:trHeight w:val="40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p>
        </w:tc>
        <w:tc>
          <w:tcPr>
            <w:shd w:val="clear" w:color="auto" w:fill="auto"/>
            <w:tcW w:w="4237" w:type="pct"/>
            <w:vAlign w:val="center"/>
            <w:textDirection w:val="lrTb"/>
            <w:noWrap w:val="false"/>
          </w:tcPr>
          <w:p>
            <w:pP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腹腔内窥镜              1根  </w:t>
            </w:r>
            <w:r/>
          </w:p>
        </w:tc>
      </w:tr>
      <w:tr>
        <w:trPr>
          <w:jc w:val="center"/>
          <w:trHeight w:val="404"/>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p>
        </w:tc>
        <w:tc>
          <w:tcPr>
            <w:shd w:val="clear" w:color="auto" w:fill="auto"/>
            <w:tcW w:w="4237" w:type="pct"/>
            <w:vAlign w:val="center"/>
            <w:textDirection w:val="lrTb"/>
            <w:noWrap w:val="false"/>
          </w:tcPr>
          <w:p>
            <w:pP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内窥镜冷光源            1台</w:t>
            </w:r>
            <w:r>
              <w:rPr>
                <w:rFonts w:hint="eastAsia" w:ascii="宋体" w:hAnsi="宋体" w:cs="宋体"/>
                <w:color w:val="auto"/>
                <w:sz w:val="24"/>
                <w:highlight w:val="none"/>
                <w:lang w:val="en-US" w:eastAsia="zh-CN"/>
              </w:rPr>
              <w:t xml:space="preserve">  </w:t>
            </w:r>
            <w:r/>
          </w:p>
        </w:tc>
      </w:tr>
      <w:tr>
        <w:trPr>
          <w:jc w:val="center"/>
          <w:trHeight w:val="40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p>
        </w:tc>
        <w:tc>
          <w:tcPr>
            <w:shd w:val="clear" w:color="auto" w:fill="auto"/>
            <w:tcW w:w="4237" w:type="pct"/>
            <w:vAlign w:val="center"/>
            <w:textDirection w:val="lrTb"/>
            <w:noWrap w:val="false"/>
          </w:tcPr>
          <w:p>
            <w:pP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全自动二氧化碳气腹机    1台</w:t>
            </w:r>
            <w:r>
              <w:rPr>
                <w:rFonts w:hint="eastAsia" w:ascii="宋体" w:hAnsi="宋体" w:cs="宋体"/>
                <w:color w:val="auto"/>
                <w:sz w:val="24"/>
                <w:highlight w:val="none"/>
                <w:lang w:val="en-US" w:eastAsia="zh-CN"/>
              </w:rPr>
              <w:t xml:space="preserve">  </w:t>
            </w:r>
            <w:r/>
          </w:p>
        </w:tc>
      </w:tr>
      <w:tr>
        <w:trPr>
          <w:jc w:val="center"/>
          <w:trHeight w:val="40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p>
        </w:tc>
        <w:tc>
          <w:tcPr>
            <w:shd w:val="clear" w:color="auto" w:fill="auto"/>
            <w:tcW w:w="4237"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4K监视器               1台</w:t>
            </w:r>
            <w:r>
              <w:rPr>
                <w:rFonts w:hint="eastAsia" w:ascii="宋体" w:hAnsi="宋体" w:cs="宋体"/>
                <w:color w:val="auto"/>
                <w:sz w:val="24"/>
                <w:highlight w:val="none"/>
                <w:lang w:val="en-US" w:eastAsia="zh-CN"/>
              </w:rPr>
              <w:t xml:space="preserve">  </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1.7</w:t>
            </w:r>
            <w:r/>
          </w:p>
        </w:tc>
        <w:tc>
          <w:tcPr>
            <w:shd w:val="clear" w:color="auto" w:fill="auto"/>
            <w:tcW w:w="4237"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纤维导光束              1根</w:t>
            </w:r>
            <w:r>
              <w:rPr>
                <w:rFonts w:hint="eastAsia" w:ascii="宋体" w:hAnsi="宋体" w:cs="宋体"/>
                <w:color w:val="auto"/>
                <w:sz w:val="24"/>
                <w:highlight w:val="none"/>
                <w:lang w:val="en-US" w:eastAsia="zh-CN"/>
              </w:rPr>
              <w:t xml:space="preserve">  </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1.8</w:t>
            </w:r>
            <w:r/>
          </w:p>
        </w:tc>
        <w:tc>
          <w:tcPr>
            <w:shd w:val="clear" w:color="auto" w:fill="auto"/>
            <w:tcW w:w="4237"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专用台车                1台</w:t>
            </w:r>
            <w:r>
              <w:rPr>
                <w:rFonts w:hint="eastAsia" w:ascii="宋体" w:hAnsi="宋体" w:cs="宋体"/>
                <w:color w:val="auto"/>
                <w:sz w:val="24"/>
                <w:highlight w:val="none"/>
                <w:lang w:val="en-US" w:eastAsia="zh-CN"/>
              </w:rPr>
              <w:t xml:space="preserve"> </w:t>
            </w:r>
            <w:r/>
          </w:p>
        </w:tc>
      </w:tr>
      <w:tr>
        <w:trPr>
          <w:jc w:val="center"/>
          <w:trHeight w:val="376"/>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1.9</w:t>
            </w:r>
            <w:r/>
          </w:p>
        </w:tc>
        <w:tc>
          <w:tcPr>
            <w:shd w:val="clear" w:color="auto" w:fill="auto"/>
            <w:tcW w:w="4237"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消毒盒                  1个</w:t>
            </w:r>
            <w:r>
              <w:rPr>
                <w:rFonts w:hint="eastAsia" w:ascii="宋体" w:hAnsi="宋体" w:cs="宋体"/>
                <w:color w:val="auto"/>
                <w:sz w:val="24"/>
                <w:highlight w:val="none"/>
                <w:lang w:val="en-US" w:eastAsia="zh-CN"/>
              </w:rPr>
              <w:t xml:space="preserve">  </w:t>
            </w:r>
            <w:r/>
          </w:p>
        </w:tc>
      </w:tr>
      <w:tr>
        <w:trPr>
          <w:jc w:val="center"/>
          <w:trHeight w:val="376"/>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1.10</w:t>
            </w:r>
            <w:r/>
          </w:p>
        </w:tc>
        <w:tc>
          <w:tcPr>
            <w:shd w:val="clear" w:color="auto" w:fill="auto"/>
            <w:tcW w:w="4237" w:type="pct"/>
            <w:vAlign w:val="center"/>
            <w:textDirection w:val="lrTb"/>
            <w:noWrap w:val="false"/>
          </w:tcPr>
          <w:p>
            <w:pPr>
              <w:spacing w:line="36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器械                    1套</w:t>
            </w:r>
            <w:r>
              <w:rPr>
                <w:rFonts w:hint="eastAsia" w:ascii="宋体" w:hAnsi="宋体" w:cs="宋体"/>
                <w:color w:val="auto"/>
                <w:sz w:val="24"/>
                <w:highlight w:val="none"/>
                <w:lang w:val="en-US" w:eastAsia="zh-CN"/>
              </w:rPr>
              <w:t xml:space="preserve">  </w:t>
            </w:r>
            <w:r/>
          </w:p>
        </w:tc>
      </w:tr>
      <w:tr>
        <w:trPr>
          <w:jc w:val="center"/>
          <w:trHeight w:val="382" w:hRule="exact"/>
        </w:trPr>
        <w:tc>
          <w:tcPr>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p>
        </w:tc>
        <w:tc>
          <w:tcPr>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r>
      <w:tr>
        <w:trPr>
          <w:jc w:val="center"/>
          <w:trHeight w:val="430" w:hRule="exact"/>
        </w:trPr>
        <w:tc>
          <w:tcPr>
            <w:shd w:val="clear" w:color="auto" w:fill="auto"/>
            <w:tcW w:w="762" w:type="pct"/>
            <w:vAlign w:val="top"/>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2.1</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内窥镜摄像主机 </w:t>
            </w:r>
            <w:r/>
          </w:p>
        </w:tc>
      </w:tr>
      <w:tr>
        <w:trPr>
          <w:jc w:val="center"/>
          <w:trHeight w:val="398" w:hRule="exact"/>
        </w:trPr>
        <w:tc>
          <w:tcPr>
            <w:shd w:val="clear" w:color="auto" w:fill="auto"/>
            <w:tcW w:w="762" w:type="pct"/>
            <w:vAlign w:val="top"/>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2.1.1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输出分辨率≥3840x2160，逐行扫描；</w:t>
            </w:r>
            <w:r/>
          </w:p>
        </w:tc>
      </w:tr>
      <w:tr>
        <w:trPr>
          <w:jc w:val="center"/>
          <w:trHeight w:val="430" w:hRule="exact"/>
        </w:trPr>
        <w:tc>
          <w:tcPr>
            <w:shd w:val="clear" w:color="auto" w:fill="auto"/>
            <w:tcW w:w="762" w:type="pct"/>
            <w:vAlign w:val="top"/>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2.1.2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全数字化4K信号或1080P传输；</w:t>
            </w:r>
            <w:r/>
          </w:p>
        </w:tc>
      </w:tr>
      <w:tr>
        <w:trPr>
          <w:jc w:val="center"/>
          <w:trHeight w:val="430" w:hRule="exact"/>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2.1.3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支持50Hz和60Hz输出；</w:t>
            </w:r>
            <w:r/>
          </w:p>
        </w:tc>
      </w:tr>
      <w:tr>
        <w:trPr>
          <w:jc w:val="center"/>
          <w:trHeight w:val="36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集成图文工作站功能，可术中记录1920x1080 pixels全高清录像及3840x2160 pixels超高清图片；</w:t>
            </w:r>
            <w:r/>
          </w:p>
        </w:tc>
      </w:tr>
      <w:tr>
        <w:trPr>
          <w:jc w:val="center"/>
          <w:trHeight w:val="395"/>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2.1.5</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具备五大影像增强功能；宽动照明，可根据术野情况自动补光；优化解析，可增强组织表面、边缘及血管的锐利质感；以上两项联合同时打开。起到内镜下影像同时拥有明亮清晰的图像和锐利精致的细节；光谱染色技术，识别不同的组织层次来识别病灶；光谱过滤对黏膜下血管进行深度透视，增加辨识度；</w:t>
            </w:r>
            <w:r/>
          </w:p>
        </w:tc>
      </w:tr>
      <w:tr>
        <w:trPr>
          <w:jc w:val="center"/>
          <w:trHeight w:val="395"/>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2.1.6</w:t>
            </w:r>
            <w:r/>
          </w:p>
        </w:tc>
        <w:tc>
          <w:tcPr>
            <w:shd w:val="clear" w:color="auto" w:fill="auto"/>
            <w:tcW w:w="7964" w:type="dxa"/>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光源、主机分体式设计，同时单摄像主机可兼容同品牌电子镜和光学摄像头，实现4K白光、4K荧光、4K3D荧光功能；</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cs="宋体"/>
                <w:b w:val="0"/>
                <w:bCs w:val="0"/>
                <w:color w:val="auto"/>
                <w:sz w:val="24"/>
                <w:szCs w:val="24"/>
                <w:highlight w:val="none"/>
                <w:lang w:val="en-US" w:eastAsia="zh-CN"/>
              </w:rPr>
              <w:t xml:space="preserve">7</w:t>
            </w:r>
            <w:r/>
          </w:p>
        </w:tc>
        <w:tc>
          <w:tcPr>
            <w:shd w:val="clear" w:color="auto" w:fill="auto"/>
            <w:tcW w:w="7964" w:type="dxa"/>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主机可接驳同品牌可复用电子输尿管镜、电子膀胱镜、纤维输尿管镜、纤维胆道镜、一次性电子输尿管软镜、电子支气管软镜；</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cs="宋体"/>
                <w:b w:val="0"/>
                <w:bCs w:val="0"/>
                <w:color w:val="auto"/>
                <w:sz w:val="24"/>
                <w:szCs w:val="24"/>
                <w:highlight w:val="none"/>
                <w:lang w:val="en-US" w:eastAsia="zh-CN"/>
              </w:rPr>
              <w:t xml:space="preserve">8</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主机可兼容6种以上同品牌硬镜摄像头；</w:t>
            </w:r>
            <w:r/>
          </w:p>
        </w:tc>
      </w:tr>
      <w:tr>
        <w:trPr>
          <w:jc w:val="center"/>
          <w:trHeight w:val="384"/>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cs="宋体"/>
                <w:b w:val="0"/>
                <w:bCs w:val="0"/>
                <w:color w:val="auto"/>
                <w:sz w:val="24"/>
                <w:szCs w:val="24"/>
                <w:highlight w:val="none"/>
                <w:lang w:val="en-US" w:eastAsia="zh-CN"/>
              </w:rPr>
              <w:t xml:space="preserve">9</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主机可接驳同品牌3D外视镜</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w:t>
            </w:r>
            <w:r/>
          </w:p>
        </w:tc>
      </w:tr>
      <w:tr>
        <w:trPr>
          <w:jc w:val="center"/>
          <w:trHeight w:val="384"/>
        </w:trPr>
        <w:tc>
          <w:tcPr>
            <w:shd w:val="clear" w:color="auto" w:fill="auto"/>
            <w:tcW w:w="762" w:type="pct"/>
            <w:vAlign w:val="center"/>
            <w:textDirection w:val="lrTb"/>
            <w:noWrap/>
          </w:tcPr>
          <w:p>
            <w:pPr>
              <w:numPr>
                <w:ilvl w:val="0"/>
                <w:numId w:val="0"/>
              </w:numPr>
              <w:ind w:left="0" w:firstLine="0"/>
              <w:jc w:val="center"/>
              <w:keepLines w:val="0"/>
              <w:keepNext w:val="0"/>
              <w:pageBreakBefore w:val="0"/>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cs="宋体"/>
                <w:b w:val="0"/>
                <w:bCs/>
                <w:color w:val="auto"/>
                <w:sz w:val="24"/>
                <w:szCs w:val="24"/>
                <w:highlight w:val="none"/>
                <w:lang w:val="en-US" w:eastAsia="zh-CN"/>
              </w:rPr>
              <w:t xml:space="preserve">2.1.10</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主机可接驳同品牌≤4mm3D电子镜</w:t>
            </w:r>
            <w:r/>
          </w:p>
        </w:tc>
      </w:tr>
      <w:tr>
        <w:trPr>
          <w:jc w:val="center"/>
          <w:trHeight w:val="384"/>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1</w:t>
            </w:r>
            <w:r/>
          </w:p>
        </w:tc>
        <w:tc>
          <w:tcPr>
            <w:shd w:val="clear" w:color="auto" w:fill="auto"/>
            <w:tcW w:w="4237" w:type="pct"/>
            <w:vAlign w:val="center"/>
            <w:textDirection w:val="lrTb"/>
            <w:noWrap/>
          </w:tcPr>
          <w:p>
            <w:pPr>
              <w:jc w:val="both"/>
              <w:keepLines w:val="0"/>
              <w:keepNext w:val="0"/>
              <w:pageBreakBefore w:val="0"/>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可兼容同品牌3D4K荧光三合一一体镜；</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2</w:t>
            </w:r>
            <w:r/>
          </w:p>
        </w:tc>
        <w:tc>
          <w:tcPr>
            <w:shd w:val="clear" w:color="auto" w:fill="auto"/>
            <w:tcW w:w="4237" w:type="pct"/>
            <w:vAlign w:val="center"/>
            <w:textDirection w:val="lrTb"/>
            <w:noWrap/>
          </w:tcPr>
          <w:p>
            <w:pPr>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主机输出端口：DP数字端口≥2个，12G/3G-SDI数字端口≥1个，DVI-D数字端口≥1个，可转出多路信号同时输出；</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可实现连接打印机即时打印功能；</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4</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可通过摄像头、键盘多种方式控制录像、拍照；</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5</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具备双镜联合功能的，通过摄像头控制可实现单平台双内窥镜联合，两幅不同内镜图像在同一显示器分屏显示；</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6</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主机自带≥4个嵌入式USB接口非外接拓展实现，每个接口均可以单独刻录手术视频及照片；</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7</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电气安全：医用设备电气安全CF级别I类防护，具有防除颤标识</w:t>
            </w:r>
            <w:r>
              <w:rPr>
                <w:rFonts w:hint="eastAsia" w:ascii="宋体" w:hAnsi="宋体" w:eastAsia="宋体" w:cs="宋体"/>
                <w:b w:val="0"/>
                <w:bCs/>
                <w:color w:val="auto"/>
                <w:sz w:val="24"/>
                <w:szCs w:val="24"/>
                <w:highlight w:val="none"/>
                <w:lang w:val="en-US" w:eastAsia="zh-CN"/>
              </w:rPr>
              <mc:AlternateContent>
                <mc:Choice Requires="wpg">
                  <w:drawing>
                    <wp:inline xmlns:wp="http://schemas.openxmlformats.org/drawingml/2006/wordprocessingDrawing" distT="0" distB="0" distL="0" distR="0">
                      <wp:extent cx="260350" cy="205740"/>
                      <wp:effectExtent l="0" t="0" r="13970" b="7620"/>
                      <wp:docPr id="1" name="图片 2" descr="1774430319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74430319313"/>
                              <pic:cNvPicPr>
                                <a:picLocks noChangeAspect="1"/>
                              </pic:cNvPicPr>
                              <pic:nvPr/>
                            </pic:nvPicPr>
                            <pic:blipFill>
                              <a:blip r:embed="rId11"/>
                              <a:stretch/>
                            </pic:blipFill>
                            <pic:spPr bwMode="auto">
                              <a:xfrm>
                                <a:off x="0" y="0"/>
                                <a:ext cx="260350" cy="20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5pt;height:16.2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b w:val="0"/>
                <w:bCs/>
                <w:color w:val="auto"/>
                <w:sz w:val="24"/>
                <w:szCs w:val="24"/>
                <w:highlight w:val="none"/>
                <w:lang w:val="en-US" w:eastAsia="zh-CN"/>
              </w:rPr>
              <w:t xml:space="preserve">；</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8</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通过摄像头可操控手术设备，如气腹机，电子调光冷光源，并可实现与一体化手术室无缝连接</w:t>
            </w:r>
            <w:r>
              <w:rPr>
                <w:rFonts w:hint="eastAsia" w:ascii="宋体" w:hAnsi="宋体" w:cs="宋体"/>
                <w:b w:val="0"/>
                <w:bCs/>
                <w:color w:val="auto"/>
                <w:sz w:val="24"/>
                <w:szCs w:val="24"/>
                <w:highlight w:val="none"/>
                <w:lang w:val="en-US" w:eastAsia="zh-CN"/>
              </w:rPr>
              <w:t xml:space="preserve">；</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9</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5种标准画面与增强画面的同屏对比显示方式；</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cs="宋体"/>
                <w:b w:val="0"/>
                <w:bCs w:val="0"/>
                <w:color w:val="auto"/>
                <w:sz w:val="24"/>
                <w:szCs w:val="24"/>
                <w:highlight w:val="none"/>
                <w:lang w:val="en-US" w:eastAsia="zh-CN"/>
              </w:rPr>
              <w:t xml:space="preserve">20</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可通过至少3种方式控制白平衡，至少包括但不限于主机机械按键，键盘及摄像头按键；</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2.1.2</w:t>
            </w:r>
            <w:r>
              <w:rPr>
                <w:rFonts w:hint="eastAsia" w:ascii="宋体" w:hAnsi="宋体" w:cs="宋体"/>
                <w:b w:val="0"/>
                <w:bCs w:val="0"/>
                <w:color w:val="auto"/>
                <w:sz w:val="24"/>
                <w:szCs w:val="24"/>
                <w:highlight w:val="none"/>
                <w:lang w:val="en-US" w:eastAsia="zh-CN"/>
              </w:rPr>
              <w:t xml:space="preserve">1</w:t>
            </w:r>
            <w:r/>
          </w:p>
        </w:tc>
        <w:tc>
          <w:tcPr>
            <w:shd w:val="clear" w:color="auto" w:fill="auto"/>
            <w:tcW w:w="4237" w:type="pct"/>
            <w:vAlign w:val="center"/>
            <w:textDirection w:val="lrTb"/>
            <w:noWrap/>
          </w:tcPr>
          <w:p>
            <w:pPr>
              <w:jc w:val="both"/>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至少2种纤维镜图像优化功能；去网格和去摩尔纹功能。</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4K摄像头</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采集像素：摄像头像素不小于3840 x 2160，逐行扫描；</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2.2.2</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4K摄像头重量≤210g，握持轻便；</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2.2.3</w:t>
            </w:r>
            <w:r/>
          </w:p>
        </w:tc>
        <w:tc>
          <w:tcPr>
            <w:shd w:val="clear" w:color="auto" w:fill="auto"/>
            <w:tcW w:w="4237" w:type="pct"/>
            <w:vAlign w:val="center"/>
            <w:textDirection w:val="lrTb"/>
            <w:noWrap/>
          </w:tcPr>
          <w:p>
            <w:pPr>
              <w:numPr>
                <w:ilvl w:val="0"/>
                <w:numId w:val="0"/>
              </w:numPr>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摄像头3个按键可设置≥4种快捷键，可预设功能至少包括术野录像、拍照、打印、调节白平衡、FI模式、FI开关等；</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2.2.4</w:t>
            </w:r>
            <w:r/>
          </w:p>
        </w:tc>
        <w:tc>
          <w:tcPr>
            <w:shd w:val="clear" w:color="auto" w:fill="auto"/>
            <w:tcW w:w="4237" w:type="pct"/>
            <w:vAlign w:val="center"/>
            <w:textDirection w:val="lrTb"/>
            <w:noWrap/>
          </w:tcPr>
          <w:p>
            <w:pPr>
              <w:numPr>
                <w:ilvl w:val="0"/>
                <w:numId w:val="0"/>
              </w:numPr>
              <w:jc w:val="both"/>
              <w:keepLines w:val="0"/>
              <w:keepNext w:val="0"/>
              <w:pageBreakBefore w:val="0"/>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要求每个摄像头快捷键长按、短按的功能种类设定可以实现相同功能设定；</w:t>
            </w:r>
            <w:r/>
          </w:p>
        </w:tc>
      </w:tr>
      <w:tr>
        <w:trPr>
          <w:jc w:val="center"/>
          <w:trHeight w:val="320"/>
        </w:trPr>
        <w:tc>
          <w:tcPr>
            <w:shd w:val="clear" w:color="auto" w:fill="auto"/>
            <w:tcW w:w="762" w:type="pct"/>
            <w:vAlign w:val="center"/>
            <w:textDirection w:val="lrTb"/>
            <w:noWrap/>
          </w:tcPr>
          <w:p>
            <w:pPr>
              <w:numPr>
                <w:ilvl w:val="0"/>
                <w:numId w:val="0"/>
              </w:numPr>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color w:val="auto"/>
                <w:sz w:val="24"/>
                <w:szCs w:val="24"/>
                <w:highlight w:val="none"/>
                <w:lang w:val="en-US" w:eastAsia="zh-CN"/>
              </w:rPr>
              <w:t xml:space="preserve">2.2.5</w:t>
            </w:r>
            <w:r/>
          </w:p>
        </w:tc>
        <w:tc>
          <w:tcPr>
            <w:shd w:val="clear" w:color="auto" w:fill="auto"/>
            <w:tcW w:w="4237" w:type="pct"/>
            <w:vAlign w:val="center"/>
            <w:textDirection w:val="lrTb"/>
            <w:noWrap/>
          </w:tcPr>
          <w:p>
            <w:pPr>
              <w:numPr>
                <w:ilvl w:val="0"/>
                <w:numId w:val="0"/>
              </w:numPr>
              <w:jc w:val="both"/>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通过摄像头可操控手术设备，实现对气腹机流量大小及压力大小的调节，可调节冷光源亮度，并可与同品牌一体化手术室无缝连接，实现原型化集总控制功能，实现动力，光源，气腹机的原型化一站式控制；</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2.2.6</w:t>
            </w:r>
            <w:r/>
          </w:p>
        </w:tc>
        <w:tc>
          <w:tcPr>
            <w:shd w:val="clear" w:color="auto" w:fill="auto"/>
            <w:tcW w:w="4237" w:type="pct"/>
            <w:vAlign w:val="center"/>
            <w:textDirection w:val="lrTb"/>
            <w:noWrap/>
          </w:tcPr>
          <w:p>
            <w:pPr>
              <w:ind w:left="480" w:hanging="48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图像格式16：9；</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2.2.7</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全数字化摄像头，图像在摄像头端完成数字化处理，全程数字化传输；</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2.2.8</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自动曝光调节；</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2.2.9</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电气安全：医用设备电气安全CF-1类，具有防除颤</w:t>
            </w:r>
            <w:r>
              <w:rPr>
                <w:rFonts w:hint="eastAsia" w:ascii="宋体" w:hAnsi="宋体" w:cs="宋体"/>
                <w:b w:val="0"/>
                <w:bCs/>
                <w:color w:val="auto"/>
                <w:sz w:val="24"/>
                <w:szCs w:val="24"/>
                <w:highlight w:val="none"/>
                <w:lang w:val="en-US" w:eastAsia="zh-CN"/>
              </w:rPr>
              <w:t xml:space="preserve">标识</w:t>
            </w:r>
            <w:r>
              <w:rPr>
                <w:rFonts w:hint="eastAsia" w:ascii="宋体" w:hAnsi="宋体" w:eastAsia="宋体" w:cs="宋体"/>
                <w:b w:val="0"/>
                <w:bCs/>
                <w:color w:val="auto"/>
                <w:sz w:val="24"/>
                <w:szCs w:val="24"/>
                <w:highlight w:val="none"/>
                <w:lang w:val="en-US" w:eastAsia="zh-CN"/>
              </w:rPr>
              <mc:AlternateContent>
                <mc:Choice Requires="wpg">
                  <w:drawing>
                    <wp:inline xmlns:wp="http://schemas.openxmlformats.org/drawingml/2006/wordprocessingDrawing" distT="0" distB="0" distL="0" distR="0">
                      <wp:extent cx="260350" cy="148590"/>
                      <wp:effectExtent l="0" t="0" r="13970" b="3810"/>
                      <wp:docPr id="2" name="图片 6" descr="1774430319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774430319313"/>
                              <pic:cNvPicPr>
                                <a:picLocks noChangeAspect="1"/>
                              </pic:cNvPicPr>
                              <pic:nvPr/>
                            </pic:nvPicPr>
                            <pic:blipFill>
                              <a:blip r:embed="rId11"/>
                              <a:stretch/>
                            </pic:blipFill>
                            <pic:spPr bwMode="auto">
                              <a:xfrm>
                                <a:off x="0" y="0"/>
                                <a:ext cx="260350" cy="148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5pt;height:11.7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b w:val="0"/>
                <w:bCs/>
                <w:color w:val="auto"/>
                <w:sz w:val="24"/>
                <w:szCs w:val="24"/>
                <w:highlight w:val="none"/>
                <w:lang w:val="en-US" w:eastAsia="zh-CN"/>
              </w:rPr>
              <w:t xml:space="preserve">。</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腹腔内窥镜</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镜体直径10mm，镜体长度≥30cm；</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10mm光学镜分辨率≥9.35lp/mm；</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视向角0°和30°可选，集成光纤传输；</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视场角≥70°；</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2.3.5</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低温等离子、可高温高压消毒；</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2.3.6</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腹腔镜光学镜头可高温高压消毒≥600次。</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内窥镜冷光源 </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色温5500K-6000K；</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灯泡寿命≥30000小时；</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触摸屏，图形直观，用户界面简单明了；</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具有Auto模式，可自动调节光源亮度。</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2.5</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全自动二氧化碳气腹机</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灌流速度最高达40 l/min；</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具有高速/高精两种灌流模式；</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高速灌流模式：适用于成人，压力调节范围：1-30 mmHg；流速调节范围：1-40 l/min；</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高精给灌流模式：适用于儿童，压力调节范围：1-15mmHg；流速调节范围：0.1-15 l/min。当流速调节范围为：0.1-2 l/min范围，调节精度为0.1-0.12 l/min；当流速调节范围为2-10 l/min 范围，调节精度为0.5 -0.53 l/min。</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2.6</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4K监视器</w:t>
            </w:r>
            <w:r>
              <w:rPr>
                <w:rFonts w:hint="eastAsia" w:ascii="宋体" w:hAnsi="宋体" w:eastAsia="宋体" w:cs="宋体"/>
                <w:b/>
                <w:bCs/>
                <w:color w:val="auto"/>
                <w:sz w:val="24"/>
                <w:szCs w:val="24"/>
                <w:highlight w:val="none"/>
                <w:lang w:val="en-US" w:eastAsia="zh-CN"/>
              </w:rPr>
              <w:t xml:space="preserve"> </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≥32寸医用级4K 监视器；</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分辨率不低于3840 x 2160，宽高比16：9；</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色域：BT. 2020/ BT. 709；</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视角：178°/ 178°；</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2.6.5</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输入信号：DP、12G-SDI（×2）、HDMI、DVI；</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2.6.6</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输出信号：DP、12G-SDI、DVI。</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2.7</w:t>
            </w:r>
            <w:r/>
          </w:p>
        </w:tc>
        <w:tc>
          <w:tcPr>
            <w:shd w:val="clear" w:color="auto" w:fill="auto"/>
            <w:tcW w:w="4237" w:type="pct"/>
            <w:vAlign w:val="center"/>
            <w:textDirection w:val="lrTb"/>
            <w:noWrap w:val="false"/>
          </w:tcPr>
          <w:p>
            <w:pPr>
              <w:jc w:val="both"/>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纤维导光束</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2.7.1</w:t>
            </w:r>
            <w:r/>
          </w:p>
        </w:tc>
        <w:tc>
          <w:tcPr>
            <w:shd w:val="clear" w:color="auto" w:fill="auto"/>
            <w:tcW w:w="4237" w:type="pct"/>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直型接头，总长度</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color w:val="auto"/>
                <w:sz w:val="24"/>
                <w:highlight w:val="none"/>
                <w:lang w:val="en-US" w:eastAsia="zh-CN"/>
              </w:rPr>
              <w:t xml:space="preserve">300mm，直径</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color w:val="auto"/>
                <w:sz w:val="24"/>
                <w:highlight w:val="none"/>
                <w:lang w:val="en-US" w:eastAsia="zh-CN"/>
              </w:rPr>
              <w:t xml:space="preserve">4.8mm；连接光源接口的手持部位为圆柱形。</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2.8</w:t>
            </w:r>
            <w:r/>
          </w:p>
        </w:tc>
        <w:tc>
          <w:tcPr>
            <w:shd w:val="clear" w:color="auto" w:fill="auto"/>
            <w:tcW w:w="4237" w:type="pct"/>
            <w:vAlign w:val="center"/>
            <w:textDirection w:val="lrTb"/>
            <w:noWrap w:val="false"/>
          </w:tcPr>
          <w:p>
            <w:pPr>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专用台车</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2.8.1</w:t>
            </w:r>
            <w:r/>
          </w:p>
        </w:tc>
        <w:tc>
          <w:tcPr>
            <w:shd w:val="clear" w:color="auto" w:fill="auto"/>
            <w:tcW w:w="4237" w:type="pct"/>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共5层板，从上第一层为监视器挂架层，第二至第五层为设备层；底部具有抽屉及电源插线板；脚轮：专业5寸医疗万向轮，四轮均带卡锁；两侧：前后扶手，以及各功能挂钩；背部，有走线槽及后门；带阻尼导轨抽屉。</w:t>
            </w:r>
            <w:r/>
          </w:p>
        </w:tc>
      </w:tr>
      <w:tr>
        <w:trPr>
          <w:jc w:val="center"/>
          <w:trHeight w:val="359"/>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2.9</w:t>
            </w:r>
            <w:r/>
          </w:p>
        </w:tc>
        <w:tc>
          <w:tcPr>
            <w:shd w:val="clear" w:color="auto" w:fill="auto"/>
            <w:tcW w:w="4237" w:type="pct"/>
            <w:vAlign w:val="center"/>
            <w:textDirection w:val="lrTb"/>
            <w:noWrap w:val="false"/>
          </w:tcPr>
          <w:p>
            <w:pPr>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消毒盒</w:t>
            </w:r>
            <w:r/>
          </w:p>
        </w:tc>
      </w:tr>
      <w:tr>
        <w:trPr>
          <w:jc w:val="center"/>
          <w:trHeight w:val="359"/>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2.9.1</w:t>
            </w:r>
            <w:r/>
          </w:p>
        </w:tc>
        <w:tc>
          <w:tcPr>
            <w:shd w:val="clear" w:color="auto" w:fill="auto"/>
            <w:tcW w:w="4237" w:type="pct"/>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Cs/>
                <w:color w:val="auto"/>
                <w:sz w:val="24"/>
                <w:highlight w:val="none"/>
              </w:rPr>
              <w:t xml:space="preserve">450*80*45mm</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2.10</w:t>
            </w:r>
            <w:r/>
          </w:p>
        </w:tc>
        <w:tc>
          <w:tcPr>
            <w:shd w:val="clear" w:color="auto" w:fill="auto"/>
            <w:tcW w:w="4237" w:type="pct"/>
            <w:vAlign w:val="center"/>
            <w:textDirection w:val="lrTb"/>
            <w:noWrap w:val="false"/>
          </w:tcPr>
          <w:p>
            <w:pPr>
              <w:jc w:val="both"/>
              <w:keepLines w:val="0"/>
              <w:keepNext w:val="0"/>
              <w:pageBreakBefore w:val="0"/>
              <w:spacing w:line="36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器械</w:t>
            </w:r>
            <w:r>
              <w:rPr>
                <w:rFonts w:hint="eastAsia"/>
                <w:b/>
                <w:bCs/>
                <w:color w:val="auto"/>
                <w:highlight w:val="none"/>
                <w:lang w:val="en-US" w:eastAsia="zh-CN"/>
              </w:rPr>
              <w:t xml:space="preserve"> </w:t>
            </w:r>
            <w:r>
              <w:rPr>
                <w:rFonts w:hint="eastAsia" w:ascii="宋体" w:hAnsi="宋体" w:cs="宋体"/>
                <w:b/>
                <w:bCs/>
                <w:color w:val="auto"/>
                <w:sz w:val="24"/>
                <w:szCs w:val="24"/>
                <w:highlight w:val="none"/>
                <w:lang w:val="en-US" w:eastAsia="zh-CN"/>
              </w:rPr>
              <w:t xml:space="preserve">（至少包含）</w:t>
            </w:r>
            <w:r>
              <w:rPr>
                <w:rFonts w:hint="eastAsia" w:ascii="宋体" w:hAnsi="宋体" w:eastAsia="宋体" w:cs="宋体"/>
                <w:b/>
                <w:bCs/>
                <w:color w:val="auto"/>
                <w:sz w:val="24"/>
                <w:szCs w:val="24"/>
                <w:highlight w:val="none"/>
                <w:lang w:val="en-US" w:eastAsia="zh-CN"/>
              </w:rPr>
              <w:t xml:space="preserve">           </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2.10.1</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大分离钳；直径5mm，钳口长度22mm，工作长度360mm</w:t>
            </w:r>
            <w:r>
              <w:rPr>
                <w:rFonts w:hint="eastAsia" w:ascii="宋体" w:hAnsi="宋体" w:cs="宋体"/>
                <w:color w:val="auto"/>
                <w:sz w:val="24"/>
                <w:szCs w:val="24"/>
                <w:highlight w:val="none"/>
                <w:lang w:val="en-US" w:eastAsia="zh-CN"/>
              </w:rPr>
              <w:t xml:space="preserve">；</w:t>
            </w:r>
            <w:r/>
          </w:p>
          <w:p>
            <w:pPr>
              <w:jc w:val="both"/>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肠钳；直径5mm，钳口长度37mm,工作长度360mm</w:t>
            </w:r>
            <w:r>
              <w:rPr>
                <w:rFonts w:hint="eastAsia" w:ascii="宋体" w:hAnsi="宋体" w:cs="宋体"/>
                <w:color w:val="auto"/>
                <w:sz w:val="24"/>
                <w:szCs w:val="24"/>
                <w:highlight w:val="none"/>
                <w:lang w:val="en-US" w:eastAsia="zh-CN"/>
              </w:rPr>
              <w:t xml:space="preserve">；</w:t>
            </w:r>
            <w:r/>
          </w:p>
          <w:p>
            <w:pPr>
              <w:jc w:val="both"/>
              <w:keepLines w:val="0"/>
              <w:keepNext w:val="0"/>
              <w:pageBreakBefore w:val="0"/>
              <w:spacing w:line="36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抓钳；钳头上翘，直径5mm，钳口长度27mm,工作长度360mm</w:t>
            </w:r>
            <w:r>
              <w:rPr>
                <w:rFonts w:hint="eastAsia" w:ascii="宋体" w:hAnsi="宋体" w:cs="宋体"/>
                <w:color w:val="auto"/>
                <w:sz w:val="24"/>
                <w:szCs w:val="24"/>
                <w:highlight w:val="none"/>
                <w:lang w:val="en-US" w:eastAsia="zh-CN"/>
              </w:rPr>
              <w:t xml:space="preserve">；</w:t>
            </w:r>
            <w:r/>
          </w:p>
          <w:p>
            <w:pPr>
              <w:jc w:val="both"/>
              <w:keepLines w:val="0"/>
              <w:keepNext w:val="0"/>
              <w:pageBreakBefore w:val="0"/>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持针器；适用于缝合打结；碳化钨钳口坚固耐用，可安全稳固夹持0/0-7/；</w:t>
            </w:r>
            <w:r/>
          </w:p>
          <w:p>
            <w:pPr>
              <w:jc w:val="both"/>
              <w:keepLines w:val="0"/>
              <w:keepNext w:val="0"/>
              <w:pageBreakBefore w:val="0"/>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弯剪；直径5mm,工作长度360m。</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11</w:t>
            </w:r>
            <w:r/>
          </w:p>
        </w:tc>
        <w:tc>
          <w:tcPr>
            <w:shd w:val="clear" w:color="auto" w:fill="auto"/>
            <w:tcW w:w="4237" w:type="pct"/>
            <w:vAlign w:val="center"/>
            <w:textDirection w:val="lrTb"/>
            <w:noWrap w:val="false"/>
          </w:tcPr>
          <w:p>
            <w:pPr>
              <w:jc w:val="both"/>
              <w:keepLines w:val="0"/>
              <w:keepNext w:val="0"/>
              <w:pageBreakBefore w:val="0"/>
              <w:spacing w:line="360" w:lineRule="exact"/>
              <w:rPr>
                <w:rFonts w:hint="default"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摄像主机、摄像头、监视器、冷光源、气腹机、</w:t>
            </w:r>
            <w:r>
              <w:rPr>
                <w:rFonts w:hint="eastAsia" w:ascii="宋体" w:hAnsi="宋体" w:eastAsia="宋体" w:cs="宋体"/>
                <w:b/>
                <w:bCs/>
                <w:color w:val="auto"/>
                <w:sz w:val="24"/>
                <w:szCs w:val="24"/>
                <w:highlight w:val="none"/>
                <w:lang w:val="en-US" w:eastAsia="zh-CN"/>
              </w:rPr>
              <w:t xml:space="preserve">纤维导光束</w:t>
            </w:r>
            <w:r>
              <w:rPr>
                <w:rFonts w:hint="eastAsia" w:ascii="宋体" w:hAnsi="宋体" w:cs="宋体"/>
                <w:color w:val="auto"/>
                <w:sz w:val="24"/>
                <w:szCs w:val="24"/>
                <w:highlight w:val="none"/>
                <w:lang w:val="en-US" w:eastAsia="zh-CN"/>
              </w:rPr>
              <w:t xml:space="preserve">、</w:t>
            </w:r>
            <w:r>
              <w:rPr>
                <w:rFonts w:hint="eastAsia" w:ascii="宋体" w:hAnsi="宋体" w:eastAsia="宋体" w:cs="宋体"/>
                <w:b/>
                <w:bCs w:val="0"/>
                <w:strike w:val="0"/>
                <w:color w:val="auto"/>
                <w:sz w:val="24"/>
                <w:szCs w:val="24"/>
                <w:highlight w:val="none"/>
                <w:lang w:val="en-US" w:eastAsia="zh-CN"/>
              </w:rPr>
              <w:t xml:space="preserve">内窥镜镜子及器械</w:t>
            </w:r>
            <w:r>
              <w:rPr>
                <w:rFonts w:hint="eastAsia" w:ascii="宋体" w:hAnsi="宋体" w:eastAsia="宋体" w:cs="宋体"/>
                <w:b/>
                <w:bCs w:val="0"/>
                <w:color w:val="auto"/>
                <w:sz w:val="24"/>
                <w:szCs w:val="24"/>
                <w:highlight w:val="none"/>
                <w:lang w:val="en-US" w:eastAsia="zh-CN"/>
              </w:rPr>
              <w:t xml:space="preserve">为同一品牌。</w:t>
            </w:r>
            <w:r/>
          </w:p>
        </w:tc>
      </w:tr>
    </w:tbl>
    <w:p>
      <w:pPr>
        <w:numPr>
          <w:ilvl w:val="0"/>
          <w:numId w:val="0"/>
        </w:numPr>
        <w:ind w:left="16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清单中的功能/技术参数要求是满足采购人使用需要的基本技术参数，并未要求供应商拟用产品的功能/参数与其完全一致。因为供应商或制造商不同，很可能设备名称、功能名称不一致，只要功能实现即可。供应商可进行现场勘察（相关费用自理），了解安装位置和应用部署架构，若因未现场勘查或现场勘查错误造成的任何后果，全部责任由供应商自负。</w:t>
      </w:r>
      <w:r/>
    </w:p>
    <w:p>
      <w:pPr>
        <w:pStyle w:val="840"/>
        <w:ind w:left="0" w:firstLine="562"/>
        <w:spacing w:before="0" w:line="540" w:lineRule="exact"/>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项目实施时间和地点：</w:t>
      </w:r>
      <w:r/>
    </w:p>
    <w:p>
      <w:pPr>
        <w:pStyle w:val="840"/>
        <w:ind w:left="0" w:firstLine="560"/>
        <w:spacing w:before="0"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1.供货周期：签订合同后，接到采购人通知之日起30日历天内交货、安装、调试完毕。如因中标人原因延期的，除扣除全部履约保证金外，每推迟一天加罚3000元。</w:t>
      </w:r>
      <w:r/>
    </w:p>
    <w:p>
      <w:pPr>
        <w:pStyle w:val="840"/>
        <w:ind w:left="0" w:firstLine="560"/>
        <w:spacing w:before="0"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2.交货、安装地点：</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供应商应按照采购人的要求将货物运至采购人指定地点，确保正常使用。</w:t>
      </w:r>
      <w:r/>
    </w:p>
    <w:p>
      <w:pPr>
        <w:pStyle w:val="840"/>
        <w:ind w:left="0" w:firstLine="562"/>
        <w:spacing w:before="0" w:line="540" w:lineRule="exac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质量要求：</w:t>
      </w:r>
      <w:r>
        <w:rPr>
          <w:rFonts w:hint="eastAsia" w:ascii="宋体" w:hAnsi="宋体" w:eastAsia="宋体" w:cs="宋体"/>
          <w:color w:val="auto"/>
          <w:sz w:val="28"/>
          <w:szCs w:val="28"/>
          <w:highlight w:val="none"/>
        </w:rPr>
        <w:t xml:space="preserve">产品必须是全新、未使用过的原装合格正品，完全符合采购文件规定的质量、规格和性能的要求（供货时需提供相关产品合格证）。</w:t>
      </w:r>
      <w:r/>
    </w:p>
    <w:p>
      <w:pPr>
        <w:ind w:firstLine="562"/>
        <w:spacing w:line="540" w:lineRule="exact"/>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zh-CN"/>
        </w:rPr>
        <w:t xml:space="preserve">售后服务及其他（含安装、调试、培训、维护等）</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中标供应商承担</w:t>
      </w:r>
      <w:r>
        <w:rPr>
          <w:rFonts w:hint="eastAsia" w:ascii="宋体" w:hAnsi="宋体" w:eastAsia="宋体" w:cs="宋体"/>
          <w:color w:val="auto"/>
          <w:sz w:val="28"/>
          <w:szCs w:val="28"/>
          <w:highlight w:val="none"/>
        </w:rPr>
        <w:t xml:space="preserve">。</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2.质保期限（自交货并验收合格之日起计）：</w:t>
      </w:r>
      <w:r>
        <w:rPr>
          <w:rFonts w:hint="eastAsia" w:ascii="宋体" w:hAnsi="宋体" w:eastAsia="宋体" w:cs="宋体"/>
          <w:color w:val="auto"/>
          <w:sz w:val="28"/>
          <w:szCs w:val="28"/>
          <w:highlight w:val="none"/>
          <w:lang w:val="zh-CN"/>
        </w:rPr>
        <w:t xml:space="preserve">三年，原厂质保期高于供应商承诺质保期的，按原厂质保期计算。自验收合格报告签字确认日起，开始进入质保期。保修期外为终身维护，设备故障维修只收取零配件费用，免收人工等其他费用。</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中标供应商应承担全部赔偿</w:t>
      </w:r>
      <w:r>
        <w:rPr>
          <w:rFonts w:hint="eastAsia" w:ascii="宋体" w:hAnsi="宋体" w:eastAsia="宋体" w:cs="宋体"/>
          <w:color w:val="auto"/>
          <w:sz w:val="28"/>
          <w:szCs w:val="28"/>
          <w:highlight w:val="none"/>
        </w:rPr>
        <w:t xml:space="preserve">。</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小时内不能排除故障的和需更换货物或送修,必须在24小时内提供备用货物,并在3个工作日内负责维修完毕。供应商超时或未在规定的时间内及时响应和处理故障，扣款2000元/次。  </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4.培训要求</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（1）中标供应商提供免费培训管理技术人员的服务。</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（3）培训内容包括正常使用和一般故障排除，并提供完整的培训资料、培训计划等文档。</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5.如果</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供应商不能履行售后服务承诺，将禁止该单位参加采购单位以后的相关招标活动。</w:t>
      </w:r>
      <w:r/>
    </w:p>
    <w:p>
      <w:pPr>
        <w:ind w:firstLine="562"/>
        <w:spacing w:line="54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项目验收</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供应商提供的产品应由启东市市场监督管理局组织抽样检验，并取得合格的检测报告或有效的证明文件后方可安装，安装、调试完毕后，由</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供应商向采购单位提出书面验收申请，采购单位在收到</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供应商签发整改通知书。</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供应商在收到整改通知书后七日内必须按要求整改，如再次不符合要求或逾期，采购人将视作项目整体验收不合格，终止合同履行，履约保证金不予退还并报相关部门进行处理</w:t>
      </w:r>
      <w:r>
        <w:rPr>
          <w:rFonts w:hint="eastAsia" w:ascii="宋体" w:hAnsi="宋体" w:eastAsia="宋体" w:cs="宋体"/>
          <w:color w:val="auto"/>
          <w:sz w:val="28"/>
          <w:szCs w:val="28"/>
          <w:highlight w:val="none"/>
          <w:lang w:val="zh-CN"/>
        </w:rPr>
        <w:t xml:space="preserve">。</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启东市市场监督管理局对没有具体执行标准或者以现有设备条件无法进行检测鉴定的情况下，采购人可以委托第三方检测机构进行鉴定，产品质量鉴定结果不合格的，中标供应商承担检测费用，采购人有权拒收、部分拒收、退货、部分退货直至解除本合同，并要求中标供应商支付因此造成的所有损失。破拆部件由中标供应商负责补齐且采购人不支付任何补偿费用。</w:t>
      </w:r>
      <w:r/>
    </w:p>
    <w:p>
      <w:pPr>
        <w:ind w:firstLine="562"/>
        <w:spacing w:line="500" w:lineRule="exact"/>
        <w:rPr>
          <w:rFonts w:hint="eastAsia" w:ascii="宋体" w:hAnsi="宋体" w:eastAsia="宋体" w:cs="宋体"/>
          <w:b/>
          <w:bCs/>
          <w:color w:val="auto"/>
          <w:sz w:val="28"/>
          <w:szCs w:val="28"/>
          <w:highlight w:val="none"/>
          <w:lang w:val="zh-CN" w:eastAsia="zh-CN"/>
        </w:rPr>
      </w:pP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lang w:val="zh-CN" w:eastAsia="zh-CN"/>
        </w:rPr>
        <w:t xml:space="preserve">本项目采购需求中必须满足的实质性要求：技术部分实质性要求：采购清单功能要求中加“★”项为实质性要求，不得负偏离，若有任何一条未响应或不满足则导致投标无效。供应商须提供原厂官方商业宣传文本技术白皮书（或原厂说明书），或注册证附表，或制造商官网链接及截图，或第三方检测机构出具的检测报告证明材料(单独备注的除外）</w:t>
      </w:r>
      <w:r>
        <w:rPr>
          <w:rFonts w:hint="eastAsia" w:ascii="宋体" w:hAnsi="宋体" w:eastAsia="宋体" w:cs="宋体"/>
          <w:b/>
          <w:bCs/>
          <w:color w:val="auto"/>
          <w:sz w:val="28"/>
          <w:szCs w:val="28"/>
          <w:highlight w:val="none"/>
          <w:lang w:val="zh-CN"/>
        </w:rPr>
        <w:t xml:space="preserve">。</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七、采购标的的其他技术、服务等要求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（一）政府采购中实施本国产品标准及相关政策</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1.本项目对采购本国产品给予政策支持，具体内容见招标文件“第四部分 开标和评标”。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报价要求</w:t>
      </w:r>
      <w:r/>
    </w:p>
    <w:p>
      <w:pPr>
        <w:ind w:firstLine="560"/>
        <w:spacing w:line="50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供应商的总报价为本项目服务期内所包含的一切费用，报价采用全费用综合单价报价方式，综合单价包括（但不限于）全部货物及辅材的提供、产品制造、质保期内易损件、</w:t>
      </w:r>
      <w:r>
        <w:rPr>
          <w:rFonts w:hint="eastAsia" w:ascii="宋体" w:hAnsi="宋体" w:cs="宋体"/>
          <w:color w:val="auto"/>
          <w:sz w:val="28"/>
          <w:szCs w:val="28"/>
          <w:highlight w:val="none"/>
          <w:lang w:val="en-US" w:eastAsia="zh-CN"/>
        </w:rPr>
        <w:t xml:space="preserve">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招标代理费【按国家计委[计价格（2002）1980号]计取】及相关费用，以及供应商认为需要的其他费用等。招标文件中所有内容涉及的费用，按常规应当包括的其它费用，投标时一次包定,结算时不再另行追加。请各供应商在报价时请充分考虑各种因素。</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、付款方式</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p>
    <w:p>
      <w:pPr>
        <w:ind w:firstLine="562"/>
        <w:spacing w:line="5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关于付款流程的说明：本项目付款主体为江苏启晟集团有限公司。</w:t>
      </w:r>
      <w:r>
        <w:rPr>
          <w:rFonts w:hint="eastAsia" w:ascii="宋体" w:hAnsi="宋体" w:eastAsia="宋体" w:cs="宋体"/>
          <w:b/>
          <w:bCs/>
          <w:color w:val="auto"/>
          <w:sz w:val="28"/>
          <w:szCs w:val="28"/>
          <w:highlight w:val="none"/>
          <w:lang w:eastAsia="zh-CN"/>
        </w:rPr>
        <w:t xml:space="preserve">中标</w:t>
      </w:r>
      <w:r>
        <w:rPr>
          <w:rFonts w:hint="eastAsia" w:ascii="宋体" w:hAnsi="宋体" w:eastAsia="宋体" w:cs="宋体"/>
          <w:b/>
          <w:bCs/>
          <w:color w:val="auto"/>
          <w:sz w:val="28"/>
          <w:szCs w:val="28"/>
          <w:highlight w:val="none"/>
        </w:rPr>
        <w:t xml:space="preserve">供应商向启东市卫生健康委员会和江苏启晟集团有限公司递交书面付款申请及增值税专用发票，经启东市卫生健康委员会和江苏启晟集团有限公司审核后，最终由江苏启晟集团有限公司拨付。</w:t>
      </w:r>
      <w:r/>
    </w:p>
    <w:p>
      <w:pPr>
        <w:numPr>
          <w:ilvl w:val="0"/>
          <w:numId w:val="0"/>
        </w:num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eastAsia="宋体" w:cs="宋体"/>
          <w:b/>
          <w:bCs/>
          <w:color w:val="auto"/>
          <w:sz w:val="28"/>
          <w:szCs w:val="28"/>
          <w:highlight w:val="none"/>
        </w:rPr>
        <w:t xml:space="preserve">履约保证金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highlight w:val="none"/>
          <w:u w:val="single"/>
        </w:rPr>
        <w:t xml:space="preserve">每日0.05%</w:t>
      </w:r>
      <w:r>
        <w:rPr>
          <w:rFonts w:hint="eastAsia" w:ascii="宋体" w:hAnsi="宋体" w:eastAsia="宋体" w:cs="宋体"/>
          <w:color w:val="auto"/>
          <w:sz w:val="28"/>
          <w:szCs w:val="28"/>
          <w:highlight w:val="none"/>
        </w:rPr>
        <w:t xml:space="preserve">支付违约金。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3.发生以下情况的，履约保证金不予退还或部分退还：</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rPr>
        <w:t xml:space="preserve">十</w:t>
      </w:r>
      <w:r>
        <w:rPr>
          <w:rFonts w:hint="eastAsia" w:ascii="宋体" w:hAnsi="宋体" w:cs="宋体"/>
          <w:b/>
          <w:bCs w:val="0"/>
          <w:color w:val="auto"/>
          <w:sz w:val="28"/>
          <w:szCs w:val="28"/>
          <w:highlight w:val="none"/>
          <w:lang w:val="en-US" w:eastAsia="zh-CN"/>
        </w:rPr>
        <w:t xml:space="preserve">一</w:t>
      </w:r>
      <w:r>
        <w:rPr>
          <w:rFonts w:hint="eastAsia" w:ascii="宋体" w:hAnsi="宋体" w:eastAsia="宋体" w:cs="宋体"/>
          <w:b/>
          <w:bCs w:val="0"/>
          <w:color w:val="auto"/>
          <w:sz w:val="28"/>
          <w:szCs w:val="28"/>
          <w:highlight w:val="none"/>
        </w:rPr>
        <w:t xml:space="preserve">、本项目（接受）进口产品投标</w:t>
      </w:r>
      <w:bookmarkEnd w:id="1"/>
      <w:r/>
      <w:bookmarkEnd w:id="2"/>
      <w:r/>
      <w:bookmarkEnd w:id="3"/>
      <w:r>
        <w:rPr>
          <w:rFonts w:hint="eastAsia" w:ascii="宋体" w:hAnsi="宋体" w:cs="宋体"/>
          <w:b/>
          <w:bCs w:val="0"/>
          <w:color w:val="auto"/>
          <w:sz w:val="28"/>
          <w:szCs w:val="28"/>
          <w:highlight w:val="none"/>
          <w:lang w:eastAsia="zh-CN"/>
        </w:rPr>
        <w:t xml:space="preserve">。</w:t>
      </w:r>
      <w:r/>
    </w:p>
    <w:p>
      <w:pPr>
        <w:ind w:firstLine="562"/>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十</w:t>
      </w:r>
      <w:r>
        <w:rPr>
          <w:rFonts w:hint="eastAsia" w:ascii="宋体" w:hAnsi="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、合同条款</w:t>
      </w:r>
      <w:r/>
    </w:p>
    <w:p>
      <w:pPr>
        <w:keepLines w:val="0"/>
        <w:keepNext w:val="0"/>
        <w:pageBreakBefore w:val="0"/>
        <w:spacing w:before="120" w:after="120"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甲方：（买方）</w:t>
      </w:r>
      <w:r>
        <w:rPr>
          <w:rFonts w:hint="eastAsia" w:ascii="宋体" w:hAnsi="宋体" w:cs="宋体"/>
          <w:color w:val="auto"/>
          <w:sz w:val="24"/>
          <w:highlight w:val="none"/>
          <w:u w:val="single"/>
        </w:rPr>
        <w:t xml:space="preserve">   启东市卫生健康委员会</w:t>
      </w:r>
      <w:r>
        <w:rPr>
          <w:rFonts w:hint="eastAsia" w:ascii="宋体" w:hAnsi="宋体" w:cs="宋体"/>
          <w:color w:val="auto"/>
          <w:sz w:val="24"/>
          <w:highlight w:val="none"/>
        </w:rPr>
        <w:t xml:space="preserve"> </w:t>
      </w:r>
      <w:r/>
    </w:p>
    <w:p>
      <w:pPr>
        <w:keepLines w:val="0"/>
        <w:keepNext w:val="0"/>
        <w:pageBreakBefore w:val="0"/>
        <w:spacing w:before="120" w:after="120" w:line="480" w:lineRule="exact"/>
        <w:widowControl w:val="off"/>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乙方：（卖方）</w:t>
      </w:r>
      <w:r>
        <w:rPr>
          <w:rFonts w:hint="eastAsia" w:ascii="宋体" w:hAnsi="宋体" w:eastAsia="宋体" w:cs="宋体"/>
          <w:color w:val="auto"/>
          <w:sz w:val="24"/>
          <w:highlight w:val="none"/>
          <w:u w:val="single"/>
          <w:lang w:val="en-US" w:eastAsia="zh-CN"/>
        </w:rPr>
        <w:t xml:space="preserve">                       </w:t>
      </w:r>
      <w:r/>
    </w:p>
    <w:p>
      <w:pPr>
        <w:keepLines w:val="0"/>
        <w:keepNext w:val="0"/>
        <w:pageBreakBefore w:val="0"/>
        <w:spacing w:before="120" w:after="120" w:line="480" w:lineRule="exact"/>
        <w:widowControl w:val="off"/>
        <w:rPr>
          <w:color w:val="auto"/>
          <w:highlight w:val="none"/>
          <w:u w:val="single"/>
        </w:rPr>
      </w:pPr>
      <w:r>
        <w:rPr>
          <w:rFonts w:hint="eastAsia" w:ascii="宋体" w:hAnsi="宋体" w:cs="宋体"/>
          <w:color w:val="auto"/>
          <w:sz w:val="24"/>
          <w:highlight w:val="none"/>
          <w:lang w:eastAsia="zh-CN"/>
        </w:rPr>
        <w:t xml:space="preserve">出资方</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出资方</w:t>
      </w:r>
      <w:r>
        <w:rPr>
          <w:rFonts w:hint="eastAsia" w:ascii="宋体" w:hAnsi="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江苏启晟集团有限公司</w:t>
      </w:r>
      <w:r/>
    </w:p>
    <w:p>
      <w:pPr>
        <w:ind w:firstLine="480"/>
        <w:keepLines w:val="0"/>
        <w:keepNext w:val="0"/>
        <w:pageBreakBefore w:val="0"/>
        <w:spacing w:before="120" w:after="120"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依据《中华人</w:t>
      </w:r>
      <w:r>
        <w:rPr>
          <w:rFonts w:hint="eastAsia" w:ascii="宋体" w:hAnsi="宋体" w:eastAsia="宋体" w:cs="宋体"/>
          <w:color w:val="auto"/>
          <w:sz w:val="24"/>
          <w:highlight w:val="none"/>
        </w:rPr>
        <w:t xml:space="preserve">民共和国民法典》及其他有关法律、行政法规，遵循平等、自愿、公平和诚实信用的原则，对</w:t>
      </w:r>
      <w:r>
        <w:rPr>
          <w:rFonts w:hint="eastAsia" w:ascii="宋体" w:hAnsi="宋体" w:eastAsia="宋体" w:cs="宋体"/>
          <w:color w:val="auto"/>
          <w:sz w:val="24"/>
          <w:highlight w:val="none"/>
          <w:u w:val="single"/>
          <w:lang w:val="en-US" w:eastAsia="zh-CN"/>
        </w:rPr>
        <w:t xml:space="preserve">启东市第二人民医院异地新建项目手术设备（4K高清腹腔镜系统）采购项目</w:t>
      </w:r>
      <w:r>
        <w:rPr>
          <w:rFonts w:hint="eastAsia" w:ascii="宋体" w:hAnsi="宋体" w:cs="宋体"/>
          <w:color w:val="auto"/>
          <w:sz w:val="24"/>
          <w:highlight w:val="none"/>
        </w:rPr>
        <w:t xml:space="preserve">进行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公开招标</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采购，经过评委的严格审核评定，确定</w:t>
      </w:r>
      <w:r>
        <w:rPr>
          <w:rFonts w:hint="eastAsia" w:ascii="宋体" w:hAnsi="宋体" w:cs="宋体"/>
          <w:color w:val="auto"/>
          <w:sz w:val="24"/>
          <w:highlight w:val="none"/>
          <w:u w:val="single"/>
          <w:lang w:val="en-US" w:eastAsia="zh-CN"/>
        </w:rPr>
        <w:t xml:space="preserve">  （乙方）  </w:t>
      </w:r>
      <w:r>
        <w:rPr>
          <w:rFonts w:hint="eastAsia" w:ascii="宋体" w:hAnsi="宋体" w:cs="宋体"/>
          <w:color w:val="auto"/>
          <w:sz w:val="24"/>
          <w:highlight w:val="none"/>
        </w:rPr>
        <w:t xml:space="preserve">为本次成交供应商。</w:t>
      </w:r>
      <w:r>
        <w:rPr>
          <w:rFonts w:hint="eastAsia" w:ascii="宋体" w:hAnsi="宋体" w:cs="宋体"/>
          <w:color w:val="auto"/>
          <w:sz w:val="24"/>
          <w:highlight w:val="none"/>
          <w:lang w:eastAsia="zh-CN"/>
        </w:rPr>
        <w:t xml:space="preserve">甲方、乙方、出资方同意按照下面条款和条件签署本</w:t>
      </w:r>
      <w:r>
        <w:rPr>
          <w:rFonts w:hint="eastAsia" w:ascii="宋体" w:hAnsi="宋体" w:cs="宋体"/>
          <w:color w:val="auto"/>
          <w:sz w:val="24"/>
          <w:highlight w:val="none"/>
        </w:rPr>
        <w:t xml:space="preserve">合同。</w:t>
      </w:r>
      <w:r/>
    </w:p>
    <w:p>
      <w:pPr>
        <w:keepLines w:val="0"/>
        <w:keepNext w:val="0"/>
        <w:pageBreakBefore w:val="0"/>
        <w:spacing w:before="120" w:after="120"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一、货物供应明细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rPr>
        <w:t xml:space="preserve">。</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二、合同金额</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 本合同金额为（大写）：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元）人民币。</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w:t>
      </w:r>
      <w:r>
        <w:rPr>
          <w:rFonts w:hint="eastAsia" w:ascii="宋体" w:hAnsi="宋体" w:eastAsia="宋体" w:cs="宋体"/>
          <w:color w:val="auto"/>
          <w:sz w:val="24"/>
          <w:highlight w:val="none"/>
        </w:rPr>
        <w:t xml:space="preserve">合同金额为本项目服务期内所包含的一切费用，报价采用全费用综合单价报价方式，</w:t>
      </w:r>
      <w:r>
        <w:rPr>
          <w:rFonts w:hint="eastAsia" w:ascii="宋体" w:hAnsi="宋体" w:eastAsia="宋体" w:cs="宋体"/>
          <w:color w:val="auto"/>
          <w:sz w:val="24"/>
          <w:highlight w:val="none"/>
          <w:lang w:val="en-US" w:eastAsia="zh-CN"/>
        </w:rPr>
        <w:t xml:space="preserve">综合单价包括（但不限于）全部货物及辅材的提供、产品制造、质保期内易损件、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以及</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认为需要的其他费用等。招标文件中所有内容涉及的费用，按常规应当包括的其它费用，投标时一次包定,结算时不再另行追加。请充分考虑各种因素。</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三、技术资料</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3.1 乙方应按采购文件规定的时间向甲方提供货物的有关技术资料。</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四、知识产权</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4.1 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五、产权担保</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5.1 乙方保证所交付的货物的所有权完全属于乙方且无任何抵押、查封等产权瑕疵。</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六、转包</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6.1本合同范围的货物，应由乙方直接供应，不得转让他人供应。</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七、质保期</w:t>
      </w:r>
      <w:r/>
    </w:p>
    <w:p>
      <w:pPr>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7.1 质保期（自交货验收合格之日起计）：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rPr>
        <w:t xml:space="preserve">年 </w:t>
      </w:r>
      <w:r>
        <w:rPr>
          <w:rFonts w:hint="eastAsia" w:ascii="宋体" w:hAnsi="宋体" w:cs="宋体"/>
          <w:color w:val="auto"/>
          <w:sz w:val="24"/>
          <w:highlight w:val="none"/>
          <w:u w:val="none"/>
          <w:lang w:eastAsia="zh-CN"/>
        </w:rPr>
        <w:t xml:space="preserve">（以投标承诺为准）</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八、交货期、交货方式及交货地点</w:t>
      </w:r>
      <w:r/>
    </w:p>
    <w:p>
      <w:pPr>
        <w:keepLines w:val="0"/>
        <w:keepNext w:val="0"/>
        <w:pageBreakBefore w:val="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8.1 </w:t>
      </w:r>
      <w:r>
        <w:rPr>
          <w:rFonts w:hint="eastAsia" w:ascii="宋体" w:hAnsi="宋体" w:eastAsia="宋体" w:cs="宋体"/>
          <w:color w:val="auto"/>
          <w:sz w:val="24"/>
          <w:highlight w:val="none"/>
          <w:lang w:val="en-US" w:eastAsia="zh-CN"/>
        </w:rPr>
        <w:t xml:space="preserve">供货周期</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签订合同后，接到</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通知之日起30日历天内交货、安装、调试完毕。如因</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原因延期的，除扣除全部履约保证金外，每推迟一天加罚3000元</w:t>
      </w:r>
      <w:r>
        <w:rPr>
          <w:rFonts w:hint="eastAsia" w:ascii="宋体" w:hAnsi="宋体" w:eastAsia="宋体" w:cs="宋体"/>
          <w:color w:val="auto"/>
          <w:sz w:val="24"/>
          <w:highlight w:val="none"/>
        </w:rPr>
        <w:t xml:space="preserve">。</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8.2交货方式：送货上门</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8.3交货</w:t>
      </w:r>
      <w:r>
        <w:rPr>
          <w:rFonts w:hint="eastAsia" w:ascii="宋体" w:hAnsi="宋体" w:cs="宋体"/>
          <w:color w:val="auto"/>
          <w:sz w:val="24"/>
          <w:highlight w:val="none"/>
          <w:lang w:eastAsia="zh-CN"/>
        </w:rPr>
        <w:t xml:space="preserve">、安装</w:t>
      </w:r>
      <w:r>
        <w:rPr>
          <w:rFonts w:hint="eastAsia" w:ascii="宋体" w:hAnsi="宋体" w:cs="宋体"/>
          <w:color w:val="auto"/>
          <w:sz w:val="24"/>
          <w:highlight w:val="none"/>
        </w:rPr>
        <w:t xml:space="preserve">地点：乙方应按照甲方的要求将货物运至甲方指定地点，确保正常使用。（具体放置位置由甲方指定地点）</w:t>
      </w:r>
      <w:r/>
    </w:p>
    <w:p>
      <w:pPr>
        <w:pStyle w:val="848"/>
        <w:keepLines w:val="0"/>
        <w:keepNext w:val="0"/>
        <w:pageBreakBefore w:val="0"/>
        <w:spacing w:before="120" w:after="120" w:line="480" w:lineRule="exact"/>
        <w:rPr>
          <w:rFonts w:hint="eastAsia" w:hAnsi="宋体" w:cs="宋体"/>
          <w:b/>
          <w:color w:val="auto"/>
          <w:sz w:val="24"/>
          <w:highlight w:val="none"/>
        </w:rPr>
      </w:pPr>
      <w:r>
        <w:rPr>
          <w:rFonts w:hint="eastAsia" w:hAnsi="宋体" w:cs="宋体"/>
          <w:b/>
          <w:color w:val="auto"/>
          <w:sz w:val="24"/>
          <w:highlight w:val="none"/>
        </w:rPr>
        <w:t xml:space="preserve">九、货款支付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9.1付款方式：</w:t>
      </w:r>
      <w:r>
        <w:rPr>
          <w:rFonts w:hint="eastAsia" w:ascii="宋体" w:hAnsi="宋体" w:cs="宋体"/>
          <w:color w:val="auto"/>
          <w:sz w:val="24"/>
          <w:highlight w:val="none"/>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cs="宋体"/>
          <w:b/>
          <w:bCs/>
          <w:color w:val="auto"/>
          <w:sz w:val="24"/>
          <w:highlight w:val="none"/>
        </w:rPr>
        <w:t xml:space="preserve">。</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十.税费</w:t>
      </w:r>
      <w:r/>
    </w:p>
    <w:p>
      <w:pPr>
        <w:ind w:left="612" w:hanging="612"/>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10.1 本合同执行中相关的一切税费均由乙方负担。</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十一、质量保证及售后服务</w:t>
      </w:r>
      <w:r/>
    </w:p>
    <w:p>
      <w:pPr>
        <w:keepLines w:val="0"/>
        <w:keepNext w:val="0"/>
        <w:pageBreakBefore w:val="0"/>
        <w:spacing w:line="480" w:lineRule="exact"/>
        <w:rPr>
          <w:rFonts w:hint="eastAsia" w:ascii="仿宋" w:hAnsi="仿宋" w:eastAsia="仿宋" w:cs="仿宋"/>
          <w:color w:val="auto"/>
          <w:sz w:val="30"/>
          <w:szCs w:val="30"/>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质量要求:</w:t>
      </w:r>
      <w:r>
        <w:rPr>
          <w:rFonts w:hint="eastAsia" w:ascii="宋体" w:hAnsi="宋体" w:cs="宋体"/>
          <w:color w:val="auto"/>
          <w:sz w:val="24"/>
          <w:highlight w:val="none"/>
          <w:lang w:val="en-US" w:eastAsia="zh-CN"/>
        </w:rPr>
        <w:t xml:space="preserve">产品必须是全新、未使用过的原装合格正品，完全符合采购文件规定的质量、规格和性能的要求（供货时需提供相关产品合格证）</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rPr>
        <w:t xml:space="preserve">所有货物进场前均须提供产品合格证书、检测报告或有效的证明文件后方可安装。</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应采取安全措施，确保施工安全。加强施工安全管理，严格操作规程，项目在安装、调试、运维过程中一切安全责任由</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承担</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质保期限（自交货并验收合格之日起计）：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年（以投标承诺为准），原厂质保期高于</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承诺质保期的，按原厂质保期计算。自验收合格报告签字确认日起，开始进入质保期。保修期外为终身维护，设备故障维修只收取零配件费用，免收人工等其他费用。</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本项目所提供的商品必须为原厂正品，提供产品合格证，必须能通过原厂服务电话或厂家服务站查询真伪。设备到货后，</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将对照招标文件和</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的投标文件，对设备、授权、证明文件进行核验。如发现设备、授权、证明文件与招标文件、投标文件不一致，</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取消其中标供应商资格，由此给</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造成的一切损失，</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应承担全部赔偿</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24小时内提供备用货物,并在3个工作日内负责维修完毕。乙方超时或未在规定的时间内及时响应和处理故障，扣款2000元/次</w:t>
      </w:r>
      <w:r>
        <w:rPr>
          <w:rFonts w:hint="eastAsia" w:ascii="宋体" w:hAnsi="宋体" w:cs="宋体"/>
          <w:color w:val="auto"/>
          <w:sz w:val="24"/>
          <w:highlight w:val="none"/>
          <w:lang w:val="zh-CN"/>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培训要求</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提供免费培训管理技术人员的服务。</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应安排厂家技术人员对使用单位技术人员进行集中原厂培训。</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lang w:val="zh-CN"/>
        </w:rPr>
      </w:pPr>
      <w:r>
        <w:rPr>
          <w:rFonts w:hint="eastAsia" w:ascii="宋体" w:hAnsi="宋体" w:cs="宋体"/>
          <w:color w:val="auto"/>
          <w:sz w:val="24"/>
          <w:highlight w:val="none"/>
          <w:lang w:val="zh-CN"/>
        </w:rPr>
        <w:t xml:space="preserve">（3</w:t>
      </w:r>
      <w:r>
        <w:rPr>
          <w:rFonts w:hint="eastAsia" w:ascii="宋体" w:hAnsi="宋体" w:eastAsia="宋体" w:cs="宋体"/>
          <w:color w:val="auto"/>
          <w:sz w:val="24"/>
          <w:highlight w:val="none"/>
          <w:lang w:val="zh-CN"/>
        </w:rPr>
        <w:t xml:space="preserve">）培训内容包括正常使用和一般故障排除，并提供完整的培训资料、培训计划等文档。</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如果乙方不能履行售后服务承诺，将禁止该单位参加甲方以后的相关招标活动。</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乙方提供的货物在质保期内因货物本身的质量问题发生故障，乙方应负责免费更换。对达</w:t>
      </w:r>
      <w:r>
        <w:rPr>
          <w:rFonts w:hint="eastAsia" w:ascii="宋体" w:hAnsi="宋体" w:eastAsia="宋体" w:cs="宋体"/>
          <w:color w:val="auto"/>
          <w:sz w:val="24"/>
          <w:highlight w:val="none"/>
          <w:lang w:val="zh-CN"/>
        </w:rPr>
        <w:t xml:space="preserve">不到</w:t>
      </w:r>
      <w:r>
        <w:rPr>
          <w:rFonts w:hint="eastAsia" w:ascii="宋体" w:hAnsi="宋体" w:eastAsia="宋体" w:cs="宋体"/>
          <w:color w:val="auto"/>
          <w:sz w:val="24"/>
          <w:highlight w:val="none"/>
        </w:rPr>
        <w:t xml:space="preserve">技术要求者，根据实际情况，经双方协商，可按以下办法处理：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 更换：由乙方承担所发生的全部费用。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 贬值处理：由甲乙双方合议定价。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 退货处理：乙方应退还</w:t>
      </w:r>
      <w:r>
        <w:rPr>
          <w:rFonts w:hint="eastAsia" w:ascii="宋体" w:hAnsi="宋体" w:eastAsia="宋体" w:cs="宋体"/>
          <w:color w:val="auto"/>
          <w:sz w:val="24"/>
          <w:highlight w:val="none"/>
          <w:lang w:eastAsia="zh-CN"/>
        </w:rPr>
        <w:t xml:space="preserve">甲方或出资方</w:t>
      </w:r>
      <w:r>
        <w:rPr>
          <w:rFonts w:hint="eastAsia" w:ascii="宋体" w:hAnsi="宋体" w:eastAsia="宋体" w:cs="宋体"/>
          <w:color w:val="auto"/>
          <w:sz w:val="24"/>
          <w:highlight w:val="none"/>
        </w:rPr>
        <w:t xml:space="preserve">支付的合同款，同时承担该货物的直接费用（运输、保险、检验、货款利息及银行手续费等）。</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p>
    <w:p>
      <w:pPr>
        <w:jc w:val="left"/>
        <w:keepLines w:val="0"/>
        <w:keepNext w:val="0"/>
        <w:pageBreakBefore w:val="0"/>
        <w:spacing w:line="48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 乙方投标前须自行勘察现场，如设备安装运行需涉及基建、暖通等前期改造，则相关一切费用均有乙方自行承担，并包含在合同价中，甲方</w:t>
      </w:r>
      <w:r>
        <w:rPr>
          <w:rFonts w:hint="eastAsia" w:ascii="宋体" w:hAnsi="宋体" w:cs="宋体"/>
          <w:color w:val="auto"/>
          <w:sz w:val="24"/>
          <w:highlight w:val="none"/>
          <w:lang w:eastAsia="zh-CN"/>
        </w:rPr>
        <w:t xml:space="preserve">或出资方</w:t>
      </w:r>
      <w:r>
        <w:rPr>
          <w:rFonts w:hint="eastAsia" w:ascii="宋体" w:hAnsi="宋体" w:cs="宋体"/>
          <w:color w:val="auto"/>
          <w:sz w:val="24"/>
          <w:highlight w:val="none"/>
        </w:rPr>
        <w:t xml:space="preserve">不再另外支付。如因基建、暖通等改造导致工期延误，则视为乙方违约，相关违约责任由乙方承担，甲方有权扣除合同金额的10%作为合同违约金。</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十二、货物验收</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12.1乙方提供的产品应由启东市市场监督管理局组织抽样检</w:t>
      </w:r>
      <w:r>
        <w:rPr>
          <w:rFonts w:hint="eastAsia" w:ascii="宋体" w:hAnsi="宋体" w:cs="宋体"/>
          <w:color w:val="auto"/>
          <w:sz w:val="24"/>
          <w:highlight w:val="none"/>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宋体" w:hAnsi="宋体" w:cs="宋体"/>
          <w:color w:val="auto"/>
          <w:sz w:val="24"/>
          <w:highlight w:val="none"/>
          <w:lang w:val="zh-CN"/>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12.2</w:t>
      </w:r>
      <w:r>
        <w:rPr>
          <w:rFonts w:hint="eastAsia" w:ascii="宋体" w:hAnsi="宋体" w:cs="宋体"/>
          <w:color w:val="auto"/>
          <w:sz w:val="24"/>
          <w:highlight w:val="none"/>
          <w:lang w:val="zh-CN"/>
        </w:rPr>
        <w:t xml:space="preserve">启东市市场监督管理局对没有具体执行标准或者以现有设备条件无法进行检测鉴定的情况下，</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可以委托第三方检测机构进行鉴定，产品质量鉴定结果不合格的，乙方承担检测费用，</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有权拒收、部分拒收、退货、部分退货直至解除本合同，并要求乙方支付因此造成的所有损失。破拆部件由乙方负责补齐且</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不支付任何补偿费用。</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十三、货物包装、发运及运输</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.1 乙方应在货物</w:t>
      </w:r>
      <w:r>
        <w:rPr>
          <w:rFonts w:hint="eastAsia" w:ascii="宋体" w:hAnsi="宋体" w:cs="宋体"/>
          <w:color w:val="auto"/>
          <w:sz w:val="24"/>
          <w:highlight w:val="none"/>
          <w:lang w:val="zh-CN"/>
        </w:rPr>
        <w:t xml:space="preserve">发运</w:t>
      </w:r>
      <w:r>
        <w:rPr>
          <w:rFonts w:hint="eastAsia" w:ascii="宋体" w:hAnsi="宋体" w:cs="宋体"/>
          <w:color w:val="auto"/>
          <w:sz w:val="24"/>
          <w:highlight w:val="none"/>
        </w:rPr>
        <w:t xml:space="preserve">前对其进行满足运输距离、防潮、防震、防锈和防破损装卸等要求包装，以保证货物安全运达甲方指定地点。</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.2 使用说明书、质量检验证明书、随配附件和工具以及清单一并附于货物内。</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.3 乙方在货物发运手续办理完毕后24小时内或货到甲方48小时前通知甲方，以准备接货。</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.4 货物在验收合格交付甲方前所发生的所有风险由乙方承担。</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十四、违约责任</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14.1 乙方货物逾期交付的，乙方应按每推迟一天加罚3000元，向甲方支付违约金外，并扣除全部履约保证金。</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14.2乙方货物逾期交付超过</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个日历天的，甲方有权单方面解除合同，乙方应向甲方支付合同总价</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的违约金。</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14.3违约金的支付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①违约金从履约保证金中扣除；</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②违约金超过履约保证金部分由应付货款中扣除；</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③违约金超过应付货款的差额部分，乙方须支付差额部分，乙方拒绝支付的，甲方可向法院起诉要求乙方支付。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.4 乙方所交的货物品种、型号、规格、技术参数、质量不符合合同规定及采购文件规定标准的，甲方有权拒收该货物，且视为乙方逾期交货，若因此产生的违约责任按照14.1条款执行。</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十五、不可抗力事件处理</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.1 在合同有效期内，任何一方因不可抗力事件导致不能履行合同，则合同履行期可延长，其延长期与不可抗力影响期相同。</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.2 不可抗力事件发生后，应立即通知对方，并寄送有关权威机构出具的证明。</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.3 不可抗力事件延续120天以上，甲方有权选择终止合同或继续履行合同。</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十六、解决争议的方法</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双方在执行合同中所发生的一切争议，可通过协商解决，并签订补充协议。如协商不成，可向甲方所在地人民法院提起诉讼。</w:t>
      </w:r>
      <w:r/>
    </w:p>
    <w:p>
      <w:pPr>
        <w:keepLines w:val="0"/>
        <w:keepNext w:val="0"/>
        <w:pageBreakBefore w:val="0"/>
        <w:spacing w:before="120" w:after="120"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十七、履约保证金</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17.1本项目中标后的履约保证金为项目</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价的10%（</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元），乙方的履约保证金须在</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通知书发出之日起至合同签订前汇入</w:t>
      </w:r>
      <w:r>
        <w:rPr>
          <w:rFonts w:hint="eastAsia" w:ascii="宋体" w:hAnsi="宋体" w:cs="宋体"/>
          <w:color w:val="auto"/>
          <w:sz w:val="24"/>
          <w:highlight w:val="none"/>
        </w:rPr>
        <w:t xml:space="preserve">甲方</w:t>
      </w:r>
      <w:r>
        <w:rPr>
          <w:rFonts w:hint="eastAsia" w:ascii="宋体" w:hAnsi="宋体" w:cs="宋体"/>
          <w:color w:val="auto"/>
          <w:sz w:val="24"/>
          <w:szCs w:val="24"/>
          <w:highlight w:val="none"/>
          <w:lang w:eastAsia="zh-CN"/>
        </w:rPr>
        <w:t xml:space="preserve">或出资方</w:t>
      </w:r>
      <w:r>
        <w:rPr>
          <w:rFonts w:hint="eastAsia" w:ascii="宋体" w:hAnsi="宋体"/>
          <w:color w:val="auto"/>
          <w:sz w:val="24"/>
          <w:highlight w:val="none"/>
        </w:rPr>
        <w:t xml:space="preserve">账户（应当以数字人民币、支票、汇票或者金融机构、担保机构出具的保函等非现金形式提交），乙方凭中标通知书与</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签订合同。超期或未有协商，则视为自动放弃成交资格。</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17.2乙方全部履约合同义务，经</w:t>
      </w:r>
      <w:r>
        <w:rPr>
          <w:rFonts w:hint="eastAsia" w:ascii="宋体" w:hAnsi="宋体" w:cs="宋体"/>
          <w:color w:val="auto"/>
          <w:sz w:val="24"/>
          <w:highlight w:val="none"/>
        </w:rPr>
        <w:t xml:space="preserve">甲方</w:t>
      </w:r>
      <w:r>
        <w:rPr>
          <w:rFonts w:hint="eastAsia" w:ascii="宋体" w:hAnsi="宋体"/>
          <w:color w:val="auto"/>
          <w:sz w:val="24"/>
          <w:highlight w:val="none"/>
        </w:rPr>
        <w:t xml:space="preserve">验收合格无质量、进度等问题的，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或</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在验收合格后一次性退还履约保证金，</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或</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若逾期退还履约保证金的，按照逾期部分的每日0.05%支付违约金。</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17.3发生以下情况的，履约保证金不予退还或部分退还：</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a.签订合同后，乙方不履行合同义务的，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有权全额扣除履约保证金，全额不予退还，同时</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亦有权终止合同，乙方还须承担相应的法律赔偿责任。</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b.乙方在履约过程中发生违约行为，给</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造成损失的，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有权在乙方缴纳的履约保证金中予以扣款，以弥补</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经济损失，不足的部分乙方另外补齐。</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十八、其他</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olor w:val="auto"/>
          <w:sz w:val="24"/>
          <w:highlight w:val="none"/>
        </w:rPr>
        <w:t xml:space="preserve">所有</w:t>
      </w:r>
      <w:r>
        <w:rPr>
          <w:rFonts w:hint="eastAsia" w:ascii="宋体" w:hAnsi="宋体" w:cs="宋体"/>
          <w:color w:val="auto"/>
          <w:sz w:val="24"/>
          <w:highlight w:val="none"/>
        </w:rPr>
        <w:t xml:space="preserve">附件、招标文件、投标文件、中标通知书及补充协议均为合同的有效组成部分，与本合同具有同等法律效力。</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18.2 如一方地址、电话、传真号码有变更，应在变更当日内书面通知对方，否则，应承担相应责任。</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18.3 除甲方事先书面同意外，乙方不得部分或全部转让其应履行的合同项下的义务。</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十九、合同生效</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19.1 本合同由</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方</w:t>
      </w:r>
      <w:r>
        <w:rPr>
          <w:rFonts w:hint="eastAsia" w:ascii="宋体" w:hAnsi="宋体" w:cs="宋体"/>
          <w:color w:val="auto"/>
          <w:sz w:val="24"/>
          <w:highlight w:val="none"/>
          <w:lang w:eastAsia="zh-CN"/>
        </w:rPr>
        <w:t xml:space="preserve">法定代表人签字</w:t>
      </w:r>
      <w:r>
        <w:rPr>
          <w:rFonts w:hint="eastAsia" w:ascii="宋体" w:hAnsi="宋体" w:cs="宋体"/>
          <w:color w:val="auto"/>
          <w:sz w:val="24"/>
          <w:highlight w:val="none"/>
        </w:rPr>
        <w:t xml:space="preserve">并加盖公章（同时</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方应加盖骑缝章）后生效，合同一式</w:t>
      </w:r>
      <w:r>
        <w:rPr>
          <w:rFonts w:hint="eastAsia" w:ascii="宋体" w:hAnsi="宋体" w:cs="宋体"/>
          <w:color w:val="auto"/>
          <w:sz w:val="24"/>
          <w:highlight w:val="none"/>
          <w:lang w:eastAsia="zh-CN"/>
        </w:rPr>
        <w:t xml:space="preserve">九</w:t>
      </w:r>
      <w:r>
        <w:rPr>
          <w:rFonts w:hint="eastAsia" w:ascii="宋体" w:hAnsi="宋体" w:cs="宋体"/>
          <w:color w:val="auto"/>
          <w:sz w:val="24"/>
          <w:highlight w:val="none"/>
        </w:rPr>
        <w:t xml:space="preserve">份（</w:t>
      </w:r>
      <w:r>
        <w:rPr>
          <w:rFonts w:hint="eastAsia" w:ascii="宋体" w:hAnsi="宋体" w:cs="宋体"/>
          <w:color w:val="auto"/>
          <w:sz w:val="24"/>
          <w:highlight w:val="none"/>
          <w:lang w:eastAsia="zh-CN"/>
        </w:rPr>
        <w:t xml:space="preserve">三方</w:t>
      </w:r>
      <w:r>
        <w:rPr>
          <w:rFonts w:hint="eastAsia" w:ascii="宋体" w:hAnsi="宋体" w:cs="宋体"/>
          <w:color w:val="auto"/>
          <w:sz w:val="24"/>
          <w:highlight w:val="none"/>
        </w:rPr>
        <w:t xml:space="preserve">各执</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份）。</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19.2本合同未尽事宜，遵照《中华人民共和国民法典》有关条文执行。</w:t>
      </w:r>
      <w:r/>
    </w:p>
    <w:p>
      <w:pPr>
        <w:rPr>
          <w:color w:val="auto"/>
          <w:highlight w:val="none"/>
        </w:rPr>
      </w:pPr>
      <w:r>
        <w:rPr>
          <w:color w:val="auto"/>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方（盖章）：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pacing w:val="-11"/>
          <w:sz w:val="24"/>
          <w:szCs w:val="24"/>
          <w:highlight w:val="none"/>
          <w:lang w:val="en-US" w:eastAsia="zh-CN"/>
        </w:rPr>
        <w:t xml:space="preserve">出资</w:t>
      </w:r>
      <w:r>
        <w:rPr>
          <w:rFonts w:hint="eastAsia" w:ascii="宋体" w:hAnsi="宋体" w:eastAsia="宋体" w:cs="宋体"/>
          <w:color w:val="auto"/>
          <w:spacing w:val="-11"/>
          <w:sz w:val="24"/>
          <w:szCs w:val="24"/>
          <w:highlight w:val="none"/>
        </w:rPr>
        <w:t xml:space="preserve">方（盖章）：</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p>
    <w:p>
      <w:pPr>
        <w:spacing w:line="620" w:lineRule="exact"/>
        <w:rPr>
          <w:rFonts w:hint="eastAsia"/>
          <w:color w:val="auto"/>
          <w:sz w:val="24"/>
          <w:szCs w:val="24"/>
          <w:highlight w:val="none"/>
          <w:u w:val="none"/>
        </w:rPr>
      </w:pPr>
      <w:r>
        <w:rPr>
          <w:rFonts w:hint="eastAsia"/>
          <w:color w:val="auto"/>
          <w:sz w:val="24"/>
          <w:szCs w:val="24"/>
          <w:highlight w:val="none"/>
          <w:u w:val="none"/>
        </w:rPr>
        <w:t xml:space="preserve">地址：</w:t>
      </w:r>
      <w:r>
        <w:rPr>
          <w:color w:val="auto"/>
          <w:sz w:val="24"/>
          <w:szCs w:val="24"/>
          <w:highlight w:val="none"/>
          <w:u w:val="none"/>
        </w:rPr>
        <w:t xml:space="preserve"> </w:t>
      </w:r>
      <w:r>
        <w:rPr>
          <w:rFonts w:hint="eastAsia"/>
          <w:color w:val="auto"/>
          <w:sz w:val="24"/>
          <w:szCs w:val="24"/>
          <w:highlight w:val="none"/>
          <w:u w:val="none"/>
          <w:lang w:val="en-US" w:eastAsia="zh-CN"/>
        </w:rPr>
        <w:t xml:space="preserve">                             </w:t>
      </w:r>
      <w:r>
        <w:rPr>
          <w:rFonts w:hint="eastAsia"/>
          <w:color w:val="auto"/>
          <w:sz w:val="24"/>
          <w:szCs w:val="24"/>
          <w:highlight w:val="none"/>
          <w:u w:val="none"/>
        </w:rPr>
        <w:t xml:space="preserve">地址：</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委托代理人：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银行账号：</w:t>
      </w:r>
      <w:r/>
    </w:p>
    <w:p>
      <w:pPr>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方（盖章）</w:t>
      </w:r>
      <w:r>
        <w:rPr>
          <w:rFonts w:hint="eastAsia" w:eastAsia="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default" w:eastAsia="宋体"/>
          <w:color w:val="auto"/>
          <w:sz w:val="24"/>
          <w:szCs w:val="24"/>
          <w:highlight w:val="none"/>
          <w:u w:val="none"/>
          <w:lang w:val="en-US" w:eastAsia="zh-CN"/>
        </w:rPr>
      </w:pPr>
      <w:r>
        <w:rPr>
          <w:rFonts w:hint="eastAsia"/>
          <w:color w:val="auto"/>
          <w:sz w:val="24"/>
          <w:szCs w:val="24"/>
          <w:highlight w:val="none"/>
          <w:u w:val="none"/>
        </w:rPr>
        <w:t xml:space="preserve">地址：</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p>
    <w:p>
      <w:pPr>
        <w:keepLines w:val="0"/>
        <w:keepNext w:val="0"/>
        <w:pageBreakBefore w:val="0"/>
        <w:spacing w:line="500" w:lineRule="exact"/>
        <w:widowControl w:val="off"/>
        <w:rPr>
          <w:rFonts w:hint="eastAsia" w:ascii="仿宋_GB2312" w:hAnsi="Calibri" w:eastAsia="仿宋_GB2312"/>
          <w:color w:val="auto"/>
          <w:sz w:val="32"/>
          <w:szCs w:val="32"/>
          <w:highlight w:val="none"/>
        </w:rPr>
      </w:pPr>
      <w:r>
        <w:rPr>
          <w:rFonts w:hint="eastAsia" w:ascii="宋体" w:hAnsi="宋体" w:eastAsia="宋体" w:cs="宋体"/>
          <w:color w:val="auto"/>
          <w:sz w:val="24"/>
          <w:szCs w:val="24"/>
          <w:highlight w:val="none"/>
        </w:rPr>
        <w:t xml:space="preserve">银行账号：         </w:t>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rPr>
          <w:rFonts w:hint="eastAsia" w:ascii="宋体" w:hAnsi="宋体" w:eastAsia="宋体" w:cs="宋体"/>
          <w:bCs/>
          <w:color w:val="auto"/>
          <w:sz w:val="36"/>
          <w:szCs w:val="36"/>
          <w:highlight w:val="none"/>
        </w:rPr>
        <w:t xml:space="preserve">第四部分  开标和评标</w:t>
      </w:r>
      <w:r/>
    </w:p>
    <w:p>
      <w:pPr>
        <w:pStyle w:val="844"/>
        <w:ind w:left="0" w:right="0" w:firstLine="562"/>
        <w:jc w:val="left"/>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一、开标</w:t>
      </w:r>
      <w:r/>
    </w:p>
    <w:p>
      <w:pPr>
        <w:ind w:firstLine="537"/>
        <w:spacing w:line="500" w:lineRule="exact"/>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不见面远程开标模式：投标人在各自地点通过“苏采云”系统参加开标会。</w:t>
      </w:r>
      <w:r/>
    </w:p>
    <w:p>
      <w:pPr>
        <w:pStyle w:val="844"/>
        <w:ind w:left="0" w:right="0" w:firstLine="562"/>
        <w:jc w:val="left"/>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二、评标流程和评标标准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采用综合评分法，总分值为100分。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评委在认真审阅投标文件的基础上，根据各投标文件的响应程度独立评判，不得统一打分。</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（一）采购人（代表）对投标人资格进行审查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请投标人在“苏采云”系统电子投标(响应)文件格式中的资格条件部分上传对应的材料，投标人资格不合格的，其投标文件判定为无效投标文件。</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（二）评标委员会对符合资格投标人的投标文件进行符合性审查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请投标人在“苏采云”系统电子投标(响应)文件格式中的符合条件部分上传对应的材料，未通过符合性审查的投标文件，将被判为不满足招标文件实质性要求。</w:t>
      </w:r>
      <w:r/>
    </w:p>
    <w:p>
      <w:pPr>
        <w:ind w:firstLine="562"/>
        <w:jc w:val="left"/>
        <w:spacing w:line="500" w:lineRule="exact"/>
        <w:rPr>
          <w:rFonts w:hint="eastAsia" w:asciiTheme="minorEastAsia" w:hAnsiTheme="minorEastAsia" w:eastAsiaTheme="minorEastAsia" w:cstheme="minorEastAsia"/>
          <w:b/>
          <w:bCs w:val="0"/>
          <w:color w:val="auto"/>
          <w:sz w:val="28"/>
          <w:szCs w:val="28"/>
          <w:highlight w:val="none"/>
          <w:lang w:val="zh-CN"/>
        </w:rPr>
      </w:pP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三</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商务技术部分：</w:t>
      </w:r>
      <w:r>
        <w:rPr>
          <w:rFonts w:hint="eastAsia" w:asciiTheme="minorEastAsia" w:hAnsiTheme="minorEastAsia" w:eastAsiaTheme="minorEastAsia" w:cstheme="minorEastAsia"/>
          <w:b/>
          <w:bCs w:val="0"/>
          <w:color w:val="auto"/>
          <w:sz w:val="28"/>
          <w:szCs w:val="28"/>
          <w:highlight w:val="none"/>
          <w:lang w:val="en-US" w:eastAsia="zh-CN"/>
        </w:rPr>
        <w:t xml:space="preserve">60</w:t>
      </w:r>
      <w:r>
        <w:rPr>
          <w:rFonts w:hint="eastAsia" w:asciiTheme="minorEastAsia" w:hAnsiTheme="minorEastAsia" w:eastAsiaTheme="minorEastAsia" w:cstheme="minorEastAsia"/>
          <w:b/>
          <w:bCs w:val="0"/>
          <w:color w:val="auto"/>
          <w:sz w:val="28"/>
          <w:szCs w:val="28"/>
          <w:highlight w:val="none"/>
          <w:lang w:val="zh-CN"/>
        </w:rPr>
        <w:t xml:space="preserve">分</w:t>
      </w:r>
      <w:r/>
    </w:p>
    <w:p>
      <w:pPr>
        <w:ind w:firstLine="560"/>
        <w:jc w:val="left"/>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评标委员会对各投标人得分为评委会成员评分的算术平均分，分值保留小数点后两位。</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bl>
      <w:tblPr>
        <w:tblStyle w:val="838"/>
        <w:tblW w:w="5150" w:type="pct"/>
        <w:jc w:val="center"/>
        <w:tblLayout w:type="fixed"/>
        <w:tblCellMar>
          <w:left w:w="108" w:type="dxa"/>
          <w:top w:w="0" w:type="dxa"/>
          <w:right w:w="108" w:type="dxa"/>
          <w:bottom w:w="0" w:type="dxa"/>
        </w:tblCellMar>
        <w:tblLook w:val="04A0" w:firstRow="1" w:lastRow="0" w:firstColumn="1" w:lastColumn="0" w:noHBand="0" w:noVBand="1"/>
      </w:tblPr>
      <w:tblGrid>
        <w:gridCol w:w="802"/>
        <w:gridCol w:w="1220"/>
        <w:gridCol w:w="873"/>
        <w:gridCol w:w="6672"/>
      </w:tblGrid>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评分标准</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技术</w:t>
            </w:r>
            <w:r/>
          </w:p>
          <w:p>
            <w:pPr>
              <w:jc w:val="center"/>
              <w:rPr>
                <w:rFonts w:hint="eastAsia" w:ascii="宋体" w:hAnsi="宋体" w:cs="宋体"/>
                <w:b/>
                <w:bCs/>
                <w:color w:val="auto"/>
                <w:sz w:val="24"/>
                <w:highlight w:val="none"/>
              </w:rPr>
            </w:pPr>
            <w:r>
              <w:rPr>
                <w:rFonts w:hint="eastAsia" w:ascii="宋体" w:hAnsi="宋体" w:cs="宋体"/>
                <w:color w:val="auto"/>
                <w:sz w:val="24"/>
                <w:highlight w:val="none"/>
              </w:rPr>
              <w:t xml:space="preserve">要求</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lang w:val="en-US" w:eastAsia="zh-CN"/>
              </w:rPr>
              <w:t xml:space="preserve">37</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widowControl/>
              <w:rPr>
                <w:rFonts w:hint="eastAsia" w:ascii="宋体" w:hAnsi="宋体" w:cs="宋体"/>
                <w:strike/>
                <w:color w:val="auto"/>
                <w:sz w:val="24"/>
                <w:highlight w:val="none"/>
              </w:rPr>
            </w:pPr>
            <w:r>
              <w:rPr>
                <w:rFonts w:hint="eastAsia" w:ascii="宋体" w:hAnsi="宋体" w:cs="宋体"/>
                <w:color w:val="auto"/>
                <w:sz w:val="24"/>
                <w:highlight w:val="none"/>
              </w:rPr>
              <w:t xml:space="preserve">投标人所投产品技术参数完全满足招标文件参数要求的得</w:t>
            </w:r>
            <w:r>
              <w:rPr>
                <w:rFonts w:hint="eastAsia" w:ascii="宋体" w:hAnsi="宋体" w:cs="宋体"/>
                <w:color w:val="auto"/>
                <w:sz w:val="24"/>
                <w:highlight w:val="none"/>
                <w:lang w:val="en-US" w:eastAsia="zh-CN"/>
              </w:rPr>
              <w:t xml:space="preserve">37</w:t>
            </w:r>
            <w:r>
              <w:rPr>
                <w:rFonts w:hint="eastAsia" w:ascii="宋体" w:hAnsi="宋体" w:cs="宋体"/>
                <w:color w:val="auto"/>
                <w:sz w:val="24"/>
                <w:highlight w:val="none"/>
              </w:rPr>
              <w:t xml:space="preserve">分，其中加</w:t>
            </w:r>
            <w:r>
              <w:rPr>
                <w:rFonts w:hint="eastAsia" w:ascii="宋体" w:hAnsi="宋体" w:cs="宋体"/>
                <w:bCs/>
                <w:color w:val="auto"/>
                <w:sz w:val="24"/>
                <w:highlight w:val="none"/>
              </w:rPr>
              <w:t xml:space="preserve">“▲”部分为重点条款要求，每有一项不满足的扣</w:t>
            </w:r>
            <w:r>
              <w:rPr>
                <w:rFonts w:hint="eastAsia" w:ascii="宋体" w:hAnsi="宋体" w:cs="宋体"/>
                <w:bCs/>
                <w:color w:val="auto"/>
                <w:sz w:val="24"/>
                <w:highlight w:val="none"/>
                <w:lang w:val="en-US" w:eastAsia="zh-CN"/>
              </w:rPr>
              <w:t xml:space="preserve">1.5</w:t>
            </w:r>
            <w:r>
              <w:rPr>
                <w:rFonts w:hint="eastAsia" w:ascii="宋体" w:hAnsi="宋体" w:cs="宋体"/>
                <w:bCs/>
                <w:color w:val="auto"/>
                <w:sz w:val="24"/>
                <w:highlight w:val="none"/>
              </w:rPr>
              <w:t xml:space="preserve">分；其它技术参数(除“▲”</w:t>
            </w:r>
            <w:r>
              <w:rPr>
                <w:rFonts w:hint="eastAsia" w:ascii="宋体" w:hAnsi="宋体" w:cs="宋体"/>
                <w:bCs/>
                <w:color w:val="auto"/>
                <w:sz w:val="24"/>
                <w:highlight w:val="none"/>
                <w:lang w:val="en-US" w:eastAsia="zh-CN"/>
              </w:rPr>
              <w:t xml:space="preserve">和</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rPr>
              <w:t xml:space="preserve">”项参数外），每有一项不满足扣</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bCs/>
                <w:color w:val="auto"/>
                <w:sz w:val="24"/>
                <w:highlight w:val="none"/>
              </w:rPr>
              <w:t xml:space="preserve">，扣完为止。</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（1）本项目中加“</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部分的参数须提供原厂官方商业宣传文本技术白皮书或原厂说明书，或注册证附表，或制造商官网链接及截图，或第三方检测机构出具的检测报告证明材料,未按要求提供资料或资料无法支持参数内容，视为不得分；               </w:t>
            </w:r>
            <w:r>
              <w:rPr>
                <w:rFonts w:hint="eastAsia"/>
                <w:color w:val="auto"/>
                <w:highlight w:val="none"/>
              </w:rPr>
              <w:t xml:space="preserve">                  </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color w:val="auto"/>
                <w:sz w:val="24"/>
                <w:highlight w:val="none"/>
              </w:rPr>
              <w:t xml:space="preserve">其它不加</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和</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项的技</w:t>
            </w:r>
            <w:r>
              <w:rPr>
                <w:rFonts w:hint="eastAsia" w:ascii="宋体" w:hAnsi="宋体" w:cs="宋体"/>
                <w:b/>
                <w:bCs/>
                <w:color w:val="auto"/>
                <w:sz w:val="24"/>
                <w:highlight w:val="none"/>
              </w:rPr>
              <w:t xml:space="preserve">术参数采用技术部分正负偏离表（格式见附件7）：填制正负偏离表，完全响应的，请以空白表列示；不完全响应的，必须在偏离表中列示；列示不全的，视同故意隐瞒。</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zh-CN"/>
              </w:rPr>
              <w:t xml:space="preserve">技术参数中每一条的要求为一项；技术参数中要求提供证明材料的需在投标文件中注明对应页码和序号，便于评委审核。</w:t>
            </w:r>
            <w:r/>
          </w:p>
        </w:tc>
      </w:tr>
      <w:tr>
        <w:trPr>
          <w:jc w:val="center"/>
          <w:trHeight w:val="50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产品综合性能</w:t>
            </w:r>
            <w:r/>
          </w:p>
        </w:tc>
        <w:tc>
          <w:tcPr>
            <w:shd w:val="clear" w:color="auto" w:fill="auto"/>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spacing w:line="32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根据投标人拟提供所有产品综合性能：</w:t>
            </w:r>
            <w:r>
              <w:rPr>
                <w:rFonts w:hint="eastAsia" w:ascii="宋体" w:hAnsi="宋体" w:cs="宋体"/>
                <w:b/>
                <w:bCs/>
                <w:color w:val="auto"/>
                <w:sz w:val="24"/>
                <w:highlight w:val="none"/>
                <w:lang w:val="zh-CN"/>
              </w:rPr>
              <w:t xml:space="preserve">包含但不限于设备选型、硬件配置、软件功能、制造工艺、安全性、稳定性和操控性，结合投标文件提供的佐证材料等进行综合评审。</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①产品性能科学先进、质量可靠安全、制造工艺精制、产品成熟、耐久性强、具有安全性、稳定性和操控性得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②产品性能齐全、质量良好、制造工艺有欠缺、耐久性一般，有一定的安全性、稳定性和操控性得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③产品性能、质量一般、制造工艺粗糙，耐久性、安全性、稳定性和操控性差的得1分；</w:t>
            </w:r>
            <w:r/>
          </w:p>
          <w:p>
            <w:pPr>
              <w:jc w:val="left"/>
              <w:spacing w:line="320" w:lineRule="exact"/>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实施方案</w:t>
            </w:r>
            <w:r/>
          </w:p>
        </w:tc>
        <w:tc>
          <w:tcPr>
            <w:shd w:val="clear" w:color="auto" w:fill="auto"/>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投标人针对本项目提供实施方案，包括包装运输方案、进度计划、安装调试流程、安装调试技术重难点、安装调试人员安排。</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①包装运输方案完整合理，进度计划安排恰当能充分考虑现场因素，安装调试流程完善、技术重难点分析精确、人员安排得当的，能够有效的实施得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②包装运输方案、进度计划、安装调试流程、安装调试技术重难点、安装调试人员安排的内容有涉及但不完整，可以实施的得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③包装运输方案、进度计划、安装调试流程、安装调试技术重难点、安装调试人员安排的内容有缺失，实施有一定的难度，得1分；</w:t>
            </w:r>
            <w:r/>
          </w:p>
          <w:p>
            <w:pPr>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④未提供的不得分。</w:t>
            </w:r>
            <w:r/>
          </w:p>
        </w:tc>
      </w:tr>
      <w:tr>
        <w:trPr>
          <w:jc w:val="center"/>
          <w:trHeight w:val="240"/>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培训方案</w:t>
            </w:r>
            <w:r/>
          </w:p>
        </w:tc>
        <w:tc>
          <w:tcPr>
            <w:shd w:val="clear" w:color="auto" w:fill="auto"/>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6672" w:type="dxa"/>
            <w:vAlign w:val="top"/>
            <w:textDirection w:val="lrTb"/>
            <w:noWrap/>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投标人针对本项目提供培训方案，包括培训内容、培训人员安排、培训周期、培训验收。</w:t>
            </w:r>
            <w:r/>
          </w:p>
          <w:p>
            <w:pPr>
              <w:rPr>
                <w:rFonts w:hint="eastAsia" w:ascii="宋体" w:hAnsi="宋体" w:cs="宋体"/>
                <w:color w:val="auto"/>
                <w:sz w:val="24"/>
                <w:highlight w:val="none"/>
              </w:rPr>
            </w:pPr>
            <w:r>
              <w:rPr>
                <w:rFonts w:hint="eastAsia" w:ascii="宋体" w:hAnsi="宋体" w:cs="宋体"/>
                <w:color w:val="auto"/>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②方案详细、响应虽有滞后服务体系尚算完整，能基本确保业务稳定运行，人员安排得当、培训质量有保障的，对紧急故障有解决措施但有缺项，实施起来一般的得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③方案笼统、响应滞后，人员安排不合理、培训质量无法保证的，服务体系虽完整，但缺乏有效保障业务稳定运行的措施的得1分；</w:t>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④未提供不得分。</w:t>
            </w:r>
            <w:r/>
          </w:p>
        </w:tc>
      </w:tr>
      <w:tr>
        <w:trPr>
          <w:jc w:val="center"/>
          <w:trHeight w:val="204"/>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应急保障方案</w:t>
            </w:r>
            <w:r/>
          </w:p>
        </w:tc>
        <w:tc>
          <w:tcPr>
            <w:shd w:val="clear" w:color="auto" w:fill="auto"/>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投标人针对本项目提供应急保障方案，包括应急响应时间及修复时间、应急保障措施。</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①完善的应急保障方案，如遇预防突发事件发生，能对此进行有效的应对处理，能够及时响应，修复速度快，切实可行的得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②合理的应急保障方案、响应虽有滞后服务体系尚算完整，能基本确保业务稳定运行，对紧急故障有解决措施但有缺项，实施起来一般的得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③方案笼统、响应滞后，响应时间不合理、服务体系虽完整，但缺乏有效保障业务稳定运行的措施的得1分；</w:t>
            </w:r>
            <w:r/>
          </w:p>
          <w:p>
            <w:pPr>
              <w:jc w:val="left"/>
              <w:spacing w:line="32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right w:val="single" w:color="000000" w:sz="4" w:space="0"/>
            </w:tcBorders>
            <w:tcW w:w="802" w:type="dxa"/>
            <w:vAlign w:val="center"/>
            <w:vMerge w:val="restart"/>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6</w:t>
            </w:r>
            <w:r/>
          </w:p>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售后服务方案</w:t>
            </w:r>
            <w:r/>
          </w:p>
        </w:tc>
        <w:tc>
          <w:tcPr>
            <w:shd w:val="clear" w:color="auto" w:fill="auto"/>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投标人针对本项目提供售后服务方案，包括售后服务内容、售后服务人员安排、售后服务响应、巡检制度、备品备件。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①方案详细完整、响应及时、人员安排齐全、服务体系完整、措施可靠，有健全的巡检制度、备品备件齐全，切实可行的得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②方案合理、响应虽有滞后服务体系尚算完整，人员安排合理，能确保业务稳定运行，有充分的备品备件，得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③方案笼统、响应滞后，服务体系虽完整，但缺乏有效保障业务稳定运行的措施，备品备件不充分得1分；</w:t>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④</w:t>
            </w:r>
            <w:bookmarkStart w:id="130" w:name="_GoBack"/>
            <w:r/>
            <w:bookmarkEnd w:id="130"/>
            <w:r>
              <w:rPr>
                <w:rFonts w:hint="eastAsia" w:ascii="宋体" w:hAnsi="宋体" w:cs="宋体"/>
                <w:color w:val="auto"/>
                <w:sz w:val="24"/>
                <w:highlight w:val="none"/>
              </w:rPr>
              <w:t xml:space="preserve">未提供不得分。</w:t>
            </w:r>
            <w:r/>
          </w:p>
        </w:tc>
      </w:tr>
      <w:tr>
        <w:trPr>
          <w:jc w:val="center"/>
          <w:trHeight w:val="348"/>
        </w:trPr>
        <w:tc>
          <w:tcPr>
            <w:shd w:val="clear" w:color="000000" w:fill="ffffff"/>
            <w:tcBorders>
              <w:left w:val="single" w:color="000000" w:sz="4" w:space="0"/>
              <w:right w:val="single" w:color="000000" w:sz="4" w:space="0"/>
            </w:tcBorders>
            <w:tcW w:w="802" w:type="dxa"/>
            <w:vAlign w:val="center"/>
            <w:vMerge w:val="continue"/>
            <w:textDirection w:val="lrTb"/>
            <w:noWrap/>
          </w:tcPr>
          <w:p>
            <w:pPr>
              <w:pStyle w:val="846"/>
              <w:ind w:firstLine="0"/>
              <w:jc w:val="center"/>
              <w:spacing w:line="240" w:lineRule="auto"/>
              <w:rPr>
                <w:rFonts w:hint="eastAsia" w:ascii="宋体" w:hAnsi="宋体" w:cs="宋体"/>
                <w:color w:val="auto"/>
                <w:highlight w:val="none"/>
              </w:rPr>
            </w:pPr>
            <w:r>
              <w:rPr>
                <w:rFonts w:hint="eastAsia" w:ascii="宋体" w:hAnsi="宋体" w:cs="宋体"/>
                <w:color w:val="auto"/>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质保期</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本次采购设备整体质保期要求为3年，投标人承诺在此基础上增加1年得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分，最多得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b/>
                <w:bCs/>
                <w:color w:val="auto"/>
                <w:sz w:val="24"/>
                <w:highlight w:val="none"/>
              </w:rPr>
              <w:t xml:space="preserve">（提供承诺函加盖公章，格式自拟）</w:t>
            </w:r>
            <w:r/>
          </w:p>
        </w:tc>
      </w:tr>
      <w:tr>
        <w:trPr>
          <w:jc w:val="center"/>
          <w:trHeight w:val="348"/>
        </w:trPr>
        <w:tc>
          <w:tcPr>
            <w:shd w:val="clear" w:color="000000" w:fill="ffffff"/>
            <w:tcBorders>
              <w:top w:val="single" w:color="000000" w:sz="4" w:space="0"/>
              <w:left w:val="single" w:color="000000" w:sz="4" w:space="0"/>
              <w:right w:val="single" w:color="auto" w:sz="4" w:space="0"/>
            </w:tcBorders>
            <w:tcW w:w="802" w:type="dxa"/>
            <w:vAlign w:val="center"/>
            <w:textDirection w:val="lrTb"/>
            <w:noWrap/>
          </w:tcPr>
          <w:p>
            <w:pPr>
              <w:pStyle w:val="846"/>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lang w:val="en-US" w:eastAsia="zh-CN"/>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业绩</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pStyle w:val="846"/>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自2023年1月1日以来（以合同签订时间为准）完成</w:t>
            </w:r>
            <w:r>
              <w:rPr>
                <w:rFonts w:hint="eastAsia" w:ascii="宋体" w:hAnsi="宋体" w:cs="宋体"/>
                <w:b/>
                <w:bCs/>
                <w:color w:val="auto"/>
                <w:sz w:val="24"/>
                <w:highlight w:val="none"/>
              </w:rPr>
              <w:t xml:space="preserve">本项目所投产品</w:t>
            </w:r>
            <w:r>
              <w:rPr>
                <w:rFonts w:hint="eastAsia" w:ascii="宋体" w:hAnsi="宋体" w:cs="宋体"/>
                <w:color w:val="auto"/>
                <w:sz w:val="24"/>
                <w:highlight w:val="none"/>
              </w:rPr>
              <w:t xml:space="preserve">的业绩，有一份得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分，满分</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color w:val="auto"/>
                <w:highlight w:val="none"/>
              </w:rPr>
              <w:t xml:space="preserve"> </w:t>
            </w:r>
            <w:r/>
          </w:p>
          <w:p>
            <w:pPr>
              <w:jc w:val="left"/>
              <w:rPr>
                <w:rFonts w:hint="eastAsia" w:ascii="宋体" w:hAnsi="宋体" w:eastAsia="宋体" w:cs="宋体"/>
                <w:color w:val="auto"/>
                <w:sz w:val="21"/>
                <w:szCs w:val="24"/>
                <w:highlight w:val="none"/>
                <w:lang w:val="en-US" w:eastAsia="zh-CN" w:bidi="ar-SA"/>
              </w:rPr>
            </w:pPr>
            <w:r>
              <w:rPr>
                <w:rFonts w:hint="eastAsia"/>
                <w:color w:val="auto"/>
                <w:highlight w:val="none"/>
              </w:rPr>
              <w:t xml:space="preserve"> </w:t>
            </w:r>
            <w:r>
              <w:rPr>
                <w:rFonts w:hint="eastAsia" w:ascii="宋体" w:hAnsi="宋体" w:cs="宋体"/>
                <w:b/>
                <w:bCs/>
                <w:color w:val="auto"/>
                <w:sz w:val="24"/>
                <w:highlight w:val="none"/>
              </w:rPr>
              <w:t xml:space="preserve">注：提供合同（须提供合同双方签署页及合同签署双方的完整信息）。</w:t>
            </w:r>
            <w:r/>
          </w:p>
        </w:tc>
      </w:tr>
      <w:tr>
        <w:trPr>
          <w:jc w:val="center"/>
          <w:trHeight w:val="184"/>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46"/>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lang w:val="en-US" w:eastAsia="zh-CN"/>
              </w:rPr>
              <w:t xml:space="preserve">8</w:t>
            </w:r>
            <w:r/>
          </w:p>
        </w:tc>
        <w:tc>
          <w:tcPr>
            <w:shd w:val="clear" w:color="000000" w:fill="ffffff"/>
            <w:tcBorders>
              <w:top w:val="single" w:color="auto" w:sz="4" w:space="0"/>
              <w:left w:val="singl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节能</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环保</w:t>
            </w:r>
            <w:r/>
          </w:p>
        </w:tc>
        <w:tc>
          <w:tcPr>
            <w:shd w:val="clear" w:color="000000" w:fill="ffffff"/>
            <w:tcBorders>
              <w:top w:val="single" w:color="auto" w:sz="4" w:space="0"/>
              <w:left w:val="single" w:color="000000" w:sz="4" w:space="0"/>
              <w:bottom w:val="single" w:color="000000" w:sz="4" w:space="0"/>
              <w:right w:val="single" w:color="000000" w:sz="4" w:space="0"/>
            </w:tcBorders>
            <w:tcW w:w="873" w:type="dxa"/>
            <w:vAlign w:val="center"/>
            <w:textDirection w:val="lrTb"/>
            <w:noWrap/>
          </w:tcPr>
          <w:p>
            <w:pPr>
              <w:pStyle w:val="847"/>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000000" w:fill="ffffff"/>
            <w:tcBorders>
              <w:top w:val="single" w:color="auto" w:sz="4" w:space="0"/>
              <w:left w:val="single" w:color="000000" w:sz="4" w:space="0"/>
              <w:bottom w:val="single" w:color="000000" w:sz="4" w:space="0"/>
              <w:right w:val="single" w:color="000000" w:sz="4" w:space="0"/>
            </w:tcBorders>
            <w:tcW w:w="6672"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ind w:firstLine="560"/>
        <w:spacing w:line="500" w:lineRule="exact"/>
        <w:rPr>
          <w:rFonts w:hint="eastAsia" w:asciiTheme="majorEastAsia" w:hAnsiTheme="majorEastAsia" w:eastAsiaTheme="majorEastAsia" w:cstheme="majorEastAsia"/>
          <w:b/>
          <w:bCs/>
          <w:color w:val="auto"/>
          <w:sz w:val="30"/>
          <w:szCs w:val="30"/>
          <w:highlight w:val="none"/>
        </w:rPr>
      </w:pPr>
      <w:r>
        <w:rPr>
          <w:rFonts w:hint="eastAsia" w:asciiTheme="majorEastAsia" w:hAnsiTheme="majorEastAsia" w:eastAsiaTheme="majorEastAsia" w:cstheme="majorEastAsia"/>
          <w:b/>
          <w:bCs/>
          <w:color w:val="auto"/>
          <w:sz w:val="30"/>
          <w:szCs w:val="30"/>
          <w:highlight w:val="none"/>
        </w:rPr>
        <w:t xml:space="preserve">备注：所涉及的相关证明材料均需加盖投标人公章。如发现有弄虚作假的，作无效标处理，并报相关主管部门记不良行为一次；中标后，采购人有权对</w:t>
      </w:r>
      <w:r>
        <w:rPr>
          <w:rFonts w:hint="eastAsia" w:asciiTheme="majorEastAsia" w:hAnsiTheme="majorEastAsia" w:eastAsiaTheme="majorEastAsia" w:cstheme="majorEastAsia"/>
          <w:b/>
          <w:bCs/>
          <w:color w:val="auto"/>
          <w:sz w:val="30"/>
          <w:szCs w:val="30"/>
          <w:highlight w:val="none"/>
          <w:lang w:eastAsia="zh-CN"/>
        </w:rPr>
        <w:t xml:space="preserve">中标</w:t>
      </w:r>
      <w:r>
        <w:rPr>
          <w:rFonts w:hint="eastAsia" w:asciiTheme="majorEastAsia" w:hAnsiTheme="majorEastAsia" w:eastAsiaTheme="majorEastAsia" w:cstheme="majorEastAsia"/>
          <w:b/>
          <w:bCs/>
          <w:color w:val="auto"/>
          <w:sz w:val="30"/>
          <w:szCs w:val="30"/>
          <w:highlight w:val="none"/>
        </w:rPr>
        <w:t xml:space="preserve">供应商提供的相关证明材料进行原件核实，发现有弄虚作假的，则取消其中标资格。</w:t>
      </w:r>
      <w:r/>
    </w:p>
    <w:p>
      <w:pPr>
        <w:ind w:firstLine="560"/>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w:t>
      </w:r>
      <w:r>
        <w:rPr>
          <w:rFonts w:hint="eastAsia" w:ascii="宋体" w:hAnsi="宋体" w:eastAsia="宋体" w:cs="宋体"/>
          <w:b/>
          <w:bCs w:val="0"/>
          <w:color w:val="auto"/>
          <w:sz w:val="28"/>
          <w:szCs w:val="28"/>
          <w:highlight w:val="none"/>
          <w:lang w:val="zh-CN"/>
        </w:rPr>
        <w:t xml:space="preserve">价格分</w:t>
      </w:r>
      <w:r>
        <w:rPr>
          <w:rFonts w:hint="eastAsia" w:ascii="宋体" w:hAnsi="宋体" w:eastAsia="宋体" w:cs="宋体"/>
          <w:b/>
          <w:bCs w:val="0"/>
          <w:color w:val="auto"/>
          <w:sz w:val="28"/>
          <w:szCs w:val="28"/>
          <w:highlight w:val="none"/>
        </w:rPr>
        <w:t xml:space="preserve">：</w:t>
      </w:r>
      <w:r>
        <w:rPr>
          <w:rFonts w:hint="eastAsia" w:ascii="宋体" w:hAnsi="宋体" w:cs="宋体"/>
          <w:b/>
          <w:bCs w:val="0"/>
          <w:color w:val="auto"/>
          <w:sz w:val="28"/>
          <w:szCs w:val="28"/>
          <w:highlight w:val="none"/>
          <w:lang w:val="en-US" w:eastAsia="zh-CN"/>
        </w:rPr>
        <w:t xml:space="preserve">40</w:t>
      </w:r>
      <w:r>
        <w:rPr>
          <w:rFonts w:hint="eastAsia" w:ascii="宋体" w:hAnsi="宋体" w:eastAsia="宋体" w:cs="宋体"/>
          <w:b/>
          <w:bCs w:val="0"/>
          <w:color w:val="auto"/>
          <w:sz w:val="28"/>
          <w:szCs w:val="28"/>
          <w:highlight w:val="none"/>
          <w:lang w:val="zh-CN"/>
        </w:rPr>
        <w:t xml:space="preserve">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投标报价得分=（评标基准价/投标报价）×价格权值×100</w:t>
      </w:r>
      <w:r/>
    </w:p>
    <w:p>
      <w:pPr>
        <w:pStyle w:val="844"/>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五</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政府采购政策功能落实</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1.非专门面向中小企业采购的项目或者采购包，执行以下价格评审优惠的扶持政策。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（1）小微型企业价格扣除：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①对小型和微型企业产品给予10%的扣除价格，用扣除后的价格参与评审。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②供应商需按照《政府采购促进中小企业发展管理办法》（财库</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2020</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46号）的规定提供相应的《中小企业声明函》。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③企业标准请参照《关于印发中小企业划型标准规定的通知》（工信部联企业</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2011</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300号）文件规定自行填写。</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（2）残疾人福利单位价格扣除：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①对残疾人福利性单位，给予10%的价格扣除，用扣除后的价格参与评审。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②残疾人福利单位需按照采购文件的要求提供《残疾人福利性单位声明函》。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③残疾人福利单位标准请参照《关于促进残疾人就业政府采购政策的通知》（财库〔2017〕141号）。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（3）监狱和戒毒企业价格扣除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①对监狱和戒毒企业（简称监狱企业）给予10%的价格扣除，用扣除后的价格参与评审。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③监狱企业标准请参照《关于政府采购支持监狱企业发展有关问题的通知》（财库〔2014</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68号）。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（4）残疾人福利单位、监狱企业属于小型、微型企业的，不重复享受政策。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2.专门面向中小企业采购的项目或者采购包，不再执行上述价格评审优惠的扶持政策。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3.采购本国产品的支持政策</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hint="eastAsia" w:asciiTheme="minorEastAsia" w:hAnsiTheme="minorEastAsia" w:eastAsiaTheme="minorEastAsia" w:cstheme="minorEastAsia"/>
          <w:b/>
          <w:sz w:val="28"/>
          <w:szCs w:val="28"/>
        </w:rPr>
        <w:t xml:space="preserve">供应商需在“第五部分 投标文件格式”的“附件8 分项报价明细表”中填写比例数值</w:t>
      </w:r>
      <w:r>
        <w:rPr>
          <w:rFonts w:hint="eastAsia" w:asciiTheme="minorEastAsia" w:hAnsiTheme="minorEastAsia" w:eastAsiaTheme="minorEastAsia" w:cstheme="minorEastAsia"/>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3.3 对于仅有本国产品参与竞争的政府采购项目，本国产品不享受价格扣除评审优惠。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 供应商需在《声明函》中逐一、准确填写产品名称、厂名、生产厂址三项信息（</w:t>
      </w:r>
      <w:r>
        <w:rPr>
          <w:rFonts w:hint="eastAsia" w:asciiTheme="minorEastAsia" w:hAnsiTheme="minorEastAsia" w:eastAsiaTheme="minorEastAsia" w:cstheme="minorEastAsia"/>
          <w:b/>
          <w:sz w:val="28"/>
          <w:szCs w:val="28"/>
        </w:rPr>
        <w:t xml:space="preserve">《声明函》中用斜线划除的地方无需填写</w:t>
      </w:r>
      <w:r>
        <w:rPr>
          <w:rFonts w:hint="eastAsia" w:asciiTheme="minorEastAsia" w:hAnsiTheme="minorEastAsia" w:eastAsiaTheme="minorEastAsia" w:cstheme="minorEastAsia"/>
          <w:bCs/>
          <w:sz w:val="28"/>
          <w:szCs w:val="28"/>
        </w:rPr>
        <w:t xml:space="preserve">），三项信息中任意一项未填写的视为该项产品不符合本国产品标准，不享受本国产品价格评审优惠。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pStyle w:val="844"/>
        <w:ind w:left="0" w:right="0" w:firstLine="562"/>
        <w:jc w:val="both"/>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（六）中标人的确定</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评委会汇总各评委评分后，评标合计得分最高的投标人为中标候选人，若总得分者有相同时，则投标报价低者排名优先，均相同时则通过抽签方式随机确定排名顺序。</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本项目（每标段）选取1名中标候选人，并编写评标报告。采购人应根据评委会推荐的中标候选人确定中标人。</w:t>
      </w:r>
      <w:r/>
    </w:p>
    <w:p>
      <w:pPr>
        <w:pStyle w:val="844"/>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（七）公告中标结果</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自确定中标人之日起2个工作日内，在江苏政府采购网公告中标结果，公告期限为1个工作日。</w:t>
      </w:r>
      <w:r/>
    </w:p>
    <w:p>
      <w:pPr>
        <w:pStyle w:val="844"/>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（八）发放中标通知书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公告中标结果的同时，</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向中标供应商发放中标通知书。</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签订合同时请中标供应商提</w:t>
      </w:r>
      <w:r>
        <w:rPr>
          <w:rFonts w:hint="eastAsia" w:ascii="宋体" w:hAnsi="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正</w:t>
      </w:r>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副</w:t>
      </w:r>
      <w:r>
        <w:rPr>
          <w:rFonts w:hint="eastAsia" w:ascii="宋体" w:hAnsi="宋体" w:eastAsia="宋体" w:cs="宋体"/>
          <w:b/>
          <w:color w:val="auto"/>
          <w:sz w:val="28"/>
          <w:szCs w:val="28"/>
          <w:highlight w:val="none"/>
        </w:rPr>
        <w:t xml:space="preserve">纸质版投标文件至采购人处。</w:t>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Cs/>
          <w:color w:val="auto"/>
          <w:sz w:val="36"/>
          <w:szCs w:val="36"/>
          <w:highlight w:val="none"/>
        </w:rPr>
        <w:t xml:space="preserve">第五部分  投标文件格式</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rPr>
        <w:t xml:space="preserve">投标人符合《中华人民共和国政府采购法》第二十二条规定条件的声明函</w:t>
      </w:r>
      <w:r>
        <w:rPr>
          <w:rFonts w:hint="eastAsia" w:ascii="宋体" w:hAnsi="宋体" w:eastAsia="宋体" w:cs="宋体"/>
          <w:color w:val="auto"/>
          <w:sz w:val="28"/>
          <w:szCs w:val="28"/>
          <w:highlight w:val="none"/>
          <w:lang w:val="zh-CN"/>
        </w:rPr>
        <w:t xml:space="preserve">（格式见附件1）（如分公司参加投标的，另需提供总公司的授权证明）；</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2.法人或者其他组织的</w:t>
      </w:r>
      <w:r>
        <w:rPr>
          <w:rFonts w:hint="eastAsia" w:ascii="宋体" w:hAnsi="宋体" w:eastAsia="宋体" w:cs="宋体"/>
          <w:b/>
          <w:bCs/>
          <w:color w:val="auto"/>
          <w:sz w:val="28"/>
          <w:szCs w:val="28"/>
          <w:highlight w:val="none"/>
          <w:lang w:val="zh-CN"/>
        </w:rPr>
        <w:t xml:space="preserve">营业执照</w:t>
      </w:r>
      <w:r>
        <w:rPr>
          <w:rFonts w:hint="eastAsia" w:ascii="宋体" w:hAnsi="宋体" w:eastAsia="宋体" w:cs="宋体"/>
          <w:color w:val="auto"/>
          <w:sz w:val="28"/>
          <w:szCs w:val="28"/>
          <w:highlight w:val="none"/>
          <w:lang w:val="zh-CN"/>
        </w:rPr>
        <w:t xml:space="preserve">等证明文件，自然人参加的提供身份证明；</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3.法定代表人参加投标的提供法定代表人身份证明书（格式见附件2）；非法定代表人参加投标的提供法定代表人授权委托书原件（格式见附件3）；</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供应商信用承诺书（格式见附件</w:t>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5.投标函（格式见附件5）；</w:t>
      </w:r>
      <w:r/>
    </w:p>
    <w:p>
      <w:pPr>
        <w:ind w:firstLine="560"/>
        <w:keepLines w:val="0"/>
        <w:keepNext w:val="0"/>
        <w:pageBreakBefore w:val="0"/>
        <w:spacing w:line="54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6.投标产品按国家规定须医疗器械注册证的，投标人须提供投标产品的《医疗器械注册证》；</w:t>
      </w:r>
      <w:r/>
    </w:p>
    <w:p>
      <w:pPr>
        <w:ind w:firstLine="560"/>
        <w:keepLines w:val="0"/>
        <w:keepNext w:val="0"/>
        <w:pageBreakBefore w:val="0"/>
        <w:spacing w:line="54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7.投标人如为医疗器械生产企业投标本企业产品的，须提供《医疗器械生产许可证》；如为医疗器械经营企业的，须根据投标产品的类别，提供投标人的《医疗器械经营许可证》或者《医疗器械经营备案凭证》；</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8.投标产品若为进口设备，投标人须提供代理授权书或制造商授权书；投标产品若为国产设备，则本项无需提供材料；</w:t>
      </w:r>
      <w:r/>
    </w:p>
    <w:p>
      <w:pPr>
        <w:ind w:firstLine="560"/>
        <w:spacing w:line="500" w:lineRule="exact"/>
        <w:rPr>
          <w:rFonts w:hint="eastAsia" w:ascii="宋体" w:hAnsi="宋体" w:eastAsia="宋体" w:cs="宋体"/>
          <w:bCs/>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lang w:val="zh-CN"/>
        </w:rPr>
        <w:t xml:space="preserve">商务部分正负偏离表（格式见附件6）、技术部分正负偏离表（格式见附件7）</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 xml:space="preserve">填制正负偏离表，完全响应的，请以空白表列示。不完全响应的，必须在偏离表中列示；列示不全的，视同故意隐瞒。</w:t>
      </w:r>
      <w:r/>
    </w:p>
    <w:p>
      <w:pPr>
        <w:pStyle w:val="843"/>
        <w:ind w:firstLine="560"/>
        <w:spacing w:before="0" w:beforeAutospacing="0" w:after="0" w:afterAutospacing="0" w:line="500" w:lineRule="exact"/>
        <w:rPr>
          <w:rFonts w:hint="eastAsia" w:ascii="宋体" w:hAnsi="宋体" w:eastAsia="宋体" w:cs="宋体"/>
          <w:color w:val="auto"/>
          <w:sz w:val="28"/>
          <w:szCs w:val="28"/>
          <w:highlight w:val="none"/>
          <w:lang w:val="zh-CN"/>
        </w:rPr>
      </w:pPr>
      <w:r>
        <w:rPr>
          <w:rFonts w:hint="eastAsia" w:cs="宋体"/>
          <w:bCs/>
          <w:color w:val="auto"/>
          <w:sz w:val="28"/>
          <w:szCs w:val="28"/>
          <w:highlight w:val="none"/>
          <w:lang w:val="en-US" w:eastAsia="zh-CN"/>
        </w:rPr>
        <w:t xml:space="preserve">10.</w:t>
      </w:r>
      <w:r>
        <w:rPr>
          <w:rFonts w:hint="eastAsia" w:ascii="宋体" w:hAnsi="宋体" w:eastAsia="宋体" w:cs="宋体"/>
          <w:bCs/>
          <w:color w:val="auto"/>
          <w:sz w:val="28"/>
          <w:szCs w:val="28"/>
          <w:highlight w:val="none"/>
          <w:lang w:val="zh-CN"/>
        </w:rPr>
        <w:t xml:space="preserve">开标一览表[格式见“苏采云”系统内电子投标（响应）文件中表式]</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lang w:val="zh-CN"/>
        </w:rPr>
        <w:t xml:space="preserve">.分项报价明细表（格式见附件8）；</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中小企业声明函（</w:t>
      </w:r>
      <w:r>
        <w:rPr>
          <w:rFonts w:hint="eastAsia" w:ascii="宋体" w:hAnsi="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格式见附件9）</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格式见附件10）</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监狱和戒毒企业证明材料（</w:t>
      </w:r>
      <w:r>
        <w:rPr>
          <w:rFonts w:hint="eastAsia" w:ascii="宋体" w:hAnsi="宋体" w:cs="宋体"/>
          <w:color w:val="auto"/>
          <w:sz w:val="28"/>
          <w:szCs w:val="28"/>
          <w:highlight w:val="none"/>
          <w:lang w:val="en-US" w:eastAsia="zh-CN"/>
        </w:rPr>
        <w:t xml:space="preserve">如有，</w:t>
      </w:r>
      <w:r>
        <w:rPr>
          <w:rFonts w:hint="eastAsia" w:ascii="宋体" w:hAnsi="宋体" w:eastAsia="宋体" w:cs="宋体"/>
          <w:bCs/>
          <w:color w:val="auto"/>
          <w:sz w:val="28"/>
          <w:szCs w:val="28"/>
          <w:highlight w:val="none"/>
        </w:rPr>
        <w:t xml:space="preserve">格式见附件11）</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.关于符合本国产品标准的声明函（</w:t>
      </w:r>
      <w:r>
        <w:rPr>
          <w:rFonts w:hint="eastAsia" w:ascii="宋体" w:hAnsi="宋体" w:eastAsia="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格式见附件12，如不提供将不享受本国产品价格评审优惠）</w:t>
      </w:r>
      <w:r>
        <w:rPr>
          <w:rFonts w:hint="eastAsia" w:ascii="宋体" w:hAnsi="宋体" w:eastAsia="宋体" w:cs="宋体"/>
          <w:color w:val="auto"/>
          <w:sz w:val="28"/>
          <w:szCs w:val="28"/>
          <w:highlight w:val="none"/>
          <w:lang w:eastAsia="zh-CN"/>
        </w:rPr>
        <w:t xml:space="preserve">；</w:t>
      </w:r>
      <w:r/>
    </w:p>
    <w:p>
      <w:pPr>
        <w:ind w:firstLine="562"/>
        <w:spacing w:line="500" w:lineRule="exact"/>
        <w:rPr>
          <w:rFonts w:hint="eastAsia" w:ascii="宋体" w:hAnsi="宋体" w:eastAsia="宋体" w:cs="宋体"/>
          <w:b/>
          <w:color w:val="auto"/>
          <w:sz w:val="28"/>
          <w:szCs w:val="28"/>
          <w:highlight w:val="none"/>
          <w:lang w:val="zh-CN"/>
        </w:rPr>
      </w:pPr>
      <w:r>
        <w:rPr>
          <w:rFonts w:hint="eastAsia" w:ascii="宋体" w:hAnsi="宋体" w:eastAsia="宋体" w:cs="宋体"/>
          <w:b/>
          <w:bCs/>
          <w:color w:val="auto"/>
          <w:sz w:val="28"/>
          <w:szCs w:val="28"/>
          <w:highlight w:val="none"/>
          <w:lang w:val="en-US" w:eastAsia="zh-CN"/>
        </w:rPr>
        <w:t xml:space="preserve">16.本项目采购需求中必须满足的实质性要求：技术部分实质性要求：采购清单功能要求中加“★”项为实质性要求，不得负偏离，若有任何一条未响应或不满足则导致投标无效。供应商须提供原厂官方商业宣传文本技术白皮书（或原厂说明书），或注册证附表，或制造商官网链接及截图，或第三方检测机构出具的检测报告证明材料(单独备注的除外）。</w:t>
      </w:r>
      <w:r>
        <w:rPr>
          <w:rFonts w:hint="eastAsia" w:ascii="宋体" w:hAnsi="宋体" w:eastAsia="宋体" w:cs="宋体"/>
          <w:b/>
          <w:color w:val="auto"/>
          <w:sz w:val="28"/>
          <w:szCs w:val="28"/>
          <w:highlight w:val="none"/>
          <w:lang w:val="zh-CN"/>
        </w:rPr>
        <w:br w:type="page" w:clear="all"/>
      </w:r>
      <w:r/>
    </w:p>
    <w:p>
      <w:pPr>
        <w:jc w:val="left"/>
        <w:widowControl/>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附件1</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投标人符合《中华人民共和国政府采购法》第二十二条规定条件的声明函</w:t>
      </w:r>
      <w:r/>
    </w:p>
    <w:p>
      <w:pPr>
        <w:ind w:firstLine="482"/>
        <w:spacing w:line="520" w:lineRule="exact"/>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r>
      <w:r/>
    </w:p>
    <w:p>
      <w:pPr>
        <w:spacing w:line="520" w:lineRule="exact"/>
        <w:rPr>
          <w:rFonts w:hint="eastAsia" w:asciiTheme="minorEastAsia" w:hAnsiTheme="minorEastAsia" w:eastAsiaTheme="minorEastAsia" w:cstheme="minorEastAsia"/>
          <w:b/>
          <w:bCs/>
          <w:color w:val="000000"/>
          <w:sz w:val="28"/>
          <w:szCs w:val="28"/>
        </w:rPr>
      </w:pPr>
      <w:r>
        <w:rPr>
          <w:rFonts w:hint="eastAsia" w:asciiTheme="minorEastAsia" w:hAnsiTheme="minorEastAsia" w:eastAsiaTheme="minorEastAsia" w:cstheme="minorEastAsia"/>
          <w:bCs/>
          <w:color w:val="000000"/>
          <w:sz w:val="28"/>
          <w:szCs w:val="28"/>
        </w:rPr>
        <w:t xml:space="preserve">我单位参加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color w:val="000000"/>
          <w:sz w:val="28"/>
          <w:szCs w:val="28"/>
        </w:rPr>
        <w:t xml:space="preserve">投标活动。针对《中华人民共和国政府采购法》第二十二条规定做出如下声明：</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Cs/>
          <w:color w:val="000000"/>
          <w:sz w:val="28"/>
          <w:szCs w:val="28"/>
        </w:rPr>
        <w:t xml:space="preserve">1.我单位具有独立承担民事责任的能力；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2.我单位具有良好的商业信誉和健全的财务会计制度；</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3.我单位具有履行合同所必需的设备和专业技术能力；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4.我单位有依法缴纳税收和社会保障资金的良好记录；</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6.我单位满足法律、行政法规规定的其他条件。</w:t>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jc w:val="center"/>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承诺人名称（加盖公章）：</w:t>
      </w:r>
      <w:r>
        <w:rPr>
          <w:rFonts w:hint="eastAsia" w:asciiTheme="minorEastAsia" w:hAnsiTheme="minorEastAsia" w:eastAsiaTheme="minorEastAsia" w:cstheme="minorEastAsia"/>
          <w:sz w:val="28"/>
          <w:szCs w:val="28"/>
          <w:u w:val="single"/>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日期：</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年</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月</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日</w:t>
      </w:r>
      <w:r/>
    </w:p>
    <w:p>
      <w:pPr>
        <w:contextualSpacing/>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shd w:val="nil" w:color="auto"/>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highlight w:val="none"/>
          <w:lang w:val="zh-CN"/>
        </w:rPr>
        <w:br w:type="page" w:clear="all"/>
      </w:r>
      <w:r>
        <w:rPr>
          <w:rFonts w:hint="eastAsia" w:asciiTheme="minorEastAsia" w:hAnsiTheme="minorEastAsia" w:eastAsiaTheme="minorEastAsia" w:cstheme="minorEastAsia"/>
          <w:sz w:val="32"/>
          <w:szCs w:val="32"/>
          <w:highlight w:val="none"/>
          <w:lang w:val="zh-CN"/>
        </w:rPr>
      </w:r>
      <w:r/>
    </w:p>
    <w:p>
      <w:pPr>
        <w:contextualSpacing/>
        <w:spacing w:line="400" w:lineRule="exact"/>
        <w:rPr>
          <w:rFonts w:hint="eastAsia" w:asciiTheme="minorEastAsia" w:hAnsiTheme="minorEastAsia" w:eastAsiaTheme="minorEastAsia" w:cstheme="minorEastAsia"/>
          <w:sz w:val="32"/>
          <w:szCs w:val="32"/>
          <w:highlight w:val="none"/>
          <w:lang w:val="zh-CN"/>
        </w:rPr>
      </w:pPr>
      <w:r>
        <w:rPr>
          <w:rFonts w:hint="eastAsia" w:asciiTheme="minorEastAsia" w:hAnsiTheme="minorEastAsia" w:eastAsiaTheme="minorEastAsia" w:cstheme="minorEastAsia"/>
          <w:sz w:val="32"/>
          <w:szCs w:val="32"/>
          <w:lang w:val="zh-CN"/>
        </w:rPr>
        <w:t xml:space="preserve">附件2</w:t>
      </w:r>
      <w:r/>
    </w:p>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30"/>
          <w:szCs w:val="30"/>
        </w:rPr>
        <w:t xml:space="preserve">法定代表人身份证明</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先生/女士，身份证号码：</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，现任我单位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职务，为我单位法定代表人，特此证明。</w:t>
      </w:r>
      <w:r/>
    </w:p>
    <w:p>
      <w:pPr>
        <w:ind w:firstLine="56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本证明用于参加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bCs/>
          <w:color w:val="000000"/>
          <w:sz w:val="28"/>
          <w:szCs w:val="28"/>
        </w:rPr>
        <w:t xml:space="preserve">）投标活动。</w:t>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单位名称（加盖公章）：</w:t>
      </w:r>
      <w:r>
        <w:rPr>
          <w:rFonts w:hint="eastAsia" w:asciiTheme="minorEastAsia" w:hAnsiTheme="minorEastAsia" w:eastAsiaTheme="minorEastAsia" w:cstheme="minorEastAsia"/>
          <w:sz w:val="28"/>
          <w:szCs w:val="28"/>
          <w:u w:val="single"/>
        </w:rPr>
        <w:t xml:space="preserve">                 </w:t>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360" w:lineRule="auto"/>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8"/>
          <w:szCs w:val="28"/>
        </w:rPr>
        <w:t xml:space="preserve">附：法定代表人的身份证复印件加盖单位公章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附件3</w:t>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color w:val="000000"/>
          <w:sz w:val="30"/>
          <w:szCs w:val="30"/>
        </w:rPr>
        <w:t xml:space="preserve">法定代表人授权委托书</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（授权单位名称）的法定代表人，现委托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（姓名）（身份证号</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，联系电话</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）为我方代理人，以我方名义全权处理与</w:t>
      </w:r>
      <w:r>
        <w:rPr>
          <w:rFonts w:hint="eastAsia" w:asciiTheme="minorEastAsia" w:hAnsiTheme="minorEastAsia" w:eastAsiaTheme="minorEastAsia" w:cstheme="minorEastAsia"/>
          <w:sz w:val="28"/>
          <w:szCs w:val="28"/>
          <w:u w:val="single"/>
        </w:rPr>
        <w:t xml:space="preserve">                       （项目名称）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）有关的一切事务，其法律后果由我方承担。</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本授权书于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日起生效。代理人无转委托权。</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代理人（被授权人）签字：</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授权单位名称（加盖公章）：</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授权单位法定代表人（签字或盖章）：</w:t>
      </w:r>
      <w:r>
        <w:rPr>
          <w:rFonts w:hint="eastAsia" w:asciiTheme="minorEastAsia" w:hAnsiTheme="minorEastAsia" w:eastAsiaTheme="minorEastAsia" w:cstheme="minorEastAsia"/>
          <w:sz w:val="28"/>
          <w:szCs w:val="28"/>
          <w:u w:val="single"/>
        </w:rPr>
        <w:t xml:space="preserve">                  </w:t>
      </w:r>
      <w:r/>
    </w:p>
    <w:p>
      <w:pPr>
        <w:jc w:val="righ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897"/>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附：代理人（被授权人）身份证复印件加盖单位公章</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附件4</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供应商信用承诺书</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三、严格遵守即时信息公示规定，及时更新公共资源交易中心主体信息库中信息；</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六、自觉接受政府部门、行业组织、社会公众、新闻舆论等监督；</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七、上述承诺已向本单位员工作了宣传教育。</w:t>
      </w:r>
      <w:r/>
    </w:p>
    <w:p>
      <w:pPr>
        <w:ind w:firstLine="562"/>
        <w:spacing w:line="48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bidi="ar"/>
        </w:rPr>
        <w:t xml:space="preserve">如有违反上述承诺的不良行为，本单位同意将其予以上网公示。</w:t>
      </w:r>
      <w:r/>
    </w:p>
    <w:p>
      <w:pPr>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r>
      <w:r/>
    </w:p>
    <w:p>
      <w:pPr>
        <w:ind w:firstLine="280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投标供应商名称（加盖公章）：</w:t>
      </w:r>
      <w:r>
        <w:rPr>
          <w:rFonts w:hint="eastAsia" w:asciiTheme="minorEastAsia" w:hAnsiTheme="minorEastAsia" w:eastAsiaTheme="minorEastAsia" w:cstheme="minorEastAsia"/>
          <w:sz w:val="28"/>
          <w:szCs w:val="28"/>
          <w:u w:val="single"/>
        </w:rPr>
        <w:t xml:space="preserve">                </w:t>
      </w:r>
      <w:r/>
    </w:p>
    <w:p>
      <w:pPr>
        <w:ind w:firstLine="308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keepLines/>
        <w:keepNext/>
        <w:spacing w:line="400" w:lineRule="exact"/>
        <w:rPr>
          <w:rFonts w:hint="eastAsia" w:asciiTheme="minorEastAsia" w:hAnsiTheme="minorEastAsia" w:eastAsiaTheme="minorEastAsia" w:cstheme="minorEastAsia"/>
          <w:sz w:val="32"/>
          <w:szCs w:val="32"/>
        </w:rPr>
        <w:outlineLvl w:val="1"/>
      </w:pPr>
      <w:r>
        <w:rPr>
          <w:rFonts w:hint="eastAsia" w:asciiTheme="minorEastAsia" w:hAnsiTheme="minorEastAsia" w:eastAsiaTheme="minorEastAsia" w:cstheme="minorEastAsia"/>
          <w:sz w:val="32"/>
          <w:szCs w:val="32"/>
        </w:rPr>
        <w:t xml:space="preserve">附件5</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投标函</w:t>
      </w:r>
      <w:r/>
    </w:p>
    <w:p>
      <w:pPr>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（采购人名称）</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根据贵方项目编号为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的招标文件，我方正式提交投标函，并宣布同意如下内容：</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1.按招标文件规定的各项要求，向买方提供所需货物、服务（包含与货物相关的服务及与服务相关的货物）。</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2.我们完全理解贵方不一定将合同授予最低报价的投标人。</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7.与本次投标有关的正式通讯地址为：</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地          址：</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邮          编：</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话：</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子  邮  箱：</w:t>
      </w:r>
      <w:r>
        <w:rPr>
          <w:rFonts w:hint="eastAsia" w:asciiTheme="minorEastAsia" w:hAnsiTheme="minorEastAsia" w:eastAsiaTheme="minorEastAsia" w:cstheme="minorEastAsia"/>
          <w:sz w:val="28"/>
          <w:szCs w:val="28"/>
          <w:u w:val="single"/>
        </w:rPr>
        <w:t xml:space="preserve">                  </w:t>
      </w:r>
      <w:r/>
    </w:p>
    <w:p>
      <w:pP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181" w:firstLine="980"/>
        <w:spacing w:line="48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附件6</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商务部分正负偏离表</w:t>
      </w:r>
      <w:r/>
    </w:p>
    <w:p>
      <w:pPr>
        <w:spacing w:line="520" w:lineRule="exact"/>
        <w:rPr>
          <w:rFonts w:hint="eastAsia" w:asciiTheme="minorEastAsia" w:hAnsiTheme="minorEastAsia" w:eastAsiaTheme="minorEastAsia" w:cstheme="minorEastAsia"/>
          <w:bCs/>
          <w:color w:val="000000"/>
          <w:sz w:val="28"/>
          <w:szCs w:val="28"/>
          <w:u w:val="single"/>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bCs/>
          <w:color w:val="000000"/>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83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2.如有偏离的，在“偏离说明”一栏选择“正偏离”“负偏离”进行填写。正偏离、负偏离的确认和</w:t>
      </w:r>
      <w:r>
        <w:rPr>
          <w:rFonts w:hint="eastAsia" w:asciiTheme="minorEastAsia" w:hAnsiTheme="minorEastAsia" w:eastAsiaTheme="minorEastAsia" w:cstheme="minorEastAsia"/>
          <w:color w:val="000000"/>
          <w:sz w:val="28"/>
          <w:szCs w:val="28"/>
        </w:rPr>
        <w:t xml:space="preserve">负偏离的是否响应招标文件，由评标委员会认定。</w:t>
      </w:r>
      <w:r/>
    </w:p>
    <w:p>
      <w:pPr>
        <w:contextualSpacing/>
        <w:ind w:firstLine="560"/>
        <w:spacing w:line="300" w:lineRule="auto"/>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附件7</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技术部分正负偏离表</w:t>
      </w:r>
      <w:r/>
    </w:p>
    <w:p>
      <w:p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83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 如有偏离的，在“偏离说明”一栏选择“正偏离”“负偏离”进行填写。正偏离、负偏离的确认和负偏离的是否响应招标文件，由评标委员会认定。</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jc w:val="left"/>
        <w:widowControl/>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sz w:val="32"/>
          <w:szCs w:val="32"/>
        </w:rPr>
        <w:t xml:space="preserve">附件8</w:t>
      </w:r>
      <w:r/>
    </w:p>
    <w:p>
      <w:pPr>
        <w:jc w:val="center"/>
        <w:spacing w:line="400" w:lineRule="exact"/>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分项报价明细表（货物类）</w:t>
      </w:r>
      <w:r/>
    </w:p>
    <w:p>
      <w:pPr>
        <w:spacing w:line="400" w:lineRule="exact"/>
        <w:rPr>
          <w:rFonts w:hint="eastAsia" w:asciiTheme="minorEastAsia" w:hAnsiTheme="minorEastAsia" w:eastAsiaTheme="minorEastAsia" w:cstheme="minorEastAsia"/>
          <w:sz w:val="28"/>
          <w:szCs w:val="28"/>
          <w:highlight w:val="none"/>
          <w:u w:val="single"/>
        </w:rPr>
      </w:pPr>
      <w:r>
        <w:rPr>
          <w:rFonts w:hint="eastAsia" w:asciiTheme="minorEastAsia" w:hAnsiTheme="minorEastAsia" w:eastAsiaTheme="minorEastAsia" w:cstheme="minorEastAsia"/>
          <w:bCs/>
          <w:color w:val="000000"/>
          <w:sz w:val="28"/>
          <w:szCs w:val="28"/>
          <w:highlight w:val="none"/>
        </w:rPr>
        <w:t xml:space="preserve">项目编号：</w:t>
      </w:r>
      <w:r>
        <w:rPr>
          <w:rFonts w:hint="eastAsia" w:asciiTheme="minorEastAsia" w:hAnsiTheme="minorEastAsia" w:eastAsiaTheme="minorEastAsia" w:cstheme="minorEastAsia"/>
          <w:sz w:val="28"/>
          <w:szCs w:val="28"/>
          <w:highlight w:val="none"/>
          <w:u w:val="single"/>
        </w:rPr>
        <w:t xml:space="preserve">                      </w:t>
      </w:r>
      <w:r/>
    </w:p>
    <w:p>
      <w:pPr>
        <w:spacing w:line="400" w:lineRule="exact"/>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sz w:val="28"/>
          <w:szCs w:val="28"/>
          <w:highlight w:val="none"/>
        </w:rPr>
        <w:t xml:space="preserve">投标人名称（加盖公章）：                         年  月  日</w:t>
      </w:r>
      <w:r/>
    </w:p>
    <w:tbl>
      <w:tblPr>
        <w:tblStyle w:val="838"/>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224"/>
        <w:gridCol w:w="1433"/>
      </w:tblGrid>
      <w:tr>
        <w:trPr>
          <w:cantSplit/>
          <w:jc w:val="center"/>
          <w:trHeight w:val="812" w:hRule="exact"/>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序号</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名称</w:t>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规格型号</w:t>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品牌</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如有</w:t>
            </w:r>
            <w:r>
              <w:rPr>
                <w:rFonts w:hint="eastAsia" w:asciiTheme="minorEastAsia" w:hAnsiTheme="minorEastAsia" w:eastAsiaTheme="minorEastAsia" w:cstheme="minorEastAsia"/>
                <w:bCs/>
                <w:color w:val="000000"/>
                <w:szCs w:val="21"/>
                <w:highlight w:val="none"/>
                <w:lang w:eastAsia="zh-CN"/>
              </w:rPr>
              <w:t xml:space="preserve">）</w:t>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生产厂家名称</w:t>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单位</w:t>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数量</w:t>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单价</w:t>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金额</w:t>
            </w:r>
            <w:r/>
          </w:p>
        </w:tc>
        <w:tc>
          <w:tcPr>
            <w:tcW w:w="1433" w:type="dxa"/>
            <w:vAlign w:val="center"/>
            <w:textDirection w:val="lrTb"/>
            <w:noWrap w:val="false"/>
          </w:tcPr>
          <w:p>
            <w:pPr>
              <w:ind w:firstLine="105"/>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备注</w:t>
            </w:r>
            <w:r>
              <w:rPr>
                <w:rFonts w:hint="eastAsia" w:asciiTheme="minorEastAsia" w:hAnsiTheme="minorEastAsia" w:eastAsiaTheme="minorEastAsia" w:cstheme="minorEastAsia"/>
                <w:bCs/>
                <w:color w:val="ff0000"/>
                <w:szCs w:val="21"/>
                <w:highlight w:val="none"/>
                <w:lang w:eastAsia="zh-CN"/>
              </w:rPr>
              <w:t xml:space="preserve">（</w:t>
            </w:r>
            <w:r>
              <w:rPr>
                <w:rFonts w:hint="eastAsia" w:asciiTheme="minorEastAsia" w:hAnsiTheme="minorEastAsia" w:eastAsiaTheme="minorEastAsia" w:cstheme="minorEastAsia"/>
                <w:bCs/>
                <w:color w:val="ff0000"/>
                <w:szCs w:val="21"/>
                <w:highlight w:val="none"/>
                <w:lang w:val="en-US" w:eastAsia="zh-CN"/>
              </w:rPr>
              <w:t xml:space="preserve">是否为主要标的</w:t>
            </w:r>
            <w:r>
              <w:rPr>
                <w:rFonts w:hint="eastAsia" w:asciiTheme="minorEastAsia" w:hAnsiTheme="minorEastAsia" w:eastAsiaTheme="minorEastAsia" w:cstheme="minorEastAsia"/>
                <w:bCs/>
                <w:color w:val="ff0000"/>
                <w:szCs w:val="21"/>
                <w:highlight w:val="none"/>
                <w:lang w:eastAsia="zh-CN"/>
              </w:rPr>
              <w:t xml:space="preserve">）</w:t>
            </w:r>
            <w:r/>
          </w:p>
        </w:tc>
      </w:tr>
      <w:tr>
        <w:trPr>
          <w:cantSplit/>
          <w:jc w:val="center"/>
          <w:trHeight w:val="479"/>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合计</w:t>
            </w:r>
            <w:r/>
          </w:p>
        </w:tc>
        <w:tc>
          <w:tcPr>
            <w:gridSpan w:val="7"/>
            <w:tcW w:w="7109"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人民币（大写）： </w:t>
            </w:r>
            <w:r/>
          </w:p>
        </w:tc>
        <w:tc>
          <w:tcPr>
            <w:gridSpan w:val="2"/>
            <w:tcW w:w="2657"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 xml:space="preserve">%。</w:t>
            </w:r>
            <w:r/>
          </w:p>
        </w:tc>
      </w:tr>
    </w:tbl>
    <w:p>
      <w:pPr>
        <w:ind w:left="984" w:hanging="984"/>
        <w:spacing w:line="400" w:lineRule="exact"/>
        <w:rPr>
          <w:rFonts w:hint="eastAsia" w:asciiTheme="minorEastAsia" w:hAnsiTheme="minorEastAsia" w:eastAsiaTheme="minorEastAsia" w:cstheme="minorEastAsia"/>
          <w:b/>
          <w:bCs/>
          <w:sz w:val="28"/>
          <w:szCs w:val="28"/>
          <w:highlight w:val="yellow"/>
        </w:rPr>
      </w:pPr>
      <w:r>
        <w:rPr>
          <w:rFonts w:hint="eastAsia" w:asciiTheme="minorEastAsia" w:hAnsiTheme="minorEastAsia" w:eastAsiaTheme="minorEastAsia" w:cstheme="minorEastAsia"/>
          <w:b/>
          <w:bCs/>
          <w:sz w:val="28"/>
          <w:szCs w:val="28"/>
          <w:highlight w:val="yellow"/>
        </w:rPr>
      </w:r>
      <w:r/>
    </w:p>
    <w:p>
      <w:pPr>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spacing w:line="360" w:lineRule="auto"/>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注：1.投标人必须按实填写分项报价明细表中</w:t>
      </w:r>
      <w:r>
        <w:rPr>
          <w:rFonts w:hint="eastAsia" w:asciiTheme="minorEastAsia" w:hAnsiTheme="minorEastAsia" w:eastAsiaTheme="minorEastAsia" w:cstheme="minorEastAsia"/>
          <w:bCs/>
          <w:sz w:val="24"/>
        </w:rPr>
        <w:t xml:space="preserve">的各项内容</w:t>
      </w:r>
      <w:r>
        <w:rPr>
          <w:rFonts w:hint="eastAsia" w:asciiTheme="minorEastAsia" w:hAnsiTheme="minorEastAsia" w:eastAsiaTheme="minorEastAsia" w:cstheme="minorEastAsia"/>
          <w:bCs/>
          <w:sz w:val="24"/>
          <w:lang w:val="zh-CN"/>
        </w:rPr>
        <w:t xml:space="preserve">，且本表各分项报价合计应当与开标一览表报价合计相等，请各投标人务必按照以上要求填报。</w:t>
      </w:r>
      <w:r/>
    </w:p>
    <w:p>
      <w:pPr>
        <w:ind w:firstLine="480"/>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Cs/>
          <w:sz w:val="24"/>
        </w:rPr>
        <w:t xml:space="preserve">2.主要标的信息</w:t>
      </w:r>
      <w:r>
        <w:rPr>
          <w:rFonts w:hint="eastAsia" w:asciiTheme="minorEastAsia" w:hAnsiTheme="minorEastAsia" w:eastAsiaTheme="minorEastAsia" w:cstheme="minorEastAsia"/>
          <w:bCs/>
          <w:sz w:val="24"/>
          <w:lang w:val="zh-CN"/>
        </w:rPr>
        <w:t xml:space="preserve">将随中标（成交）结果公告进行公示。内容不实的，属于提供虚假材料谋取中标、成交，依照《中华人民共和</w:t>
      </w:r>
      <w:r>
        <w:rPr>
          <w:rFonts w:hint="eastAsia" w:asciiTheme="minorEastAsia" w:hAnsiTheme="minorEastAsia" w:eastAsiaTheme="minorEastAsia" w:cstheme="minorEastAsia"/>
          <w:bCs/>
          <w:sz w:val="24"/>
        </w:rPr>
        <w:t xml:space="preserve">国政府采购法》等国家有关规定追究相应责</w:t>
      </w:r>
      <w:r>
        <w:rPr>
          <w:rFonts w:hint="eastAsia" w:asciiTheme="minorEastAsia" w:hAnsiTheme="minorEastAsia" w:eastAsiaTheme="minorEastAsia" w:cstheme="minorEastAsia"/>
          <w:bCs/>
          <w:sz w:val="24"/>
          <w:lang w:val="zh-CN"/>
        </w:rPr>
        <w:t xml:space="preserve">任。</w:t>
      </w:r>
      <w:r/>
    </w:p>
    <w:p>
      <w:pPr>
        <w:ind w:firstLine="482"/>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heme="minorEastAsia" w:hAnsiTheme="minorEastAsia" w:eastAsiaTheme="minorEastAsia" w:cstheme="minorEastAsia"/>
          <w:b/>
          <w:sz w:val="24"/>
          <w:lang w:val="zh-CN"/>
        </w:rPr>
        <w:t xml:space="preserve">。</w:t>
      </w:r>
      <w:r/>
    </w:p>
    <w:p>
      <w:pPr>
        <w:ind w:firstLine="562"/>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rPr>
          <w:rFonts w:hint="eastAsia" w:asciiTheme="minorEastAsia" w:hAnsiTheme="minorEastAsia" w:eastAsiaTheme="minorEastAsia" w:cstheme="minorEastAsia"/>
          <w:sz w:val="32"/>
          <w:szCs w:val="32"/>
        </w:rPr>
        <w:t xml:space="preserve">附件9</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中小微企业声明函（货物类项目）（采购包号：**）</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000000"/>
          <w:sz w:val="24"/>
          <w:u w:val="single"/>
        </w:rPr>
        <w:t xml:space="preserve">（单位名称）</w:t>
      </w:r>
      <w:r>
        <w:rPr>
          <w:rFonts w:hint="eastAsia" w:asciiTheme="minorEastAsia" w:hAnsiTheme="minorEastAsia" w:eastAsiaTheme="minorEastAsia" w:cstheme="minorEastAsia"/>
          <w:color w:val="000000"/>
          <w:sz w:val="24"/>
        </w:rPr>
        <w:t xml:space="preserve">采购编号为</w:t>
      </w:r>
      <w:r>
        <w:rPr>
          <w:rFonts w:hint="eastAsia" w:asciiTheme="minorEastAsia" w:hAnsiTheme="minorEastAsia" w:eastAsiaTheme="minorEastAsia" w:cstheme="minorEastAsia"/>
          <w:color w:val="000000"/>
          <w:sz w:val="24"/>
          <w:u w:val="single"/>
        </w:rPr>
        <w:t xml:space="preserve">（采购编号）</w:t>
      </w:r>
      <w:r>
        <w:rPr>
          <w:rFonts w:hint="eastAsia" w:asciiTheme="minorEastAsia" w:hAnsiTheme="minorEastAsia" w:eastAsiaTheme="minorEastAsia" w:cstheme="minorEastAsia"/>
          <w:color w:val="000000"/>
          <w:sz w:val="24"/>
        </w:rPr>
        <w:t xml:space="preserve">，</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本企业对上述声明内容的真实性负责。如有虚假，将依法承担相应责任</w:t>
      </w:r>
      <w:r/>
    </w:p>
    <w:p>
      <w:pPr>
        <w:ind w:right="7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right="180" w:firstLine="257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企业名称（加盖CA电子公章）：</w:t>
      </w:r>
      <w:r/>
    </w:p>
    <w:p>
      <w:pPr>
        <w:contextualSpacing/>
        <w:ind w:firstLine="264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日</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备注：</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1.从业人员、营业收入、资产总额填报上一年度数据，无上一年度数据的新成立企业可不填报。</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3.供应商应对照《工业和信息化部、国家统计局、国家发展和改革委员会、</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00" w:lineRule="auto"/>
        <w:rPr>
          <w:rFonts w:hint="eastAsia" w:asciiTheme="minorEastAsia" w:hAnsiTheme="minorEastAsia" w:eastAsiaTheme="minorEastAsia" w:cstheme="minorEastAsia"/>
          <w:b/>
          <w:bCs/>
          <w:sz w:val="28"/>
          <w:szCs w:val="28"/>
          <w:lang w:bidi="zh-CN"/>
        </w:rPr>
        <w:outlineLvl w:val="0"/>
      </w:pPr>
      <w:r>
        <w:rPr>
          <w:rFonts w:hint="eastAsia" w:asciiTheme="minorEastAsia" w:hAnsiTheme="minorEastAsia" w:eastAsiaTheme="minorEastAsia" w:cstheme="minorEastAsia"/>
          <w:b/>
          <w:bCs/>
          <w:sz w:val="28"/>
          <w:szCs w:val="28"/>
          <w:lang w:bidi="zh-CN"/>
        </w:rPr>
      </w:r>
      <w:r/>
    </w:p>
    <w:p>
      <w:pPr>
        <w:pStyle w:val="843"/>
        <w:ind w:firstLine="1446"/>
        <w:jc w:val="both"/>
        <w:spacing w:before="0" w:beforeAutospacing="0" w:after="0" w:afterAutospacing="0" w:line="38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附件10</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color w:val="000000"/>
          <w:sz w:val="30"/>
          <w:szCs w:val="30"/>
        </w:rPr>
        <w:t xml:space="preserve">残疾人福利性单位声明函（采购包号：**）</w:t>
      </w:r>
      <w:r>
        <w:rPr>
          <w:rFonts w:hint="eastAsia" w:asciiTheme="minorEastAsia" w:hAnsiTheme="minorEastAsia" w:eastAsiaTheme="minorEastAsia" w:cstheme="minorEastAsia"/>
        </w:rPr>
        <w:t xml:space="preserve"> </w:t>
      </w:r>
      <w:r/>
    </w:p>
    <w:p>
      <w:pPr>
        <w:pStyle w:val="843"/>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8"/>
          <w:szCs w:val="28"/>
          <w:u w:val="single"/>
        </w:rPr>
        <w:t xml:space="preserve">（单位名称）</w:t>
      </w:r>
      <w:r>
        <w:rPr>
          <w:rFonts w:hint="eastAsia" w:asciiTheme="minorEastAsia" w:hAnsiTheme="minorEastAsia" w:eastAsiaTheme="minorEastAsia" w:cstheme="minorEastAsia"/>
          <w:sz w:val="28"/>
          <w:szCs w:val="28"/>
        </w:rPr>
        <w:t xml:space="preserve">采购编号为</w:t>
      </w:r>
      <w:r>
        <w:rPr>
          <w:rFonts w:hint="eastAsia" w:asciiTheme="minorEastAsia" w:hAnsiTheme="minorEastAsia" w:eastAsiaTheme="minorEastAsia" w:cstheme="minorEastAsia"/>
          <w:sz w:val="28"/>
          <w:szCs w:val="28"/>
          <w:u w:val="single"/>
        </w:rPr>
        <w:t xml:space="preserve">（采购编号）</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sz w:val="28"/>
          <w:szCs w:val="28"/>
        </w:rPr>
        <w:t xml:space="preserve">项目（项目名称）（采购包号：**）采购活动由本单位提供服务。</w:t>
      </w:r>
      <w:r/>
    </w:p>
    <w:p>
      <w:pPr>
        <w:pStyle w:val="843"/>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本单位对上述声明的真实性负责。如有虚假，将依法承担相应责任。</w:t>
      </w:r>
      <w:r/>
    </w:p>
    <w:p>
      <w:pPr>
        <w:pStyle w:val="843"/>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p>
      <w:pPr>
        <w:pStyle w:val="843"/>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1.专门面向中小微型企业采购的项目，供应商为残疾人福利性单位并提供服务的必须提供此声明函，否则将不能通过资格审查。</w:t>
      </w:r>
      <w:r/>
    </w:p>
    <w:p>
      <w:pPr>
        <w:pStyle w:val="843"/>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2.非专门面向中小微型企业采购的项目，供应商如不提供此声明函，价格将不做相应扣除。</w:t>
      </w:r>
      <w:r/>
    </w:p>
    <w:p>
      <w:pPr>
        <w:pStyle w:val="843"/>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3.中标/成交供应商为残疾人福利性单位的，此声明函将随中标/成交结果同时公告，接受社会监督。</w:t>
      </w:r>
      <w:r/>
    </w:p>
    <w:p>
      <w:pPr>
        <w:pStyle w:val="843"/>
        <w:ind w:firstLine="624"/>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pStyle w:val="843"/>
        <w:ind w:right="1559" w:firstLine="624"/>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供应商全称（加盖CA电子公章）：</w:t>
      </w:r>
      <w:r/>
    </w:p>
    <w:p>
      <w:pPr>
        <w:contextualSpacing/>
        <w:ind w:firstLine="22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pStyle w:val="843"/>
        <w:ind w:right="1559" w:firstLine="480"/>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附件11</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监狱和戒毒企业证明材料</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98"/>
        <w:spacing w:line="42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（格式自拟）</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660"/>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注：1.供应商如不提供此声明函，价格将不做相应扣除。</w:t>
      </w:r>
      <w:r/>
    </w:p>
    <w:p>
      <w:pPr>
        <w:ind w:firstLine="560"/>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附件12  </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关于符合本国产品标准的声明函</w:t>
      </w:r>
      <w:r/>
    </w:p>
    <w:p>
      <w:pPr>
        <w:ind w:firstLine="420"/>
        <w:jc w:val="left"/>
        <w:spacing w:before="15" w:after="15"/>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20"/>
        <w:jc w:val="left"/>
        <w:spacing w:line="44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w:t>
      </w:r>
      <w:r>
        <w:rPr>
          <w:rFonts w:hint="eastAsia" w:asciiTheme="minorEastAsia" w:hAnsiTheme="minorEastAsia" w:eastAsiaTheme="minorEastAsia" w:cstheme="minorEastAsia"/>
          <w:sz w:val="28"/>
          <w:szCs w:val="28"/>
          <w:u w:val="single"/>
          <w:shd w:val="clear" w:color="auto" w:fill="ffffff"/>
        </w:rPr>
        <w:t xml:space="preserve">（产品名称1）</w:t>
      </w:r>
      <w:r>
        <w:rPr>
          <w:rFonts w:hint="eastAsia" w:asciiTheme="minorEastAsia" w:hAnsiTheme="minorEastAsia" w:eastAsiaTheme="minorEastAsia" w:cstheme="minorEastAsia"/>
          <w:sz w:val="28"/>
          <w:szCs w:val="28"/>
          <w:shd w:val="clear" w:color="auto" w:fill="ffffff"/>
          <w:vertAlign w:val="superscript"/>
        </w:rPr>
        <w:t xml:space="preserve">1</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vertAlign w:val="superscript"/>
        </w:rPr>
        <w:t xml:space="preserve">2</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3</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4</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5</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w:t>
      </w:r>
      <w:r>
        <w:rPr>
          <w:rFonts w:hint="eastAsia" w:asciiTheme="minorEastAsia" w:hAnsiTheme="minorEastAsia" w:eastAsiaTheme="minorEastAsia" w:cstheme="minorEastAsia"/>
          <w:sz w:val="28"/>
          <w:szCs w:val="28"/>
          <w:u w:val="single"/>
          <w:shd w:val="clear" w:color="auto" w:fill="ffffff"/>
        </w:rPr>
        <w:t xml:space="preserve">（产品名称2）</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ind w:firstLine="560"/>
        <w:jc w:val="center"/>
        <w:spacing w:line="440" w:lineRule="exact"/>
        <w:shd w:val="clear" w:color="auto" w:fill="ffffff"/>
        <w:widowControl/>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 xml:space="preserve">公司（单位）名称（加盖CA电子公章）：         </w:t>
      </w:r>
      <w:r/>
    </w:p>
    <w:p>
      <w:pPr>
        <w:ind w:firstLine="1862"/>
        <w:spacing w:line="440" w:lineRule="exact"/>
        <w:shd w:val="clear" w:color="auto" w:fill="ffffff"/>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center"/>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_________________</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1.产品如有型号，请在“产品名称”栏一并填写。</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2.生产厂名与厂址应与生产厂营业执照载明的相关信息保持一致。</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3.该产品的中国境内生产的组件成本占比相关要求实施前，“规定比例”栏可不填，下同。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4.该产品的关键组件要求实施前，“关键组件”栏可不填，下同。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5.该产品的关键工序要求实施前，“关键工序”栏可不填，下同。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6.《声明函》中标注“</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”的地方无需填写。</w:t>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br w:type="page" w:clear="all"/>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t xml:space="preserve">附件13</w:t>
      </w:r>
      <w:r/>
    </w:p>
    <w:p>
      <w:pPr>
        <w:jc w:val="center"/>
        <w:rPr>
          <w:rFonts w:hint="eastAsia"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 xml:space="preserve">质疑函范本</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一、质疑供应商基本信息</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质疑供应商：</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联系人：联系电话：</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授权代表：</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联系电话：</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二、质疑项目基本情况</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质疑项目的编号：包号：</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采购人名称：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采购文件获取日期：</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三、质疑事项具体内容</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质疑事项1：</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事实依据：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法律依据：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质疑事项2</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四、与质疑事项相关的质疑请求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签字（签章）：                   公章：                      </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日期：</w:t>
      </w:r>
      <w:r/>
    </w:p>
    <w:p>
      <w:pP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质疑函制作说明：</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1.供应商提出质疑时，应提交质疑函和必要的证明材料。</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3.质疑供应商若对项目的某一分包进行质疑，质疑函中应列明具体分包号。</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4.质疑函的质疑事项应具体、明确，并有必要的事实依据和法律依据。</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5.质疑函的质疑请求应与质疑事项相关。</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8"/>
      <w:footerReference w:type="default" r:id="rId9"/>
      <w:footnotePr/>
      <w:endnotePr/>
      <w:type w:val="nextPage"/>
      <w:pgSz w:w="11906" w:h="16838" w:orient="portrait"/>
      <w:pgMar w:top="1440" w:right="1797" w:bottom="1440" w:left="1797"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楷体_GB2312">
    <w:panose1 w:val="02010609060101010101"/>
  </w:font>
  <w:font w:name="Calibri">
    <w:panose1 w:val="020F0502020204030204"/>
  </w:font>
  <w:font w:name="仿宋_GB2312">
    <w:panose1 w:val="02010609060101010101"/>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fldSimple w:instr="PAGE \* MERGEFORMAT">
      <w:r>
        <w:t xml:space="preserve">1</w:t>
      </w:r>
    </w:fldSimple>
    <w:r/>
    <w:r/>
  </w:p>
  <w:p>
    <w:pPr>
      <w:pStyle w:val="8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Heading 1"/>
    <w:basedOn w:val="834"/>
    <w:next w:val="834"/>
    <w:link w:val="661"/>
    <w:uiPriority w:val="9"/>
    <w:qFormat/>
    <w:pPr>
      <w:keepLines/>
      <w:keepNext/>
      <w:spacing w:before="480" w:after="200"/>
      <w:outlineLvl w:val="0"/>
    </w:pPr>
    <w:rPr>
      <w:rFonts w:ascii="Arial" w:hAnsi="Arial" w:eastAsia="Arial" w:cs="Arial"/>
      <w:sz w:val="40"/>
      <w:szCs w:val="40"/>
    </w:rPr>
  </w:style>
  <w:style w:type="character" w:styleId="661">
    <w:name w:val="Heading 1 Char"/>
    <w:basedOn w:val="837"/>
    <w:link w:val="660"/>
    <w:uiPriority w:val="9"/>
    <w:rPr>
      <w:rFonts w:ascii="Arial" w:hAnsi="Arial" w:eastAsia="Arial" w:cs="Arial"/>
      <w:sz w:val="40"/>
      <w:szCs w:val="40"/>
    </w:rPr>
  </w:style>
  <w:style w:type="paragraph" w:styleId="662">
    <w:name w:val="Heading 2"/>
    <w:basedOn w:val="834"/>
    <w:next w:val="834"/>
    <w:link w:val="663"/>
    <w:uiPriority w:val="9"/>
    <w:unhideWhenUsed/>
    <w:qFormat/>
    <w:pPr>
      <w:keepLines/>
      <w:keepNext/>
      <w:spacing w:before="360" w:after="200"/>
      <w:outlineLvl w:val="1"/>
    </w:pPr>
    <w:rPr>
      <w:rFonts w:ascii="Arial" w:hAnsi="Arial" w:eastAsia="Arial" w:cs="Arial"/>
      <w:sz w:val="34"/>
    </w:rPr>
  </w:style>
  <w:style w:type="character" w:styleId="663">
    <w:name w:val="Heading 2 Char"/>
    <w:basedOn w:val="837"/>
    <w:link w:val="662"/>
    <w:uiPriority w:val="9"/>
    <w:rPr>
      <w:rFonts w:ascii="Arial" w:hAnsi="Arial" w:eastAsia="Arial" w:cs="Arial"/>
      <w:sz w:val="34"/>
    </w:rPr>
  </w:style>
  <w:style w:type="paragraph" w:styleId="664">
    <w:name w:val="Heading 3"/>
    <w:basedOn w:val="834"/>
    <w:next w:val="834"/>
    <w:link w:val="665"/>
    <w:uiPriority w:val="9"/>
    <w:unhideWhenUsed/>
    <w:qFormat/>
    <w:pPr>
      <w:keepLines/>
      <w:keepNext/>
      <w:spacing w:before="320" w:after="200"/>
      <w:outlineLvl w:val="2"/>
    </w:pPr>
    <w:rPr>
      <w:rFonts w:ascii="Arial" w:hAnsi="Arial" w:eastAsia="Arial" w:cs="Arial"/>
      <w:sz w:val="30"/>
      <w:szCs w:val="30"/>
    </w:rPr>
  </w:style>
  <w:style w:type="character" w:styleId="665">
    <w:name w:val="Heading 3 Char"/>
    <w:basedOn w:val="837"/>
    <w:link w:val="664"/>
    <w:uiPriority w:val="9"/>
    <w:rPr>
      <w:rFonts w:ascii="Arial" w:hAnsi="Arial" w:eastAsia="Arial" w:cs="Arial"/>
      <w:sz w:val="30"/>
      <w:szCs w:val="30"/>
    </w:rPr>
  </w:style>
  <w:style w:type="character" w:styleId="666">
    <w:name w:val="Heading 4 Char"/>
    <w:basedOn w:val="837"/>
    <w:link w:val="835"/>
    <w:uiPriority w:val="9"/>
    <w:rPr>
      <w:rFonts w:ascii="Arial" w:hAnsi="Arial" w:eastAsia="Arial" w:cs="Arial"/>
      <w:b/>
      <w:bCs/>
      <w:sz w:val="26"/>
      <w:szCs w:val="26"/>
    </w:rPr>
  </w:style>
  <w:style w:type="paragraph" w:styleId="667">
    <w:name w:val="Heading 5"/>
    <w:basedOn w:val="834"/>
    <w:next w:val="834"/>
    <w:link w:val="668"/>
    <w:uiPriority w:val="9"/>
    <w:unhideWhenUsed/>
    <w:qFormat/>
    <w:pPr>
      <w:keepLines/>
      <w:keepNext/>
      <w:spacing w:before="320" w:after="200"/>
      <w:outlineLvl w:val="4"/>
    </w:pPr>
    <w:rPr>
      <w:rFonts w:ascii="Arial" w:hAnsi="Arial" w:eastAsia="Arial" w:cs="Arial"/>
      <w:b/>
      <w:bCs/>
      <w:sz w:val="24"/>
      <w:szCs w:val="24"/>
    </w:rPr>
  </w:style>
  <w:style w:type="character" w:styleId="668">
    <w:name w:val="Heading 5 Char"/>
    <w:basedOn w:val="837"/>
    <w:link w:val="667"/>
    <w:uiPriority w:val="9"/>
    <w:rPr>
      <w:rFonts w:ascii="Arial" w:hAnsi="Arial" w:eastAsia="Arial" w:cs="Arial"/>
      <w:b/>
      <w:bCs/>
      <w:sz w:val="24"/>
      <w:szCs w:val="24"/>
    </w:rPr>
  </w:style>
  <w:style w:type="character" w:styleId="669">
    <w:name w:val="Heading 6 Char"/>
    <w:basedOn w:val="837"/>
    <w:link w:val="836"/>
    <w:uiPriority w:val="9"/>
    <w:rPr>
      <w:rFonts w:ascii="Arial" w:hAnsi="Arial" w:eastAsia="Arial" w:cs="Arial"/>
      <w:b/>
      <w:bCs/>
      <w:sz w:val="22"/>
      <w:szCs w:val="22"/>
    </w:rPr>
  </w:style>
  <w:style w:type="paragraph" w:styleId="670">
    <w:name w:val="Heading 7"/>
    <w:basedOn w:val="834"/>
    <w:next w:val="834"/>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basedOn w:val="837"/>
    <w:link w:val="670"/>
    <w:uiPriority w:val="9"/>
    <w:rPr>
      <w:rFonts w:ascii="Arial" w:hAnsi="Arial" w:eastAsia="Arial" w:cs="Arial"/>
      <w:b/>
      <w:bCs/>
      <w:i/>
      <w:iCs/>
      <w:sz w:val="22"/>
      <w:szCs w:val="22"/>
    </w:rPr>
  </w:style>
  <w:style w:type="paragraph" w:styleId="672">
    <w:name w:val="Heading 8"/>
    <w:basedOn w:val="834"/>
    <w:next w:val="834"/>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basedOn w:val="837"/>
    <w:link w:val="672"/>
    <w:uiPriority w:val="9"/>
    <w:rPr>
      <w:rFonts w:ascii="Arial" w:hAnsi="Arial" w:eastAsia="Arial" w:cs="Arial"/>
      <w:i/>
      <w:iCs/>
      <w:sz w:val="22"/>
      <w:szCs w:val="22"/>
    </w:rPr>
  </w:style>
  <w:style w:type="paragraph" w:styleId="674">
    <w:name w:val="Heading 9"/>
    <w:basedOn w:val="834"/>
    <w:next w:val="834"/>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basedOn w:val="837"/>
    <w:link w:val="674"/>
    <w:uiPriority w:val="9"/>
    <w:rPr>
      <w:rFonts w:ascii="Arial" w:hAnsi="Arial" w:eastAsia="Arial" w:cs="Arial"/>
      <w:i/>
      <w:iCs/>
      <w:sz w:val="21"/>
      <w:szCs w:val="21"/>
    </w:rPr>
  </w:style>
  <w:style w:type="paragraph" w:styleId="676">
    <w:name w:val="List Paragraph"/>
    <w:basedOn w:val="834"/>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4"/>
    <w:next w:val="834"/>
    <w:link w:val="679"/>
    <w:uiPriority w:val="10"/>
    <w:qFormat/>
    <w:pPr>
      <w:contextualSpacing/>
      <w:spacing w:before="300" w:after="200"/>
    </w:pPr>
    <w:rPr>
      <w:sz w:val="48"/>
      <w:szCs w:val="48"/>
    </w:rPr>
  </w:style>
  <w:style w:type="character" w:styleId="679">
    <w:name w:val="Title Char"/>
    <w:basedOn w:val="837"/>
    <w:link w:val="678"/>
    <w:uiPriority w:val="10"/>
    <w:rPr>
      <w:sz w:val="48"/>
      <w:szCs w:val="48"/>
    </w:rPr>
  </w:style>
  <w:style w:type="paragraph" w:styleId="680">
    <w:name w:val="Subtitle"/>
    <w:basedOn w:val="834"/>
    <w:next w:val="834"/>
    <w:link w:val="681"/>
    <w:uiPriority w:val="11"/>
    <w:qFormat/>
    <w:pPr>
      <w:spacing w:before="200" w:after="200"/>
    </w:pPr>
    <w:rPr>
      <w:sz w:val="24"/>
      <w:szCs w:val="24"/>
    </w:rPr>
  </w:style>
  <w:style w:type="character" w:styleId="681">
    <w:name w:val="Subtitle Char"/>
    <w:basedOn w:val="837"/>
    <w:link w:val="680"/>
    <w:uiPriority w:val="11"/>
    <w:rPr>
      <w:sz w:val="24"/>
      <w:szCs w:val="24"/>
    </w:rPr>
  </w:style>
  <w:style w:type="paragraph" w:styleId="682">
    <w:name w:val="Quote"/>
    <w:basedOn w:val="834"/>
    <w:next w:val="834"/>
    <w:link w:val="683"/>
    <w:uiPriority w:val="29"/>
    <w:qFormat/>
    <w:pPr>
      <w:ind w:left="720" w:right="720"/>
    </w:pPr>
    <w:rPr>
      <w:i/>
    </w:rPr>
  </w:style>
  <w:style w:type="character" w:styleId="683">
    <w:name w:val="Quote Char"/>
    <w:link w:val="682"/>
    <w:uiPriority w:val="29"/>
    <w:rPr>
      <w:i/>
    </w:rPr>
  </w:style>
  <w:style w:type="paragraph" w:styleId="684">
    <w:name w:val="Intense Quote"/>
    <w:basedOn w:val="834"/>
    <w:next w:val="834"/>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character" w:styleId="686">
    <w:name w:val="Header Char"/>
    <w:basedOn w:val="837"/>
    <w:link w:val="842"/>
    <w:uiPriority w:val="99"/>
  </w:style>
  <w:style w:type="character" w:styleId="687">
    <w:name w:val="Footer Char"/>
    <w:basedOn w:val="837"/>
    <w:link w:val="841"/>
    <w:uiPriority w:val="99"/>
  </w:style>
  <w:style w:type="paragraph" w:styleId="688">
    <w:name w:val="Caption"/>
    <w:basedOn w:val="834"/>
    <w:next w:val="834"/>
    <w:uiPriority w:val="35"/>
    <w:semiHidden/>
    <w:unhideWhenUsed/>
    <w:qFormat/>
    <w:pPr>
      <w:spacing w:line="276" w:lineRule="auto"/>
    </w:pPr>
    <w:rPr>
      <w:b/>
      <w:bCs/>
      <w:color w:val="4f81bd" w:themeColor="accent1"/>
      <w:sz w:val="18"/>
      <w:szCs w:val="18"/>
    </w:rPr>
  </w:style>
  <w:style w:type="character" w:styleId="689">
    <w:name w:val="Caption Char"/>
    <w:basedOn w:val="688"/>
    <w:link w:val="841"/>
    <w:uiPriority w:val="99"/>
  </w:style>
  <w:style w:type="table" w:styleId="690">
    <w:name w:val="Table Grid"/>
    <w:basedOn w:val="83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1">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2">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9">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0">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1">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2">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3">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4">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6">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7">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8">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9">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0">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1">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0">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1">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2">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3">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4">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5">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27">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28">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29">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30">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31">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32">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34">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35">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36">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37">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38">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39">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1">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5">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6">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8">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9">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0">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1">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2">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3">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5">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6">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7">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8">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9">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0">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2">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63">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64">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65">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66">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67">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9">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70">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71">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72">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73">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74">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83">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84">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85">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86">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87">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88">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9">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90">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91">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92">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93">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94">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95">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6">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7">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8">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9">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0">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1">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2">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4">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5">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6">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7">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8">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9">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0">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1">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2">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3">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4">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5">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6">
    <w:name w:val="Hyperlink"/>
    <w:uiPriority w:val="99"/>
    <w:unhideWhenUsed/>
    <w:rPr>
      <w:color w:val="0000ff" w:themeColor="hyperlink"/>
      <w:u w:val="single"/>
    </w:rPr>
  </w:style>
  <w:style w:type="paragraph" w:styleId="817">
    <w:name w:val="footnote text"/>
    <w:basedOn w:val="834"/>
    <w:link w:val="818"/>
    <w:uiPriority w:val="99"/>
    <w:semiHidden/>
    <w:unhideWhenUsed/>
    <w:pPr>
      <w:spacing w:after="40" w:line="240" w:lineRule="auto"/>
    </w:pPr>
    <w:rPr>
      <w:sz w:val="18"/>
    </w:rPr>
  </w:style>
  <w:style w:type="character" w:styleId="818">
    <w:name w:val="Footnote Text Char"/>
    <w:link w:val="817"/>
    <w:uiPriority w:val="99"/>
    <w:rPr>
      <w:sz w:val="18"/>
    </w:rPr>
  </w:style>
  <w:style w:type="character" w:styleId="819">
    <w:name w:val="footnote reference"/>
    <w:basedOn w:val="837"/>
    <w:uiPriority w:val="99"/>
    <w:unhideWhenUsed/>
    <w:rPr>
      <w:vertAlign w:val="superscript"/>
    </w:rPr>
  </w:style>
  <w:style w:type="paragraph" w:styleId="820">
    <w:name w:val="endnote text"/>
    <w:basedOn w:val="834"/>
    <w:link w:val="821"/>
    <w:uiPriority w:val="99"/>
    <w:semiHidden/>
    <w:unhideWhenUsed/>
    <w:pPr>
      <w:spacing w:after="0" w:line="240" w:lineRule="auto"/>
    </w:pPr>
    <w:rPr>
      <w:sz w:val="20"/>
    </w:rPr>
  </w:style>
  <w:style w:type="character" w:styleId="821">
    <w:name w:val="Endnote Text Char"/>
    <w:link w:val="820"/>
    <w:uiPriority w:val="99"/>
    <w:rPr>
      <w:sz w:val="20"/>
    </w:rPr>
  </w:style>
  <w:style w:type="character" w:styleId="822">
    <w:name w:val="endnote reference"/>
    <w:basedOn w:val="837"/>
    <w:uiPriority w:val="99"/>
    <w:semiHidden/>
    <w:unhideWhenUsed/>
    <w:rPr>
      <w:vertAlign w:val="superscript"/>
    </w:rPr>
  </w:style>
  <w:style w:type="paragraph" w:styleId="823">
    <w:name w:val="toc 1"/>
    <w:basedOn w:val="834"/>
    <w:next w:val="834"/>
    <w:uiPriority w:val="39"/>
    <w:unhideWhenUsed/>
    <w:pPr>
      <w:ind w:left="0" w:right="0" w:firstLine="0"/>
      <w:spacing w:after="57"/>
    </w:pPr>
  </w:style>
  <w:style w:type="paragraph" w:styleId="824">
    <w:name w:val="toc 2"/>
    <w:basedOn w:val="834"/>
    <w:next w:val="834"/>
    <w:uiPriority w:val="39"/>
    <w:unhideWhenUsed/>
    <w:pPr>
      <w:ind w:left="283" w:right="0" w:firstLine="0"/>
      <w:spacing w:after="57"/>
    </w:pPr>
  </w:style>
  <w:style w:type="paragraph" w:styleId="825">
    <w:name w:val="toc 3"/>
    <w:basedOn w:val="834"/>
    <w:next w:val="834"/>
    <w:uiPriority w:val="39"/>
    <w:unhideWhenUsed/>
    <w:pPr>
      <w:ind w:left="567" w:right="0" w:firstLine="0"/>
      <w:spacing w:after="57"/>
    </w:pPr>
  </w:style>
  <w:style w:type="paragraph" w:styleId="826">
    <w:name w:val="toc 4"/>
    <w:basedOn w:val="834"/>
    <w:next w:val="834"/>
    <w:uiPriority w:val="39"/>
    <w:unhideWhenUsed/>
    <w:pPr>
      <w:ind w:left="850" w:right="0" w:firstLine="0"/>
      <w:spacing w:after="57"/>
    </w:pPr>
  </w:style>
  <w:style w:type="paragraph" w:styleId="827">
    <w:name w:val="toc 5"/>
    <w:basedOn w:val="834"/>
    <w:next w:val="834"/>
    <w:uiPriority w:val="39"/>
    <w:unhideWhenUsed/>
    <w:pPr>
      <w:ind w:left="1134" w:right="0" w:firstLine="0"/>
      <w:spacing w:after="57"/>
    </w:pPr>
  </w:style>
  <w:style w:type="paragraph" w:styleId="828">
    <w:name w:val="toc 6"/>
    <w:basedOn w:val="834"/>
    <w:next w:val="834"/>
    <w:uiPriority w:val="39"/>
    <w:unhideWhenUsed/>
    <w:pPr>
      <w:ind w:left="1417" w:right="0" w:firstLine="0"/>
      <w:spacing w:after="57"/>
    </w:pPr>
  </w:style>
  <w:style w:type="paragraph" w:styleId="829">
    <w:name w:val="toc 7"/>
    <w:basedOn w:val="834"/>
    <w:next w:val="834"/>
    <w:uiPriority w:val="39"/>
    <w:unhideWhenUsed/>
    <w:pPr>
      <w:ind w:left="1701" w:right="0" w:firstLine="0"/>
      <w:spacing w:after="57"/>
    </w:pPr>
  </w:style>
  <w:style w:type="paragraph" w:styleId="830">
    <w:name w:val="toc 8"/>
    <w:basedOn w:val="834"/>
    <w:next w:val="834"/>
    <w:uiPriority w:val="39"/>
    <w:unhideWhenUsed/>
    <w:pPr>
      <w:ind w:left="1984" w:right="0" w:firstLine="0"/>
      <w:spacing w:after="57"/>
    </w:pPr>
  </w:style>
  <w:style w:type="paragraph" w:styleId="831">
    <w:name w:val="toc 9"/>
    <w:basedOn w:val="834"/>
    <w:next w:val="834"/>
    <w:uiPriority w:val="39"/>
    <w:unhideWhenUsed/>
    <w:pPr>
      <w:ind w:left="2268" w:right="0" w:firstLine="0"/>
      <w:spacing w:after="57"/>
    </w:p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5">
    <w:name w:val="Heading 4"/>
    <w:basedOn w:val="834"/>
    <w:next w:val="834"/>
    <w:uiPriority w:val="0"/>
    <w:qFormat/>
    <w:pPr>
      <w:jc w:val="center"/>
      <w:keepNext/>
      <w:outlineLvl w:val="3"/>
    </w:pPr>
    <w:rPr>
      <w:rFonts w:eastAsia="新宋体"/>
      <w:sz w:val="30"/>
      <w:szCs w:val="21"/>
    </w:rPr>
  </w:style>
  <w:style w:type="paragraph" w:styleId="836">
    <w:name w:val="Heading 6"/>
    <w:basedOn w:val="834"/>
    <w:next w:val="839"/>
    <w:uiPriority w:val="0"/>
    <w:qFormat/>
    <w:pPr>
      <w:jc w:val="center"/>
      <w:keepNext/>
      <w:outlineLvl w:val="5"/>
    </w:pPr>
    <w:rPr>
      <w:b/>
      <w:sz w:val="44"/>
      <w:szCs w:val="20"/>
    </w:rPr>
  </w:style>
  <w:style w:type="character" w:styleId="837" w:default="1">
    <w:name w:val="Default Paragraph Font"/>
    <w:uiPriority w:val="0"/>
    <w:semiHidden/>
    <w:qFormat/>
  </w:style>
  <w:style w:type="table" w:styleId="838" w:default="1">
    <w:name w:val="Normal Table"/>
    <w:uiPriority w:val="0"/>
    <w:semiHidden/>
    <w:qFormat/>
    <w:tblPr>
      <w:tblCellMar>
        <w:left w:w="108" w:type="dxa"/>
        <w:top w:w="0" w:type="dxa"/>
        <w:right w:w="108" w:type="dxa"/>
        <w:bottom w:w="0" w:type="dxa"/>
      </w:tblCellMar>
    </w:tblPr>
  </w:style>
  <w:style w:type="paragraph" w:styleId="839">
    <w:name w:val="Normal Indent"/>
    <w:basedOn w:val="834"/>
    <w:uiPriority w:val="0"/>
    <w:qFormat/>
    <w:pPr>
      <w:ind w:firstLine="420"/>
    </w:pPr>
    <w:rPr>
      <w:sz w:val="20"/>
      <w:szCs w:val="20"/>
    </w:rPr>
  </w:style>
  <w:style w:type="paragraph" w:styleId="840">
    <w:name w:val="Body Text"/>
    <w:basedOn w:val="834"/>
    <w:next w:val="834"/>
    <w:uiPriority w:val="1"/>
    <w:qFormat/>
    <w:pPr>
      <w:ind w:left="600"/>
      <w:spacing w:before="161"/>
    </w:pPr>
    <w:rPr>
      <w:sz w:val="24"/>
    </w:rPr>
  </w:style>
  <w:style w:type="paragraph" w:styleId="841">
    <w:name w:val="Footer"/>
    <w:basedOn w:val="834"/>
    <w:uiPriority w:val="99"/>
    <w:qFormat/>
    <w:pPr>
      <w:jc w:val="left"/>
      <w:tabs>
        <w:tab w:val="center" w:pos="4153" w:leader="none"/>
        <w:tab w:val="right" w:pos="8306" w:leader="none"/>
      </w:tabs>
    </w:pPr>
    <w:rPr>
      <w:sz w:val="18"/>
      <w:szCs w:val="20"/>
    </w:rPr>
  </w:style>
  <w:style w:type="paragraph" w:styleId="842">
    <w:name w:val="Header"/>
    <w:basedOn w:val="834"/>
    <w:uiPriority w:val="0"/>
    <w:qFormat/>
    <w:pPr>
      <w:jc w:val="center"/>
      <w:tabs>
        <w:tab w:val="center" w:pos="4153" w:leader="none"/>
        <w:tab w:val="right" w:pos="8306" w:leader="none"/>
      </w:tabs>
      <w:pBdr>
        <w:bottom w:val="single" w:color="auto" w:sz="6" w:space="1"/>
      </w:pBdr>
    </w:pPr>
    <w:rPr>
      <w:sz w:val="18"/>
      <w:szCs w:val="18"/>
    </w:rPr>
  </w:style>
  <w:style w:type="paragraph" w:styleId="843">
    <w:name w:val="Normal (Web)"/>
    <w:basedOn w:val="834"/>
    <w:uiPriority w:val="0"/>
    <w:qFormat/>
    <w:pPr>
      <w:jc w:val="left"/>
      <w:spacing w:before="100" w:beforeAutospacing="1" w:after="100" w:afterAutospacing="1"/>
      <w:widowControl/>
    </w:pPr>
    <w:rPr>
      <w:rFonts w:ascii="宋体" w:hAnsi="宋体"/>
      <w:color w:val="000000"/>
      <w:sz w:val="24"/>
    </w:rPr>
  </w:style>
  <w:style w:type="paragraph" w:styleId="844" w:customStyle="1">
    <w:name w:val="普通正文"/>
    <w:basedOn w:val="834"/>
    <w:uiPriority w:val="0"/>
    <w:qFormat/>
    <w:pPr>
      <w:ind w:left="-2" w:right="120" w:firstLine="480"/>
      <w:jc w:val="center"/>
      <w:spacing w:before="120" w:after="120" w:line="360" w:lineRule="auto"/>
    </w:pPr>
    <w:rPr>
      <w:rFonts w:ascii="Arial" w:hAnsi="Arial"/>
      <w:sz w:val="24"/>
    </w:rPr>
  </w:style>
  <w:style w:type="paragraph" w:styleId="845" w:customStyle="1">
    <w:name w:val="正文缩进2格"/>
    <w:basedOn w:val="834"/>
    <w:uiPriority w:val="0"/>
    <w:qFormat/>
    <w:pPr>
      <w:ind w:firstLine="639"/>
      <w:spacing w:line="600" w:lineRule="exact"/>
    </w:pPr>
    <w:rPr>
      <w:rFonts w:ascii="仿宋_GB2312" w:hAnsi="宋体" w:eastAsia="仿宋_GB2312"/>
      <w:sz w:val="31"/>
      <w:szCs w:val="28"/>
    </w:rPr>
  </w:style>
  <w:style w:type="paragraph" w:styleId="846" w:customStyle="1">
    <w:name w:val="段"/>
    <w:next w:val="834"/>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847" w:customStyle="1">
    <w:name w:val="正文文本1"/>
    <w:basedOn w:val="834"/>
    <w:next w:val="834"/>
    <w:uiPriority w:val="0"/>
    <w:qFormat/>
    <w:rPr>
      <w:rFonts w:ascii="楷体_GB2312" w:hAnsi="Arial" w:eastAsia="楷体_GB2312"/>
      <w:sz w:val="28"/>
      <w:szCs w:val="28"/>
    </w:rPr>
  </w:style>
  <w:style w:type="paragraph" w:styleId="848" w:customStyle="1">
    <w:name w:val="纯文本1"/>
    <w:basedOn w:val="834"/>
    <w:uiPriority w:val="0"/>
    <w:qFormat/>
    <w:rPr>
      <w:rFonts w:ascii="宋体" w:hAnsi="Courier New" w:cs="Courier New"/>
    </w:rPr>
  </w:style>
  <w:style w:type="numbering" w:styleId="8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绝爱1369210705</dc:creator>
  <cp:lastModifiedBy>徐海燕</cp:lastModifiedBy>
  <cp:revision>3</cp:revision>
  <dcterms:created xsi:type="dcterms:W3CDTF">2026-06-15T03:01:00Z</dcterms:created>
  <dcterms:modified xsi:type="dcterms:W3CDTF">2026-06-25T01:43:20Z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977CC2E36F964C5791770EF918EBD5D3_11</vt:lpwstr>
  </property>
  <property fmtid="{D5CDD505-2E9C-101B-9397-08002B2CF9AE}" pid="4" name="KSOTemplateDocerSaveRecord">
    <vt:lpwstr>eyJoZGlkIjoiYjE3ZjRiMmJiNmRmNTQxNjEyNjIxYmZlNzczNzQ0OGEiLCJ1c2VySWQiOiIxOTA4MDUzIn0=</vt:lpwstr>
  </property>
</Properties>
</file>