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lang w:val="en-US" w:eastAsia="zh-CN"/>
        </w:rPr>
      </w:pPr>
      <w:r>
        <w:rPr>
          <w:rFonts w:hint="eastAsia" w:ascii="宋体" w:hAnsi="宋体" w:eastAsia="宋体" w:cs="宋体"/>
          <w:b/>
          <w:color w:val="auto"/>
          <w:sz w:val="72"/>
          <w:szCs w:val="20"/>
          <w:highlight w:val="none"/>
          <w:shd w:val="clear" w:color="auto" w:fill="ffffff"/>
          <w:lang w:val="en-US" w:eastAsia="zh-CN"/>
        </w:rPr>
        <w:t xml:space="preserve">                                                              </w:t>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  苏州</w:t>
      </w:r>
      <w:r>
        <w:rPr>
          <w:rFonts w:hint="eastAsia" w:ascii="宋体" w:hAnsi="宋体" w:eastAsia="宋体" w:cs="宋体"/>
          <w:b/>
          <w:color w:val="auto"/>
          <w:sz w:val="72"/>
          <w:szCs w:val="20"/>
          <w:highlight w:val="none"/>
          <w:shd w:val="clear" w:color="auto" w:fill="ffffff"/>
          <w:lang w:val="en-US" w:eastAsia="zh-CN"/>
        </w:rPr>
        <w:t xml:space="preserve">工业园区</w:t>
      </w:r>
      <w:r>
        <w:rPr>
          <w:rFonts w:hint="eastAsia" w:ascii="宋体" w:hAnsi="宋体" w:eastAsia="宋体" w:cs="宋体"/>
          <w:b/>
          <w:color w:val="auto"/>
          <w:sz w:val="72"/>
          <w:szCs w:val="20"/>
          <w:highlight w:val="none"/>
          <w:shd w:val="clear" w:color="auto" w:fill="ffffff"/>
        </w:rPr>
        <w:t xml:space="preserve">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6"/>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szCs w:val="20"/>
          <w:highlight w:val="none"/>
          <w:shd w:val="clear" w:color="auto" w:fill="ffffff"/>
        </w:rPr>
        <w:t xml:space="preserve">标    号：</w:t>
      </w:r>
      <w:r>
        <w:rPr>
          <w:rFonts w:hint="eastAsia" w:ascii="宋体" w:hAnsi="宋体" w:eastAsia="宋体" w:cs="宋体"/>
          <w:b/>
          <w:bCs/>
          <w:color w:val="auto"/>
          <w:sz w:val="32"/>
          <w:highlight w:val="none"/>
          <w:lang w:eastAsia="zh-CN"/>
        </w:rPr>
        <w:t xml:space="preserve">JSZC-320591-HXZJ-G2026-0015</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color w:val="auto"/>
          <w:sz w:val="32"/>
          <w:szCs w:val="20"/>
          <w:highlight w:val="none"/>
          <w:shd w:val="clear" w:color="auto" w:fill="ffffff"/>
          <w:lang w:eastAsia="zh-CN"/>
        </w:rPr>
        <w:t xml:space="preserve">苏州工业园区教育局</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eastAsia="宋体" w:cs="宋体"/>
          <w:b/>
          <w:bCs/>
          <w:color w:val="auto"/>
          <w:sz w:val="32"/>
          <w:szCs w:val="20"/>
          <w:highlight w:val="none"/>
          <w:shd w:val="clear" w:color="auto" w:fill="ffffff"/>
          <w:lang w:eastAsia="zh-CN"/>
        </w:rPr>
        <w:t xml:space="preserve">斜塘学校改建修缮项目厨房设备采购</w:t>
      </w:r>
      <w:r/>
    </w:p>
    <w:p>
      <w:pPr>
        <w:ind w:firstLine="1606"/>
        <w:spacing w:line="360" w:lineRule="auto"/>
        <w:rPr>
          <w:rFonts w:hint="eastAsia"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采购类别：</w:t>
      </w:r>
      <w:r>
        <w:rPr>
          <w:rFonts w:hint="eastAsia" w:ascii="宋体" w:hAnsi="宋体" w:eastAsia="宋体" w:cs="宋体"/>
          <w:b/>
          <w:bCs/>
          <w:color w:val="auto"/>
          <w:sz w:val="32"/>
          <w:szCs w:val="20"/>
          <w:highlight w:val="none"/>
          <w:shd w:val="clear" w:color="auto" w:fill="ffffff"/>
          <w:lang w:val="en-US" w:eastAsia="zh-CN"/>
        </w:rPr>
        <w:t xml:space="preserve">货物</w:t>
      </w:r>
      <w:r>
        <w:rPr>
          <w:rFonts w:hint="eastAsia" w:ascii="宋体" w:hAnsi="宋体" w:eastAsia="宋体" w:cs="宋体"/>
          <w:b/>
          <w:bCs/>
          <w:color w:val="auto"/>
          <w:sz w:val="32"/>
          <w:szCs w:val="20"/>
          <w:highlight w:val="none"/>
          <w:shd w:val="clear" w:color="auto" w:fill="ffffff"/>
        </w:rPr>
        <w:t xml:space="preserve">类</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前附表</w:t>
      </w:r>
      <w:r/>
    </w:p>
    <w:tbl>
      <w:tblPr>
        <w:tblStyle w:val="933"/>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序号</w:t>
            </w:r>
            <w:r/>
          </w:p>
        </w:tc>
        <w:tc>
          <w:tcPr>
            <w:tcW w:w="914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采购内容：</w:t>
            </w:r>
            <w:r>
              <w:rPr>
                <w:rFonts w:hint="eastAsia" w:ascii="宋体" w:hAnsi="宋体" w:eastAsia="宋体" w:cs="宋体"/>
                <w:color w:val="auto"/>
                <w:sz w:val="24"/>
                <w:szCs w:val="24"/>
                <w:highlight w:val="none"/>
                <w:shd w:val="clear" w:color="auto" w:fill="ffffff"/>
                <w:lang w:eastAsia="zh-CN"/>
              </w:rPr>
              <w:t xml:space="preserve">斜塘学校改建修缮项目厨房设备采购</w:t>
            </w:r>
            <w:r/>
          </w:p>
        </w:tc>
      </w:tr>
      <w:tr>
        <w:trPr>
          <w:jc w:val="center"/>
          <w:trHeight w:val="3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投标有效期：自投标截止日起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投标保证金：</w:t>
            </w:r>
            <w:r>
              <w:rPr>
                <w:rFonts w:hint="eastAsia" w:ascii="宋体" w:hAnsi="宋体" w:eastAsia="宋体" w:cs="宋体"/>
                <w:color w:val="auto"/>
                <w:sz w:val="24"/>
                <w:szCs w:val="24"/>
                <w:highlight w:val="none"/>
              </w:rPr>
              <w:t xml:space="preserve">本项目不收取投标保证金。</w:t>
            </w:r>
            <w:r/>
          </w:p>
        </w:tc>
      </w:tr>
      <w:tr>
        <w:trPr>
          <w:jc w:val="center"/>
          <w:trHeight w:val="28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9144"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宋体"/>
                <w:b/>
                <w:bCs/>
                <w:color w:val="auto"/>
                <w:sz w:val="24"/>
                <w:szCs w:val="24"/>
                <w:highlight w:val="none"/>
                <w:u w:val="single"/>
                <w:shd w:val="clear" w:color="auto" w:fill="ffffff"/>
              </w:rPr>
              <w:t xml:space="preserve">三份</w:t>
            </w:r>
            <w:r>
              <w:rPr>
                <w:rFonts w:hint="eastAsia" w:ascii="宋体" w:hAnsi="宋体" w:eastAsia="宋体" w:cs="宋体"/>
                <w:color w:val="auto"/>
                <w:sz w:val="24"/>
                <w:szCs w:val="24"/>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9144" w:type="dxa"/>
            <w:vAlign w:val="center"/>
            <w:textDirection w:val="lrTb"/>
            <w:noWrap w:val="false"/>
          </w:tcPr>
          <w:p>
            <w:pPr>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开标信息</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投标截止时间：202</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eastAsia="宋体" w:cs="宋体"/>
                <w:color w:val="auto"/>
                <w:sz w:val="24"/>
                <w:szCs w:val="24"/>
                <w:highlight w:val="none"/>
                <w:shd w:val="clear" w:color="auto" w:fill="ffffff"/>
                <w:lang w:val="en-US" w:eastAsia="zh-CN"/>
              </w:rPr>
              <w:t xml:space="preserve">07</w:t>
            </w:r>
            <w:r>
              <w:rPr>
                <w:rFonts w:hint="eastAsia" w:ascii="宋体" w:hAnsi="宋体" w:eastAsia="宋体" w:cs="宋体"/>
                <w:color w:val="auto"/>
                <w:sz w:val="24"/>
                <w:szCs w:val="24"/>
                <w:highlight w:val="none"/>
                <w:shd w:val="clear" w:color="auto" w:fill="ffffff"/>
              </w:rPr>
              <w:t xml:space="preserve">月</w:t>
            </w:r>
            <w:r>
              <w:rPr>
                <w:rFonts w:hint="eastAsia" w:ascii="宋体" w:hAnsi="宋体" w:eastAsia="宋体" w:cs="宋体"/>
                <w:color w:val="auto"/>
                <w:sz w:val="24"/>
                <w:szCs w:val="24"/>
                <w:highlight w:val="none"/>
                <w:shd w:val="clear" w:color="auto" w:fill="ffffff"/>
                <w:lang w:val="en-US" w:eastAsia="zh-CN"/>
              </w:rPr>
              <w:t xml:space="preserve">10</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开标时间：</w:t>
            </w:r>
            <w:r>
              <w:rPr>
                <w:rFonts w:hint="eastAsia" w:ascii="宋体" w:hAnsi="宋体" w:eastAsia="宋体" w:cs="宋体"/>
                <w:color w:val="auto"/>
                <w:sz w:val="24"/>
                <w:szCs w:val="24"/>
                <w:highlight w:val="none"/>
                <w:shd w:val="clear" w:color="auto" w:fill="ffffff"/>
                <w:lang w:val="en-US" w:eastAsia="zh-CN"/>
              </w:rPr>
              <w:t xml:space="preserve">2026年07月</w:t>
            </w:r>
            <w:r>
              <w:rPr>
                <w:rFonts w:hint="eastAsia" w:ascii="宋体" w:hAnsi="宋体" w:eastAsia="宋体" w:cs="宋体"/>
                <w:color w:val="auto"/>
                <w:sz w:val="24"/>
                <w:szCs w:val="24"/>
                <w:highlight w:val="none"/>
                <w:shd w:val="clear" w:color="auto" w:fill="ffffff"/>
              </w:rPr>
            </w:r>
            <w:r>
              <w:rPr>
                <w:rFonts w:hint="eastAsia" w:ascii="宋体" w:hAnsi="宋体" w:eastAsia="宋体" w:cs="宋体"/>
                <w:color w:val="auto"/>
                <w:sz w:val="24"/>
                <w:szCs w:val="24"/>
                <w:highlight w:val="none"/>
                <w:shd w:val="clear" w:color="auto" w:fill="ffffff"/>
                <w:lang w:val="en-US" w:eastAsia="zh-CN"/>
              </w:rPr>
              <w:t xml:space="preserve">10</w:t>
            </w:r>
            <w:r/>
            <w:r>
              <w:rPr>
                <w:rFonts w:hint="eastAsia" w:ascii="宋体" w:hAnsi="宋体" w:eastAsia="宋体" w:cs="宋体"/>
                <w:color w:val="auto"/>
                <w:sz w:val="24"/>
                <w:szCs w:val="24"/>
                <w:highlight w:val="none"/>
                <w:shd w:val="clear" w:color="auto" w:fill="ffffff"/>
                <w:lang w:val="en-US" w:eastAsia="zh-CN"/>
              </w:rPr>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开标地点：“苏采云”系统（网址：http://jszfcg.jsczt.cn/）</w:t>
            </w:r>
            <w:r/>
          </w:p>
          <w:p>
            <w:pPr>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履约保证金：</w:t>
            </w:r>
            <w:r>
              <w:rPr>
                <w:rFonts w:hint="eastAsia" w:ascii="宋体" w:hAnsi="宋体" w:eastAsia="宋体" w:cs="宋体"/>
                <w:color w:val="auto"/>
                <w:sz w:val="24"/>
                <w:szCs w:val="24"/>
                <w:highlight w:val="none"/>
                <w:shd w:val="clear" w:color="auto" w:fill="ffffff"/>
                <w:lang w:val="en-US" w:eastAsia="zh-CN"/>
              </w:rPr>
              <w:t xml:space="preserve">无。</w:t>
            </w:r>
            <w:r/>
          </w:p>
        </w:tc>
      </w:tr>
      <w:tr>
        <w:trPr>
          <w:jc w:val="center"/>
          <w:trHeight w:val="56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7</w:t>
            </w:r>
            <w:r/>
          </w:p>
        </w:tc>
        <w:tc>
          <w:tcPr>
            <w:tcW w:w="9144" w:type="dxa"/>
            <w:vAlign w:val="center"/>
            <w:textDirection w:val="lrTb"/>
            <w:noWrap w:val="false"/>
          </w:tcPr>
          <w:p>
            <w:pPr>
              <w:ind w:right="18"/>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代理服务费收费标准按照《关于苏州市级政府采购代理服务收费有关问题的通知》（苏财购字〔2016〕18号）执行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具体按照</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在“苏州市政府采购网”上公告的服务收费</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预算金额100万元以下部分，费率为该部分预算金额的1.5%；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预算金额100万元（含）－500万元部分，费率为该部分预算金额的1.1%；</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预算金额500万元（含）-1000万元部分，费率为该部分预算金额的0.8%；</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预算金额1000万元（含）-5000万元部分，费率为该部分预算金额的0.5%；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预算金额5000万元以上部分，费率为该部分预算金额的0.25%。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说明：代理服务费以采购预算金额为基数依据，按以上规定的标准和差额定率累进法进行计算收取。</w:t>
            </w:r>
            <w:r>
              <w:rPr>
                <w:rFonts w:hint="eastAsia" w:ascii="宋体" w:hAnsi="宋体" w:eastAsia="宋体" w:cs="宋体"/>
                <w:color w:val="auto"/>
                <w:sz w:val="24"/>
                <w:szCs w:val="24"/>
                <w:highlight w:val="none"/>
                <w:lang w:val="en-US" w:eastAsia="zh-CN" w:bidi="ar"/>
              </w:rPr>
              <w:t xml:space="preserve">收取方式：现金或转账。</w:t>
            </w:r>
            <w:r>
              <w:rPr>
                <w:rFonts w:hint="eastAsia" w:ascii="宋体" w:hAnsi="宋体" w:eastAsia="宋体" w:cs="宋体"/>
                <w:color w:val="auto"/>
                <w:sz w:val="24"/>
                <w:szCs w:val="24"/>
                <w:highlight w:val="none"/>
                <w:lang w:bidi="ar"/>
              </w:rPr>
              <w:t xml:space="preserve">例：如预算金额为150万元，则代理服务费＝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100万元×1.5%＋（150万元－100万元）×1.1%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bidi="ar"/>
              </w:rPr>
              <w:t xml:space="preserve">。如按上述方法计算的金额低于人民币4000元整的，则本项目代理服务费按人民币4000元整计收，最低不低于4000元。</w:t>
            </w:r>
            <w:r>
              <w:rPr>
                <w:rFonts w:hint="eastAsia" w:ascii="宋体" w:hAnsi="宋体" w:eastAsia="宋体" w:cs="宋体"/>
                <w:color w:val="auto"/>
                <w:sz w:val="24"/>
                <w:szCs w:val="24"/>
                <w:highlight w:val="none"/>
                <w:lang w:val="en-US" w:eastAsia="zh-CN" w:bidi="ar"/>
              </w:rPr>
              <w:t xml:space="preserve">本项目</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lang w:val="en-US" w:eastAsia="zh-CN"/>
              </w:rPr>
              <w:t xml:space="preserve">由于采购人未在采购预算中列支该项经费，由中标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通知书时向采购代理机构一次性付清。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本项目代理费金额：29234元</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收款单位：苏州华星工程造价咨询有限公司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银行账号：520958193351</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开户银行：中国银行股份有限公司苏州东环路支行</w:t>
            </w:r>
            <w:r/>
          </w:p>
        </w:tc>
      </w:tr>
      <w:tr>
        <w:trPr>
          <w:jc w:val="center"/>
          <w:trHeight w:val="69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8</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苏州工业园区政府采购监督电话：0512-66681110</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4"/>
          <w:highlight w:val="none"/>
          <w:shd w:val="clear" w:color="auto" w:fill="ffffff"/>
        </w:rPr>
        <w:t xml:space="preserve">第一章投标邀请函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第二章供应商须知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第三章投标文件格式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第四章招标书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第五章合同主要条款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96</w:t>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第六章评分标准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104</w:t>
      </w:r>
      <w:r/>
    </w:p>
    <w:p>
      <w:pP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tabs>
          <w:tab w:val="left" w:pos="6398" w:leader="none"/>
        </w:tabs>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r/>
    </w:p>
    <w:p>
      <w:pPr>
        <w:spacing w:line="360" w:lineRule="auto"/>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br w:type="page" w:clear="all"/>
      </w:r>
      <w:bookmarkStart w:id="1" w:name="_Hlk117242093"/>
      <w:r/>
      <w:bookmarkEnd w:id="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933"/>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rPr>
              <w:t xml:space="preserve">的潜在供应商应在江苏省政府采购一体化平台“苏采云”系统自行免费下载招标文件，并于</w:t>
            </w:r>
            <w:r>
              <w:rPr>
                <w:rFonts w:hint="eastAsia" w:ascii="宋体" w:hAnsi="宋体" w:eastAsia="宋体" w:cs="宋体"/>
                <w:color w:val="auto"/>
                <w:sz w:val="24"/>
                <w:szCs w:val="24"/>
                <w:highlight w:val="none"/>
                <w:shd w:val="clear" w:color="auto" w:fill="ffffff"/>
                <w:lang w:val="en-US" w:eastAsia="zh-CN"/>
              </w:rPr>
              <w:t xml:space="preserve">2026年07月</w:t>
            </w:r>
            <w:r>
              <w:rPr>
                <w:rFonts w:hint="eastAsia" w:ascii="宋体" w:hAnsi="宋体" w:eastAsia="宋体" w:cs="宋体"/>
                <w:color w:val="auto"/>
                <w:sz w:val="24"/>
                <w:szCs w:val="24"/>
                <w:highlight w:val="none"/>
                <w:shd w:val="clear" w:color="auto" w:fill="ffffff"/>
              </w:rPr>
            </w:r>
            <w:r>
              <w:rPr>
                <w:rFonts w:hint="eastAsia" w:ascii="宋体" w:hAnsi="宋体" w:eastAsia="宋体" w:cs="宋体"/>
                <w:color w:val="auto"/>
                <w:sz w:val="24"/>
                <w:szCs w:val="24"/>
                <w:highlight w:val="none"/>
                <w:shd w:val="clear" w:color="auto" w:fill="ffffff"/>
                <w:lang w:val="en-US" w:eastAsia="zh-CN"/>
              </w:rPr>
              <w:t xml:space="preserve">10</w:t>
            </w:r>
            <w:r/>
            <w:r>
              <w:rPr>
                <w:rFonts w:hint="eastAsia" w:ascii="宋体" w:hAnsi="宋体" w:eastAsia="宋体" w:cs="宋体"/>
                <w:color w:val="auto"/>
                <w:sz w:val="24"/>
                <w:szCs w:val="24"/>
                <w:highlight w:val="none"/>
                <w:shd w:val="clear" w:color="auto" w:fill="ffffff"/>
                <w:lang w:val="en-US"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分（北京时间）前递交投标文件。</w:t>
            </w:r>
            <w:r/>
          </w:p>
        </w:tc>
      </w:tr>
    </w:tbl>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JSZC-320591-HXZJ-G2026-0015</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斜塘学校改建修缮项目厨房设备采购</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lang w:val="en-US" w:eastAsia="zh-CN" w:bidi="ar-SA"/>
        </w:rPr>
        <w:t xml:space="preserve">厨房设备供货与安装采购。投标人应履行所投产品的生产供货、安装、调试、培训、质保等要求。</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合同履行期限：接到采购人通知后45天内完成安装及调试。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本项目不接受联合体投标。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根据《政府采购促进中小企业发展管理办法》的相关规定，本项目专门面向中小微企业，所属行业为工业，供应商所提供服务的承接单位应为中小微企业或监狱企业或残疾人福利性单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 w:name="_Hlk97035982"/>
      <w:r>
        <w:rPr>
          <w:rFonts w:hint="eastAsia" w:ascii="宋体" w:hAnsi="宋体" w:eastAsia="宋体" w:cs="宋体"/>
          <w:color w:val="auto"/>
          <w:sz w:val="24"/>
          <w:szCs w:val="24"/>
          <w:highlight w:val="none"/>
        </w:rPr>
        <w:t xml:space="preserve">1、时间：自招标文件公告发布之日起5个工作日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w:t>
      </w:r>
      <w:r>
        <w:rPr>
          <w:rFonts w:hint="eastAsia" w:ascii="宋体" w:hAnsi="宋体" w:eastAsia="宋体" w:cs="宋体"/>
          <w:color w:val="auto"/>
          <w:sz w:val="24"/>
          <w:szCs w:val="24"/>
          <w:highlight w:val="none"/>
          <w:lang w:val="en-US" w:eastAsia="zh-CN"/>
        </w:rPr>
        <w:t xml:space="preserve">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获取方式</w:t>
      </w:r>
      <w:r>
        <w:rPr>
          <w:rFonts w:hint="eastAsia" w:ascii="宋体" w:hAnsi="宋体" w:eastAsia="宋体" w:cs="宋体"/>
          <w:color w:val="auto"/>
          <w:sz w:val="24"/>
          <w:szCs w:val="24"/>
          <w:highlight w:val="none"/>
        </w:rPr>
        <w:t xml:space="preserve">：在苏采云系统获取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售价：0元</w:t>
      </w:r>
      <w:bookmarkEnd w:id="2"/>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 xml:space="preserve">2026年07月</w:t>
      </w:r>
      <w:r>
        <w:rPr>
          <w:rFonts w:hint="eastAsia" w:ascii="宋体" w:hAnsi="宋体" w:eastAsia="宋体" w:cs="宋体"/>
          <w:color w:val="auto"/>
          <w:sz w:val="24"/>
          <w:szCs w:val="24"/>
          <w:highlight w:val="none"/>
          <w:shd w:val="clear" w:color="auto" w:fill="ffffff"/>
        </w:rPr>
      </w:r>
      <w:r>
        <w:rPr>
          <w:rFonts w:hint="eastAsia" w:ascii="宋体" w:hAnsi="宋体" w:eastAsia="宋体" w:cs="宋体"/>
          <w:color w:val="auto"/>
          <w:sz w:val="24"/>
          <w:szCs w:val="24"/>
          <w:highlight w:val="none"/>
          <w:shd w:val="clear" w:color="auto" w:fill="ffffff"/>
          <w:lang w:val="en-US" w:eastAsia="zh-CN"/>
        </w:rPr>
        <w:t xml:space="preserve">10</w:t>
      </w:r>
      <w:r/>
      <w:r>
        <w:rPr>
          <w:rFonts w:hint="eastAsia" w:ascii="宋体" w:hAnsi="宋体" w:eastAsia="宋体" w:cs="宋体"/>
          <w:color w:val="auto"/>
          <w:sz w:val="24"/>
          <w:szCs w:val="24"/>
          <w:highlight w:val="none"/>
          <w:shd w:val="clear" w:color="auto" w:fill="ffffff"/>
          <w:lang w:val="en-US" w:eastAsia="zh-CN"/>
        </w:rPr>
        <w:t xml:space="preserve">日09:30</w:t>
      </w:r>
      <w:r>
        <w:rPr>
          <w:rFonts w:hint="eastAsia" w:ascii="宋体" w:hAnsi="宋体" w:eastAsia="宋体" w:cs="宋体"/>
          <w:color w:val="auto"/>
          <w:sz w:val="24"/>
          <w:szCs w:val="24"/>
          <w:highlight w:val="none"/>
          <w:lang w:val="en-US" w:eastAsia="zh-CN"/>
        </w:rPr>
        <w:t xml:space="preserve">（北京时间）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地点：“苏采云”系统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五、公告期限：自本公告发布之日起五个工作日。</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1、为本项目提供整体设计、规范编制等服务的供应商：无。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3、为本项目提供整体设计、规范编制或者项目管理、监理、监测等服务的供应商，不得再参加该采购项目及其他相关的采购活动。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4、本公告同时在苏州市政府采购网、江苏省政府采购网、中国政府采购网上发布。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6、如不同投标文件制作机器码一致，则投标无效。</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供应商应充分考虑到网络环境、网络带宽等风险因素，如因供应商自身原因造成的电子投标文件上传不成功由供应商自行承担全部责任。</w:t>
      </w:r>
      <w:r/>
    </w:p>
    <w:p>
      <w:pPr>
        <w:numPr>
          <w:ilvl w:val="0"/>
          <w:numId w:val="3"/>
        </w:num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color w:val="auto"/>
          <w:sz w:val="24"/>
          <w:szCs w:val="24"/>
          <w:highlight w:val="none"/>
        </w:rPr>
        <w:t xml:space="preserve">或法人授权委托书（如有）中</w:t>
      </w:r>
      <w:bookmarkEnd w:id="3"/>
      <w:r>
        <w:rPr>
          <w:rFonts w:hint="eastAsia" w:ascii="宋体" w:hAnsi="宋体" w:eastAsia="宋体" w:cs="宋体"/>
          <w:color w:val="auto"/>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苏州现场办理地址：苏州高新区邓尉路105号狮山科技馆1楼服务大厅，咨询电话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0512-65737699。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、线上参加开标会方式：供应商登录“苏采云”系统，点击“开标大厅”，选择对应项目，点击进入不见面开标系统。</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“苏采云”平台技术咨询电话：0512-69820854、0519-86722802、13914088964、18261002950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、政府采购监督电话：0512-66681110。</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苏州工业园区教育局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w:t>
      </w:r>
      <w:r>
        <w:rPr>
          <w:rFonts w:hint="eastAsia" w:ascii="宋体" w:hAnsi="宋体" w:eastAsia="宋体" w:cs="宋体"/>
          <w:color w:val="auto"/>
          <w:sz w:val="24"/>
          <w:szCs w:val="24"/>
          <w:highlight w:val="none"/>
          <w:lang w:val="en-US" w:eastAsia="zh-CN"/>
        </w:rPr>
        <w:t xml:space="preserve">工业园区现代大道999号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周律   0512-66606935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称：苏州华星工程造价咨询有限公司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址：苏州工业园区苏雅路388号新天翔商业广场A座12楼1206室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联系方式：0512-65200462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项目联系人：田娟、吴皓东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话：0512-65200462</w:t>
      </w:r>
      <w:r/>
    </w:p>
    <w:p>
      <w:pPr>
        <w:ind w:firstLine="48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43"/>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4" w:name="_Toc105940238"/>
      <w:r>
        <w:rPr>
          <w:rFonts w:hint="eastAsia" w:ascii="宋体" w:hAnsi="宋体" w:eastAsia="宋体" w:cs="宋体"/>
          <w:b/>
          <w:color w:val="auto"/>
          <w:sz w:val="52"/>
          <w:szCs w:val="20"/>
          <w:highlight w:val="none"/>
          <w:shd w:val="clear" w:color="auto" w:fill="ffffff"/>
        </w:rPr>
        <w:t xml:space="preserve">第二章供应商须知</w:t>
      </w:r>
      <w:bookmarkEnd w:id="4"/>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一、说明和释义</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1.1本招标文件仅适用于本项目采购代理机构组织的招标活动。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1.3本招标文件的解释权属于本项目采购代理机构。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color w:val="auto"/>
          <w:sz w:val="24"/>
          <w:szCs w:val="24"/>
          <w:highlight w:val="none"/>
          <w:u w:val="single"/>
          <w:shd w:val="clear" w:color="auto" w:fill="ffffff"/>
        </w:rPr>
        <w:t xml:space="preserve">苏州华星工程造价咨询有限公司</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投标人（供应商）</w:t>
      </w:r>
      <w:r>
        <w:rPr>
          <w:rFonts w:hint="eastAsia" w:ascii="宋体" w:hAnsi="宋体" w:eastAsia="宋体" w:cs="宋体"/>
          <w:color w:val="auto"/>
          <w:sz w:val="24"/>
          <w:szCs w:val="24"/>
          <w:highlight w:val="none"/>
          <w:shd w:val="clear" w:color="auto" w:fill="ffffff"/>
        </w:rPr>
        <w:t xml:space="preserve">：指响应招标、参加投标竞争的法人、其他组织或者自然人。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2.4响应：供应商根据采购人或采购代理机构发布的招标文件，编制投标文件并按规定投标的行为。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firstLine="480"/>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2.19书面形式：指合同书、信件、电报、电传、传真等可以有形地表现所载内容的形式。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以电子数据交换、电子邮件等方式能够有形地表现所载内容,并可以随时调取查用的数据电文,视为书面形式。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二、供应商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985"/>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3.1 详见本项目招标公告中的“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个</w:t>
      </w:r>
      <w:r>
        <w:rPr>
          <w:rFonts w:hint="eastAsia" w:ascii="宋体" w:hAnsi="宋体" w:eastAsia="宋体" w:cs="宋体"/>
          <w:color w:val="auto"/>
          <w:sz w:val="24"/>
          <w:szCs w:val="24"/>
          <w:highlight w:val="none"/>
        </w:rPr>
        <w:t xml:space="preserve">单位进行联合投标。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5.1无论投标过程中的做法和结果如何，供应商自行承担所有与参加投标有关的全部费用。</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0"/>
          <w:highlight w:val="none"/>
        </w:rPr>
        <w:t xml:space="preserve">本项目不接受联合体投标。</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三、招标文件和投标文件的说明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 xml:space="preserve">该电子投标文件将被视为未实质性响应。</w:t>
      </w:r>
      <w:r/>
    </w:p>
    <w:p>
      <w:pPr>
        <w:ind w:left="0" w:firstLine="480"/>
        <w:jc w:val="left"/>
        <w:keepLines w:val="0"/>
        <w:keepNext w:val="0"/>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7.2招标文件及其补充文件为未按规定的方式获得的，采购代理机构对招标文件及其补遗的真实性、完整性不承担任何责任。</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8.招标文件的询问</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9.招标文件的澄清或修改</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10.现场踏勘</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left="0"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11.提示与要求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left="0" w:firstLine="482"/>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13.2投标报价明细表（格式见第三章）；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shd w:val="clear" w:color="auto" w:fill="ffffff"/>
        </w:rPr>
        <w:t xml:space="preserve">最近一期的财务报告，或银行出具的资信证明，或财政部门认可的政府采购专业担保机构出具的投标担保函；</w:t>
      </w:r>
      <w:bookmarkEnd w:id="5"/>
      <w:r/>
      <w:r/>
    </w:p>
    <w:p>
      <w:pPr>
        <w:pStyle w:val="936"/>
        <w:ind w:left="0" w:firstLine="480"/>
        <w:jc w:val="both"/>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证明材料或</w:t>
      </w:r>
      <w:r>
        <w:rPr>
          <w:rFonts w:hint="eastAsia" w:ascii="宋体" w:hAnsi="宋体" w:eastAsia="宋体" w:cs="宋体"/>
          <w:color w:val="auto"/>
          <w:sz w:val="24"/>
          <w:szCs w:val="24"/>
          <w:highlight w:val="none"/>
        </w:rPr>
        <w:t xml:space="preserve">承诺函(格式自拟)；</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11"/>
      <w:r/>
      <w:bookmarkStart w:id="8" w:name="OLE_LINK9"/>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bookmarkEnd w:id="8"/>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授权委托书、供应商授权代理人身份证复印件（如有授权）；</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供应商法定代表人身份证复印件；</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13.4.5《供应商与其他单位存在控股、管理关系情况表》（格式见第三章）；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ind w:left="0" w:firstLine="482"/>
        <w:keepLines w:val="0"/>
        <w:keepNext w:val="0"/>
        <w:pageBreakBefore w:val="0"/>
        <w:spacing w:line="360" w:lineRule="auto"/>
        <w:rPr>
          <w:rFonts w:hint="eastAsia" w:ascii="宋体" w:hAnsi="宋体" w:eastAsia="宋体" w:cs="宋体"/>
          <w:b/>
          <w:bCs w:val="0"/>
          <w:color w:val="auto"/>
          <w:sz w:val="24"/>
          <w:szCs w:val="24"/>
          <w:highlight w:val="none"/>
          <w:u w:val="single"/>
          <w:shd w:val="clear" w:color="auto" w:fill="ffffff"/>
        </w:rPr>
      </w:pPr>
      <w:r>
        <w:rPr>
          <w:rFonts w:hint="eastAsia" w:ascii="宋体" w:hAnsi="宋体" w:eastAsia="宋体" w:cs="宋体"/>
          <w:b/>
          <w:bCs w:val="0"/>
          <w:color w:val="auto"/>
          <w:sz w:val="24"/>
          <w:szCs w:val="24"/>
          <w:highlight w:val="none"/>
          <w:u w:val="single"/>
          <w:lang w:val="en-US" w:eastAsia="zh-CN"/>
        </w:rPr>
        <w:t xml:space="preserve">13.4.7相关证书说明表</w:t>
      </w:r>
      <w:r>
        <w:rPr>
          <w:rFonts w:hint="eastAsia" w:ascii="宋体" w:hAnsi="宋体" w:eastAsia="宋体" w:cs="宋体"/>
          <w:b/>
          <w:bCs w:val="0"/>
          <w:color w:val="auto"/>
          <w:sz w:val="24"/>
          <w:szCs w:val="24"/>
          <w:highlight w:val="none"/>
          <w:u w:val="single"/>
          <w:shd w:val="clear" w:color="auto" w:fill="ffffff"/>
        </w:rPr>
        <w:t xml:space="preserve">（格式见第三章）；</w:t>
      </w:r>
      <w:r/>
    </w:p>
    <w:p>
      <w:pPr>
        <w:pStyle w:val="1015"/>
        <w:ind w:left="0" w:firstLine="480"/>
        <w:jc w:val="both"/>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w:t>
      </w:r>
      <w:r>
        <w:rPr>
          <w:rFonts w:hint="eastAsia"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项目组人员一览表（格式见第三章）；</w:t>
      </w:r>
      <w:r/>
    </w:p>
    <w:p>
      <w:pPr>
        <w:ind w:left="0" w:firstLine="480"/>
        <w:jc w:val="both"/>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13.4.9技术支持以及售后服务承诺（格式见第三章）；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hint="eastAsia" w:ascii="宋体" w:hAnsi="宋体" w:eastAsia="宋体" w:cs="宋体"/>
          <w:color w:val="auto"/>
          <w:sz w:val="24"/>
          <w:szCs w:val="24"/>
          <w:highlight w:val="none"/>
          <w:shd w:val="clear" w:color="auto" w:fill="ffffff"/>
          <w:lang w:val="en-US" w:eastAsia="zh-CN"/>
        </w:rPr>
        <w:t xml:space="preserve">10</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hint="eastAsia" w:ascii="宋体" w:hAnsi="宋体" w:eastAsia="宋体" w:cs="宋体"/>
          <w:b/>
          <w:bCs/>
          <w:color w:val="auto"/>
          <w:sz w:val="24"/>
          <w:szCs w:val="24"/>
          <w:highlight w:val="none"/>
          <w:u w:val="single"/>
          <w:shd w:val="clear" w:color="auto" w:fill="ffffff"/>
          <w:lang w:val="en-US" w:eastAsia="zh-CN"/>
        </w:rPr>
        <w:t xml:space="preserve">10</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13.5.1《类似业绩情况表》</w:t>
      </w:r>
      <w:r>
        <w:rPr>
          <w:rFonts w:hint="eastAsia" w:ascii="宋体" w:hAnsi="宋体" w:eastAsia="宋体" w:cs="宋体"/>
          <w:color w:val="auto"/>
          <w:sz w:val="24"/>
          <w:szCs w:val="24"/>
          <w:highlight w:val="none"/>
          <w:shd w:val="clear" w:color="auto" w:fill="ffffff"/>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13.5.2评分标准中所涉及到针对本项目的各项服务实施方案、相关制度、证书、业绩、承诺函及其他材料、证明等（部分格式见第三章）。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ind w:left="0" w:firstLine="482"/>
        <w:keepLines w:val="0"/>
        <w:keepNext w:val="0"/>
        <w:pageBreakBefore w:val="0"/>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14.电子投标文件的编制与</w:t>
      </w:r>
      <w:bookmarkStart w:id="10" w:name="_Hlk158131382"/>
      <w:r>
        <w:rPr>
          <w:rFonts w:hint="eastAsia" w:ascii="宋体" w:hAnsi="宋体" w:eastAsia="宋体" w:cs="宋体"/>
          <w:b/>
          <w:color w:val="auto"/>
          <w:sz w:val="24"/>
          <w:szCs w:val="24"/>
          <w:highlight w:val="none"/>
          <w:shd w:val="clear" w:color="auto" w:fill="ffffff"/>
        </w:rPr>
        <w:t xml:space="preserve">递交</w:t>
      </w:r>
      <w:bookmarkEnd w:id="10"/>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left="0"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943"/>
        <w:ind w:left="0" w:firstLine="480"/>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第一步：在投标文件中上传联合体投标协议书。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2"/>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15.投标报价（编制）要求的说明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15.3一项投标内容只允许一个报价，采购人或采购代理机构不接受任何有选择性的投标报价。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15.4投标文件报价中的单价和总价全部采用人民币表示，除非合同的特殊条款另有规定。</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left="0" w:firstLine="480"/>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6314345"/>
      <w:r/>
      <w:bookmarkStart w:id="14" w:name="_Hlk117242692"/>
      <w:r/>
      <w:bookmarkEnd w:id="13"/>
      <w:r/>
      <w:bookmarkEnd w:id="14"/>
      <w:r/>
      <w:r/>
    </w:p>
    <w:p>
      <w:pPr>
        <w:ind w:left="0" w:firstLine="482"/>
        <w:keepLines w:val="0"/>
        <w:keepNext w:val="0"/>
        <w:pageBreakBefore w:val="0"/>
        <w:spacing w:line="360" w:lineRule="auto"/>
        <w:rPr>
          <w:rFonts w:hint="eastAsia" w:ascii="宋体" w:hAnsi="宋体" w:eastAsia="宋体" w:cs="宋体"/>
          <w:color w:val="auto"/>
          <w:highlight w:val="none"/>
        </w:rPr>
        <w:outlineLvl w:val="1"/>
      </w:pPr>
      <w:r>
        <w:rPr>
          <w:rFonts w:hint="eastAsia" w:ascii="宋体" w:hAnsi="宋体" w:eastAsia="宋体" w:cs="宋体"/>
          <w:b/>
          <w:bCs/>
          <w:color w:val="auto"/>
          <w:sz w:val="24"/>
          <w:szCs w:val="20"/>
          <w:highlight w:val="none"/>
          <w:shd w:val="clear" w:color="auto" w:fill="ffffff"/>
        </w:rPr>
        <w:t xml:space="preserve">四、开标和评标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8"/>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19.8至投标文件提交截止时间，递交投标文件的供应商不足三家的，不得开标。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19.9开标在招标文件规定的时间、地点进行，由采购人或采购代理机构主持，供应商参加（观看），评标委员会成员不得参加开标活动。</w:t>
      </w:r>
      <w:bookmarkEnd w:id="15"/>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采购代理机构工作人员应登陆到来源网站页面进行复核并打印，</w:t>
      </w:r>
      <w:r>
        <w:rPr>
          <w:rFonts w:hint="eastAsia" w:ascii="宋体" w:hAnsi="宋体" w:eastAsia="宋体" w:cs="宋体"/>
          <w:color w:val="auto"/>
          <w:sz w:val="24"/>
          <w:szCs w:val="24"/>
          <w:highlight w:val="none"/>
        </w:rPr>
        <w:t xml:space="preserve">作为证据留存。</w:t>
      </w:r>
      <w:bookmarkEnd w:id="19"/>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left="0" w:firstLine="480"/>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评标委员会对投标文件的判定，只依据投标内容本身，不依靠开标后的任何外来证明。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21" w:name="_Hlk158140503"/>
      <w:r/>
      <w:bookmarkStart w:id="22" w:name="_Hlk158140452"/>
      <w:r/>
      <w:bookmarkStart w:id="23" w:name="_Hlk90656398"/>
      <w:r>
        <w:rPr>
          <w:rFonts w:hint="eastAsia" w:ascii="宋体" w:hAnsi="宋体" w:eastAsia="宋体" w:cs="宋体"/>
          <w:color w:val="auto"/>
          <w:sz w:val="24"/>
          <w:szCs w:val="24"/>
          <w:highlight w:val="none"/>
          <w:shd w:val="clear" w:color="auto" w:fill="ffffff"/>
        </w:rPr>
        <w:t xml:space="preserve">24.2本项目采用线上澄清</w:t>
      </w:r>
      <w:bookmarkEnd w:id="21"/>
      <w:r>
        <w:rPr>
          <w:rFonts w:hint="eastAsia" w:ascii="宋体" w:hAnsi="宋体" w:eastAsia="宋体" w:cs="宋体"/>
          <w:color w:val="auto"/>
          <w:sz w:val="24"/>
          <w:szCs w:val="24"/>
          <w:highlight w:val="none"/>
          <w:shd w:val="clear" w:color="auto" w:fill="ffffff"/>
        </w:rPr>
        <w:t xml:space="preserve">。</w:t>
      </w:r>
      <w:bookmarkEnd w:id="22"/>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3"/>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left="0"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人。</w:t>
      </w:r>
      <w:r/>
    </w:p>
    <w:p>
      <w:pPr>
        <w:ind w:left="0"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五、授予合同</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none"/>
          <w:shd w:val="clear" w:color="auto" w:fill="ffffff"/>
          <w:lang w:val="zh-CN"/>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0</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zh-CN"/>
        </w:rPr>
        <w:t xml:space="preserve">根据《关于在全省政府采购领域推行电子履约保函（保险）的通知（苏财购〔2023〕150号）》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eastAsia="宋体" w:cs="宋体"/>
          <w:color w:val="auto"/>
          <w:sz w:val="24"/>
          <w:szCs w:val="24"/>
          <w:highlight w:val="none"/>
          <w:u w:val="none"/>
          <w:shd w:val="clear" w:color="auto" w:fill="ffffff"/>
          <w:lang w:val="zh-CN"/>
        </w:rPr>
        <w:t xml:space="preserve">www.ccgp-jiangsu.gov.cn/jiangsu/zlxz）下载“政府采购电子履约保函（保险）操作手册”。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u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en-US" w:eastAsia="zh-CN"/>
        </w:rPr>
        <w:t xml:space="preserve">0.4 </w:t>
      </w:r>
      <w:r>
        <w:rPr>
          <w:rFonts w:hint="eastAsia" w:ascii="宋体" w:hAnsi="宋体" w:eastAsia="宋体" w:cs="宋体"/>
          <w:color w:val="auto"/>
          <w:sz w:val="24"/>
          <w:szCs w:val="24"/>
          <w:highlight w:val="none"/>
          <w:shd w:val="clear" w:color="auto" w:fill="ffffff"/>
          <w:lang w:val="zh-CN"/>
        </w:rPr>
        <w:t xml:space="preserve">根据苏州市财政局《关于深入开展苏州市政府采购合同信用融资业务的通知》相关要求，本项目支持政府采购合同信用融资。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rPr>
        <w:t xml:space="preserve">31.履约保证金</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lang w:val="en-US" w:eastAsia="zh-CN"/>
        </w:rPr>
        <w:t xml:space="preserve">无</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六、其他事项</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shd w:val="clear" w:color="auto" w:fill="ffffff"/>
          <w:lang w:val="zh-CN"/>
        </w:rPr>
        <w:t xml:space="preserve">质疑递交地点：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highlight w:val="none"/>
        </w:rPr>
        <w:t xml:space="preserve">苏州工业园区苏雅路388号新天翔商业广场A座12楼1206室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电话：</w:t>
      </w:r>
      <w:r>
        <w:rPr>
          <w:rFonts w:hint="eastAsia" w:ascii="宋体" w:hAnsi="宋体" w:eastAsia="宋体" w:cs="宋体"/>
          <w:color w:val="auto"/>
          <w:sz w:val="24"/>
          <w:szCs w:val="24"/>
          <w:highlight w:val="none"/>
          <w:shd w:val="clear" w:color="auto" w:fill="ffffff"/>
        </w:rPr>
        <w:t xml:space="preserve">0512-65200462</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田娟</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33.1中标供应商须按前附表的规定计算并支付代理服务费，该费用应在领取合同前付清。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33.2中标供应商如果未按规定缴纳代理服务费，采购代理机构将不予退还其投标保证金，并保留诉讼的权利。</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24" w:name="_Toc105940239"/>
      <w:r>
        <w:rPr>
          <w:rFonts w:hint="eastAsia" w:ascii="宋体" w:hAnsi="宋体" w:eastAsia="宋体" w:cs="宋体"/>
          <w:b/>
          <w:color w:val="auto"/>
          <w:sz w:val="52"/>
          <w:szCs w:val="20"/>
          <w:highlight w:val="none"/>
          <w:shd w:val="clear" w:color="auto" w:fill="ffffff"/>
        </w:rPr>
        <w:t xml:space="preserve">第三章投标文件格式</w:t>
      </w:r>
      <w:bookmarkEnd w:id="24"/>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w:t>
      </w:r>
      <w:r>
        <w:rPr>
          <w:rFonts w:hint="eastAsia" w:ascii="宋体" w:hAnsi="宋体" w:eastAsia="宋体" w:cs="宋体"/>
          <w:b/>
          <w:color w:val="auto"/>
          <w:sz w:val="24"/>
          <w:szCs w:val="21"/>
          <w:highlight w:val="none"/>
          <w:shd w:val="clear" w:color="auto" w:fill="ffffff"/>
          <w:lang w:val="en-US" w:eastAsia="zh-CN"/>
        </w:rPr>
        <w:t xml:space="preserve">投标人</w:t>
      </w:r>
      <w:r>
        <w:rPr>
          <w:rFonts w:hint="eastAsia" w:ascii="宋体" w:hAnsi="宋体" w:eastAsia="宋体" w:cs="宋体"/>
          <w:b/>
          <w:color w:val="auto"/>
          <w:sz w:val="24"/>
          <w:szCs w:val="21"/>
          <w:highlight w:val="none"/>
          <w:shd w:val="clear" w:color="auto" w:fill="ffffff"/>
        </w:rPr>
        <w:t xml:space="preserve">均应按照本章提供的格式填写，否则作为无效标。允许修改的文件，投标</w:t>
      </w:r>
      <w:r>
        <w:rPr>
          <w:rFonts w:hint="eastAsia" w:ascii="宋体" w:hAnsi="宋体" w:eastAsia="宋体" w:cs="宋体"/>
          <w:b/>
          <w:color w:val="auto"/>
          <w:sz w:val="24"/>
          <w:szCs w:val="21"/>
          <w:highlight w:val="none"/>
          <w:shd w:val="clear" w:color="auto" w:fill="ffffff"/>
          <w:lang w:val="en-US" w:eastAsia="zh-CN"/>
        </w:rPr>
        <w:t xml:space="preserve">人</w:t>
      </w:r>
      <w:r>
        <w:rPr>
          <w:rFonts w:hint="eastAsia" w:ascii="宋体" w:hAnsi="宋体" w:eastAsia="宋体" w:cs="宋体"/>
          <w:b/>
          <w:color w:val="auto"/>
          <w:sz w:val="24"/>
          <w:szCs w:val="21"/>
          <w:highlight w:val="none"/>
          <w:shd w:val="clear" w:color="auto" w:fill="ffffff"/>
        </w:rPr>
        <w:t xml:space="preserve">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bookmarkStart w:id="25" w:name="_Hlk117242496"/>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bookmarkEnd w:id="2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 2、投标函</w:t>
      </w:r>
      <w:r/>
    </w:p>
    <w:p>
      <w:pPr>
        <w:jc w:val="cente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shd w:val="clear" w:color="auto" w:fill="ffffff"/>
        </w:rPr>
        <w:t xml:space="preserve">投标函</w:t>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本公司收到贵司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号招标文件，经仔细阅读和研究，本公司决定参加投标。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公司愿意按照招标文件的一切要求，提供完成该项目的全部内容，本公司的投标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shd w:val="clear" w:color="auto" w:fill="ffffff"/>
        </w:rPr>
        <w:t xml:space="preserve">，以及相关税费等保证本项目正常实施和运行所需的一切相关费用）。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5、本公司愿意提供采购人或采购代理机构在招标文件中要求的所有资料。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7、本公司愿意遵守招标公告及招标文件中所列的收费标准。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8、本公司承诺该项投标在开标后的全过程中保持有效，不作任何更改和变动。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10、如果本公司中标，本公司愿意按招标文件规定支付代理服务费。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4"/>
          <w:highlight w:val="none"/>
          <w:shd w:val="clear" w:color="auto" w:fill="ffffff"/>
        </w:rPr>
        <w:t xml:space="preserve">的要求，若与真实情况不符，本公司愿意承担由此而产生的一切后果。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（1）伴随服务及配合措施；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（2）要求甲方提供的配合；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（3）对招标文件有不同意见的偏离说明；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（4）其它说明。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所有有关标书的函电，请按下列地址联系：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邮政编码：</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手机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传真：</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公司电子邮箱：</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974"/>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36"/>
        <w:ind w:firstLine="0"/>
        <w:jc w:val="both"/>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3、开标一览表</w:t>
      </w:r>
      <w:r/>
    </w:p>
    <w:p>
      <w:pPr>
        <w:pStyle w:val="107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26" w:name="TBR"/>
      <w:r/>
      <w:bookmarkEnd w:id="26"/>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27" w:name="XMBH"/>
      <w:r/>
      <w:bookmarkEnd w:id="27"/>
      <w:r/>
      <w:r/>
    </w:p>
    <w:p>
      <w:pPr>
        <w:ind w:firstLine="42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933"/>
        <w:tblW w:w="918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4719"/>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bookmarkStart w:id="28" w:name="FBH"/>
            <w:r/>
            <w:bookmarkEnd w:id="28"/>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29" w:name="XMMC"/>
            <w:r/>
            <w:bookmarkEnd w:id="29"/>
            <w:r>
              <w:rPr>
                <w:rFonts w:hint="eastAsia" w:ascii="宋体" w:hAnsi="宋体" w:eastAsia="宋体" w:cs="宋体"/>
                <w:color w:val="auto"/>
                <w:sz w:val="24"/>
                <w:szCs w:val="24"/>
                <w:highlight w:val="none"/>
                <w:lang w:eastAsia="zh-CN"/>
              </w:rPr>
              <w:t xml:space="preserve">斜塘学校改建修缮项目厨房设备采购</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30" w:name="JEXX"/>
            <w:r/>
            <w:bookmarkEnd w:id="30"/>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31" w:name="JEDX"/>
            <w:r/>
            <w:bookmarkEnd w:id="31"/>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投标报价明细表</w:t>
      </w:r>
      <w:r/>
    </w:p>
    <w:p>
      <w:pPr>
        <w:pStyle w:val="944"/>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897"/>
        <w:gridCol w:w="976"/>
        <w:gridCol w:w="976"/>
        <w:gridCol w:w="982"/>
        <w:gridCol w:w="977"/>
        <w:gridCol w:w="978"/>
        <w:gridCol w:w="1056"/>
        <w:gridCol w:w="1056"/>
        <w:gridCol w:w="979"/>
      </w:tblGrid>
      <w:tr>
        <w:trPr/>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序号</w:t>
            </w:r>
            <w:r/>
          </w:p>
        </w:tc>
        <w:tc>
          <w:tcPr>
            <w:tcW w:w="89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产品名称</w:t>
            </w:r>
            <w:r/>
          </w:p>
        </w:tc>
        <w:tc>
          <w:tcPr>
            <w:tcW w:w="976" w:type="dxa"/>
            <w:vAlign w:val="center"/>
            <w:textDirection w:val="lrTb"/>
            <w:noWrap w:val="false"/>
          </w:tcPr>
          <w:p>
            <w:pPr>
              <w:jc w:val="center"/>
              <w:rPr>
                <w:rFonts w:hint="default" w:eastAsiaTheme="minorEastAsia"/>
                <w:b/>
                <w:bCs/>
                <w:color w:val="auto"/>
                <w:highlight w:val="none"/>
                <w:vertAlign w:val="baseline"/>
                <w:lang w:val="en-US" w:eastAsia="zh-CN"/>
              </w:rPr>
            </w:pPr>
            <w:r>
              <w:rPr>
                <w:rFonts w:hint="eastAsia"/>
                <w:b w:val="0"/>
                <w:bCs w:val="0"/>
                <w:color w:val="auto"/>
                <w:highlight w:val="none"/>
                <w:vertAlign w:val="baseline"/>
                <w:lang w:val="en-US" w:eastAsia="zh-CN"/>
              </w:rPr>
              <w:t xml:space="preserve">品牌</w:t>
            </w:r>
            <w:r/>
          </w:p>
        </w:tc>
        <w:tc>
          <w:tcPr>
            <w:tcW w:w="976" w:type="dxa"/>
            <w:vAlign w:val="center"/>
            <w:textDirection w:val="lrTb"/>
            <w:noWrap w:val="false"/>
          </w:tcPr>
          <w:p>
            <w:pPr>
              <w:jc w:val="center"/>
              <w:rPr>
                <w:rFonts w:hint="eastAsia"/>
                <w:b/>
                <w:bCs/>
                <w:color w:val="auto"/>
                <w:highlight w:val="none"/>
                <w:vertAlign w:val="baseline"/>
                <w:lang w:val="en-US" w:eastAsia="zh-CN"/>
              </w:rPr>
            </w:pPr>
            <w:r>
              <w:rPr>
                <w:rFonts w:hint="eastAsia"/>
                <w:b/>
                <w:bCs/>
                <w:color w:val="auto"/>
                <w:highlight w:val="none"/>
                <w:vertAlign w:val="baseline"/>
                <w:lang w:val="en-US" w:eastAsia="zh-CN"/>
              </w:rPr>
              <w:t xml:space="preserve">生产</w:t>
            </w:r>
            <w:r/>
          </w:p>
          <w:p>
            <w:pPr>
              <w:jc w:val="center"/>
              <w:rPr>
                <w:rFonts w:hint="default" w:eastAsiaTheme="minorEastAsia"/>
                <w:b/>
                <w:bCs/>
                <w:color w:val="auto"/>
                <w:highlight w:val="none"/>
                <w:vertAlign w:val="baseline"/>
                <w:lang w:val="en-US" w:eastAsia="zh-CN"/>
              </w:rPr>
            </w:pPr>
            <w:r>
              <w:rPr>
                <w:rFonts w:hint="eastAsia"/>
                <w:b/>
                <w:bCs/>
                <w:color w:val="auto"/>
                <w:highlight w:val="none"/>
                <w:vertAlign w:val="baseline"/>
                <w:lang w:val="en-US" w:eastAsia="zh-CN"/>
              </w:rPr>
              <w:t xml:space="preserve">厂家</w:t>
            </w:r>
            <w:r/>
          </w:p>
        </w:tc>
        <w:tc>
          <w:tcPr>
            <w:tcW w:w="98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w:t>
            </w:r>
            <w:r>
              <w:rPr>
                <w:rFonts w:hint="eastAsia" w:ascii="宋体" w:hAnsi="宋体" w:eastAsia="宋体" w:cs="宋体"/>
                <w:color w:val="auto"/>
                <w:spacing w:val="20"/>
                <w:sz w:val="24"/>
                <w:szCs w:val="24"/>
                <w:highlight w:val="none"/>
                <w:lang w:val="en-US" w:eastAsia="zh-CN"/>
              </w:rPr>
              <w:t xml:space="preserve">/</w:t>
            </w:r>
            <w:r>
              <w:rPr>
                <w:rFonts w:hint="eastAsia" w:ascii="宋体" w:hAnsi="宋体" w:eastAsia="宋体" w:cs="宋体"/>
                <w:color w:val="auto"/>
                <w:spacing w:val="20"/>
                <w:sz w:val="24"/>
                <w:szCs w:val="24"/>
                <w:highlight w:val="none"/>
              </w:rPr>
              <w:t xml:space="preserve">型号</w:t>
            </w:r>
            <w:r/>
          </w:p>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（如有）</w:t>
            </w:r>
            <w:r/>
          </w:p>
        </w:tc>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数量</w:t>
            </w:r>
            <w:r/>
          </w:p>
        </w:tc>
        <w:tc>
          <w:tcPr>
            <w:tcW w:w="978"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单位</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单价（元）</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总价（元）</w:t>
            </w:r>
            <w:r/>
          </w:p>
        </w:tc>
        <w:tc>
          <w:tcPr>
            <w:tcW w:w="979" w:type="dxa"/>
            <w:vAlign w:val="center"/>
            <w:textDirection w:val="lrTb"/>
            <w:noWrap w:val="false"/>
          </w:tcPr>
          <w:p>
            <w:pPr>
              <w:jc w:val="center"/>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备注</w:t>
            </w:r>
            <w:r/>
          </w:p>
        </w:tc>
      </w:tr>
      <w:tr>
        <w:trPr>
          <w:trHeight w:val="497"/>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19"/>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2</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8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3</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9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4</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08"/>
        </w:trPr>
        <w:tc>
          <w:tcPr>
            <w:tcW w:w="977"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52"/>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40"/>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737"/>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c>
          <w:tcPr>
            <w:gridSpan w:val="10"/>
            <w:tcW w:w="9854" w:type="dxa"/>
            <w:vAlign w:val="center"/>
            <w:textDirection w:val="lrTb"/>
            <w:noWrap w:val="false"/>
          </w:tcPr>
          <w:p>
            <w:pPr>
              <w:jc w:val="both"/>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合计（人民币大写）：     </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小写：</w:t>
            </w:r>
            <w:r/>
          </w:p>
        </w:tc>
      </w:tr>
      <w:tr>
        <w:trPr/>
        <w:tc>
          <w:tcPr>
            <w:gridSpan w:val="10"/>
            <w:tcW w:w="9854" w:type="dxa"/>
            <w:vAlign w:val="center"/>
            <w:textDirection w:val="lrTb"/>
            <w:noWrap w:val="false"/>
          </w:tcPr>
          <w:p>
            <w:pPr>
              <w:jc w:val="left"/>
              <w:spacing w:line="360" w:lineRule="auto"/>
              <w:rPr>
                <w:rFonts w:hint="eastAsia"/>
                <w:color w:val="auto"/>
                <w:highlight w:val="none"/>
                <w:vertAlign w:val="baseline"/>
              </w:rPr>
            </w:pPr>
            <w:r>
              <w:rPr>
                <w:rFonts w:hint="eastAsia" w:ascii="宋体" w:hAnsi="宋体" w:eastAsia="宋体" w:cs="宋体"/>
                <w:b/>
                <w:bCs/>
                <w:color w:val="auto"/>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pacing w:val="20"/>
                <w:sz w:val="24"/>
                <w:szCs w:val="24"/>
                <w:highlight w:val="none"/>
                <w:u w:val="single"/>
              </w:rPr>
              <w:t xml:space="preserve">   </w:t>
            </w:r>
            <w:r>
              <w:rPr>
                <w:rFonts w:hint="eastAsia" w:ascii="宋体" w:hAnsi="宋体" w:eastAsia="宋体" w:cs="宋体"/>
                <w:b/>
                <w:bCs/>
                <w:color w:val="auto"/>
                <w:spacing w:val="20"/>
                <w:sz w:val="24"/>
                <w:szCs w:val="24"/>
                <w:highlight w:val="none"/>
              </w:rPr>
              <w:t xml:space="preserve">%</w:t>
            </w:r>
            <w:r/>
          </w:p>
        </w:tc>
      </w:tr>
    </w:tbl>
    <w:p>
      <w:pPr>
        <w:rPr>
          <w:rFonts w:hint="eastAsia"/>
          <w:color w:val="auto"/>
          <w:highlight w:val="none"/>
        </w:rPr>
      </w:pPr>
      <w:r>
        <w:rPr>
          <w:rFonts w:hint="eastAsia"/>
          <w:color w:val="auto"/>
          <w:highlight w:val="none"/>
        </w:rPr>
      </w:r>
      <w:r/>
    </w:p>
    <w:p>
      <w:pPr>
        <w:numPr>
          <w:ilvl w:val="0"/>
          <w:numId w:val="0"/>
        </w:numPr>
        <w:ind w:firstLine="723"/>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1、请按本表格详细列明所投产品的品牌和生产厂家等信息。</w:t>
      </w:r>
      <w:r/>
    </w:p>
    <w:p>
      <w:pPr>
        <w:numPr>
          <w:ilvl w:val="0"/>
          <w:numId w:val="0"/>
        </w:numPr>
        <w:ind w:firstLine="723"/>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93"/>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default"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5、相关证书说明表</w:t>
      </w:r>
      <w:r/>
    </w:p>
    <w:p>
      <w:pPr>
        <w:ind w:firstLine="4096"/>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相关证书说明表</w:t>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459"/>
        <w:gridCol w:w="1316"/>
        <w:gridCol w:w="3980"/>
        <w:gridCol w:w="1887"/>
      </w:tblGrid>
      <w:tr>
        <w:trPr/>
        <w:tc>
          <w:tcPr>
            <w:gridSpan w:val="5"/>
            <w:shd w:val="clear" w:color="auto" w:fill="auto"/>
            <w:tcW w:w="9591" w:type="dxa"/>
            <w:vAlign w:val="center"/>
            <w:textDirection w:val="lrTb"/>
            <w:noWrap w:val="false"/>
          </w:tcPr>
          <w:p>
            <w:pPr>
              <w:jc w:val="center"/>
              <w:spacing w:line="360" w:lineRule="auto"/>
              <w:rPr>
                <w:rFonts w:hint="eastAsia" w:asciiTheme="minorHAnsi" w:hAnsiTheme="minorHAnsi" w:eastAsiaTheme="minorEastAsia" w:cstheme="minorBidi"/>
                <w:color w:val="auto"/>
                <w:sz w:val="21"/>
                <w:szCs w:val="22"/>
                <w:highlight w:val="none"/>
                <w:vertAlign w:val="baseline"/>
                <w:lang w:val="en-US" w:eastAsia="zh-CN" w:bidi="ar-SA"/>
              </w:rPr>
            </w:pPr>
            <w:r>
              <w:rPr>
                <w:rFonts w:hint="eastAsia" w:ascii="宋体" w:hAnsi="宋体" w:eastAsia="宋体" w:cs="宋体"/>
                <w:b/>
                <w:bCs/>
                <w:color w:val="auto"/>
                <w:spacing w:val="20"/>
                <w:sz w:val="24"/>
                <w:szCs w:val="24"/>
                <w:highlight w:val="none"/>
                <w:lang w:val="en-US" w:eastAsia="zh-CN"/>
              </w:rPr>
              <w:t xml:space="preserve">      一、</w:t>
            </w:r>
            <w:r>
              <w:rPr>
                <w:rFonts w:hint="eastAsia" w:ascii="宋体" w:hAnsi="宋体" w:eastAsia="宋体" w:cs="宋体"/>
                <w:b/>
                <w:bCs/>
                <w:color w:val="auto"/>
                <w:spacing w:val="20"/>
                <w:sz w:val="24"/>
                <w:szCs w:val="24"/>
                <w:highlight w:val="none"/>
                <w:lang w:eastAsia="zh-CN"/>
              </w:rPr>
              <w:t xml:space="preserve">有效期内的《全国工业产品生产许可证(工业和商用电热食品加工设备)》或《全国工业产品生产许可证(电热食品加工设备)》</w:t>
            </w:r>
            <w:r/>
          </w:p>
        </w:tc>
      </w:tr>
      <w:tr>
        <w:trPr/>
        <w:tc>
          <w:tcPr>
            <w:shd w:val="clear" w:color="auto" w:fill="auto"/>
            <w:tcW w:w="949" w:type="dxa"/>
            <w:vAlign w:val="center"/>
            <w:textDirection w:val="lrTb"/>
            <w:noWrap w:val="false"/>
          </w:tcPr>
          <w:p>
            <w:pPr>
              <w:jc w:val="center"/>
              <w:rPr>
                <w:rFonts w:hint="default"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shd w:val="clear" w:color="auto" w:fill="auto"/>
            <w:tcW w:w="1459" w:type="dxa"/>
            <w:vAlign w:val="center"/>
            <w:textDirection w:val="lrTb"/>
            <w:noWrap w:val="false"/>
          </w:tcPr>
          <w:p>
            <w:pPr>
              <w:jc w:val="center"/>
              <w:rPr>
                <w:rFonts w:hint="eastAsia"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rPr>
              <w:t xml:space="preserve">产品名称</w:t>
            </w:r>
            <w:r/>
          </w:p>
        </w:tc>
        <w:tc>
          <w:tcPr>
            <w:shd w:val="clear" w:color="auto" w:fill="auto"/>
            <w:tcW w:w="1316"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shd w:val="clear" w:color="auto" w:fill="auto"/>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生产厂家</w:t>
            </w:r>
            <w:r/>
          </w:p>
        </w:tc>
        <w:tc>
          <w:tcPr>
            <w:shd w:val="clear" w:color="auto" w:fill="auto"/>
            <w:tcW w:w="188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90"/>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180</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三层六盘电烤箱</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电烤箱</w:t>
            </w:r>
            <w:r/>
          </w:p>
        </w:tc>
      </w:tr>
      <w:tr>
        <w:trPr>
          <w:trHeight w:val="519"/>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168</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r>
      <w:tr>
        <w:trPr>
          <w:trHeight w:val="48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162</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电磁单眼大锅灶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电磁灶</w:t>
            </w:r>
            <w:r/>
          </w:p>
        </w:tc>
      </w:tr>
      <w:tr>
        <w:trPr>
          <w:trHeight w:val="49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163</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电磁单眼矮汤炉</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601"/>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165</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电磁单眼炒灶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179</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双门蒸柜</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default"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蒸汽炊具</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36</w:t>
            </w:r>
            <w:r/>
          </w:p>
        </w:tc>
        <w:tc>
          <w:tcPr>
            <w:tcW w:w="14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开水器</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116</w:t>
            </w:r>
            <w:r/>
          </w:p>
        </w:tc>
        <w:tc>
          <w:tcPr>
            <w:tcW w:w="1459"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154</w:t>
            </w:r>
            <w:r/>
          </w:p>
        </w:tc>
        <w:tc>
          <w:tcPr>
            <w:tcW w:w="1459" w:type="dxa"/>
            <w:textDirection w:val="lrTb"/>
            <w:noWrap w:val="false"/>
          </w:tcPr>
          <w:p>
            <w:p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gridSpan w:val="5"/>
            <w:tcW w:w="959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color w:val="auto"/>
                <w:spacing w:val="20"/>
                <w:sz w:val="24"/>
                <w:szCs w:val="24"/>
                <w:highlight w:val="none"/>
                <w:lang w:val="en-US" w:eastAsia="zh-CN"/>
              </w:rPr>
              <w:t xml:space="preserve">二、</w:t>
            </w:r>
            <w:r>
              <w:rPr>
                <w:rFonts w:hint="eastAsia" w:ascii="宋体" w:hAnsi="宋体" w:eastAsia="宋体" w:cs="宋体"/>
                <w:b/>
                <w:bCs/>
                <w:color w:val="auto"/>
                <w:spacing w:val="20"/>
                <w:sz w:val="24"/>
                <w:szCs w:val="24"/>
                <w:highlight w:val="none"/>
                <w:lang w:eastAsia="zh-CN"/>
              </w:rPr>
              <w:t xml:space="preserve">有效期内的《消毒产品生产企业卫生许可证》</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tcW w:w="145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color w:val="auto"/>
                <w:spacing w:val="20"/>
                <w:sz w:val="24"/>
                <w:szCs w:val="24"/>
                <w:highlight w:val="none"/>
              </w:rPr>
              <w:t xml:space="preserve">产品名称</w:t>
            </w:r>
            <w:r/>
          </w:p>
        </w:tc>
        <w:tc>
          <w:tcPr>
            <w:tcW w:w="1316"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生产厂家</w:t>
            </w:r>
            <w:r/>
          </w:p>
        </w:tc>
        <w:tc>
          <w:tcPr>
            <w:tcW w:w="1887"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552"/>
        </w:trPr>
        <w:tc>
          <w:tcPr>
            <w:shd w:val="clear" w:color="auto" w:fill="auto"/>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电热消毒柜</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86</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104</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121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141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155</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17</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282</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筷子消毒机</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textDirection w:val="lrTb"/>
            <w:noWrap w:val="false"/>
          </w:tcPr>
          <w:p>
            <w:pP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其他的消毒器械/消毒器械</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64</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紫外线杀菌灯</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96</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122</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6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133</w:t>
            </w:r>
            <w:r/>
          </w:p>
        </w:tc>
        <w:tc>
          <w:tcPr>
            <w:tcW w:w="1459" w:type="dxa"/>
            <w:textDirection w:val="lrTb"/>
            <w:noWrap w:val="false"/>
          </w:tcPr>
          <w:p>
            <w:pPr>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737"/>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156</w:t>
            </w:r>
            <w:r/>
          </w:p>
        </w:tc>
        <w:tc>
          <w:tcPr>
            <w:tcW w:w="1459" w:type="dxa"/>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注1、请在本表格中列明所投产品的品牌和生产厂家。</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93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color w:val="auto"/>
          <w:sz w:val="24"/>
          <w:szCs w:val="24"/>
          <w:highlight w:val="none"/>
          <w:shd w:val="clear" w:color="auto" w:fill="ffffff"/>
        </w:rPr>
        <w:t xml:space="preserve">应对照招标文件要求，所提供的服务与招标文件的规定有偏离的，应在此表中</w:t>
      </w:r>
      <w:r>
        <w:rPr>
          <w:rFonts w:hint="eastAsia" w:ascii="宋体" w:hAnsi="宋体" w:eastAsia="宋体" w:cs="宋体"/>
          <w:b/>
          <w:color w:val="auto"/>
          <w:sz w:val="24"/>
          <w:szCs w:val="24"/>
          <w:highlight w:val="none"/>
          <w:shd w:val="clear" w:color="auto" w:fill="ffffff"/>
          <w:lang w:val="en-US" w:eastAsia="zh-CN"/>
        </w:rPr>
        <w:t xml:space="preserve">说</w:t>
      </w:r>
      <w:r>
        <w:rPr>
          <w:rFonts w:hint="eastAsia" w:ascii="宋体" w:hAnsi="宋体" w:eastAsia="宋体" w:cs="宋体"/>
          <w:b/>
          <w:color w:val="auto"/>
          <w:sz w:val="24"/>
          <w:szCs w:val="24"/>
          <w:highlight w:val="none"/>
          <w:shd w:val="clear" w:color="auto" w:fill="ffffff"/>
        </w:rPr>
        <w:t xml:space="preserve">明与招标要求的偏差和例外</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rPr>
        <w:t xml:space="preserve">否则将被认为完全响应招标文件的规定。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、商务条款偏离表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93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eastAsia="zh-CN"/>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bCs/>
          <w:color w:val="auto"/>
          <w:sz w:val="24"/>
          <w:szCs w:val="24"/>
          <w:highlight w:val="none"/>
          <w:shd w:val="clear" w:color="auto" w:fill="ffffff"/>
        </w:rPr>
        <w:t xml:space="preserve">的投标文件（除服务要求部分）与招标文件规定的有偏离的，应在此表中说明，否则，将被认为完全响应招标文件的规定。</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、拟投入项目组人员一览表</w:t>
      </w:r>
      <w:r/>
    </w:p>
    <w:p>
      <w:pPr>
        <w:pStyle w:val="1015"/>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项目组人员一览表</w:t>
      </w:r>
      <w:r/>
    </w:p>
    <w:tbl>
      <w:tblPr>
        <w:tblStyle w:val="933"/>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9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17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6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90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55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注：人员必须按本表承诺人员</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rPr>
        <w:t xml:space="preserve">不得随意更换。</w:t>
      </w:r>
      <w:r/>
    </w:p>
    <w:p>
      <w:pPr>
        <w:ind w:left="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、类似业绩情况表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类似业绩情况表</w:t>
      </w:r>
      <w:r/>
    </w:p>
    <w:tbl>
      <w:tblPr>
        <w:tblStyle w:val="933"/>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109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项目时间</w:t>
            </w:r>
            <w:r/>
          </w:p>
        </w:tc>
        <w:tc>
          <w:tcPr>
            <w:tcW w:w="130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项目规模</w:t>
            </w:r>
            <w:r/>
          </w:p>
        </w:tc>
        <w:tc>
          <w:tcPr>
            <w:tcW w:w="17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W w:w="111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93"/>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、资格证明文件</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pStyle w:val="985"/>
        <w:ind w:firstLine="42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（2）中小企业声明函</w:t>
      </w:r>
      <w:r/>
    </w:p>
    <w:p>
      <w:pPr>
        <w:ind w:firstLine="63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shd w:val="clear" w:color="auto" w:fill="ffffff"/>
        </w:rPr>
        <w:t xml:space="preserve">中小企业声明函</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32"/>
          <w:szCs w:val="20"/>
          <w:highlight w:val="none"/>
          <w:shd w:val="clear" w:color="auto" w:fill="ffffff"/>
          <w:lang w:val="en-US" w:eastAsia="zh-CN"/>
        </w:rPr>
        <w:t xml:space="preserve"> </w:t>
      </w:r>
      <w:r>
        <w:rPr>
          <w:rFonts w:hint="eastAsia" w:ascii="宋体" w:hAnsi="宋体" w:eastAsia="宋体" w:cs="宋体"/>
          <w:color w:val="auto"/>
          <w:sz w:val="24"/>
          <w:szCs w:val="24"/>
          <w:highlight w:val="none"/>
          <w:lang w:val="zh-CN"/>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采购活动，</w:t>
      </w:r>
      <w:r>
        <w:rPr>
          <w:rFonts w:hint="eastAsia" w:ascii="宋体" w:hAnsi="宋体" w:eastAsia="宋体" w:cs="宋体"/>
          <w:color w:val="auto"/>
          <w:sz w:val="24"/>
          <w:szCs w:val="24"/>
          <w:highlight w:val="none"/>
        </w:rPr>
        <w:t xml:space="preserve">提供的货物全部由符合政策要求的中小企业制造。</w:t>
      </w:r>
      <w:r>
        <w:rPr>
          <w:rFonts w:hint="eastAsia" w:ascii="宋体" w:hAnsi="宋体" w:eastAsia="宋体" w:cs="宋体"/>
          <w:color w:val="auto"/>
          <w:sz w:val="24"/>
          <w:szCs w:val="24"/>
          <w:highlight w:val="none"/>
          <w:lang w:val="zh-CN"/>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5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企业名称（盖章）：</w:t>
      </w:r>
      <w:r/>
    </w:p>
    <w:p>
      <w:pPr>
        <w:ind w:firstLine="58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（填写）</w:t>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jc w:val="left"/>
        <w:keepLines w:val="0"/>
        <w:keepNext w:val="0"/>
        <w:pageBreakBefore w:val="0"/>
        <w:spacing w:line="360" w:lineRule="auto"/>
        <w:widowControl w:val="off"/>
        <w:tabs>
          <w:tab w:val="left" w:pos="378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 </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（1）请按本项目采购清单顺序填写，每一项均需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若供应商提供的“中小企业声明函”内容不实的，属于提供虚假材料谋取中标，依照《中华人民共和国政府采购法》等国家有关规定追究相应责任；</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2"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32"/>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bookmarkStart w:id="33" w:name="_Hlk94450593"/>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投标文件中的电子签章视为投标人对本声明进行了签署盖章并承担相应责任。</w:t>
      </w:r>
      <w:bookmarkEnd w:id="33"/>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6" w:line="2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pStyle w:val="98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（3）残疾人福利性单位声明函</w:t>
      </w:r>
      <w:r/>
    </w:p>
    <w:p>
      <w:pPr>
        <w:jc w:val="center"/>
        <w:spacing w:before="100" w:after="100"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21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34"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34"/>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）、关于符合本国产品标准的声明函</w:t>
      </w:r>
      <w:r>
        <w:rPr>
          <w:rFonts w:hint="eastAsia" w:ascii="宋体" w:hAnsi="宋体" w:eastAsia="宋体" w:cs="宋体"/>
          <w:color w:val="auto"/>
          <w:sz w:val="24"/>
          <w:szCs w:val="24"/>
          <w:highlight w:val="none"/>
        </w:rPr>
        <w:t xml:space="preserve"> </w:t>
      </w:r>
      <w:r/>
    </w:p>
    <w:p>
      <w:pPr>
        <w:numPr>
          <w:ilvl w:val="0"/>
          <w:numId w:val="0"/>
        </w:num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关于符合本国产品标准的声明函</w:t>
      </w:r>
      <w:r/>
    </w:p>
    <w:p>
      <w:pPr>
        <w:pStyle w:val="970"/>
        <w:ind w:left="0" w:right="0" w:firstLine="42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70"/>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）供应商与其他单位存在直接控股、管理关系情况表</w:t>
      </w:r>
      <w:r/>
    </w:p>
    <w:p>
      <w:pPr>
        <w:pStyle w:val="943"/>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33"/>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注：响应人须如实填写所有与之有控股、管理关系的情况。</w:t>
      </w:r>
      <w:r/>
    </w:p>
    <w:p>
      <w:pPr>
        <w:jc w:val="center"/>
        <w:spacing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）参加政府采购活动前三年内，在经营活动中没有重大违法记录声明</w:t>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致：</w:t>
      </w: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974"/>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567"/>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944"/>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944"/>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35" w:name="_Toc13642115"/>
      <w:r/>
      <w:bookmarkStart w:id="36" w:name="_Toc105940240"/>
      <w:r>
        <w:rPr>
          <w:rFonts w:hint="eastAsia" w:ascii="宋体" w:hAnsi="宋体" w:eastAsia="宋体" w:cs="宋体"/>
          <w:b/>
          <w:color w:val="auto"/>
          <w:sz w:val="52"/>
          <w:szCs w:val="20"/>
          <w:highlight w:val="none"/>
          <w:shd w:val="clear" w:color="auto" w:fill="ffffff"/>
        </w:rPr>
        <w:t xml:space="preserve">第四章 招标书</w:t>
      </w:r>
      <w:bookmarkEnd w:id="35"/>
      <w:r/>
      <w:bookmarkEnd w:id="36"/>
      <w:r/>
      <w:r/>
    </w:p>
    <w:p>
      <w:pPr>
        <w:jc w:val="center"/>
        <w:spacing w:line="360" w:lineRule="auto"/>
        <w:rPr>
          <w:rFonts w:hint="eastAsia" w:ascii="宋体" w:hAnsi="宋体" w:eastAsia="宋体" w:cs="宋体"/>
          <w:b/>
          <w:color w:val="auto"/>
          <w:sz w:val="48"/>
          <w:szCs w:val="48"/>
          <w:highlight w:val="none"/>
          <w:shd w:val="clear" w:color="auto" w:fill="ffffff"/>
        </w:rPr>
      </w:pPr>
      <w:r/>
      <w:bookmarkStart w:id="37"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苏州华星工程造价咨询有限公司受</w:t>
      </w:r>
      <w:r>
        <w:rPr>
          <w:rFonts w:hint="eastAsia" w:ascii="宋体" w:hAnsi="宋体" w:eastAsia="宋体" w:cs="宋体"/>
          <w:color w:val="auto"/>
          <w:sz w:val="24"/>
          <w:szCs w:val="24"/>
          <w:highlight w:val="none"/>
          <w:shd w:val="clear" w:color="auto" w:fill="ffffff"/>
          <w:lang w:eastAsia="zh-CN"/>
        </w:rPr>
        <w:t xml:space="preserve">苏州工业园区教育局</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val="en-US" w:eastAsia="zh-CN"/>
        </w:rPr>
        <w:t xml:space="preserve">一、</w:t>
      </w:r>
      <w:r>
        <w:rPr>
          <w:rFonts w:hint="eastAsia" w:ascii="宋体" w:hAnsi="宋体" w:eastAsia="宋体" w:cs="宋体"/>
          <w:b/>
          <w:bCs/>
          <w:color w:val="auto"/>
          <w:sz w:val="24"/>
          <w:szCs w:val="24"/>
          <w:highlight w:val="none"/>
          <w:shd w:val="clear" w:color="auto" w:fill="ffffff"/>
        </w:rPr>
        <w:t xml:space="preserve">招标编号</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JSZC-320591-HXZJ-G2026-0015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二、</w:t>
      </w:r>
      <w:r>
        <w:rPr>
          <w:rFonts w:hint="eastAsia" w:ascii="宋体" w:hAnsi="宋体" w:eastAsia="宋体" w:cs="宋体"/>
          <w:b/>
          <w:bCs/>
          <w:color w:val="auto"/>
          <w:sz w:val="24"/>
          <w:szCs w:val="24"/>
          <w:highlight w:val="non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eastAsia="zh-CN"/>
        </w:rPr>
        <w:t xml:space="preserve">斜塘学校改建修缮项目厨房设备采购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bookmarkStart w:id="38" w:name="_Hlk183174478"/>
      <w:r>
        <w:rPr>
          <w:rFonts w:hint="eastAsia" w:ascii="宋体" w:hAnsi="宋体" w:eastAsia="宋体" w:cs="宋体"/>
          <w:b/>
          <w:bCs/>
          <w:color w:val="auto"/>
          <w:sz w:val="24"/>
          <w:szCs w:val="24"/>
          <w:highlight w:val="none"/>
          <w:shd w:val="clear" w:color="auto" w:fill="ffffff"/>
          <w:lang w:val="en-US" w:eastAsia="zh-CN"/>
        </w:rPr>
        <w:t xml:space="preserve">三</w:t>
      </w:r>
      <w:r>
        <w:rPr>
          <w:rFonts w:hint="eastAsia" w:ascii="宋体" w:hAnsi="宋体" w:eastAsia="宋体" w:cs="宋体"/>
          <w:b/>
          <w:bCs/>
          <w:color w:val="auto"/>
          <w:sz w:val="24"/>
          <w:szCs w:val="24"/>
          <w:highlight w:val="none"/>
          <w:shd w:val="clear" w:color="auto" w:fill="ffffff"/>
        </w:rPr>
        <w:t xml:space="preserve">、采购需求：</w:t>
      </w:r>
      <w:bookmarkEnd w:id="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shd w:val="clear" w:color="auto" w:fill="ffffff"/>
        </w:rPr>
        <w:t xml:space="preserve">的厨房设备供货与安装采购。投标人应履行所投产品的生产供货、安装、调试、培训、质保</w:t>
      </w:r>
      <w:r>
        <w:rPr>
          <w:rFonts w:hint="eastAsia" w:ascii="宋体" w:hAnsi="宋体" w:eastAsia="宋体" w:cs="宋体"/>
          <w:color w:val="auto"/>
          <w:sz w:val="24"/>
          <w:szCs w:val="24"/>
          <w:highlight w:val="none"/>
          <w:shd w:val="clear" w:color="auto" w:fill="ffffff"/>
          <w:lang w:val="en-US" w:eastAsia="zh-CN"/>
        </w:rPr>
        <w:t xml:space="preserve">等要求</w:t>
      </w:r>
      <w:r>
        <w:rPr>
          <w:rFonts w:hint="eastAsia" w:ascii="宋体" w:hAnsi="宋体" w:eastAsia="宋体" w:cs="宋体"/>
          <w:color w:val="auto"/>
          <w:sz w:val="24"/>
          <w:szCs w:val="24"/>
          <w:highlight w:val="none"/>
          <w:shd w:val="clear" w:color="auto" w:fill="ffffff"/>
        </w:rPr>
        <w:t xml:space="preserve">。</w:t>
      </w:r>
      <w:r/>
    </w:p>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采购清单</w:t>
      </w:r>
      <w:r/>
    </w:p>
    <w:tbl>
      <w:tblPr>
        <w:tblStyle w:val="933"/>
        <w:tblW w:w="975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604"/>
        <w:gridCol w:w="1812"/>
        <w:gridCol w:w="585"/>
        <w:gridCol w:w="381"/>
        <w:gridCol w:w="45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过磅区</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电源220V，内置64V/4AH维护充电蓄电池，开机自动至0，零点自动追踪。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采用SUS304不锈钢厚度1.2mm制作，下接盛水盆。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采用优质镀锌板厚度0.8mm制作，表面喷塑处理；每扇门带锁。</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不锈钢四层鞋柜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挂衣架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冷藏库&amp;冷冻库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藏库0℃-5℃；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冻库-15℃~-18℃；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蔬菜粗加工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1180*550*1260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用途：将根茎类蔬菜：土豆、萝卜等根茎类以及叶菜类蔬菜类切成丁、片、丝条状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特性：本机为双头型切菜机,可同时工作。通过更换刀盘或双调频调节输送带与斩刀速度,可切出各种规格的片、丝、丁。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两侧切刀处设有连锁安全开关，开门自动停机。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叶菜切制规格：1-60mm（可调）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球根切可选规格：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切丁：15mm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切丝：3mm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可切丁、切片、切丝、切断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切片刀盘1个 切丝刀盘1个 切丁刀盘1套</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加工能力：500-600kg/h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适用于：马铃薯、胡萝卜、甜菜、莲藕、甘薯、芋头、大头菜等茎类蔬果清洗去皮。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特点：毛刷棍采用尼龙丝材质，耐酸碱耐腐蚀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整机采用全SUS304不锈钢制造,符合食品加工卫生要求；有平，凹凸，软，硬毛刷棍，满足不同物料的清洗要求。</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705*465*780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生产能力：300KG/H</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水产粗加工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烹饪间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燃气双眼大锅灶</w:t>
            </w:r>
            <w:r>
              <w:rPr>
                <w:rFonts w:hint="eastAsia" w:ascii="宋体" w:hAnsi="宋体" w:eastAsia="宋体" w:cs="宋体"/>
                <w:b/>
                <w:bCs/>
                <w:i w:val="0"/>
                <w:iCs w:val="0"/>
                <w:color w:val="auto"/>
                <w:sz w:val="20"/>
                <w:szCs w:val="20"/>
                <w:highlight w:val="none"/>
                <w:u w:val="none"/>
                <w:lang w:val="en-US" w:eastAsia="zh-CN" w:bidi="ar"/>
              </w:rPr>
              <w:t xml:space="preserve">(核心设备）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炉面：采用SUS304不锈钢板厚度1.5mm制作；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冲压、折弯一体成型，下衬隔热棉厚度10mm制作；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炉架：采用SUS304不锈钢板厚度1.2mm制作；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折弯成型，无焊接，上衬镀锌板厚度1.0mm制作；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围板：采用SUS304不锈钢板厚度1.0mm；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炉头：采用侧进风高效节能炉头，带前预混功能可有效将燃气与空气充分混合，使得燃烧充分；每个炉头配套带电子点火及自动熄火保护装置，采用连动气阀及连动风门，实现火力大小精准调控；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炉膛：采用双层镀锌板厚度1.2mm制作，夹层内覆隔热棉厚度40mm制作；四周及底部覆盖耐高温耐火水泥厚度10mm；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风机：每个炉头装有低噪音中压铝壳强力风机；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风机电压：220V，风机功率：250W*2；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脚通：内管采用镀锌板φ48*2.0mm制作，套管采用SUS304不锈钢圆管φ51*1.5mm制作；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9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蒸饭量:120kg,24盘;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手柄：旋转迫紧把手；密封条：聚合脂密封胶条。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饭盘：采用SUS304不锈钢板厚度0.8mm制作，每台配置24个饭盘；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水胆：热水胆，浸入式大热交换面，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风机：热风吸风式风机。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采用自动点火及熄火保护装置</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燃气可倾式汤锅</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风机功率：70W  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采用高效节能炉头，轻便式倾斜机构。采用自动点火及熄火保护装置</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12200*2000*2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1、箱体全身采用优质不锈钢材质，自带18个高压细水雾喷嘴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2、产品为绿色环保型灭火药剂，无色、无味、无毒、无腐蚀、灭火效率快且不复燃等特点，灭火时间：≤1.8s；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3、灭火装置具备自动探测，自动实施灭火功能；也可手动紧急启动功能。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4、本装置灭火剂喷射时间不得小于 26s，同时具备较好的抗飞溅性能，在灭火剂喷射过程中无油点飞溅出来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5、喷射灭火剂后，自动切换喷射冷却水。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柜式自动洗米机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760*760*1000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米桶容积：100L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功率：0.55KW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柜体式设计，主体板材为304不锈钢，坚固耐用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机械式控制系统，设备运行更稳定可靠。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配高质量增压泵，水压更稳定、强劲，清洗更快速</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门体材料：铝合金玻璃门，带暗锁；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内外为SUS304全不锈钢材料,背部和底部为镀锌板材料，防锈抗腐,微电脑温度显示器,聚胺脂高压发泡。</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最大洗涤高度：420mm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最大洗涤量：3000-4500碟/小时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耗水量：300-350L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洗涤温度：55-60℃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漂洗温度：80-85℃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进水压力：0.15-0.4Mpa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电源要求：380V，功率：36kw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西门子触摸屏面板，PLC编程，数码温度显示。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入口带有红外线传感器，自动检测餐具进入洗碗机，自动启/停清洗系统，实现节能减排。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超低的漂洗用水量,大大节省电力、催干剂和洗涤剂用量。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内置式漂洗加热器和漂洗泵,并设有保护装置,从而保证水压的稳定。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配置出口限位，开门水泵停止运行，防飞溅，电机过载保护等多重安全保护设置,更具人性化。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前门双层壁式结构隔热、隔噪音,开启高度任意调节,操作感舒适并节省能源。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上下洗涤臂拆装十分方便,只需轻轻一扣便可紧锁。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双道喷淋系统，入口端配置不锈钢钩齿，防止餐具掉落内部。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烘干系统由强力离心风机和干烧电热管组成。洗涤后的餐具经过烘干箱由强力热风吹干 对餐具进行消毒杀菌烘干等处理。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输送链排装置采用耐热、耐腐蚀、卫生无毒、强度高造型美观的工程塑料网爪，适用范围广。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传送系统采用变频控制电机</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3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框架：采用SUS304不锈钢方管38*38*1.0mm；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480*435*950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排水方式：外接软管直排式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空气过滤：高密度双层过滤网</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洗消间&amp;保洁间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1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最大洗涤高度：420mm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最大洗涤量：3000-4500碟/小时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耗水量：300-350L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洗涤温度：55-60℃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漂洗温度：80-85℃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进水压力：0.15-0.4Mpa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电源要求：380V，功率：36kw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西门子触摸屏面板，PLC编程，数码温度显示。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入口带有红外线传感器，自动检测餐具进入洗碗机，自动启/停清洗系统，实现节能减排。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超低的漂洗用水量,大大节省电力、催干剂和洗涤剂用量。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内置式漂洗加热器和漂洗泵,并设有保护装置,从而保证水压的稳定。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配置出口限位，开门水泵停止运行，防飞溅，电机过载保护等多重安全保护设置,更具人性化。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前门双层壁式结构隔热、隔噪音,开启高度任意调节,操作感舒适并节省能源。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上下洗涤臂拆装十分方便,只需轻轻一扣便可紧锁。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双道喷淋系统，入口端配置不锈钢钩齿，防止餐具掉落内部。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烘干系统由强力离心风机和干烧电热管组成。洗涤后的餐具经过烘干箱由强力热风吹干 对餐具进行消毒杀菌烘干等处理。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输送链排装置采用耐热、耐腐蚀、卫生无毒、强度高造型美观的工程塑料网爪，适用范围广。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传送系统采用变频控制电机</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仓库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早餐间&amp;加工间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配2个带盖份数盒530*325*150</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650*700*500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脚通：采用SUS304不锈钢圆管φ50*1.0mm；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电磁单眼炒灶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650*850*900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    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    率：4.8kw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    径：53CM；</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手持台式两用</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双门蒸柜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搁条：采用SUS304不锈钢板厚度1.0mm，一次性折弯成型，宽度15mm；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饭盘：采用SUS304不锈钢板厚度0.8mm制作，每台配置24个冲孔饭盘；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门：采用SUS304不锈钢板厚度1.0mm，整体聚氨酯发泡。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手柄：旋进式高强度门锁，安全可靠；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密封条：橡胶条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电压：380V；功率：12KW*2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采用微电脑时间水位温度控制器主板制作，具有防干烧功能。</w:t>
            </w:r>
            <w:r/>
          </w:p>
        </w:tc>
      </w:tr>
      <w:tr>
        <w:trPr>
          <w:trHeight w:val="19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1320*1100*1780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电压：380V；功率：16.5KW，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每层内堂尺寸1255*704*220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标准盘尺寸400mm*600mm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不锈钢拉手，特殊工艺不传热，避免烫伤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电脑控制器内部设有多组温度调节程序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烤炉设有排湿系统装置，可根据烘焙产品湿度大小随意调节。高精准温控排布技术配合上下独立温控系统±1-3℃。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29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功率：15KW;电压：380V,八角包柱，外观采用不锈钢板制作，四周隔音，弹簧式防震器，槽钢底架，外接注油孔，欧式皮带轮。</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45°弯头1000*800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功率：18.5KW;电压：380V,八角包柱，外观采用不锈钢板制作，四周隔音，弹簧式防震器，槽钢底架，外接注油孔，欧式皮带轮。</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45°弯头1000*1000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三层早餐间中压风机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功率：5.5KW;电压：380V,八角包柱，外观采用不锈钢板制作，四周隔音，弹簧式防震器，槽钢底架，外接注油孔，欧式皮带轮。</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45°弯头500*500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功率5.5KW,避免电动机起动时过大的起动电流对供电线路影响，并且对风机电动机起到短路、缺相、过载、失压等保护作用。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主厨房连接管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早餐间连接管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挂墙式水杯架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1000*200*500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厨房小件</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不锈钢双层汤碗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L=230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φ203*83</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410*260*22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600*400*20/绿色16块，蓝色2块，红色6块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聚酯圆形切菜板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φ430*40/红色2块，白色2块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中号/红色/蓝色/绿色</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采用人体无害的工程塑料一次性注塑成型。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采用优质PP材料制作。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不锈钢提桶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铲刀头连不锈钢柄</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刀片:采用不锈钢制作;手柄：采用工程塑料制作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630*470*380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450*340*280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360*250*140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采用金刚砂制作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催干剂</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本品含多种表面活性剂复配而成，用于洗碗机最后过水，使餐具快速干燥。</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防火布、优质隔热棉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铁锅</w:t>
            </w:r>
            <w:r/>
          </w:p>
        </w:tc>
        <w:tc>
          <w:tcPr>
            <w:shd w:val="clear" w:color="auto" w:fill="ffffff"/>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φ860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采用生铁材质。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不锈钢小马斗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315*265*245</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独立提篮，不锈钢机身</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不锈钢桶带盖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挂壁式风扇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五叶柔风，广角送风</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产品符合上表中规格（投标产品规格允许±5%内的偏差）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投标产品涉及国家强制认证的（如电器）须具有相关认证证书（如3</w:t>
      </w:r>
      <w:r>
        <w:rPr>
          <w:rFonts w:hint="eastAsia" w:ascii="宋体" w:hAnsi="宋体" w:eastAsia="宋体" w:cs="宋体"/>
          <w:b/>
          <w:bCs/>
          <w:color w:val="auto"/>
          <w:sz w:val="24"/>
          <w:szCs w:val="24"/>
          <w:highlight w:val="none"/>
          <w:lang w:eastAsia="zh-CN"/>
        </w:rPr>
        <w:t xml:space="preserve">C国家强制性产品认证证书）。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2、与本项目有关的图纸请至百度网盘下载获取。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链接:  https://pan.baidu.com/s/19IVcAmlOv7EtB_1nICllzg?pwd=debq 提取码: debq </w:t>
      </w:r>
      <w:bookmarkStart w:id="47" w:name="_GoBack"/>
      <w:r/>
      <w:bookmarkEnd w:id="4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投标人所提供的产品及安装必须符合以下（包含但不限于）规范及标准（如下述内容中不为最新版本，请按最新版本采用）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工业产品使用说明书总则（GB 9969.1-1998），原材料不锈钢冷轧钢板（GB/T 3280-1992），《不锈钢厨具》行业标准（QB/T 2174-95），饮食业油烟排放标准（GB 18483-2001）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投标人应采用最新的规范和标准，具体以图纸描述为准。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（四）采购范围及接口界面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（1）厨房设备的生产供货、安装、调试、质量保证及售后服务；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（2）根据招标文件中厨房设备平面布置图纸、采购设备清单，提供所有劳动力，材料、设备、服务、包装运货等，包括在图纸上、文件上未有提及，但合理运行需</w:t>
      </w:r>
      <w:r>
        <w:rPr>
          <w:rFonts w:hint="eastAsia" w:ascii="宋体" w:hAnsi="宋体" w:eastAsia="宋体" w:cs="宋体"/>
          <w:color w:val="auto"/>
          <w:sz w:val="24"/>
          <w:szCs w:val="24"/>
          <w:highlight w:val="none"/>
          <w:lang w:eastAsia="zh-CN"/>
        </w:rPr>
        <w:t xml:space="preserve">要</w:t>
      </w:r>
      <w:r>
        <w:rPr>
          <w:rFonts w:hint="eastAsia" w:ascii="宋体" w:hAnsi="宋体" w:eastAsia="宋体" w:cs="宋体"/>
          <w:color w:val="auto"/>
          <w:sz w:val="24"/>
          <w:szCs w:val="24"/>
          <w:highlight w:val="none"/>
        </w:rPr>
        <w:t xml:space="preserve">的附件及相关图纸。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w:t>
      </w:r>
      <w:r>
        <w:rPr>
          <w:rFonts w:hint="eastAsia" w:ascii="宋体" w:hAnsi="宋体" w:eastAsia="宋体" w:cs="宋体"/>
          <w:color w:val="auto"/>
          <w:sz w:val="24"/>
          <w:szCs w:val="24"/>
          <w:highlight w:val="none"/>
          <w:lang w:val="en-US" w:eastAsia="zh-CN"/>
        </w:rPr>
        <w:t xml:space="preserve">安装单位</w:t>
      </w:r>
      <w:r>
        <w:rPr>
          <w:rFonts w:hint="eastAsia" w:ascii="宋体" w:hAnsi="宋体" w:eastAsia="宋体" w:cs="宋体"/>
          <w:color w:val="auto"/>
          <w:sz w:val="24"/>
          <w:szCs w:val="24"/>
          <w:highlight w:val="none"/>
        </w:rPr>
        <w:t xml:space="preserve">为安全或合理操作设备所需要的一些特别配件。如该配件并不是设备本身之</w:t>
      </w:r>
      <w:r>
        <w:rPr>
          <w:rFonts w:hint="eastAsia" w:ascii="宋体" w:hAnsi="宋体" w:eastAsia="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，该等配件亦需在工地安装前，交予有关安装单位。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（4）投标单位要遵循现有厨艺设计，要与现有厨房工艺设计进行对接。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与其它承办的接口界面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（1）除特别注明外，厨房预留接驳点到厨具设备的水、电管线须投标人负责。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（2）除特别注明外，厨房排油烟风机、油烟净化装置、厨房排油烟风管等设备由投标人负责。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（3）地沟的土建部分不在此项目内。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（4）冷冻库、冷藏库内的地坪地砖不在此项目内。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（五）工艺要求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1、电器材料及设备工艺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投标人需提供设备适当的插头或软线。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当使用软线及插头时，软线需 3心或 4心PVC 包裹的软线，其中一根线需连接设备的框架及接地。所有软线及插座需有一定的安全系数及</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当地的条例。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所有电器设备需适当地接地。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招标人有权要求投标人提供设备有关之电路图。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2、龙头、阀门、配件等</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厨房所有龙头、排水设备包含给、排水接驳辅件、溢水管、软管等相关配件。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如果水压</w:t>
      </w:r>
      <w:r>
        <w:rPr>
          <w:rFonts w:hint="eastAsia" w:ascii="宋体" w:hAnsi="宋体" w:eastAsia="宋体" w:cs="宋体"/>
          <w:color w:val="auto"/>
          <w:sz w:val="24"/>
          <w:szCs w:val="24"/>
          <w:highlight w:val="none"/>
          <w:lang w:eastAsia="zh-CN"/>
        </w:rPr>
        <w:t xml:space="preserve">供应</w:t>
      </w:r>
      <w:r>
        <w:rPr>
          <w:rFonts w:hint="eastAsia" w:ascii="宋体" w:hAnsi="宋体" w:eastAsia="宋体" w:cs="宋体"/>
          <w:color w:val="auto"/>
          <w:sz w:val="24"/>
          <w:szCs w:val="24"/>
          <w:highlight w:val="none"/>
        </w:rPr>
        <w:t xml:space="preserve">高于设备指定的承受压力，投标人需提供减压装置。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3、制冷设备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4、不锈钢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原材料不锈钢为304－2B标准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不锈钢表面处理为 4 号沙光处理。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5、不锈钢管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不锈钢管使用1.0mm厚的无缝不锈钢管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并需表面处理以配合其它配件。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6、手柄、支架、锁、小五金等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设备内使用的小五金， 如手柄、铰、锁等必须为铜制及镀铬磨光或不锈钢制造。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所有抽屉、柜、冰箱等使用的锁，必须为圆形及镀铬磨光。所有的锁必须牢固结实。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7、焊接</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焊接必须采用氩弧焊，不允许采用其它焊接方式。焊条需与金属本身</w:t>
      </w:r>
      <w:r>
        <w:rPr>
          <w:rFonts w:hint="eastAsia" w:ascii="宋体" w:hAnsi="宋体" w:eastAsia="宋体" w:cs="宋体"/>
          <w:color w:val="auto"/>
          <w:sz w:val="24"/>
          <w:szCs w:val="24"/>
          <w:highlight w:val="none"/>
          <w:lang w:eastAsia="zh-CN"/>
        </w:rPr>
        <w:t xml:space="preserve">成分相同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透彻地</w:t>
      </w:r>
      <w:r>
        <w:rPr>
          <w:rFonts w:hint="eastAsia" w:ascii="宋体" w:hAnsi="宋体" w:eastAsia="宋体" w:cs="宋体"/>
          <w:color w:val="auto"/>
          <w:sz w:val="24"/>
          <w:szCs w:val="24"/>
          <w:highlight w:val="none"/>
        </w:rPr>
        <w:t xml:space="preserve">焊接，不能有砂眼，裂缝等不完整的地方。焊缝必须坚固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韧性。多余的填料必须磨平及磨光至焊接物本身的颜色一样。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所有需要在工地焊接的设备焊接人员具有“建筑施工特种作业操作资格证（建筑焊工）”。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最后表面处理。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所有由于不锈钢在加工时产生的拆裂，锯齿边等问题都需要磨平、磨光。在圆角的地方需要磨平磨光圆滑。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9、冰箱、冰柜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所有冰箱必须符合标准食物容器GN盆使用，内箱圆弧转角工艺。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10、小车轮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所有小车轮最低负荷 70 公斤。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11、烟罩灭火系统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烟罩灭火系统必须符合消防认证。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系统为预充灭火液式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经过安装在固定位置之喷咀，当火警发生时，把灭火液喷洒在着火之设备上面。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烟罩灭火系统必须能扑灭烟罩下面各项灶具设备引起之火警。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系统必须附有详细之技术资料，包括设计，安装，充液，保养，</w:t>
      </w:r>
      <w:r>
        <w:rPr>
          <w:rFonts w:hint="eastAsia" w:ascii="宋体" w:hAnsi="宋体" w:eastAsia="宋体" w:cs="宋体"/>
          <w:color w:val="auto"/>
          <w:sz w:val="24"/>
          <w:szCs w:val="24"/>
          <w:highlight w:val="none"/>
          <w:lang w:val="en-US" w:eastAsia="zh-CN"/>
        </w:rPr>
        <w:t xml:space="preserve">零配件</w:t>
      </w:r>
      <w:r>
        <w:rPr>
          <w:rFonts w:hint="eastAsia" w:ascii="宋体" w:hAnsi="宋体" w:eastAsia="宋体" w:cs="宋体"/>
          <w:color w:val="auto"/>
          <w:sz w:val="24"/>
          <w:szCs w:val="24"/>
          <w:highlight w:val="none"/>
        </w:rPr>
        <w:t xml:space="preserve">之安装，复位说明等。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12、风管安装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排油烟、送新风风管须按暖通规范安装，所用到的防火阀必须通过消防认证。油烟</w:t>
      </w:r>
      <w:r>
        <w:rPr>
          <w:rFonts w:hint="eastAsia" w:ascii="宋体" w:hAnsi="宋体" w:eastAsia="宋体" w:cs="宋体"/>
          <w:color w:val="auto"/>
          <w:sz w:val="24"/>
          <w:szCs w:val="24"/>
          <w:highlight w:val="none"/>
          <w:lang w:eastAsia="zh-CN"/>
        </w:rPr>
        <w:t xml:space="preserve">净化</w:t>
      </w:r>
      <w:r>
        <w:rPr>
          <w:rFonts w:hint="eastAsia" w:ascii="宋体" w:hAnsi="宋体" w:eastAsia="宋体" w:cs="宋体"/>
          <w:color w:val="auto"/>
          <w:sz w:val="24"/>
          <w:szCs w:val="24"/>
          <w:highlight w:val="none"/>
        </w:rPr>
        <w:t xml:space="preserve">设备须通过环保认证。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13、基本材料规格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工作台、柜、水池、保洁柜：</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洗盆</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暖菜柜水槽/热汤池柜水槽</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台面柜</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补强撑</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柜内层板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1、施工场地与条件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投标人应全面负责施工范围内的现场施工管理，对施工范围场地内的用水、用电、施工现场的安全与卫生、场地内的施工协调负有全面的管理责任。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工地管理单位将向投标人提供施工作业场地，但不包括投标人为实施本项目而设置的办公、仓储、加工、生活等所需的临时设施用地。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3、施工通道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利用人行通道作为施工人员、材料，小型设备的出入口。大型设备可租用工程车运输施工场地。如投标人的施工设备、采购的设备、材料需工程车运输，应报招标人协调安排。投标人使用运输场地、通道等均应遵守工地管理单</w:t>
      </w:r>
      <w:r>
        <w:rPr>
          <w:rFonts w:hint="eastAsia" w:ascii="宋体" w:hAnsi="宋体" w:eastAsia="宋体" w:cs="宋体"/>
          <w:color w:val="auto"/>
          <w:sz w:val="24"/>
          <w:szCs w:val="24"/>
          <w:highlight w:val="none"/>
          <w:lang w:eastAsia="zh-CN"/>
        </w:rPr>
        <w:t xml:space="preserve">位的</w:t>
      </w:r>
      <w:r>
        <w:rPr>
          <w:rFonts w:hint="eastAsia" w:ascii="宋体" w:hAnsi="宋体" w:eastAsia="宋体" w:cs="宋体"/>
          <w:color w:val="auto"/>
          <w:sz w:val="24"/>
          <w:szCs w:val="24"/>
          <w:highlight w:val="none"/>
        </w:rPr>
        <w:t xml:space="preserve">相关规定。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（1）场地一经移交给投标人，投标人应在本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全过程中全面负责施工范围内的现场管理，对场地的安全保卫、环境卫生（负责将垃圾清运至地盘管理商指定地点）、污水排放以及周围房屋、市政设施等负全责，因场地管理不善引发的一切纠纷由投标人自行解决，招标人不承担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完成时，投标人应负责清场，即负责将其所使用和修建的或留在现场的所有临时设施（包括装置、设备）和任何材料、物品进行拆除及清运。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5、施工用水、用电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遵守工地管理单位的相关约定，并在指定的位置进行临时水、电的接驳。投标人负责由该接驳点至其使用地点的连接设施。投标人应与工地管理单位协调，并配合施工用水、用电的具体安排。投标人应确保只供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供给招标人的设备、材料及安装所需工具、机具、起重设备、材料及临时设施，进入工地现场后的保管由投标人自己解决；所有材料、设备二次搬运费用由投标人自理；投标人在工地现场安装、调试、验收人员的安全、保险、食宿、交通，由投标人负责。除合同内商定的条款外，任何安装问题或费用均与买方无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7、现场的检查与移交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对不同系统的安装，应具备一定的前提条件。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投标人应参加与设备相关承包商或其它承包商的相关工序检查；在每批设备安装开始前一个月进行现场检查认可。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（1）投标人应充分考虑本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的特点，包括工期要求和施工时的相互干扰等，提出切实可行的施工方法和施工组织方案。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（2）认真</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施工图交底工作。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（3）现场跟踪、检查预留孔洞、沟槽设备基础是否符合要求，发现与设计不符者，应及时提出，并与相关承包商协商处理。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（4）检查安装机具的种类、数量及功能是否满足施工要求。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（5）检查场地是否满足进场条件。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的特点，对各级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人员进行有关安装工艺质量及安全等方面的培训，并经考核合格，</w:t>
      </w:r>
      <w:r>
        <w:rPr>
          <w:rFonts w:hint="eastAsia" w:ascii="宋体" w:hAnsi="宋体" w:eastAsia="宋体" w:cs="宋体"/>
          <w:color w:val="auto"/>
          <w:sz w:val="24"/>
          <w:szCs w:val="24"/>
          <w:highlight w:val="none"/>
          <w:lang w:eastAsia="zh-CN"/>
        </w:rPr>
        <w:t xml:space="preserve">方可</w:t>
      </w:r>
      <w:r>
        <w:rPr>
          <w:rFonts w:hint="eastAsia" w:ascii="宋体" w:hAnsi="宋体" w:eastAsia="宋体" w:cs="宋体"/>
          <w:color w:val="auto"/>
          <w:sz w:val="24"/>
          <w:szCs w:val="24"/>
          <w:highlight w:val="none"/>
        </w:rPr>
        <w:t xml:space="preserve">参加本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（7）应编制施工组织方案的实施计划，并与其它设备与建筑装修工作相协调。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9、设备、材料现场保管和维护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（1）投标人施工范围内的所有设备、设施的维护保管应遵循这些设备的国家有关规定及设备说明书要求，因投标人原因造成材料、设备受损，一切费用和</w:t>
      </w:r>
      <w:r>
        <w:rPr>
          <w:rFonts w:hint="eastAsia" w:ascii="宋体" w:hAnsi="宋体" w:eastAsia="宋体" w:cs="宋体"/>
          <w:color w:val="auto"/>
          <w:sz w:val="24"/>
          <w:szCs w:val="24"/>
          <w:highlight w:val="none"/>
          <w:lang w:eastAsia="zh-CN"/>
        </w:rPr>
        <w:t xml:space="preserve">补偿</w:t>
      </w:r>
      <w:r>
        <w:rPr>
          <w:rFonts w:hint="eastAsia" w:ascii="宋体" w:hAnsi="宋体" w:eastAsia="宋体" w:cs="宋体"/>
          <w:color w:val="auto"/>
          <w:sz w:val="24"/>
          <w:szCs w:val="24"/>
          <w:highlight w:val="none"/>
        </w:rPr>
        <w:t xml:space="preserve">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（2）材料的现场保管和维护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1）投标人的现场施工材料应在其临建仓库存放，考虑到施工空间较密集，未经招标人或监理工程师许可，不得在任何房间、区域堆放材料或搭建临用仓库。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2）投标人应负责设备及材料存放的防火、防盗、防潮等。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3）由于存放和维护措施不当而造成材料的变形、变质由投标人负责。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10、安全防护与文明施工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（1）安全防护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1）投标人对安全防护的责任在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最终验收之前的整个施工期内，投标人必须制定并采取一切必要的措施，保证</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现场施工安全（包括承包商和非承包商的人员安全）维护工地正常生产、生活秩序。投标人必须遵守国家颁布的有关安全规程。对于不符合我国法律、法令、安全规程及本合同规定的事故隐患，监理工程师有权进行干预，如发生重大安全事故，投标人必须按国家的有关法规及时通知监理工程师、招标人和有关上级主管部门，并按相关处理规定执行。投标人应对因违反安全规程造成的责任事故承担责任，而不应为此增加招标人支付费用或延迟施工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2）劳动保护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凡属投标人雇用的现场工作人员，投标人必须根据作业种类和特点并按照国家的劳动保护法等法律法规严格执行。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3）安全防护信号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①投标人应在</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区内设置一切必要的安全防护信号（或标志）装置。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②投标人应负责维护自己和招标人在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区内放置的所有信号（或标志）装置。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③若监理工程师认为投标人提供的信号（或标志）系统不能有效地保证安全，投标人必须按监理工程师的要求补充、修改、更换该系统或标志。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1）投标人必须严格遵守国家和苏州市颁布有关安全生产及文明施工的规定，招标人和监理工程师将进行不定期的检查，政府相关部门发现投标人有违例施工或不</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文明施工的情况，视问题的严重程度进行处置，甚至处罚。由此造成的一切损失由投标人自行承担。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2）投标人应指定安全生产及文明施工的责任人，并结合本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的特点制定一整套安全生产和文明施工的规章制度。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11、包装、运输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（1）概述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投标人应按有关标准和其设备的特殊要求对其提供的设备进行合适的包装、运输，保证其设备在运输过程中完好无损，投标人提供的设备应适应苏州地区的存储环境。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凡</w:t>
      </w:r>
      <w:r>
        <w:rPr>
          <w:rFonts w:hint="eastAsia" w:ascii="宋体" w:hAnsi="宋体" w:eastAsia="宋体" w:cs="宋体"/>
          <w:color w:val="auto"/>
          <w:sz w:val="24"/>
          <w:szCs w:val="24"/>
          <w:highlight w:val="none"/>
        </w:rPr>
        <w:t xml:space="preserve">由于投标人对货物包装不善或标记不当导致货物损失、损坏或丢失，或因此引起事故时，其一切责任及因此造成的损失由投标人承担。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投标人提供的所有设备和材料应具备适应内陆运输和多次搬运、装卸的坚固包装，并应根据货物特点及需要，采取防潮、防雨、防锈、防腐蚀等保护措施，以保证货物安全无损地运抵安装现场。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笨重设备应有固定的底座，外包装上应有吊装挂钩，容易散失的零部件应包装在箱内。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对于裸装货物，投标人应采取特殊措施保护货物及方便搬运。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投标人对交付的技术文件和技术资料应进行妥善包装，以适合长途运输、多次搬运，并采取防潮、防雨措施。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设备安装完成后，招标人和投标人代表按确认的安装验收标准进行安装验收，各方需到场参加和见证。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安装验收须根据合同相关条款和计划的规定进行并完成。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投标人应无偿服从招标人对施工界面的划分，在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管理中无偿做好安装督导，服从招标人管理。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投标人应对整个厨房设备的调试负责，包括自身设备的安装调试、与相关系统的接口调试。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投标人应负责在现场进行井然有序的调试并使之符合相关要求。应派出足够的、合格且技术熟练的技术人员到工地完成调试工作。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责任对招标人指定的人员进行操作培训，通过培训应使被培训人员获得足够的技能和知识，达到运营所必需的要求。投标人负责派出经验丰富的授课人员对招标人人员进行培训，使招标人人员能全面掌握设备的操作、日常维护等技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质量保证期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en-US" w:eastAsia="zh-CN"/>
        </w:rPr>
        <w:t xml:space="preserve">并移交</w:t>
      </w:r>
      <w:r>
        <w:rPr>
          <w:rFonts w:hint="eastAsia" w:ascii="宋体" w:hAnsi="宋体" w:eastAsia="宋体" w:cs="宋体"/>
          <w:color w:val="auto"/>
          <w:sz w:val="24"/>
          <w:szCs w:val="24"/>
          <w:highlight w:val="none"/>
        </w:rPr>
        <w:t xml:space="preserve">后2年的质保期。若货物生产厂家规定的免费质保期长于本合同质保期，质保期以较长者为准。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证期内，投标人继续对所有安装和提供的系统和设备负责。无论是否能从各设备供应商得到保修，投标人须对各种设备提供保修。系统应不受设计、材料、零部件和工艺方面缺陷的影响，并且满足合同中规定的功能要求；保修费用已包含在合同总价中。保证期结束后，完成合同履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在免费质保期内，</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应以优良的服务态度，一旦货物发生质量问题，</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应在2小时以内响应，4小时内赶到现场，8小时内解决问题，如在8小时内不能解决问题，应免费用同样品牌、规格的的产品更换到位。如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在接到通知后24小时内没有答复或处理问题，</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方有权直接聘请第三方提供，因此而造成的费用、损失风险由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（七）本项目采购清单中的核心产品为：</w:t>
      </w:r>
      <w:r>
        <w:rPr>
          <w:rFonts w:hint="eastAsia" w:ascii="宋体" w:hAnsi="宋体" w:eastAsia="宋体" w:cs="宋体"/>
          <w:b/>
          <w:bCs w:val="0"/>
          <w:color w:val="auto"/>
          <w:sz w:val="24"/>
          <w:szCs w:val="24"/>
          <w:highlight w:val="none"/>
          <w:u w:val="single"/>
        </w:rPr>
        <w:t xml:space="preserve">燃气双眼大锅灶（序号44）</w:t>
      </w:r>
      <w:r>
        <w:rPr>
          <w:rFonts w:hint="eastAsia" w:ascii="宋体" w:hAnsi="宋体" w:eastAsia="宋体" w:cs="宋体"/>
          <w:b/>
          <w:bCs w:val="0"/>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相关证书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lang w:eastAsia="zh-CN"/>
        </w:rPr>
        <w:t xml:space="preserve">投标清单中涉及蒸汽炊具、电烤箱、电热铛、电磁灶、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eastAsia="zh-CN"/>
        </w:rPr>
        <w:t xml:space="preserve">提供</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生产厂家具有有效期内的《全国工业产品生产许可证(工业和商用电热食品加工设备)》或《全国工业产品生产许可证(电热食品加工设备)》(许可内容包含蒸汽炊具、电烤箱、电热铛、电磁灶、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sz w:val="24"/>
          <w:szCs w:val="24"/>
          <w:highlight w:val="none"/>
          <w:u w:val="single"/>
          <w:lang w:val="en-US" w:eastAsia="zh-CN"/>
        </w:rPr>
        <w:t xml:space="preserve">2、</w:t>
      </w:r>
      <w:r>
        <w:rPr>
          <w:rFonts w:ascii="SimSun" w:hAnsi="SimSun" w:eastAsia="SimSun" w:cs="SimSun"/>
          <w:b/>
          <w:color w:val="000000"/>
          <w:sz w:val="24"/>
          <w:u w:val="single"/>
        </w:rPr>
        <w:t xml:space="preserve">投标清单中涉及电热消毒柜、紫外线杀菌灯、其他的消毒器械/消毒器械的，需提供对应生产厂家具有有效期内的《消毒产品生产企业卫生许可证》(许可内容包含电热消毒柜、紫外线杀菌灯、其他的消毒器械/消毒器械)。</w:t>
      </w:r>
      <w:r>
        <w:rPr>
          <w:sz w:val="21"/>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以上证书请按照采购文件第三章投标文件格式中的“相关证书说明表”填写相应内容并提供</w:t>
      </w:r>
      <w:r>
        <w:rPr>
          <w:rFonts w:hint="eastAsia" w:ascii="宋体" w:hAnsi="宋体" w:eastAsia="宋体" w:cs="宋体"/>
          <w:b/>
          <w:bCs/>
          <w:color w:val="auto"/>
          <w:sz w:val="24"/>
          <w:szCs w:val="24"/>
          <w:highlight w:val="none"/>
          <w:u w:val="single"/>
          <w:lang w:eastAsia="zh-CN"/>
        </w:rPr>
        <w:t xml:space="preserve">以上</w:t>
      </w:r>
      <w:r>
        <w:rPr>
          <w:rFonts w:hint="eastAsia" w:ascii="宋体" w:hAnsi="宋体" w:eastAsia="宋体" w:cs="宋体"/>
          <w:b/>
          <w:bCs/>
          <w:color w:val="auto"/>
          <w:sz w:val="24"/>
          <w:szCs w:val="24"/>
          <w:highlight w:val="none"/>
          <w:u w:val="single"/>
          <w:lang w:val="en-US" w:eastAsia="zh-CN"/>
        </w:rPr>
        <w:t xml:space="preserve">对应产品生产厂家的相应</w:t>
      </w:r>
      <w:r>
        <w:rPr>
          <w:rFonts w:hint="eastAsia" w:ascii="宋体" w:hAnsi="宋体" w:eastAsia="宋体" w:cs="宋体"/>
          <w:b/>
          <w:bCs/>
          <w:color w:val="auto"/>
          <w:sz w:val="24"/>
          <w:szCs w:val="24"/>
          <w:highlight w:val="none"/>
          <w:u w:val="single"/>
          <w:lang w:eastAsia="zh-CN"/>
        </w:rPr>
        <w:t xml:space="preserve">证书，</w:t>
      </w:r>
      <w:r>
        <w:rPr>
          <w:rFonts w:hint="eastAsia" w:ascii="宋体" w:hAnsi="宋体" w:eastAsia="宋体" w:cs="宋体"/>
          <w:b/>
          <w:bCs/>
          <w:color w:val="auto"/>
          <w:sz w:val="24"/>
          <w:szCs w:val="24"/>
          <w:highlight w:val="none"/>
          <w:u w:val="single"/>
          <w:lang w:val="en-US" w:eastAsia="zh-CN"/>
        </w:rPr>
        <w:t xml:space="preserve">证书</w:t>
      </w:r>
      <w:r>
        <w:rPr>
          <w:rFonts w:hint="eastAsia" w:ascii="宋体" w:hAnsi="宋体" w:eastAsia="宋体" w:cs="宋体"/>
          <w:b/>
          <w:bCs/>
          <w:color w:val="auto"/>
          <w:sz w:val="24"/>
          <w:szCs w:val="24"/>
          <w:highlight w:val="none"/>
          <w:u w:val="single"/>
          <w:lang w:eastAsia="zh-CN"/>
        </w:rPr>
        <w:t xml:space="preserve">均需在</w:t>
      </w:r>
      <w:r>
        <w:rPr>
          <w:rFonts w:hint="eastAsia" w:ascii="宋体" w:hAnsi="宋体" w:eastAsia="宋体" w:cs="宋体"/>
          <w:b/>
          <w:bCs/>
          <w:color w:val="auto"/>
          <w:sz w:val="24"/>
          <w:szCs w:val="24"/>
          <w:highlight w:val="none"/>
          <w:u w:val="singl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体现，提供相关证明材料，未提供视为未实质性响应。</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（九）中小企业声明函请按本项目采购清单顺序填写，每一项均需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2、投标人收到采购人供货通知，必须无条件免费供应以接到采购人通知时间后的最新升级的硬件及软件产品来供货。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3、投标人必须承诺采购文件中提出的全部技术规格与要求，如果以其中某些条款不响应时，应在文件中逐条列出，未列出的视同响应。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5、交货时间：</w:t>
      </w:r>
      <w:r>
        <w:rPr>
          <w:rFonts w:hint="eastAsia" w:ascii="宋体" w:hAnsi="宋体" w:eastAsia="宋体" w:cs="宋体"/>
          <w:color w:val="auto"/>
          <w:sz w:val="24"/>
          <w:szCs w:val="24"/>
          <w:highlight w:val="none"/>
          <w:lang w:val="en-US" w:eastAsia="zh-CN"/>
        </w:rPr>
        <w:t xml:space="preserve">接到采购人通知后45天内完成安装及调试</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6、交货地点：具体根据采购人指定地点。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7、付款方式：详见合同条款。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8、安装要求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（1）由中标单位负责安装，现场调试。所有安装施工材料质量及施工质量必须严格按照国家规范及江苏省、苏州市地方规范、采购文件、材料厂家的技术及安全规范要求严格执行。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（3）中标单位负责标的物合格、正常、安全使用，所需要通过的相关部门的验收，相关费用由中标单位负责。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（4）伴随服务：投标方需提供详细完整的售后服务方案，在保修期内驻场服务。如需更换设备或送修，必须在1个工作日内完成，一时无法维修时，必须提供备机使用。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本项目不接受进口产品。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凡涉及招标文件的补充说明和修改，均以采购代理机构在网上发布的内容为准。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bookmarkStart w:id="39" w:name="_Toc105940241"/>
      <w:r/>
      <w:bookmarkStart w:id="40" w:name="_Toc396747046"/>
      <w:r/>
      <w:bookmarkStart w:id="41" w:name="OLE_LINK1"/>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val="0"/>
        <w:keepNext w:val="0"/>
        <w:pageBreakBefore w:val="0"/>
        <w:spacing w:before="340" w:after="330" w:line="360" w:lineRule="auto"/>
        <w:widowControl w:val="off"/>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39"/>
      <w:r/>
      <w:bookmarkEnd w:id="40"/>
      <w:r/>
      <w:bookmarkEnd w:id="41"/>
      <w:r/>
      <w:r/>
    </w:p>
    <w:p>
      <w:pPr>
        <w:spacing w:line="360" w:lineRule="auto"/>
        <w:rPr>
          <w:rFonts w:hint="eastAsia" w:ascii="宋体" w:hAnsi="宋体" w:eastAsia="宋体" w:cs="宋体"/>
          <w:color w:val="auto"/>
          <w:sz w:val="26"/>
          <w:szCs w:val="20"/>
          <w:highlight w:val="none"/>
          <w:shd w:val="clear" w:color="auto" w:fill="ffffff"/>
        </w:rPr>
      </w:pPr>
      <w:r/>
      <w:bookmarkStart w:id="42" w:name="_Toc13642118"/>
      <w:r/>
      <w:bookmarkStart w:id="43" w:name="_Toc13889378"/>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6300"/>
        <w:rPr>
          <w:rFonts w:hint="eastAsia" w:ascii="宋体" w:hAnsi="宋体" w:eastAsia="宋体" w:cs="宋体"/>
          <w:color w:val="auto"/>
          <w:sz w:val="24"/>
          <w:szCs w:val="24"/>
          <w:highlight w:val="none"/>
        </w:rPr>
      </w:pPr>
      <w:r/>
      <w:bookmarkStart w:id="44" w:name="_Toc105940242"/>
      <w:r>
        <w:rPr>
          <w:rFonts w:hint="eastAsia" w:ascii="宋体" w:hAnsi="宋体" w:eastAsia="宋体" w:cs="宋体"/>
          <w:color w:val="auto"/>
          <w:sz w:val="24"/>
          <w:szCs w:val="24"/>
          <w:highlight w:val="none"/>
        </w:rPr>
        <w:t xml:space="preserve">合同编号：</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5" w:name="_Toc13543224"/>
      <w:r>
        <w:rPr>
          <w:rFonts w:hint="eastAsia" w:ascii="宋体" w:hAnsi="宋体" w:eastAsia="宋体" w:cs="宋体"/>
          <w:b/>
          <w:bCs/>
          <w:color w:val="auto"/>
          <w:sz w:val="24"/>
          <w:szCs w:val="24"/>
          <w:highlight w:val="none"/>
        </w:rPr>
        <w:t xml:space="preserve">第一部分  合同一般条款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1、合同文件适用法律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适用于合同文件的法律是中华人民共和国现行法律、法规及甲方所在地的地方性法规。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2、合同文件组成和解释顺序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合同文件的组成和解释顺序如下：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合同的特殊性条款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合同的一般性条款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洽商、变更等明确双方权利义务的纪要、协议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中标通知书、投标书和招标文件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有关图纸</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标准、规范和其它有关技术资料、技术要求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合同的特殊性条款的效力优于合同的一般性条款的效力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3、合同文件使用文字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合同文件使用中文书写、解释和说明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二、标的物的一般条款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4、完整物权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对于出卖的标的物，乙方应当拥有完整物权，并且乙方负有保证第三人不得向甲方主张任何权利（包括知识产权）的义务。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除合同特殊条款规定外，合同条款中标的物的质量保证期均自标的物通过最终验收</w:t>
      </w:r>
      <w:r>
        <w:rPr>
          <w:rFonts w:hint="eastAsia" w:ascii="宋体" w:hAnsi="宋体" w:eastAsia="宋体" w:cs="宋体"/>
          <w:color w:val="auto"/>
          <w:sz w:val="24"/>
          <w:szCs w:val="24"/>
          <w:highlight w:val="none"/>
          <w:lang w:val="en-US" w:eastAsia="zh-CN"/>
        </w:rPr>
        <w:t xml:space="preserve">移交</w:t>
      </w:r>
      <w:r>
        <w:rPr>
          <w:rFonts w:hint="eastAsia" w:ascii="宋体" w:hAnsi="宋体" w:eastAsia="宋体" w:cs="宋体"/>
          <w:color w:val="auto"/>
          <w:sz w:val="24"/>
          <w:szCs w:val="24"/>
          <w:highlight w:val="none"/>
        </w:rPr>
        <w:t xml:space="preserve">之日起计算，且质量保证期不低于</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。若货物生产厂家规定的免费质保期长于本合同质保期，质保期以较长者为准。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6、包装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乙方除应履行按期按量交付合格标的物的义务之外，还应提供下列服务。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标的物的现场安装、启动、调试、监督；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提供标的物组装和一般维修所必须的工具；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在合同规定的期限内对所提供标的物实行运行监督、维修服务的前提条件是该服务并不能免除乙方在质量保证期内所承担的义务；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对甲方技术人员的技术指导或培训。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除合同另有规定之外，伴随服务的费用均已含在合同价款中，甲方不再另行进行支付。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三、标的物的交付、检验和验收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8、标的物的交付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标的物的所有权自标的物交付时转移。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乙方应当按照约定的期限和约定的地点交付标的物。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乙方应当按照约定或者交易习惯向甲方交付提取标的物单证以外的有关单证和资料。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甲方根据合同规定的内容和验收标准进行验收，同时比较乙方出具的检验证明，经检验无误后出具验收合格证明，该证明作为最终付款所需文件的组成部分。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验收期限自标的物交付之日起三十天内。特殊情况需延长的，双方应在合同的特殊条款中约定。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如双方对验收结果有分歧，则以苏州市技术质量监督局的检验结果为准，检验费用由有过失的一方支付。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四、对标的物提出异议的时间和办法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10、对标的物提出异议的时间和办法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甲方在验收过程中，应当于双方约定的检验期间内将标的物的数量或质量不符合约定的情形及处理方式以书面形式通知乙方。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如甲方在验收期满后既不出具验收合格证明又未提出书面异议的视为乙方所交标的物符合合同规定。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乙方应在收到甲方书面异议后七天内负责处理问题，否则将视为默认甲方提出的异议和处理意见。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本合同的结算货币为人民币，单位元。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乙方应按照双方签订的合同规定交货并在合同特殊条款规定的期限内持下列单据结算货款。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合格的销售发票；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甲方盖章签收后的送货回单和验收合格证明。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甲方应按合同特殊条款规定的期限和方式付款。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在合同生效后，非乙方质量原因甲方要求退货的，应向乙方偿付合同总价款的5%，作为违约金，违约金不足以补偿损失的，乙方有权要求甲方补足。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甲方逾期付款的应按照逾期付款金额的每天万分之四支付逾期付款违约金。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甲方违反合同规定，拒绝接收乙方交付的合格标的物，应当承担乙方由此造成的损失。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15、不可抗力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因不可抗力不能履行合同的，根据不可抗力的影响，部分或者全部免除责任。但合同一方迟延履行后发生不可抗力的，不能免除责任。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合同一方因不可抗力不能履行合同的，应当及时通知对方，以减轻可能给对方造成的损失，并应当在合理期限内提供证明。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甲方有权根据乙方的违约情况向乙方提出索赔。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在本合同规定的检验期和质量保证期内，如果乙方对甲方提出的索赔或差异有责任，则乙方应按甲方要求的下列一种或多种方式解决索赔事宜：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 根据标的物的低劣程度、损坏程度以及甲方遭受损失的数额，经双方协商确定降低标的物的价格。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17、合同的解除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甲方和乙方协商一致，可以解除合同；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有下列情形之一，合同一方可以解除合同：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 因不可抗力致使不能实现合同目的，未受不可抗力影响的一方有权解除合同；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 因合同一方违约导致合同不能履行，另一方有权解除合同；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有权解除合同的一方，应当在违约事实或不可抗力发生之后三十天内书面通知对方以主张解除合同，合同在书面通知到达对方时解除。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18、合同的转让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甲乙双方因合同发生争议，应在招标方的主持下进行调解，协商不成，任何一方可以向甲方所在地人民法院起诉。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21、合同份数。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本合同一式八份，甲方五份，乙方二份，采购代理机构一份。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22、未尽事宜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本合同未尽事宜应按《中华人民共和国民法典》、《中华人民共和国产品质量法》、《中华人民共和国政府采购法》之规定解释。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  合同特殊条款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，详见《标的物清单》。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②乙方中标的投标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w:t>
      </w:r>
      <w:r>
        <w:rPr>
          <w:rFonts w:hint="eastAsia" w:ascii="宋体" w:hAnsi="宋体" w:eastAsia="宋体" w:cs="宋体"/>
          <w:color w:val="auto"/>
          <w:sz w:val="24"/>
          <w:szCs w:val="24"/>
          <w:highlight w:val="none"/>
          <w:lang w:val="en-US" w:eastAsia="zh-CN"/>
        </w:rPr>
        <w:t xml:space="preserve">评审过程中作出的有关澄清说明或补充文件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④中标通知书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val="en-US" w:eastAsia="zh-CN"/>
        </w:rPr>
        <w:t xml:space="preserve">合同附件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二、价格与支付：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1、本合同为固定单价合同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代理服务费，以及相关税费等保证本项目正常实施和运行所需的一切相关费用）。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□乙方明确表示无需预付款；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□有预付款：待合同签订生效后，甲方支付合同金额的30%的预付款，预付款将从第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笔（期）待支付的进度款款项中扣除。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进度款：</w:t>
      </w:r>
      <w:r>
        <w:rPr>
          <w:rFonts w:hint="eastAsia" w:ascii="宋体" w:hAnsi="宋体" w:eastAsia="宋体" w:cs="宋体"/>
          <w:color w:val="auto"/>
          <w:sz w:val="24"/>
          <w:szCs w:val="24"/>
          <w:highlight w:val="none"/>
        </w:rPr>
        <w:t xml:space="preserve">乙方所提供的货物全部交付完毕，且全部货物验收合格后,甲方支付合同总金额的50％；乙方将所有货物安装调试通过且验收完成，甲方支付至合同总金额的7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结清款：</w:t>
      </w:r>
      <w:r>
        <w:rPr>
          <w:rFonts w:hint="eastAsia" w:ascii="宋体" w:hAnsi="宋体" w:eastAsia="宋体" w:cs="宋体"/>
          <w:color w:val="auto"/>
          <w:sz w:val="24"/>
          <w:szCs w:val="24"/>
          <w:highlight w:val="none"/>
        </w:rPr>
        <w:t xml:space="preserve">经甲方组织的整个项目验收合格，且经园区审计部门</w:t>
      </w:r>
      <w:r>
        <w:rPr>
          <w:rFonts w:hint="eastAsia" w:ascii="宋体" w:hAnsi="宋体" w:eastAsia="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rPr>
        <w:t xml:space="preserve">，甲方支付至审计结果的9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%；剩余</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%在免费质保期满后七个工作日内付清。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2.4在签订合同时，乙方明确表示无需预付款或者主动要求降低预付款比例的，甲方可不适用上述关于预付款的规定。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3、项目实施完成后，将按如下方式进行最终审计：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（1）以审计单位审定结果为本项目价款结算依据；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5、付款方式：银行转账、银行汇票或转账支票，具体支付方式甲方有权根据财务安排自主选择。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6、乙方开户银行名称、地址、账号为：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三、质量与验收：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1、乙方应按照标书的有关规定提供合格设备；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2、设备质量出现问题，乙方负责包修、包退、包换，费用由乙方承担；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本项目将根据政府采购法及相关法规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《江苏省政府采购履约验收管理办法》的规定,对</w:t>
      </w:r>
      <w:r>
        <w:rPr>
          <w:rFonts w:hint="eastAsia" w:ascii="宋体" w:hAnsi="宋体" w:eastAsia="宋体" w:cs="宋体"/>
          <w:color w:val="auto"/>
          <w:sz w:val="24"/>
          <w:szCs w:val="24"/>
          <w:highlight w:val="none"/>
          <w:lang w:val="en-US" w:eastAsia="zh-CN"/>
        </w:rPr>
        <w:t xml:space="preserve">乙方提供的设备</w:t>
      </w:r>
      <w:r>
        <w:rPr>
          <w:rFonts w:hint="eastAsia" w:ascii="宋体" w:hAnsi="宋体" w:eastAsia="宋体" w:cs="宋体"/>
          <w:color w:val="auto"/>
          <w:sz w:val="24"/>
          <w:szCs w:val="24"/>
          <w:highlight w:val="none"/>
        </w:rPr>
        <w:t xml:space="preserve">进行履约验收，确认验收合格的，将出具《政府采购履约验收书》。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履约验收主体：甲方；</w:t>
      </w:r>
      <w:r>
        <w:rPr>
          <w:rFonts w:hint="eastAsia" w:ascii="宋体" w:hAnsi="宋体" w:eastAsia="宋体" w:cs="宋体"/>
          <w:color w:val="auto"/>
          <w:sz w:val="24"/>
          <w:szCs w:val="24"/>
          <w:highlight w:val="none"/>
          <w:lang w:val="zh-CN"/>
        </w:rPr>
        <w:tab/>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eastAsia="zh-CN"/>
        </w:rPr>
        <w:t xml:space="preserve">提出履约验收申请：合同履行达到采购文件明确的验收条件时，乙方应向甲方发出项目验收申请。乙方未及时履约或发出验收申请的，甲方依照合同约定催告，提出履约验收要求。乙方在收到催告后五个工作日内拒不配合的，甲方将依照合同约定追究其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zh-CN" w:eastAsia="zh-CN"/>
        </w:rPr>
        <w:t xml:space="preserve">履约验收准备时间：甲方应及时全面准备验收，自收到验收申请之日起五个工作日内做好必要的验收准备工作、启动项目验收、通知乙方。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rPr>
        <w:t xml:space="preserve">履约验收方式：</w:t>
      </w:r>
      <w:r>
        <w:rPr>
          <w:rFonts w:hint="eastAsia" w:ascii="宋体" w:hAnsi="宋体" w:eastAsia="宋体" w:cs="宋体"/>
          <w:color w:val="auto"/>
          <w:sz w:val="24"/>
          <w:szCs w:val="24"/>
          <w:highlight w:val="none"/>
          <w:lang w:val="zh-CN" w:eastAsia="zh-CN"/>
        </w:rPr>
        <w:t xml:space="preserve">甲方应组织成立验收小组，验收小组负责实施项目验收工作。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rPr>
        <w:t xml:space="preserve">验收期限：自产品安装调试完毕</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lang w:val="zh-CN"/>
        </w:rPr>
        <w:t xml:space="preserve">之日起30日内，如有特殊情况，双方另行协调。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验收标准：</w:t>
      </w:r>
      <w:r>
        <w:rPr>
          <w:rFonts w:hint="eastAsia" w:ascii="宋体" w:hAnsi="宋体" w:eastAsia="宋体" w:cs="宋体"/>
          <w:color w:val="auto"/>
          <w:sz w:val="24"/>
          <w:szCs w:val="24"/>
          <w:highlight w:val="none"/>
        </w:rPr>
        <w:t xml:space="preserve">国家或行业相关标准（如有）、《江苏省政府采购履约验收管理办法》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合同条款、采购需求的所有内容，采购文件、投标文件、乙方在评标过程中做出的有关澄清说明或补充文件、中标通知书等。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程序：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对乙方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lang w:val="zh-CN" w:eastAsia="zh-CN"/>
        </w:rPr>
        <w:t xml:space="preserve">按照采购文件、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w:t>
      </w:r>
      <w:r>
        <w:rPr>
          <w:rFonts w:hint="eastAsia" w:ascii="宋体" w:hAnsi="宋体" w:eastAsia="宋体" w:cs="宋体"/>
          <w:color w:val="auto"/>
          <w:sz w:val="24"/>
          <w:szCs w:val="24"/>
          <w:highlight w:val="none"/>
          <w:lang w:val="zh-CN"/>
        </w:rPr>
        <w:t xml:space="preserve">相关验收费用由乙方承担，并在报价时综合考虑。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2甲方应当对验收小组的验收意见进行确认并盖章。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内容：包括每一项技术和商务要求的履约情况。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lang w:val="zh-CN" w:eastAsia="zh-CN"/>
        </w:rPr>
        <w:t xml:space="preserve">履约验收时限：</w:t>
      </w:r>
      <w:r>
        <w:rPr>
          <w:rFonts w:hint="eastAsia" w:ascii="宋体" w:hAnsi="宋体" w:eastAsia="宋体" w:cs="宋体"/>
          <w:color w:val="auto"/>
          <w:sz w:val="24"/>
          <w:szCs w:val="24"/>
          <w:highlight w:val="none"/>
          <w:lang w:val="zh-CN"/>
        </w:rPr>
        <w:t xml:space="preserve">甲方在验收过程中</w:t>
      </w:r>
      <w:r>
        <w:rPr>
          <w:rFonts w:hint="eastAsia" w:ascii="宋体" w:hAnsi="宋体" w:eastAsia="宋体" w:cs="宋体"/>
          <w:color w:val="auto"/>
          <w:sz w:val="24"/>
          <w:szCs w:val="24"/>
          <w:highlight w:val="none"/>
          <w:lang w:val="zh-CN" w:eastAsia="zh-CN"/>
        </w:rPr>
        <w:t xml:space="preserve">发现</w:t>
      </w:r>
      <w:r>
        <w:rPr>
          <w:rFonts w:hint="eastAsia" w:ascii="宋体" w:hAnsi="宋体" w:eastAsia="宋体" w:cs="宋体"/>
          <w:color w:val="auto"/>
          <w:sz w:val="24"/>
          <w:szCs w:val="24"/>
          <w:highlight w:val="none"/>
          <w:lang w:val="zh-CN"/>
        </w:rPr>
        <w:t xml:space="preserve">的问题，</w:t>
      </w:r>
      <w:r>
        <w:rPr>
          <w:rFonts w:hint="eastAsia" w:ascii="宋体" w:hAnsi="宋体" w:eastAsia="宋体" w:cs="宋体"/>
          <w:color w:val="auto"/>
          <w:sz w:val="24"/>
          <w:szCs w:val="24"/>
          <w:highlight w:val="none"/>
          <w:lang w:val="zh-CN" w:eastAsia="zh-CN"/>
        </w:rPr>
        <w:t xml:space="preserve">具备限期整改条件的，</w:t>
      </w:r>
      <w:r>
        <w:rPr>
          <w:rFonts w:hint="eastAsia" w:ascii="宋体" w:hAnsi="宋体" w:eastAsia="宋体" w:cs="宋体"/>
          <w:color w:val="auto"/>
          <w:sz w:val="24"/>
          <w:szCs w:val="24"/>
          <w:highlight w:val="none"/>
          <w:lang w:val="zh-CN"/>
        </w:rPr>
        <w:t xml:space="preserve">甲方应在发现服务质量不符合约定之日起 3日内向乙方提出书面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，乙方在接到书面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后，应当在3日内负责处理并书面回复甲方，否则将视为默认甲方提出的异议和处理意见。</w:t>
      </w:r>
      <w:r>
        <w:rPr>
          <w:rFonts w:hint="eastAsia" w:ascii="宋体" w:hAnsi="宋体" w:eastAsia="宋体" w:cs="宋体"/>
          <w:color w:val="auto"/>
          <w:sz w:val="24"/>
          <w:szCs w:val="24"/>
          <w:highlight w:val="none"/>
          <w:lang w:val="zh-CN" w:eastAsia="zh-CN"/>
        </w:rPr>
        <w:t xml:space="preserve">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3.10</w:t>
      </w:r>
      <w:r>
        <w:rPr>
          <w:rFonts w:hint="eastAsia" w:ascii="宋体" w:hAnsi="宋体" w:eastAsia="宋体" w:cs="宋体"/>
          <w:color w:val="auto"/>
          <w:sz w:val="24"/>
          <w:szCs w:val="24"/>
          <w:highlight w:val="none"/>
          <w:lang w:val="zh-CN"/>
        </w:rPr>
        <w:t xml:space="preserve">验收时或在验收后因质量原因产生的争议，由甲乙双方共同邀请</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进行检测，以第三方</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的检测结果作为依据，检测不合格或存在质量问题的，检测费用由乙方承担。</w:t>
      </w:r>
      <w:r>
        <w:rPr>
          <w:rFonts w:hint="eastAsia" w:ascii="宋体" w:hAnsi="宋体" w:eastAsia="宋体" w:cs="宋体"/>
          <w:color w:val="auto"/>
          <w:sz w:val="24"/>
          <w:szCs w:val="24"/>
          <w:highlight w:val="none"/>
          <w:lang w:val="zh-CN" w:eastAsia="zh-CN"/>
        </w:rPr>
        <w:t xml:space="preserve">因乙方原因或乙方主动申请发生的费用，由乙方承担。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lang w:val="zh-CN"/>
        </w:rPr>
        <w:t xml:space="preserve">如果甲方在验收期满后既不出具验收合格证明又未提出书面异议的视为乙方所提供服务符合合同规定。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lang w:val="zh-CN" w:eastAsia="zh-CN"/>
        </w:rPr>
        <w:t xml:space="preserve">合同履行达到采购文件明确的验收条件时，乙方未及时履约或发出验收申请的，甲方依照合同约定催告，提出履约验收要求。乙方在收到催告后五个工作日内拒不配合的，则</w:t>
      </w:r>
      <w:r>
        <w:rPr>
          <w:rFonts w:hint="eastAsia" w:ascii="宋体" w:hAnsi="宋体" w:eastAsia="宋体" w:cs="宋体"/>
          <w:color w:val="auto"/>
          <w:sz w:val="24"/>
          <w:szCs w:val="24"/>
          <w:highlight w:val="none"/>
          <w:lang w:val="zh-CN"/>
        </w:rPr>
        <w:t xml:space="preserve">视为乙方</w:t>
      </w:r>
      <w:r>
        <w:rPr>
          <w:rFonts w:hint="eastAsia" w:ascii="宋体" w:hAnsi="宋体" w:eastAsia="宋体" w:cs="宋体"/>
          <w:color w:val="auto"/>
          <w:sz w:val="24"/>
          <w:szCs w:val="24"/>
          <w:highlight w:val="none"/>
          <w:lang w:val="zh-CN" w:eastAsia="zh-CN"/>
        </w:rPr>
        <w:t xml:space="preserve">同意甲方的验收结果，由此产生的不利于乙方的后果由乙方自行承担</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lang w:val="zh-CN" w:eastAsia="zh-CN"/>
        </w:rPr>
        <w:t xml:space="preserve"> 履约验收合格作为政府采购项目财政性资金支付的必备条件。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、知识产权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（1）乙方提供的软件及相关交付物，包括且不限于软件程序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乙方自有的产品和第三方产品除外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、文档材料等，甲方均与乙方共同享有所有的产权、所有权及其它知识产权和权益。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（2）乙方独立于本项目之外且未利用甲方相关资料或工作条件完成的工作成果的一切知识产权和所有权归乙方所有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（3）乙方于本合同项下新开发的与甲方业务相关的开发成果，甲方享有知识产权和所有权。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（4）乙方按照本合同约定在履行系统维护和技术服务的过程中，利用甲方提供的相关资料和工作条件完成的新技术成果，甲乙双方共享知识产权和所有权。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（5）甲方依据本合同的规定，利用乙方提供的工作成果完成的新技术成果的所有权归甲方所有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如果有人提出法律或行政</w:t>
      </w:r>
      <w:r>
        <w:rPr>
          <w:rFonts w:hint="eastAsia" w:ascii="宋体" w:hAnsi="宋体" w:eastAsia="宋体" w:cs="宋体"/>
          <w:color w:val="auto"/>
          <w:sz w:val="24"/>
          <w:szCs w:val="24"/>
          <w:highlight w:val="none"/>
          <w:lang w:val="en-US" w:eastAsia="zh-CN"/>
        </w:rPr>
        <w:t xml:space="preserve">程</w:t>
      </w:r>
      <w:r>
        <w:rPr>
          <w:rFonts w:hint="eastAsia" w:ascii="宋体" w:hAnsi="宋体" w:eastAsia="宋体" w:cs="宋体"/>
          <w:color w:val="auto"/>
          <w:sz w:val="24"/>
          <w:szCs w:val="24"/>
          <w:highlight w:val="none"/>
        </w:rPr>
        <w:t xml:space="preserve">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合称“权指控”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，声称方所拥有的应用软件犯了其合法权益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包括但不限于知识产权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按照招标文件和乙方在投标书中承诺的服务执行。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按招标文件的规定执行。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、应当维护国家利益和社会公共利益，合同履行过程中出现危害国家利益和社会公共利益问题的，甲方有权立即终止合同。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、如合同继续履行将损害国家利益和社会公共利益，甲方有权变更、中止或者终止、解除合同。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、甲方和乙方签订补充合同的采购金额不得超过原合同采购金额的百分之十。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、小型、微型企业不得分包或转包给大型、中型企业，中型企业不得分包或转包给大型企业。</w:t>
      </w:r>
      <w:bookmarkEnd w:id="45"/>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42"/>
      <w:r/>
      <w:bookmarkEnd w:id="43"/>
      <w:r>
        <w:rPr>
          <w:rFonts w:hint="eastAsia" w:ascii="宋体" w:hAnsi="宋体" w:eastAsia="宋体" w:cs="宋体"/>
          <w:b/>
          <w:color w:val="auto"/>
          <w:sz w:val="52"/>
          <w:szCs w:val="20"/>
          <w:highlight w:val="none"/>
          <w:shd w:val="clear" w:color="auto" w:fill="ffffff"/>
        </w:rPr>
        <w:t xml:space="preserve">标准</w:t>
      </w:r>
      <w:bookmarkEnd w:id="44"/>
      <w:r/>
      <w:r/>
    </w:p>
    <w:p>
      <w:pPr>
        <w:ind w:firstLine="520"/>
        <w:keepLines w:val="0"/>
        <w:keepNext w:val="0"/>
        <w:pageBreakBefore w:val="0"/>
        <w:spacing w:line="360" w:lineRule="auto"/>
        <w:rPr>
          <w:rFonts w:hint="eastAsia" w:ascii="宋体" w:hAnsi="宋体" w:eastAsia="宋体" w:cs="宋体"/>
          <w:color w:val="auto"/>
          <w:sz w:val="24"/>
          <w:szCs w:val="24"/>
          <w:highlight w:val="none"/>
        </w:rPr>
        <w:outlineLvl w:val="1"/>
      </w:pPr>
      <w:r/>
      <w:bookmarkStart w:id="46" w:name="OLE_LINK2"/>
      <w:r>
        <w:rPr>
          <w:rFonts w:hint="eastAsia" w:ascii="宋体" w:hAnsi="宋体" w:eastAsia="宋体" w:cs="宋体"/>
          <w:color w:val="auto"/>
          <w:sz w:val="26"/>
          <w:szCs w:val="20"/>
          <w:highlight w:val="none"/>
          <w:shd w:val="clear" w:color="auto" w:fill="ffffff"/>
        </w:rPr>
        <w:br w:type="page" w:clear="all"/>
      </w:r>
      <w:bookmarkEnd w:id="46"/>
      <w:r>
        <w:rPr>
          <w:rFonts w:hint="eastAsia" w:ascii="宋体" w:hAnsi="宋体" w:eastAsia="宋体" w:cs="宋体"/>
          <w:b/>
          <w:bCs/>
          <w:color w:val="auto"/>
          <w:sz w:val="24"/>
          <w:szCs w:val="24"/>
          <w:highlight w:val="none"/>
        </w:rPr>
        <w:t xml:space="preserve">一、评标办法：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提供优先采购产品证书更多的投标人优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（如属优先采购产品），否则由采购代理机构组织抽签确定中标人。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二、评分标准：</w:t>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（一）投标报价（45分）</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报价得分=（评标基准价/投标报价）*价格权值45（本次招标价格权值为45%）</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根据《关于推动解决政府采购异常低价问题的通知》（财库〔2026〕2号）文件要求，评审过程中出现下列情形之一的，评审委员会应当启动异常低价投标审查程序：</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投标报价低于全部通过符合性审查供应商投标报价平均值50%的，即投标报价&lt;全部通过符合性审查供应商投标报价平均值×50%；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投标报价低于通过符合性审查的次低报价供应商投标报价50%的，即投标报价&lt;通过符合性审查的次低报价供应商投标报价×50%；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投标报价低于采购项目最高限价45%的，即投标报价&lt;采购项目最高限价×45%；</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评审委员会启动异常低价投标审查后，属于前述第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项至第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4"/>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技术部分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tbl>
      <w:tblPr>
        <w:tblStyle w:val="933"/>
        <w:tblW w:w="10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407"/>
        <w:gridCol w:w="7301"/>
        <w:gridCol w:w="540"/>
      </w:tblGrid>
      <w:tr>
        <w:trPr>
          <w:jc w:val="center"/>
          <w:trHeight w:val="520"/>
        </w:trPr>
        <w:tc>
          <w:tcPr>
            <w:tcW w:w="1113"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评审类别</w:t>
            </w:r>
            <w:r/>
          </w:p>
        </w:tc>
        <w:tc>
          <w:tcPr>
            <w:tcW w:w="1407"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评审项</w:t>
            </w:r>
            <w:r/>
          </w:p>
        </w:tc>
        <w:tc>
          <w:tcPr>
            <w:tcW w:w="7301"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评审规则</w:t>
            </w:r>
            <w:r/>
          </w:p>
        </w:tc>
        <w:tc>
          <w:tcPr>
            <w:tcW w:w="540"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分值</w:t>
            </w:r>
            <w:r/>
          </w:p>
        </w:tc>
      </w:tr>
      <w:tr>
        <w:trPr>
          <w:jc w:val="center"/>
          <w:trHeight w:val="297"/>
        </w:trPr>
        <w:tc>
          <w:tcPr>
            <w:tcW w:w="1113" w:type="dxa"/>
            <w:vAlign w:val="center"/>
            <w:vMerge w:val="restart"/>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color w:val="auto"/>
                <w:highlight w:val="none"/>
              </w:rPr>
              <w:t xml:space="preserve">技术部分(</w:t>
            </w:r>
            <w:r>
              <w:rPr>
                <w:rFonts w:hint="eastAsia" w:ascii="宋体" w:hAnsi="宋体" w:eastAsia="宋体" w:cs="宋体"/>
                <w:b/>
                <w:color w:val="auto"/>
                <w:highlight w:val="none"/>
                <w:lang w:val="en-US" w:eastAsia="zh-CN"/>
              </w:rPr>
              <w:t xml:space="preserve">55</w:t>
            </w:r>
            <w:r>
              <w:rPr>
                <w:rFonts w:hint="eastAsia" w:ascii="宋体" w:hAnsi="宋体" w:eastAsia="宋体" w:cs="宋体"/>
                <w:b/>
                <w:color w:val="auto"/>
                <w:highlight w:val="none"/>
              </w:rPr>
              <w:t xml:space="preserve">分)</w:t>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检测报告</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提供下表中检测产品的检测报告扫描件（如报告内容不全导致无法确认报告的各项要求的，或字迹模糊不清无法辨认的都视为未提供）。</w:t>
            </w:r>
            <w:r>
              <w:rPr>
                <w:rFonts w:hint="eastAsia" w:ascii="宋体" w:hAnsi="宋体" w:eastAsia="宋体" w:cs="宋体"/>
                <w:b/>
                <w:color w:val="auto"/>
                <w:highlight w:val="none"/>
              </w:rPr>
              <w:t xml:space="preserve">中标后采购人将视情况核查中标供应商检测报告的真实性，发现弄虚作假的将上报监督部门处理。</w:t>
            </w:r>
            <w:r>
              <w:rPr>
                <w:rFonts w:hint="eastAsia" w:ascii="宋体" w:hAnsi="宋体" w:eastAsia="宋体" w:cs="宋体"/>
                <w:color w:val="auto"/>
                <w:highlight w:val="none"/>
              </w:rPr>
              <w:t xml:space="preserve">提供的检测报告必须同时符合以下所有要求，否则不得分。（每个检测产品</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分，最高得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检测报告应为具有检验检测资质的检测机构出具，检测机构应通过相应的CMA认证，检测报告页面必须有CMA认证标志；</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检测报告中的检测（判定）依据必须为下表所列检测标准或其它现行国家（或行业）标准；</w:t>
            </w:r>
            <w:r/>
          </w:p>
          <w:p>
            <w:pPr>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检测报告中下表所列必须包含的检测项目检测结果应为合格。</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1.5mm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1.0mm）</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1"/>
                <w:numId w:val="0"/>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74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本项目施工深化设计比较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8分</w:t>
            </w:r>
            <w:r>
              <w:rPr>
                <w:rFonts w:hint="eastAsia" w:ascii="宋体" w:hAnsi="宋体" w:eastAsia="宋体" w:cs="宋体"/>
                <w:color w:val="auto"/>
                <w:highlight w:val="none"/>
                <w:lang w:eastAsia="zh-CN"/>
              </w:rPr>
              <w:t xml:space="preserve">）</w:t>
            </w:r>
            <w:r/>
          </w:p>
        </w:tc>
        <w:tc>
          <w:tcPr>
            <w:tcW w:w="7301" w:type="dxa"/>
            <w:textDirection w:val="lrTb"/>
            <w:noWrap w:val="false"/>
          </w:tcPr>
          <w:p>
            <w:pPr>
              <w:ind w:firstLine="420"/>
              <w:jc w:val="both"/>
              <w:widowControl w:val="off"/>
              <w:rPr>
                <w:rFonts w:hint="eastAsia" w:cs="宋体" w:asciiTheme="minorEastAsia" w:hAnsi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根据</w:t>
            </w:r>
            <w:r>
              <w:rPr>
                <w:rFonts w:hint="eastAsia" w:cs="宋体" w:asciiTheme="minorEastAsia" w:hAnsiTheme="minorEastAsia"/>
                <w:color w:val="auto"/>
                <w:sz w:val="21"/>
                <w:szCs w:val="21"/>
                <w:highlight w:val="none"/>
                <w:lang w:val="en-US" w:eastAsia="zh-CN"/>
              </w:rPr>
              <w:t xml:space="preserve">采购人</w:t>
            </w:r>
            <w:r>
              <w:rPr>
                <w:rFonts w:hint="eastAsia" w:cs="宋体" w:asciiTheme="minorEastAsia" w:hAnsiTheme="minorEastAsia" w:eastAsiaTheme="minorEastAsia"/>
                <w:color w:val="auto"/>
                <w:sz w:val="21"/>
                <w:szCs w:val="21"/>
                <w:highlight w:val="none"/>
              </w:rPr>
              <w:t xml:space="preserve">提供的基础图纸与投标产品清单，对厨房平面、给排水、用电、气、排风隔墙等提供施工深化图纸比较</w:t>
            </w:r>
            <w:r>
              <w:rPr>
                <w:rFonts w:hint="eastAsia" w:cs="宋体" w:asciiTheme="minorEastAsia" w:hAnsiTheme="minorEastAsia"/>
                <w:color w:val="auto"/>
                <w:sz w:val="21"/>
                <w:szCs w:val="21"/>
                <w:highlight w:val="none"/>
                <w:lang w:eastAsia="zh-CN"/>
              </w:rPr>
              <w:t xml:space="preserve">：</w:t>
            </w:r>
            <w:r/>
          </w:p>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提供内容有针对性，科学合理，设计方案图纸完整，优于项目实施需要的得8分；提供内容较有针对性，较科学合理，设计方案图纸较完整，能完全满足项目实施需要的得6分；提供内容的针对性、科学合理性不完善，设计方案图纸相对单一单、基本满足实施需要的得4分；不提供的不得分。</w:t>
            </w:r>
            <w:r/>
          </w:p>
        </w:tc>
        <w:tc>
          <w:tcPr>
            <w:tcW w:w="540"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p>
        </w:tc>
      </w:tr>
      <w:tr>
        <w:trPr>
          <w:jc w:val="center"/>
          <w:trHeight w:val="2443"/>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cs="宋体" w:asciiTheme="minorEastAsia" w:hAnsiTheme="minorEastAsia"/>
                <w:b w:val="0"/>
                <w:bCs w:val="0"/>
                <w:color w:val="auto"/>
                <w:sz w:val="21"/>
                <w:szCs w:val="21"/>
                <w:highlight w:val="none"/>
                <w:lang w:val="en-US" w:eastAsia="zh-CN"/>
              </w:rPr>
              <w:t xml:space="preserve">3、</w:t>
            </w:r>
            <w:r>
              <w:rPr>
                <w:rFonts w:hint="eastAsia" w:cs="宋体" w:asciiTheme="minorEastAsia" w:hAnsiTheme="minorEastAsia" w:eastAsiaTheme="minorEastAsia"/>
                <w:b w:val="0"/>
                <w:bCs w:val="0"/>
                <w:color w:val="auto"/>
                <w:sz w:val="21"/>
                <w:szCs w:val="21"/>
                <w:highlight w:val="none"/>
              </w:rPr>
              <w:t xml:space="preserve">实施方案比较(6分)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项目实施方案、现场管理制度、质量保证措施、安装进度安排及保证措施、文明安装保证措施方面的安排比较综合评分。实施方案全面、质量保证措施实用可行，安装进度安排科学、合理，现场管理制度完善，文明安装保证措施实用可行方案科学合理的得6分；实施方案基本可行、质量保证措施可行性基本可行，安装进度安排基本可行，现场管理制度基本可行，文明安装保证措施基本可行的得4分；实施方案无针对性、质量保证措施可行性</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，安装进度安排</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，现场管理制度不完善，文明安装保证措施</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的得2分；不提供的不得分。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r>
      <w:tr>
        <w:trPr>
          <w:jc w:val="center"/>
          <w:trHeight w:val="90"/>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cs="宋体" w:asciiTheme="minorEastAsia" w:hAnsiTheme="minorEastAsia"/>
                <w:b w:val="0"/>
                <w:bCs w:val="0"/>
                <w:color w:val="auto"/>
                <w:sz w:val="21"/>
                <w:szCs w:val="21"/>
                <w:highlight w:val="none"/>
                <w:lang w:val="en-US" w:eastAsia="zh-CN"/>
              </w:rPr>
              <w:t xml:space="preserve">4、</w:t>
            </w:r>
            <w:r>
              <w:rPr>
                <w:rFonts w:hint="eastAsia" w:cs="宋体" w:asciiTheme="minorEastAsia" w:hAnsiTheme="minorEastAsia" w:eastAsiaTheme="minorEastAsia"/>
                <w:b w:val="0"/>
                <w:bCs w:val="0"/>
                <w:color w:val="auto"/>
                <w:sz w:val="21"/>
                <w:szCs w:val="21"/>
                <w:highlight w:val="none"/>
              </w:rPr>
              <w:t xml:space="preserve">应急预案比较(6分)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根据投标单位针对现场突发状况，如防火，</w:t>
            </w:r>
            <w:r>
              <w:rPr>
                <w:rFonts w:hint="eastAsia" w:cs="宋体" w:asciiTheme="minorEastAsia" w:hAnsiTheme="minorEastAsia" w:eastAsiaTheme="minorEastAsia"/>
                <w:color w:val="auto"/>
                <w:sz w:val="21"/>
                <w:szCs w:val="21"/>
                <w:highlight w:val="none"/>
                <w:lang w:val="en-US" w:eastAsia="zh-CN"/>
              </w:rPr>
              <w:t xml:space="preserve">实施</w:t>
            </w:r>
            <w:r>
              <w:rPr>
                <w:rFonts w:hint="eastAsia" w:cs="宋体" w:asciiTheme="minorEastAsia" w:hAnsiTheme="minorEastAsia" w:eastAsiaTheme="minorEastAsia"/>
                <w:color w:val="auto"/>
                <w:sz w:val="21"/>
                <w:szCs w:val="21"/>
                <w:highlight w:val="none"/>
              </w:rPr>
              <w:t xml:space="preserve">安全隐患</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应急响应措施，现场突发状况的应急处理等各方面比较综合评分。方案完善、合理、完全可行的得6分；方案基本可行的得4分；方案不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、无针对性的得2分；不提供的不得分。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r>
        <w:trPr>
          <w:jc w:val="center"/>
          <w:trHeight w:val="143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5、</w:t>
            </w:r>
            <w:r>
              <w:rPr>
                <w:rFonts w:hint="eastAsia" w:cs="宋体" w:asciiTheme="minorEastAsia" w:hAnsiTheme="minorEastAsia" w:eastAsiaTheme="minorEastAsia"/>
                <w:b w:val="0"/>
                <w:bCs w:val="0"/>
                <w:color w:val="auto"/>
                <w:sz w:val="21"/>
                <w:szCs w:val="21"/>
                <w:highlight w:val="none"/>
              </w:rPr>
              <w:t xml:space="preserve">售后服务比较(8分)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投标单位售后服务体系完善、服务标准规范化程度高、服务响应</w:t>
            </w:r>
            <w:r>
              <w:rPr>
                <w:rFonts w:hint="eastAsia" w:cs="宋体" w:asciiTheme="minorEastAsia" w:hAnsiTheme="minorEastAsia"/>
                <w:color w:val="auto"/>
                <w:sz w:val="21"/>
                <w:szCs w:val="21"/>
                <w:highlight w:val="none"/>
                <w:lang w:val="en-US" w:eastAsia="zh-CN"/>
              </w:rPr>
              <w:t xml:space="preserve">效率高</w:t>
            </w:r>
            <w:r>
              <w:rPr>
                <w:rFonts w:hint="eastAsia" w:cs="宋体" w:asciiTheme="minorEastAsia" w:hAnsiTheme="minorEastAsia" w:eastAsiaTheme="minorEastAsia"/>
                <w:color w:val="auto"/>
                <w:sz w:val="21"/>
                <w:szCs w:val="21"/>
                <w:highlight w:val="none"/>
              </w:rPr>
              <w:t xml:space="preserve">、保修措施完善的得8分；投标单位售后服务体系较完善、服务标准规范化程度较完善、服务响应</w:t>
            </w:r>
            <w:r>
              <w:rPr>
                <w:rFonts w:hint="eastAsia" w:cs="宋体" w:asciiTheme="minorEastAsia" w:hAnsiTheme="minorEastAsia"/>
                <w:color w:val="auto"/>
                <w:sz w:val="21"/>
                <w:szCs w:val="21"/>
                <w:highlight w:val="none"/>
                <w:lang w:val="en-US" w:eastAsia="zh-CN"/>
              </w:rPr>
              <w:t xml:space="preserve">效率不高</w:t>
            </w:r>
            <w:r>
              <w:rPr>
                <w:rFonts w:hint="eastAsia" w:cs="宋体" w:asciiTheme="minorEastAsia" w:hAnsiTheme="minorEastAsia" w:eastAsiaTheme="minorEastAsia"/>
                <w:color w:val="auto"/>
                <w:sz w:val="21"/>
                <w:szCs w:val="21"/>
                <w:highlight w:val="none"/>
              </w:rPr>
              <w:t xml:space="preserve">、保修措施完善性较完善的得6分；投标单位售后服务体系不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完善、服务标准规范化程度</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、服务响应</w:t>
            </w:r>
            <w:r>
              <w:rPr>
                <w:rFonts w:hint="eastAsia" w:cs="宋体" w:asciiTheme="minorEastAsia" w:hAnsiTheme="minorEastAsia"/>
                <w:color w:val="auto"/>
                <w:sz w:val="21"/>
                <w:szCs w:val="21"/>
                <w:highlight w:val="none"/>
                <w:lang w:val="en-US" w:eastAsia="zh-CN"/>
              </w:rPr>
              <w:t xml:space="preserve">效率低</w:t>
            </w:r>
            <w:r>
              <w:rPr>
                <w:rFonts w:hint="eastAsia" w:cs="宋体" w:asciiTheme="minorEastAsia" w:hAnsiTheme="minorEastAsia" w:eastAsiaTheme="minorEastAsia"/>
                <w:color w:val="auto"/>
                <w:sz w:val="21"/>
                <w:szCs w:val="21"/>
                <w:highlight w:val="none"/>
              </w:rPr>
              <w:t xml:space="preserve">、保修措施不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完善的得4分；不提供的不得分。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r>
      <w:tr>
        <w:trPr>
          <w:jc w:val="center"/>
          <w:trHeight w:val="147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6、</w:t>
            </w:r>
            <w:r>
              <w:rPr>
                <w:rFonts w:hint="eastAsia" w:cs="宋体" w:asciiTheme="minorEastAsia" w:hAnsiTheme="minorEastAsia" w:eastAsiaTheme="minorEastAsia"/>
                <w:b w:val="0"/>
                <w:bCs w:val="0"/>
                <w:color w:val="auto"/>
                <w:sz w:val="21"/>
                <w:szCs w:val="21"/>
                <w:highlight w:val="none"/>
              </w:rPr>
              <w:t xml:space="preserve">所投产品出现常规质量问题解决方案</w:t>
            </w:r>
            <w:r/>
          </w:p>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t xml:space="preserve">(</w:t>
            </w:r>
            <w:r>
              <w:rPr>
                <w:rFonts w:hint="eastAsia" w:cs="宋体" w:asciiTheme="minorEastAsia" w:hAnsiTheme="minorEastAsia"/>
                <w:b w:val="0"/>
                <w:bCs w:val="0"/>
                <w:color w:val="auto"/>
                <w:sz w:val="21"/>
                <w:szCs w:val="21"/>
                <w:highlight w:val="none"/>
                <w:lang w:val="en-US" w:eastAsia="zh-CN"/>
              </w:rPr>
              <w:t xml:space="preserve">8</w:t>
            </w:r>
            <w:r>
              <w:rPr>
                <w:rFonts w:hint="eastAsia" w:cs="宋体" w:asciiTheme="minorEastAsia" w:hAnsiTheme="minorEastAsia" w:eastAsiaTheme="minorEastAsia"/>
                <w:b w:val="0"/>
                <w:bCs w:val="0"/>
                <w:color w:val="auto"/>
                <w:sz w:val="21"/>
                <w:szCs w:val="21"/>
                <w:highlight w:val="none"/>
              </w:rPr>
              <w:t xml:space="preserve">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投标单位对于本项目所投产品容易出现的常规质量问题原因分析全面、透彻，应对解决方法科学、实用、合理、可行的得</w:t>
            </w:r>
            <w:r>
              <w:rPr>
                <w:rFonts w:hint="eastAsia" w:cs="宋体" w:asciiTheme="minorEastAsia" w:hAnsiTheme="minorEastAsia"/>
                <w:color w:val="auto"/>
                <w:sz w:val="21"/>
                <w:szCs w:val="21"/>
                <w:highlight w:val="none"/>
                <w:lang w:val="en-US" w:eastAsia="zh-CN"/>
              </w:rPr>
              <w:t xml:space="preserve">8</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分；对于本项目所投产品容易出现的常规质量问题原因分析简略，应对解决方法基本可行的得</w:t>
            </w:r>
            <w:r>
              <w:rPr>
                <w:rFonts w:hint="eastAsia" w:cs="宋体" w:asciiTheme="minorEastAsia" w:hAnsi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分；对于本项目所投产品容易出现的常规质量问题原因分析粗略、无针对性，应对解决方法可行性</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w:t>
            </w:r>
            <w:r>
              <w:rPr>
                <w:rFonts w:hint="eastAsia" w:cs="宋体" w:asciiTheme="minorEastAsia" w:hAnsi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cs="宋体" w:asciiTheme="minorEastAsia" w:hAnsiTheme="minorEastAsia" w:eastAsiaTheme="minorEastAsia"/>
                <w:b w:val="0"/>
                <w:bCs w:val="0"/>
                <w:color w:val="auto"/>
                <w:sz w:val="21"/>
                <w:szCs w:val="21"/>
                <w:highlight w:val="none"/>
                <w:lang w:val="en-US" w:eastAsia="zh-CN"/>
              </w:rPr>
              <w:t xml:space="preserve">8</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设备工艺技术比较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(1)燃气双眼大锅灶工艺技术方案综合比较：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(2)双门热风循环消毒柜工艺技术方案综合比较：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(3)四格保温台技术方案综合比较：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(4)燃气双门蒸饭柜工艺技术方案综合比较：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空气能长龙式洗碗机带烘干</w:t>
            </w:r>
            <w:r>
              <w:rPr>
                <w:rFonts w:hint="eastAsia" w:ascii="宋体" w:hAnsi="宋体" w:eastAsia="宋体" w:cs="宋体"/>
                <w:b/>
                <w:bCs/>
                <w:color w:val="auto"/>
                <w:szCs w:val="21"/>
                <w:highlight w:val="none"/>
              </w:rPr>
              <w:t xml:space="preserve">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10"/>
              </w:numPr>
              <w:ind w:right="117"/>
              <w:spacing w:before="79"/>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8"/>
                <w:szCs w:val="21"/>
                <w:highlight w:val="none"/>
              </w:rPr>
              <w:t xml:space="preserve">内</w:t>
            </w:r>
            <w:r>
              <w:rPr>
                <w:rFonts w:hint="eastAsia" w:ascii="宋体" w:hAnsi="宋体" w:eastAsia="宋体" w:cs="宋体"/>
                <w:color w:val="auto"/>
                <w:spacing w:val="-4"/>
                <w:szCs w:val="21"/>
                <w:highlight w:val="none"/>
              </w:rPr>
              <w:t xml:space="preserve">容完整、工艺技术方案全面完善、</w:t>
            </w:r>
            <w:r>
              <w:rPr>
                <w:rFonts w:hint="eastAsia" w:ascii="宋体" w:hAnsi="宋体" w:eastAsia="宋体" w:cs="宋体"/>
                <w:color w:val="auto"/>
                <w:spacing w:val="-5"/>
                <w:szCs w:val="21"/>
                <w:highlight w:val="none"/>
              </w:rPr>
              <w:t xml:space="preserve">科学合理、针对性强的得2分</w:t>
            </w:r>
            <w:r>
              <w:rPr>
                <w:rFonts w:hint="eastAsia" w:ascii="宋体" w:hAnsi="宋体" w:eastAsia="宋体" w:cs="宋体"/>
                <w:color w:val="auto"/>
                <w:spacing w:val="-4"/>
                <w:szCs w:val="21"/>
                <w:highlight w:val="none"/>
              </w:rPr>
              <w:t xml:space="preserve">；</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1"/>
                <w:szCs w:val="21"/>
                <w:highlight w:val="none"/>
              </w:rPr>
              <w:t xml:space="preserve">内容较完整、</w:t>
            </w:r>
            <w:r>
              <w:rPr>
                <w:rFonts w:hint="eastAsia" w:ascii="宋体" w:hAnsi="宋体" w:eastAsia="宋体" w:cs="宋体"/>
                <w:color w:val="auto"/>
                <w:szCs w:val="21"/>
                <w:highlight w:val="none"/>
              </w:rPr>
              <w:t xml:space="preserve">工艺技术方案较为</w:t>
            </w:r>
            <w:r>
              <w:rPr>
                <w:rFonts w:hint="eastAsia" w:ascii="宋体" w:hAnsi="宋体" w:eastAsia="宋体" w:cs="宋体"/>
                <w:color w:val="auto"/>
                <w:spacing w:val="-10"/>
                <w:szCs w:val="21"/>
                <w:highlight w:val="none"/>
              </w:rPr>
              <w:t xml:space="preserve">完善</w:t>
            </w:r>
            <w:r>
              <w:rPr>
                <w:rFonts w:hint="eastAsia" w:ascii="宋体" w:hAnsi="宋体" w:eastAsia="宋体" w:cs="宋体"/>
                <w:color w:val="auto"/>
                <w:spacing w:val="-5"/>
                <w:szCs w:val="21"/>
                <w:highlight w:val="none"/>
              </w:rPr>
              <w:t xml:space="preserve">、有合理性的得1分；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产</w:t>
            </w:r>
            <w:r>
              <w:rPr>
                <w:rFonts w:hint="eastAsia" w:ascii="宋体" w:hAnsi="宋体" w:eastAsia="宋体" w:cs="宋体"/>
                <w:color w:val="auto"/>
                <w:spacing w:val="-4"/>
                <w:szCs w:val="21"/>
                <w:highlight w:val="none"/>
              </w:rPr>
              <w:t xml:space="preserve">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4"/>
                <w:szCs w:val="21"/>
                <w:highlight w:val="none"/>
              </w:rPr>
              <w:t xml:space="preserve">内容不够完整、工艺技术方案简</w:t>
            </w:r>
            <w:r>
              <w:rPr>
                <w:rFonts w:hint="eastAsia" w:ascii="宋体" w:hAnsi="宋体" w:eastAsia="宋体" w:cs="宋体"/>
                <w:color w:val="auto"/>
                <w:spacing w:val="-6"/>
                <w:szCs w:val="21"/>
                <w:highlight w:val="none"/>
              </w:rPr>
              <w:t xml:space="preserve">单、不够详</w:t>
            </w:r>
            <w:r>
              <w:rPr>
                <w:rFonts w:hint="eastAsia" w:ascii="宋体" w:hAnsi="宋体" w:eastAsia="宋体" w:cs="宋体"/>
                <w:color w:val="auto"/>
                <w:spacing w:val="-3"/>
                <w:szCs w:val="21"/>
                <w:highlight w:val="none"/>
              </w:rPr>
              <w:t xml:space="preserve">细、合理性不高的得0.5分；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10</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8、</w:t>
            </w:r>
            <w:r>
              <w:rPr>
                <w:rFonts w:hint="eastAsia" w:ascii="宋体" w:hAnsi="宋体" w:eastAsia="宋体" w:cs="宋体"/>
                <w:b w:val="0"/>
                <w:bCs w:val="0"/>
                <w:color w:val="auto"/>
                <w:spacing w:val="-4"/>
                <w:highlight w:val="none"/>
              </w:rPr>
              <w:t xml:space="preserve">履</w:t>
            </w:r>
            <w:r>
              <w:rPr>
                <w:rFonts w:hint="eastAsia" w:ascii="宋体" w:hAnsi="宋体" w:eastAsia="宋体" w:cs="宋体"/>
                <w:b w:val="0"/>
                <w:bCs w:val="0"/>
                <w:color w:val="auto"/>
                <w:highlight w:val="none"/>
              </w:rPr>
              <w:t xml:space="preserve">约能力比较</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3分</w:t>
            </w:r>
            <w:r>
              <w:rPr>
                <w:rFonts w:hint="eastAsia" w:ascii="宋体" w:hAnsi="宋体" w:eastAsia="宋体" w:cs="宋体"/>
                <w:b w:val="0"/>
                <w:bCs w:val="0"/>
                <w:color w:val="auto"/>
                <w:highlight w:val="none"/>
                <w:lang w:eastAsia="zh-CN"/>
              </w:rPr>
              <w:t xml:space="preserve">）</w:t>
            </w:r>
            <w:r/>
          </w:p>
        </w:tc>
        <w:tc>
          <w:tcPr>
            <w:tcW w:w="7301" w:type="dxa"/>
            <w:textDirection w:val="lrTb"/>
            <w:noWrap w:val="false"/>
          </w:tcPr>
          <w:p>
            <w:pPr>
              <w:ind w:left="113" w:right="98" w:firstLine="2"/>
              <w:spacing w:before="7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投标单位具有有效期内的质量管理体系认证证书、环境管理体系认证证书、职业健康安全管理体系认证证书，每提供一个得1分，最高得3分。</w:t>
            </w:r>
            <w:r/>
          </w:p>
          <w:p>
            <w:pP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(注：</w:t>
            </w:r>
            <w:r>
              <w:rPr>
                <w:rFonts w:hint="eastAsia" w:ascii="宋体" w:hAnsi="宋体" w:eastAsia="宋体" w:cs="宋体"/>
                <w:b/>
                <w:color w:val="auto"/>
                <w:spacing w:val="-1"/>
                <w:szCs w:val="21"/>
                <w:highlight w:val="none"/>
              </w:rPr>
              <w:t xml:space="preserve">投标文件中须提供上述认证证书的扫描件，提供</w:t>
            </w:r>
            <w:r>
              <w:rPr>
                <w:rFonts w:hint="eastAsia" w:ascii="宋体" w:hAnsi="宋体" w:eastAsia="宋体" w:cs="宋体"/>
                <w:b/>
                <w:color w:val="auto"/>
                <w:szCs w:val="21"/>
                <w:highlight w:val="none"/>
              </w:rPr>
              <w:t xml:space="preserve">在中国国家</w:t>
            </w:r>
            <w:r>
              <w:rPr>
                <w:rFonts w:hint="eastAsia" w:ascii="宋体" w:hAnsi="宋体" w:eastAsia="宋体" w:cs="宋体"/>
                <w:b/>
                <w:color w:val="auto"/>
                <w:spacing w:val="-8"/>
                <w:szCs w:val="21"/>
                <w:highlight w:val="none"/>
              </w:rPr>
              <w:t xml:space="preserve">认</w:t>
            </w:r>
            <w:r>
              <w:rPr>
                <w:rFonts w:hint="eastAsia" w:ascii="宋体" w:hAnsi="宋体" w:eastAsia="宋体" w:cs="宋体"/>
                <w:b/>
                <w:color w:val="auto"/>
                <w:spacing w:val="-4"/>
                <w:szCs w:val="21"/>
                <w:highlight w:val="none"/>
              </w:rPr>
              <w:t xml:space="preserve">证认可监督管理委员会网站查询链接及完整的截图，链接及截图</w:t>
            </w:r>
            <w:r>
              <w:rPr>
                <w:rFonts w:hint="eastAsia" w:ascii="宋体" w:hAnsi="宋体" w:eastAsia="宋体" w:cs="宋体"/>
                <w:b/>
                <w:color w:val="auto"/>
                <w:szCs w:val="21"/>
                <w:highlight w:val="none"/>
              </w:rPr>
              <w:t xml:space="preserve">须清晰可辨，如模糊不清或不完整则不得分。</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w:t>
            </w:r>
            <w:r/>
          </w:p>
        </w:tc>
      </w:tr>
      <w:tr>
        <w:trPr>
          <w:jc w:val="center"/>
          <w:trHeight w:val="1267"/>
        </w:trPr>
        <w:tc>
          <w:tcPr>
            <w:tcW w:w="1113"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pacing w:val="-4"/>
                <w:highlight w:val="none"/>
                <w:lang w:val="en-US"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9、类似</w:t>
            </w:r>
            <w:r/>
          </w:p>
          <w:p>
            <w:pPr>
              <w:jc w:val="center"/>
              <w:rPr>
                <w:rFonts w:hint="default" w:ascii="宋体" w:hAnsi="宋体" w:eastAsia="宋体" w:cs="宋体"/>
                <w:b/>
                <w:bCs/>
                <w:color w:val="auto"/>
                <w:spacing w:val="-4"/>
                <w:highlight w:val="none"/>
                <w:lang w:val="en-US" w:eastAsia="zh-CN"/>
              </w:rPr>
            </w:pPr>
            <w:r>
              <w:rPr>
                <w:rFonts w:hint="eastAsia" w:ascii="宋体" w:hAnsi="宋体" w:eastAsia="宋体" w:cs="宋体"/>
                <w:b w:val="0"/>
                <w:bCs w:val="0"/>
                <w:color w:val="auto"/>
                <w:spacing w:val="-4"/>
                <w:highlight w:val="none"/>
                <w:lang w:val="en-US" w:eastAsia="zh-CN"/>
              </w:rPr>
              <w:t xml:space="preserve">业绩（4分）</w:t>
            </w:r>
            <w:r/>
          </w:p>
        </w:tc>
        <w:tc>
          <w:tcPr>
            <w:tcW w:w="7301" w:type="dxa"/>
            <w:textDirection w:val="lrTb"/>
            <w:noWrap w:val="false"/>
          </w:tcPr>
          <w:p>
            <w:pPr>
              <w:rPr>
                <w:rFonts w:hint="eastAsia" w:ascii="宋体" w:hAnsi="宋体" w:eastAsia="宋体" w:cs="宋体"/>
                <w:color w:val="auto"/>
                <w:spacing w:val="-1"/>
                <w:szCs w:val="21"/>
                <w:highlight w:val="none"/>
              </w:rPr>
            </w:pPr>
            <w:r>
              <w:rPr>
                <w:rFonts w:hint="eastAsia" w:cs="宋体" w:asciiTheme="minorEastAsia" w:hAnsiTheme="minorEastAsia" w:eastAsiaTheme="minorEastAsia"/>
                <w:color w:val="auto"/>
                <w:sz w:val="21"/>
                <w:szCs w:val="21"/>
                <w:highlight w:val="none"/>
              </w:rPr>
              <w:t xml:space="preserve">投标人近三年(202</w:t>
            </w:r>
            <w:r>
              <w:rPr>
                <w:rFonts w:hint="eastAsia" w:cs="宋体" w:asciiTheme="minorEastAsia" w:hAnsiTheme="minorEastAsia"/>
                <w:color w:val="auto"/>
                <w:sz w:val="21"/>
                <w:szCs w:val="21"/>
                <w:highlight w:val="none"/>
                <w:lang w:val="en-US" w:eastAsia="zh-CN"/>
              </w:rPr>
              <w:t xml:space="preserve">3</w:t>
            </w:r>
            <w:r>
              <w:rPr>
                <w:rFonts w:hint="eastAsia" w:cs="宋体" w:asciiTheme="minorEastAsia" w:hAnsiTheme="minorEastAsia" w:eastAsiaTheme="minorEastAsia"/>
                <w:color w:val="auto"/>
                <w:sz w:val="21"/>
                <w:szCs w:val="21"/>
                <w:highlight w:val="none"/>
              </w:rPr>
              <w:t xml:space="preserve">年</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月</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日)以来具有类似项目业绩</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提供合同</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及</w:t>
            </w:r>
            <w:r>
              <w:rPr>
                <w:rFonts w:hint="eastAsia" w:cs="宋体" w:asciiTheme="minorEastAsia" w:hAnsiTheme="minorEastAsia"/>
                <w:color w:val="auto"/>
                <w:sz w:val="21"/>
                <w:szCs w:val="21"/>
                <w:highlight w:val="none"/>
                <w:lang w:val="en-US" w:eastAsia="zh-CN"/>
              </w:rPr>
              <w:t xml:space="preserve">任一期</w:t>
            </w:r>
            <w:r>
              <w:rPr>
                <w:rFonts w:hint="eastAsia" w:cs="宋体" w:asciiTheme="minorEastAsia" w:hAnsiTheme="minorEastAsia" w:eastAsiaTheme="minorEastAsia"/>
                <w:color w:val="auto"/>
                <w:sz w:val="21"/>
                <w:szCs w:val="21"/>
                <w:highlight w:val="none"/>
              </w:rPr>
              <w:t xml:space="preserve">的销售发票</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，提供一个得</w:t>
            </w:r>
            <w:r>
              <w:rPr>
                <w:rFonts w:hint="eastAsia" w:cs="宋体" w:asciiTheme="minorEastAsia" w:hAnsi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color w:val="auto"/>
                <w:sz w:val="21"/>
                <w:szCs w:val="21"/>
                <w:highlight w:val="none"/>
                <w:lang w:val="en-US" w:eastAsia="zh-CN"/>
              </w:rPr>
              <w:t xml:space="preserve">本项最高得4</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eastAsiaTheme="minorEastAsia"/>
                <w:color w:val="auto"/>
                <w:sz w:val="21"/>
                <w:szCs w:val="21"/>
                <w:highlight w:val="none"/>
                <w:lang w:val="zh-CN"/>
              </w:rPr>
              <w:t xml:space="preserve">未提供不得分</w:t>
            </w:r>
            <w:r>
              <w:rPr>
                <w:rFonts w:hint="eastAsia" w:cs="宋体" w:asciiTheme="minorEastAsia" w:hAnsiTheme="minorEastAsia"/>
                <w:color w:val="auto"/>
                <w:sz w:val="21"/>
                <w:szCs w:val="21"/>
                <w:highlight w:val="none"/>
                <w:lang w:val="zh-CN"/>
              </w:rPr>
              <w:t xml:space="preserve">，</w:t>
            </w:r>
            <w:r>
              <w:rPr>
                <w:rFonts w:hint="eastAsia" w:cs="宋体" w:asciiTheme="minorEastAsia" w:hAnsiTheme="minorEastAsia"/>
                <w:color w:val="auto"/>
                <w:sz w:val="21"/>
                <w:szCs w:val="21"/>
                <w:highlight w:val="none"/>
                <w:lang w:val="en-US" w:eastAsia="zh-CN"/>
              </w:rPr>
              <w:t xml:space="preserve">时间以合同签订时间为准</w:t>
            </w:r>
            <w:r>
              <w:rPr>
                <w:rFonts w:hint="eastAsia" w:cs="宋体" w:asciiTheme="minorEastAsia" w:hAnsiTheme="minorEastAsia" w:eastAsiaTheme="minorEastAsia"/>
                <w:color w:val="auto"/>
                <w:sz w:val="21"/>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r>
    </w:tbl>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”项目为客观分。</w:t>
      </w:r>
      <w:r/>
    </w:p>
    <w:p>
      <w:pPr>
        <w:numPr>
          <w:ilvl w:val="0"/>
          <w:numId w:val="11"/>
        </w:num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针对评分标准中评分的每一条，投标单位在投标文件中均应提供相关资料并作出相应说明供评委评判，不提供相关资料，</w:t>
      </w:r>
      <w:r>
        <w:rPr>
          <w:rFonts w:hint="eastAsia" w:ascii="宋体" w:hAnsi="宋体" w:eastAsia="宋体" w:cs="宋体"/>
          <w:b/>
          <w:bCs/>
          <w:color w:val="auto"/>
          <w:sz w:val="24"/>
          <w:szCs w:val="24"/>
          <w:highlight w:val="none"/>
        </w:rPr>
        <w:t xml:space="preserve">提供的材料不全、不符、说明不清晰或不提供的,</w:t>
      </w:r>
      <w:r>
        <w:rPr>
          <w:rFonts w:hint="eastAsia" w:ascii="宋体" w:hAnsi="宋体" w:eastAsia="宋体" w:cs="宋体"/>
          <w:b/>
          <w:color w:val="auto"/>
          <w:sz w:val="24"/>
          <w:szCs w:val="24"/>
          <w:highlight w:val="none"/>
        </w:rPr>
        <w:t xml:space="preserve">视为不具备该项得分的条件。</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提供的各种证书、资质必须在有效期内，否则不得分。</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zh-CN"/>
        </w:rPr>
        <w:t xml:space="preserve">如有负偏离的不得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、针对小微企业、监狱企业及残疾人企业的评审：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
          <w:bCs w:val="0"/>
          <w:color w:val="auto"/>
          <w:sz w:val="24"/>
          <w:szCs w:val="24"/>
          <w:highlight w:val="none"/>
          <w:u w:val="single"/>
          <w:lang w:val="en-US" w:eastAsia="zh-CN"/>
        </w:rPr>
        <w:t xml:space="preserve">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残疾人福利性单位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监狱企业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绿色采购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1、本次采购产品中</w:t>
      </w:r>
      <w:r>
        <w:rPr>
          <w:rFonts w:hint="eastAsia" w:ascii="宋体" w:hAnsi="宋体" w:eastAsia="宋体" w:cs="宋体"/>
          <w:b/>
          <w:bCs/>
          <w:color w:val="auto"/>
          <w:sz w:val="24"/>
          <w:szCs w:val="24"/>
          <w:highlight w:val="none"/>
          <w:lang w:val="en-US" w:eastAsia="zh-CN"/>
        </w:rPr>
        <w:t xml:space="preserve">龙头（水嘴）、挂墙式电热水器</w:t>
      </w:r>
      <w:r>
        <w:rPr>
          <w:rFonts w:hint="eastAsia" w:ascii="宋体" w:hAnsi="宋体" w:eastAsia="宋体" w:cs="宋体"/>
          <w:color w:val="auto"/>
          <w:sz w:val="24"/>
          <w:szCs w:val="24"/>
          <w:highlight w:val="none"/>
          <w:lang w:val="en-US" w:eastAsia="zh-CN"/>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4"/>
          <w:szCs w:val="24"/>
          <w:highlight w:val="none"/>
          <w:lang w:val="en-US" w:eastAsia="zh-CN"/>
        </w:rPr>
        <w:t xml:space="preserve">否则视为未实质性响应。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2、本次采购产品中</w:t>
      </w:r>
      <w:r>
        <w:rPr>
          <w:rFonts w:hint="eastAsia" w:ascii="宋体" w:hAnsi="宋体" w:eastAsia="宋体" w:cs="宋体"/>
          <w:b/>
          <w:bCs/>
          <w:color w:val="auto"/>
          <w:sz w:val="24"/>
          <w:szCs w:val="24"/>
          <w:highlight w:val="none"/>
          <w:lang w:val="en-US" w:eastAsia="zh-CN"/>
        </w:rPr>
        <w:t xml:space="preserve"> 商用燃气灶具</w:t>
      </w:r>
      <w:r>
        <w:rPr>
          <w:rFonts w:hint="eastAsia" w:ascii="宋体" w:hAnsi="宋体" w:eastAsia="宋体" w:cs="宋体"/>
          <w:color w:val="auto"/>
          <w:sz w:val="24"/>
          <w:szCs w:val="24"/>
          <w:highlight w:val="none"/>
          <w:lang w:val="en-US" w:eastAsia="zh-CN"/>
        </w:rPr>
        <w:t xml:space="preserve"> 属于《节能产品政府采购品目清单》范围内优先采购的产品，本次采购产品中 </w:t>
      </w:r>
      <w:r>
        <w:rPr>
          <w:rFonts w:hint="eastAsia" w:ascii="宋体" w:hAnsi="宋体" w:eastAsia="宋体" w:cs="宋体"/>
          <w:b/>
          <w:bCs/>
          <w:color w:val="auto"/>
          <w:sz w:val="24"/>
          <w:szCs w:val="24"/>
          <w:highlight w:val="none"/>
          <w:lang w:val="en-US" w:eastAsia="zh-CN"/>
        </w:rPr>
        <w:t xml:space="preserve">龙头（水嘴）、水池、塑料制品</w:t>
      </w:r>
      <w:r>
        <w:rPr>
          <w:rFonts w:hint="eastAsia" w:ascii="宋体" w:hAnsi="宋体" w:eastAsia="宋体" w:cs="宋体"/>
          <w:color w:val="auto"/>
          <w:sz w:val="24"/>
          <w:szCs w:val="24"/>
          <w:highlight w:val="none"/>
          <w:lang w:val="en-US" w:eastAsia="zh-CN"/>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更多的响应单位优先中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5、实施本国产品标准及相关政策</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供应商需在《声明函》中逐一</w:t>
      </w:r>
      <w:r>
        <w:rPr>
          <w:rFonts w:hint="eastAsia" w:ascii="宋体" w:hAnsi="宋体" w:eastAsia="宋体" w:cs="宋体"/>
          <w:b w:val="0"/>
          <w:bCs w:val="0"/>
          <w:color w:val="auto"/>
          <w:sz w:val="24"/>
          <w:szCs w:val="24"/>
          <w:highlight w:val="none"/>
          <w:lang w:val="en-US" w:eastAsia="zh-CN"/>
        </w:rPr>
        <w:t xml:space="preserve">单列</w:t>
      </w:r>
      <w:r>
        <w:rPr>
          <w:rFonts w:hint="eastAsia" w:ascii="宋体" w:hAnsi="宋体" w:eastAsia="宋体" w:cs="宋体"/>
          <w:color w:val="auto"/>
          <w:sz w:val="24"/>
          <w:szCs w:val="24"/>
          <w:highlight w:val="none"/>
        </w:rPr>
        <w:t xml:space="preserve">、准确填写产品名称、厂名、生产厂址三项信息（《声明函》中用斜线划除的地方无需填写），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right="480"/>
        <w:jc w:val="right"/>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ind w:right="480"/>
        <w:jc w:val="right"/>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55"/>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55"/>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rFonts w:ascii="宋体" w:hAnsi="宋体" w:eastAsia="宋体"/>
      </w:rPr>
    </w:pPr>
    <w:r>
      <w:rPr>
        <w:rFonts w:hint="eastAsia" w:ascii="宋体" w:hAnsi="宋体" w:eastAsia="宋体"/>
      </w:rPr>
      <w:t xml:space="preserve">政府采购招标文件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24"/>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pStyle w:val="104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10"/>
  </w:num>
  <w:num w:numId="5">
    <w:abstractNumId w:val="0"/>
  </w:num>
  <w:num w:numId="6">
    <w:abstractNumId w:val="4"/>
  </w:num>
  <w:num w:numId="7">
    <w:abstractNumId w:val="6"/>
  </w:num>
  <w:num w:numId="8">
    <w:abstractNumId w:val="3"/>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32"/>
    <w:link w:val="926"/>
    <w:uiPriority w:val="9"/>
    <w:rPr>
      <w:rFonts w:ascii="Arial" w:hAnsi="Arial" w:eastAsia="Arial" w:cs="Arial"/>
      <w:sz w:val="40"/>
      <w:szCs w:val="40"/>
    </w:rPr>
  </w:style>
  <w:style w:type="character" w:styleId="775">
    <w:name w:val="Heading 2 Char"/>
    <w:basedOn w:val="932"/>
    <w:link w:val="927"/>
    <w:uiPriority w:val="9"/>
    <w:rPr>
      <w:rFonts w:ascii="Arial" w:hAnsi="Arial" w:eastAsia="Arial" w:cs="Arial"/>
      <w:sz w:val="34"/>
    </w:rPr>
  </w:style>
  <w:style w:type="character" w:styleId="776">
    <w:name w:val="Heading 3 Char"/>
    <w:basedOn w:val="932"/>
    <w:link w:val="928"/>
    <w:uiPriority w:val="9"/>
    <w:rPr>
      <w:rFonts w:ascii="Arial" w:hAnsi="Arial" w:eastAsia="Arial" w:cs="Arial"/>
      <w:sz w:val="30"/>
      <w:szCs w:val="30"/>
    </w:rPr>
  </w:style>
  <w:style w:type="character" w:styleId="777">
    <w:name w:val="Heading 4 Char"/>
    <w:basedOn w:val="932"/>
    <w:link w:val="929"/>
    <w:uiPriority w:val="9"/>
    <w:rPr>
      <w:rFonts w:ascii="Arial" w:hAnsi="Arial" w:eastAsia="Arial" w:cs="Arial"/>
      <w:b/>
      <w:bCs/>
      <w:sz w:val="26"/>
      <w:szCs w:val="26"/>
    </w:rPr>
  </w:style>
  <w:style w:type="character" w:styleId="778">
    <w:name w:val="Heading 5 Char"/>
    <w:basedOn w:val="932"/>
    <w:link w:val="930"/>
    <w:uiPriority w:val="9"/>
    <w:rPr>
      <w:rFonts w:ascii="Arial" w:hAnsi="Arial" w:eastAsia="Arial" w:cs="Arial"/>
      <w:b/>
      <w:bCs/>
      <w:sz w:val="24"/>
      <w:szCs w:val="24"/>
    </w:rPr>
  </w:style>
  <w:style w:type="character" w:styleId="779">
    <w:name w:val="Heading 6 Char"/>
    <w:basedOn w:val="932"/>
    <w:link w:val="931"/>
    <w:uiPriority w:val="9"/>
    <w:rPr>
      <w:rFonts w:ascii="Arial" w:hAnsi="Arial" w:eastAsia="Arial" w:cs="Arial"/>
      <w:b/>
      <w:bCs/>
      <w:sz w:val="22"/>
      <w:szCs w:val="22"/>
    </w:rPr>
  </w:style>
  <w:style w:type="paragraph" w:styleId="780">
    <w:name w:val="Heading 7"/>
    <w:basedOn w:val="925"/>
    <w:next w:val="92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32"/>
    <w:link w:val="780"/>
    <w:uiPriority w:val="9"/>
    <w:rPr>
      <w:rFonts w:ascii="Arial" w:hAnsi="Arial" w:eastAsia="Arial" w:cs="Arial"/>
      <w:b/>
      <w:bCs/>
      <w:i/>
      <w:iCs/>
      <w:sz w:val="22"/>
      <w:szCs w:val="22"/>
    </w:rPr>
  </w:style>
  <w:style w:type="paragraph" w:styleId="782">
    <w:name w:val="Heading 8"/>
    <w:basedOn w:val="925"/>
    <w:next w:val="92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32"/>
    <w:link w:val="782"/>
    <w:uiPriority w:val="9"/>
    <w:rPr>
      <w:rFonts w:ascii="Arial" w:hAnsi="Arial" w:eastAsia="Arial" w:cs="Arial"/>
      <w:i/>
      <w:iCs/>
      <w:sz w:val="22"/>
      <w:szCs w:val="22"/>
    </w:rPr>
  </w:style>
  <w:style w:type="paragraph" w:styleId="784">
    <w:name w:val="Heading 9"/>
    <w:basedOn w:val="925"/>
    <w:next w:val="92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32"/>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character" w:styleId="787">
    <w:name w:val="Title Char"/>
    <w:basedOn w:val="932"/>
    <w:link w:val="972"/>
    <w:uiPriority w:val="10"/>
    <w:rPr>
      <w:sz w:val="48"/>
      <w:szCs w:val="48"/>
    </w:rPr>
  </w:style>
  <w:style w:type="character" w:styleId="788">
    <w:name w:val="Subtitle Char"/>
    <w:basedOn w:val="932"/>
    <w:link w:val="961"/>
    <w:uiPriority w:val="11"/>
    <w:rPr>
      <w:sz w:val="24"/>
      <w:szCs w:val="24"/>
    </w:rPr>
  </w:style>
  <w:style w:type="paragraph" w:styleId="789">
    <w:name w:val="Quote"/>
    <w:basedOn w:val="925"/>
    <w:next w:val="925"/>
    <w:link w:val="790"/>
    <w:uiPriority w:val="29"/>
    <w:qFormat/>
    <w:pPr>
      <w:ind w:left="720" w:right="720"/>
    </w:pPr>
    <w:rPr>
      <w:i/>
    </w:rPr>
  </w:style>
  <w:style w:type="character" w:styleId="790">
    <w:name w:val="Quote Char"/>
    <w:link w:val="789"/>
    <w:uiPriority w:val="29"/>
    <w:rPr>
      <w:i/>
    </w:rPr>
  </w:style>
  <w:style w:type="paragraph" w:styleId="791">
    <w:name w:val="Intense Quote"/>
    <w:basedOn w:val="925"/>
    <w:next w:val="925"/>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32"/>
    <w:link w:val="956"/>
    <w:uiPriority w:val="99"/>
  </w:style>
  <w:style w:type="character" w:styleId="794">
    <w:name w:val="Footer Char"/>
    <w:basedOn w:val="932"/>
    <w:link w:val="955"/>
    <w:uiPriority w:val="99"/>
  </w:style>
  <w:style w:type="paragraph" w:styleId="795">
    <w:name w:val="Caption"/>
    <w:basedOn w:val="925"/>
    <w:next w:val="925"/>
    <w:uiPriority w:val="35"/>
    <w:semiHidden/>
    <w:unhideWhenUsed/>
    <w:qFormat/>
    <w:pPr>
      <w:spacing w:line="276" w:lineRule="auto"/>
    </w:pPr>
    <w:rPr>
      <w:b/>
      <w:bCs/>
      <w:color w:val="4f81bd" w:themeColor="accent1"/>
      <w:sz w:val="18"/>
      <w:szCs w:val="18"/>
    </w:rPr>
  </w:style>
  <w:style w:type="character" w:styleId="796">
    <w:name w:val="Caption Char"/>
    <w:basedOn w:val="795"/>
    <w:link w:val="955"/>
    <w:uiPriority w:val="99"/>
  </w:style>
  <w:style w:type="table" w:styleId="797">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Footnote Text Char"/>
    <w:link w:val="962"/>
    <w:uiPriority w:val="99"/>
    <w:rPr>
      <w:sz w:val="18"/>
    </w:rPr>
  </w:style>
  <w:style w:type="character" w:styleId="923">
    <w:name w:val="Endnote Text Char"/>
    <w:link w:val="953"/>
    <w:uiPriority w:val="99"/>
    <w:rPr>
      <w:sz w:val="20"/>
    </w:rPr>
  </w:style>
  <w:style w:type="paragraph" w:styleId="924">
    <w:name w:val="TOC Heading"/>
    <w:uiPriority w:val="39"/>
    <w:unhideWhenUsed/>
  </w:style>
  <w:style w:type="paragraph" w:styleId="9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26">
    <w:name w:val="Heading 1"/>
    <w:basedOn w:val="925"/>
    <w:next w:val="925"/>
    <w:link w:val="986"/>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27">
    <w:name w:val="Heading 2"/>
    <w:basedOn w:val="925"/>
    <w:next w:val="925"/>
    <w:link w:val="987"/>
    <w:uiPriority w:val="0"/>
    <w:qFormat/>
    <w:pPr>
      <w:jc w:val="left"/>
      <w:keepLines/>
      <w:keepNext/>
      <w:outlineLvl w:val="1"/>
    </w:pPr>
    <w:rPr>
      <w:rFonts w:ascii="宋体" w:hAnsi="宋体" w:eastAsia="楷体_GB2312" w:cs="Times New Roman"/>
      <w:b/>
      <w:sz w:val="26"/>
      <w:szCs w:val="20"/>
    </w:rPr>
  </w:style>
  <w:style w:type="paragraph" w:styleId="928">
    <w:name w:val="Heading 3"/>
    <w:basedOn w:val="925"/>
    <w:next w:val="925"/>
    <w:link w:val="988"/>
    <w:uiPriority w:val="0"/>
    <w:qFormat/>
    <w:pPr>
      <w:jc w:val="left"/>
      <w:keepLines/>
      <w:keepNext/>
      <w:outlineLvl w:val="2"/>
    </w:pPr>
    <w:rPr>
      <w:rFonts w:ascii="Calibri" w:hAnsi="Calibri" w:eastAsia="楷体_GB2312" w:cs="Times New Roman"/>
      <w:b/>
      <w:sz w:val="26"/>
      <w:szCs w:val="20"/>
    </w:rPr>
  </w:style>
  <w:style w:type="paragraph" w:styleId="929">
    <w:name w:val="Heading 4"/>
    <w:basedOn w:val="925"/>
    <w:next w:val="925"/>
    <w:link w:val="989"/>
    <w:uiPriority w:val="0"/>
    <w:qFormat/>
    <w:pPr>
      <w:keepLines/>
      <w:keepNext/>
      <w:spacing w:before="280" w:after="290" w:line="376" w:lineRule="auto"/>
      <w:outlineLvl w:val="3"/>
    </w:pPr>
    <w:rPr>
      <w:rFonts w:ascii="Arial" w:hAnsi="Arial" w:eastAsia="黑体" w:cs="Times New Roman"/>
      <w:b/>
      <w:bCs/>
      <w:sz w:val="28"/>
      <w:szCs w:val="28"/>
    </w:rPr>
  </w:style>
  <w:style w:type="paragraph" w:styleId="930">
    <w:name w:val="Heading 5"/>
    <w:basedOn w:val="925"/>
    <w:next w:val="925"/>
    <w:link w:val="990"/>
    <w:uiPriority w:val="0"/>
    <w:qFormat/>
    <w:pPr>
      <w:keepNext/>
      <w:outlineLvl w:val="4"/>
    </w:pPr>
    <w:rPr>
      <w:rFonts w:ascii="宋体" w:hAnsi="宋体" w:eastAsia="宋体" w:cs="Times New Roman"/>
      <w:color w:val="000000"/>
      <w:sz w:val="28"/>
      <w:szCs w:val="20"/>
    </w:rPr>
  </w:style>
  <w:style w:type="paragraph" w:styleId="931">
    <w:name w:val="Heading 6"/>
    <w:basedOn w:val="925"/>
    <w:next w:val="925"/>
    <w:link w:val="991"/>
    <w:uiPriority w:val="0"/>
    <w:qFormat/>
    <w:pPr>
      <w:keepNext/>
      <w:outlineLvl w:val="5"/>
    </w:pPr>
    <w:rPr>
      <w:rFonts w:ascii="宋体" w:hAnsi="宋体" w:eastAsia="宋体" w:cs="Times New Roman"/>
      <w:sz w:val="28"/>
      <w:szCs w:val="20"/>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5"/>
    <w:next w:val="925"/>
    <w:uiPriority w:val="0"/>
    <w:qFormat/>
    <w:pPr>
      <w:ind w:left="2520"/>
    </w:pPr>
    <w:rPr>
      <w:rFonts w:ascii="Calibri" w:hAnsi="Calibri" w:eastAsia="楷体_GB2312" w:cs="Times New Roman"/>
      <w:sz w:val="26"/>
      <w:szCs w:val="20"/>
    </w:rPr>
  </w:style>
  <w:style w:type="paragraph" w:styleId="935">
    <w:name w:val="index 8"/>
    <w:basedOn w:val="925"/>
    <w:next w:val="925"/>
    <w:uiPriority w:val="0"/>
    <w:qFormat/>
    <w:pPr>
      <w:ind w:left="2940"/>
    </w:pPr>
    <w:rPr>
      <w:rFonts w:ascii="Calibri" w:hAnsi="Calibri" w:eastAsia="楷体_GB2312" w:cs="Times New Roman"/>
      <w:sz w:val="26"/>
      <w:szCs w:val="20"/>
    </w:rPr>
  </w:style>
  <w:style w:type="paragraph" w:styleId="936">
    <w:name w:val="Normal Indent"/>
    <w:basedOn w:val="925"/>
    <w:next w:val="925"/>
    <w:link w:val="992"/>
    <w:uiPriority w:val="0"/>
    <w:qFormat/>
    <w:pPr>
      <w:ind w:firstLine="420"/>
      <w:jc w:val="left"/>
    </w:pPr>
    <w:rPr>
      <w:rFonts w:ascii="Calibri" w:hAnsi="Calibri" w:eastAsia="楷体_GB2312" w:cs="Times New Roman"/>
      <w:sz w:val="24"/>
      <w:szCs w:val="20"/>
    </w:rPr>
  </w:style>
  <w:style w:type="paragraph" w:styleId="937">
    <w:name w:val="index 5"/>
    <w:basedOn w:val="925"/>
    <w:next w:val="925"/>
    <w:uiPriority w:val="0"/>
    <w:qFormat/>
    <w:pPr>
      <w:ind w:left="1680"/>
    </w:pPr>
    <w:rPr>
      <w:rFonts w:ascii="Calibri" w:hAnsi="Calibri" w:eastAsia="楷体_GB2312" w:cs="Times New Roman"/>
      <w:sz w:val="26"/>
      <w:szCs w:val="20"/>
    </w:rPr>
  </w:style>
  <w:style w:type="paragraph" w:styleId="938">
    <w:name w:val="Document Map"/>
    <w:basedOn w:val="925"/>
    <w:link w:val="993"/>
    <w:uiPriority w:val="0"/>
    <w:qFormat/>
    <w:pPr>
      <w:shd w:val="clear" w:color="auto" w:fill="000080"/>
    </w:pPr>
    <w:rPr>
      <w:rFonts w:ascii="Calibri" w:hAnsi="Calibri" w:eastAsia="楷体_GB2312" w:cs="Times New Roman"/>
      <w:sz w:val="26"/>
      <w:szCs w:val="20"/>
    </w:rPr>
  </w:style>
  <w:style w:type="paragraph" w:styleId="939">
    <w:name w:val="annotation text"/>
    <w:basedOn w:val="925"/>
    <w:link w:val="994"/>
    <w:uiPriority w:val="0"/>
    <w:qFormat/>
    <w:pPr>
      <w:jc w:val="left"/>
    </w:pPr>
    <w:rPr>
      <w:rFonts w:ascii="Calibri" w:hAnsi="Calibri" w:eastAsia="楷体_GB2312" w:cs="Times New Roman"/>
      <w:sz w:val="26"/>
      <w:szCs w:val="20"/>
    </w:rPr>
  </w:style>
  <w:style w:type="paragraph" w:styleId="940">
    <w:name w:val="index 6"/>
    <w:basedOn w:val="925"/>
    <w:next w:val="925"/>
    <w:uiPriority w:val="0"/>
    <w:qFormat/>
    <w:pPr>
      <w:ind w:left="2100"/>
    </w:pPr>
    <w:rPr>
      <w:rFonts w:ascii="Calibri" w:hAnsi="Calibri" w:eastAsia="楷体_GB2312" w:cs="Times New Roman"/>
      <w:sz w:val="26"/>
      <w:szCs w:val="20"/>
    </w:rPr>
  </w:style>
  <w:style w:type="paragraph" w:styleId="941">
    <w:name w:val="Body Text"/>
    <w:basedOn w:val="925"/>
    <w:next w:val="942"/>
    <w:link w:val="995"/>
    <w:uiPriority w:val="0"/>
    <w:qFormat/>
    <w:pPr>
      <w:spacing w:line="400" w:lineRule="exact"/>
    </w:pPr>
    <w:rPr>
      <w:rFonts w:ascii="楷体_GB2312" w:hAnsi="Calibri" w:eastAsia="楷体_GB2312" w:cs="Times New Roman"/>
      <w:sz w:val="28"/>
      <w:szCs w:val="20"/>
    </w:rPr>
  </w:style>
  <w:style w:type="paragraph" w:styleId="942">
    <w:name w:val="toc 2"/>
    <w:basedOn w:val="925"/>
    <w:next w:val="925"/>
    <w:uiPriority w:val="0"/>
    <w:qFormat/>
    <w:pPr>
      <w:ind w:left="420"/>
    </w:pPr>
    <w:rPr>
      <w:rFonts w:ascii="Calibri" w:hAnsi="Calibri" w:eastAsia="楷体_GB2312" w:cs="Times New Roman"/>
      <w:sz w:val="26"/>
      <w:szCs w:val="20"/>
    </w:rPr>
  </w:style>
  <w:style w:type="paragraph" w:styleId="943">
    <w:name w:val="Body Text Indent"/>
    <w:basedOn w:val="925"/>
    <w:next w:val="925"/>
    <w:link w:val="996"/>
    <w:uiPriority w:val="99"/>
    <w:qFormat/>
    <w:pPr>
      <w:ind w:left="570"/>
      <w:spacing w:line="520" w:lineRule="exact"/>
    </w:pPr>
    <w:rPr>
      <w:rFonts w:ascii="方正仿宋简体" w:hAnsi="创艺简仿宋" w:eastAsia="方正仿宋简体" w:cs="Times New Roman"/>
      <w:sz w:val="24"/>
      <w:szCs w:val="20"/>
    </w:rPr>
  </w:style>
  <w:style w:type="paragraph" w:styleId="944">
    <w:name w:val="Block Text"/>
    <w:basedOn w:val="925"/>
    <w:next w:val="925"/>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45">
    <w:name w:val="index 4"/>
    <w:basedOn w:val="925"/>
    <w:next w:val="925"/>
    <w:uiPriority w:val="0"/>
    <w:qFormat/>
    <w:pPr>
      <w:ind w:left="1260"/>
    </w:pPr>
    <w:rPr>
      <w:rFonts w:ascii="Calibri" w:hAnsi="Calibri" w:eastAsia="楷体_GB2312" w:cs="Times New Roman"/>
      <w:sz w:val="26"/>
      <w:szCs w:val="20"/>
    </w:rPr>
  </w:style>
  <w:style w:type="paragraph" w:styleId="946">
    <w:name w:val="toc 5"/>
    <w:basedOn w:val="925"/>
    <w:next w:val="925"/>
    <w:uiPriority w:val="0"/>
    <w:qFormat/>
    <w:pPr>
      <w:ind w:left="1680"/>
    </w:pPr>
    <w:rPr>
      <w:rFonts w:ascii="Calibri" w:hAnsi="Calibri" w:eastAsia="楷体_GB2312" w:cs="Times New Roman"/>
      <w:sz w:val="26"/>
      <w:szCs w:val="20"/>
    </w:rPr>
  </w:style>
  <w:style w:type="paragraph" w:styleId="947">
    <w:name w:val="toc 3"/>
    <w:basedOn w:val="925"/>
    <w:next w:val="925"/>
    <w:uiPriority w:val="0"/>
    <w:qFormat/>
    <w:pPr>
      <w:ind w:left="840"/>
    </w:pPr>
    <w:rPr>
      <w:rFonts w:ascii="Calibri" w:hAnsi="Calibri" w:eastAsia="楷体_GB2312" w:cs="Times New Roman"/>
      <w:sz w:val="26"/>
      <w:szCs w:val="20"/>
    </w:rPr>
  </w:style>
  <w:style w:type="paragraph" w:styleId="948">
    <w:name w:val="Plain Text"/>
    <w:basedOn w:val="925"/>
    <w:link w:val="997"/>
    <w:uiPriority w:val="0"/>
    <w:qFormat/>
    <w:rPr>
      <w:rFonts w:ascii="宋体" w:hAnsi="Courier New" w:eastAsia="楷体_GB2312" w:cs="Times New Roman"/>
      <w:sz w:val="26"/>
      <w:szCs w:val="20"/>
    </w:rPr>
  </w:style>
  <w:style w:type="paragraph" w:styleId="949">
    <w:name w:val="toc 8"/>
    <w:basedOn w:val="925"/>
    <w:next w:val="925"/>
    <w:uiPriority w:val="0"/>
    <w:qFormat/>
    <w:pPr>
      <w:ind w:left="2940"/>
    </w:pPr>
    <w:rPr>
      <w:rFonts w:ascii="Calibri" w:hAnsi="Calibri" w:eastAsia="楷体_GB2312" w:cs="Times New Roman"/>
      <w:sz w:val="26"/>
      <w:szCs w:val="20"/>
    </w:rPr>
  </w:style>
  <w:style w:type="paragraph" w:styleId="950">
    <w:name w:val="index 3"/>
    <w:basedOn w:val="925"/>
    <w:next w:val="925"/>
    <w:uiPriority w:val="0"/>
    <w:qFormat/>
    <w:pPr>
      <w:ind w:left="840"/>
    </w:pPr>
    <w:rPr>
      <w:rFonts w:ascii="Calibri" w:hAnsi="Calibri" w:eastAsia="楷体_GB2312" w:cs="Times New Roman"/>
      <w:sz w:val="26"/>
      <w:szCs w:val="20"/>
    </w:rPr>
  </w:style>
  <w:style w:type="paragraph" w:styleId="951">
    <w:name w:val="Date"/>
    <w:basedOn w:val="925"/>
    <w:next w:val="925"/>
    <w:link w:val="998"/>
    <w:uiPriority w:val="0"/>
    <w:qFormat/>
    <w:rPr>
      <w:rFonts w:ascii="宋体" w:hAnsi="宋体" w:eastAsia="楷体_GB2312" w:cs="Times New Roman"/>
      <w:sz w:val="24"/>
      <w:szCs w:val="20"/>
    </w:rPr>
  </w:style>
  <w:style w:type="paragraph" w:styleId="952">
    <w:name w:val="Body Text Indent 2"/>
    <w:basedOn w:val="925"/>
    <w:link w:val="999"/>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53">
    <w:name w:val="endnote text"/>
    <w:basedOn w:val="925"/>
    <w:link w:val="1000"/>
    <w:uiPriority w:val="0"/>
    <w:qFormat/>
    <w:pPr>
      <w:jc w:val="left"/>
    </w:pPr>
    <w:rPr>
      <w:rFonts w:ascii="Calibri" w:hAnsi="Calibri" w:eastAsia="楷体_GB2312" w:cs="Times New Roman"/>
      <w:sz w:val="26"/>
      <w:szCs w:val="20"/>
    </w:rPr>
  </w:style>
  <w:style w:type="paragraph" w:styleId="954">
    <w:name w:val="Balloon Text"/>
    <w:basedOn w:val="925"/>
    <w:link w:val="1001"/>
    <w:uiPriority w:val="99"/>
    <w:qFormat/>
    <w:rPr>
      <w:rFonts w:ascii="Calibri" w:hAnsi="Calibri" w:eastAsia="楷体_GB2312" w:cs="Times New Roman"/>
      <w:sz w:val="18"/>
      <w:szCs w:val="18"/>
    </w:rPr>
  </w:style>
  <w:style w:type="paragraph" w:styleId="955">
    <w:name w:val="Footer"/>
    <w:basedOn w:val="925"/>
    <w:link w:val="1002"/>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56">
    <w:name w:val="Header"/>
    <w:basedOn w:val="925"/>
    <w:link w:val="1003"/>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57">
    <w:name w:val="toc 1"/>
    <w:basedOn w:val="925"/>
    <w:next w:val="925"/>
    <w:uiPriority w:val="39"/>
    <w:qFormat/>
    <w:pPr>
      <w:jc w:val="left"/>
    </w:pPr>
    <w:rPr>
      <w:rFonts w:ascii="Calibri" w:hAnsi="Calibri" w:eastAsia="楷体_GB2312" w:cs="Times New Roman"/>
      <w:sz w:val="24"/>
      <w:szCs w:val="20"/>
    </w:rPr>
  </w:style>
  <w:style w:type="paragraph" w:styleId="958">
    <w:name w:val="toc 4"/>
    <w:basedOn w:val="925"/>
    <w:next w:val="925"/>
    <w:uiPriority w:val="0"/>
    <w:qFormat/>
    <w:pPr>
      <w:ind w:left="1260"/>
    </w:pPr>
    <w:rPr>
      <w:rFonts w:ascii="Calibri" w:hAnsi="Calibri" w:eastAsia="楷体_GB2312" w:cs="Times New Roman"/>
      <w:sz w:val="26"/>
      <w:szCs w:val="20"/>
    </w:rPr>
  </w:style>
  <w:style w:type="paragraph" w:styleId="959">
    <w:name w:val="index heading"/>
    <w:basedOn w:val="925"/>
    <w:next w:val="960"/>
    <w:uiPriority w:val="0"/>
    <w:qFormat/>
    <w:rPr>
      <w:rFonts w:ascii="Calibri" w:hAnsi="Calibri" w:eastAsia="楷体_GB2312" w:cs="Times New Roman"/>
      <w:sz w:val="26"/>
      <w:szCs w:val="20"/>
    </w:rPr>
  </w:style>
  <w:style w:type="paragraph" w:styleId="960">
    <w:name w:val="index 1"/>
    <w:basedOn w:val="925"/>
    <w:next w:val="925"/>
    <w:uiPriority w:val="0"/>
    <w:unhideWhenUsed/>
    <w:qFormat/>
  </w:style>
  <w:style w:type="paragraph" w:styleId="961">
    <w:name w:val="Subtitle"/>
    <w:basedOn w:val="925"/>
    <w:next w:val="925"/>
    <w:link w:val="1004"/>
    <w:uiPriority w:val="0"/>
    <w:qFormat/>
    <w:pPr>
      <w:jc w:val="left"/>
      <w:spacing w:before="120"/>
      <w:outlineLvl w:val="1"/>
    </w:pPr>
    <w:rPr>
      <w:rFonts w:ascii="Cambria" w:hAnsi="Cambria" w:eastAsia="宋体" w:cs="Times New Roman"/>
      <w:b/>
      <w:bCs/>
      <w:sz w:val="24"/>
      <w:szCs w:val="32"/>
    </w:rPr>
  </w:style>
  <w:style w:type="paragraph" w:styleId="962">
    <w:name w:val="footnote text"/>
    <w:basedOn w:val="925"/>
    <w:link w:val="1005"/>
    <w:uiPriority w:val="0"/>
    <w:qFormat/>
    <w:pPr>
      <w:jc w:val="left"/>
    </w:pPr>
    <w:rPr>
      <w:rFonts w:ascii="Calibri" w:hAnsi="Calibri" w:eastAsia="楷体_GB2312" w:cs="Times New Roman"/>
      <w:sz w:val="18"/>
      <w:szCs w:val="20"/>
    </w:rPr>
  </w:style>
  <w:style w:type="paragraph" w:styleId="963">
    <w:name w:val="toc 6"/>
    <w:basedOn w:val="925"/>
    <w:next w:val="925"/>
    <w:uiPriority w:val="0"/>
    <w:qFormat/>
    <w:pPr>
      <w:ind w:left="2100"/>
    </w:pPr>
    <w:rPr>
      <w:rFonts w:ascii="Calibri" w:hAnsi="Calibri" w:eastAsia="楷体_GB2312" w:cs="Times New Roman"/>
      <w:sz w:val="26"/>
      <w:szCs w:val="20"/>
    </w:rPr>
  </w:style>
  <w:style w:type="paragraph" w:styleId="964">
    <w:name w:val="Body Text Indent 3"/>
    <w:basedOn w:val="925"/>
    <w:link w:val="1006"/>
    <w:uiPriority w:val="0"/>
    <w:qFormat/>
    <w:pPr>
      <w:ind w:firstLine="617"/>
      <w:spacing w:line="360" w:lineRule="auto"/>
    </w:pPr>
    <w:rPr>
      <w:rFonts w:ascii="Calibri" w:hAnsi="Calibri" w:eastAsia="宋体" w:cs="Times New Roman"/>
      <w:sz w:val="24"/>
      <w:szCs w:val="24"/>
    </w:rPr>
  </w:style>
  <w:style w:type="paragraph" w:styleId="965">
    <w:name w:val="index 7"/>
    <w:basedOn w:val="925"/>
    <w:next w:val="925"/>
    <w:uiPriority w:val="0"/>
    <w:qFormat/>
    <w:pPr>
      <w:ind w:left="2520"/>
    </w:pPr>
    <w:rPr>
      <w:rFonts w:ascii="Calibri" w:hAnsi="Calibri" w:eastAsia="楷体_GB2312" w:cs="Times New Roman"/>
      <w:sz w:val="26"/>
      <w:szCs w:val="20"/>
    </w:rPr>
  </w:style>
  <w:style w:type="paragraph" w:styleId="966">
    <w:name w:val="index 9"/>
    <w:basedOn w:val="925"/>
    <w:next w:val="925"/>
    <w:uiPriority w:val="0"/>
    <w:qFormat/>
    <w:pPr>
      <w:ind w:left="3360"/>
    </w:pPr>
    <w:rPr>
      <w:rFonts w:ascii="Calibri" w:hAnsi="Calibri" w:eastAsia="楷体_GB2312" w:cs="Times New Roman"/>
      <w:sz w:val="26"/>
      <w:szCs w:val="20"/>
    </w:rPr>
  </w:style>
  <w:style w:type="paragraph" w:styleId="967">
    <w:name w:val="table of figures"/>
    <w:basedOn w:val="925"/>
    <w:next w:val="925"/>
    <w:uiPriority w:val="0"/>
    <w:qFormat/>
    <w:pPr>
      <w:ind w:left="420" w:hanging="420"/>
      <w:jc w:val="left"/>
    </w:pPr>
    <w:rPr>
      <w:rFonts w:ascii="Calibri" w:hAnsi="Calibri" w:eastAsia="楷体_GB2312" w:cs="Times New Roman"/>
      <w:smallCaps/>
      <w:sz w:val="24"/>
      <w:szCs w:val="20"/>
    </w:rPr>
  </w:style>
  <w:style w:type="paragraph" w:styleId="968">
    <w:name w:val="toc 9"/>
    <w:basedOn w:val="925"/>
    <w:next w:val="925"/>
    <w:uiPriority w:val="0"/>
    <w:qFormat/>
    <w:pPr>
      <w:ind w:left="3360"/>
    </w:pPr>
    <w:rPr>
      <w:rFonts w:ascii="Calibri" w:hAnsi="Calibri" w:eastAsia="楷体_GB2312" w:cs="Times New Roman"/>
      <w:sz w:val="26"/>
      <w:szCs w:val="20"/>
    </w:rPr>
  </w:style>
  <w:style w:type="paragraph" w:styleId="969">
    <w:name w:val="HTML Preformatted"/>
    <w:basedOn w:val="925"/>
    <w:link w:val="10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0">
    <w:name w:val="Normal (Web)"/>
    <w:basedOn w:val="925"/>
    <w:uiPriority w:val="99"/>
    <w:qFormat/>
    <w:pPr>
      <w:jc w:val="left"/>
      <w:spacing w:before="100" w:beforeAutospacing="1" w:after="100" w:afterAutospacing="1"/>
    </w:pPr>
    <w:rPr>
      <w:rFonts w:ascii="Calibri" w:hAnsi="Calibri" w:eastAsia="楷体_GB2312" w:cs="Times New Roman"/>
      <w:sz w:val="24"/>
    </w:rPr>
  </w:style>
  <w:style w:type="paragraph" w:styleId="971">
    <w:name w:val="index 2"/>
    <w:basedOn w:val="925"/>
    <w:next w:val="925"/>
    <w:uiPriority w:val="0"/>
    <w:qFormat/>
    <w:pPr>
      <w:ind w:left="420"/>
    </w:pPr>
    <w:rPr>
      <w:rFonts w:ascii="Calibri" w:hAnsi="Calibri" w:eastAsia="楷体_GB2312" w:cs="Times New Roman"/>
      <w:sz w:val="26"/>
      <w:szCs w:val="20"/>
    </w:rPr>
  </w:style>
  <w:style w:type="paragraph" w:styleId="972">
    <w:name w:val="Title"/>
    <w:basedOn w:val="925"/>
    <w:next w:val="925"/>
    <w:link w:val="1008"/>
    <w:uiPriority w:val="0"/>
    <w:qFormat/>
    <w:pPr>
      <w:jc w:val="center"/>
      <w:spacing w:before="240" w:after="60"/>
      <w:outlineLvl w:val="0"/>
    </w:pPr>
    <w:rPr>
      <w:rFonts w:ascii="Cambria" w:hAnsi="Cambria" w:eastAsia="宋体" w:cs="Times New Roman"/>
      <w:b/>
      <w:bCs/>
      <w:sz w:val="32"/>
      <w:szCs w:val="32"/>
    </w:rPr>
  </w:style>
  <w:style w:type="paragraph" w:styleId="973">
    <w:name w:val="annotation subject"/>
    <w:basedOn w:val="939"/>
    <w:next w:val="939"/>
    <w:link w:val="1009"/>
    <w:uiPriority w:val="99"/>
    <w:qFormat/>
    <w:rPr>
      <w:b/>
      <w:bCs/>
    </w:rPr>
  </w:style>
  <w:style w:type="paragraph" w:styleId="974">
    <w:name w:val="Body Text First Indent 2"/>
    <w:basedOn w:val="943"/>
    <w:link w:val="1010"/>
    <w:uiPriority w:val="0"/>
    <w:qFormat/>
    <w:pPr>
      <w:ind w:left="420" w:firstLine="420"/>
      <w:spacing w:after="120" w:line="240" w:lineRule="auto"/>
    </w:pPr>
    <w:rPr>
      <w:rFonts w:ascii="Calibri" w:hAnsi="Calibri" w:eastAsia="楷体_GB2312"/>
      <w:sz w:val="26"/>
    </w:rPr>
  </w:style>
  <w:style w:type="table" w:styleId="975">
    <w:name w:val="Table Grid"/>
    <w:basedOn w:val="9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name w:val="Strong"/>
    <w:basedOn w:val="932"/>
    <w:uiPriority w:val="0"/>
    <w:qFormat/>
    <w:rPr>
      <w:b/>
    </w:rPr>
  </w:style>
  <w:style w:type="character" w:styleId="977">
    <w:name w:val="endnote reference"/>
    <w:uiPriority w:val="0"/>
    <w:qFormat/>
    <w:rPr>
      <w:vertAlign w:val="superscript"/>
    </w:rPr>
  </w:style>
  <w:style w:type="character" w:styleId="978">
    <w:name w:val="page number"/>
    <w:basedOn w:val="932"/>
    <w:uiPriority w:val="0"/>
    <w:qFormat/>
  </w:style>
  <w:style w:type="character" w:styleId="979">
    <w:name w:val="FollowedHyperlink"/>
    <w:uiPriority w:val="99"/>
    <w:unhideWhenUsed/>
    <w:qFormat/>
    <w:rPr>
      <w:color w:val="800080"/>
      <w:u w:val="single"/>
    </w:rPr>
  </w:style>
  <w:style w:type="character" w:styleId="980">
    <w:name w:val="Hyperlink"/>
    <w:basedOn w:val="932"/>
    <w:uiPriority w:val="0"/>
    <w:unhideWhenUsed/>
    <w:qFormat/>
    <w:rPr>
      <w:color w:val="0000ff"/>
      <w:u w:val="single"/>
    </w:rPr>
  </w:style>
  <w:style w:type="character" w:styleId="981">
    <w:name w:val="annotation reference"/>
    <w:uiPriority w:val="99"/>
    <w:qFormat/>
    <w:rPr>
      <w:sz w:val="21"/>
      <w:szCs w:val="21"/>
    </w:rPr>
  </w:style>
  <w:style w:type="character" w:styleId="982">
    <w:name w:val="footnote reference"/>
    <w:uiPriority w:val="0"/>
    <w:qFormat/>
    <w:rPr>
      <w:vertAlign w:val="superscript"/>
    </w:rPr>
  </w:style>
  <w:style w:type="paragraph" w:styleId="983" w:customStyle="1">
    <w:name w:val="文档结构图1"/>
    <w:basedOn w:val="925"/>
    <w:uiPriority w:val="99"/>
    <w:qFormat/>
    <w:pPr>
      <w:shd w:val="clear" w:color="auto" w:fill="000080"/>
    </w:pPr>
  </w:style>
  <w:style w:type="paragraph" w:styleId="984" w:customStyle="1">
    <w:name w:val="段"/>
    <w:uiPriority w:val="0"/>
    <w:qFormat/>
    <w:pPr>
      <w:ind w:firstLine="200"/>
      <w:jc w:val="both"/>
    </w:pPr>
    <w:rPr>
      <w:rFonts w:ascii="宋体" w:hAnsi="Times New Roman" w:eastAsia="宋体" w:cs="宋体"/>
      <w:sz w:val="21"/>
      <w:szCs w:val="21"/>
      <w:lang w:val="en-US" w:eastAsia="zh-CN" w:bidi="ar-SA"/>
    </w:rPr>
  </w:style>
  <w:style w:type="paragraph" w:styleId="985" w:customStyle="1">
    <w:name w:val="首行缩进"/>
    <w:basedOn w:val="925"/>
    <w:uiPriority w:val="0"/>
    <w:qFormat/>
    <w:pPr>
      <w:ind w:firstLine="480"/>
    </w:pPr>
    <w:rPr>
      <w:rFonts w:ascii="Calibri" w:hAnsi="Calibri" w:eastAsia="宋体" w:cs="Times New Roman"/>
      <w:szCs w:val="20"/>
      <w:lang w:val="zh-CN"/>
    </w:rPr>
  </w:style>
  <w:style w:type="character" w:styleId="986" w:customStyle="1">
    <w:name w:val="标题 1 字符"/>
    <w:basedOn w:val="932"/>
    <w:link w:val="926"/>
    <w:uiPriority w:val="0"/>
    <w:qFormat/>
    <w:rPr>
      <w:rFonts w:ascii="Calibri" w:hAnsi="Calibri" w:eastAsia="楷体_GB2312" w:cs="Times New Roman"/>
      <w:b/>
      <w:sz w:val="44"/>
      <w:szCs w:val="20"/>
    </w:rPr>
  </w:style>
  <w:style w:type="character" w:styleId="987" w:customStyle="1">
    <w:name w:val="标题 2 字符"/>
    <w:basedOn w:val="932"/>
    <w:link w:val="927"/>
    <w:uiPriority w:val="0"/>
    <w:qFormat/>
    <w:rPr>
      <w:rFonts w:ascii="宋体" w:hAnsi="宋体" w:eastAsia="楷体_GB2312" w:cs="Times New Roman"/>
      <w:b/>
      <w:sz w:val="26"/>
      <w:szCs w:val="20"/>
    </w:rPr>
  </w:style>
  <w:style w:type="character" w:styleId="988" w:customStyle="1">
    <w:name w:val="标题 3 字符"/>
    <w:basedOn w:val="932"/>
    <w:link w:val="928"/>
    <w:uiPriority w:val="0"/>
    <w:qFormat/>
    <w:rPr>
      <w:rFonts w:ascii="Calibri" w:hAnsi="Calibri" w:eastAsia="楷体_GB2312" w:cs="Times New Roman"/>
      <w:b/>
      <w:sz w:val="26"/>
      <w:szCs w:val="20"/>
    </w:rPr>
  </w:style>
  <w:style w:type="character" w:styleId="989" w:customStyle="1">
    <w:name w:val="标题 4 字符"/>
    <w:basedOn w:val="932"/>
    <w:link w:val="929"/>
    <w:uiPriority w:val="0"/>
    <w:qFormat/>
    <w:rPr>
      <w:rFonts w:ascii="Arial" w:hAnsi="Arial" w:eastAsia="黑体" w:cs="Times New Roman"/>
      <w:b/>
      <w:bCs/>
      <w:sz w:val="28"/>
      <w:szCs w:val="28"/>
    </w:rPr>
  </w:style>
  <w:style w:type="character" w:styleId="990" w:customStyle="1">
    <w:name w:val="标题 5 字符"/>
    <w:basedOn w:val="932"/>
    <w:link w:val="930"/>
    <w:uiPriority w:val="0"/>
    <w:qFormat/>
    <w:rPr>
      <w:rFonts w:ascii="宋体" w:hAnsi="宋体" w:eastAsia="宋体" w:cs="Times New Roman"/>
      <w:color w:val="000000"/>
      <w:sz w:val="28"/>
      <w:szCs w:val="20"/>
    </w:rPr>
  </w:style>
  <w:style w:type="character" w:styleId="991" w:customStyle="1">
    <w:name w:val="标题 6 字符"/>
    <w:basedOn w:val="932"/>
    <w:link w:val="931"/>
    <w:uiPriority w:val="0"/>
    <w:qFormat/>
    <w:rPr>
      <w:rFonts w:ascii="宋体" w:hAnsi="宋体" w:eastAsia="宋体" w:cs="Times New Roman"/>
      <w:sz w:val="28"/>
      <w:szCs w:val="20"/>
    </w:rPr>
  </w:style>
  <w:style w:type="character" w:styleId="992" w:customStyle="1">
    <w:name w:val="正文缩进 字符"/>
    <w:link w:val="936"/>
    <w:uiPriority w:val="0"/>
    <w:qFormat/>
    <w:rPr>
      <w:rFonts w:ascii="Calibri" w:hAnsi="Calibri" w:eastAsia="楷体_GB2312" w:cs="Times New Roman"/>
      <w:sz w:val="24"/>
      <w:szCs w:val="20"/>
    </w:rPr>
  </w:style>
  <w:style w:type="character" w:styleId="993" w:customStyle="1">
    <w:name w:val="文档结构图 字符"/>
    <w:basedOn w:val="932"/>
    <w:link w:val="938"/>
    <w:uiPriority w:val="0"/>
    <w:qFormat/>
    <w:rPr>
      <w:rFonts w:ascii="Calibri" w:hAnsi="Calibri" w:eastAsia="楷体_GB2312" w:cs="Times New Roman"/>
      <w:sz w:val="26"/>
      <w:szCs w:val="20"/>
      <w:shd w:val="clear" w:color="auto" w:fill="000080"/>
    </w:rPr>
  </w:style>
  <w:style w:type="character" w:styleId="994" w:customStyle="1">
    <w:name w:val="批注文字 字符"/>
    <w:basedOn w:val="932"/>
    <w:link w:val="939"/>
    <w:uiPriority w:val="0"/>
    <w:qFormat/>
    <w:rPr>
      <w:rFonts w:ascii="Calibri" w:hAnsi="Calibri" w:eastAsia="楷体_GB2312" w:cs="Times New Roman"/>
      <w:sz w:val="26"/>
      <w:szCs w:val="20"/>
    </w:rPr>
  </w:style>
  <w:style w:type="character" w:styleId="995" w:customStyle="1">
    <w:name w:val="正文文本 字符"/>
    <w:basedOn w:val="932"/>
    <w:link w:val="941"/>
    <w:uiPriority w:val="0"/>
    <w:qFormat/>
    <w:rPr>
      <w:rFonts w:ascii="楷体_GB2312" w:hAnsi="Calibri" w:eastAsia="楷体_GB2312" w:cs="Times New Roman"/>
      <w:sz w:val="28"/>
      <w:szCs w:val="20"/>
    </w:rPr>
  </w:style>
  <w:style w:type="character" w:styleId="996" w:customStyle="1">
    <w:name w:val="正文文本缩进 字符"/>
    <w:basedOn w:val="932"/>
    <w:link w:val="943"/>
    <w:uiPriority w:val="99"/>
    <w:qFormat/>
    <w:rPr>
      <w:rFonts w:ascii="方正仿宋简体" w:hAnsi="创艺简仿宋" w:eastAsia="方正仿宋简体" w:cs="Times New Roman"/>
      <w:sz w:val="24"/>
      <w:szCs w:val="20"/>
    </w:rPr>
  </w:style>
  <w:style w:type="character" w:styleId="997" w:customStyle="1">
    <w:name w:val="纯文本 字符"/>
    <w:basedOn w:val="932"/>
    <w:link w:val="948"/>
    <w:uiPriority w:val="0"/>
    <w:qFormat/>
    <w:rPr>
      <w:rFonts w:ascii="宋体" w:hAnsi="Courier New" w:eastAsia="楷体_GB2312" w:cs="Times New Roman"/>
      <w:sz w:val="26"/>
      <w:szCs w:val="20"/>
    </w:rPr>
  </w:style>
  <w:style w:type="character" w:styleId="998" w:customStyle="1">
    <w:name w:val="日期 字符"/>
    <w:basedOn w:val="932"/>
    <w:link w:val="951"/>
    <w:uiPriority w:val="0"/>
    <w:qFormat/>
    <w:rPr>
      <w:rFonts w:ascii="宋体" w:hAnsi="宋体" w:eastAsia="楷体_GB2312" w:cs="Times New Roman"/>
      <w:sz w:val="24"/>
      <w:szCs w:val="20"/>
    </w:rPr>
  </w:style>
  <w:style w:type="character" w:styleId="999" w:customStyle="1">
    <w:name w:val="正文文本缩进 2 字符"/>
    <w:basedOn w:val="932"/>
    <w:link w:val="952"/>
    <w:uiPriority w:val="0"/>
    <w:qFormat/>
    <w:rPr>
      <w:rFonts w:ascii="宋体" w:hAnsi="Calibri" w:eastAsia="宋体" w:cs="Times New Roman"/>
      <w:b/>
      <w:bCs/>
      <w:sz w:val="24"/>
      <w:szCs w:val="20"/>
    </w:rPr>
  </w:style>
  <w:style w:type="character" w:styleId="1000" w:customStyle="1">
    <w:name w:val="尾注文本 字符"/>
    <w:basedOn w:val="932"/>
    <w:link w:val="953"/>
    <w:uiPriority w:val="0"/>
    <w:qFormat/>
    <w:rPr>
      <w:rFonts w:ascii="Calibri" w:hAnsi="Calibri" w:eastAsia="楷体_GB2312" w:cs="Times New Roman"/>
      <w:sz w:val="26"/>
      <w:szCs w:val="20"/>
    </w:rPr>
  </w:style>
  <w:style w:type="character" w:styleId="1001" w:customStyle="1">
    <w:name w:val="批注框文本 字符"/>
    <w:basedOn w:val="932"/>
    <w:link w:val="954"/>
    <w:uiPriority w:val="99"/>
    <w:qFormat/>
    <w:rPr>
      <w:rFonts w:ascii="Calibri" w:hAnsi="Calibri" w:eastAsia="楷体_GB2312" w:cs="Times New Roman"/>
      <w:sz w:val="18"/>
      <w:szCs w:val="18"/>
    </w:rPr>
  </w:style>
  <w:style w:type="character" w:styleId="1002" w:customStyle="1">
    <w:name w:val="页脚 字符"/>
    <w:basedOn w:val="932"/>
    <w:link w:val="955"/>
    <w:uiPriority w:val="99"/>
    <w:qFormat/>
    <w:rPr>
      <w:rFonts w:ascii="Calibri" w:hAnsi="Calibri" w:eastAsia="楷体_GB2312" w:cs="Times New Roman"/>
      <w:sz w:val="18"/>
      <w:szCs w:val="20"/>
    </w:rPr>
  </w:style>
  <w:style w:type="character" w:styleId="1003" w:customStyle="1">
    <w:name w:val="页眉 字符"/>
    <w:basedOn w:val="932"/>
    <w:link w:val="956"/>
    <w:uiPriority w:val="99"/>
    <w:qFormat/>
    <w:rPr>
      <w:rFonts w:ascii="Calibri" w:hAnsi="Calibri" w:eastAsia="楷体_GB2312" w:cs="Times New Roman"/>
      <w:sz w:val="18"/>
      <w:szCs w:val="20"/>
    </w:rPr>
  </w:style>
  <w:style w:type="character" w:styleId="1004" w:customStyle="1">
    <w:name w:val="副标题 字符"/>
    <w:basedOn w:val="932"/>
    <w:link w:val="961"/>
    <w:uiPriority w:val="0"/>
    <w:qFormat/>
    <w:rPr>
      <w:rFonts w:ascii="Cambria" w:hAnsi="Cambria" w:eastAsia="宋体" w:cs="Times New Roman"/>
      <w:b/>
      <w:bCs/>
      <w:sz w:val="24"/>
      <w:szCs w:val="32"/>
    </w:rPr>
  </w:style>
  <w:style w:type="character" w:styleId="1005" w:customStyle="1">
    <w:name w:val="脚注文本 字符"/>
    <w:basedOn w:val="932"/>
    <w:link w:val="962"/>
    <w:uiPriority w:val="0"/>
    <w:qFormat/>
    <w:rPr>
      <w:rFonts w:ascii="Calibri" w:hAnsi="Calibri" w:eastAsia="楷体_GB2312" w:cs="Times New Roman"/>
      <w:sz w:val="18"/>
      <w:szCs w:val="20"/>
    </w:rPr>
  </w:style>
  <w:style w:type="character" w:styleId="1006" w:customStyle="1">
    <w:name w:val="正文文本缩进 3 字符"/>
    <w:basedOn w:val="932"/>
    <w:link w:val="964"/>
    <w:uiPriority w:val="0"/>
    <w:qFormat/>
    <w:rPr>
      <w:rFonts w:ascii="Calibri" w:hAnsi="Calibri" w:eastAsia="宋体" w:cs="Times New Roman"/>
      <w:sz w:val="24"/>
      <w:szCs w:val="24"/>
    </w:rPr>
  </w:style>
  <w:style w:type="character" w:styleId="1007" w:customStyle="1">
    <w:name w:val="HTML 预设格式 字符"/>
    <w:basedOn w:val="932"/>
    <w:link w:val="969"/>
    <w:uiPriority w:val="0"/>
    <w:qFormat/>
    <w:rPr>
      <w:rFonts w:ascii="黑体" w:hAnsi="Courier New" w:eastAsia="黑体" w:cs="Times New Roman"/>
      <w:sz w:val="20"/>
      <w:szCs w:val="20"/>
    </w:rPr>
  </w:style>
  <w:style w:type="character" w:styleId="1008" w:customStyle="1">
    <w:name w:val="标题 字符"/>
    <w:basedOn w:val="932"/>
    <w:link w:val="972"/>
    <w:uiPriority w:val="0"/>
    <w:qFormat/>
    <w:rPr>
      <w:rFonts w:ascii="Cambria" w:hAnsi="Cambria" w:eastAsia="宋体" w:cs="Times New Roman"/>
      <w:b/>
      <w:bCs/>
      <w:sz w:val="32"/>
      <w:szCs w:val="32"/>
    </w:rPr>
  </w:style>
  <w:style w:type="character" w:styleId="1009" w:customStyle="1">
    <w:name w:val="批注主题 字符"/>
    <w:basedOn w:val="994"/>
    <w:link w:val="973"/>
    <w:uiPriority w:val="99"/>
    <w:qFormat/>
    <w:rPr>
      <w:rFonts w:ascii="Calibri" w:hAnsi="Calibri" w:eastAsia="楷体_GB2312" w:cs="Times New Roman"/>
      <w:b/>
      <w:bCs/>
      <w:sz w:val="26"/>
      <w:szCs w:val="20"/>
    </w:rPr>
  </w:style>
  <w:style w:type="character" w:styleId="1010" w:customStyle="1">
    <w:name w:val="正文首行缩进 2 字符"/>
    <w:basedOn w:val="996"/>
    <w:link w:val="974"/>
    <w:uiPriority w:val="0"/>
    <w:qFormat/>
    <w:rPr>
      <w:rFonts w:ascii="Calibri" w:hAnsi="Calibri" w:eastAsia="楷体_GB2312" w:cs="Times New Roman"/>
      <w:sz w:val="26"/>
      <w:szCs w:val="20"/>
    </w:rPr>
  </w:style>
  <w:style w:type="character" w:styleId="1011" w:customStyle="1">
    <w:name w:val="Plain Text Char Char"/>
    <w:link w:val="1012"/>
    <w:uiPriority w:val="0"/>
    <w:qFormat/>
    <w:rPr>
      <w:rFonts w:ascii="宋体" w:hAnsi="Courier New" w:eastAsia="楷体_GB2312"/>
      <w:sz w:val="26"/>
    </w:rPr>
  </w:style>
  <w:style w:type="paragraph" w:styleId="1012" w:customStyle="1">
    <w:name w:val="纯文本3"/>
    <w:basedOn w:val="925"/>
    <w:link w:val="1011"/>
    <w:uiPriority w:val="0"/>
    <w:qFormat/>
    <w:rPr>
      <w:rFonts w:ascii="宋体" w:hAnsi="Courier New" w:eastAsia="楷体_GB2312"/>
      <w:sz w:val="26"/>
    </w:rPr>
  </w:style>
  <w:style w:type="character" w:styleId="1013" w:customStyle="1">
    <w:name w:val="styl81"/>
    <w:uiPriority w:val="0"/>
    <w:qFormat/>
    <w:rPr>
      <w:sz w:val="21"/>
    </w:rPr>
  </w:style>
  <w:style w:type="character" w:styleId="1014" w:customStyle="1">
    <w:name w:val="Plain Text Char"/>
    <w:link w:val="1015"/>
    <w:uiPriority w:val="0"/>
    <w:qFormat/>
    <w:rPr>
      <w:rFonts w:ascii="宋体" w:hAnsi="Courier New" w:eastAsia="楷体_GB2312"/>
      <w:sz w:val="26"/>
    </w:rPr>
  </w:style>
  <w:style w:type="paragraph" w:styleId="1015" w:customStyle="1">
    <w:name w:val="纯文本1"/>
    <w:basedOn w:val="925"/>
    <w:link w:val="1014"/>
    <w:uiPriority w:val="0"/>
    <w:qFormat/>
    <w:rPr>
      <w:rFonts w:ascii="宋体" w:hAnsi="Courier New" w:eastAsia="楷体_GB2312"/>
      <w:sz w:val="26"/>
    </w:rPr>
  </w:style>
  <w:style w:type="character" w:styleId="1016" w:customStyle="1">
    <w:name w:val="表正文 Char1"/>
    <w:uiPriority w:val="0"/>
    <w:qFormat/>
    <w:rPr>
      <w:rFonts w:eastAsia="楷体_GB2312"/>
      <w:sz w:val="24"/>
      <w:lang w:val="en-US" w:eastAsia="zh-CN" w:bidi="ar-SA"/>
    </w:rPr>
  </w:style>
  <w:style w:type="character" w:styleId="1017" w:customStyle="1">
    <w:name w:val="_正文段落 Char"/>
    <w:link w:val="1018"/>
    <w:uiPriority w:val="0"/>
    <w:qFormat/>
    <w:rPr>
      <w:rFonts w:ascii="宋体" w:hAnsi="宋体"/>
      <w:sz w:val="24"/>
      <w:szCs w:val="24"/>
    </w:rPr>
  </w:style>
  <w:style w:type="paragraph" w:styleId="1018" w:customStyle="1">
    <w:name w:val="_正文段落"/>
    <w:basedOn w:val="925"/>
    <w:link w:val="1017"/>
    <w:uiPriority w:val="0"/>
    <w:qFormat/>
    <w:pPr>
      <w:ind w:firstLine="480"/>
      <w:spacing w:line="360" w:lineRule="auto"/>
    </w:pPr>
    <w:rPr>
      <w:rFonts w:ascii="宋体" w:hAnsi="宋体"/>
      <w:sz w:val="24"/>
      <w:szCs w:val="24"/>
    </w:rPr>
  </w:style>
  <w:style w:type="character" w:styleId="1019" w:customStyle="1">
    <w:name w:val="Andy_正文 Char"/>
    <w:link w:val="1020"/>
    <w:uiPriority w:val="0"/>
    <w:qFormat/>
    <w:rPr>
      <w:sz w:val="24"/>
      <w:szCs w:val="24"/>
    </w:rPr>
  </w:style>
  <w:style w:type="paragraph" w:styleId="1020" w:customStyle="1">
    <w:name w:val="Andy_正文"/>
    <w:basedOn w:val="925"/>
    <w:link w:val="1019"/>
    <w:uiPriority w:val="0"/>
    <w:qFormat/>
    <w:pPr>
      <w:ind w:firstLine="480"/>
      <w:spacing w:line="360" w:lineRule="auto"/>
    </w:pPr>
    <w:rPr>
      <w:sz w:val="24"/>
      <w:szCs w:val="24"/>
    </w:rPr>
  </w:style>
  <w:style w:type="character" w:styleId="1021" w:customStyle="1">
    <w:name w:val="正文缩进 Char1"/>
    <w:uiPriority w:val="0"/>
    <w:qFormat/>
    <w:rPr>
      <w:rFonts w:eastAsia="楷体_GB2312"/>
      <w:sz w:val="24"/>
    </w:rPr>
  </w:style>
  <w:style w:type="character" w:styleId="1022" w:customStyle="1">
    <w:name w:val="副标题 Char1"/>
    <w:uiPriority w:val="11"/>
    <w:qFormat/>
    <w:rPr>
      <w:rFonts w:ascii="Cambria" w:hAnsi="Cambria" w:cs="Times New Roman"/>
      <w:b/>
      <w:bCs/>
      <w:sz w:val="32"/>
      <w:szCs w:val="32"/>
    </w:rPr>
  </w:style>
  <w:style w:type="character" w:styleId="1023" w:customStyle="1">
    <w:name w:val="Andy_2级 Char"/>
    <w:link w:val="1024"/>
    <w:uiPriority w:val="0"/>
    <w:qFormat/>
    <w:rPr>
      <w:sz w:val="24"/>
    </w:rPr>
  </w:style>
  <w:style w:type="paragraph" w:styleId="1024" w:customStyle="1">
    <w:name w:val="Andy_2级"/>
    <w:basedOn w:val="925"/>
    <w:link w:val="1023"/>
    <w:uiPriority w:val="0"/>
    <w:qFormat/>
    <w:pPr>
      <w:numPr>
        <w:ilvl w:val="1"/>
        <w:numId w:val="1"/>
      </w:numPr>
      <w:spacing w:line="360" w:lineRule="auto"/>
    </w:pPr>
    <w:rPr>
      <w:sz w:val="24"/>
    </w:rPr>
  </w:style>
  <w:style w:type="character" w:styleId="1025" w:customStyle="1">
    <w:name w:val="副标题 Char2"/>
    <w:uiPriority w:val="0"/>
    <w:qFormat/>
    <w:rPr>
      <w:rFonts w:ascii="Cambria" w:hAnsi="Cambria" w:cs="Times New Roman"/>
      <w:b/>
      <w:bCs/>
      <w:sz w:val="32"/>
      <w:szCs w:val="32"/>
    </w:rPr>
  </w:style>
  <w:style w:type="character" w:styleId="1026" w:customStyle="1">
    <w:name w:val="正文首行缩进 2 Char1"/>
    <w:uiPriority w:val="0"/>
    <w:qFormat/>
    <w:rPr>
      <w:rFonts w:ascii="方正仿宋简体" w:hAnsi="创艺简仿宋" w:eastAsia="楷体_GB2312"/>
      <w:sz w:val="26"/>
    </w:rPr>
  </w:style>
  <w:style w:type="character" w:styleId="1027" w:customStyle="1">
    <w:name w:val="ca-221"/>
    <w:uiPriority w:val="0"/>
    <w:qFormat/>
    <w:rPr>
      <w:rFonts w:hint="eastAsia" w:ascii="宋体" w:hAnsi="宋体" w:eastAsia="宋体"/>
      <w:color w:val="ff0000"/>
      <w:sz w:val="24"/>
      <w:szCs w:val="24"/>
    </w:rPr>
  </w:style>
  <w:style w:type="paragraph" w:styleId="1028" w:customStyle="1">
    <w:name w:val="纯文本11"/>
    <w:basedOn w:val="925"/>
    <w:uiPriority w:val="0"/>
    <w:qFormat/>
    <w:rPr>
      <w:rFonts w:ascii="宋体" w:hAnsi="Courier New" w:eastAsia="楷体_GB2312" w:cs="Times New Roman"/>
      <w:sz w:val="26"/>
      <w:szCs w:val="20"/>
    </w:rPr>
  </w:style>
  <w:style w:type="paragraph" w:styleId="1029" w:customStyle="1">
    <w:name w:val="xl70"/>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30" w:customStyle="1">
    <w:name w:val="xl69"/>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1" w:customStyle="1">
    <w:name w:val="xl79"/>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2" w:customStyle="1">
    <w:name w:val="xl86"/>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33" w:customStyle="1">
    <w:name w:val="纯文本2"/>
    <w:basedOn w:val="925"/>
    <w:uiPriority w:val="0"/>
    <w:qFormat/>
    <w:rPr>
      <w:rFonts w:ascii="宋体" w:hAnsi="Courier New" w:eastAsia="楷体_GB2312" w:cs="Times New Roman"/>
      <w:sz w:val="26"/>
      <w:szCs w:val="20"/>
    </w:rPr>
  </w:style>
  <w:style w:type="paragraph" w:styleId="1034" w:customStyle="1">
    <w:name w:val="列出段落2"/>
    <w:basedOn w:val="925"/>
    <w:uiPriority w:val="0"/>
    <w:qFormat/>
    <w:pPr>
      <w:ind w:firstLine="420"/>
    </w:pPr>
    <w:rPr>
      <w:rFonts w:ascii="Calibri" w:hAnsi="Calibri" w:eastAsia="宋体" w:cs="Times New Roman"/>
    </w:rPr>
  </w:style>
  <w:style w:type="paragraph" w:styleId="1035" w:customStyle="1">
    <w:name w:val="xl78"/>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6" w:customStyle="1">
    <w:name w:val="xl96"/>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37" w:customStyle="1">
    <w:name w:val="Char Char Char Char"/>
    <w:basedOn w:val="938"/>
    <w:uiPriority w:val="0"/>
    <w:qFormat/>
    <w:pPr>
      <w:ind w:left="357"/>
      <w:jc w:val="left"/>
      <w:spacing w:line="436" w:lineRule="exact"/>
      <w:outlineLvl w:val="3"/>
    </w:pPr>
    <w:rPr>
      <w:rFonts w:ascii="Tahoma" w:hAnsi="Tahoma" w:eastAsia="宋体"/>
      <w:b/>
      <w:sz w:val="24"/>
      <w:szCs w:val="24"/>
    </w:rPr>
  </w:style>
  <w:style w:type="paragraph" w:styleId="1038" w:customStyle="1">
    <w:name w:val="列出段落1"/>
    <w:basedOn w:val="925"/>
    <w:uiPriority w:val="0"/>
    <w:qFormat/>
    <w:pPr>
      <w:ind w:firstLine="420"/>
    </w:pPr>
    <w:rPr>
      <w:rFonts w:ascii="Calibri" w:hAnsi="Calibri" w:eastAsia="楷体_GB2312" w:cs="Times New Roman"/>
      <w:sz w:val="26"/>
      <w:szCs w:val="20"/>
    </w:rPr>
  </w:style>
  <w:style w:type="paragraph" w:styleId="1039" w:customStyle="1">
    <w:name w:val="xl74"/>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0" w:customStyle="1">
    <w:name w:val="纯文本4"/>
    <w:basedOn w:val="925"/>
    <w:uiPriority w:val="0"/>
    <w:qFormat/>
    <w:rPr>
      <w:rFonts w:ascii="宋体" w:hAnsi="Courier New" w:eastAsia="楷体_GB2312" w:cs="Times New Roman"/>
      <w:sz w:val="26"/>
      <w:szCs w:val="20"/>
    </w:rPr>
  </w:style>
  <w:style w:type="paragraph" w:styleId="1041" w:customStyle="1">
    <w:name w:val="xl92"/>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2" w:customStyle="1">
    <w:name w:val="xl66"/>
    <w:basedOn w:val="9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43" w:customStyle="1">
    <w:name w:val="xl94"/>
    <w:basedOn w:val="925"/>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44" w:customStyle="1">
    <w:name w:val="Char Char3"/>
    <w:basedOn w:val="925"/>
    <w:uiPriority w:val="0"/>
    <w:qFormat/>
    <w:pPr>
      <w:jc w:val="left"/>
      <w:spacing w:after="160" w:line="240" w:lineRule="exact"/>
      <w:widowControl/>
    </w:pPr>
    <w:rPr>
      <w:rFonts w:ascii="Calibri" w:hAnsi="Calibri" w:eastAsia="宋体" w:cs="Times New Roman"/>
      <w:sz w:val="24"/>
      <w:szCs w:val="24"/>
    </w:rPr>
  </w:style>
  <w:style w:type="paragraph" w:styleId="1045" w:customStyle="1">
    <w:name w:val="xl95"/>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46" w:customStyle="1">
    <w:name w:val="xl85"/>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47" w:customStyle="1">
    <w:name w:val="q3"/>
    <w:basedOn w:val="925"/>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48" w:customStyle="1">
    <w:name w:val="xl91"/>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49" w:customStyle="1">
    <w:name w:val="Char Char Char"/>
    <w:basedOn w:val="925"/>
    <w:uiPriority w:val="0"/>
    <w:qFormat/>
    <w:pPr>
      <w:numPr>
        <w:ilvl w:val="0"/>
        <w:numId w:val="2"/>
      </w:numPr>
    </w:pPr>
    <w:rPr>
      <w:rFonts w:ascii="Calibri" w:hAnsi="Calibri" w:eastAsia="宋体" w:cs="Times New Roman"/>
      <w:sz w:val="24"/>
      <w:szCs w:val="24"/>
    </w:rPr>
  </w:style>
  <w:style w:type="paragraph" w:styleId="1050" w:customStyle="1">
    <w:name w:val="xl80"/>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1" w:customStyle="1">
    <w:name w:val="修订1"/>
    <w:uiPriority w:val="99"/>
    <w:unhideWhenUsed/>
    <w:qFormat/>
    <w:rPr>
      <w:rFonts w:ascii="Calibri" w:hAnsi="Calibri" w:eastAsia="楷体_GB2312" w:cs="Times New Roman"/>
      <w:sz w:val="26"/>
      <w:lang w:val="en-US" w:eastAsia="zh-CN" w:bidi="ar-SA"/>
    </w:rPr>
  </w:style>
  <w:style w:type="paragraph" w:styleId="1052" w:customStyle="1">
    <w:name w:val="xl72"/>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3"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54" w:customStyle="1">
    <w:name w:val="纯文本111"/>
    <w:basedOn w:val="925"/>
    <w:uiPriority w:val="0"/>
    <w:qFormat/>
    <w:rPr>
      <w:rFonts w:ascii="宋体" w:hAnsi="Courier New" w:eastAsia="楷体_GB2312" w:cs="Times New Roman"/>
      <w:sz w:val="26"/>
      <w:szCs w:val="20"/>
    </w:rPr>
  </w:style>
  <w:style w:type="paragraph" w:styleId="1055" w:customStyle="1">
    <w:name w:val="xl93"/>
    <w:basedOn w:val="9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56"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57" w:customStyle="1">
    <w:name w:val="xl71"/>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58" w:customStyle="1">
    <w:name w:val="xl87"/>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59" w:customStyle="1">
    <w:name w:val="Char"/>
    <w:basedOn w:val="925"/>
    <w:uiPriority w:val="0"/>
    <w:qFormat/>
    <w:pPr>
      <w:jc w:val="left"/>
      <w:spacing w:after="160" w:line="240" w:lineRule="exact"/>
      <w:widowControl/>
    </w:pPr>
    <w:rPr>
      <w:rFonts w:ascii="Verdana" w:hAnsi="Verdana" w:eastAsia="仿宋_GB2312" w:cs="Times New Roman"/>
      <w:sz w:val="24"/>
      <w:szCs w:val="20"/>
      <w:lang w:eastAsia="en-US"/>
    </w:rPr>
  </w:style>
  <w:style w:type="paragraph" w:styleId="1060" w:customStyle="1">
    <w:name w:val="xl67"/>
    <w:basedOn w:val="925"/>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61" w:customStyle="1">
    <w:name w:val="xl81"/>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62" w:customStyle="1">
    <w:name w:val="xl73"/>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3" w:customStyle="1">
    <w:name w:val="xl68"/>
    <w:basedOn w:val="9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4" w:customStyle="1">
    <w:name w:val="正文1"/>
    <w:basedOn w:val="925"/>
    <w:next w:val="925"/>
    <w:uiPriority w:val="0"/>
    <w:qFormat/>
    <w:pPr>
      <w:ind w:left="420" w:firstLine="527"/>
      <w:spacing w:before="120" w:line="360" w:lineRule="auto"/>
    </w:pPr>
    <w:rPr>
      <w:rFonts w:ascii="宋体" w:hAnsi="宋体" w:eastAsia="宋体" w:cs="Times New Roman"/>
      <w:sz w:val="24"/>
      <w:szCs w:val="24"/>
    </w:rPr>
  </w:style>
  <w:style w:type="paragraph" w:styleId="1065" w:customStyle="1">
    <w:name w:val="xl90"/>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6" w:customStyle="1">
    <w:name w:val="xl83"/>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7" w:customStyle="1">
    <w:name w:val="xl76"/>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68" w:customStyle="1">
    <w:name w:val="xl82"/>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69">
    <w:name w:val="List Paragraph"/>
    <w:basedOn w:val="925"/>
    <w:uiPriority w:val="34"/>
    <w:qFormat/>
    <w:pPr>
      <w:ind w:firstLine="420"/>
    </w:pPr>
    <w:rPr>
      <w:rFonts w:ascii="Calibri" w:hAnsi="Calibri" w:eastAsia="楷体_GB2312" w:cs="Times New Roman"/>
      <w:sz w:val="26"/>
      <w:szCs w:val="20"/>
    </w:rPr>
  </w:style>
  <w:style w:type="paragraph" w:styleId="1070" w:customStyle="1">
    <w:name w:val="纯文本5"/>
    <w:basedOn w:val="925"/>
    <w:uiPriority w:val="0"/>
    <w:qFormat/>
    <w:rPr>
      <w:rFonts w:ascii="宋体" w:hAnsi="Courier New" w:eastAsia="楷体_GB2312" w:cs="Times New Roman"/>
      <w:sz w:val="26"/>
      <w:szCs w:val="20"/>
    </w:rPr>
  </w:style>
  <w:style w:type="paragraph" w:styleId="1071" w:customStyle="1">
    <w:name w:val="xl84"/>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2" w:customStyle="1">
    <w:name w:val="xl88"/>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73" w:customStyle="1">
    <w:name w:val="xl75"/>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74" w:customStyle="1">
    <w:name w:val="xl97"/>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5" w:customStyle="1">
    <w:name w:val="xl77"/>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6" w:customStyle="1">
    <w:name w:val="xl89"/>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77" w:customStyle="1">
    <w:name w:val="Table Grid"/>
    <w:uiPriority w:val="0"/>
    <w:qFormat/>
    <w:rPr>
      <w:rFonts w:ascii="Calibri" w:hAnsi="Calibri"/>
    </w:rPr>
    <w:tblPr>
      <w:tblCellMar>
        <w:left w:w="0" w:type="dxa"/>
        <w:top w:w="0" w:type="dxa"/>
        <w:right w:w="0" w:type="dxa"/>
        <w:bottom w:w="0" w:type="dxa"/>
      </w:tblCellMar>
    </w:tblPr>
  </w:style>
  <w:style w:type="paragraph" w:styleId="1078" w:customStyle="1">
    <w:name w:val="Plain Text1"/>
    <w:basedOn w:val="925"/>
    <w:uiPriority w:val="0"/>
    <w:qFormat/>
    <w:rPr>
      <w:rFonts w:ascii="宋体" w:hAnsi="Courier New" w:eastAsia="楷体_GB2312" w:cs="Times New Roman"/>
      <w:sz w:val="26"/>
      <w:szCs w:val="20"/>
    </w:rPr>
  </w:style>
  <w:style w:type="table" w:styleId="1079" w:customStyle="1">
    <w:name w:val="网格型1"/>
    <w:basedOn w:val="9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0"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81"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82"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8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84"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85"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86" w:customStyle="1">
    <w:name w:val="font81"/>
    <w:basedOn w:val="932"/>
    <w:uiPriority w:val="0"/>
    <w:qFormat/>
    <w:rPr>
      <w:rFonts w:hint="eastAsia" w:ascii="宋体" w:hAnsi="宋体" w:eastAsia="宋体" w:cs="宋体"/>
      <w:color w:val="000000"/>
      <w:sz w:val="18"/>
      <w:szCs w:val="18"/>
      <w:u w:val="none"/>
    </w:rPr>
  </w:style>
  <w:style w:type="character" w:styleId="1087" w:customStyle="1">
    <w:name w:val="font91"/>
    <w:basedOn w:val="932"/>
    <w:uiPriority w:val="0"/>
    <w:qFormat/>
    <w:rPr>
      <w:rFonts w:hint="eastAsia" w:ascii="宋体" w:hAnsi="宋体" w:eastAsia="宋体" w:cs="宋体"/>
      <w:b/>
      <w:bCs/>
      <w:color w:val="ff0000"/>
      <w:sz w:val="18"/>
      <w:szCs w:val="18"/>
      <w:u w:val="none"/>
    </w:rPr>
  </w:style>
  <w:style w:type="character" w:styleId="1088" w:customStyle="1">
    <w:name w:val="font21"/>
    <w:basedOn w:val="932"/>
    <w:uiPriority w:val="0"/>
    <w:qFormat/>
    <w:rPr>
      <w:rFonts w:hint="eastAsia" w:ascii="宋体" w:hAnsi="宋体" w:eastAsia="宋体" w:cs="宋体"/>
      <w:b/>
      <w:bCs/>
      <w:color w:val="000000"/>
      <w:sz w:val="22"/>
      <w:szCs w:val="22"/>
      <w:u w:val="none"/>
    </w:rPr>
  </w:style>
  <w:style w:type="character" w:styleId="1089" w:customStyle="1">
    <w:name w:val="font51"/>
    <w:basedOn w:val="932"/>
    <w:uiPriority w:val="0"/>
    <w:qFormat/>
    <w:rPr>
      <w:rFonts w:hint="eastAsia" w:ascii="宋体" w:hAnsi="宋体" w:eastAsia="宋体" w:cs="宋体"/>
      <w:b/>
      <w:bCs/>
      <w:color w:val="ff0000"/>
      <w:sz w:val="22"/>
      <w:szCs w:val="22"/>
      <w:u w:val="none"/>
    </w:rPr>
  </w:style>
  <w:style w:type="character" w:styleId="1090" w:customStyle="1">
    <w:name w:val="font31"/>
    <w:basedOn w:val="932"/>
    <w:uiPriority w:val="0"/>
    <w:qFormat/>
    <w:rPr>
      <w:rFonts w:hint="eastAsia" w:ascii="宋体" w:hAnsi="宋体" w:eastAsia="宋体" w:cs="宋体"/>
      <w:color w:val="000000"/>
      <w:sz w:val="22"/>
      <w:szCs w:val="22"/>
      <w:u w:val="none"/>
    </w:rPr>
  </w:style>
  <w:style w:type="character" w:styleId="1091" w:customStyle="1">
    <w:name w:val="font61"/>
    <w:basedOn w:val="932"/>
    <w:uiPriority w:val="0"/>
    <w:qFormat/>
    <w:rPr>
      <w:rFonts w:hint="eastAsia" w:ascii="宋体" w:hAnsi="宋体" w:eastAsia="宋体" w:cs="宋体"/>
      <w:color w:val="ff0000"/>
      <w:sz w:val="22"/>
      <w:szCs w:val="22"/>
      <w:u w:val="none"/>
    </w:rPr>
  </w:style>
  <w:style w:type="table" w:styleId="1092" w:customStyle="1">
    <w:name w:val="Table Normal"/>
    <w:uiPriority w:val="0"/>
    <w:unhideWhenUsed/>
    <w:qFormat/>
    <w:tblPr>
      <w:tblCellMar>
        <w:left w:w="0" w:type="dxa"/>
        <w:top w:w="0" w:type="dxa"/>
        <w:right w:w="0" w:type="dxa"/>
        <w:bottom w:w="0" w:type="dxa"/>
      </w:tblCellMar>
    </w:tblPr>
  </w:style>
  <w:style w:type="paragraph" w:styleId="109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1094" w:customStyle="1">
    <w:name w:val="font11"/>
    <w:basedOn w:val="932"/>
    <w:uiPriority w:val="0"/>
    <w:qFormat/>
    <w:rPr>
      <w:rFonts w:hint="eastAsia" w:ascii="宋体" w:hAnsi="宋体" w:eastAsia="宋体" w:cs="宋体"/>
      <w:color w:val="000000"/>
      <w:sz w:val="22"/>
      <w:szCs w:val="22"/>
      <w:u w:val="none"/>
    </w:rPr>
  </w:style>
  <w:style w:type="character" w:styleId="1095" w:customStyle="1">
    <w:name w:val="font41"/>
    <w:basedOn w:val="932"/>
    <w:uiPriority w:val="0"/>
    <w:qFormat/>
    <w:rPr>
      <w:rFonts w:hint="eastAsia" w:ascii="宋体" w:hAnsi="宋体" w:eastAsia="宋体" w:cs="宋体"/>
      <w:color w:val="000000"/>
      <w:sz w:val="22"/>
      <w:szCs w:val="22"/>
      <w:u w:val="none"/>
    </w:rPr>
  </w:style>
  <w:style w:type="character" w:styleId="1096" w:customStyle="1">
    <w:name w:val="font71"/>
    <w:basedOn w:val="932"/>
    <w:uiPriority w:val="0"/>
    <w:qFormat/>
    <w:rPr>
      <w:rFonts w:hint="eastAsia" w:ascii="宋体" w:hAnsi="宋体" w:eastAsia="宋体" w:cs="宋体"/>
      <w:color w:val="000000"/>
      <w:sz w:val="22"/>
      <w:szCs w:val="22"/>
      <w:u w:val="none"/>
      <w:vertAlign w:val="superscript"/>
    </w:rPr>
  </w:style>
  <w:style w:type="character" w:styleId="1097" w:customStyle="1">
    <w:name w:val="16"/>
    <w:basedOn w:val="932"/>
    <w:uiPriority w:val="0"/>
    <w:qFormat/>
    <w:rPr>
      <w:rFonts w:hint="default" w:ascii="Times New Roman" w:hAnsi="Times New Roman" w:cs="Times New Roman"/>
      <w:i/>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32B603-D4DA-4432-BC9F-60FE69F159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110</cp:revision>
  <dcterms:created xsi:type="dcterms:W3CDTF">2022-06-13T08:19:00Z</dcterms:created>
  <dcterms:modified xsi:type="dcterms:W3CDTF">2026-06-18T02:58:44Z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591A3671D520412992D3A55C7504B243_13</vt:lpwstr>
  </property>
  <property fmtid="{D5CDD505-2E9C-101B-9397-08002B2CF9AE}" pid="4" name="KSOTemplateDocerSaveRecord">
    <vt:lpwstr>eyJoZGlkIjoiYjgwNGNmMjA2NDEzNDllOGU5MDY1N2Q0NWFkZTU2MTQiLCJ1c2VySWQiOiIxMzYxNzMzOTA3In0=</vt:lpwstr>
  </property>
</Properties>
</file>