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通州区2025年秋播油菜单产提升整建制推进县建设和油菜扩种项目（四次）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pStyle w:val="642"/>
        <w:ind w:left="0" w:right="0" w:firstLine="0"/>
        <w:jc w:val="both"/>
        <w:spacing w:before="480" w:after="268"/>
        <w:pBdr>
          <w:top w:val="none" w:color="000000" w:sz="4" w:space="0"/>
          <w:left w:val="none" w:color="000000" w:sz="4" w:space="0"/>
          <w:bottom w:val="none" w:color="000000" w:sz="4" w:space="0"/>
          <w:right w:val="none" w:color="000000" w:sz="4" w:space="0"/>
        </w:pBdr>
      </w:pPr>
      <w:r>
        <w:rPr>
          <w:rFonts w:ascii="Arial" w:hAnsi="Arial" w:eastAsia="Arial" w:cs="Arial"/>
          <w:b/>
          <w:color w:val="000000"/>
          <w:sz w:val="4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line="999" w:lineRule="atLeast"/>
        <w:pBdr>
          <w:top w:val="none" w:color="000000" w:sz="4" w:space="0"/>
          <w:left w:val="none" w:color="000000" w:sz="4" w:space="0"/>
          <w:bottom w:val="none" w:color="000000" w:sz="4" w:space="0"/>
          <w:right w:val="none" w:color="000000" w:sz="4" w:space="0"/>
        </w:pBdr>
      </w:pPr>
      <w:r>
        <w:rPr>
          <w:rFonts w:ascii="STXinwei" w:hAnsi="STXinwei" w:eastAsia="STXinwei" w:cs="STXinwei"/>
          <w:b/>
          <w:color w:val="000000"/>
          <w:sz w:val="72"/>
        </w:rPr>
        <w:t xml:space="preserve">竞争性谈判文件</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31"/>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招 标 人：</w:t>
      </w:r>
      <w:r>
        <w:rPr>
          <w:rFonts w:ascii="SimSun" w:hAnsi="SimSun" w:eastAsia="SimSun" w:cs="SimSun"/>
          <w:b/>
          <w:color w:val="000000"/>
          <w:spacing w:val="20"/>
          <w:sz w:val="32"/>
          <w:u w:val="single"/>
        </w:rPr>
        <w:t xml:space="preserve"> 南通市通州区作物栽培技术指导站</w:t>
      </w:r>
      <w:r/>
    </w:p>
    <w:p>
      <w:pPr>
        <w:ind w:left="0" w:right="0" w:firstLine="531"/>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招标代理：</w:t>
      </w:r>
      <w:r>
        <w:rPr>
          <w:rFonts w:ascii="SimSun" w:hAnsi="SimSun" w:eastAsia="SimSun" w:cs="SimSun"/>
          <w:b/>
          <w:color w:val="000000"/>
          <w:sz w:val="32"/>
          <w:u w:val="single"/>
        </w:rPr>
        <w:t xml:space="preserve">江苏衡晟项目管理咨询有限公司</w:t>
      </w:r>
      <w:r/>
    </w:p>
    <w:p>
      <w:pPr>
        <w:ind w:left="0" w:right="-601" w:firstLine="257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二0二六年五月</w:t>
      </w:r>
      <w:r/>
    </w:p>
    <w:p>
      <w:pPr>
        <w:ind w:left="-158" w:right="-601"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line="600" w:lineRule="atLeast"/>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highlight w:val="none"/>
        </w:rPr>
      </w:r>
      <w:r>
        <w:rPr>
          <w:rFonts w:ascii="SimSun" w:hAnsi="SimSun" w:eastAsia="SimSun" w:cs="SimSun"/>
          <w:color w:val="000000"/>
          <w:sz w:val="44"/>
          <w:highlight w:val="none"/>
        </w:rPr>
      </w:r>
      <w:r/>
    </w:p>
    <w:p>
      <w:pPr>
        <w:ind w:left="0" w:right="0" w:firstLine="0"/>
        <w:jc w:val="center"/>
        <w:spacing w:before="0" w:after="0" w:line="600" w:lineRule="atLeast"/>
        <w:rPr>
          <w:rFonts w:ascii="SimSun" w:hAnsi="SimSun" w:eastAsia="SimSun" w:cs="SimSun"/>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highlight w:val="none"/>
        </w:rPr>
      </w:r>
      <w:r>
        <w:rPr>
          <w:rFonts w:ascii="SimSun" w:hAnsi="SimSun" w:eastAsia="SimSun" w:cs="SimSun"/>
          <w:color w:val="000000"/>
          <w:sz w:val="44"/>
          <w:highlight w:val="none"/>
        </w:rPr>
      </w:r>
      <w:r/>
    </w:p>
    <w:p>
      <w:pPr>
        <w:ind w:left="0" w:right="0" w:firstLine="0"/>
        <w:jc w:val="center"/>
        <w:spacing w:before="0" w:after="0" w:line="600" w:lineRule="atLeast"/>
        <w:rPr>
          <w:rFonts w:ascii="SimSun" w:hAnsi="SimSun" w:eastAsia="SimSun" w:cs="SimSun"/>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highlight w:val="none"/>
        </w:rPr>
      </w:r>
      <w:r>
        <w:rPr>
          <w:rFonts w:ascii="SimSun" w:hAnsi="SimSun" w:eastAsia="SimSun" w:cs="SimSun"/>
          <w:color w:val="000000"/>
          <w:sz w:val="44"/>
          <w:highlight w:val="none"/>
        </w:rPr>
      </w:r>
      <w:r/>
    </w:p>
    <w:p>
      <w:pPr>
        <w:ind w:left="0" w:right="0" w:firstLine="0"/>
        <w:jc w:val="center"/>
        <w:spacing w:before="0" w:after="0" w:line="600" w:lineRule="atLeast"/>
        <w:rPr>
          <w:rFonts w:ascii="SimSun" w:hAnsi="SimSun" w:eastAsia="SimSun" w:cs="SimSun"/>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highlight w:val="none"/>
        </w:rPr>
      </w:r>
      <w:r>
        <w:rPr>
          <w:rFonts w:ascii="SimSun" w:hAnsi="SimSun" w:eastAsia="SimSun" w:cs="SimSun"/>
          <w:color w:val="000000"/>
          <w:sz w:val="44"/>
          <w:highlight w:val="none"/>
        </w:rPr>
      </w:r>
      <w:r/>
    </w:p>
    <w:p>
      <w:pPr>
        <w:ind w:left="0" w:right="0" w:firstLine="0"/>
        <w:jc w:val="center"/>
        <w:spacing w:before="0" w:after="0" w:line="600" w:lineRule="atLeast"/>
        <w:rPr>
          <w:rFonts w:ascii="SimSun" w:hAnsi="SimSun" w:eastAsia="SimSun" w:cs="SimSun"/>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竞谈文件备案表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22"/>
      </w:tblGrid>
      <w:tr>
        <w:trPr>
          <w:trHeight w:val="35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top"/>
            <w:textDirection w:val="lrTb"/>
            <w:noWrap/>
          </w:tcPr>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招标代理：(盖章)</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52500" cy="3810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528965" name=""/>
                              <pic:cNvPicPr>
                                <a:picLocks noChangeAspect="1"/>
                              </pic:cNvPicPr>
                              <pic:nvPr/>
                            </pic:nvPicPr>
                            <pic:blipFill>
                              <a:blip/>
                              <a:stretch/>
                            </pic:blipFill>
                            <pic:spPr bwMode="auto">
                              <a:xfrm>
                                <a:off x="0" y="0"/>
                                <a:ext cx="952499" cy="3809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5.0pt;height:30.0pt;mso-wrap-distance-left:0.0pt;mso-wrap-distance-top:0.0pt;mso-wrap-distance-right:0.0pt;mso-wrap-distance-bottom:0.0pt;" stroked="false">
                      <v:path textboxrect="0,0,0,0"/>
                    </v:shape>
                  </w:pict>
                </mc:Fallback>
              </mc:AlternateContent>
            </w:r>
            <w:r>
              <w:rPr>
                <w:rFonts w:ascii="SimSun" w:hAnsi="SimSun" w:eastAsia="SimSun" w:cs="SimSun"/>
                <w:color w:val="000000"/>
                <w:sz w:val="28"/>
              </w:rPr>
              <w:t xml:space="preserve">编制人： </w:t>
            </w:r>
            <w:r/>
          </w:p>
          <w:p>
            <w:pPr>
              <w:ind w:left="0" w:right="0" w:firstLine="0"/>
              <w:jc w:val="center"/>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日  期：</w:t>
            </w:r>
            <w:r/>
          </w:p>
        </w:tc>
      </w:tr>
      <w:tr>
        <w:trPr>
          <w:trHeight w:val="78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top"/>
            <w:textDirection w:val="lrTb"/>
            <w:noWrap/>
          </w:tcPr>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采购人：(盖章)  </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审核人（签字）：</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8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 期：</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52"/>
        </w:rPr>
        <w:t xml:space="preserve">目录</w:t>
      </w:r>
      <w:r/>
    </w:p>
    <w:p>
      <w:pPr>
        <w:ind w:left="0" w:right="0" w:firstLine="556"/>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 </w:t>
      </w:r>
      <w:r/>
    </w:p>
    <w:p>
      <w:pPr>
        <w:ind w:left="0" w:right="0" w:firstLine="556"/>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8"/>
        </w:rPr>
        <w:t xml:space="preserve">第一章  竞争性谈判公告</w:t>
      </w:r>
      <w:r/>
    </w:p>
    <w:p>
      <w:pPr>
        <w:ind w:left="0" w:right="0" w:firstLine="556"/>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8"/>
        </w:rPr>
        <w:t xml:space="preserve">第二章  供应商须知</w:t>
      </w:r>
      <w:r/>
    </w:p>
    <w:p>
      <w:pPr>
        <w:ind w:left="0" w:right="0" w:firstLine="556"/>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8"/>
        </w:rPr>
        <w:t xml:space="preserve">第三章  合同范本</w:t>
      </w:r>
      <w:r/>
    </w:p>
    <w:p>
      <w:pPr>
        <w:ind w:left="0" w:right="0" w:firstLine="556"/>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8"/>
        </w:rPr>
        <w:t xml:space="preserve">第四章  采购需求</w:t>
      </w:r>
      <w:r/>
    </w:p>
    <w:p>
      <w:pPr>
        <w:ind w:left="0" w:right="0" w:firstLine="556"/>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8"/>
        </w:rPr>
        <w:t xml:space="preserve">第五章  响应文件组成</w:t>
      </w:r>
      <w:r/>
    </w:p>
    <w:p>
      <w:pPr>
        <w:ind w:left="0" w:right="0" w:firstLine="556"/>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8"/>
        </w:rPr>
        <w:t xml:space="preserve"> </w:t>
      </w:r>
      <w:r/>
    </w:p>
    <w:p>
      <w:pPr>
        <w:ind w:left="0" w:right="0" w:firstLine="556"/>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 </w:t>
      </w:r>
      <w:r/>
    </w:p>
    <w:p>
      <w:pPr>
        <w:ind w:left="0" w:right="0" w:firstLine="0"/>
        <w:jc w:val="center"/>
        <w:spacing w:before="0" w:after="0" w:line="53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line="53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line="53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line="53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line="53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line="53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line="53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line="53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line="53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line="53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竞争性谈判公告</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南通市通州区作物栽培技术指导站]的委托，江苏衡晟项目管理咨询有限公司就[通州区2025年秋播油菜单产提升整建制推进县建设和油菜扩种项目（四次）]([项目编号JSZC-320612-HSGL-T2026-0023])进行竞争性谈判采购，欢迎符合条件的供应商参加谈判。</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通州区2025年秋播油菜单产提升整建制推进县建设和油菜扩种项目（四次）</w:t>
      </w:r>
      <w:r>
        <w:rPr>
          <w:rFonts w:ascii="SimSun" w:hAnsi="SimSun" w:eastAsia="SimSun" w:cs="SimSun"/>
          <w:color w:val="000000"/>
          <w:sz w:val="24"/>
        </w:rPr>
        <w:t xml:space="preserve">竞争性谈判的潜在供应商可在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谈判文件，并于2026</w:t>
      </w:r>
      <w:r>
        <w:rPr>
          <w:rFonts w:ascii="SimSun" w:hAnsi="SimSun" w:eastAsia="SimSun" w:cs="SimSun"/>
          <w:color w:val="000000"/>
          <w:sz w:val="24"/>
          <w:u w:val="single"/>
        </w:rPr>
        <w:t xml:space="preserve">年5月29日9点00分（</w:t>
      </w:r>
      <w:r>
        <w:rPr>
          <w:rFonts w:ascii="SimSun" w:hAnsi="SimSun" w:eastAsia="SimSun" w:cs="SimSun"/>
          <w:color w:val="000000"/>
          <w:sz w:val="24"/>
        </w:rPr>
        <w:t xml:space="preserve">北京时间）前递交响应文件。</w:t>
      </w:r>
      <w:r/>
    </w:p>
    <w:p>
      <w:pPr>
        <w:ind w:left="0" w:right="0" w:firstLine="50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一、项目基本情况</w:t>
      </w:r>
      <w:r/>
    </w:p>
    <w:p>
      <w:pPr>
        <w:ind w:left="0" w:right="0" w:firstLine="505"/>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1、项目编号：JSZC-320612-HSGL-T2026-0023</w:t>
      </w:r>
      <w:r/>
    </w:p>
    <w:p>
      <w:pPr>
        <w:ind w:left="0" w:right="0" w:firstLine="505"/>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2、项目名称：通州区2025年秋播油菜单产提升整建制推进县建设和油菜扩种项目（四次）</w:t>
      </w:r>
      <w:r/>
    </w:p>
    <w:p>
      <w:pPr>
        <w:ind w:left="0" w:right="0" w:firstLine="505"/>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3、项目需求：本项目采购预算为人民币87万元。资金来源为财政。主要采购内容见下表。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9"/>
        <w:gridCol w:w="2530"/>
        <w:gridCol w:w="1374"/>
        <w:gridCol w:w="1918"/>
        <w:gridCol w:w="1918"/>
      </w:tblGrid>
      <w:tr>
        <w:trPr>
          <w:trHeight w:val="73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物化补助产品名称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资金预算（万元）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限价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物化补助对象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40%菌核净可湿粉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≥0.5亩以上油菜种植主体</w:t>
            </w:r>
            <w:r/>
          </w:p>
        </w:tc>
      </w:tr>
    </w:tbl>
    <w:p>
      <w:pPr>
        <w:ind w:left="0" w:right="0" w:firstLine="505"/>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505"/>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1：所招产品要求中标方提供的产品须可供0.5亩地和5亩使用两种包装规格，以吨位价最低价中标；生产日期须为2026年；</w:t>
      </w:r>
      <w:r/>
    </w:p>
    <w:p>
      <w:pPr>
        <w:ind w:left="0" w:right="0" w:firstLine="505"/>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2：所供货物中：0.5亩地使用规格=90%*总吨位；5亩地使用规格=10%*总吨位</w:t>
      </w:r>
      <w:r/>
    </w:p>
    <w:p>
      <w:pPr>
        <w:ind w:left="0" w:right="0" w:firstLine="505"/>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3：供货时需提供所供货物批次的省级以上的第三方检测报告；</w:t>
      </w:r>
      <w:r/>
    </w:p>
    <w:p>
      <w:pPr>
        <w:ind w:left="0" w:right="0" w:firstLine="505"/>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4：履约保证金金额为所投采购包金额的10%，以汇票或转帐形式支付；</w:t>
      </w:r>
      <w:r/>
    </w:p>
    <w:p>
      <w:pPr>
        <w:ind w:left="0" w:right="0" w:firstLine="505"/>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SimSun" w:hAnsi="SimSun" w:eastAsia="SimSun" w:cs="SimSun"/>
          <w:b/>
          <w:color w:val="000000"/>
          <w:sz w:val="24"/>
          <w:highlight w:val="yellow"/>
        </w:rPr>
        <w:t xml:space="preserve">提供有效期内的农药三证（农药生产许可证、农药登记证、产品质量标准证），且在油菜上登记，如是农药经销商还需提供农药经营许可证</w:t>
      </w:r>
      <w:r>
        <w:rPr>
          <w:rFonts w:ascii="SimSun" w:hAnsi="SimSun" w:eastAsia="SimSun" w:cs="SimSun"/>
          <w:color w:val="000000"/>
          <w:sz w:val="24"/>
        </w:rPr>
        <w:t xml:space="preserve">；</w:t>
      </w:r>
      <w:r/>
    </w:p>
    <w:p>
      <w:pPr>
        <w:ind w:left="0" w:right="0" w:firstLine="505"/>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6：供货时需分发到户或提供装卸和分发到户的相关费用：0.1万元*总吨位。</w:t>
      </w:r>
      <w:r/>
    </w:p>
    <w:p>
      <w:pPr>
        <w:ind w:left="0" w:right="0" w:firstLine="505"/>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报价要求：报价时采用单价报价，最高限价详见上方列表，投标报价高于最高限价（单价）的为无效报价文件，采购总额不超过资金预算。本项目选取1名成交供应商，报价中单价报价最低的报价人为本包成交供应商，如最低报价相同，则由谈判小组现场抽签决定。</w:t>
      </w:r>
      <w:r/>
    </w:p>
    <w:p>
      <w:pPr>
        <w:ind w:left="0" w:right="0" w:firstLine="482"/>
        <w:jc w:val="both"/>
        <w:spacing w:before="22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4、供货期：</w:t>
      </w:r>
      <w:r>
        <w:rPr>
          <w:rFonts w:ascii="SimSun" w:hAnsi="SimSun" w:eastAsia="SimSun" w:cs="SimSun"/>
          <w:color w:val="000000"/>
          <w:sz w:val="24"/>
          <w:highlight w:val="yellow"/>
        </w:rPr>
        <w:t xml:space="preserve">签订合同后5天内供货完成</w:t>
      </w:r>
      <w:r>
        <w:rPr>
          <w:rFonts w:ascii="SimSun" w:hAnsi="SimSun" w:eastAsia="SimSun" w:cs="SimSun"/>
          <w:color w:val="000000"/>
          <w:sz w:val="24"/>
        </w:rPr>
        <w:t xml:space="preserve">。</w:t>
      </w:r>
      <w:r/>
    </w:p>
    <w:p>
      <w:pPr>
        <w:ind w:left="0" w:right="0" w:firstLine="482"/>
        <w:jc w:val="both"/>
        <w:spacing w:before="22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5、参加竞争性谈判的投标保证金缴纳：免缴。</w:t>
      </w:r>
      <w:r/>
    </w:p>
    <w:p>
      <w:pPr>
        <w:ind w:left="0" w:right="0" w:firstLine="482"/>
        <w:jc w:val="both"/>
        <w:spacing w:before="22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6、投标有效期：投标有效期为自开标之日起60天。</w:t>
      </w:r>
      <w:r/>
    </w:p>
    <w:p>
      <w:pPr>
        <w:ind w:left="0" w:right="0" w:firstLine="482"/>
        <w:jc w:val="both"/>
        <w:spacing w:before="22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7、付款约定:</w:t>
      </w:r>
      <w:r>
        <w:rPr>
          <w:rFonts w:ascii="SimSun" w:hAnsi="SimSun" w:eastAsia="SimSun" w:cs="SimSun"/>
          <w:b/>
          <w:color w:val="000000"/>
          <w:sz w:val="24"/>
        </w:rPr>
        <w:t xml:space="preserve">合同签定后，中标供应商按照合同规定将供应产品送至指定地点，经验收合格，供货全面完成后四个月内，由项目实施单位一次性全部结清</w:t>
      </w:r>
      <w:r>
        <w:rPr>
          <w:rFonts w:ascii="Arial" w:hAnsi="Arial" w:eastAsia="Arial" w:cs="Arial"/>
          <w:b/>
          <w:color w:val="000000"/>
          <w:sz w:val="24"/>
        </w:rPr>
        <w:t xml:space="preserve">。</w:t>
      </w:r>
      <w:r/>
    </w:p>
    <w:p>
      <w:pPr>
        <w:ind w:left="0" w:right="0" w:firstLine="48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8、本次采购标的对应的中小企业划分标准所属行业为：</w:t>
      </w:r>
      <w:r>
        <w:rPr>
          <w:rFonts w:ascii="SimSun" w:hAnsi="SimSun" w:eastAsia="SimSun" w:cs="SimSun"/>
          <w:b/>
          <w:color w:val="000000"/>
          <w:sz w:val="24"/>
        </w:rPr>
        <w:t xml:space="preserve">工业</w:t>
      </w:r>
      <w:r>
        <w:rPr>
          <w:rFonts w:ascii="SimSun" w:hAnsi="SimSun" w:eastAsia="SimSun" w:cs="SimSun"/>
          <w:color w:val="000000"/>
          <w:sz w:val="24"/>
        </w:rPr>
        <w:t xml:space="preserve">。</w:t>
      </w:r>
      <w:r/>
    </w:p>
    <w:p>
      <w:pPr>
        <w:ind w:left="0" w:right="0" w:firstLine="482"/>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9、本项目项目类型为：货物类。</w:t>
      </w:r>
      <w:r/>
    </w:p>
    <w:p>
      <w:pPr>
        <w:ind w:left="0" w:right="0" w:firstLine="482"/>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10、本项目专门面向中小企业。</w:t>
      </w:r>
      <w:r/>
    </w:p>
    <w:p>
      <w:pPr>
        <w:ind w:left="0" w:right="0" w:firstLine="497"/>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二、申请人的资格要求：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法人或者其他组织的营业执照等证明文件，自然人的身份证明；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2025年度的财务状况报告（成立不满一年无需提供）或投标截止时间前三个月（不含投标截止时间当月）中至少一个月的银行资信证明；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1.4具备履行合同所必需的设备和专业技术能力的书面声明；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3.本次招标落实的政府采购政策：《政府采购促进中小企业发展管理办法》、《关于政府采购支持监狱企业发展有关问题的通知》、《关于促进残疾人就业政府采购政策的通知》、</w:t>
      </w:r>
      <w:r>
        <w:rPr>
          <w:rFonts w:ascii="SimSun" w:hAnsi="SimSun" w:eastAsia="SimSun" w:cs="SimSun"/>
          <w:b/>
          <w:color w:val="000000"/>
          <w:sz w:val="24"/>
        </w:rPr>
        <w:t xml:space="preserve">《国务院办公厅关于在政府采购中实施本国产品标准及相关政策的通知》</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①本项目对小型和微型企业产品给予10%的扣除价格，用扣除后的价格参与评审。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②供应商需按照《政府采购促进中小企业发展管理办法》（财库﹝2020﹞46 号）的规定提供相应的《中小企业声明函》。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③企业标准请参照《关于印发中小企业划型标准规定的通知》（工信部联企业[2011]300号）文件规定自行填写。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①本项目对残疾人福利性单位，给予10%的价格扣除，用扣除后的价格参与评审。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②残疾人福利单位需按照采购文件的要求提供《残疾人福利性单位声明函》。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③残疾人福利单位标准请参照《关于促进残疾人就业政府采购政策的通知》（财库〔2017〕141号）。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①本项目对监狱和戒毒企业（简称监狱企业）给予10%的价格扣除，用扣除后的价格参与评审。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③监狱企业标准请参照《关于政府采购支持监狱企业发展有关问题的通知》（财库[2014]68号）。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（6）、联合体各方均为小型、微型企业（残疾人福利单位、监狱企业）的，联合体享受上述同类价格扣除，用扣除后的价格参与评审。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专门面向中小企业采购的项目或者采购包，不再执行价格评审优惠的扶持政策。</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（7）、采购本国产品的支持政策</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7.1 本项目政府采购活动中既有本国产品又有非本国产品参与竞争的，依法对本国产品给予价格评审优惠，对本国产品的报价给予20%的价格扣除，用扣除后的价格参与评审。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7.2 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7.3 供应商需按照招标文件的要求提供《关于符合本国产品标准的声明函》（以下简称《声明函》），如不提供将不享受本国产品价格评审优惠。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7.5 评标过程中，如发现供应商在《声明函》内容含义不明确、同类事项与投标（响应）文件表述不一致或者有明显文字错误等情况的，谈判小组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（8）、根据《江苏省政府采购信用管理暂行办法》的规定，供应商信用评价结果为三星的扣2分，评价结果为二星的扣3分，评价结果为一星的扣4分。</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4.本项目的特定资格要求：</w:t>
      </w:r>
      <w:r>
        <w:rPr>
          <w:rFonts w:ascii="SimSun" w:hAnsi="SimSun" w:eastAsia="SimSun" w:cs="SimSun"/>
          <w:b/>
          <w:color w:val="000000"/>
          <w:sz w:val="24"/>
          <w:highlight w:val="yellow"/>
          <w:u w:val="single"/>
        </w:rPr>
        <w:t xml:space="preserve">提供有效期内的农药三证（农药生产许可证、农药登记证、产品质量标准证），且在油菜上登记，如是农药经销商还需提供农药经营许可证；</w:t>
      </w:r>
      <w:r/>
    </w:p>
    <w:p>
      <w:pPr>
        <w:ind w:left="0" w:right="0" w:firstLine="497"/>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三、获取采购文件</w:t>
      </w:r>
      <w:r/>
    </w:p>
    <w:p>
      <w:pPr>
        <w:ind w:left="0" w:right="0" w:firstLine="5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1.时间：自谈判文件公告发布之日起至提交响应文件截止之日止。</w:t>
      </w:r>
      <w:r/>
    </w:p>
    <w:p>
      <w:pPr>
        <w:ind w:left="0" w:right="0" w:firstLine="5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2.方式：在“江苏政府采购网”自行免费下载谈判文件。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获取方式：本项目采用网上注册登记方式。</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2.1潜在供应商访问电子招标响应交易平台的网络地址和方法：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2.2潜在供应商访问“苏采云”系统的网络地址和方法：“苏采云”系统的网址：http://jszfcg.jsczt.cn/。</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2.3“CA数字证书”的获取：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供应商需办理CA锁，“苏采云”系统目前仅支持政务CA，省内各地区办理的用于“苏采云”平台的政务CA全省通用。南通地区“CA数字证书”的办理：南通市政务中心四楼，电话：18951314963。</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2.4采购文件（后缀名为“.kedt”）、供应商操作手册及政府采购客户端工具可通过“苏采云”系统--已报名项目--报名详情页面内相应链接进行下载。</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2.5采购人或采购代理机构将数据电文形式的采购文件加载至“苏采云”系统，供潜在供应商下载或者查阅。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2.6请潜在供应商提前安装相应的控件（详见《（苏采云）供应商操作手册》）并使用谷歌浏览器登录“苏采云”系统参与不见面开评标。</w:t>
      </w:r>
      <w:r/>
    </w:p>
    <w:p>
      <w:pPr>
        <w:ind w:left="0" w:right="0" w:firstLine="498"/>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四、提交响应文件截止时间</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 2026年5月 29日 9点00分</w:t>
      </w:r>
      <w:r>
        <w:rPr>
          <w:rFonts w:ascii="SimSun" w:hAnsi="SimSun" w:eastAsia="SimSun" w:cs="SimSun"/>
          <w:color w:val="000000"/>
          <w:sz w:val="24"/>
        </w:rPr>
        <w:t xml:space="preserve">（北京时间）。</w:t>
      </w:r>
      <w:r/>
    </w:p>
    <w:p>
      <w:pPr>
        <w:ind w:left="0" w:right="0" w:firstLine="498"/>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谈判公告及谈判文件公告期限为自本公告发布之日起3个工作日。</w:t>
      </w:r>
      <w:r/>
    </w:p>
    <w:p>
      <w:pPr>
        <w:ind w:left="0" w:right="0" w:firstLine="64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1、本次谈判不收取谈判保证金。</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2、因淮安邦瑞农业科技有限公司在本项目前期采购中标后弃标，根据财政部令第74号《政府采购非招标采购方式管理办法》第二十二条，淮安邦瑞农业科技有限公司不得参加本次采购活动。</w:t>
      </w:r>
      <w:r/>
    </w:p>
    <w:p>
      <w:pPr>
        <w:ind w:left="0" w:right="0" w:firstLine="498"/>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七、本次谈判联系方式</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1、招标人: 南通市通州区作物栽培技术指导站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联系人：周先生联系方式：18051644297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2、招标代理：江苏衡晟项目管理咨询有限公司</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地址：南通市通州区朝霞路鑫河湾</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联系人：高先生</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联系方式：15106289000  </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3、交易系统软件维护人员：0519-86722801、0519-86722806</w:t>
      </w:r>
      <w:r/>
    </w:p>
    <w:p>
      <w:pPr>
        <w:ind w:left="0" w:right="0" w:firstLine="0"/>
        <w:jc w:val="center"/>
        <w:spacing w:before="260" w:after="26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第二章供应商须知</w:t>
      </w:r>
      <w:r/>
    </w:p>
    <w:p>
      <w:pPr>
        <w:ind w:left="0" w:right="0" w:firstLine="49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w:t>
      </w:r>
      <w:r>
        <w:rPr>
          <w:rFonts w:ascii="SimHei" w:hAnsi="SimHei" w:eastAsia="SimHei" w:cs="SimHei"/>
          <w:color w:val="000000"/>
          <w:sz w:val="28"/>
        </w:rPr>
        <w:t xml:space="preserve">、采购方式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本次政府采购活动采取竞争性谈判(以下简称谈判)方式，本谈判文件仅适用于谈判公告中所述项目。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w:t>
      </w:r>
      <w:r>
        <w:rPr>
          <w:rFonts w:ascii="SimHei" w:hAnsi="SimHei" w:eastAsia="SimHei" w:cs="SimHei"/>
          <w:color w:val="000000"/>
          <w:sz w:val="28"/>
        </w:rPr>
        <w:t xml:space="preserve">、合格的供应商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2.1满足谈判公告中供应商资格要求的规定。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满足本谈判文件实质性要求和条件的规定。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w:t>
      </w:r>
      <w:r>
        <w:rPr>
          <w:rFonts w:ascii="SimHei" w:hAnsi="SimHei" w:eastAsia="SimHei" w:cs="SimHei"/>
          <w:color w:val="000000"/>
          <w:sz w:val="28"/>
        </w:rPr>
        <w:t xml:space="preserve">、适用法律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本次谈判及由此产生的合同受中华人民共和国有关的法律法规制约和保护。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4</w:t>
      </w:r>
      <w:r>
        <w:rPr>
          <w:rFonts w:ascii="SimHei" w:hAnsi="SimHei" w:eastAsia="SimHei" w:cs="SimHei"/>
          <w:color w:val="000000"/>
          <w:sz w:val="28"/>
        </w:rPr>
        <w:t xml:space="preserve">、谈判费用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4.1供应商应自行承担所有与参加本次谈判有关的费用，无论谈判过程中的做法和结果如何，采购人和招标代理机构在任何情况下均无义务和责任承担这些费用。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4.2本次谈判采购人和采购人不收取标书工本费与成交服务费。</w:t>
      </w:r>
      <w:r/>
    </w:p>
    <w:p>
      <w:pPr>
        <w:ind w:left="0" w:right="0" w:firstLine="480"/>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4.3本项目招标代理费按照《关于印发江苏省招标代理服务收费的指导意见》苏招协【2022】002文差额定率分档累进法计算汇总后的30%计取，由中标单位支付，请投标报价综合考虑。</w:t>
      </w:r>
      <w:r/>
    </w:p>
    <w:p>
      <w:pPr>
        <w:ind w:left="0" w:right="0" w:firstLine="420"/>
        <w:jc w:val="center"/>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3381375" cy="71437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280794" name=""/>
                        <pic:cNvPicPr>
                          <a:picLocks noChangeAspect="1"/>
                        </pic:cNvPicPr>
                        <pic:nvPr/>
                      </pic:nvPicPr>
                      <pic:blipFill>
                        <a:blip/>
                        <a:stretch/>
                      </pic:blipFill>
                      <pic:spPr bwMode="auto">
                        <a:xfrm>
                          <a:off x="0" y="0"/>
                          <a:ext cx="3381374" cy="7143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66.2pt;height:56.2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 </w:t>
      </w:r>
      <w:r/>
    </w:p>
    <w:p>
      <w:pPr>
        <w:ind w:left="0" w:right="0" w:firstLine="12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代理费=[1+(成交价-50）*1.5%]*30%。</w:t>
      </w:r>
      <w:r/>
    </w:p>
    <w:p>
      <w:pPr>
        <w:ind w:left="0" w:right="0" w:firstLine="301"/>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Hei" w:hAnsi="SimHei" w:eastAsia="SimHei" w:cs="SimHei"/>
          <w:b/>
          <w:color w:val="000000"/>
          <w:sz w:val="30"/>
        </w:rPr>
        <w:t xml:space="preserve">、</w:t>
      </w:r>
      <w:r>
        <w:rPr>
          <w:rFonts w:ascii="SimHei" w:hAnsi="SimHei" w:eastAsia="SimHei" w:cs="SimHei"/>
          <w:color w:val="000000"/>
          <w:sz w:val="28"/>
        </w:rPr>
        <w:t xml:space="preserve">谈判文件的约束力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5.1供应商一旦参加本项目采购活动，即被认为接受了本谈判文件的规定和约束。</w:t>
      </w:r>
      <w:r/>
    </w:p>
    <w:p>
      <w:pPr>
        <w:ind w:left="0" w:right="0" w:firstLine="32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二、谈判文件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6</w:t>
      </w:r>
      <w:r>
        <w:rPr>
          <w:rFonts w:ascii="SimHei" w:hAnsi="SimHei" w:eastAsia="SimHei" w:cs="SimHei"/>
          <w:color w:val="000000"/>
          <w:sz w:val="28"/>
        </w:rPr>
        <w:t xml:space="preserve">、谈判文件构成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6.1谈判文件由以下部分组成：</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（1）谈判邀请</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（5）响应文件格式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请仔细检查谈判文件是否齐全，如有缺漏请立即与采购人联系解决。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w:t>
      </w:r>
      <w:r>
        <w:rPr>
          <w:rFonts w:ascii="SimHei" w:hAnsi="SimHei" w:eastAsia="SimHei" w:cs="SimHei"/>
          <w:color w:val="000000"/>
          <w:sz w:val="28"/>
        </w:rPr>
        <w:t xml:space="preserve">、谈判文件的澄清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任何要求对谈判文件进行澄清的供应商，应在谈判截止期5日前按谈判公告中的通讯地址，以书面形式通知采购人。</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8</w:t>
      </w:r>
      <w:r>
        <w:rPr>
          <w:rFonts w:ascii="SimHei" w:hAnsi="SimHei" w:eastAsia="SimHei" w:cs="SimHei"/>
          <w:color w:val="000000"/>
          <w:sz w:val="28"/>
        </w:rPr>
        <w:t xml:space="preserve">、谈判文件的澄清和修改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响应文件提交截止时间前，采购人可以对谈判文件进行澄清和修改,澄清或者修改的内容作为谈判文件的组成部分。澄清或者修改的内容可能影响响应文件编制的，采购人将在提交首次响应文件截止时间至少5日前，在“江苏政府采购网”上发布书面更正公告形式通知所有获取谈判文件的供应商,更正公告内容将作为谈判文件的组成部分，并对供应商具有约束力。不足5日的，采购人将顺延提交首次响应文件截止时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8.2招标人可以视采购项目的具体情况，组织供应商进行现场考察或召开谈判前答疑会，但不单独或分别组织只有一个供应商参加的现场考察和答疑会。</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三、响应文件的编制</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9</w:t>
      </w:r>
      <w:r>
        <w:rPr>
          <w:rFonts w:ascii="SimHei" w:hAnsi="SimHei" w:eastAsia="SimHei" w:cs="SimHei"/>
          <w:color w:val="000000"/>
          <w:sz w:val="28"/>
        </w:rPr>
        <w:t xml:space="preserve">、响应文件的语言及度量衡单位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9.1供应商提交的响应文件以及供应商与采购人就有关谈判的所有来往通知、函件和文件均应使用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除技术性能另有规定外，响应文件所使用的度量衡单位，均须采用国家法定计量单位。</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10</w:t>
      </w:r>
      <w:r>
        <w:rPr>
          <w:rFonts w:ascii="SimHei" w:hAnsi="SimHei" w:eastAsia="SimHei" w:cs="SimHei"/>
          <w:color w:val="000000"/>
          <w:sz w:val="28"/>
        </w:rPr>
        <w:t xml:space="preserve">、响应文件构成</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10.1供应商编写的响应文件应包括资格证明文件、符合性证明文件、分项报价表、技术要求响应及偏离表、商务要求响应及偏离表、其他证明文件、谈判响应函等部分。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如标书制作工具中格式和内容与“江苏政府采购网”发布的谈判文件不一致，请以“江苏政府采购网”发布的谈判文件为准。</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11</w:t>
      </w:r>
      <w:r>
        <w:rPr>
          <w:rFonts w:ascii="SimHei" w:hAnsi="SimHei" w:eastAsia="SimHei" w:cs="SimHei"/>
          <w:color w:val="000000"/>
          <w:sz w:val="28"/>
        </w:rPr>
        <w:t xml:space="preserve">、证明谈判响应标的符合谈判文件规定的文件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11.1供应商应按照谈判文件要求提交证明文件，证明其及谈判响应标的符合谈判文件规定。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11.2谈判文件对证明文件无明确形式要求的，证明文件可以以文字资料、图纸和数据等形式提交。</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12</w:t>
      </w:r>
      <w:r>
        <w:rPr>
          <w:rFonts w:ascii="SimHei" w:hAnsi="SimHei" w:eastAsia="SimHei" w:cs="SimHei"/>
          <w:color w:val="000000"/>
          <w:sz w:val="28"/>
        </w:rPr>
        <w:t xml:space="preserve">、分项报价表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12.1供应商应按照谈判文件规定格式填报分项报价表。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12.2谈判货币。响应文件中的单价和总价无特殊规定的采用人民币报价，以元为单位标注。谈判文件中另有规定的按规定执行。</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、技术要求响应及偏离表、商务要求响应及偏离表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13.1供应商需对谈判文件中的技术要求与商务要求逐项作出响应或偏离，并说明原因。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13.2供应商可在响应文件中提供认为需要的其他技术文件或说明。</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14</w:t>
      </w:r>
      <w:r>
        <w:rPr>
          <w:rFonts w:ascii="SimHei" w:hAnsi="SimHei" w:eastAsia="SimHei" w:cs="SimHei"/>
          <w:color w:val="000000"/>
          <w:sz w:val="28"/>
        </w:rPr>
        <w:t xml:space="preserve">、服务承诺、培训计划、人员安排及其他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14.1供应商需根据谈判文件要求提供有关售后服务的管理制度，售后服务机构的分布情况，售后服务人员的数量、素质、技术水平及售后服务的反应能力等。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14.2供应商需根据谈判文件要求提供培训计划。</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14.3供应商需根据谈判文件要求提供谈判响应标的的主要组成部分、功能设计、实现思路及关键技术等。</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15</w:t>
      </w:r>
      <w:r>
        <w:rPr>
          <w:rFonts w:ascii="SimHei" w:hAnsi="SimHei" w:eastAsia="SimHei" w:cs="SimHei"/>
          <w:color w:val="000000"/>
          <w:sz w:val="28"/>
        </w:rPr>
        <w:t xml:space="preserve">、谈判响应函</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15.1供应商应按照谈判文件中提供的格式完整、正确填写谈判响应函。</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16</w:t>
      </w:r>
      <w:r>
        <w:rPr>
          <w:rFonts w:ascii="SimHei" w:hAnsi="SimHei" w:eastAsia="SimHei" w:cs="SimHei"/>
          <w:color w:val="000000"/>
          <w:sz w:val="28"/>
        </w:rPr>
        <w:t xml:space="preserve">、谈判有效期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16.1谈判有效期为采购人规定的提交响应文件截止之日后</w:t>
      </w:r>
      <w:r>
        <w:rPr>
          <w:rFonts w:ascii="SimSun" w:hAnsi="SimSun" w:eastAsia="SimSun" w:cs="SimSun"/>
          <w:b/>
          <w:color w:val="000000"/>
          <w:sz w:val="24"/>
          <w:u w:val="single"/>
        </w:rPr>
        <w:t xml:space="preserve">六十（</w:t>
      </w:r>
      <w:r>
        <w:rPr>
          <w:rFonts w:ascii="FangSong" w:hAnsi="FangSong" w:eastAsia="FangSong" w:cs="FangSong"/>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。谈判有效期比规定短的将被视为非实质性响应谈判文件而予以拒绝。</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17</w:t>
      </w:r>
      <w:r>
        <w:rPr>
          <w:rFonts w:ascii="SimHei" w:hAnsi="SimHei" w:eastAsia="SimHei" w:cs="SimHei"/>
          <w:color w:val="000000"/>
          <w:sz w:val="28"/>
        </w:rPr>
        <w:t xml:space="preserve">、谈判有效期的延长</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采购人于原谈判有效期满之前，可向供应商提出延长谈判有效期的要求。这种要求与答复均应采用书面形式。供应商可以拒绝采购人的这一要求而放弃谈判，同意延长谈判有效期的供应商既不能要求也不允许修改其响应文件。受谈判有效期约束的所有权利与义务均延长至新的有效期。</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四、响应文件的递交</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18</w:t>
      </w:r>
      <w:r>
        <w:rPr>
          <w:rFonts w:ascii="SimHei" w:hAnsi="SimHei" w:eastAsia="SimHei" w:cs="SimHei"/>
          <w:color w:val="000000"/>
          <w:sz w:val="28"/>
        </w:rPr>
        <w:t xml:space="preserve">、电子谈判响应文件的递交</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18.1供应商应当按照《操作手册》规定，在提交响应文件截止时间前制作并上传电子响应文件。</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w:t>
      </w:r>
      <w:r>
        <w:rPr>
          <w:rFonts w:ascii="SimSun" w:hAnsi="SimSun" w:eastAsia="SimSun" w:cs="SimSun"/>
          <w:b/>
          <w:color w:val="000000"/>
          <w:sz w:val="24"/>
        </w:rPr>
        <w:t xml:space="preserve">中标单位在在中标结果公示结束并经确认后，提供叁份相同的和网上投标文件一致的投标文件（加盖投标单位公章）及不加密电子投标文件（U盘一份）送给招标人或招标代理机构，办领中标通知书，不提供不得办领中标通知书。</w:t>
      </w:r>
      <w:r/>
    </w:p>
    <w:p>
      <w:pPr>
        <w:ind w:left="0" w:right="0" w:firstLine="560"/>
        <w:jc w:val="both"/>
        <w:spacing w:before="280" w:after="290" w:line="2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SimHei" w:hAnsi="SimHei" w:eastAsia="SimHei" w:cs="SimHei"/>
          <w:color w:val="000000"/>
          <w:sz w:val="28"/>
        </w:rPr>
        <w:t xml:space="preserve">、提交响应文件截止时间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19.1供应商上传电子响应文件的时间不得迟于谈判公告中规定的提交响应文件截止时间。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供应商应充分考虑到网络环境、网络带宽等风险因素，如因供应商自身原因造成的电子响应文件上传不成功的按照本谈判文件第二章第26.3.2条规定做无效响应处理。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采购人可以按照规定，通过修改谈判文件酌情延长提交响应文件截止日期，在此情况下，供应商的所有权利和义务以及供应商受制的截止日期均应以延长后新的截止日期为准。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20</w:t>
      </w:r>
      <w:r>
        <w:rPr>
          <w:rFonts w:ascii="SimHei" w:hAnsi="SimHei" w:eastAsia="SimHei" w:cs="SimHei"/>
          <w:color w:val="000000"/>
          <w:sz w:val="28"/>
        </w:rPr>
        <w:t xml:space="preserve">、响应文件的拒收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采购人拒绝接收在其规定的提交响应文件截止时间后上传的任何电子响应文件。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21</w:t>
      </w:r>
      <w:r>
        <w:rPr>
          <w:rFonts w:ascii="SimHei" w:hAnsi="SimHei" w:eastAsia="SimHei" w:cs="SimHei"/>
          <w:color w:val="000000"/>
          <w:sz w:val="28"/>
        </w:rPr>
        <w:t xml:space="preserve">、响应文件的撤回和修改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21.1响应文件的撤回</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电子响应文件的撤回</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供应商可在提交响应文件截止时间前，撤回其电子响应文件，具体操作方法见《操作手册》。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21.1.2供应商撤回电子响应文件，则认为其不再参与本项目谈判活动。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21.2响应文件的修改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供应商可在提交响应文件截止时间前，对其电子响应文件进行修改，具体操作方法见《操作手册》。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在提交响应文件截止时间之后，供应商不得对其电子响应文件作任何修改。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 在提交响应文件截止时间至谈判文件中规定的谈判有效期满之间的这段时间内，供应商不得撤回其响应文件。</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五、响应文件的解密与评审</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22</w:t>
      </w:r>
      <w:r>
        <w:rPr>
          <w:rFonts w:ascii="SimHei" w:hAnsi="SimHei" w:eastAsia="SimHei" w:cs="SimHei"/>
          <w:color w:val="000000"/>
          <w:sz w:val="28"/>
        </w:rPr>
        <w:t xml:space="preserve">、响应文件解密</w:t>
      </w:r>
      <w:r/>
    </w:p>
    <w:p>
      <w:pPr>
        <w:ind w:left="0" w:right="0" w:firstLine="3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22.1供应商应当按照《操作手册》规定，在苏采云系统规定的时间内对谈判响应文件进行解密。</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23</w:t>
      </w:r>
      <w:r>
        <w:rPr>
          <w:rFonts w:ascii="SimHei" w:hAnsi="SimHei" w:eastAsia="SimHei" w:cs="SimHei"/>
          <w:color w:val="000000"/>
          <w:sz w:val="28"/>
        </w:rPr>
        <w:t xml:space="preserve">、谈判小组</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23.1采购人将组织谈判小组对响应文件进行评审。谈判小组由采购人代表和有关技术、经济等方面的专家组成，且人员构成符合政府采购有关规定。</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23.2谈判小组独立工作，负责评审所有响应文件并确定成交侯选人。</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24、评审过程的保密与公正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24.1谈判小组、采购人和采购人工作人员、相关监督人员等与评审工作有关的人员，对评审情况以及在评审过程中获悉的国家秘密、商业秘密负有保密责任。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24.2在评审过程中，供应商不得以任何行为影响谈判评审过程，否则其响应文件将被作为无效响应文件。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24.3在项目评审期间，采购人将设专门人员与供应商联系。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采购人和谈判小组不向未成交的供应商解释未成交原因，也不公布评审过程中的相关细节。</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25</w:t>
      </w:r>
      <w:r>
        <w:rPr>
          <w:rFonts w:ascii="SimHei" w:hAnsi="SimHei" w:eastAsia="SimHei" w:cs="SimHei"/>
          <w:color w:val="000000"/>
          <w:sz w:val="28"/>
        </w:rPr>
        <w:t xml:space="preserve">、评审过程中的的澄清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谈判小组并非对每个供应商都作澄清要求。</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25.3 接到谈判小组澄清、说明和更正要求的供应商如未按规定做出澄清、说明和 更正，其风险由供应商自行承担。</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26</w:t>
      </w:r>
      <w:r>
        <w:rPr>
          <w:rFonts w:ascii="SimHei" w:hAnsi="SimHei" w:eastAsia="SimHei" w:cs="SimHei"/>
          <w:color w:val="000000"/>
          <w:sz w:val="28"/>
        </w:rPr>
        <w:t xml:space="preserve">、对响应文件的审查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26.1响应文件审查分为资格审查和符合性审查。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资格审查：由谈判小组依据法律法规和谈判文件的规定，对响应文件中的资格证明文件进行审查，以确定供应商是否具备参加谈判的资格。</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谈判小组在进行资格审查的同时，将在“信用中国”网站（www.creditchina.gov.cn）查询供应商的信用记录，以确定供应商是否具备谈判资格,查询结果留存并归档。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符合性审查：依据谈判文件的规定，由谈判小组从响应文件的有效性、完整性和对谈判文件的响应程度进行审查，以确定是否对谈判文件的实质性要求作出响应。</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未通过资格审查或符合性审查的供应商，谈判小组将在苏采云系统中告知未通过资格审查或符合性审查的原因，评审结束后，谈判小组将不再告知未通过资格审查或符合性审查的原因。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26.2在详细评审之前，谈判小组将首先审查每份响应文件是否实质性响应了谈判文件的要求。实质性响应的响应文件应该是与谈判文件要求的条款、条件和规格相符，没有重大偏离或保留。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谈判文件规定的实质性要求存在负偏离，或者在实质上与谈判文件不一致，而且限制了合同中买方和采购人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26.3未实质性响应谈判文件的情形</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26.3.1供应商在苏采云系统规定的时间内未成功解密电子响应文件的。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26.3.2供应商未按照谈判文件要求上传电子响应文件的。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26.3.3同一供应商提交两个（含两个）以上不同的响应文件或者最后报价的。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26.3.4供应商不具备谈判文件中规定资格要求的。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26.3.5供应商的最后报价超过了采购预算。</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26.3.6不符合谈判文件中规定的实质性要求和条件的</w:t>
      </w:r>
      <w:r>
        <w:rPr>
          <w:rFonts w:ascii="SimSun" w:hAnsi="SimSun" w:eastAsia="SimSun" w:cs="SimSun"/>
          <w:i/>
          <w:color w:val="000000"/>
          <w:sz w:val="24"/>
          <w:u w:val="single"/>
        </w:rPr>
        <w:t xml:space="preserve">（本谈判文件中斜体且有下划线部分为实质性要求和条件）。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26.3.8  响应文件含有采购人不能接受的附加条件的。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26.3.9 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26.3.10响应文件未按照谈判文件要求加盖CA电子公章的。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26.3.11谈判小组按照本招标文件规定对投标人进行异常低价投标审查后，认为投标人不能证明其报价合理性的。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26.4未实质性响应谈判文件的响应文件按无效响应处理。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26.5如果响应文件实质上没有响应谈判文件的要求，谈判小组将予以拒绝，供应商不得通过修改或撤销不合要求的偏离或保留而使其成为实质性响应的文件。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26.6供应商在项目评审全过程中应保持通讯畅通，并安排专人与采购人及谈判小组联系。</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27</w:t>
      </w:r>
      <w:r>
        <w:rPr>
          <w:rFonts w:ascii="SimHei" w:hAnsi="SimHei" w:eastAsia="SimHei" w:cs="SimHei"/>
          <w:color w:val="000000"/>
          <w:sz w:val="28"/>
        </w:rPr>
        <w:t xml:space="preserve">、谈判程序及成交原则</w:t>
      </w:r>
      <w:r/>
    </w:p>
    <w:p>
      <w:pPr>
        <w:ind w:left="0" w:right="0" w:firstLine="477"/>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27.1谈判程序</w:t>
      </w:r>
      <w:r/>
    </w:p>
    <w:p>
      <w:pPr>
        <w:ind w:left="0" w:right="0" w:firstLine="477"/>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left="0" w:right="0" w:firstLine="477"/>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left="0" w:right="0" w:firstLine="477"/>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left="0" w:right="0" w:firstLine="477"/>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77"/>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left="0" w:right="0" w:firstLine="477"/>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成交原则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27.2.1</w:t>
      </w:r>
      <w:r>
        <w:rPr>
          <w:rFonts w:ascii="SimSun" w:hAnsi="SimSun" w:eastAsia="SimSun" w:cs="SimSun"/>
          <w:color w:val="000000"/>
          <w:sz w:val="24"/>
        </w:rPr>
        <w:t xml:space="preserve">谈判小组将从质量和服务均能满足采购文件实质性响应要求的供应商中，按照最后报价由低到高顺序推荐</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名成交候选供应商，并编写评审报告。采购人从评审报告提出的成交候选供应商中，根据质量和服务均能满足采购文件实质性响应要求且最后报价最低的原则确定成交供应商。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27.2.2 </w:t>
      </w:r>
      <w:r>
        <w:rPr>
          <w:rFonts w:ascii="SimSun" w:hAnsi="SimSun" w:eastAsia="SimSun" w:cs="SimSun"/>
          <w:color w:val="000000"/>
          <w:sz w:val="24"/>
        </w:rPr>
        <w:t xml:space="preserve">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27.2.3 </w:t>
      </w:r>
      <w:r>
        <w:rPr>
          <w:rFonts w:ascii="SimSun" w:hAnsi="SimSun" w:eastAsia="SimSun" w:cs="SimSun"/>
          <w:color w:val="000000"/>
          <w:sz w:val="24"/>
        </w:rPr>
        <w:t xml:space="preserve">供应商的最后报价如相同，则优先采购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yellow"/>
        </w:rPr>
        <w:t xml:space="preserve">本项目选取</w:t>
      </w:r>
      <w:r>
        <w:rPr>
          <w:rFonts w:ascii="Times New Roman" w:hAnsi="Times New Roman" w:eastAsia="Times New Roman" w:cs="Times New Roman"/>
          <w:b/>
          <w:color w:val="000000"/>
          <w:sz w:val="24"/>
          <w:highlight w:val="yellow"/>
        </w:rPr>
        <w:t xml:space="preserve">1</w:t>
      </w:r>
      <w:r>
        <w:rPr>
          <w:rFonts w:ascii="SimSun" w:hAnsi="SimSun" w:eastAsia="SimSun" w:cs="SimSun"/>
          <w:b/>
          <w:color w:val="000000"/>
          <w:sz w:val="24"/>
          <w:highlight w:val="yellow"/>
        </w:rPr>
        <w:t xml:space="preserve">名成交供应商，如最后报价和以上优先条件均相同，由谈判小组现场抽签决定。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27.2.4 </w:t>
      </w:r>
      <w:r>
        <w:rPr>
          <w:rFonts w:ascii="SimSun" w:hAnsi="SimSun" w:eastAsia="SimSun" w:cs="SimSun"/>
          <w:color w:val="000000"/>
          <w:sz w:val="24"/>
        </w:rPr>
        <w:t xml:space="preserve">采购人确定成交供应商后，采购人将在“江苏政府采购网”发布成交结果公告，公告期限为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个工作日。</w:t>
      </w:r>
      <w:r/>
    </w:p>
    <w:p>
      <w:pPr>
        <w:ind w:left="0" w:right="0" w:firstLine="477"/>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27.3采购活动终止的情况</w:t>
      </w:r>
      <w:r/>
    </w:p>
    <w:p>
      <w:pPr>
        <w:ind w:left="0" w:right="0" w:firstLine="36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出现下列情形之一的，本次竞争性谈判采购活动将被终止：</w:t>
      </w:r>
      <w:r/>
    </w:p>
    <w:p>
      <w:pPr>
        <w:ind w:left="0" w:right="0" w:firstLine="36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27.3.1因情况变化，不再符合规定的竞争性谈判采购方式适用情形的。</w:t>
      </w:r>
      <w:r/>
    </w:p>
    <w:p>
      <w:pPr>
        <w:ind w:left="0" w:right="0" w:firstLine="36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27.3.2出现影响采购公正的违法、违规行为的。</w:t>
      </w:r>
      <w:r/>
    </w:p>
    <w:p>
      <w:pPr>
        <w:ind w:left="0" w:right="0" w:firstLine="36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27.3.3在采购过程中符合要求的供应商或者最后报价未超过采购预算的供应商不足3家的。</w:t>
      </w:r>
      <w:r/>
    </w:p>
    <w:p>
      <w:pPr>
        <w:ind w:left="0" w:right="0" w:firstLine="36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27.3.4在苏采云系统规定时间内成功解密电子响应文件的供应商不足3家的。</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28</w:t>
      </w:r>
      <w:r>
        <w:rPr>
          <w:rFonts w:ascii="SimHei" w:hAnsi="SimHei" w:eastAsia="SimHei" w:cs="SimHei"/>
          <w:color w:val="000000"/>
          <w:sz w:val="28"/>
        </w:rPr>
        <w:t xml:space="preserve">、成交供应商被取消成交资格情形</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若有充分证据证明，成交供应商出现下列情况之一的，一经查实，将被取消成交资格：</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28.1提供虚假材料谋取成交的。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28.2与评审专家、采购人、其他供应商或者采购人工作人员恶意串通的。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28.3向评审专家、采购人或采购人工作人员行贿或者提供其他不正当利益的。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28.4恶意竞争，最后报价明显低于其自身合理成本且又无法提供证明的。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28.5不满足本谈判文件规定的实质性要求，但在评审过程中又未被谈判小组发现的。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28.6成交后无正当理由拒不与采购人签订政府采购合同或者未按照谈判文件确定的事项签订政府采购合同的。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28.7将政府采购合同转包的。</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29、质疑处理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采购人或采购人提出质疑。上述应知其权益受到损害之日，是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br/>
        <w:t xml:space="preserve">29.2.2对采购过程提出质疑的，为各采购程序环节结束之日。</w:t>
        <w:br/>
        <w:t xml:space="preserve">29.2.3对成交结果提出质疑的，为成交结果公告期限届满之日。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供应商应当在法定质疑期内一次性提出针对同一采购程序环节的质疑。供应商如在法定期限内对同一采购程序环节提出多次质疑的，采购人、采购人将只对供应商第一次质疑作出答复。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谈判文件中《质疑函范本》要求的格式和内容进行填写。供应商如组成联合体参加谈判，则《质疑函范本》中要求签字、盖章、加盖公章之处，联合体各方均须按要求签字、盖章、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采购方式、采购需求、供应商资格条件、评审方法与评审标准、合同文本的询问、质疑请向采购人提出，由采购人负责答复。采购人只接收以纸质原件形式送达的质疑,建议供应商尽量通过邮寄方式提交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采购人质疑接收人及联系方式见本谈判文件第一章。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未参加谈判活动的供应商或在谈判活动中自身权益未受到损害的供应商所提出的质疑。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29.5.5供应商组成联合体参加谈判，联合体中任何一方或多方未按要求签字、盖章、加盖公章的质疑。</w:t>
      </w:r>
      <w:r/>
    </w:p>
    <w:p>
      <w:pPr>
        <w:ind w:left="0" w:right="0" w:firstLine="46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30、成交通知书</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30.1成交结果确定后，采购人将向成交供应商发出成交通知书。</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31. 签订合同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31.l成交供应商应当在成交通知书发出之日起三十日内，按照谈判文件确定的事项与采购人签订政府采购合同。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31.2谈判文件、成交供应商的响应文件及谈判过程中有关澄清、承诺文件均应作为合同附件。</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i/>
          <w:color w:val="000000"/>
          <w:sz w:val="24"/>
          <w:u w:val="single"/>
        </w:rPr>
        <w:t xml:space="preserve">成交供应商不得将合同标的进行转包</w:t>
      </w:r>
      <w:r>
        <w:rPr>
          <w:rFonts w:ascii="SimSun" w:hAnsi="SimSun" w:eastAsia="SimSun" w:cs="SimSun"/>
          <w:color w:val="000000"/>
          <w:sz w:val="24"/>
        </w:rPr>
        <w:t xml:space="preserve">。未经采购人同意，成交供应商也不得采用分包形式履行合同,否则采购人有权终止合同。转包或分包造成采购人损失的，成交供应商应承担相应赔偿责任。</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32、标的物的追加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33、政府采购履约资金扶持政策</w:t>
      </w:r>
      <w:r/>
    </w:p>
    <w:p>
      <w:pPr>
        <w:ind w:left="0" w:right="0" w:firstLine="55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成交供应商可凭政府采购合同办理融资贷款，详情请见江苏政府采购网“政采贷”专栏。</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34</w:t>
      </w:r>
      <w:r>
        <w:rPr>
          <w:rFonts w:ascii="SimSun" w:hAnsi="SimSun" w:eastAsia="SimSun" w:cs="SimSun"/>
          <w:color w:val="000000"/>
          <w:sz w:val="30"/>
        </w:rPr>
        <w:t xml:space="preserve">、</w:t>
      </w:r>
      <w:r>
        <w:rPr>
          <w:rFonts w:ascii="SimHei" w:hAnsi="SimHei" w:eastAsia="SimHei" w:cs="SimHei"/>
          <w:color w:val="000000"/>
          <w:sz w:val="30"/>
        </w:rPr>
        <w:t xml:space="preserve">履约保证金</w:t>
      </w:r>
      <w:r/>
    </w:p>
    <w:p>
      <w:pPr>
        <w:ind w:left="0" w:right="0" w:firstLine="55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34.1履约保证金金额为采购包金额的10%，以汇票或转帐形式支付。</w:t>
      </w:r>
      <w:r/>
    </w:p>
    <w:p>
      <w:pPr>
        <w:ind w:left="0" w:right="0" w:firstLine="55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34.2履约保证金用以约束供应商在合同履行中的行为，弥补合同执行中由于自身行为可能给采购人带来的各种损失。如果成交供应商未缴纳履约保证金，采购人有权取消本次采购成交决定。</w:t>
      </w:r>
      <w:r/>
    </w:p>
    <w:p>
      <w:pPr>
        <w:ind w:left="0" w:right="0" w:firstLine="55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34.3履约保证金的退还：合同履行结束后，成交供应商办理履约保证金退还手续。采购人逾期退还履约保证金的，按照同期银行活期存款利率承担违约责任。</w:t>
      </w:r>
      <w:r/>
    </w:p>
    <w:p>
      <w:pPr>
        <w:ind w:left="0" w:right="0" w:firstLine="301"/>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35</w:t>
      </w:r>
      <w:r>
        <w:rPr>
          <w:rFonts w:ascii="SimSun" w:hAnsi="SimSun" w:eastAsia="SimSun" w:cs="SimSun"/>
          <w:b/>
          <w:color w:val="000000"/>
          <w:sz w:val="30"/>
        </w:rPr>
        <w:t xml:space="preserve">、履约验收</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35.1.履约验收的基本要求：中标供应商应按照合同约定的品种、时间、质量、数量等要求完成本项目。</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35.2.履约验收的实施主体：由采购人作为实施主体，负责组织开展本项目的履约验收工作。也可根据实际需要委托具有相关专业资质和能力的第三方机构协助开展验收工作。</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35.3.履约验收的时间方式：政府采购合同约定的履约验收条件达到时，采购人应当在 5 个工作日内启动履约验收工作，并向供应商发出《政府采购履约验收通知单》</w:t>
      </w:r>
      <w:r>
        <w:rPr>
          <w:rFonts w:ascii="SimSun" w:hAnsi="SimSun" w:eastAsia="SimSun" w:cs="SimSun"/>
          <w:color w:val="000000"/>
          <w:sz w:val="24"/>
        </w:rPr>
        <w:t xml:space="preserve">。</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35.4.履约验收的内容：涵盖实施项目的完整性，包含项目需求中的品种、</w:t>
      </w:r>
      <w:r>
        <w:rPr>
          <w:rFonts w:ascii="SimSun" w:hAnsi="SimSun" w:eastAsia="SimSun" w:cs="SimSun"/>
          <w:color w:val="000000"/>
          <w:sz w:val="24"/>
        </w:rPr>
        <w:t xml:space="preserve">数量、</w:t>
      </w:r>
      <w:r>
        <w:rPr>
          <w:rFonts w:ascii="Calibri" w:hAnsi="Calibri" w:eastAsia="Calibri" w:cs="Calibri"/>
          <w:color w:val="000000"/>
          <w:sz w:val="24"/>
        </w:rPr>
        <w:t xml:space="preserve">质量和技术要求和服务要求。</w:t>
      </w:r>
      <w:r/>
    </w:p>
    <w:p>
      <w:pPr>
        <w:ind w:left="0" w:right="0" w:firstLine="240"/>
        <w:jc w:val="both"/>
        <w:spacing w:before="0" w:after="0" w:line="43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35.5.采购人、供应商应当对验收小组出具的验收意见进行确认，并形成政府采购履约验收书。</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36</w:t>
      </w:r>
      <w:r>
        <w:rPr>
          <w:rFonts w:ascii="SimSun" w:hAnsi="SimSun" w:eastAsia="SimSun" w:cs="SimSun"/>
          <w:b/>
          <w:color w:val="000000"/>
          <w:sz w:val="30"/>
        </w:rPr>
        <w:t xml:space="preserve">商品包装环保要求：</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应当按《关于印发〈商品包装政府采购需求标准（试行）〉、〈快递包装政府采购需求标准（试行）〉的通知》（财办库〔2020〕123号）文件执行。</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（1）商品包装层数不得超过 3 层，空隙率不大于 40%；</w:t>
      </w:r>
      <w:r/>
    </w:p>
    <w:p>
      <w:pPr>
        <w:numPr>
          <w:ilvl w:val="0"/>
          <w:numId w:val="1"/>
        </w:numPr>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商品包装尽可能使用单一材质的包装材料，如因功能需求必需使用不同材质，不同材质间应便于分离；</w:t>
      </w:r>
      <w:r/>
    </w:p>
    <w:p>
      <w:pPr>
        <w:numPr>
          <w:ilvl w:val="0"/>
          <w:numId w:val="1"/>
        </w:numPr>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商品包装中铅、汞、镉、六价铬的总含量应不大于100mg/kg；</w:t>
      </w:r>
      <w:r/>
    </w:p>
    <w:p>
      <w:pPr>
        <w:numPr>
          <w:ilvl w:val="0"/>
          <w:numId w:val="1"/>
        </w:numPr>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商品包装印刷使用的油墨中挥发性有机化合物(VOCs)含量应不大于 5%（以重量计）；</w:t>
      </w:r>
      <w:r/>
    </w:p>
    <w:p>
      <w:pPr>
        <w:numPr>
          <w:ilvl w:val="0"/>
          <w:numId w:val="1"/>
        </w:numPr>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塑料材质商品包装上呈现的印刷颜色不得超过 6 色；</w:t>
      </w:r>
      <w:r/>
    </w:p>
    <w:p>
      <w:pPr>
        <w:numPr>
          <w:ilvl w:val="0"/>
          <w:numId w:val="1"/>
        </w:numPr>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纸质商品包装应使用 75%以上的可再生纤维原料生产；</w:t>
      </w:r>
      <w:r/>
    </w:p>
    <w:p>
      <w:pPr>
        <w:numPr>
          <w:ilvl w:val="0"/>
          <w:numId w:val="1"/>
        </w:numPr>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木质商品包装的原料应来源于可持续性森林。</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快递包装环保要求：</w:t>
      </w:r>
      <w:r/>
    </w:p>
    <w:p>
      <w:pPr>
        <w:numPr>
          <w:ilvl w:val="0"/>
          <w:numId w:val="2"/>
        </w:numPr>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快递包装中重金属（铅、汞、镉、六价铬）总量应不大于 100mg/kg；（2）快递包装印刷使用的油墨中不应添加邻苯二甲酸酯，其挥发性有机化合物(VOCs)含量应不大于5%（以重量计）；（3）快递包装中使用纸基材的包装材料，纸基材中的有机氯的含量应不大于 150 mg/kg；（4）快递包装中使用塑料基材的包装材料不得使用邻苯二甲酸二异壬酯、邻苯二甲酸二正辛酯、邻苯二甲酸二(2-乙基)己酯、邻苯二甲酸二异癸酯、邻苯二甲酸丁基苄基酯、邻苯二甲酸二丁酯等作为增塑剂；（5）快递中使用的塑料包装袋不得使用聚氯乙烯作为原料</w:t>
      </w:r>
      <w:r>
        <w:rPr>
          <w:rFonts w:ascii="SimSun" w:hAnsi="SimSun" w:eastAsia="SimSun" w:cs="SimSun"/>
          <w:color w:val="000000"/>
          <w:sz w:val="24"/>
        </w:rPr>
        <w:t xml:space="preserve">，且原料应为单一材质制成，生物分解率大于60%；（6）快递中使用的充气类填充物不得使用聚氯乙烯作为 原料，且原料为单一材质制成，生物分解率大于60%；（7）快递中使用的集装袋应为单一材质制成，其重复使用次数应不小于 80 次；（8）快递中应使用幅宽不大于45mm 的生物降解胶带；（9）快递包装中不得使用溶剂型胶粘剂；（11）快递应使用电子面单；（12）直接使用商品包装作为快递包装的商品，其商品包装满足《商品包装政府采购需求标准（试行）》即可；（13）快递包装产品质量和封装方式应符合相关国家或行业标准技术指标</w:t>
      </w:r>
      <w:r>
        <w:rPr>
          <w:rFonts w:ascii="SimSun" w:hAnsi="SimSun" w:eastAsia="SimSun" w:cs="SimSun"/>
          <w:color w:val="000000"/>
          <w:sz w:val="24"/>
        </w:rPr>
        <w:t xml:space="preserve">要求。</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能环保产品：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第三章合同</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w:t>
      </w:r>
      <w:r>
        <w:rPr>
          <w:rFonts w:ascii="SimSun" w:hAnsi="SimSun" w:eastAsia="SimSun" w:cs="SimSun"/>
          <w:color w:val="000000"/>
          <w:sz w:val="44"/>
        </w:rPr>
        <w:t xml:space="preserve"> </w:t>
      </w:r>
      <w:r>
        <w:rPr>
          <w:rFonts w:ascii="SimHei" w:hAnsi="SimHei" w:eastAsia="SimHei" w:cs="SimHei"/>
          <w:color w:val="000000"/>
          <w:sz w:val="44"/>
        </w:rPr>
        <w:t xml:space="preserve">合同文本</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南通市政府采购合同（货物）（合同编号）</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项目名称：项目编号：</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甲方：（买方）</w:t>
      </w:r>
      <w:r>
        <w:rPr>
          <w:rFonts w:ascii="SimSun" w:hAnsi="SimSun" w:eastAsia="SimSun" w:cs="SimSun"/>
          <w:color w:val="000000"/>
          <w:sz w:val="24"/>
        </w:rPr>
        <w:t xml:space="preserve">_________</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乙方：（卖方）</w:t>
      </w:r>
      <w:r>
        <w:rPr>
          <w:rFonts w:ascii="SimSun" w:hAnsi="SimSun" w:eastAsia="SimSun" w:cs="SimSun"/>
          <w:color w:val="000000"/>
          <w:sz w:val="24"/>
        </w:rPr>
        <w:t xml:space="preserve">_________</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Arial" w:hAnsi="Arial" w:eastAsia="Arial" w:cs="Arial"/>
          <w:color w:val="000000"/>
          <w:sz w:val="24"/>
        </w:rPr>
        <w:t xml:space="preserve">甲、乙双方根据通州区公共资源交易中心</w:t>
      </w:r>
      <w:r>
        <w:rPr>
          <w:rFonts w:ascii="Arial" w:hAnsi="Arial" w:eastAsia="Arial" w:cs="Arial"/>
          <w:color w:val="000000"/>
          <w:sz w:val="24"/>
          <w:u w:val="single"/>
        </w:rPr>
        <w:t xml:space="preserve">         </w:t>
      </w:r>
      <w:r>
        <w:rPr>
          <w:rFonts w:ascii="Arial" w:hAnsi="Arial" w:eastAsia="Arial" w:cs="Arial"/>
          <w:color w:val="000000"/>
          <w:sz w:val="24"/>
        </w:rPr>
        <w:t xml:space="preserve">项目</w:t>
      </w:r>
      <w:r>
        <w:rPr>
          <w:rFonts w:ascii="SimSun" w:hAnsi="SimSun" w:eastAsia="SimSun" w:cs="SimSun"/>
          <w:color w:val="000000"/>
          <w:sz w:val="24"/>
        </w:rPr>
        <w:t xml:space="preserve">采购</w:t>
      </w:r>
      <w:r>
        <w:rPr>
          <w:rFonts w:ascii="Arial" w:hAnsi="Arial" w:eastAsia="Arial" w:cs="Arial"/>
          <w:color w:val="000000"/>
          <w:sz w:val="24"/>
        </w:rPr>
        <w:t xml:space="preserve">的结果，签署本合同。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一、合同内容</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w:t>
      </w:r>
      <w:r>
        <w:rPr>
          <w:rFonts w:ascii="Arial" w:hAnsi="Arial" w:eastAsia="Arial" w:cs="Arial"/>
          <w:color w:val="000000"/>
          <w:sz w:val="24"/>
        </w:rPr>
        <w:t xml:space="preserve">标的名称：</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w:t>
      </w:r>
      <w:r>
        <w:rPr>
          <w:rFonts w:ascii="Arial" w:hAnsi="Arial" w:eastAsia="Arial" w:cs="Arial"/>
          <w:color w:val="000000"/>
          <w:sz w:val="24"/>
        </w:rPr>
        <w:t xml:space="preserve">标的质量：</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w:t>
      </w:r>
      <w:r>
        <w:rPr>
          <w:rFonts w:ascii="Arial" w:hAnsi="Arial" w:eastAsia="Arial" w:cs="Arial"/>
          <w:color w:val="000000"/>
          <w:sz w:val="24"/>
        </w:rPr>
        <w:t xml:space="preserve">标的数量（规模）：</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w:t>
      </w:r>
      <w:r>
        <w:rPr>
          <w:rFonts w:ascii="Arial" w:hAnsi="Arial" w:eastAsia="Arial" w:cs="Arial"/>
          <w:color w:val="000000"/>
          <w:sz w:val="24"/>
        </w:rPr>
        <w:t xml:space="preserve">履行时间（期限）：</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w:t>
      </w:r>
      <w:r>
        <w:rPr>
          <w:rFonts w:ascii="Arial" w:hAnsi="Arial" w:eastAsia="Arial" w:cs="Arial"/>
          <w:color w:val="000000"/>
          <w:sz w:val="24"/>
        </w:rPr>
        <w:t xml:space="preserve">履行地点：</w:t>
      </w:r>
      <w:r>
        <w:rPr>
          <w:rFonts w:ascii="SimSun" w:hAnsi="SimSun" w:eastAsia="SimSun" w:cs="SimSun"/>
          <w:color w:val="000000"/>
          <w:sz w:val="24"/>
        </w:rPr>
        <w:t xml:space="preserve">通州区</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w:t>
      </w:r>
      <w:r>
        <w:rPr>
          <w:rFonts w:ascii="Arial" w:hAnsi="Arial" w:eastAsia="Arial" w:cs="Arial"/>
          <w:color w:val="000000"/>
          <w:sz w:val="24"/>
        </w:rPr>
        <w:t xml:space="preserve">履行方式：</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w:t>
      </w:r>
      <w:r>
        <w:rPr>
          <w:rFonts w:ascii="Arial" w:hAnsi="Arial" w:eastAsia="Arial" w:cs="Arial"/>
          <w:color w:val="000000"/>
          <w:sz w:val="24"/>
        </w:rPr>
        <w:t xml:space="preserve">包装方式：</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二、合同金额</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w:t>
      </w:r>
      <w:r>
        <w:rPr>
          <w:rFonts w:ascii="Arial" w:hAnsi="Arial" w:eastAsia="Arial" w:cs="Arial"/>
          <w:color w:val="000000"/>
          <w:sz w:val="24"/>
        </w:rPr>
        <w:t xml:space="preserve">本合同金额为（大写）：</w:t>
      </w:r>
      <w:r>
        <w:rPr>
          <w:rFonts w:ascii="SimSun" w:hAnsi="SimSun" w:eastAsia="SimSun" w:cs="SimSun"/>
          <w:color w:val="000000"/>
          <w:sz w:val="24"/>
        </w:rPr>
        <w:t xml:space="preserve">____________________________________</w:t>
      </w:r>
      <w:r>
        <w:rPr>
          <w:rFonts w:ascii="Arial" w:hAnsi="Arial" w:eastAsia="Arial" w:cs="Arial"/>
          <w:color w:val="000000"/>
          <w:sz w:val="24"/>
        </w:rPr>
        <w:t xml:space="preserve">圆（</w:t>
      </w:r>
      <w:r>
        <w:rPr>
          <w:rFonts w:ascii="SimSun" w:hAnsi="SimSun" w:eastAsia="SimSun" w:cs="SimSun"/>
          <w:color w:val="000000"/>
          <w:sz w:val="24"/>
        </w:rPr>
        <w:t xml:space="preserve">_______________</w:t>
      </w:r>
      <w:r>
        <w:rPr>
          <w:rFonts w:ascii="Arial" w:hAnsi="Arial" w:eastAsia="Arial" w:cs="Arial"/>
          <w:color w:val="000000"/>
          <w:sz w:val="24"/>
        </w:rPr>
        <w:t xml:space="preserve">元）人民币或其他币种。</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三、技术资料</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rPr>
          <w:rFonts w:ascii="Arial" w:hAnsi="Arial" w:eastAsia="Arial" w:cs="Arial"/>
          <w:color w:val="000000"/>
          <w:sz w:val="24"/>
        </w:rPr>
        <w:t xml:space="preserve">乙方应按</w:t>
      </w:r>
      <w:r>
        <w:rPr>
          <w:rFonts w:ascii="SimSun" w:hAnsi="SimSun" w:eastAsia="SimSun" w:cs="SimSun"/>
          <w:color w:val="000000"/>
          <w:sz w:val="24"/>
        </w:rPr>
        <w:t xml:space="preserve">竞争性谈判文件</w:t>
      </w:r>
      <w:r>
        <w:rPr>
          <w:rFonts w:ascii="Arial" w:hAnsi="Arial" w:eastAsia="Arial" w:cs="Arial"/>
          <w:color w:val="000000"/>
          <w:sz w:val="24"/>
        </w:rPr>
        <w:t xml:space="preserve">规定的时间向甲方提供与合同标的有关的技术资料。</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w:t>
      </w:r>
      <w:r>
        <w:rPr>
          <w:rFonts w:ascii="Arial" w:hAnsi="Arial" w:eastAsia="Arial" w:cs="Arial"/>
          <w:color w:val="000000"/>
          <w:sz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1"/>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四、知识产权</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w:t>
      </w:r>
      <w:r>
        <w:rPr>
          <w:rFonts w:ascii="Arial" w:hAnsi="Arial" w:eastAsia="Arial" w:cs="Arial"/>
          <w:color w:val="000000"/>
          <w:sz w:val="24"/>
        </w:rPr>
        <w:t xml:space="preserve">乙方应保证甲方在使用、接受本合同标的或其任何一部分时不受第三方提出侵犯其专利权、版权、商标权和工业设计权等知识产权的起诉。一旦出现侵权，由乙方负全部责任。</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五、产权担保</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w:t>
      </w:r>
      <w:r>
        <w:rPr>
          <w:rFonts w:ascii="Arial" w:hAnsi="Arial" w:eastAsia="Arial" w:cs="Arial"/>
          <w:color w:val="000000"/>
          <w:sz w:val="24"/>
        </w:rPr>
        <w:t xml:space="preserve">乙方保证所交付的合同标的的所有权完全属于乙方且无任何抵押、查封等产权瑕疵。</w:t>
      </w:r>
      <w:r/>
    </w:p>
    <w:p>
      <w:pPr>
        <w:ind w:left="410" w:right="0" w:hanging="408"/>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六、履约保证金</w:t>
      </w:r>
      <w:r/>
    </w:p>
    <w:p>
      <w:pPr>
        <w:ind w:left="410"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rPr>
          <w:rFonts w:ascii="Calibri" w:hAnsi="Calibri" w:eastAsia="Calibri" w:cs="Calibri"/>
          <w:color w:val="000000"/>
          <w:sz w:val="24"/>
        </w:rPr>
        <w:t xml:space="preserve">履约保证金金额为所投</w:t>
      </w:r>
      <w:r>
        <w:rPr>
          <w:rFonts w:ascii="SimSun" w:hAnsi="SimSun" w:eastAsia="SimSun" w:cs="SimSun"/>
          <w:color w:val="000000"/>
          <w:sz w:val="24"/>
        </w:rPr>
        <w:t xml:space="preserve">采购包</w:t>
      </w:r>
      <w:r>
        <w:rPr>
          <w:rFonts w:ascii="Calibri" w:hAnsi="Calibri" w:eastAsia="Calibri" w:cs="Calibri"/>
          <w:color w:val="000000"/>
          <w:sz w:val="24"/>
        </w:rPr>
        <w:t xml:space="preserve">金额的10%，以汇票或转帐形式支付</w:t>
      </w:r>
      <w:r>
        <w:rPr>
          <w:rFonts w:ascii="SimSun" w:hAnsi="SimSun" w:eastAsia="SimSun" w:cs="SimSun"/>
          <w:color w:val="000000"/>
          <w:sz w:val="24"/>
        </w:rPr>
        <w:t xml:space="preserve">。</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七、合同转包或分包</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w:t>
      </w:r>
      <w:r>
        <w:rPr>
          <w:rFonts w:ascii="Arial" w:hAnsi="Arial" w:eastAsia="Arial" w:cs="Arial"/>
          <w:color w:val="000000"/>
          <w:sz w:val="24"/>
        </w:rPr>
        <w:t xml:space="preserve">乙方不得将合同标的转包给他人履行。</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w:t>
      </w:r>
      <w:r>
        <w:rPr>
          <w:rFonts w:ascii="Arial" w:hAnsi="Arial" w:eastAsia="Arial" w:cs="Arial"/>
          <w:color w:val="000000"/>
          <w:sz w:val="24"/>
        </w:rPr>
        <w:t xml:space="preserve">乙方不得将合同标的分包给他人履行。</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w:t>
      </w:r>
      <w:r>
        <w:rPr>
          <w:rFonts w:ascii="Arial" w:hAnsi="Arial" w:eastAsia="Arial" w:cs="Arial"/>
          <w:color w:val="000000"/>
          <w:sz w:val="24"/>
        </w:rPr>
        <w:t xml:space="preserve">乙方如有转包或未经甲方同意的分包行为，甲方有权解除合同。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八、合同款项支付</w:t>
      </w:r>
      <w:r/>
    </w:p>
    <w:p>
      <w:pPr>
        <w:ind w:left="0" w:right="0" w:firstLine="480"/>
        <w:jc w:val="both"/>
        <w:spacing w:before="145" w:after="145"/>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合同签定后，中标供应商按照合同规定将供应产品送至指定地点，经验收合格，供货全面完成后</w:t>
      </w:r>
      <w:r>
        <w:rPr>
          <w:rFonts w:ascii="SimSun" w:hAnsi="SimSun" w:eastAsia="SimSun" w:cs="SimSun"/>
          <w:b/>
          <w:color w:val="000000"/>
          <w:sz w:val="24"/>
        </w:rPr>
        <w:t xml:space="preserve">四个月内</w:t>
      </w:r>
      <w:r>
        <w:rPr>
          <w:rFonts w:ascii="Arial" w:hAnsi="Arial" w:eastAsia="Arial" w:cs="Arial"/>
          <w:b/>
          <w:color w:val="000000"/>
          <w:sz w:val="24"/>
        </w:rPr>
        <w:t xml:space="preserve">，由项目实施单位一次性全部结清。</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九、税费</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w:t>
      </w:r>
      <w:r>
        <w:rPr>
          <w:rFonts w:ascii="Arial" w:hAnsi="Arial" w:eastAsia="Arial" w:cs="Arial"/>
          <w:color w:val="000000"/>
          <w:sz w:val="24"/>
        </w:rPr>
        <w:t xml:space="preserve">本合同执行中相关的一切税费均由乙方负担。</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十、项目验收</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w:t>
      </w:r>
      <w:r>
        <w:rPr>
          <w:rFonts w:ascii="Arial" w:hAnsi="Arial" w:eastAsia="Arial" w:cs="Arial"/>
          <w:color w:val="000000"/>
          <w:sz w:val="24"/>
        </w:rPr>
        <w:t xml:space="preserve">甲方依法组织履约验收工作。</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w:t>
      </w:r>
      <w:r>
        <w:rPr>
          <w:rFonts w:ascii="Arial" w:hAnsi="Arial" w:eastAsia="Arial" w:cs="Arial"/>
          <w:color w:val="000000"/>
          <w:sz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w:t>
      </w:r>
      <w:r>
        <w:rPr>
          <w:rFonts w:ascii="Arial" w:hAnsi="Arial" w:eastAsia="Arial" w:cs="Arial"/>
          <w:color w:val="000000"/>
          <w:sz w:val="24"/>
        </w:rPr>
        <w:t xml:space="preserve">对于实际使用人和甲方分离的项目，甲方邀请实际使用人参与验收。</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w:t>
      </w:r>
      <w:r>
        <w:rPr>
          <w:rFonts w:ascii="Arial" w:hAnsi="Arial" w:eastAsia="Arial" w:cs="Arial"/>
          <w:color w:val="000000"/>
          <w:sz w:val="24"/>
        </w:rPr>
        <w:t xml:space="preserve">如有必要，甲方邀请参加本项目的其他供应商或第三方专业机构及专家参与验收，相关意见将作为验收书的参考资料。</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 </w:t>
      </w:r>
      <w:r>
        <w:rPr>
          <w:rFonts w:ascii="Arial" w:hAnsi="Arial" w:eastAsia="Arial" w:cs="Arial"/>
          <w:color w:val="000000"/>
          <w:sz w:val="24"/>
        </w:rPr>
        <w:t xml:space="preserve">甲方成立验收小组，按照采购合同的约定对乙方的履约情况进行验收。验收时</w:t>
      </w:r>
      <w:r>
        <w:rPr>
          <w:rFonts w:ascii="SimSun" w:hAnsi="SimSun" w:eastAsia="SimSun" w:cs="SimSun"/>
          <w:color w:val="000000"/>
          <w:sz w:val="24"/>
        </w:rPr>
        <w:t xml:space="preserve">,</w:t>
      </w:r>
      <w:r>
        <w:rPr>
          <w:rFonts w:ascii="Arial" w:hAnsi="Arial" w:eastAsia="Arial" w:cs="Arial"/>
          <w:color w:val="000000"/>
          <w:sz w:val="24"/>
        </w:rPr>
        <w:t xml:space="preserve">甲方按照采购合同的约定对每一项技术、服务、安全标准的履约情况进行确认。验收结束后</w:t>
      </w:r>
      <w:r>
        <w:rPr>
          <w:rFonts w:ascii="SimSun" w:hAnsi="SimSun" w:eastAsia="SimSun" w:cs="SimSun"/>
          <w:color w:val="000000"/>
          <w:sz w:val="24"/>
        </w:rPr>
        <w:t xml:space="preserve">,</w:t>
      </w:r>
      <w:r>
        <w:rPr>
          <w:rFonts w:ascii="Arial" w:hAnsi="Arial" w:eastAsia="Arial" w:cs="Arial"/>
          <w:color w:val="000000"/>
          <w:sz w:val="24"/>
        </w:rPr>
        <w:t xml:space="preserve">验收小组出具验收书</w:t>
      </w:r>
      <w:r>
        <w:rPr>
          <w:rFonts w:ascii="SimSun" w:hAnsi="SimSun" w:eastAsia="SimSun" w:cs="SimSun"/>
          <w:color w:val="000000"/>
          <w:sz w:val="24"/>
        </w:rPr>
        <w:t xml:space="preserve">,</w:t>
      </w:r>
      <w:r>
        <w:rPr>
          <w:rFonts w:ascii="Arial" w:hAnsi="Arial" w:eastAsia="Arial" w:cs="Arial"/>
          <w:color w:val="000000"/>
          <w:sz w:val="24"/>
        </w:rPr>
        <w:t xml:space="preserve">列明各项标准的验收情况及项目总体评价</w:t>
      </w:r>
      <w:r>
        <w:rPr>
          <w:rFonts w:ascii="SimSun" w:hAnsi="SimSun" w:eastAsia="SimSun" w:cs="SimSun"/>
          <w:color w:val="000000"/>
          <w:sz w:val="24"/>
        </w:rPr>
        <w:t xml:space="preserve">,</w:t>
      </w:r>
      <w:r>
        <w:rPr>
          <w:rFonts w:ascii="Arial" w:hAnsi="Arial" w:eastAsia="Arial" w:cs="Arial"/>
          <w:color w:val="000000"/>
          <w:sz w:val="24"/>
        </w:rPr>
        <w:t xml:space="preserve">由验收双方共同签署。验收结果与采购合同约定的资金支付及履约保证金返还条件挂钩。履约验收的各项资料存档备查。</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 </w:t>
      </w:r>
      <w:r>
        <w:rPr>
          <w:rFonts w:ascii="Arial" w:hAnsi="Arial" w:eastAsia="Arial" w:cs="Arial"/>
          <w:color w:val="000000"/>
          <w:sz w:val="24"/>
        </w:rPr>
        <w:t xml:space="preserve">验收合格的项目</w:t>
      </w:r>
      <w:r>
        <w:rPr>
          <w:rFonts w:ascii="SimSun" w:hAnsi="SimSun" w:eastAsia="SimSun" w:cs="SimSun"/>
          <w:color w:val="000000"/>
          <w:sz w:val="24"/>
        </w:rPr>
        <w:t xml:space="preserve">,</w:t>
      </w:r>
      <w:r>
        <w:rPr>
          <w:rFonts w:ascii="Arial" w:hAnsi="Arial" w:eastAsia="Arial" w:cs="Arial"/>
          <w:color w:val="000000"/>
          <w:sz w:val="24"/>
        </w:rPr>
        <w:t xml:space="preserve">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w:t>
      </w:r>
      <w:r>
        <w:rPr>
          <w:rFonts w:ascii="SimSun" w:hAnsi="SimSun" w:eastAsia="SimSun" w:cs="SimSun"/>
          <w:color w:val="000000"/>
          <w:sz w:val="24"/>
        </w:rPr>
        <w:t xml:space="preserve">,</w:t>
      </w:r>
      <w:r>
        <w:rPr>
          <w:rFonts w:ascii="Arial" w:hAnsi="Arial" w:eastAsia="Arial" w:cs="Arial"/>
          <w:color w:val="000000"/>
          <w:sz w:val="24"/>
        </w:rPr>
        <w:t xml:space="preserve">甲方将及时报告本级财政部门。</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十一、货物的包装、发运及运输</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w:t>
      </w:r>
      <w:r>
        <w:rPr>
          <w:rFonts w:ascii="Arial" w:hAnsi="Arial" w:eastAsia="Arial" w:cs="Arial"/>
          <w:color w:val="000000"/>
          <w:sz w:val="24"/>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w:t>
      </w:r>
      <w:r>
        <w:rPr>
          <w:rFonts w:ascii="Arial" w:hAnsi="Arial" w:eastAsia="Arial" w:cs="Arial"/>
          <w:color w:val="000000"/>
          <w:sz w:val="24"/>
        </w:rPr>
        <w:t xml:space="preserve">使用说明书、质量检验证明书、随配附件和工具以及清单一并附于货物内。</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w:t>
      </w:r>
      <w:r>
        <w:rPr>
          <w:rFonts w:ascii="Arial" w:hAnsi="Arial" w:eastAsia="Arial" w:cs="Arial"/>
          <w:color w:val="000000"/>
          <w:sz w:val="24"/>
        </w:rPr>
        <w:t xml:space="preserve">乙方在货物发运手续办理完毕后</w:t>
      </w:r>
      <w:r>
        <w:rPr>
          <w:rFonts w:ascii="SimSun" w:hAnsi="SimSun" w:eastAsia="SimSun" w:cs="SimSun"/>
          <w:color w:val="000000"/>
          <w:sz w:val="24"/>
        </w:rPr>
        <w:t xml:space="preserve">24</w:t>
      </w:r>
      <w:r>
        <w:rPr>
          <w:rFonts w:ascii="Arial" w:hAnsi="Arial" w:eastAsia="Arial" w:cs="Arial"/>
          <w:color w:val="000000"/>
          <w:sz w:val="24"/>
        </w:rPr>
        <w:t xml:space="preserve">小时内或货到甲方</w:t>
      </w:r>
      <w:r>
        <w:rPr>
          <w:rFonts w:ascii="SimSun" w:hAnsi="SimSun" w:eastAsia="SimSun" w:cs="SimSun"/>
          <w:color w:val="000000"/>
          <w:sz w:val="24"/>
        </w:rPr>
        <w:t xml:space="preserve">48</w:t>
      </w:r>
      <w:r>
        <w:rPr>
          <w:rFonts w:ascii="Arial" w:hAnsi="Arial" w:eastAsia="Arial" w:cs="Arial"/>
          <w:color w:val="000000"/>
          <w:sz w:val="24"/>
        </w:rPr>
        <w:t xml:space="preserve">小时前通知甲方，以准备接货。</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w:t>
      </w:r>
      <w:r>
        <w:rPr>
          <w:rFonts w:ascii="Arial" w:hAnsi="Arial" w:eastAsia="Arial" w:cs="Arial"/>
          <w:color w:val="000000"/>
          <w:sz w:val="24"/>
        </w:rPr>
        <w:t xml:space="preserve">货物在交付甲方前发生的风险均由乙方负责。</w:t>
      </w:r>
      <w:r/>
    </w:p>
    <w:p>
      <w:pPr>
        <w:ind w:left="480" w:right="26" w:hanging="480"/>
        <w:jc w:val="both"/>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 </w:t>
      </w:r>
      <w:r>
        <w:rPr>
          <w:rFonts w:ascii="Arial" w:hAnsi="Arial" w:eastAsia="Arial" w:cs="Arial"/>
          <w:color w:val="000000"/>
          <w:sz w:val="24"/>
        </w:rPr>
        <w:t xml:space="preserve">货物在规定的交付期限内由乙方送达甲方指定的地点视为交付，乙方同时需通知甲方货物已送达。</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十一、违约责任</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w:t>
      </w:r>
      <w:r>
        <w:rPr>
          <w:rFonts w:ascii="Arial" w:hAnsi="Arial" w:eastAsia="Arial" w:cs="Arial"/>
          <w:color w:val="000000"/>
          <w:sz w:val="24"/>
        </w:rPr>
        <w:t xml:space="preserve">甲方无正当理由拒绝接受乙方提供的合同标的的，甲方向乙方偿付拒绝接受合同价款总值</w:t>
      </w:r>
      <w:r>
        <w:rPr>
          <w:rFonts w:ascii="Arial" w:hAnsi="Arial" w:eastAsia="Arial" w:cs="Arial"/>
          <w:color w:val="000000"/>
          <w:sz w:val="24"/>
          <w:u w:val="single"/>
        </w:rPr>
        <w:t xml:space="preserve">    </w:t>
      </w:r>
      <w:r>
        <w:rPr>
          <w:rFonts w:ascii="Arial" w:hAnsi="Arial" w:eastAsia="Arial" w:cs="Arial"/>
          <w:color w:val="000000"/>
          <w:sz w:val="24"/>
        </w:rPr>
        <w:t xml:space="preserve">的违约金。</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w:t>
      </w:r>
      <w:r>
        <w:rPr>
          <w:rFonts w:ascii="Arial" w:hAnsi="Arial" w:eastAsia="Arial" w:cs="Arial"/>
          <w:color w:val="000000"/>
          <w:sz w:val="24"/>
        </w:rPr>
        <w:t xml:space="preserve">甲方无故逾期验收和办理合同款项支付手续的</w:t>
      </w:r>
      <w:r>
        <w:rPr>
          <w:rFonts w:ascii="SimSun" w:hAnsi="SimSun" w:eastAsia="SimSun" w:cs="SimSun"/>
          <w:color w:val="000000"/>
          <w:sz w:val="24"/>
        </w:rPr>
        <w:t xml:space="preserve">,</w:t>
      </w:r>
      <w:r>
        <w:rPr>
          <w:rFonts w:ascii="Arial" w:hAnsi="Arial" w:eastAsia="Arial" w:cs="Arial"/>
          <w:color w:val="000000"/>
          <w:sz w:val="24"/>
        </w:rPr>
        <w:t xml:space="preserve">甲方应按逾期付款总额</w:t>
      </w:r>
      <w:r>
        <w:rPr>
          <w:rFonts w:ascii="Arial" w:hAnsi="Arial" w:eastAsia="Arial" w:cs="Arial"/>
          <w:color w:val="000000"/>
          <w:sz w:val="24"/>
          <w:u w:val="single"/>
        </w:rPr>
        <w:t xml:space="preserve">    </w:t>
      </w:r>
      <w:r>
        <w:rPr>
          <w:rFonts w:ascii="Arial" w:hAnsi="Arial" w:eastAsia="Arial" w:cs="Arial"/>
          <w:color w:val="000000"/>
          <w:sz w:val="24"/>
        </w:rPr>
        <w:t xml:space="preserve">每日向乙方支付违约金。</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w:t>
      </w:r>
      <w:r>
        <w:rPr>
          <w:rFonts w:ascii="Arial" w:hAnsi="Arial" w:eastAsia="Arial" w:cs="Arial"/>
          <w:color w:val="000000"/>
          <w:sz w:val="24"/>
        </w:rPr>
        <w:t xml:space="preserve">乙方逾期交付合同标的的，乙方应按逾期交付合同总额每日千分之六向甲方支付违约金，由甲方从待付合同款项中扣除。逾期超过约定日期</w:t>
      </w:r>
      <w:r>
        <w:rPr>
          <w:rFonts w:ascii="SimSun" w:hAnsi="SimSun" w:eastAsia="SimSun" w:cs="SimSun"/>
          <w:color w:val="000000"/>
          <w:sz w:val="24"/>
        </w:rPr>
        <w:t xml:space="preserve">10</w:t>
      </w:r>
      <w:r>
        <w:rPr>
          <w:rFonts w:ascii="Arial" w:hAnsi="Arial" w:eastAsia="Arial" w:cs="Arial"/>
          <w:color w:val="000000"/>
          <w:sz w:val="24"/>
        </w:rPr>
        <w:t xml:space="preserve">个工作日不能交付合同标的的，甲方可解除本合同。乙方因逾期交付合同标的或因其他违约行为导致甲方解除合同的，乙方应向甲方支付合同价款总额</w:t>
      </w:r>
      <w:r>
        <w:rPr>
          <w:rFonts w:ascii="Arial" w:hAnsi="Arial" w:eastAsia="Arial" w:cs="Arial"/>
          <w:color w:val="000000"/>
          <w:sz w:val="24"/>
          <w:u w:val="single"/>
        </w:rPr>
        <w:t xml:space="preserve">     </w:t>
      </w:r>
      <w:r>
        <w:rPr>
          <w:rFonts w:ascii="Arial" w:hAnsi="Arial" w:eastAsia="Arial" w:cs="Arial"/>
          <w:color w:val="000000"/>
          <w:sz w:val="24"/>
        </w:rPr>
        <w:t xml:space="preserve">的违约金，如造成甲方损失超过违约金的，超出部分由乙方继续承担赔偿责任。</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w:t>
      </w:r>
      <w:r>
        <w:rPr>
          <w:rFonts w:ascii="Arial" w:hAnsi="Arial" w:eastAsia="Arial" w:cs="Arial"/>
          <w:color w:val="000000"/>
          <w:sz w:val="24"/>
        </w:rPr>
        <w:t xml:space="preserve">乙方交付合同标的的标准不符合合同规定及</w:t>
      </w:r>
      <w:r>
        <w:rPr>
          <w:rFonts w:ascii="SimSun" w:hAnsi="SimSun" w:eastAsia="SimSun" w:cs="SimSun"/>
          <w:color w:val="000000"/>
          <w:sz w:val="24"/>
        </w:rPr>
        <w:t xml:space="preserve">竞争性谈判文件</w:t>
      </w:r>
      <w:r>
        <w:rPr>
          <w:rFonts w:ascii="Arial" w:hAnsi="Arial" w:eastAsia="Arial" w:cs="Arial"/>
          <w:color w:val="000000"/>
          <w:sz w:val="24"/>
        </w:rPr>
        <w:t xml:space="preserve">规定标准的，甲方有权拒绝接受合同标的，并可单方面解除合同。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十二、不可抗力事件处理</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w:t>
      </w:r>
      <w:r>
        <w:rPr>
          <w:rFonts w:ascii="Arial" w:hAnsi="Arial" w:eastAsia="Arial" w:cs="Arial"/>
          <w:color w:val="000000"/>
          <w:sz w:val="24"/>
        </w:rPr>
        <w:t xml:space="preserve">在合同有效期内，任何一方因不可抗力事件导致不能履行合同，则合同履行期可延长，其延长期与不可抗力影响 期相同。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w:t>
      </w:r>
      <w:r>
        <w:rPr>
          <w:rFonts w:ascii="Arial" w:hAnsi="Arial" w:eastAsia="Arial" w:cs="Arial"/>
          <w:color w:val="000000"/>
          <w:sz w:val="24"/>
        </w:rPr>
        <w:t xml:space="preserve">不可抗力事件发生后，应立即通知对方，并寄送有关权威机构出具的证明。</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w:t>
      </w:r>
      <w:r>
        <w:rPr>
          <w:rFonts w:ascii="Arial" w:hAnsi="Arial" w:eastAsia="Arial" w:cs="Arial"/>
          <w:color w:val="000000"/>
          <w:sz w:val="24"/>
        </w:rPr>
        <w:t xml:space="preserve">不可抗力事件延续</w:t>
      </w:r>
      <w:r>
        <w:rPr>
          <w:rFonts w:ascii="SimSun" w:hAnsi="SimSun" w:eastAsia="SimSun" w:cs="SimSun"/>
          <w:color w:val="000000"/>
          <w:sz w:val="24"/>
        </w:rPr>
        <w:t xml:space="preserve">120</w:t>
      </w:r>
      <w:r>
        <w:rPr>
          <w:rFonts w:ascii="Arial" w:hAnsi="Arial" w:eastAsia="Arial" w:cs="Arial"/>
          <w:color w:val="000000"/>
          <w:sz w:val="24"/>
        </w:rPr>
        <w:t xml:space="preserve">天以上，双方应通过友好协商，确定是否继续履行合同。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十三、解决争议的方法</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w:t>
      </w:r>
      <w:r>
        <w:rPr>
          <w:rFonts w:ascii="Arial" w:hAnsi="Arial" w:eastAsia="Arial" w:cs="Arial"/>
          <w:color w:val="000000"/>
          <w:sz w:val="24"/>
        </w:rPr>
        <w:t xml:space="preserve">双方在签订、履行合同中所发生的一切争议，应通过友好协商解决。如协商不成，由甲方住所地人民法院管辖。</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十四、合同生效及其它</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w:t>
      </w:r>
      <w:r>
        <w:rPr>
          <w:rFonts w:ascii="Arial" w:hAnsi="Arial" w:eastAsia="Arial" w:cs="Arial"/>
          <w:color w:val="000000"/>
          <w:sz w:val="24"/>
        </w:rPr>
        <w:t xml:space="preserve">合同经双方法定代表人或授权委托代表人签字并加盖单位公章后生效。</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w:t>
      </w:r>
      <w:r>
        <w:rPr>
          <w:rFonts w:ascii="Arial" w:hAnsi="Arial" w:eastAsia="Arial" w:cs="Arial"/>
          <w:color w:val="000000"/>
          <w:sz w:val="24"/>
        </w:rPr>
        <w:t xml:space="preserve">本合同未尽事宜，遵照《</w:t>
      </w:r>
      <w:r>
        <w:rPr>
          <w:rFonts w:ascii="SimSun" w:hAnsi="SimSun" w:eastAsia="SimSun" w:cs="SimSun"/>
          <w:color w:val="000000"/>
          <w:sz w:val="24"/>
        </w:rPr>
        <w:t xml:space="preserve">中华人民共和国</w:t>
      </w:r>
      <w:r>
        <w:rPr>
          <w:rFonts w:ascii="Arial" w:hAnsi="Arial" w:eastAsia="Arial" w:cs="Arial"/>
          <w:color w:val="000000"/>
          <w:sz w:val="24"/>
        </w:rPr>
        <w:t xml:space="preserve">民法典》、《</w:t>
      </w:r>
      <w:r>
        <w:rPr>
          <w:rFonts w:ascii="SimSun" w:hAnsi="SimSun" w:eastAsia="SimSun" w:cs="SimSun"/>
          <w:color w:val="000000"/>
          <w:sz w:val="24"/>
        </w:rPr>
        <w:t xml:space="preserve">中华人民共和国</w:t>
      </w:r>
      <w:r>
        <w:rPr>
          <w:rFonts w:ascii="Arial" w:hAnsi="Arial" w:eastAsia="Arial" w:cs="Arial"/>
          <w:color w:val="000000"/>
          <w:sz w:val="24"/>
        </w:rPr>
        <w:t xml:space="preserve">政府采购法》有关条文执行。</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w:t>
      </w:r>
      <w:r>
        <w:rPr>
          <w:rFonts w:ascii="Arial" w:hAnsi="Arial" w:eastAsia="Arial" w:cs="Arial"/>
          <w:color w:val="000000"/>
          <w:sz w:val="24"/>
        </w:rPr>
        <w:t xml:space="preserve">本合同一式</w:t>
      </w:r>
      <w:r>
        <w:rPr>
          <w:rFonts w:ascii="SimSun" w:hAnsi="SimSun" w:eastAsia="SimSun" w:cs="SimSun"/>
          <w:color w:val="000000"/>
          <w:sz w:val="24"/>
        </w:rPr>
        <w:t xml:space="preserve">四</w:t>
      </w:r>
      <w:r>
        <w:rPr>
          <w:rFonts w:ascii="Arial" w:hAnsi="Arial" w:eastAsia="Arial" w:cs="Arial"/>
          <w:color w:val="000000"/>
          <w:sz w:val="24"/>
        </w:rPr>
        <w:t xml:space="preserve">份，具有同等法律效力，甲方、乙方各执</w:t>
      </w:r>
      <w:r>
        <w:rPr>
          <w:rFonts w:ascii="SimSun" w:hAnsi="SimSun" w:eastAsia="SimSun" w:cs="SimSun"/>
          <w:color w:val="000000"/>
          <w:sz w:val="24"/>
        </w:rPr>
        <w:t xml:space="preserve">二</w:t>
      </w:r>
      <w:r>
        <w:rPr>
          <w:rFonts w:ascii="Arial" w:hAnsi="Arial" w:eastAsia="Arial" w:cs="Arial"/>
          <w:color w:val="000000"/>
          <w:sz w:val="24"/>
        </w:rPr>
        <w:t xml:space="preserve">份。</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Arial" w:hAnsi="Arial" w:eastAsia="Arial" w:cs="Arial"/>
          <w:color w:val="000000"/>
          <w:sz w:val="24"/>
        </w:rPr>
        <w:t xml:space="preserve">甲方：</w:t>
      </w:r>
      <w:r>
        <w:rPr>
          <w:rFonts w:ascii="SimSun" w:hAnsi="SimSun" w:eastAsia="SimSun" w:cs="SimSun"/>
          <w:color w:val="000000"/>
          <w:sz w:val="24"/>
        </w:rPr>
        <w:t xml:space="preserve">                            </w:t>
      </w:r>
      <w:r>
        <w:rPr>
          <w:rFonts w:ascii="Arial" w:hAnsi="Arial" w:eastAsia="Arial" w:cs="Arial"/>
          <w:color w:val="000000"/>
          <w:sz w:val="24"/>
        </w:rPr>
        <w:t xml:space="preserve">乙方：</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Arial" w:hAnsi="Arial" w:eastAsia="Arial" w:cs="Arial"/>
          <w:color w:val="000000"/>
          <w:sz w:val="24"/>
        </w:rPr>
        <w:t xml:space="preserve">地址： </w:t>
      </w:r>
      <w:r>
        <w:rPr>
          <w:rFonts w:ascii="SimSun" w:hAnsi="SimSun" w:eastAsia="SimSun" w:cs="SimSun"/>
          <w:color w:val="000000"/>
          <w:sz w:val="24"/>
        </w:rPr>
        <w:t xml:space="preserve">                            </w:t>
      </w:r>
      <w:r>
        <w:rPr>
          <w:rFonts w:ascii="Arial" w:hAnsi="Arial" w:eastAsia="Arial" w:cs="Arial"/>
          <w:color w:val="000000"/>
          <w:sz w:val="24"/>
        </w:rPr>
        <w:t xml:space="preserve">地址：</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Arial" w:hAnsi="Arial" w:eastAsia="Arial" w:cs="Arial"/>
          <w:color w:val="000000"/>
          <w:sz w:val="24"/>
        </w:rPr>
        <w:t xml:space="preserve">法定代表人或授权代表：</w:t>
      </w:r>
      <w:r>
        <w:rPr>
          <w:rFonts w:ascii="SimSun" w:hAnsi="SimSun" w:eastAsia="SimSun" w:cs="SimSun"/>
          <w:color w:val="000000"/>
          <w:sz w:val="24"/>
        </w:rPr>
        <w:t xml:space="preserve">            </w:t>
      </w:r>
      <w:r>
        <w:rPr>
          <w:rFonts w:ascii="Arial" w:hAnsi="Arial" w:eastAsia="Arial" w:cs="Arial"/>
          <w:color w:val="000000"/>
          <w:sz w:val="24"/>
        </w:rPr>
        <w:t xml:space="preserve">法定代表人或授权代表：</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联系电话：</w:t>
      </w:r>
      <w:r>
        <w:rPr>
          <w:rFonts w:ascii="SimSun" w:hAnsi="SimSun" w:eastAsia="SimSun" w:cs="SimSun"/>
          <w:color w:val="000000"/>
          <w:sz w:val="24"/>
        </w:rPr>
        <w:t xml:space="preserve">                        </w:t>
      </w:r>
      <w:r>
        <w:rPr>
          <w:rFonts w:ascii="Arial" w:hAnsi="Arial" w:eastAsia="Arial" w:cs="Arial"/>
          <w:color w:val="000000"/>
          <w:sz w:val="24"/>
        </w:rPr>
        <w:t xml:space="preserve">联系电话：</w:t>
      </w:r>
      <w:r/>
    </w:p>
    <w:p>
      <w:pPr>
        <w:ind w:left="0" w:right="0" w:firstLine="44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签订日期：年  月 日</w:t>
      </w:r>
      <w:r/>
    </w:p>
    <w:p>
      <w:pPr>
        <w:ind w:left="0" w:right="0" w:firstLine="482"/>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注：采购单位保留修改合同的权利。</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723"/>
        <w:jc w:val="center"/>
        <w:spacing w:before="0" w:after="0" w:line="38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项目属性：货物类项目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采购需求包括拟采购的标的及其需要满足的技术、商务要求。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（一）、技术要求是指对采购标的功能和质量要求，包括性能、材料、结构、外观、安全，或者服务内容和标准等。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（二）、商务要求是指取得采购标的的时间、地点、财务和服务要求，包括交付（实施）的时间（期限）和地点（范围），付款条件（进度和方法），包装和运输，售后服务，保险等。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（三）、采购需求中必须满足的实质性要求。</w:t>
      </w:r>
      <w:r/>
    </w:p>
    <w:p>
      <w:pPr>
        <w:ind w:left="0" w:right="0" w:firstLine="64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一、项目名称：通州区2025年秋播油菜单产提升整建制推进县建设和油菜扩种项目（四次）。</w:t>
      </w:r>
      <w:r/>
    </w:p>
    <w:p>
      <w:pPr>
        <w:ind w:left="0" w:right="0" w:firstLine="482"/>
        <w:jc w:val="both"/>
        <w:spacing w:before="22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二、招标范围：本项目采购预算为人民币87万元。资金来源为财政。主要采购内容见下表。</w:t>
      </w:r>
      <w:r/>
    </w:p>
    <w:p>
      <w:pPr>
        <w:ind w:left="0" w:right="0" w:firstLine="505"/>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9"/>
        <w:gridCol w:w="2530"/>
        <w:gridCol w:w="1374"/>
        <w:gridCol w:w="1918"/>
        <w:gridCol w:w="1918"/>
      </w:tblGrid>
      <w:tr>
        <w:trPr>
          <w:trHeight w:val="73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物化补助产品名称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资金预算（万元）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限价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物化补助对象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40%菌核净可湿粉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≥0.5亩以上油菜种植主体</w:t>
            </w:r>
            <w:r/>
          </w:p>
        </w:tc>
      </w:tr>
    </w:tbl>
    <w:p>
      <w:pPr>
        <w:ind w:left="0" w:right="0" w:firstLine="505"/>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505"/>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1：所招产品要求中标方提供的产品须可供0.5亩地和5亩使用两种包装规格，以吨位价最低价中标；生产日期须为2026年；</w:t>
      </w:r>
      <w:r/>
    </w:p>
    <w:p>
      <w:pPr>
        <w:ind w:left="0" w:right="0" w:firstLine="505"/>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2：所供货物中：0.5亩地使用规格=90%*总吨位；5亩地使用规格=10%*总吨位</w:t>
      </w:r>
      <w:r/>
    </w:p>
    <w:p>
      <w:pPr>
        <w:ind w:left="0" w:right="0" w:firstLine="505"/>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3：供货时需提供所供货物批次的省级以上的第三方检测报告；</w:t>
      </w:r>
      <w:r/>
    </w:p>
    <w:p>
      <w:pPr>
        <w:ind w:left="0" w:right="0" w:firstLine="505"/>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4：履约保证金金额为所投采购包金额的10%，以汇票或转帐形式支付；</w:t>
      </w:r>
      <w:r/>
    </w:p>
    <w:p>
      <w:pPr>
        <w:ind w:left="0" w:right="0" w:firstLine="505"/>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5：提供有效期内的农药三证（农药生产许可证、农药登记证、产品质量标准证），且在油菜上登记，如是农药经销商还需提供农药经营许可证；</w:t>
      </w:r>
      <w:r/>
    </w:p>
    <w:p>
      <w:pPr>
        <w:ind w:left="0" w:right="0" w:firstLine="505"/>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6：供货时需分发到户或提供装卸和分发到户的相关费用：0.1万元*总吨位。</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三、最高限价：见上表。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四、评标办法：最低评标价法。</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w:t>
      </w:r>
      <w:r>
        <w:rPr>
          <w:rFonts w:ascii="SimSun" w:hAnsi="SimSun" w:eastAsia="SimSun" w:cs="SimSun"/>
          <w:b/>
          <w:color w:val="000000"/>
          <w:sz w:val="24"/>
        </w:rPr>
        <w:t xml:space="preserve">投标报价要求：</w:t>
      </w:r>
      <w:r>
        <w:rPr>
          <w:rFonts w:ascii="SimSun" w:hAnsi="SimSun" w:eastAsia="SimSun" w:cs="SimSun"/>
          <w:b/>
          <w:color w:val="000000"/>
          <w:sz w:val="24"/>
          <w:highlight w:val="yellow"/>
        </w:rPr>
        <w:t xml:space="preserve">报价时采用单价报价，最高限价详见上方列表，投标报价高于最高限价（单价）的为无效报价文件，采购总额不超过资金预算。本项目选取1名成交供应商，报价中单价报价最低的报价人为成交供应商，如最低报价相同，则由谈判小组现场抽签决定。</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根据财政部财购财库〔2026〕2号文件要求：</w:t>
      </w:r>
      <w:r/>
    </w:p>
    <w:p>
      <w:pPr>
        <w:pStyle w:val="644"/>
        <w:ind w:left="0" w:right="0" w:firstLine="48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政府采购评审中出现下列情形之一的，谈判小组应当启动异常低价投标（响应）审查程序：</w:t>
      </w:r>
      <w:r/>
    </w:p>
    <w:p>
      <w:pPr>
        <w:pStyle w:val="644"/>
        <w:numPr>
          <w:ilvl w:val="0"/>
          <w:numId w:val="3"/>
        </w:numPr>
        <w:jc w:val="both"/>
        <w:spacing w:before="0" w:after="0"/>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投标（响应）报价低于全部通过符合性审查供应商投标（响应）报价平均值50%的，即投标（响应）报价&lt;全部通过符合性审查供应商投标（响应）报价平均值×50%；</w:t>
      </w:r>
      <w:r/>
    </w:p>
    <w:p>
      <w:pPr>
        <w:pStyle w:val="644"/>
        <w:numPr>
          <w:ilvl w:val="0"/>
          <w:numId w:val="3"/>
        </w:numPr>
        <w:jc w:val="both"/>
        <w:spacing w:before="0" w:after="0"/>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投标（响应）报价低于通过符合性审查的次低报价供应商投标（响应）报价50%的，即投标（响应）报价&lt;通过符合性审查的次低报价供应商投标（响应）报价×50%；</w:t>
      </w:r>
      <w:r/>
    </w:p>
    <w:p>
      <w:pPr>
        <w:pStyle w:val="644"/>
        <w:numPr>
          <w:ilvl w:val="0"/>
          <w:numId w:val="3"/>
        </w:numPr>
        <w:jc w:val="both"/>
        <w:spacing w:before="0" w:after="0"/>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投标（响应）报价低于采购项目最高限价45%的，即投标（响应）报价&lt;采购项目最高限价×45%；</w:t>
      </w:r>
      <w:r/>
    </w:p>
    <w:p>
      <w:pPr>
        <w:pStyle w:val="644"/>
        <w:numPr>
          <w:ilvl w:val="0"/>
          <w:numId w:val="3"/>
        </w:numPr>
        <w:jc w:val="both"/>
        <w:spacing w:before="0" w:after="0"/>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谈判小组基于专业判断，认为供应商报价过低，有可能影响产品质量或者不能诚信履约的其他情形。</w:t>
      </w:r>
      <w:r/>
    </w:p>
    <w:p>
      <w:pPr>
        <w:pStyle w:val="644"/>
        <w:ind w:left="0" w:right="0" w:firstLine="48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谈判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谈判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谈判小组应当将其作为无效投标（响应）处理。</w:t>
      </w:r>
      <w:r/>
    </w:p>
    <w:p>
      <w:pPr>
        <w:ind w:left="0" w:right="0" w:firstLine="48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六、付款方式：</w:t>
      </w:r>
      <w:r>
        <w:rPr>
          <w:rFonts w:ascii="Arial" w:hAnsi="Arial" w:eastAsia="Arial" w:cs="Arial"/>
          <w:b/>
          <w:color w:val="000000"/>
          <w:sz w:val="24"/>
          <w:highlight w:val="yellow"/>
        </w:rPr>
        <w:t xml:space="preserve">合同签定后，中标供应商按照合同规定将供应产品送至指定地点，经验收合格，供货全面完成后</w:t>
      </w:r>
      <w:r>
        <w:rPr>
          <w:rFonts w:ascii="SimSun" w:hAnsi="SimSun" w:eastAsia="SimSun" w:cs="SimSun"/>
          <w:b/>
          <w:color w:val="000000"/>
          <w:sz w:val="24"/>
          <w:highlight w:val="yellow"/>
        </w:rPr>
        <w:t xml:space="preserve">四个月内</w:t>
      </w:r>
      <w:r>
        <w:rPr>
          <w:rFonts w:ascii="Arial" w:hAnsi="Arial" w:eastAsia="Arial" w:cs="Arial"/>
          <w:b/>
          <w:color w:val="000000"/>
          <w:sz w:val="24"/>
          <w:highlight w:val="yellow"/>
        </w:rPr>
        <w:t xml:space="preserve">，由项目实施单位一次性全部结清。</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（四）、采购标的对应的中小企业划分标准所属行业一览表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80"/>
        <w:gridCol w:w="3933"/>
        <w:gridCol w:w="3545"/>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40%菌核净可湿粉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（五）、政府采购中实施本国产品标准及相关政策</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1.本项目对采购本国产品给予政策支持，具体内容见评标方法与评标标准。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（六）、本项目政府采购活动中既有本国产品又有非本国产品参与竞争的，依法对本国产品给予价格评审优惠，对本国产品的报价给予20%的价格扣除，用扣除后的价格参与评审。</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716"/>
        <w:jc w:val="both"/>
        <w:spacing w:before="0" w:after="0" w:line="43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第五章响应文件格式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响应文件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响应文件目录</w:t>
      </w:r>
      <w:r/>
    </w:p>
    <w:p>
      <w:pPr>
        <w:numPr>
          <w:ilvl w:val="0"/>
          <w:numId w:val="4"/>
        </w:numPr>
        <w:jc w:val="both"/>
        <w:spacing w:before="0" w:after="0" w:line="439"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w:t>
      </w:r>
      <w:r/>
    </w:p>
    <w:p>
      <w:pPr>
        <w:numPr>
          <w:ilvl w:val="0"/>
          <w:numId w:val="4"/>
        </w:numPr>
        <w:jc w:val="both"/>
        <w:spacing w:before="0" w:after="0" w:line="439"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投标分项报价表</w:t>
      </w:r>
      <w:r/>
    </w:p>
    <w:p>
      <w:pPr>
        <w:ind w:left="0" w:right="0" w:firstLine="64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资格审查材料</w:t>
      </w:r>
      <w:r/>
    </w:p>
    <w:p>
      <w:pPr>
        <w:ind w:left="0" w:right="0" w:firstLine="48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（1）投标人符合《政府采购法》第二十二条规定条件的声明函</w:t>
      </w:r>
      <w:r>
        <w:rPr>
          <w:rFonts w:ascii="Arial" w:hAnsi="Arial" w:eastAsia="Arial" w:cs="Arial"/>
          <w:color w:val="000000"/>
          <w:sz w:val="24"/>
          <w:u w:val="single"/>
        </w:rPr>
        <w:t xml:space="preserve">；</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（2）法定代表人</w:t>
      </w:r>
      <w:r>
        <w:rPr>
          <w:rFonts w:ascii="Arial" w:hAnsi="Arial" w:eastAsia="Arial" w:cs="Arial"/>
          <w:color w:val="000000"/>
          <w:sz w:val="24"/>
          <w:u w:val="single"/>
        </w:rPr>
        <w:t xml:space="preserve">身份证明书和</w:t>
      </w:r>
      <w:r>
        <w:rPr>
          <w:rFonts w:ascii="SimSun" w:hAnsi="SimSun" w:eastAsia="SimSun" w:cs="SimSun"/>
          <w:color w:val="000000"/>
          <w:sz w:val="24"/>
          <w:u w:val="single"/>
        </w:rPr>
        <w:t xml:space="preserve">法定代表人授权委托书（如有）；</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（3）法人或者其他组织的营业执照等证明文件（提供</w:t>
      </w:r>
      <w:r>
        <w:rPr>
          <w:rFonts w:ascii="Arial" w:hAnsi="Arial" w:eastAsia="Arial" w:cs="Arial"/>
          <w:color w:val="000000"/>
          <w:sz w:val="24"/>
          <w:u w:val="single"/>
        </w:rPr>
        <w:t xml:space="preserve">扫描</w:t>
      </w:r>
      <w:r>
        <w:rPr>
          <w:rFonts w:ascii="SimSun" w:hAnsi="SimSun" w:eastAsia="SimSun" w:cs="SimSun"/>
          <w:color w:val="000000"/>
          <w:sz w:val="24"/>
          <w:u w:val="single"/>
        </w:rPr>
        <w:t xml:space="preserve">件）；</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（4）2025年度的财务状况报告（成立不满一年无需提供）或投标截止时间前三个月（不包含投标截止时间当月）中任意一个月的银行资信证明</w:t>
      </w:r>
      <w:r>
        <w:rPr>
          <w:rFonts w:ascii="Arial" w:hAnsi="Arial" w:eastAsia="Arial" w:cs="Arial"/>
          <w:color w:val="000000"/>
          <w:sz w:val="24"/>
          <w:u w:val="single"/>
        </w:rPr>
        <w:t xml:space="preserve">；</w:t>
      </w:r>
      <w:r/>
    </w:p>
    <w:p>
      <w:pPr>
        <w:ind w:left="0" w:right="0" w:firstLine="48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single"/>
        </w:rPr>
        <w:t xml:space="preserve">（</w:t>
      </w:r>
      <w:r>
        <w:rPr>
          <w:rFonts w:ascii="SimSun" w:hAnsi="SimSun" w:eastAsia="SimSun" w:cs="SimSun"/>
          <w:color w:val="000000"/>
          <w:sz w:val="24"/>
          <w:u w:val="single"/>
        </w:rPr>
        <w:t xml:space="preserve">6</w:t>
      </w:r>
      <w:r>
        <w:rPr>
          <w:rFonts w:ascii="Arial" w:hAnsi="Arial" w:eastAsia="Arial" w:cs="Arial"/>
          <w:color w:val="000000"/>
          <w:sz w:val="24"/>
          <w:u w:val="single"/>
        </w:rPr>
        <w:t xml:space="preserve">）</w:t>
      </w:r>
      <w:r>
        <w:rPr>
          <w:rFonts w:ascii="SimSun" w:hAnsi="SimSun" w:eastAsia="SimSun" w:cs="SimSun"/>
          <w:color w:val="000000"/>
          <w:sz w:val="24"/>
          <w:u w:val="single"/>
        </w:rPr>
        <w:t xml:space="preserve">具备履行合同所必需的设备和专业技术能力的书面声明</w:t>
      </w:r>
      <w:r>
        <w:rPr>
          <w:rFonts w:ascii="Arial" w:hAnsi="Arial" w:eastAsia="Arial" w:cs="Arial"/>
          <w:color w:val="000000"/>
          <w:sz w:val="24"/>
          <w:u w:val="single"/>
        </w:rPr>
        <w:t xml:space="preserve">；</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single"/>
        </w:rPr>
        <w:t xml:space="preserve">（</w:t>
      </w:r>
      <w:r>
        <w:rPr>
          <w:rFonts w:ascii="SimSun" w:hAnsi="SimSun" w:eastAsia="SimSun" w:cs="SimSun"/>
          <w:color w:val="000000"/>
          <w:sz w:val="24"/>
          <w:u w:val="single"/>
        </w:rPr>
        <w:t xml:space="preserve">7</w:t>
      </w:r>
      <w:r>
        <w:rPr>
          <w:rFonts w:ascii="Arial" w:hAnsi="Arial" w:eastAsia="Arial" w:cs="Arial"/>
          <w:color w:val="000000"/>
          <w:sz w:val="24"/>
          <w:u w:val="single"/>
        </w:rPr>
        <w:t xml:space="preserve">）</w:t>
      </w:r>
      <w:r>
        <w:rPr>
          <w:rFonts w:ascii="SimSun" w:hAnsi="SimSun" w:eastAsia="SimSun" w:cs="SimSun"/>
          <w:color w:val="000000"/>
          <w:sz w:val="24"/>
          <w:u w:val="single"/>
        </w:rPr>
        <w:t xml:space="preserve">参加政府采购活动前 3 年内在经营活动中没有重大违法记录的书面声明；</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yellow"/>
          <w:u w:val="single"/>
        </w:rPr>
        <w:t xml:space="preserve">（8）提供有效期内的农药三证（农药生产许可证、农药登记证、产品质量标准证），且在油菜上登记，如是农药经销商还需提供农药经营许可证；</w:t>
      </w:r>
      <w:r/>
    </w:p>
    <w:p>
      <w:pPr>
        <w:ind w:left="0" w:right="0" w:firstLine="48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Arial" w:hAnsi="Arial" w:eastAsia="Arial" w:cs="Arial"/>
          <w:color w:val="000000"/>
          <w:sz w:val="24"/>
          <w:u w:val="single"/>
        </w:rPr>
        <w:t xml:space="preserve">9</w:t>
      </w:r>
      <w:r>
        <w:rPr>
          <w:rFonts w:ascii="SimSun" w:hAnsi="SimSun" w:eastAsia="SimSun" w:cs="SimSun"/>
          <w:color w:val="000000"/>
          <w:sz w:val="24"/>
          <w:u w:val="single"/>
        </w:rPr>
        <w:t xml:space="preserve">）（1）中小企业声明函（本项目专门面向中小企业采购）；</w:t>
      </w:r>
      <w:r>
        <w:rPr>
          <w:rFonts w:ascii="SimSun" w:hAnsi="SimSun" w:eastAsia="SimSun" w:cs="SimSun"/>
          <w:b/>
          <w:color w:val="000000"/>
          <w:sz w:val="24"/>
          <w:u w:val="single"/>
        </w:rPr>
        <w:t xml:space="preserve">本项目统一提供货物制造商的中小企业声明函。</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（2）监狱企业证明函（如符合监狱企业的需提供）；</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（3）残疾人福利性单位声明函（如符合残疾人福利性单位的需提供）。</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符合性条件材料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1、谈判响应函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2、技术要求响应及偏离表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3、商务要求响应及偏离表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价格扣除证明文件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ff0000"/>
          <w:sz w:val="24"/>
          <w:highlight w:val="yellow"/>
        </w:rPr>
        <w:t xml:space="preserve">关于符合本国产品标准的声明函（格式见附件）</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格式附件如下：</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30"/>
        </w:rPr>
        <w:t xml:space="preserve">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rPr>
          <w:rFonts w:ascii="SimSun" w:hAnsi="SimSun" w:eastAsia="SimSun" w:cs="SimSun"/>
          <w:color w:val="000000"/>
          <w:sz w:val="24"/>
        </w:rPr>
        <w:t xml:space="preserve">投标人全称（加盖CA电子签章）：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0"/>
        <w:gridCol w:w="2130"/>
        <w:gridCol w:w="2131"/>
        <w:gridCol w:w="213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报价项目品牌规格型号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1" w:type="dxa"/>
            <w:vAlign w:val="center"/>
            <w:textDirection w:val="lrTb"/>
            <w:noWrap/>
          </w:tcPr>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w:t>
            </w:r>
            <w:r>
              <w:rPr>
                <w:rFonts w:ascii="Arial" w:hAnsi="Arial" w:eastAsia="Arial" w:cs="Arial"/>
                <w:color w:val="000000"/>
                <w:sz w:val="24"/>
              </w:rPr>
              <w:t xml:space="preserve">价（小写）</w:t>
            </w:r>
            <w:r>
              <w:rPr>
                <w:rFonts w:ascii="SimSun" w:hAnsi="SimSun" w:eastAsia="SimSun" w:cs="SimSun"/>
                <w:color w:val="000000"/>
                <w:sz w:val="24"/>
              </w:rPr>
              <w:t xml:space="preserve">万元</w:t>
            </w:r>
            <w:r>
              <w:rPr>
                <w:rFonts w:ascii="Arial" w:hAnsi="Arial" w:eastAsia="Arial" w:cs="Arial"/>
                <w:color w:val="000000"/>
                <w:sz w:val="24"/>
              </w:rPr>
              <w:t xml:space="preserve">/</w:t>
            </w:r>
            <w:r>
              <w:rPr>
                <w:rFonts w:ascii="SimSun" w:hAnsi="SimSun" w:eastAsia="SimSun" w:cs="SimSun"/>
                <w:color w:val="000000"/>
                <w:sz w:val="24"/>
              </w:rPr>
              <w:t xml:space="preserve">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1" w:type="dxa"/>
            <w:vAlign w:val="center"/>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备注</w:t>
            </w:r>
            <w:r/>
          </w:p>
        </w:tc>
      </w:tr>
      <w:tr>
        <w:trPr>
          <w:trHeight w:val="4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1" w:type="dxa"/>
            <w:vAlign w:val="center"/>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1" w:type="dxa"/>
            <w:vAlign w:val="center"/>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55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center"/>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w:t>
            </w:r>
            <w:r>
              <w:rPr>
                <w:rFonts w:ascii="Arial" w:hAnsi="Arial" w:eastAsia="Arial" w:cs="Arial"/>
                <w:color w:val="000000"/>
                <w:sz w:val="24"/>
              </w:rPr>
              <w:t xml:space="preserve">价（大写）：     金额大写</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   投标分项报价表（采购包号：***）</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0"/>
        <w:gridCol w:w="728"/>
        <w:gridCol w:w="728"/>
        <w:gridCol w:w="938"/>
        <w:gridCol w:w="980"/>
        <w:gridCol w:w="1106"/>
        <w:gridCol w:w="1385"/>
        <w:gridCol w:w="924"/>
        <w:gridCol w:w="1008"/>
        <w:gridCol w:w="966"/>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制造商名称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cyan"/>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4"/>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rPr>
                <w:rFonts w:ascii="SimSun" w:hAnsi="SimSun" w:eastAsia="SimSun" w:cs="SimSun"/>
                <w:color w:val="000000"/>
                <w:sz w:val="24"/>
                <w:u w:val="single"/>
              </w:rPr>
              <w:t xml:space="preserve">                             </w:t>
            </w:r>
            <w:r/>
          </w:p>
        </w:tc>
      </w:tr>
      <w:tr>
        <w:trPr>
          <w:trHeight w:val="767"/>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ff0000"/>
                <w:sz w:val="28"/>
              </w:rPr>
              <w:t xml:space="preserve">本采购包中提供的符合本国产品标准的产品成本之和占该采购包提供的全部产品成本之和的比例为</w:t>
            </w:r>
            <w:r>
              <w:rPr>
                <w:rFonts w:ascii="Arial" w:hAnsi="Arial" w:eastAsia="Arial" w:cs="Arial"/>
                <w:color w:val="ff0000"/>
                <w:sz w:val="28"/>
                <w:u w:val="single"/>
              </w:rPr>
              <w:t xml:space="preserve">***</w:t>
            </w:r>
            <w:r>
              <w:rPr>
                <w:rFonts w:ascii="Arial" w:hAnsi="Arial" w:eastAsia="Arial" w:cs="Arial"/>
                <w:color w:val="ff0000"/>
                <w:sz w:val="28"/>
              </w:rPr>
              <w:t xml:space="preserve">%。</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1"/>
        </w:rPr>
        <w:t xml:space="preserve">“</w:t>
      </w:r>
      <w:r>
        <w:rPr>
          <w:rFonts w:ascii="SimSun" w:hAnsi="SimSun" w:eastAsia="SimSun" w:cs="SimSun"/>
          <w:color w:val="000000"/>
          <w:sz w:val="24"/>
        </w:rPr>
        <w:t xml:space="preserve">投标分项报价表</w:t>
      </w:r>
      <w:r>
        <w:rPr>
          <w:rFonts w:ascii="SimSun" w:hAnsi="SimSun" w:eastAsia="SimSun" w:cs="SimSun"/>
          <w:color w:val="000000"/>
          <w:sz w:val="21"/>
        </w:rPr>
        <w:t xml:space="preserve">”</w:t>
      </w:r>
      <w:r>
        <w:rPr>
          <w:rFonts w:ascii="SimSun" w:hAnsi="SimSun" w:eastAsia="SimSun" w:cs="SimSun"/>
          <w:color w:val="000000"/>
          <w:sz w:val="24"/>
        </w:rPr>
        <w:t xml:space="preserve">中“投标总报价”数额应当与“开标一览表”中“投标总报价”数额一致。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ff0000"/>
          <w:sz w:val="28"/>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4.投标人需认真填写本报价表，尤其注意规格型号的准确填写。</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5.项目经办人可以根据项目实际需要对表格结构进行调整。</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谈判人符合《政府采购法》第二十二条规定条件的声明函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w:t>
      </w:r>
      <w:r>
        <w:rPr>
          <w:rFonts w:ascii="SimSun" w:hAnsi="SimSun" w:eastAsia="SimSun" w:cs="SimSun"/>
          <w:color w:val="000000"/>
          <w:sz w:val="24"/>
          <w:u w:val="single"/>
        </w:rPr>
        <w:t xml:space="preserve">________________ _</w:t>
      </w:r>
      <w:r>
        <w:rPr>
          <w:rFonts w:ascii="SimSun" w:hAnsi="SimSun" w:eastAsia="SimSun" w:cs="SimSun"/>
          <w:color w:val="000000"/>
          <w:sz w:val="24"/>
        </w:rPr>
        <w:t xml:space="preserve">（项目名称），</w:t>
      </w:r>
      <w:r>
        <w:rPr>
          <w:rFonts w:ascii="SimSun" w:hAnsi="SimSun" w:eastAsia="SimSun" w:cs="SimSun"/>
          <w:color w:val="000000"/>
          <w:sz w:val="24"/>
          <w:u w:val="single"/>
        </w:rPr>
        <w:t xml:space="preserve">_______ __________</w:t>
      </w:r>
      <w:r>
        <w:rPr>
          <w:rFonts w:ascii="SimSun" w:hAnsi="SimSun" w:eastAsia="SimSun" w:cs="SimSun"/>
          <w:color w:val="000000"/>
          <w:sz w:val="24"/>
        </w:rPr>
        <w:t xml:space="preserve">（项目编号）谈判活动。针对《中华人民共和国政府采购法》第二十二条规定做出如下声明：</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1.我单位具有独立承担民事责任的能力；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2.我单位具有良好的商业信誉和健全的财务会计制度；</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3.我单位具有履行合同所必需的设备和专业技术能力；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4.我单位有依法缴纳税收和社会保障资金的良好记录；</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6.我单位满足法律、行政法规规定的其他条件。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承诺人名称（公章）：</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______</w:t>
      </w:r>
      <w:r>
        <w:rPr>
          <w:rFonts w:ascii="SimSun" w:hAnsi="SimSun" w:eastAsia="SimSun" w:cs="SimSun"/>
          <w:color w:val="000000"/>
          <w:sz w:val="24"/>
        </w:rPr>
        <w:t xml:space="preserve">年月日</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60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法人或者其他组织的营业执照或法人登记证书等证明文件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（扫描件）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法定代表人身份证明书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成立时间：____________年_______月_______日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经营期限：________________________________________________________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姓名：__________ 身份证号码：______________联系电话（手机）：___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性别：________  年龄：________ 职务：________系</w:t>
      </w:r>
      <w:r>
        <w:rPr>
          <w:rFonts w:ascii="SimSun" w:hAnsi="SimSun" w:eastAsia="SimSun" w:cs="SimSun"/>
          <w:color w:val="000000"/>
          <w:sz w:val="24"/>
          <w:u w:val="single"/>
        </w:rPr>
        <w:t xml:space="preserve">（投标人单位名称）</w:t>
      </w:r>
      <w:r>
        <w:rPr>
          <w:rFonts w:ascii="SimSun" w:hAnsi="SimSun" w:eastAsia="SimSun" w:cs="SimSun"/>
          <w:color w:val="000000"/>
          <w:sz w:val="24"/>
        </w:rPr>
        <w:t xml:space="preserve">的法定代表人（或企业负责人）。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投标人：____________________（盖章）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日期：__________年______月_____日</w:t>
      </w:r>
      <w:r/>
    </w:p>
    <w:p>
      <w:pPr>
        <w:ind w:left="66" w:right="66"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附身份证复印件</w:t>
        <w:br w:type="page" w:clear="all"/>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法人授权书</w:t>
      </w:r>
      <w:r/>
    </w:p>
    <w:p>
      <w:pPr>
        <w:ind w:left="0" w:right="0" w:firstLine="480"/>
        <w:jc w:val="both"/>
        <w:spacing w:before="0" w:after="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（谈判人名称）授权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0" w:after="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p>
    <w:p>
      <w:pPr>
        <w:ind w:left="0" w:right="0" w:firstLine="0"/>
        <w:jc w:val="both"/>
        <w:spacing w:before="0" w:after="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p>
    <w:p>
      <w:pPr>
        <w:ind w:left="0" w:right="0" w:firstLine="1200"/>
        <w:jc w:val="both"/>
        <w:spacing w:before="0" w:after="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0" w:after="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p>
    <w:p>
      <w:pPr>
        <w:ind w:left="0" w:right="0" w:firstLine="480"/>
        <w:jc w:val="both"/>
        <w:spacing w:before="0" w:after="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附身份证复印件</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具备履行合同所必需的设备和专业技术能力的书面声明</w:t>
      </w:r>
      <w:r/>
    </w:p>
    <w:p>
      <w:pPr>
        <w:ind w:left="0" w:right="0" w:firstLine="49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p>
    <w:p>
      <w:pPr>
        <w:ind w:left="0" w:right="0" w:firstLine="49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参加政府采购活动前 3 年内在经营活动中没有重大违法记录的书面声明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特定资格要求的证明文件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42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技术要求响应及偏离表（包：**）</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商务要求响应及偏离表（包：**）</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谈判响应函</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根据贵方的号采购文件，正式授权下述签字人_________________(姓名)代表我方______________（谈判人的名称），全权处理本次项目谈判的有关事宜。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1.按采购文件规定的各项要求，向买方提供所需货物（包含与货物相关的服务）。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2.我们完全理解贵方不一定将合同授予最低报价的谈判人。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3.我们已详细审核全部采购文件及其有效补充文件，我们知道必须放弃提出含糊不清或误解问题的权利。</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4.我们同意从规定的开标日期起遵循本谈判文件，并在规定的谈判有效期期满之前均具有约束力。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5.同意向贵方提供贵方可能另外要求的与谈判有关的任何证据或资料，并保证我方已提供和将要提供的文件是真实的、准确的。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6.一旦我方中标,我方将根据采购文件的规定，严格履行合同的责任和义务,并保证在采购文件规定的时间完成项目，交付买方验收、使用。</w:t>
      </w:r>
      <w:r/>
    </w:p>
    <w:p>
      <w:pPr>
        <w:ind w:left="425"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7.与本谈判有关的正式通讯地址为：</w:t>
      </w:r>
      <w:r/>
    </w:p>
    <w:p>
      <w:pPr>
        <w:ind w:left="42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谈判人开户行：</w:t>
      </w:r>
      <w:r/>
    </w:p>
    <w:p>
      <w:pPr>
        <w:ind w:left="42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中小微企业声明函（货物）（包：**）</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本公司（联合体）郑重声明，根据《政府采购促进中小企业发展管理办法》(财库[2020]46号)的规定，本公司（联合体）参加南通市江苏衡晟项目管理咨询有限公司组织的</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（项目名称）（标段：**）</w:t>
      </w:r>
      <w:r>
        <w:rPr>
          <w:rFonts w:ascii="SimSun" w:hAnsi="SimSun" w:eastAsia="SimSun" w:cs="SimSun"/>
          <w:color w:val="000000"/>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属于行业；</w:t>
      </w:r>
      <w:r>
        <w:rPr>
          <w:rFonts w:ascii="SimSun" w:hAnsi="SimSun" w:eastAsia="SimSun" w:cs="SimSun"/>
          <w:b/>
          <w:color w:val="000000"/>
          <w:sz w:val="24"/>
        </w:rPr>
        <w:t xml:space="preserve">制造商</w:t>
      </w:r>
      <w:r>
        <w:rPr>
          <w:rFonts w:ascii="SimSun" w:hAnsi="SimSun" w:eastAsia="SimSun" w:cs="SimSun"/>
          <w:color w:val="000000"/>
          <w:sz w:val="24"/>
        </w:rPr>
        <w:t xml:space="preserve">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，从业人员人，营业收入为万元，资产总额为万元，属于</w:t>
      </w:r>
      <w:r>
        <w:rPr>
          <w:rFonts w:ascii="SimSun" w:hAnsi="SimSun" w:eastAsia="SimSun" w:cs="SimSun"/>
          <w:color w:val="000000"/>
          <w:sz w:val="24"/>
          <w:u w:val="single"/>
        </w:rPr>
        <w:t xml:space="preserve">（中型企业/小型企业/微型企业）；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，从业人员人，营业收入为万元，资产总额为万元，属于</w:t>
      </w:r>
      <w:r>
        <w:rPr>
          <w:rFonts w:ascii="SimSun" w:hAnsi="SimSun" w:eastAsia="SimSun" w:cs="SimSun"/>
          <w:color w:val="000000"/>
          <w:sz w:val="24"/>
          <w:u w:val="single"/>
        </w:rPr>
        <w:t xml:space="preserve">（中型企业/小型企业/微型企业）；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备注2：供应商如不提供此声明函，价格将不做相应扣除。</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残疾人福利性单位声明函</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包**）采购活动提供本单位制造的货物，或者提供其他残疾人福利性单位制造的货物（不包括使用非残疾人福利性单位注册商标的货物）。</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（备注：1、供应商如不提供此声明函，价格将不做相应扣除。2、中标供应商为残疾人福利单位的，此声明函将随中标结果同时公告，接受社会监督）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1560" w:firstLine="48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供应商全称（加盖CA电子公章）：</w:t>
      </w:r>
      <w:r/>
    </w:p>
    <w:p>
      <w:pPr>
        <w:ind w:left="0" w:right="1560" w:firstLine="48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监狱企业证明函</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 司法部关于政府采购支持监狱企业发展有关问题的通知》（财库[2014]68号）的规定，</w:t>
      </w:r>
      <w:r>
        <w:rPr>
          <w:rFonts w:ascii="SimSun" w:hAnsi="SimSun" w:eastAsia="SimSun" w:cs="SimSun"/>
          <w:color w:val="000000"/>
          <w:sz w:val="24"/>
          <w:u w:val="single"/>
        </w:rPr>
        <w:t xml:space="preserve">          （填写供应商法定全称）</w:t>
      </w:r>
      <w:r>
        <w:rPr>
          <w:rFonts w:ascii="SimSun" w:hAnsi="SimSun" w:eastAsia="SimSun" w:cs="SimSun"/>
          <w:color w:val="000000"/>
          <w:sz w:val="24"/>
        </w:rPr>
        <w:t xml:space="preserve">为监狱企业。</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1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省级以上监狱管理局、戒毒管理局（含新疆生产建设兵团）（盖章）：</w:t>
      </w:r>
      <w:r/>
    </w:p>
    <w:p>
      <w:pPr>
        <w:ind w:left="845" w:right="0" w:firstLine="630"/>
        <w:jc w:val="center"/>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ff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ff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ff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附件   关于符合本国产品标准的声明函（采购包号：**）</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1.</w:t>
      </w:r>
      <w:r>
        <w:rPr>
          <w:rFonts w:ascii="Arial" w:hAnsi="Arial" w:eastAsia="Arial" w:cs="Arial"/>
          <w:color w:val="000000"/>
          <w:sz w:val="24"/>
          <w:highlight w:val="white"/>
          <w:u w:val="single"/>
        </w:rPr>
        <w:t xml:space="preserve">（产品名称1）</w:t>
      </w:r>
      <w:r>
        <w:rPr>
          <w:rFonts w:ascii="Arial" w:hAnsi="Arial" w:eastAsia="Arial" w:cs="Arial"/>
          <w:color w:val="000000"/>
          <w:sz w:val="20"/>
          <w:highlight w:val="white"/>
          <w:vertAlign w:val="superscript"/>
        </w:rPr>
        <w:t xml:space="preserve">1</w:t>
      </w:r>
      <w:r>
        <w:rPr>
          <w:rFonts w:ascii="Arial" w:hAnsi="Arial" w:eastAsia="Arial" w:cs="Arial"/>
          <w:color w:val="000000"/>
          <w:sz w:val="24"/>
          <w:highlight w:val="white"/>
        </w:rPr>
        <w:t xml:space="preserve">，生产厂为</w:t>
      </w:r>
      <w:r>
        <w:rPr>
          <w:rFonts w:ascii="Arial" w:hAnsi="Arial" w:eastAsia="Arial" w:cs="Arial"/>
          <w:color w:val="000000"/>
          <w:sz w:val="24"/>
          <w:highlight w:val="white"/>
          <w:u w:val="single"/>
        </w:rPr>
        <w:t xml:space="preserve">（厂名）</w:t>
      </w:r>
      <w:r>
        <w:rPr>
          <w:rFonts w:ascii="Arial" w:hAnsi="Arial" w:eastAsia="Arial" w:cs="Arial"/>
          <w:color w:val="000000"/>
          <w:sz w:val="20"/>
          <w:highlight w:val="white"/>
          <w:vertAlign w:val="superscript"/>
        </w:rPr>
        <w:t xml:space="preserve">2</w:t>
      </w:r>
      <w:r>
        <w:rPr>
          <w:rFonts w:ascii="Arial" w:hAnsi="Arial" w:eastAsia="Arial" w:cs="Arial"/>
          <w:color w:val="000000"/>
          <w:sz w:val="24"/>
          <w:highlight w:val="white"/>
        </w:rPr>
        <w:t xml:space="preserve">，厂址为</w:t>
      </w:r>
      <w:r>
        <w:rPr>
          <w:rFonts w:ascii="Arial" w:hAnsi="Arial" w:eastAsia="Arial" w:cs="Arial"/>
          <w:color w:val="000000"/>
          <w:sz w:val="24"/>
          <w:highlight w:val="white"/>
          <w:u w:val="single"/>
        </w:rPr>
        <w:t xml:space="preserve">（生产厂址）</w:t>
      </w:r>
      <w:r>
        <w:rPr>
          <w:rFonts w:ascii="Arial" w:hAnsi="Arial" w:eastAsia="Arial" w:cs="Arial"/>
          <w:color w:val="000000"/>
          <w:sz w:val="24"/>
          <w:highlight w:val="white"/>
        </w:rPr>
        <w:t xml:space="preserve">。</w:t>
      </w:r>
      <w:r>
        <w:rPr>
          <w:rFonts w:ascii="Arial" w:hAnsi="Arial" w:eastAsia="Arial" w:cs="Arial"/>
          <w:strike/>
          <w:color w:val="000000"/>
          <w:sz w:val="24"/>
          <w:highlight w:val="white"/>
          <w:u w:val="single"/>
        </w:rPr>
        <w:t xml:space="preserve"> （产品名称1）</w:t>
      </w:r>
      <w:r>
        <w:rPr>
          <w:rFonts w:ascii="Arial" w:hAnsi="Arial" w:eastAsia="Arial" w:cs="Arial"/>
          <w:color w:val="000000"/>
          <w:sz w:val="24"/>
          <w:highlight w:val="white"/>
          <w:u w:val="single"/>
        </w:rPr>
        <w:t xml:space="preserve"> </w:t>
      </w:r>
      <w:r>
        <w:rPr>
          <w:rFonts w:ascii="Arial" w:hAnsi="Arial" w:eastAsia="Arial" w:cs="Arial"/>
          <w:color w:val="000000"/>
          <w:sz w:val="24"/>
          <w:highlight w:val="white"/>
        </w:rPr>
        <w:t xml:space="preserve">的中国境内生产的组件成本占比≥</w:t>
      </w:r>
      <w:r>
        <w:rPr>
          <w:rFonts w:ascii="Arial" w:hAnsi="Arial" w:eastAsia="Arial" w:cs="Arial"/>
          <w:strike/>
          <w:color w:val="000000"/>
          <w:sz w:val="24"/>
          <w:highlight w:val="white"/>
          <w:u w:val="single"/>
        </w:rPr>
        <w:t xml:space="preserve">（规定比例</w:t>
      </w:r>
      <w:r>
        <w:rPr>
          <w:rFonts w:ascii="Arial" w:hAnsi="Arial" w:eastAsia="Arial" w:cs="Arial"/>
          <w:color w:val="000000"/>
          <w:sz w:val="24"/>
          <w:highlight w:val="white"/>
          <w:u w:val="single"/>
        </w:rPr>
        <w:t xml:space="preserve">）</w:t>
      </w:r>
      <w:r>
        <w:rPr>
          <w:rFonts w:ascii="Arial" w:hAnsi="Arial" w:eastAsia="Arial" w:cs="Arial"/>
          <w:color w:val="000000"/>
          <w:sz w:val="20"/>
          <w:highlight w:val="white"/>
          <w:vertAlign w:val="superscript"/>
        </w:rPr>
        <w:t xml:space="preserve">3</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（产品名称1）</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关键组件）</w:t>
      </w:r>
      <w:r>
        <w:rPr>
          <w:rFonts w:ascii="Arial" w:hAnsi="Arial" w:eastAsia="Arial" w:cs="Arial"/>
          <w:color w:val="000000"/>
          <w:sz w:val="20"/>
          <w:highlight w:val="white"/>
          <w:vertAlign w:val="superscript"/>
        </w:rPr>
        <w:t xml:space="preserve">4</w:t>
      </w:r>
      <w:r>
        <w:rPr>
          <w:rFonts w:ascii="Arial" w:hAnsi="Arial" w:eastAsia="Arial" w:cs="Arial"/>
          <w:color w:val="000000"/>
          <w:sz w:val="24"/>
          <w:highlight w:val="white"/>
        </w:rPr>
        <w:t xml:space="preserve">在中国境内生产。</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产品名称1</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关键工序</w:t>
      </w:r>
      <w:r>
        <w:rPr>
          <w:rFonts w:ascii="Arial" w:hAnsi="Arial" w:eastAsia="Arial" w:cs="Arial"/>
          <w:color w:val="000000"/>
          <w:sz w:val="24"/>
          <w:highlight w:val="white"/>
          <w:u w:val="single"/>
        </w:rPr>
        <w:t xml:space="preserve">）</w:t>
      </w:r>
      <w:r>
        <w:rPr>
          <w:rFonts w:ascii="Arial" w:hAnsi="Arial" w:eastAsia="Arial" w:cs="Arial"/>
          <w:color w:val="000000"/>
          <w:sz w:val="20"/>
          <w:highlight w:val="white"/>
          <w:vertAlign w:val="superscript"/>
        </w:rPr>
        <w:t xml:space="preserve">5</w:t>
      </w:r>
      <w:r>
        <w:rPr>
          <w:rFonts w:ascii="Arial" w:hAnsi="Arial" w:eastAsia="Arial" w:cs="Arial"/>
          <w:color w:val="00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2.</w:t>
      </w:r>
      <w:r>
        <w:rPr>
          <w:rFonts w:ascii="Arial" w:hAnsi="Arial" w:eastAsia="Arial" w:cs="Arial"/>
          <w:color w:val="000000"/>
          <w:sz w:val="24"/>
          <w:highlight w:val="white"/>
          <w:u w:val="single"/>
        </w:rPr>
        <w:t xml:space="preserve">（产品名称2）</w:t>
      </w:r>
      <w:r>
        <w:rPr>
          <w:rFonts w:ascii="Arial" w:hAnsi="Arial" w:eastAsia="Arial" w:cs="Arial"/>
          <w:color w:val="000000"/>
          <w:sz w:val="24"/>
          <w:highlight w:val="white"/>
        </w:rPr>
        <w:t xml:space="preserve">，生产厂为</w:t>
      </w:r>
      <w:r>
        <w:rPr>
          <w:rFonts w:ascii="Arial" w:hAnsi="Arial" w:eastAsia="Arial" w:cs="Arial"/>
          <w:color w:val="000000"/>
          <w:sz w:val="24"/>
          <w:highlight w:val="white"/>
          <w:u w:val="single"/>
        </w:rPr>
        <w:t xml:space="preserve">（厂名）</w:t>
      </w:r>
      <w:r>
        <w:rPr>
          <w:rFonts w:ascii="Arial" w:hAnsi="Arial" w:eastAsia="Arial" w:cs="Arial"/>
          <w:color w:val="000000"/>
          <w:sz w:val="24"/>
          <w:highlight w:val="white"/>
        </w:rPr>
        <w:t xml:space="preserve">，厂址为</w:t>
      </w:r>
      <w:r>
        <w:rPr>
          <w:rFonts w:ascii="Arial" w:hAnsi="Arial" w:eastAsia="Arial" w:cs="Arial"/>
          <w:color w:val="000000"/>
          <w:sz w:val="24"/>
          <w:highlight w:val="white"/>
          <w:u w:val="single"/>
        </w:rPr>
        <w:t xml:space="preserve">（生产厂址）</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产品名称2</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的中国境内生产的组件成本占比≥</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规定比例</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（产品名称2）</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关键组件</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在中国境内生产。</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产品名称1</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关键工序</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本公司（单位）对上述声明内容的真实性负责。如有虚假，愿承担相应法律责任。</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480" w:firstLine="372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公司（单位）名称（盖章）：　</w:t>
      </w:r>
      <w:r/>
    </w:p>
    <w:p>
      <w:pPr>
        <w:ind w:left="0" w:right="0" w:firstLine="0"/>
        <w:jc w:val="center"/>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                                日期：　   年　  月　  日         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__________________</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1.产品如有型号，请在“产品名称”栏一并填写。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2.生产厂名与厂址应与生产厂营业执照载明的相关信息保持一致。</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3.该产品的中国境内生产的组件成本占比相关要求实施前，“规定比例”栏可不填，下同。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4.该产品的关键组件要求实施前，“关键组件”栏可不填，下同。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5.该产品的关键工序要求实施前，“关键工序”栏可不填，下同。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6.本声明函只需填写</w:t>
      </w:r>
      <w:r>
        <w:rPr>
          <w:rFonts w:ascii="Arial" w:hAnsi="Arial" w:eastAsia="Arial" w:cs="Arial"/>
          <w:color w:val="000000"/>
          <w:sz w:val="24"/>
          <w:highlight w:val="white"/>
          <w:u w:val="single"/>
        </w:rPr>
        <w:t xml:space="preserve">（产品名称）</w:t>
      </w:r>
      <w:r>
        <w:rPr>
          <w:rFonts w:ascii="Arial" w:hAnsi="Arial" w:eastAsia="Arial" w:cs="Arial"/>
          <w:color w:val="000000"/>
          <w:sz w:val="20"/>
          <w:highlight w:val="white"/>
          <w:vertAlign w:val="superscript"/>
        </w:rPr>
        <w:t xml:space="preserve">1</w:t>
      </w:r>
      <w:r>
        <w:rPr>
          <w:rFonts w:ascii="Arial" w:hAnsi="Arial" w:eastAsia="Arial" w:cs="Arial"/>
          <w:color w:val="000000"/>
          <w:sz w:val="24"/>
          <w:highlight w:val="white"/>
        </w:rPr>
        <w:t xml:space="preserve">，生产厂为</w:t>
      </w:r>
      <w:r>
        <w:rPr>
          <w:rFonts w:ascii="Arial" w:hAnsi="Arial" w:eastAsia="Arial" w:cs="Arial"/>
          <w:color w:val="000000"/>
          <w:sz w:val="24"/>
          <w:highlight w:val="white"/>
          <w:u w:val="single"/>
        </w:rPr>
        <w:t xml:space="preserve">（厂名）</w:t>
      </w:r>
      <w:r>
        <w:rPr>
          <w:rFonts w:ascii="Arial" w:hAnsi="Arial" w:eastAsia="Arial" w:cs="Arial"/>
          <w:color w:val="000000"/>
          <w:sz w:val="20"/>
          <w:highlight w:val="white"/>
          <w:vertAlign w:val="superscript"/>
        </w:rPr>
        <w:t xml:space="preserve">2</w:t>
      </w:r>
      <w:r>
        <w:rPr>
          <w:rFonts w:ascii="Arial" w:hAnsi="Arial" w:eastAsia="Arial" w:cs="Arial"/>
          <w:color w:val="000000"/>
          <w:sz w:val="24"/>
          <w:highlight w:val="white"/>
        </w:rPr>
        <w:t xml:space="preserve">，厂址为</w:t>
      </w:r>
      <w:r>
        <w:rPr>
          <w:rFonts w:ascii="Arial" w:hAnsi="Arial" w:eastAsia="Arial" w:cs="Arial"/>
          <w:color w:val="000000"/>
          <w:sz w:val="24"/>
          <w:highlight w:val="white"/>
          <w:u w:val="single"/>
        </w:rPr>
        <w:t xml:space="preserve">（生产厂址）。</w:t>
      </w:r>
      <w:r>
        <w:rPr>
          <w:rFonts w:ascii="Arial" w:hAnsi="Arial" w:eastAsia="Arial" w:cs="Arial"/>
          <w:color w:val="000000"/>
          <w:sz w:val="24"/>
          <w:highlight w:val="white"/>
        </w:rPr>
        <w:t xml:space="preserve">其他地方</w:t>
      </w:r>
      <w:r>
        <w:rPr>
          <w:rFonts w:ascii="Arial" w:hAnsi="Arial" w:eastAsia="Arial" w:cs="Arial"/>
          <w:color w:val="000000"/>
          <w:sz w:val="22"/>
          <w:highlight w:val="white"/>
        </w:rPr>
        <w:t xml:space="preserve">用斜线或横直线划除的地方无需填写。</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办理政采贷和履约保函（保险）告知函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各政府采购供应商：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欢迎贵公司参与南通市政府采购活动！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政府采购线上合同信用融资和履约保函（保险）是支持企业发展，针对参与政府采购活动的企业融资难、现金流不足等问题推出的一项服务举措。</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质疑函范本</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联系人：联系电话：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质疑项目的编号：包号：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42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tabs>
          <w:tab w:val="left" w:pos="168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t xml:space="preserve"> </w:t>
      </w:r>
      <w:r>
        <w:rPr>
          <w:rFonts w:ascii="Calibri" w:hAnsi="Calibri" w:eastAsia="Calibri" w:cs="Calibri"/>
          <w:sz w:val="21"/>
        </w:rP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FangSong">
    <w:panose1 w:val="02010609060101010101"/>
  </w:font>
  <w:font w:name="SimHei">
    <w:panose1 w:val="02010609060101010101"/>
  </w:font>
  <w:font w:name="STXinwei">
    <w:panose1 w:val="02010800040101010101"/>
  </w:font>
  <w:font w:name="Calibri">
    <w:panose1 w:val="020F0502020204030204"/>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2">
    <w:name w:val="Heading 1"/>
    <w:link w:val="643"/>
    <w:uiPriority w:val="9"/>
    <w:qFormat/>
    <w:pPr>
      <w:keepLines/>
      <w:keepNext/>
      <w:spacing w:before="480" w:after="200"/>
      <w:outlineLvl w:val="0"/>
    </w:pPr>
    <w:rPr>
      <w:rFonts w:ascii="Arial" w:hAnsi="Arial" w:eastAsia="Arial" w:cs="Arial"/>
      <w:sz w:val="40"/>
      <w:szCs w:val="40"/>
    </w:rPr>
  </w:style>
  <w:style w:type="character" w:styleId="643">
    <w:name w:val="Heading 1 Char"/>
    <w:link w:val="642"/>
    <w:uiPriority w:val="9"/>
    <w:rPr>
      <w:rFonts w:ascii="Arial" w:hAnsi="Arial" w:eastAsia="Arial" w:cs="Arial"/>
      <w:sz w:val="40"/>
      <w:szCs w:val="40"/>
    </w:rPr>
  </w:style>
  <w:style w:type="paragraph" w:styleId="644">
    <w:name w:val="Heading 2"/>
    <w:link w:val="645"/>
    <w:uiPriority w:val="9"/>
    <w:unhideWhenUsed/>
    <w:qFormat/>
    <w:pPr>
      <w:keepLines/>
      <w:keepNext/>
      <w:spacing w:before="360" w:after="200"/>
      <w:outlineLvl w:val="1"/>
    </w:pPr>
    <w:rPr>
      <w:rFonts w:ascii="Arial" w:hAnsi="Arial" w:eastAsia="Arial" w:cs="Arial"/>
      <w:sz w:val="34"/>
    </w:rPr>
  </w:style>
  <w:style w:type="character" w:styleId="645">
    <w:name w:val="Heading 2 Char"/>
    <w:link w:val="644"/>
    <w:uiPriority w:val="9"/>
    <w:rPr>
      <w:rFonts w:ascii="Arial" w:hAnsi="Arial" w:eastAsia="Arial" w:cs="Arial"/>
      <w:sz w:val="34"/>
    </w:rPr>
  </w:style>
  <w:style w:type="paragraph" w:styleId="646">
    <w:name w:val="Heading 3"/>
    <w:link w:val="647"/>
    <w:uiPriority w:val="9"/>
    <w:unhideWhenUsed/>
    <w:qFormat/>
    <w:pPr>
      <w:keepLines/>
      <w:keepNext/>
      <w:spacing w:before="320" w:after="200"/>
      <w:outlineLvl w:val="2"/>
    </w:pPr>
    <w:rPr>
      <w:rFonts w:ascii="Arial" w:hAnsi="Arial" w:eastAsia="Arial" w:cs="Arial"/>
      <w:sz w:val="30"/>
      <w:szCs w:val="30"/>
    </w:rPr>
  </w:style>
  <w:style w:type="character" w:styleId="647">
    <w:name w:val="Heading 3 Char"/>
    <w:link w:val="646"/>
    <w:uiPriority w:val="9"/>
    <w:rPr>
      <w:rFonts w:ascii="Arial" w:hAnsi="Arial" w:eastAsia="Arial" w:cs="Arial"/>
      <w:sz w:val="30"/>
      <w:szCs w:val="30"/>
    </w:rPr>
  </w:style>
  <w:style w:type="paragraph" w:styleId="648">
    <w:name w:val="Heading 4"/>
    <w:link w:val="649"/>
    <w:uiPriority w:val="9"/>
    <w:unhideWhenUsed/>
    <w:qFormat/>
    <w:pPr>
      <w:keepLines/>
      <w:keepNext/>
      <w:spacing w:before="320" w:after="200"/>
      <w:outlineLvl w:val="3"/>
    </w:pPr>
    <w:rPr>
      <w:rFonts w:ascii="Arial" w:hAnsi="Arial" w:eastAsia="Arial" w:cs="Arial"/>
      <w:b/>
      <w:bCs/>
      <w:sz w:val="26"/>
      <w:szCs w:val="26"/>
    </w:rPr>
  </w:style>
  <w:style w:type="character" w:styleId="649">
    <w:name w:val="Heading 4 Char"/>
    <w:link w:val="648"/>
    <w:uiPriority w:val="9"/>
    <w:rPr>
      <w:rFonts w:ascii="Arial" w:hAnsi="Arial" w:eastAsia="Arial" w:cs="Arial"/>
      <w:b/>
      <w:bCs/>
      <w:sz w:val="26"/>
      <w:szCs w:val="26"/>
    </w:rPr>
  </w:style>
  <w:style w:type="paragraph" w:styleId="650">
    <w:name w:val="Heading 5"/>
    <w:link w:val="651"/>
    <w:uiPriority w:val="9"/>
    <w:unhideWhenUsed/>
    <w:qFormat/>
    <w:pPr>
      <w:keepLines/>
      <w:keepNext/>
      <w:spacing w:before="320" w:after="200"/>
      <w:outlineLvl w:val="4"/>
    </w:pPr>
    <w:rPr>
      <w:rFonts w:ascii="Arial" w:hAnsi="Arial" w:eastAsia="Arial" w:cs="Arial"/>
      <w:b/>
      <w:bCs/>
      <w:sz w:val="24"/>
      <w:szCs w:val="24"/>
    </w:rPr>
  </w:style>
  <w:style w:type="character" w:styleId="651">
    <w:name w:val="Heading 5 Char"/>
    <w:link w:val="650"/>
    <w:uiPriority w:val="9"/>
    <w:rPr>
      <w:rFonts w:ascii="Arial" w:hAnsi="Arial" w:eastAsia="Arial" w:cs="Arial"/>
      <w:b/>
      <w:bCs/>
      <w:sz w:val="24"/>
      <w:szCs w:val="24"/>
    </w:rPr>
  </w:style>
  <w:style w:type="paragraph" w:styleId="652">
    <w:name w:val="Heading 6"/>
    <w:link w:val="653"/>
    <w:uiPriority w:val="9"/>
    <w:unhideWhenUsed/>
    <w:qFormat/>
    <w:pPr>
      <w:keepLines/>
      <w:keepNext/>
      <w:spacing w:before="320" w:after="200"/>
      <w:outlineLvl w:val="5"/>
    </w:pPr>
    <w:rPr>
      <w:rFonts w:ascii="Arial" w:hAnsi="Arial" w:eastAsia="Arial" w:cs="Arial"/>
      <w:b/>
      <w:bCs/>
      <w:sz w:val="22"/>
      <w:szCs w:val="22"/>
    </w:rPr>
  </w:style>
  <w:style w:type="character" w:styleId="653">
    <w:name w:val="Heading 6 Char"/>
    <w:link w:val="652"/>
    <w:uiPriority w:val="9"/>
    <w:rPr>
      <w:rFonts w:ascii="Arial" w:hAnsi="Arial" w:eastAsia="Arial" w:cs="Arial"/>
      <w:b/>
      <w:bCs/>
      <w:sz w:val="22"/>
      <w:szCs w:val="22"/>
    </w:rPr>
  </w:style>
  <w:style w:type="paragraph" w:styleId="654">
    <w:name w:val="Heading 7"/>
    <w:link w:val="655"/>
    <w:uiPriority w:val="9"/>
    <w:unhideWhenUsed/>
    <w:qFormat/>
    <w:pPr>
      <w:keepLines/>
      <w:keepNext/>
      <w:spacing w:before="320" w:after="200"/>
      <w:outlineLvl w:val="6"/>
    </w:pPr>
    <w:rPr>
      <w:rFonts w:ascii="Arial" w:hAnsi="Arial" w:eastAsia="Arial" w:cs="Arial"/>
      <w:b/>
      <w:bCs/>
      <w:i/>
      <w:iCs/>
      <w:sz w:val="22"/>
      <w:szCs w:val="22"/>
    </w:rPr>
  </w:style>
  <w:style w:type="character" w:styleId="655">
    <w:name w:val="Heading 7 Char"/>
    <w:link w:val="654"/>
    <w:uiPriority w:val="9"/>
    <w:rPr>
      <w:rFonts w:ascii="Arial" w:hAnsi="Arial" w:eastAsia="Arial" w:cs="Arial"/>
      <w:b/>
      <w:bCs/>
      <w:i/>
      <w:iCs/>
      <w:sz w:val="22"/>
      <w:szCs w:val="22"/>
    </w:rPr>
  </w:style>
  <w:style w:type="paragraph" w:styleId="656">
    <w:name w:val="Heading 8"/>
    <w:link w:val="657"/>
    <w:uiPriority w:val="9"/>
    <w:unhideWhenUsed/>
    <w:qFormat/>
    <w:pPr>
      <w:keepLines/>
      <w:keepNext/>
      <w:spacing w:before="320" w:after="200"/>
      <w:outlineLvl w:val="7"/>
    </w:pPr>
    <w:rPr>
      <w:rFonts w:ascii="Arial" w:hAnsi="Arial" w:eastAsia="Arial" w:cs="Arial"/>
      <w:i/>
      <w:iCs/>
      <w:sz w:val="22"/>
      <w:szCs w:val="22"/>
    </w:rPr>
  </w:style>
  <w:style w:type="character" w:styleId="657">
    <w:name w:val="Heading 8 Char"/>
    <w:link w:val="656"/>
    <w:uiPriority w:val="9"/>
    <w:rPr>
      <w:rFonts w:ascii="Arial" w:hAnsi="Arial" w:eastAsia="Arial" w:cs="Arial"/>
      <w:i/>
      <w:iCs/>
      <w:sz w:val="22"/>
      <w:szCs w:val="22"/>
    </w:rPr>
  </w:style>
  <w:style w:type="paragraph" w:styleId="658">
    <w:name w:val="Heading 9"/>
    <w:link w:val="659"/>
    <w:uiPriority w:val="9"/>
    <w:unhideWhenUsed/>
    <w:qFormat/>
    <w:pPr>
      <w:keepLines/>
      <w:keepNext/>
      <w:spacing w:before="320" w:after="200"/>
      <w:outlineLvl w:val="8"/>
    </w:pPr>
    <w:rPr>
      <w:rFonts w:ascii="Arial" w:hAnsi="Arial" w:eastAsia="Arial" w:cs="Arial"/>
      <w:i/>
      <w:iCs/>
      <w:sz w:val="21"/>
      <w:szCs w:val="21"/>
    </w:rPr>
  </w:style>
  <w:style w:type="character" w:styleId="659">
    <w:name w:val="Heading 9 Char"/>
    <w:link w:val="658"/>
    <w:uiPriority w:val="9"/>
    <w:rPr>
      <w:rFonts w:ascii="Arial" w:hAnsi="Arial" w:eastAsia="Arial" w:cs="Arial"/>
      <w:i/>
      <w:iCs/>
      <w:sz w:val="21"/>
      <w:szCs w:val="21"/>
    </w:rPr>
  </w:style>
  <w:style w:type="paragraph" w:styleId="660">
    <w:name w:val="List Paragraph"/>
    <w:uiPriority w:val="34"/>
    <w:qFormat/>
    <w:pPr>
      <w:contextualSpacing/>
      <w:ind w:left="720"/>
    </w:pPr>
  </w:style>
  <w:style w:type="paragraph" w:styleId="661">
    <w:name w:val="No Spacing"/>
    <w:uiPriority w:val="1"/>
    <w:qFormat/>
    <w:pPr>
      <w:spacing w:before="0" w:after="0" w:line="240" w:lineRule="auto"/>
    </w:pPr>
  </w:style>
  <w:style w:type="paragraph" w:styleId="662">
    <w:name w:val="Title"/>
    <w:link w:val="663"/>
    <w:uiPriority w:val="10"/>
    <w:qFormat/>
    <w:pPr>
      <w:contextualSpacing/>
      <w:spacing w:before="300" w:after="200"/>
    </w:pPr>
    <w:rPr>
      <w:sz w:val="48"/>
      <w:szCs w:val="48"/>
    </w:rPr>
  </w:style>
  <w:style w:type="character" w:styleId="663">
    <w:name w:val="Title Char"/>
    <w:link w:val="662"/>
    <w:uiPriority w:val="10"/>
    <w:rPr>
      <w:sz w:val="48"/>
      <w:szCs w:val="48"/>
    </w:rPr>
  </w:style>
  <w:style w:type="paragraph" w:styleId="664">
    <w:name w:val="Subtitle"/>
    <w:link w:val="665"/>
    <w:uiPriority w:val="11"/>
    <w:qFormat/>
    <w:pPr>
      <w:spacing w:before="200" w:after="200"/>
    </w:pPr>
    <w:rPr>
      <w:sz w:val="24"/>
      <w:szCs w:val="24"/>
    </w:rPr>
  </w:style>
  <w:style w:type="character" w:styleId="665">
    <w:name w:val="Subtitle Char"/>
    <w:link w:val="664"/>
    <w:uiPriority w:val="11"/>
    <w:rPr>
      <w:sz w:val="24"/>
      <w:szCs w:val="24"/>
    </w:rPr>
  </w:style>
  <w:style w:type="paragraph" w:styleId="666">
    <w:name w:val="Quote"/>
    <w:link w:val="667"/>
    <w:uiPriority w:val="29"/>
    <w:qFormat/>
    <w:pPr>
      <w:ind w:left="720" w:right="720"/>
    </w:pPr>
    <w:rPr>
      <w:i/>
    </w:rPr>
  </w:style>
  <w:style w:type="character" w:styleId="667">
    <w:name w:val="Quote Char"/>
    <w:link w:val="666"/>
    <w:uiPriority w:val="29"/>
    <w:rPr>
      <w:i/>
    </w:rPr>
  </w:style>
  <w:style w:type="paragraph" w:styleId="668">
    <w:name w:val="Intense Quote"/>
    <w:link w:val="6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9">
    <w:name w:val="Intense Quote Char"/>
    <w:link w:val="668"/>
    <w:uiPriority w:val="30"/>
    <w:rPr>
      <w:i/>
    </w:rPr>
  </w:style>
  <w:style w:type="paragraph" w:styleId="670">
    <w:name w:val="Header"/>
    <w:link w:val="671"/>
    <w:uiPriority w:val="99"/>
    <w:unhideWhenUsed/>
    <w:pPr>
      <w:spacing w:after="0" w:line="240" w:lineRule="auto"/>
      <w:tabs>
        <w:tab w:val="center" w:pos="7143" w:leader="none"/>
        <w:tab w:val="right" w:pos="14287" w:leader="none"/>
      </w:tabs>
    </w:pPr>
  </w:style>
  <w:style w:type="character" w:styleId="671">
    <w:name w:val="Header Char"/>
    <w:link w:val="670"/>
    <w:uiPriority w:val="99"/>
  </w:style>
  <w:style w:type="paragraph" w:styleId="672">
    <w:name w:val="Footer"/>
    <w:link w:val="675"/>
    <w:uiPriority w:val="99"/>
    <w:unhideWhenUsed/>
    <w:pPr>
      <w:spacing w:after="0" w:line="240" w:lineRule="auto"/>
      <w:tabs>
        <w:tab w:val="center" w:pos="7143" w:leader="none"/>
        <w:tab w:val="right" w:pos="14287" w:leader="none"/>
      </w:tabs>
    </w:pPr>
  </w:style>
  <w:style w:type="character" w:styleId="673">
    <w:name w:val="Footer Char"/>
    <w:link w:val="672"/>
    <w:uiPriority w:val="99"/>
  </w:style>
  <w:style w:type="paragraph" w:styleId="674">
    <w:name w:val="Caption"/>
    <w:uiPriority w:val="35"/>
    <w:semiHidden/>
    <w:unhideWhenUsed/>
    <w:qFormat/>
    <w:pPr>
      <w:spacing w:line="276" w:lineRule="auto"/>
    </w:pPr>
    <w:rPr>
      <w:b/>
      <w:bCs/>
      <w:color w:val="4f81bd" w:themeColor="accent1"/>
      <w:sz w:val="18"/>
      <w:szCs w:val="18"/>
    </w:rPr>
  </w:style>
  <w:style w:type="character" w:styleId="675">
    <w:name w:val="Caption Char"/>
    <w:basedOn w:val="674"/>
    <w:link w:val="672"/>
    <w:uiPriority w:val="99"/>
  </w:style>
  <w:style w:type="table" w:styleId="67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2">
    <w:name w:val="Hyperlink"/>
    <w:uiPriority w:val="99"/>
    <w:unhideWhenUsed/>
    <w:rPr>
      <w:color w:val="0000ff" w:themeColor="hyperlink"/>
      <w:u w:val="single"/>
    </w:rPr>
  </w:style>
  <w:style w:type="paragraph" w:styleId="803">
    <w:name w:val="footnote text"/>
    <w:link w:val="804"/>
    <w:uiPriority w:val="99"/>
    <w:semiHidden/>
    <w:unhideWhenUsed/>
    <w:pPr>
      <w:spacing w:after="40" w:line="240" w:lineRule="auto"/>
    </w:pPr>
    <w:rPr>
      <w:sz w:val="18"/>
    </w:rPr>
  </w:style>
  <w:style w:type="character" w:styleId="804">
    <w:name w:val="Footnote Text Char"/>
    <w:link w:val="803"/>
    <w:uiPriority w:val="99"/>
    <w:rPr>
      <w:sz w:val="18"/>
    </w:rPr>
  </w:style>
  <w:style w:type="character" w:styleId="805">
    <w:name w:val="footnote reference"/>
    <w:uiPriority w:val="99"/>
    <w:unhideWhenUsed/>
    <w:rPr>
      <w:vertAlign w:val="superscript"/>
    </w:rPr>
  </w:style>
  <w:style w:type="paragraph" w:styleId="806">
    <w:name w:val="endnote text"/>
    <w:link w:val="807"/>
    <w:uiPriority w:val="99"/>
    <w:semiHidden/>
    <w:unhideWhenUsed/>
    <w:pPr>
      <w:spacing w:after="0" w:line="240" w:lineRule="auto"/>
    </w:pPr>
    <w:rPr>
      <w:sz w:val="20"/>
    </w:rPr>
  </w:style>
  <w:style w:type="character" w:styleId="807">
    <w:name w:val="Endnote Text Char"/>
    <w:link w:val="806"/>
    <w:uiPriority w:val="99"/>
    <w:rPr>
      <w:sz w:val="20"/>
    </w:rPr>
  </w:style>
  <w:style w:type="character" w:styleId="808">
    <w:name w:val="endnote reference"/>
    <w:uiPriority w:val="99"/>
    <w:semiHidden/>
    <w:unhideWhenUsed/>
    <w:rPr>
      <w:vertAlign w:val="superscript"/>
    </w:rPr>
  </w:style>
  <w:style w:type="paragraph" w:styleId="809">
    <w:name w:val="toc 1"/>
    <w:uiPriority w:val="39"/>
    <w:unhideWhenUsed/>
    <w:pPr>
      <w:ind w:left="0" w:right="0" w:firstLine="0"/>
      <w:spacing w:after="57"/>
    </w:pPr>
  </w:style>
  <w:style w:type="paragraph" w:styleId="810">
    <w:name w:val="toc 2"/>
    <w:uiPriority w:val="39"/>
    <w:unhideWhenUsed/>
    <w:pPr>
      <w:ind w:left="283" w:right="0" w:firstLine="0"/>
      <w:spacing w:after="57"/>
    </w:pPr>
  </w:style>
  <w:style w:type="paragraph" w:styleId="811">
    <w:name w:val="toc 3"/>
    <w:uiPriority w:val="39"/>
    <w:unhideWhenUsed/>
    <w:pPr>
      <w:ind w:left="567" w:right="0" w:firstLine="0"/>
      <w:spacing w:after="57"/>
    </w:pPr>
  </w:style>
  <w:style w:type="paragraph" w:styleId="812">
    <w:name w:val="toc 4"/>
    <w:uiPriority w:val="39"/>
    <w:unhideWhenUsed/>
    <w:pPr>
      <w:ind w:left="850" w:right="0" w:firstLine="0"/>
      <w:spacing w:after="57"/>
    </w:pPr>
  </w:style>
  <w:style w:type="paragraph" w:styleId="813">
    <w:name w:val="toc 5"/>
    <w:uiPriority w:val="39"/>
    <w:unhideWhenUsed/>
    <w:pPr>
      <w:ind w:left="1134" w:right="0" w:firstLine="0"/>
      <w:spacing w:after="57"/>
    </w:pPr>
  </w:style>
  <w:style w:type="paragraph" w:styleId="814">
    <w:name w:val="toc 6"/>
    <w:uiPriority w:val="39"/>
    <w:unhideWhenUsed/>
    <w:pPr>
      <w:ind w:left="1417" w:right="0" w:firstLine="0"/>
      <w:spacing w:after="57"/>
    </w:pPr>
  </w:style>
  <w:style w:type="paragraph" w:styleId="815">
    <w:name w:val="toc 7"/>
    <w:uiPriority w:val="39"/>
    <w:unhideWhenUsed/>
    <w:pPr>
      <w:ind w:left="1701" w:right="0" w:firstLine="0"/>
      <w:spacing w:after="57"/>
    </w:pPr>
  </w:style>
  <w:style w:type="paragraph" w:styleId="816">
    <w:name w:val="toc 8"/>
    <w:uiPriority w:val="39"/>
    <w:unhideWhenUsed/>
    <w:pPr>
      <w:ind w:left="1984" w:right="0" w:firstLine="0"/>
      <w:spacing w:after="57"/>
    </w:pPr>
  </w:style>
  <w:style w:type="paragraph" w:styleId="817">
    <w:name w:val="toc 9"/>
    <w:uiPriority w:val="39"/>
    <w:unhideWhenUsed/>
    <w:pPr>
      <w:ind w:left="2268" w:right="0" w:firstLine="0"/>
      <w:spacing w:after="57"/>
    </w:pPr>
  </w:style>
  <w:style w:type="paragraph" w:styleId="818">
    <w:name w:val="TOC Heading"/>
    <w:uiPriority w:val="39"/>
    <w:unhideWhenUsed/>
  </w:style>
  <w:style w:type="paragraph" w:styleId="819">
    <w:name w:val="table of figures"/>
    <w:uiPriority w:val="99"/>
    <w:unhideWhenUsed/>
    <w:pPr>
      <w:spacing w:after="0" w:afterAutospacing="0"/>
    </w:pPr>
  </w:style>
  <w:style w:type="character" w:styleId="820" w:default="1">
    <w:name w:val="Default Paragraph Font"/>
    <w:uiPriority w:val="1"/>
    <w:semiHidden/>
    <w:unhideWhenUsed/>
  </w:style>
  <w:style w:type="numbering" w:styleId="821" w:default="1">
    <w:name w:val="No List"/>
    <w:uiPriority w:val="99"/>
    <w:semiHidden/>
    <w:unhideWhenUsed/>
  </w:style>
  <w:style w:type="paragraph" w:styleId="822" w:default="1">
    <w:name w:val="Normal"/>
    <w:qFormat/>
  </w:style>
  <w:style w:type="table" w:styleId="8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高建华</cp:lastModifiedBy>
  <cp:revision>2</cp:revision>
  <dcterms:created xsi:type="dcterms:W3CDTF">2026-05-20T07:32:59Z</dcterms:created>
  <dcterms:modified xsi:type="dcterms:W3CDTF">2026-05-20T08:02:25Z</dcterms:modified>
</cp:coreProperties>
</file>