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832"/>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832"/>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pStyle w:val="8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1"/>
        <w:tblpPr w:horzAnchor="page" w:tblpX="1796" w:vertAnchor="text" w:tblpY="300"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2026年度物证检验鉴定消耗性器材（专门面向中小企业）</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JSZC-320700-XHZX-G2026-0009</w:t>
            </w:r>
            <w:r/>
          </w:p>
        </w:tc>
      </w:tr>
    </w:tbl>
    <w:p>
      <w:pPr>
        <w:pStyle w:val="83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8"/>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21"/>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连云港市公安局</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eastAsia="zh-CN"/>
              </w:rPr>
              <w:t xml:space="preserve">江苏协鸿工程咨询有限公司</w:t>
            </w:r>
            <w:r/>
          </w:p>
        </w:tc>
      </w:tr>
    </w:tbl>
    <w:p>
      <w:pPr>
        <w:pStyle w:val="83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3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3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32"/>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月</w:t>
      </w:r>
      <w:r/>
    </w:p>
    <w:p>
      <w:pPr>
        <w:pStyle w:val="832"/>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839"/>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color w:val="auto"/>
          <w:highlight w:val="none"/>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8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_Toc6120 </w:instrText>
      </w:r>
      <w:r>
        <w:rPr>
          <w:rFonts w:hint="eastAsia"/>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_Toc6120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p>
    <w:p>
      <w:pPr>
        <w:pStyle w:val="8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_Toc18233 </w:instrText>
      </w:r>
      <w:r>
        <w:rPr>
          <w:rFonts w:hint="eastAsia"/>
          <w:color w:val="auto"/>
          <w:highlight w:val="none"/>
        </w:rPr>
        <w:fldChar w:fldCharType="separate"/>
      </w:r>
      <w:r>
        <w:rPr>
          <w:rFonts w:hint="eastAsia" w:ascii="宋体" w:hAnsi="宋体" w:eastAsia="宋体"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_Toc18233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olor w:val="auto"/>
          <w:highlight w:val="none"/>
        </w:rPr>
        <w:fldChar w:fldCharType="end"/>
      </w:r>
      <w:r/>
    </w:p>
    <w:p>
      <w:pPr>
        <w:pStyle w:val="8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_Toc5548 </w:instrText>
      </w:r>
      <w:r>
        <w:rPr>
          <w:rFonts w:hint="eastAsia"/>
          <w:color w:val="auto"/>
          <w:highlight w:val="none"/>
        </w:rPr>
        <w:fldChar w:fldCharType="separate"/>
      </w:r>
      <w:r>
        <w:rPr>
          <w:rFonts w:hint="eastAsia" w:ascii="宋体" w:hAnsi="宋体" w:eastAsia="宋体" w:cs="宋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olor w:val="auto"/>
          <w:highlight w:val="none"/>
        </w:rPr>
        <w:fldChar w:fldCharType="end"/>
      </w:r>
      <w:r/>
    </w:p>
    <w:p>
      <w:pPr>
        <w:pStyle w:val="8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_Toc6864 </w:instrText>
      </w:r>
      <w:r>
        <w:rPr>
          <w:rFonts w:hint="eastAsia"/>
          <w:color w:val="auto"/>
          <w:highlight w:val="none"/>
        </w:rPr>
        <w:fldChar w:fldCharType="separate"/>
      </w:r>
      <w:r>
        <w:rPr>
          <w:rFonts w:hint="eastAsia" w:ascii="宋体" w:hAnsi="宋体" w:eastAsia="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_Toc6864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olor w:val="auto"/>
          <w:highlight w:val="none"/>
        </w:rPr>
        <w:fldChar w:fldCharType="end"/>
      </w:r>
      <w:r/>
    </w:p>
    <w:p>
      <w:pPr>
        <w:pStyle w:val="8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_Toc26840 </w:instrText>
      </w:r>
      <w:r>
        <w:rPr>
          <w:rFonts w:hint="eastAsia"/>
          <w:color w:val="auto"/>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olor w:val="auto"/>
          <w:highlight w:val="none"/>
        </w:rPr>
        <w:fldChar w:fldCharType="end"/>
      </w:r>
      <w:r/>
    </w:p>
    <w:p>
      <w:pPr>
        <w:pStyle w:val="839"/>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_Toc6552 </w:instrText>
      </w:r>
      <w:r>
        <w:rPr>
          <w:rFonts w:hint="eastAsia"/>
          <w:color w:val="auto"/>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_Toc6552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olor w:val="auto"/>
          <w:highlight w:val="none"/>
        </w:rPr>
        <w:fldChar w:fldCharType="end"/>
      </w:r>
      <w:r/>
    </w:p>
    <w:p>
      <w:pPr>
        <w:pStyle w:val="857"/>
        <w:rPr>
          <w:rFonts w:hint="eastAsia"/>
          <w:color w:val="auto"/>
          <w:highlight w:val="none"/>
        </w:rPr>
      </w:pPr>
      <w:r>
        <w:rPr>
          <w:rFonts w:hint="eastAsia"/>
          <w:color w:val="auto"/>
          <w:highlight w:val="none"/>
        </w:rPr>
        <w:fldChar w:fldCharType="end"/>
      </w:r>
      <w:r/>
    </w:p>
    <w:p>
      <w:pPr>
        <w:pStyle w:val="857"/>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811"/>
        <w:jc w:val="center"/>
        <w:spacing w:line="360" w:lineRule="auto"/>
        <w:rPr>
          <w:rFonts w:hint="eastAsia" w:ascii="宋体" w:hAnsi="宋体" w:eastAsia="宋体" w:cs="宋体"/>
          <w:b w:val="0"/>
          <w:color w:val="auto"/>
          <w:highlight w:val="none"/>
        </w:rPr>
      </w:pPr>
      <w:r/>
      <w:bookmarkStart w:id="1" w:name="_Toc6120"/>
      <w:r/>
      <w:bookmarkStart w:id="2" w:name="_Toc16236161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江苏协鸿工程咨询有限公司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（项目编号：</w:t>
      </w:r>
      <w:r>
        <w:rPr>
          <w:rFonts w:hint="eastAsia" w:ascii="Segoe UI" w:hAnsi="Segoe UI" w:eastAsia="宋体" w:cs="Segoe UI"/>
          <w:i w:val="0"/>
          <w:iCs w:val="0"/>
          <w:caps w:val="0"/>
          <w:spacing w:val="0"/>
          <w:sz w:val="21"/>
          <w:szCs w:val="21"/>
          <w:highlight w:val="none"/>
          <w:shd w:val="clear" w:color="070000" w:fill="ffffff"/>
          <w:lang w:eastAsia="zh-CN"/>
        </w:rPr>
        <w:t xml:space="preserve">JSZC-320700-XHZX-G2026-0009</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849"/>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w:t>
            </w:r>
            <w:r>
              <w:rPr>
                <w:rFonts w:hint="eastAsia" w:ascii="宋体" w:hAnsi="宋体" w:eastAsia="宋体" w:cs="宋体"/>
                <w:b/>
                <w:color w:val="auto"/>
                <w:sz w:val="24"/>
                <w:szCs w:val="24"/>
                <w:highlight w:val="none"/>
                <w:u w:val="single"/>
              </w:rPr>
              <w:t xml:space="preserve">年7</w:t>
            </w:r>
            <w:r>
              <w:rPr>
                <w:rFonts w:hint="eastAsia" w:ascii="宋体" w:hAnsi="宋体" w:eastAsia="宋体" w:cs="宋体"/>
                <w:b/>
                <w:color w:val="auto"/>
                <w:sz w:val="24"/>
                <w:szCs w:val="24"/>
                <w:highlight w:val="none"/>
                <w:u w:val="single"/>
              </w:rPr>
              <w:t xml:space="preserve">月6</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81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JSZC-320700-XHZX-G2026-0009</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2026年度物证检验鉴定消耗性器材（专门面向中小企业）</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386.9</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b w:val="0"/>
          <w:bCs w:val="0"/>
          <w:color w:val="auto"/>
          <w:sz w:val="24"/>
          <w:highlight w:val="none"/>
          <w:lang w:val="en-US" w:eastAsia="zh-CN"/>
        </w:rPr>
        <w:t xml:space="preserve">365.12</w:t>
      </w:r>
      <w:r>
        <w:rPr>
          <w:rFonts w:hint="eastAsia" w:ascii="宋体" w:hAnsi="宋体"/>
          <w:b w:val="0"/>
          <w:bCs w:val="0"/>
          <w:color w:val="auto"/>
          <w:sz w:val="24"/>
          <w:highlight w:val="none"/>
        </w:rPr>
        <w:t xml:space="preserve">万元（采购包1：</w:t>
      </w:r>
      <w:r>
        <w:rPr>
          <w:rFonts w:hint="eastAsia" w:ascii="宋体" w:hAnsi="宋体" w:eastAsia="宋体"/>
          <w:b w:val="0"/>
          <w:bCs w:val="0"/>
          <w:color w:val="auto"/>
          <w:sz w:val="24"/>
          <w:highlight w:val="none"/>
          <w:lang w:val="en-US" w:eastAsia="zh-CN"/>
        </w:rPr>
        <w:t xml:space="preserve">46.665</w:t>
      </w:r>
      <w:r>
        <w:rPr>
          <w:rFonts w:hint="eastAsia" w:ascii="宋体" w:hAnsi="宋体"/>
          <w:b w:val="0"/>
          <w:bCs w:val="0"/>
          <w:color w:val="auto"/>
          <w:sz w:val="24"/>
          <w:highlight w:val="none"/>
        </w:rPr>
        <w:t xml:space="preserve">万元；采购包2：</w:t>
      </w:r>
      <w:r>
        <w:rPr>
          <w:rFonts w:hint="eastAsia" w:ascii="宋体" w:hAnsi="宋体" w:eastAsia="宋体"/>
          <w:b w:val="0"/>
          <w:bCs w:val="0"/>
          <w:color w:val="auto"/>
          <w:sz w:val="24"/>
          <w:highlight w:val="none"/>
          <w:lang w:val="en-US" w:eastAsia="zh-CN"/>
        </w:rPr>
        <w:t xml:space="preserve">85.183</w:t>
      </w:r>
      <w:r>
        <w:rPr>
          <w:rFonts w:hint="eastAsia" w:ascii="宋体" w:hAnsi="宋体"/>
          <w:b w:val="0"/>
          <w:bCs w:val="0"/>
          <w:color w:val="auto"/>
          <w:sz w:val="24"/>
          <w:highlight w:val="none"/>
        </w:rPr>
        <w:t xml:space="preserve">万元；采购包</w:t>
      </w: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w:t>
      </w:r>
      <w:r>
        <w:rPr>
          <w:rFonts w:hint="eastAsia" w:ascii="宋体" w:hAnsi="宋体" w:eastAsia="宋体"/>
          <w:b w:val="0"/>
          <w:bCs w:val="0"/>
          <w:color w:val="auto"/>
          <w:sz w:val="24"/>
          <w:highlight w:val="none"/>
          <w:lang w:val="en-US" w:eastAsia="zh-CN"/>
        </w:rPr>
        <w:t xml:space="preserve">71.5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；采购包</w:t>
      </w:r>
      <w:r>
        <w:rPr>
          <w:rFonts w:hint="eastAsia" w:ascii="宋体" w:hAnsi="宋体" w:eastAsia="宋体"/>
          <w:b w:val="0"/>
          <w:bCs w:val="0"/>
          <w:color w:val="auto"/>
          <w:sz w:val="24"/>
          <w:highlight w:val="none"/>
          <w:lang w:val="en-US" w:eastAsia="zh-CN"/>
        </w:rPr>
        <w:t xml:space="preserve">4</w:t>
      </w:r>
      <w:r>
        <w:rPr>
          <w:rFonts w:hint="eastAsia" w:ascii="宋体" w:hAnsi="宋体" w:eastAsia="宋体"/>
          <w:b w:val="0"/>
          <w:bCs w:val="0"/>
          <w:color w:val="auto"/>
          <w:sz w:val="24"/>
          <w:highlight w:val="none"/>
          <w:lang w:eastAsia="zh-CN"/>
        </w:rPr>
        <w:t xml:space="preserve">：</w:t>
      </w:r>
      <w:r>
        <w:rPr>
          <w:rFonts w:hint="eastAsia" w:ascii="宋体" w:hAnsi="宋体" w:eastAsia="宋体"/>
          <w:b w:val="0"/>
          <w:bCs w:val="0"/>
          <w:color w:val="auto"/>
          <w:sz w:val="24"/>
          <w:highlight w:val="none"/>
          <w:lang w:val="en-US" w:eastAsia="zh-CN"/>
        </w:rPr>
        <w:t xml:space="preserve">161.772</w:t>
      </w:r>
      <w:r>
        <w:rPr>
          <w:rFonts w:hint="eastAsia" w:ascii="宋体" w:hAnsi="宋体" w:eastAsia="宋体"/>
          <w:b w:val="0"/>
          <w:bCs w:val="0"/>
          <w:color w:val="auto"/>
          <w:sz w:val="24"/>
          <w:highlight w:val="none"/>
          <w:lang w:eastAsia="zh-CN"/>
        </w:rPr>
        <w:t xml:space="preserve">万元）</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采购包1：痕迹、法医专业现勘耗材及设备维护，具体详见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采购包2：理化专业检验耗材及设备维护，具体详见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：DNA专业重点人员血样建库试剂盒</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eastAsia="宋体"/>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DNA专业试剂盒耗材</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i w:val="0"/>
          <w:iCs w:val="0"/>
          <w:color w:val="auto"/>
          <w:sz w:val="24"/>
          <w:szCs w:val="24"/>
          <w:highlight w:val="none"/>
          <w:lang w:val="en-US" w:eastAsia="zh-CN"/>
        </w:rPr>
        <w:t xml:space="preserve">采购包1：</w:t>
      </w:r>
      <w:r>
        <w:rPr>
          <w:rFonts w:hint="eastAsia" w:ascii="宋体" w:hAnsi="宋体" w:eastAsia="宋体" w:cs="宋体"/>
          <w:i w:val="0"/>
          <w:iCs w:val="0"/>
          <w:color w:val="auto"/>
          <w:sz w:val="24"/>
          <w:szCs w:val="24"/>
          <w:highlight w:val="none"/>
          <w:u w:val="none"/>
          <w:lang w:val="en-US" w:eastAsia="zh-CN"/>
        </w:rPr>
        <w:t xml:space="preserve">合同签订之日起三个月内完成供货，</w:t>
      </w:r>
      <w:r>
        <w:rPr>
          <w:rFonts w:hint="eastAsia" w:ascii="宋体" w:hAnsi="宋体" w:eastAsia="宋体" w:cs="宋体"/>
          <w:b w:val="0"/>
          <w:bCs w:val="0"/>
          <w:i w:val="0"/>
          <w:iCs w:val="0"/>
          <w:color w:val="auto"/>
          <w:sz w:val="24"/>
          <w:szCs w:val="24"/>
          <w:highlight w:val="none"/>
          <w:u w:val="none"/>
          <w:lang w:eastAsia="zh-CN"/>
        </w:rPr>
        <w:t xml:space="preserve">现勘系统、解剖室维护维保期自</w:t>
      </w:r>
      <w:r>
        <w:rPr>
          <w:rFonts w:hint="eastAsia" w:ascii="宋体" w:hAnsi="宋体" w:eastAsia="宋体" w:cs="宋体"/>
          <w:b w:val="0"/>
          <w:bCs w:val="0"/>
          <w:i w:val="0"/>
          <w:iCs w:val="0"/>
          <w:color w:val="auto"/>
          <w:sz w:val="24"/>
          <w:szCs w:val="24"/>
          <w:highlight w:val="none"/>
          <w:u w:val="none"/>
          <w:lang w:val="en-US" w:eastAsia="zh-CN"/>
        </w:rPr>
        <w:t xml:space="preserve">2027年1月1日至2027年12月31日，新型涉网案件研判平台维护、全市人员信息一体化采集维护、刑事技术管理系统数据维护维护维保期自合同签订之日起一年。</w:t>
      </w:r>
      <w:r>
        <w:rPr>
          <w:b w:val="0"/>
          <w:bCs w:val="0"/>
          <w:sz w:val="24"/>
          <w:szCs w:val="24"/>
        </w:rP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采购包2：合同签订之日起三个月内完成供货，维护维保期自签订合同之日起一年。</w:t>
      </w: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采购包3：合同签订之日起六个月内完成供货。</w:t>
      </w:r>
      <w:r/>
    </w:p>
    <w:p>
      <w:pPr>
        <w:ind w:firstLine="480"/>
        <w:jc w:val="left"/>
        <w:spacing w:line="360" w:lineRule="auto"/>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i w:val="0"/>
          <w:iCs w:val="0"/>
          <w:color w:val="auto"/>
          <w:sz w:val="24"/>
          <w:szCs w:val="24"/>
          <w:highlight w:val="none"/>
          <w:lang w:val="en-US" w:eastAsia="zh-CN"/>
        </w:rPr>
        <w:t xml:space="preserve">采购包4：合同签订之日起六个月内完成供货，</w:t>
      </w:r>
      <w:r>
        <w:rPr>
          <w:rFonts w:hint="eastAsia" w:ascii="宋体" w:hAnsi="宋体" w:eastAsia="宋体" w:cs="宋体"/>
          <w:b w:val="0"/>
          <w:bCs w:val="0"/>
          <w:i w:val="0"/>
          <w:iCs w:val="0"/>
          <w:color w:val="auto"/>
          <w:sz w:val="24"/>
          <w:szCs w:val="24"/>
          <w:highlight w:val="none"/>
          <w:u w:val="none"/>
          <w:lang w:val="en-US" w:eastAsia="zh-CN"/>
        </w:rPr>
        <w:t xml:space="preserve">3500XL、实验室管理系统Lims、DNA国家库维护、风冷净化系统维护维保期自2026年12月1日至2027年11月30日。</w:t>
      </w:r>
      <w:r>
        <w:rPr>
          <w:b w:val="0"/>
          <w:bCs w:val="0"/>
          <w:sz w:val="24"/>
          <w:szCs w:val="24"/>
        </w:rP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本项目（是/否）接受联合体投标：不接受联合体。</w:t>
      </w:r>
      <w:r/>
    </w:p>
    <w:p>
      <w:pPr>
        <w:pStyle w:val="812"/>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rPr>
        <w:t xml:space="preserve">本项目专门面向中型企业、小型企业、微型企业、残疾人福利性单位、监狱企业采购，符合要求的供应商须提供《中小企业声明函》（详见第六章 </w:t>
      </w:r>
      <w:r>
        <w:rPr>
          <w:rFonts w:hint="eastAsia" w:ascii="宋体" w:hAnsi="宋体" w:eastAsia="宋体" w:cs="Times New Roman"/>
          <w:b/>
          <w:bCs/>
          <w:sz w:val="24"/>
          <w:szCs w:val="28"/>
          <w:highlight w:val="none"/>
          <w:lang w:eastAsia="zh-CN"/>
        </w:rPr>
        <w:t xml:space="preserve">投标</w:t>
      </w:r>
      <w:r>
        <w:rPr>
          <w:rFonts w:hint="eastAsia" w:ascii="宋体" w:hAnsi="宋体" w:eastAsia="宋体" w:cs="Times New Roman"/>
          <w:b/>
          <w:bCs/>
          <w:sz w:val="24"/>
          <w:szCs w:val="28"/>
          <w:highlight w:val="none"/>
        </w:rPr>
        <w:t xml:space="preserve">文件格式）或《残疾人福利性单位声明函》（详见第六章 响应文件格式）或属于监狱企业的证明文件，否则按无效响应处理。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8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8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年7</w:t>
      </w:r>
      <w:r>
        <w:rPr>
          <w:rFonts w:hint="eastAsia" w:ascii="宋体" w:hAnsi="宋体" w:eastAsia="宋体" w:cs="宋体"/>
          <w:color w:val="auto"/>
          <w:sz w:val="24"/>
          <w:szCs w:val="24"/>
          <w:highlight w:val="none"/>
        </w:rPr>
        <w:t xml:space="preserve">月6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月6</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8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8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1.本次招标不收取投标保证金。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i/>
          <w:iCs/>
          <w:color w:val="c00000"/>
          <w:sz w:val="24"/>
          <w:szCs w:val="24"/>
          <w:highlight w:val="none"/>
          <w:u w:val="single"/>
        </w:rPr>
        <w:t xml:space="preserve">斜体且有下划线</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每个供应商可参与多个采购包的投标但只能中标其中一个采购包，本项目按照采购包1、采购包2、采购包3、采购包4顺序开标、评标。在前一采购包推荐为第一中标候选人后可以参与后续采购包评标，但不再推荐为后续采购包的中标候选人。各采购包符合要求的供应商数量不得少于3家，否则按流标处理。</w:t>
      </w:r>
      <w:r/>
    </w:p>
    <w:p>
      <w:pPr>
        <w:pStyle w:val="812"/>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连云港市公安局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址：连云港市海州区朝阳东路9号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凌警官</w:t>
      </w:r>
      <w:r>
        <w:rPr>
          <w:rFonts w:hint="eastAsia" w:ascii="宋体" w:hAnsi="宋体" w:eastAsia="宋体" w:cs="宋体"/>
          <w:color w:val="auto"/>
          <w:sz w:val="24"/>
          <w:szCs w:val="24"/>
          <w:highlight w:val="none"/>
          <w:lang w:val="en-US" w:eastAsia="zh-CN"/>
        </w:rPr>
        <w:t xml:space="preserve"> 15861236615</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名    称：江苏协鸿工程咨询有限公司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连云港市海州区秦东门大街兴亿达大厦西厅14楼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人：陈工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联系电话：0518-82341968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凌警官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15861236615</w:t>
      </w:r>
      <w:r/>
    </w:p>
    <w:p>
      <w:pPr>
        <w:rPr>
          <w:rFonts w:hint="eastAsia" w:ascii="宋体" w:hAnsi="宋体" w:eastAsia="宋体" w:cs="宋体"/>
          <w:b w:val="0"/>
          <w:color w:val="auto"/>
          <w:highlight w:val="none"/>
        </w:rPr>
      </w:pPr>
      <w:r/>
      <w:bookmarkStart w:id="3" w:name="_Toc162361611"/>
      <w:r>
        <w:rPr>
          <w:rFonts w:hint="eastAsia" w:ascii="宋体" w:hAnsi="宋体" w:eastAsia="宋体" w:cs="宋体"/>
          <w:b w:val="0"/>
          <w:color w:val="auto"/>
          <w:highlight w:val="none"/>
        </w:rPr>
        <w:br w:type="page" w:clear="all"/>
      </w:r>
      <w:bookmarkEnd w:id="3"/>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4" w:name="_Toc165205795"/>
      <w:r/>
      <w:bookmarkStart w:id="5" w:name="_Toc162361612"/>
      <w:r>
        <w:rPr>
          <w:rFonts w:hint="eastAsia" w:ascii="黑体" w:hAnsi="黑体" w:eastAsia="黑体" w:cs="Times New Roman"/>
          <w:b w:val="0"/>
          <w:bCs/>
          <w:sz w:val="44"/>
          <w:szCs w:val="44"/>
          <w:highlight w:val="none"/>
          <w:lang w:val="en-US" w:eastAsia="zh-CN" w:bidi="ar-SA"/>
        </w:rPr>
        <w:t xml:space="preserve">第二章  供应商须知</w:t>
      </w:r>
      <w:bookmarkEnd w:id="4"/>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hint="eastAsia" w:eastAsia="宋体" w:cs="Times New Roman"/>
          <w:sz w:val="24"/>
          <w:szCs w:val="24"/>
          <w:highlight w:val="none"/>
        </w:rPr>
        <w:t xml:space="preserve">供应商投标时报价须当包含代理费（供应商在投标报价时可综合考虑此费用，不单列）。依据本项目委托代理协议约定</w:t>
      </w:r>
      <w:r>
        <w:rPr>
          <w:rFonts w:hint="eastAsia" w:eastAsia="宋体" w:cs="Times New Roman"/>
          <w:sz w:val="24"/>
          <w:szCs w:val="24"/>
          <w:highlight w:val="none"/>
        </w:rPr>
        <w:t xml:space="preserve">，</w:t>
      </w:r>
      <w:r>
        <w:rPr>
          <w:rFonts w:hint="eastAsia" w:eastAsia="宋体" w:cs="Times New Roman"/>
          <w:sz w:val="24"/>
          <w:szCs w:val="24"/>
          <w:highlight w:val="none"/>
        </w:rPr>
        <w:t xml:space="preserve">本项目采购代理费根据苏招协【2022】002号收费标准的</w:t>
      </w: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%计取，由中标人支付。支付方式：电汇、网银、现金。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（1）评审过程中出现下列情形之一的，磋商小组应当启动异常低价投标（响应）审查程序：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872"/>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5"/>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6" w:name="_Toc165205796"/>
      <w:r/>
      <w:bookmarkStart w:id="7" w:name="_Toc162361613"/>
      <w:r>
        <w:rPr>
          <w:rFonts w:hint="eastAsia" w:ascii="黑体" w:hAnsi="黑体" w:eastAsia="黑体" w:cs="Times New Roman"/>
          <w:b w:val="0"/>
          <w:bCs/>
          <w:sz w:val="44"/>
          <w:szCs w:val="44"/>
          <w:highlight w:val="none"/>
          <w:lang w:val="en-US" w:eastAsia="zh-CN" w:bidi="ar-SA"/>
        </w:rPr>
        <w:t xml:space="preserve">第三章  合同文本</w:t>
      </w:r>
      <w:bookmarkEnd w:id="6"/>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8"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8"/>
      <w:r/>
      <w:r/>
    </w:p>
    <w:p>
      <w:pPr>
        <w:jc w:val="left"/>
        <w:widowControl/>
        <w:rPr>
          <w:rFonts w:ascii="黑体" w:hAnsi="黑体" w:eastAsia="黑体" w:cs="Times New Roman"/>
          <w:sz w:val="28"/>
          <w:szCs w:val="28"/>
          <w:highlight w:val="none"/>
        </w:rPr>
      </w:pPr>
      <w:r/>
      <w:bookmarkStart w:id="9"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9"/>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400" w:lineRule="exact"/>
        <w:rPr>
          <w:rFonts w:ascii="宋体" w:hAnsi="宋体" w:eastAsia="宋体" w:cs="Times New Roman"/>
          <w:highlight w:val="none"/>
        </w:rPr>
      </w:pPr>
      <w:r>
        <w:rPr>
          <w:rFonts w:ascii="宋体" w:hAnsi="宋体" w:eastAsia="宋体" w:cs="Times New Roman"/>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2"/>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1"/>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3"/>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1"/>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849"/>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：连云港市公安局</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eastAsia="宋体" w:cs="Times New Roman"/>
                <w:highlight w:val="no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eastAsia="宋体" w:cs="Times New Roman"/>
                <w:highlight w:val="none"/>
                <w:lang w:eastAsia="zh-CN"/>
              </w:rPr>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firstLine="420"/>
              <w:jc w:val="left"/>
              <w:spacing w:line="360" w:lineRule="auto"/>
              <w:widowControl/>
              <w:rPr>
                <w:rFonts w:hint="default" w:ascii="Calibri" w:hAnsi="Calibri" w:eastAsia="宋体" w:cs="Arial"/>
                <w:sz w:val="21"/>
                <w:szCs w:val="20"/>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4"/>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6"/>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7"/>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821"/>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eastAsia="宋体" w:cs="Times New Roman"/>
                <w:highlight w:val="none"/>
              </w:rPr>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jc w:val="center"/>
              <w:rPr>
                <w:rFonts w:hint="eastAsia" w:eastAsia="宋体" w:cs="Times New Roman"/>
                <w:highlight w:val="none"/>
                <w:lang w:eastAsia="zh-CN"/>
              </w:rPr>
            </w:pPr>
            <w:r>
              <w:rPr>
                <w:rFonts w:hint="eastAsia" w:eastAsia="宋体" w:cs="Times New Roman"/>
                <w:highlight w:val="none"/>
                <w:lang w:eastAsia="zh-CN"/>
              </w:rPr>
              <w:t xml:space="preserve">连云港市公安局</w:t>
            </w:r>
            <w:r/>
          </w:p>
        </w:tc>
      </w:tr>
      <w:tr>
        <w:trPr>
          <w:jc w:val="center"/>
          <w:trHeight w:val="772"/>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p>
          <w:p>
            <w:pPr>
              <w:ind w:firstLine="0"/>
              <w:jc w:val="center"/>
              <w:spacing w:line="400" w:lineRule="exact"/>
              <w:rPr>
                <w:rFonts w:hint="default" w:ascii="华文楷体" w:hAnsi="华文楷体" w:eastAsia="华文楷体" w:cs="华文楷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jc w:val="both"/>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如乙方未在</w:t>
            </w:r>
            <w:r>
              <w:rPr>
                <w:rFonts w:hint="eastAsia" w:ascii="宋体" w:hAnsi="宋体" w:eastAsia="宋体" w:cs="Times New Roman"/>
                <w:szCs w:val="21"/>
                <w:highlight w:val="none"/>
              </w:rPr>
              <w:t xml:space="preserve">项目地成立固定的服务团队（专班），</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质保期内发现由于材料、设备或工艺不良造成设备故障时，</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发出服务通知（包含文字通知、口头通知等形式），1小时内技术人员</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到场迅速修复</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旧设备需要送修时，</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在4小时内完成新设备免费更换</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《中华人民共和国产品质量法》第四十条</w:t>
            </w:r>
            <w:r/>
          </w:p>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2.如因乙方未提供备品备件或者备品备件无法代替原货物使用导致甲方损失的，乙方按实赔偿甲方损失，同时每延迟一天交付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jc w:val="left"/>
              <w:rPr>
                <w:rFonts w:ascii="宋体" w:hAnsi="宋体" w:eastAsia="宋体" w:cs="Times New Roman"/>
                <w:szCs w:val="21"/>
                <w:highlight w:val="none"/>
                <w:u w:val="single"/>
              </w:rPr>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在逾期</w:t>
            </w:r>
            <w:r>
              <w:rPr>
                <w:rFonts w:ascii="宋体" w:hAnsi="宋体" w:eastAsia="宋体" w:cs="Times New Roman"/>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因本合同及合同有关事项发生的争议，按下列第（2）种方式解决：</w:t>
            </w:r>
            <w:r/>
          </w:p>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（1）向仲裁委员会申请仲裁，仲裁地点为        ；</w:t>
            </w:r>
            <w:r/>
          </w:p>
          <w:p>
            <w:pPr>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81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bookmarkStart w:id="10" w:name="_Toc6864"/>
      <w:r/>
      <w:r/>
    </w:p>
    <w:p>
      <w:pPr>
        <w:rPr>
          <w:rFonts w:hint="eastAsia"/>
          <w:highlight w:val="none"/>
        </w:rPr>
      </w:pPr>
      <w:r>
        <w:rPr>
          <w:rFonts w:hint="eastAsia"/>
          <w:highlight w:val="none"/>
        </w:rPr>
      </w:r>
      <w:r/>
    </w:p>
    <w:p>
      <w:pPr>
        <w:pStyle w:val="811"/>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7"/>
      <w:r/>
      <w:bookmarkEnd w:id="10"/>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rPr>
        <w:t xml:space="preserve">货物</w:t>
      </w:r>
      <w:r>
        <w:rPr>
          <w:rFonts w:hint="eastAsia" w:eastAsia="宋体" w:cs="Times New Roman"/>
          <w:sz w:val="24"/>
          <w:szCs w:val="24"/>
          <w:highlight w:val="none"/>
        </w:rPr>
        <w:t xml:space="preserve">，采购标的对应的中小企业划分标准所属行业详见货物（标的）采购清单。</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eastAsia="宋体" w:cs="Times New Roman"/>
          <w:sz w:val="24"/>
          <w:szCs w:val="24"/>
          <w:highlight w:val="none"/>
        </w:rPr>
      </w:pPr>
      <w:r>
        <w:rPr>
          <w:rFonts w:hint="eastAsia" w:eastAsia="宋体" w:cs="Times New Roman"/>
          <w:sz w:val="24"/>
          <w:szCs w:val="24"/>
          <w:highlight w:val="none"/>
        </w:rPr>
      </w:r>
      <w:r>
        <w:rPr>
          <w:rFonts w:ascii="SimSun" w:hAnsi="SimSun" w:eastAsia="SimSun" w:cs="SimSun"/>
          <w:color w:val="000000"/>
          <w:sz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eastAsia="宋体" w:cs="Times New Roman"/>
          <w:sz w:val="24"/>
          <w:szCs w:val="24"/>
          <w:highlight w:val="none"/>
        </w:rPr>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sz w:val="24"/>
          <w:szCs w:val="24"/>
          <w:highlight w:val="none"/>
        </w:rPr>
        <w:t xml:space="preserve">本招标文件中</w:t>
      </w:r>
      <w:r>
        <w:rPr>
          <w:rFonts w:hint="eastAsia" w:eastAsia="宋体" w:cs="Times New Roman"/>
          <w:b/>
          <w:i/>
          <w:color w:val="c00000"/>
          <w:sz w:val="24"/>
          <w:szCs w:val="24"/>
          <w:highlight w:val="none"/>
          <w:u w:val="single"/>
        </w:rPr>
        <w:t xml:space="preserve">斜体且有下划线部分</w:t>
      </w:r>
      <w:r>
        <w:rPr>
          <w:rFonts w:hint="eastAsia" w:eastAsia="宋体" w:cs="Times New Roman"/>
          <w:b/>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，由采购人根据实际情况设置，供应商须逐条明确作出满足实质性要求和条件的响应，否则将按无效响应处理。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因本项目的特殊性，请投标人</w:t>
      </w:r>
      <w:r>
        <w:rPr>
          <w:rFonts w:hint="eastAsia" w:ascii="宋体" w:hAnsi="宋体" w:eastAsia="宋体" w:cs="宋体"/>
          <w:color w:val="auto"/>
          <w:sz w:val="24"/>
          <w:szCs w:val="24"/>
          <w:highlight w:val="none"/>
        </w:rPr>
        <w:t xml:space="preserve">自愿现场考察</w:t>
      </w:r>
      <w:r>
        <w:rPr>
          <w:rFonts w:hint="eastAsia" w:ascii="宋体" w:hAnsi="宋体" w:eastAsia="宋体" w:cs="宋体"/>
          <w:color w:val="auto"/>
          <w:sz w:val="24"/>
          <w:szCs w:val="24"/>
          <w:highlight w:val="none"/>
        </w:rPr>
        <w:t xml:space="preserve">对采购人现有的仪器设备进行</w:t>
      </w:r>
      <w:r>
        <w:rPr>
          <w:rFonts w:hint="eastAsia" w:ascii="宋体" w:hAnsi="宋体" w:eastAsia="宋体" w:cs="宋体"/>
          <w:b/>
          <w:bCs/>
          <w:color w:val="auto"/>
          <w:sz w:val="24"/>
          <w:szCs w:val="24"/>
          <w:highlight w:val="none"/>
        </w:rPr>
        <w:t xml:space="preserve">现场考察</w:t>
      </w:r>
      <w:r>
        <w:rPr>
          <w:rFonts w:hint="eastAsia" w:ascii="宋体" w:hAnsi="宋体" w:eastAsia="宋体" w:cs="宋体"/>
          <w:color w:val="auto"/>
          <w:sz w:val="24"/>
          <w:szCs w:val="24"/>
          <w:highlight w:val="none"/>
        </w:rPr>
        <w:t xml:space="preserve">。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中标人自行承担并承担一切法律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考察地址：连云港市海州区云台乡九岭</w:t>
      </w:r>
      <w:r>
        <w:rPr>
          <w:rFonts w:hint="eastAsia" w:ascii="宋体" w:hAnsi="宋体" w:eastAsia="宋体" w:cs="宋体"/>
          <w:color w:val="auto"/>
          <w:sz w:val="24"/>
          <w:szCs w:val="24"/>
          <w:highlight w:val="none"/>
          <w:lang w:eastAsia="zh-CN"/>
        </w:rPr>
        <w:t xml:space="preserve">路</w:t>
      </w:r>
      <w:r>
        <w:rPr>
          <w:rFonts w:hint="eastAsia" w:ascii="宋体" w:hAnsi="宋体" w:eastAsia="宋体" w:cs="宋体"/>
          <w:color w:val="auto"/>
          <w:sz w:val="24"/>
          <w:szCs w:val="24"/>
          <w:highlight w:val="none"/>
        </w:rPr>
        <w:t xml:space="preserve">（连云港市公安局物证鉴定</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考察联系人：</w:t>
      </w:r>
      <w:r>
        <w:rPr>
          <w:rFonts w:hint="eastAsia" w:ascii="宋体" w:hAnsi="宋体" w:eastAsia="宋体" w:cs="宋体"/>
          <w:color w:val="auto"/>
          <w:sz w:val="24"/>
          <w:szCs w:val="24"/>
          <w:highlight w:val="none"/>
          <w:lang w:eastAsia="zh-CN"/>
        </w:rPr>
        <w:t xml:space="preserve">凌</w:t>
      </w:r>
      <w:r>
        <w:rPr>
          <w:rFonts w:hint="eastAsia" w:ascii="宋体" w:hAnsi="宋体" w:eastAsia="宋体" w:cs="宋体"/>
          <w:color w:val="auto"/>
          <w:sz w:val="24"/>
          <w:szCs w:val="24"/>
          <w:highlight w:val="none"/>
        </w:rPr>
        <w:t xml:space="preserve">警官        联系电话：</w:t>
      </w:r>
      <w:r>
        <w:rPr>
          <w:rFonts w:hint="eastAsia" w:ascii="宋体" w:hAnsi="宋体" w:eastAsia="宋体" w:cs="宋体"/>
          <w:color w:val="auto"/>
          <w:sz w:val="24"/>
          <w:szCs w:val="24"/>
          <w:highlight w:val="none"/>
          <w:lang w:val="en-US" w:eastAsia="zh-CN"/>
        </w:rPr>
        <w:t xml:space="preserve">15861236615</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考察前请提前联系，预约时间，考察时请携带授权委托书和有效身份证，现场考察的费用由投标人自行承担。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多功能现场搜索光源</w:t>
      </w:r>
      <w:r>
        <w:rPr>
          <w:rFonts w:hint="eastAsia" w:ascii="宋体" w:hAnsi="宋体" w:eastAsia="宋体" w:cs="宋体"/>
          <w:b/>
          <w:bCs/>
          <w:color w:val="003366"/>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1"/>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68"/>
        <w:gridCol w:w="5231"/>
        <w:gridCol w:w="659"/>
        <w:gridCol w:w="732"/>
        <w:gridCol w:w="1198"/>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多功能现场搜索光源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白光（400-700nm）多波段（不少于9个波段）</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带激光测、距功能。白光为矩形光斑</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出光口1米处光照宽度≥1.7米</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光照度≥7500Lx</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多波段光斑为圆形</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20cm处光照直径≥10cm</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光照度≥680Lx</w:t>
            </w:r>
            <w:r/>
          </w:p>
          <w:p>
            <w:pPr>
              <w:numPr>
                <w:ilvl w:val="0"/>
                <w:numId w:val="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激光测距仪范围为0.03-50m，精度为毫米。</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台</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蓝显快速荧光靶向试剂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2、150ml，适用于汗潜指纹，脱落细胞，尿液，精斑等。</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绿显荧光靶向试剂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2、60ml，适用于陈旧性痕迹物证。</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荧光潜血试剂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2、400ml，适用于潜血痕迹。</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枪弹建档耗材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阻尼片、硅胶球。（适配卡索干式集弹器）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耐高温防护</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手套</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1"/>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隔热</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250℃ </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防滑</w:t>
            </w:r>
            <w:r/>
          </w:p>
          <w:p>
            <w:pPr>
              <w:numPr>
                <w:ilvl w:val="0"/>
                <w:numId w:val="1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黄色哑光PVC材质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纸质 厚度1mm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502胶水</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氰基丙烯酸酯粘合剂，25只/盒，20g/只</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茚三酮喷灌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200ml/罐</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罐</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18650锂电池</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1、＞9000mWh</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2、3C认证</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3、配充电器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节</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5米（直径15mm）升级加厚耐磨耐撕咬耐高温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5米（直径25mm）升级加厚耐磨耐撕咬耐高温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多口USB手机充电器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10口自带黑线120W带散热风扇</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U盘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128GB、USB3.2,读写速度400MB/s</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声学监听</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传感器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2"/>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频响范围5hz-40khz</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高灵敏度低失真，中性自然，动圈式换能，封闭式头戴结构</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标准3.5mm接口</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both"/>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高品质刻录盘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3"/>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DVD+R</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4.7G/120MIN</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直径12cm</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最大刻录速度≥16X</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光盘保护袋</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透明光盘袋，100张/包</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移动固态硬盘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1、1TB</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2、1050M/S</w:t>
            </w:r>
            <w:r/>
          </w:p>
          <w:p>
            <w:pPr>
              <w:numPr>
                <w:ilvl w:val="0"/>
                <w:numId w:val="14"/>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Type-C接口</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i w:val="0"/>
                <w:iCs w:val="0"/>
                <w:color w:val="000000"/>
                <w:sz w:val="21"/>
                <w:szCs w:val="21"/>
                <w:highlight w:val="none"/>
                <w:u w:val="none"/>
                <w:lang w:val="en-US" w:eastAsia="zh-CN"/>
              </w:rPr>
              <w:t xml:space="preserve">带多种转接口</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5、（Nvme PSSD）MyPassport随行SSD1、2TB</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外接光驱</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DVD刻录，读写速度≥8X；支持USB/Type-C接口（兼容苹果系统/SDRW-08U9M）</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新型涉网案件研判平台维护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一、平台需求</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有度慧眼平台依托互联网黑灰产大数据挖掘与智能自动化深度解析技术，对海量涉诈网站及APP进行全天候动态监测。平台能够实时提取网络请求、页面与代码特征、第三方服务等核心数据，并深度融合AI智能体、知识图谱、自然语言处理及图像识别等前沿技术，对网络行为痕迹进行大数据检索，从而实时向辖区推送高精准度的涉网预警线索，迅速识别并锁定潜在涉诈目标。</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平台全面覆盖“行为发现—阻断拦截—数据分析—串并关联”的全链路闭环，为数据拓展、关联研判、预警拦截及技术反制提供全方位、深层次、多维度的数据支撑。</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在功能架构上，平台集成了大数据检索、研判打击、预警推送、数据中心、统计中心及个人中心等多元化服务模块。</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深度挖掘海量数据中的关键线索，平台利用机器学习与图像识别技术，实现对诈骗团伙及其犯罪行为的精准追踪与动态监控。其数据追踪范围广泛，支持对手机号码、身份证号、银行卡号、QQ号、网站域名、IP地址、邮箱地址、虚拟币地址及各类关键词的快速检索与精准定位。</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二、运维内容</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通过量化、标准化的服务频次，实现对软件系统的主动式、预防性维护。通过高频次的巡检与及时的版本迭代，保障业务连续性与稳定性。</w:t>
            </w:r>
            <w:r/>
          </w:p>
          <w:tbl>
            <w:tblPr>
              <w:tblStyle w:val="821"/>
              <w:tblW w:w="525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621"/>
              <w:gridCol w:w="1884"/>
              <w:gridCol w:w="913"/>
              <w:gridCol w:w="837"/>
            </w:tblGrid>
            <w:tr>
              <w:trPr>
                <w:jc w:val="center"/>
                <w:tblHeader/>
              </w:trPr>
              <w:tc>
                <w:tcPr>
                  <w:tcW w:w="1621"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运维模</w:t>
                  </w:r>
                  <w:r>
                    <w:rPr>
                      <w:rFonts w:ascii="宋体" w:hAnsi="宋体" w:eastAsia="宋体" w:cs="宋体"/>
                      <w:b/>
                      <w:sz w:val="15"/>
                      <w:szCs w:val="15"/>
                      <w:highlight w:val="none"/>
                    </w:rPr>
                    <w:t xml:space="preserve">块</w:t>
                  </w:r>
                  <w:r/>
                </w:p>
              </w:tc>
              <w:tc>
                <w:tcPr>
                  <w:tcW w:w="1884"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内容</w:t>
                  </w:r>
                  <w:r/>
                </w:p>
              </w:tc>
              <w:tc>
                <w:tcPr>
                  <w:tcW w:w="913" w:type="dxa"/>
                  <w:vAlign w:val="center"/>
                  <w:textDirection w:val="lrTb"/>
                  <w:noWrap w:val="false"/>
                </w:tcPr>
                <w:p>
                  <w:pPr>
                    <w:jc w:val="center"/>
                    <w:spacing w:before="120" w:after="120"/>
                    <w:rPr>
                      <w:rFonts w:ascii="宋体" w:eastAsia="宋体"/>
                      <w:b/>
                      <w:sz w:val="15"/>
                      <w:szCs w:val="15"/>
                      <w:highlight w:val="none"/>
                    </w:rPr>
                  </w:pPr>
                  <w:r>
                    <w:rPr>
                      <w:rFonts w:ascii="宋体" w:hAnsi="宋体" w:eastAsia="宋体" w:cs="宋体"/>
                      <w:b/>
                      <w:sz w:val="15"/>
                      <w:szCs w:val="15"/>
                      <w:highlight w:val="none"/>
                    </w:rPr>
                    <w:t xml:space="preserve">频次/数量</w:t>
                  </w:r>
                  <w:r/>
                </w:p>
              </w:tc>
              <w:tc>
                <w:tcPr>
                  <w:tcW w:w="837"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目标</w:t>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运行监控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实时监测核心业务系统在线状态</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365次/年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业务不中断</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监测API接口连通性及数据交互相应速度</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定期巡检</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定期排查报错与异常记录</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12次/年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主动发现潜在隐患</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服务器资源（CPU/内存/磁盘/中间件）与运行状态检查</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调整优化</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业务流程逻辑梳理与优化</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提升用户体验</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页面加载与系统性能调优</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使用支持</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用户操作指导与疑难解答</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保障日常办公顺畅</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账号管理与权限精细化配置</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版本升级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系统功能迭代与新增</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系统功能持续完善</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已知缺陷修复</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bl>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次</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现勘系统维护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传统/新型江苏连云港市全国现场勘验系统运维服务。传统案件勘查现场新增，基本信息，物证信息，尸体信息，涉案视频等材料录入，未知名尸体身源确定，卷宗材料制作，信息通查查询案件，分县局录入情况统计，立案勘查统计，终端录入统计；新型涉网</w:t>
            </w:r>
            <w:r>
              <w:rPr>
                <w:rFonts w:hint="eastAsia" w:ascii="宋体" w:hAnsi="宋体" w:eastAsia="宋体" w:cs="宋体"/>
                <w:i w:val="0"/>
                <w:iCs w:val="0"/>
                <w:color w:val="auto"/>
                <w:sz w:val="21"/>
                <w:szCs w:val="21"/>
                <w:highlight w:val="none"/>
                <w:u w:val="none"/>
                <w:lang w:val="en-US" w:eastAsia="zh-CN"/>
              </w:rPr>
              <w:t xml:space="preserve">现勘新增涉网案件，勘验小结，我的现场展示，现场审核，人工考核，案件分布情况统计，考核统计，声纹统计，厂家数据统计，现场数据抽取，删除现场管理，撤回现场管理，非黑灰APP库管理，APP解析查询列表，终端上报监控，上报上级监控；勘验质量管控，传统案件质量勘查，我的现场质检，单位现场质检，质检详情，勘验质量抽查，质检白名单，电诈事主勘查，传统案件指标分析，传统案件勘查提取统计，电诈案件指标分析，电诈案件勘查提取统计，质量检查设置，质检服务等功能。案件录入完成后，各项材料与省现勘进行对接，完成市库与省库的实时对接。</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维护内容：1.系统应用服务器：①每月释放服务器缓存（减少进程压力大的情况一年12次）；②涉网现勘上传数据（案件内图片，各式聊天记录，转账记录）不完整或者未在规定时间上传至内网</w:t>
            </w:r>
            <w:r>
              <w:rPr>
                <w:rFonts w:hint="eastAsia" w:ascii="宋体" w:hAnsi="宋体" w:eastAsia="宋体" w:cs="宋体"/>
                <w:i w:val="0"/>
                <w:iCs w:val="0"/>
                <w:color w:val="auto"/>
                <w:sz w:val="21"/>
                <w:szCs w:val="21"/>
                <w:highlight w:val="none"/>
                <w:u w:val="none"/>
                <w:lang w:val="en-US" w:eastAsia="zh-CN"/>
              </w:rPr>
              <w:t xml:space="preserve">，需要在上传通道提出并手动传入现勘数据库，全市平均每日三起；③检查现勘应用和数据库服务器运行的服务是否正常，除了节假日每周一次，一年大约52次；2.数据备份：每周定时全量备份，一年大约52次。3.数据整理：①每月核对市库入省库的案件数据，一年12次；②省厅考核的经纬度项目，拉取现勘里警综接口无经纬度信息制表补充，每月一次，一年12次；③不定时通过数据库拉取需要的数据信息。4.其他业务系统对接：①定时检查对接合成作战平台和市局大模型库展示的现勘数据，每月一次，一年大约12次；②用户操作行为日志对接大数据系统。</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rPr>
                <w:rFonts w:hint="eastAsia" w:ascii="宋体" w:hAnsi="宋体" w:eastAsia="宋体" w:cs="宋体"/>
                <w:i w:val="0"/>
                <w:iCs w:val="0"/>
                <w:color w:val="auto"/>
                <w:sz w:val="21"/>
                <w:szCs w:val="21"/>
                <w:highlight w:val="none"/>
                <w:u w:val="none"/>
                <w:lang w:val="en-US" w:eastAsia="zh-CN"/>
              </w:rPr>
            </w:r>
            <w:r/>
          </w:p>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全市人员信息一体化采集维护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连云港市人员信息一体化采集管理系统。提供质量管理，考核管理，应用功能，全息查询，统计分析，DNA管理，运维管理，涉毒管理，配置管理，系统设置等功能；从派出所前端采集数据实时反馈至人员信息一体化采集管理系统，采集数据包括但不限于指掌纹，人像，声纹，虹膜，足迹，DNA；上传质量审核，采集错误后修改信息申请审批，省指纹，人像，声纹，虹膜，足迹，DNA库的通道对接，导出各专业采集数据，统计各专业采集数据压缩包，导入离线采集数据包，采集点单位管理，声纹设备注册等功能。</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维护内容：1.系统应用服务器：①每周检查应用服务器运行的中间件（kafka、redis、zookeeper）、框架服务、应用服务是否正常，一周一次，一年大约52次；②每</w:t>
            </w:r>
            <w:r>
              <w:rPr>
                <w:rFonts w:hint="eastAsia" w:ascii="宋体" w:hAnsi="宋体" w:eastAsia="宋体" w:cs="宋体"/>
                <w:i w:val="0"/>
                <w:iCs w:val="0"/>
                <w:color w:val="auto"/>
                <w:sz w:val="21"/>
                <w:szCs w:val="21"/>
                <w:highlight w:val="none"/>
                <w:u w:val="none"/>
                <w:lang w:val="en-US" w:eastAsia="zh-CN"/>
              </w:rPr>
              <w:t xml:space="preserve">月检查应用服务器空间是否超过警告储存量，一月一次，一年12次；③应用系统网页上传通道检查，确保采集数据稳妥进入系统并显示，平均每日三次；④每周两次进行应用数据拉取比对，一年大约24次。2.数据库备份：①每月对数据进行增量备份，一年12次；②每半年对数据进行全量备份，一年两次。3.数据整理：①每个工作日对指掌纹，人像，声纹，虹膜，足迹，DNA各专业上传省库情况进行审查和统计。④其他业务系统对接：①定时检查一体化采集系统对接合成作战平台的数据是否正常，每月一次，一年大约12次；②用户操作行为日志对接大数据系统。</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rPr>
                <w:rFonts w:hint="eastAsia" w:ascii="宋体" w:hAnsi="宋体" w:eastAsia="宋体" w:cs="宋体"/>
                <w:i w:val="0"/>
                <w:iCs w:val="0"/>
                <w:color w:val="auto"/>
                <w:sz w:val="21"/>
                <w:szCs w:val="21"/>
                <w:highlight w:val="none"/>
                <w:u w:val="none"/>
                <w:lang w:val="en-US" w:eastAsia="zh-CN"/>
              </w:rPr>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r>
        <w:trPr>
          <w:trHeight w:val="86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刑事技术管理系统数据维护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刑事技术管理系统每年维保内容包括：操作系统、数据库/中间件、应用软件等运维；以及电话技术支持、E-Mail技术支持、传真技术支持、远程维护支持、现场维护支持、系统性能优化服务、定期回访服务、专家组服务、终身免费技术等服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1、操作系统运维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（2）性能分析12次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（3）调整优化4次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（6）安全加固2次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2、数据库、中间件运维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（6）数据备份和恢复按需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3、应用软件运维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（4）使用支持按需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（6）需求管理按需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（7）系统备份和恢复按需</w:t>
            </w:r>
            <w:r/>
          </w:p>
          <w:p>
            <w:pPr>
              <w:ind w:left="0" w:right="0" w:firstLine="0"/>
              <w:jc w:val="both"/>
              <w:spacing w:line="300" w:lineRule="exact"/>
              <w:widowControl w:val="off"/>
              <w:rPr>
                <w:rFonts w:hint="eastAsia" w:ascii="宋体" w:hAnsi="宋体" w:eastAsia="宋体" w:cs="宋体"/>
                <w:i w:val="0"/>
                <w:iCs w:val="0"/>
                <w:color w:val="auto"/>
                <w:sz w:val="21"/>
                <w:szCs w:val="21"/>
                <w:highlight w:val="none"/>
                <w:u w:val="none"/>
                <w:lang w:val="en-US" w:eastAsia="zh-CN"/>
              </w:rPr>
              <w:outlineLvl w:val="9"/>
            </w:pPr>
            <w:r>
              <w:rPr>
                <w:rFonts w:hint="eastAsia" w:ascii="宋体" w:hAnsi="宋体" w:eastAsia="宋体" w:cs="宋体"/>
                <w:highlight w:val="none"/>
                <w:lang w:val="en-US" w:eastAsia="zh-CN"/>
              </w:rPr>
              <w:t xml:space="preserve">（8）系统迁移按需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普通剪刀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5"/>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中号</w:t>
            </w:r>
            <w:r/>
          </w:p>
          <w:p>
            <w:pPr>
              <w:numPr>
                <w:ilvl w:val="0"/>
                <w:numId w:val="15"/>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不锈钢材质</w:t>
            </w:r>
            <w:r/>
          </w:p>
          <w:p>
            <w:pPr>
              <w:numPr>
                <w:ilvl w:val="0"/>
                <w:numId w:val="15"/>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长度在175-185mm之间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2、直尖、直圆16cm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医用止血钳</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2、14cm，直头，弯头各一半</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展片镊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医用不锈钢，16cm，单弯头，双弯头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5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眼科镊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10cm，直有齿，无镀层</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检验镊子</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不锈钢，标准平头，扁头长约36mm，镊身长约122mm，镊宽约9mm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58"/>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尸体袋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单个包装</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浅色</w:t>
            </w:r>
            <w:r/>
          </w:p>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防水加厚</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载玻片存储盒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ABS材质，放置标准载玻片，50片装</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双圈黑色皮</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可升降</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带靠背</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坐高40-55cm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封片机专用盖玻片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300片/盒，8盒/套，适配莱卡SPECTRA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封片机专用封片胶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150ml/瓶，2100片/瓶，2瓶/套，适配莱卡SPECTRA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切片用刀片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1、窄刀片，50片/盒，独立包装，适配BIOCUT型手动轮转切片机</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2、刀片长度80mm，刀片厚度0.25mm，刀片宽度8mm</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高硼硅玻璃棒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8*25mm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83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Masson染色液试剂盒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6×100ml/套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光敏载玻片2500片/箱，光敏打印</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病理检材箱</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1、35-40L</w:t>
            </w:r>
            <w:r/>
          </w:p>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大小约50-55cm×35-40cm×30-35cm</w:t>
            </w:r>
            <w:r/>
          </w:p>
          <w:p>
            <w:pPr>
              <w:numPr>
                <w:ilvl w:val="0"/>
                <w:numId w:val="18"/>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加厚不透明/防腐蚀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抛光膏</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适配TESCAN  VEGA4电镜</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解剖室设备维护清洁费</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连云港市公安局尸体解剖室及连云港市第一人民医院尸体检验室，每个月至少2次</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微波消解外管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电镜维保</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TESCAN  VEGA4包含一个单次保养，不限次数上门，合约期间配件和耗材9折，保养具体包括：</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1、真空系统保养，换泵油，分子泵油棉垫，导油轴。</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2、电子光路保养，更换光阑支架，检查枪内组件，调整光路对中。</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硅藻提取包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抽滤杯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500ml/个，适配膜过滤系统VF600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硅藻检验样品盒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一次性胶头滴管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1、5ml</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2、100只/包</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通玻器械柜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长900*宽400*高1800mm</w:t>
            </w:r>
            <w:r/>
          </w:p>
          <w:p>
            <w:pPr>
              <w:numPr>
                <w:ilvl w:val="0"/>
                <w:numId w:val="1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304不锈钢</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蜡块柜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冷轧钢板，五节，四十抽，可存放</w:t>
            </w:r>
            <w:r>
              <w:rPr>
                <w:rFonts w:hint="eastAsia" w:eastAsia="宋体"/>
                <w:highlight w:val="none"/>
                <w:lang w:eastAsia="zh-CN"/>
              </w:rPr>
              <w:t xml:space="preserve">蜡块</w:t>
            </w:r>
            <w:r>
              <w:rPr>
                <w:rFonts w:hint="eastAsia" w:ascii="宋体" w:hAnsi="宋体" w:eastAsia="宋体" w:cs="宋体"/>
                <w:i w:val="0"/>
                <w:iCs w:val="0"/>
                <w:color w:val="000000"/>
                <w:sz w:val="21"/>
                <w:szCs w:val="21"/>
                <w:highlight w:val="none"/>
                <w:u w:val="none"/>
                <w:lang w:val="en-US" w:eastAsia="zh-CN"/>
              </w:rPr>
              <w:t xml:space="preserve">12500个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冷轧钢板，十二节，七十二抽，可存放玻片6万张</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病理冷藏</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标本柜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双开门，能存放35L左右病理检材箱，能存放6-8个检材</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现场用头灯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强光高亮Type-C快充，轻便，IPX4级防水，透气头灯带</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相机电池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适配佳能800D</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医用外科口罩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灭菌,独立包装，符合YY0469-2023标准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医用防护口罩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灭菌独立包装，五层防护，医用N95、KN95以上级别，符合GB19083-2023标准，头戴式绿色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现勘日化用品</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洗发水400g-500g×4、沐浴乳≥400ml×4、洗手液400-500g×4、洗手皂（100-120g）×8/套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医疗废弃物垃圾袋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2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黄色小号，出现场用，手提，加厚</w:t>
            </w:r>
            <w:r/>
          </w:p>
          <w:p>
            <w:pPr>
              <w:numPr>
                <w:ilvl w:val="0"/>
                <w:numId w:val="2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约50cm ×55cm，50只/捆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实验用纸</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符合一般性生活纸类要求，180-200g/卷，有芯卷纸</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卷</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订书机</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省力型，可订25-50页</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防蚊虫喷雾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100ml/瓶，户外野外驱蚊，止痒抑菌</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防蚊虫风油精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6ml/瓶</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蚊香液</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1加热器+4液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实验区垃圾桶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加厚大号，高及直径约30-35cm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记号笔</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小双头，黑色，12支/盒，防水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50只装/包，228ml</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线长1.8m，五位插孔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实验室设备用插排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3米/5米，五位插孔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实验区拖把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海绵，宽38cm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实验区扫把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扫把簸箕套装，加大扫头，25-30cm，加厚环保材质</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5号4粒+7号8粒/份</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57"/>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档案装订线</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10卷/包，每卷30-50米，加粗，每包带钩锥1个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812"/>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1.</w:t>
      </w:r>
      <w:r>
        <w:rPr>
          <w:rFonts w:hint="eastAsia" w:ascii="宋体" w:hAnsi="宋体" w:eastAsia="宋体" w:cs="宋体"/>
          <w:b/>
          <w:bCs/>
          <w:i/>
          <w:iCs/>
          <w:color w:val="auto"/>
          <w:sz w:val="21"/>
          <w:szCs w:val="21"/>
          <w:highlight w:val="none"/>
          <w:u w:val="single"/>
          <w:lang w:val="en-US" w:eastAsia="zh-CN"/>
        </w:rPr>
        <w:t xml:space="preserve">合同履行期限（</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合同签订之日起三个月内完成供货，</w:t>
      </w:r>
      <w:r>
        <w:rPr>
          <w:rFonts w:hint="eastAsia" w:ascii="宋体" w:hAnsi="宋体" w:eastAsia="宋体" w:cs="宋体"/>
          <w:b/>
          <w:bCs/>
          <w:i/>
          <w:iCs/>
          <w:color w:val="auto"/>
          <w:sz w:val="21"/>
          <w:szCs w:val="21"/>
          <w:highlight w:val="none"/>
          <w:u w:val="single"/>
          <w:lang w:eastAsia="zh-CN"/>
        </w:rPr>
        <w:t xml:space="preserve">现勘系统、解剖室维护维保期自</w:t>
      </w:r>
      <w:r>
        <w:rPr>
          <w:rFonts w:hint="eastAsia" w:ascii="宋体" w:hAnsi="宋体" w:eastAsia="宋体" w:cs="宋体"/>
          <w:b/>
          <w:bCs/>
          <w:i/>
          <w:iCs/>
          <w:color w:val="auto"/>
          <w:sz w:val="21"/>
          <w:szCs w:val="21"/>
          <w:highlight w:val="none"/>
          <w:u w:val="singl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lang w:val="en-US" w:eastAsia="zh-CN"/>
        </w:rPr>
        <w:t xml:space="preserve">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合同签订后一个月内支付合同总金额的30%，</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50%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val="0"/>
          <w:bCs w:val="0"/>
          <w:i/>
          <w:iCs/>
          <w:color w:val="auto"/>
          <w:sz w:val="21"/>
          <w:szCs w:val="21"/>
          <w:highlight w:val="none"/>
          <w:u w:val="singl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w:t>
      </w:r>
      <w:r>
        <w:rPr>
          <w:rFonts w:hint="eastAsia" w:ascii="宋体" w:hAnsi="宋体" w:eastAsia="宋体" w:cs="宋体"/>
          <w:color w:val="auto"/>
          <w:sz w:val="21"/>
          <w:szCs w:val="21"/>
          <w:highlight w:val="none"/>
        </w:rPr>
        <w:t xml:space="preserve">自愿现场考察</w:t>
      </w:r>
      <w:r>
        <w:rPr>
          <w:rFonts w:hint="eastAsia" w:ascii="宋体" w:hAnsi="宋体" w:eastAsia="宋体" w:cs="宋体"/>
          <w:color w:val="auto"/>
          <w:sz w:val="21"/>
          <w:szCs w:val="21"/>
          <w:highlight w:val="none"/>
        </w:rPr>
        <w:t xml:space="preserve">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考察联系人：</w:t>
      </w:r>
      <w:r>
        <w:rPr>
          <w:rFonts w:hint="eastAsia" w:ascii="宋体" w:hAnsi="宋体" w:eastAsia="宋体" w:cs="宋体"/>
          <w:color w:val="auto"/>
          <w:sz w:val="21"/>
          <w:szCs w:val="21"/>
          <w:highlight w:val="none"/>
          <w:lang w:eastAsia="zh-CN"/>
        </w:rPr>
        <w:t xml:space="preserve">凌</w:t>
      </w:r>
      <w:r>
        <w:rPr>
          <w:rFonts w:hint="eastAsia" w:ascii="宋体" w:hAnsi="宋体" w:eastAsia="宋体" w:cs="宋体"/>
          <w:color w:val="auto"/>
          <w:sz w:val="21"/>
          <w:szCs w:val="21"/>
          <w:highlight w:val="none"/>
        </w:rPr>
        <w:t xml:space="preserve">警官        联系电话：</w:t>
      </w:r>
      <w:r>
        <w:rPr>
          <w:rFonts w:hint="eastAsia" w:ascii="宋体" w:hAnsi="宋体" w:eastAsia="宋体" w:cs="宋体"/>
          <w:color w:val="auto"/>
          <w:sz w:val="21"/>
          <w:szCs w:val="21"/>
          <w:highlight w:val="none"/>
          <w:lang w:val="en-US" w:eastAsia="zh-CN"/>
        </w:rPr>
        <w:t xml:space="preserve">15861236615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ind w:firstLine="482"/>
        <w:jc w:val="left"/>
        <w:spacing w:line="360" w:lineRule="auto"/>
        <w:rPr>
          <w:rFonts w:hint="eastAsia" w:ascii="宋体" w:hAnsi="宋体" w:eastAsia="宋体" w:cs="宋体"/>
          <w:color w:val="auto"/>
          <w:sz w:val="24"/>
          <w:szCs w:val="24"/>
          <w:highlight w:val="none"/>
        </w:rPr>
      </w:pPr>
      <w:r/>
      <w:bookmarkStart w:id="11" w:name="_Toc162361614"/>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叔丁醇标准品</w:t>
      </w:r>
      <w:r>
        <w:rPr>
          <w:rFonts w:hint="eastAsia" w:ascii="宋体" w:hAnsi="宋体" w:eastAsia="宋体" w:cs="宋体"/>
          <w:b/>
          <w:bCs/>
          <w:color w:val="auto"/>
          <w:sz w:val="24"/>
          <w:szCs w:val="24"/>
          <w:highlight w:val="none"/>
          <w:u w:val="singl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1"/>
        <w:tblW w:w="9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078"/>
        <w:gridCol w:w="5390"/>
        <w:gridCol w:w="797"/>
        <w:gridCol w:w="717"/>
        <w:gridCol w:w="1194"/>
      </w:tblGrid>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W w:w="107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W w:w="5390" w:type="dxa"/>
            <w:vAlign w:val="center"/>
            <w:textDirection w:val="lrTb"/>
            <w:noWrap w:val="false"/>
          </w:tcPr>
          <w:p>
            <w:pPr>
              <w:jc w:val="left"/>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W w:w="797"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W w:w="717"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W w:w="1194"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8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液质配件</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DL ，液相色谱质谱部分离子源专用，金属材质，常规条件下使用时间大于500h，适用于LCMS-8050液质联用仪；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离子源毛细管，液相色谱质谱部分EI离子源专用配件，常规条件下使用时间大于500h适用于LCMS-8050液质联用仪；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风扇防尘滤网，质谱风扇部分配件，尼龙材质，灰尘过滤效率大于99.9%，适用于LCMS-8050液质联用仪，5个/包；</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空气过滤器，气体发生器气路过滤配件，空气气路净化装置，过滤效率大于99.99%，适用于LCMS-8050液质联用仪；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排水过滤器，气体发生器排水过滤配件，排水净化装置，过滤效率大于99.99%，适用于LCMS-8050液质联用仪；</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96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液质联用仪机械泵泵油，质谱机械泵润滑专用，规格4L/桶，适用于LCMS-8050液质联用仪 PUMP OIL,H11025013 泵油；</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2</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气质配件</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泵油，气质联用仪质谱机械泵专用润滑油，规格1L/</w:t>
            </w:r>
            <w:r>
              <w:rPr>
                <w:rFonts w:hint="eastAsia" w:ascii="宋体" w:hAnsi="宋体" w:eastAsia="宋体" w:cs="宋体"/>
                <w:color w:val="000000"/>
                <w:szCs w:val="21"/>
                <w:highlight w:val="none"/>
                <w:lang w:eastAsia="zh-CN"/>
              </w:rPr>
              <w:t xml:space="preserve">桶</w:t>
            </w:r>
            <w:r>
              <w:rPr>
                <w:rFonts w:hint="eastAsia" w:ascii="宋体" w:hAnsi="宋体" w:eastAsia="宋体" w:cs="宋体"/>
                <w:color w:val="000000"/>
                <w:szCs w:val="21"/>
                <w:highlight w:val="none"/>
              </w:rPr>
              <w:t xml:space="preserve">， OIL-12768适用于TQ8040气质联用仪机械泵；</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泵油，气质联用仪质谱爱发科机械泵专用润滑油，规格1L/</w:t>
            </w:r>
            <w:r>
              <w:rPr>
                <w:rFonts w:hint="eastAsia" w:ascii="宋体" w:hAnsi="宋体" w:eastAsia="宋体" w:cs="宋体"/>
                <w:color w:val="000000"/>
                <w:szCs w:val="21"/>
                <w:highlight w:val="none"/>
                <w:lang w:eastAsia="zh-CN"/>
              </w:rPr>
              <w:t xml:space="preserve">桶</w:t>
            </w:r>
            <w:r>
              <w:rPr>
                <w:rFonts w:hint="eastAsia" w:ascii="宋体" w:hAnsi="宋体" w:eastAsia="宋体" w:cs="宋体"/>
                <w:color w:val="000000"/>
                <w:szCs w:val="21"/>
                <w:highlight w:val="none"/>
              </w:rPr>
              <w:t xml:space="preserve">，适用于TQ8040NX气质联用仪机械泵；</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72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灯丝，气质联用仪EI离子源配件，金属材质，常规使用条件下使用时间大于3000小时，用于气质联用仪GCMS-2010ULTRA及TQ-8040；</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根</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72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不分流玻璃衬管，气相色谱仪进样口配件，玻璃材质，不分流构造，内有石英棉，适用于TQ8040气质联用仪（5个/盒）；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气相自动进样针，气质联用仪自动进样器使用，体积：10ul，玻璃材质，适用AOC-20i,S-GT气密-0.63,固定针头，进样针杆金属材质；</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 </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气相配件</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szCs w:val="21"/>
                <w:highlight w:val="none"/>
              </w:rPr>
              <w:t xml:space="preserve">FID喷嘴，气相色谱仪FID检测器单元配件，金属材质，常规使用条件下使用时间大于3000小时，通用接头，标准口径0.29mm，内径0.11mm；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8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顶空玻璃瓶</w:t>
            </w:r>
            <w:r/>
          </w:p>
        </w:tc>
        <w:tc>
          <w:tcPr>
            <w:tcW w:w="5390" w:type="dxa"/>
            <w:vAlign w:val="center"/>
            <w:textDirection w:val="lrTb"/>
            <w:noWrap w:val="false"/>
          </w:tcPr>
          <w:p>
            <w:pPr>
              <w:jc w:val="left"/>
              <w:spacing w:line="400" w:lineRule="exact"/>
              <w:widowControl/>
              <w:rPr>
                <w:rStyle w:val="909"/>
                <w:rFonts w:ascii="宋体" w:hAnsi="宋体" w:eastAsia="宋体" w:cs="宋体"/>
                <w:sz w:val="21"/>
                <w:szCs w:val="21"/>
                <w:highlight w:val="none"/>
              </w:rPr>
            </w:pPr>
            <w:r>
              <w:rPr>
                <w:rFonts w:hint="eastAsia" w:ascii="宋体" w:hAnsi="宋体" w:eastAsia="宋体" w:cs="宋体"/>
                <w:color w:val="000000"/>
                <w:szCs w:val="21"/>
                <w:highlight w:val="none"/>
              </w:rPr>
              <w:t xml:space="preserve">顶空瓶①：规格：23 mm × 46 mm（20 mm 瓶盖），玻璃材质， 10mL，顶空，经认证，钳口，透明，平底，100个/盒，数量125</w:t>
            </w:r>
            <w:r>
              <w:rPr>
                <w:rStyle w:val="909"/>
                <w:rFonts w:hint="eastAsia" w:ascii="宋体" w:hAnsi="宋体" w:eastAsia="宋体" w:cs="宋体"/>
                <w:sz w:val="21"/>
                <w:szCs w:val="21"/>
                <w:highlight w:val="none"/>
              </w:rPr>
              <w:t xml:space="preserve">盒；</w:t>
            </w:r>
            <w:r/>
          </w:p>
          <w:p>
            <w:pPr>
              <w:jc w:val="left"/>
              <w:spacing w:line="400" w:lineRule="exact"/>
              <w:widowControl/>
              <w:rPr>
                <w:rFonts w:hint="eastAsia" w:ascii="宋体" w:hAnsi="宋体" w:eastAsia="宋体" w:cs="宋体"/>
                <w:i w:val="0"/>
                <w:iCs w:val="0"/>
                <w:color w:val="auto"/>
                <w:sz w:val="21"/>
                <w:szCs w:val="21"/>
                <w:highlight w:val="none"/>
                <w:u w:val="none"/>
              </w:rPr>
            </w:pPr>
            <w:r>
              <w:rPr>
                <w:rStyle w:val="909"/>
                <w:rFonts w:hint="eastAsia" w:ascii="宋体" w:hAnsi="宋体" w:eastAsia="宋体" w:cs="宋体"/>
                <w:sz w:val="21"/>
                <w:szCs w:val="21"/>
                <w:highlight w:val="none"/>
              </w:rPr>
              <w:t xml:space="preserve">顶空瓶②：10mL，钳口，22.5mm</w:t>
            </w:r>
            <w:r>
              <w:rPr>
                <w:rFonts w:hint="eastAsia" w:ascii="宋体" w:hAnsi="宋体" w:eastAsia="宋体" w:cs="宋体"/>
                <w:color w:val="000000"/>
                <w:szCs w:val="21"/>
                <w:highlight w:val="none"/>
              </w:rPr>
              <w:t xml:space="preserve">×</w:t>
            </w:r>
            <w:r>
              <w:rPr>
                <w:rStyle w:val="909"/>
                <w:rFonts w:hint="eastAsia" w:ascii="宋体" w:hAnsi="宋体" w:eastAsia="宋体" w:cs="宋体"/>
                <w:sz w:val="21"/>
                <w:szCs w:val="21"/>
                <w:highlight w:val="none"/>
              </w:rPr>
              <w:t xml:space="preserve">46mm 玻璃材质，平底，适用于外径23mm顶空适配器， 100个/盒 ，数量：125盒。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5</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盖垫</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铝质瓶盖：钳口，顶空，PTFE/硅橡胶隔垫，20 mm，100/pk，瓶盖尺寸：20 mm，耐压及耐高温符合相关要求，100个/盒；     </w:t>
            </w:r>
            <w:r>
              <w:rPr>
                <w:rFonts w:hint="eastAsia" w:ascii="宋体" w:hAnsi="宋体" w:eastAsia="宋体" w:cs="宋体"/>
                <w:i w:val="0"/>
                <w:iCs w:val="0"/>
                <w:color w:val="000000"/>
                <w:sz w:val="21"/>
                <w:szCs w:val="21"/>
                <w:highlight w:val="none"/>
                <w:u w:val="none"/>
                <w:lang w:val="en-US" w:eastAsia="zh-CN"/>
              </w:rPr>
              <w:t xml:space="preserve">                       </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色谱柱</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1、色谱柱 30m×0.25mm×0.25μm，固定相</w:t>
            </w:r>
            <w:r>
              <w:rPr>
                <w:rFonts w:hint="eastAsia" w:ascii="宋体" w:hAnsi="宋体" w:eastAsia="宋体" w:cs="宋体"/>
                <w:color w:val="000000"/>
                <w:szCs w:val="21"/>
                <w:highlight w:val="none"/>
                <w:lang w:eastAsia="zh-CN"/>
              </w:rPr>
              <w:t xml:space="preserve">超高惰性气相色谱柱</w:t>
            </w:r>
            <w:r>
              <w:rPr>
                <w:rFonts w:hint="eastAsia" w:ascii="宋体" w:hAnsi="宋体" w:eastAsia="宋体" w:cs="宋体"/>
                <w:color w:val="000000"/>
                <w:szCs w:val="21"/>
                <w:highlight w:val="none"/>
              </w:rPr>
              <w:t xml:space="preserve">，熔融石英，膜厚度: 0.25 </w:t>
            </w:r>
            <w:r>
              <w:rPr>
                <w:rStyle w:val="910"/>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m，气相色谱柱规格: 7 英寸，长度: 30 m，内径 (ID): 0.25 mm；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2、色谱柱30m×0.32mm×1.2μm，固定相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rPr>
              <w:t xml:space="preserve">，熔融石英，30 m，0.32 mm，1.20 </w:t>
            </w:r>
            <w:r>
              <w:rPr>
                <w:rStyle w:val="910"/>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lang w:eastAsia="zh-CN"/>
              </w:rPr>
              <w:t xml:space="preserve">规格：</w:t>
            </w:r>
            <w:r>
              <w:rPr>
                <w:rFonts w:hint="eastAsia" w:ascii="宋体" w:hAnsi="宋体" w:eastAsia="宋体" w:cs="宋体"/>
                <w:color w:val="000000"/>
                <w:szCs w:val="21"/>
                <w:highlight w:val="none"/>
              </w:rPr>
              <w:t xml:space="preserve">膜厚度: 1.2 </w:t>
            </w:r>
            <w:r>
              <w:rPr>
                <w:rStyle w:val="910"/>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m，气相色谱柱规格: 7 英寸，长度: 30 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3、色谱柱 30m×0.32mm×1.8μm，固定相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rPr>
              <w:t xml:space="preserve">，熔融石英，30 m，0.32 mm，1.80 </w:t>
            </w:r>
            <w:r>
              <w:rPr>
                <w:rStyle w:val="910"/>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m，固定相</w:t>
            </w:r>
            <w:r>
              <w:rPr>
                <w:rFonts w:hint="eastAsia" w:ascii="宋体" w:hAnsi="宋体" w:eastAsia="宋体" w:cs="宋体"/>
                <w:color w:val="000000"/>
                <w:szCs w:val="21"/>
                <w:highlight w:val="none"/>
                <w:lang w:eastAsia="zh-CN"/>
              </w:rPr>
              <w:t xml:space="preserve">超高惰性血醇专用</w:t>
            </w:r>
            <w:r>
              <w:rPr>
                <w:rFonts w:hint="eastAsia" w:ascii="宋体" w:hAnsi="宋体" w:eastAsia="宋体" w:cs="宋体"/>
                <w:color w:val="000000"/>
                <w:szCs w:val="21"/>
                <w:highlight w:val="none"/>
                <w:lang w:val="en-US" w:eastAsia="zh-CN"/>
              </w:rPr>
              <w:t xml:space="preserve">GC柱</w:t>
            </w:r>
            <w:r>
              <w:rPr>
                <w:rFonts w:hint="eastAsia" w:ascii="宋体" w:hAnsi="宋体" w:eastAsia="宋体" w:cs="宋体"/>
                <w:color w:val="000000"/>
                <w:szCs w:val="21"/>
                <w:highlight w:val="none"/>
                <w:lang w:eastAsia="zh-CN"/>
              </w:rPr>
              <w:t xml:space="preserve">规格：</w:t>
            </w:r>
            <w:r>
              <w:rPr>
                <w:rFonts w:hint="eastAsia" w:ascii="宋体" w:hAnsi="宋体" w:eastAsia="宋体" w:cs="宋体"/>
                <w:color w:val="000000"/>
                <w:szCs w:val="21"/>
                <w:highlight w:val="none"/>
              </w:rPr>
              <w:t xml:space="preserve">膜厚度: 1.8 </w:t>
            </w:r>
            <w:r>
              <w:rPr>
                <w:rStyle w:val="910"/>
                <w:rFonts w:hint="eastAsia" w:ascii="宋体" w:hAnsi="宋体" w:eastAsia="宋体" w:cs="宋体"/>
                <w:sz w:val="21"/>
                <w:szCs w:val="21"/>
                <w:highlight w:val="none"/>
              </w:rPr>
              <w:t xml:space="preserve">µ</w:t>
            </w:r>
            <w:r>
              <w:rPr>
                <w:rFonts w:hint="eastAsia" w:ascii="宋体" w:hAnsi="宋体" w:eastAsia="宋体" w:cs="宋体"/>
                <w:color w:val="000000"/>
                <w:szCs w:val="21"/>
                <w:highlight w:val="none"/>
              </w:rPr>
              <w:t xml:space="preserve">m，气相色谱柱规格: 7 英寸，长度: 30 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4、液质联用仪C18反相色谱柱，</w:t>
            </w:r>
            <w:r>
              <w:rPr>
                <w:rFonts w:hint="eastAsia" w:ascii="宋体" w:hAnsi="宋体" w:eastAsia="宋体" w:cs="宋体"/>
                <w:color w:val="000000"/>
                <w:szCs w:val="21"/>
                <w:highlight w:val="none"/>
                <w:lang w:eastAsia="zh-CN"/>
              </w:rPr>
              <w:t xml:space="preserve">高惰性反相柱，</w:t>
            </w:r>
            <w:r>
              <w:rPr>
                <w:rFonts w:hint="eastAsia" w:ascii="宋体" w:hAnsi="宋体" w:eastAsia="宋体" w:cs="宋体"/>
                <w:color w:val="000000"/>
                <w:szCs w:val="21"/>
                <w:highlight w:val="none"/>
              </w:rPr>
              <w:t xml:space="preserve">2μm 2.1×100mm；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5、液质联用仪</w:t>
            </w:r>
            <w:r>
              <w:rPr>
                <w:rFonts w:hint="eastAsia" w:ascii="宋体" w:hAnsi="宋体" w:eastAsia="宋体" w:cs="宋体"/>
                <w:color w:val="000000"/>
                <w:szCs w:val="21"/>
                <w:highlight w:val="none"/>
                <w:lang w:eastAsia="zh-CN"/>
              </w:rPr>
              <w:t xml:space="preserve">聚合物基质氨基色谱柱，</w:t>
            </w:r>
            <w:r>
              <w:rPr>
                <w:rFonts w:hint="eastAsia" w:ascii="宋体" w:hAnsi="宋体" w:eastAsia="宋体" w:cs="宋体"/>
                <w:color w:val="000000"/>
                <w:szCs w:val="21"/>
                <w:highlight w:val="none"/>
              </w:rPr>
              <w:t xml:space="preserve">液相色谱柱(2.0mm×150mm,5μm)；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根</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6、色谱柱30m×0.25mm×0.25μm，</w:t>
            </w:r>
            <w:r>
              <w:rPr>
                <w:rFonts w:hint="eastAsia" w:ascii="宋体" w:hAnsi="宋体" w:eastAsia="宋体" w:cs="宋体"/>
                <w:color w:val="000000"/>
                <w:szCs w:val="21"/>
                <w:highlight w:val="none"/>
                <w:lang w:eastAsia="zh-CN"/>
              </w:rPr>
              <w:t xml:space="preserve">低流失弱极性柱</w:t>
            </w:r>
            <w:r>
              <w:rPr>
                <w:rFonts w:hint="eastAsia" w:ascii="宋体" w:hAnsi="宋体" w:eastAsia="宋体" w:cs="宋体"/>
                <w:color w:val="000000"/>
                <w:szCs w:val="21"/>
                <w:highlight w:val="none"/>
              </w:rPr>
              <w:t xml:space="preserve">，气相色谱柱，内径0.25mm，膜厚0.25um；</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7</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单通道电动移液器</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量程10-100uL，微量刻度：0.2ul，相对偏差0.8%，精度准确度符合相关标准要求。</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 </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7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8</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Ups不间断电源电池</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rPr>
              <w:t xml:space="preserve">规格型号：</w:t>
            </w:r>
            <w:r>
              <w:rPr>
                <w:rFonts w:hint="eastAsia" w:ascii="宋体" w:hAnsi="宋体" w:eastAsia="宋体" w:cs="宋体"/>
                <w:color w:val="000000"/>
                <w:szCs w:val="21"/>
                <w:highlight w:val="none"/>
                <w:lang w:val="en-US" w:eastAsia="zh-CN"/>
              </w:rPr>
              <w:t xml:space="preserve">12V,100Ah，</w:t>
            </w:r>
            <w:r>
              <w:rPr>
                <w:rFonts w:hint="eastAsia" w:eastAsia="宋体"/>
                <w:highlight w:val="none"/>
                <w:lang w:val="en-US" w:eastAsia="zh-CN"/>
              </w:rPr>
              <w:t xml:space="preserve">铅酸电池</w:t>
            </w:r>
            <w:r>
              <w:rPr>
                <w:rFonts w:hint="eastAsia" w:ascii="宋体" w:hAnsi="宋体" w:eastAsia="宋体" w:cs="宋体"/>
                <w:color w:val="000000"/>
                <w:szCs w:val="21"/>
                <w:highlight w:val="none"/>
              </w:rPr>
              <w:t xml:space="preserve">（包含16#电池柜）</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32</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624"/>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9</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标准品</w:t>
            </w:r>
            <w:r/>
          </w:p>
        </w:tc>
        <w:tc>
          <w:tcPr>
            <w:tcW w:w="5390" w:type="dxa"/>
            <w:vAlign w:val="center"/>
            <w:textDirection w:val="lrTb"/>
            <w:noWrap w:val="false"/>
          </w:tcPr>
          <w:p>
            <w:pPr>
              <w:numPr>
                <w:ilvl w:val="0"/>
                <w:numId w:val="21"/>
              </w:num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乙醇标准品，酒驾检测用标准品，1mL/瓶</w:t>
            </w:r>
            <w:r>
              <w:rPr>
                <w:rFonts w:hint="eastAsia" w:ascii="宋体" w:hAnsi="宋体" w:eastAsia="宋体" w:cs="宋体"/>
                <w:color w:val="000000"/>
                <w:szCs w:val="21"/>
                <w:highlight w:val="none"/>
                <w:lang w:eastAsia="zh-CN"/>
              </w:rPr>
              <w:t xml:space="preserve">。</w:t>
            </w:r>
            <w:r/>
          </w:p>
          <w:p>
            <w:pPr>
              <w:numPr>
                <w:ilvl w:val="0"/>
                <w:numId w:val="0"/>
              </w:num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评标时需提供此类产品的检测证书证明。</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供货时需要提供证书。</w:t>
            </w:r>
            <w:r>
              <w:rPr>
                <w:rFonts w:hint="eastAsia" w:ascii="宋体" w:hAnsi="宋体" w:eastAsia="宋体" w:cs="宋体"/>
                <w:color w:val="000000"/>
                <w:szCs w:val="21"/>
                <w:highlight w:val="none"/>
              </w:rPr>
              <w:t xml:space="preserve"> </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9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乙醇标准水溶液，酒驾检测用标准品，乙醇浓度为0.1mg/mL、0.2mg/mL、0.5mg/mL、0.8mg/mL、1.0mg/mL、2.0mg/mL、3.0mg/mL、4.0mg/mL水溶液，每个浓度各20瓶，规格：1.5mL/瓶，</w:t>
            </w:r>
            <w:r/>
          </w:p>
          <w:p>
            <w:pPr>
              <w:jc w:val="left"/>
              <w:spacing w:line="400" w:lineRule="exact"/>
              <w:rPr>
                <w:rFonts w:hint="eastAsia" w:ascii="宋体" w:hAnsi="宋体" w:eastAsia="宋体" w:cs="宋体"/>
                <w:color w:val="000000"/>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评标时需提供此类产品的检测证书证明。</w:t>
            </w:r>
            <w:r/>
          </w:p>
          <w:p>
            <w:pPr>
              <w:jc w:val="left"/>
              <w:spacing w:line="400" w:lineRule="exac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供货时需要提供证书。</w:t>
            </w:r>
            <w:r>
              <w:rPr>
                <w:rFonts w:hint="eastAsia" w:ascii="宋体" w:hAnsi="宋体" w:eastAsia="宋体" w:cs="宋体"/>
                <w:color w:val="000000"/>
                <w:szCs w:val="21"/>
                <w:highlight w:val="none"/>
              </w:rPr>
              <w:t xml:space="preserve"> </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160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叔丁醇标准品，酒驾检测用标准品，1.5mL/瓶</w:t>
            </w:r>
            <w:r>
              <w:rPr>
                <w:rFonts w:hint="eastAsia" w:ascii="宋体" w:hAnsi="宋体" w:eastAsia="宋体" w:cs="宋体"/>
                <w:color w:val="000000"/>
                <w:szCs w:val="21"/>
                <w:highlight w:val="none"/>
                <w:lang w:eastAsia="zh-CN"/>
              </w:rPr>
              <w:t xml:space="preserve">。</w:t>
            </w:r>
            <w:r/>
          </w:p>
          <w:p>
            <w:pPr>
              <w:jc w:val="left"/>
              <w:spacing w:line="400" w:lineRule="exact"/>
              <w:widowControl/>
              <w:rPr>
                <w:rFonts w:hint="eastAsia" w:ascii="宋体" w:hAnsi="宋体" w:eastAsia="宋体" w:cs="宋体"/>
                <w:color w:val="000000"/>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color w:val="000000"/>
                <w:szCs w:val="21"/>
                <w:highlight w:val="none"/>
                <w:lang w:eastAsia="zh-CN"/>
              </w:rPr>
              <w:t xml:space="preserve">评标时需提供此类产品的检测证书证明。</w:t>
            </w:r>
            <w:r/>
          </w:p>
          <w:p>
            <w:pPr>
              <w:jc w:val="left"/>
              <w:spacing w:line="40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供货时需要提供证书。</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瓶</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标准对照品，案件检验阳性比对需要，付款时以实际发生费用为准，不超出预算。</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年</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10</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超低吸附移液器吸头</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质量水平</w:t>
            </w:r>
            <w:r>
              <w:rPr>
                <w:rFonts w:hint="eastAsia" w:ascii="宋体" w:hAnsi="宋体" w:eastAsia="宋体" w:cs="宋体"/>
                <w:color w:val="000000"/>
                <w:szCs w:val="21"/>
                <w:highlight w:val="none"/>
                <w:lang w:eastAsia="zh-CN"/>
              </w:rPr>
              <w:t xml:space="preserve">符合生物安全质量水平</w:t>
            </w:r>
            <w:r>
              <w:rPr>
                <w:rFonts w:hint="eastAsia" w:ascii="宋体" w:hAnsi="宋体" w:eastAsia="宋体" w:cs="宋体"/>
                <w:color w:val="000000"/>
                <w:szCs w:val="21"/>
                <w:highlight w:val="none"/>
              </w:rPr>
              <w:t xml:space="preserve">，1包数量480件，规格2-200uL，黄色，符合色谱实验室前处理质量要求，适用于艾本德移液器。</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11</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玻璃样品瓶盖垫、内插管</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1、4mL气相进样瓶套装（含瓶盖垫），50个装，洗针瓶/废液瓶，透明，无书写区，惰性处理。</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2、气相进样瓶套装，每套包含1个样品瓶、1个盖垫，1个内插管；气质联用仪及液质联用仪自动进样器使用，规格：9mm螺旋口瓶，普通包装，体积：1.5mL，透明，带书写标签，；9mm组合一体盖垫，低流失、低吸附，100套/盒；9mm样品瓶用平底衬管，0.3ml,31*6mm ，与上述1.5mL进样瓶配合使用。</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套</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12</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针式过滤器</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阻力小，滤速快，低蛋白吸附，特别适合于那些粘稠的生物及细胞组织样品的过滤，Nylon 13 mm, 0.22 µ</w:t>
            </w:r>
            <w:r>
              <w:rPr>
                <w:rStyle w:val="911"/>
                <w:rFonts w:hint="eastAsia" w:ascii="宋体" w:hAnsi="宋体" w:eastAsia="宋体" w:cs="宋体"/>
                <w:sz w:val="21"/>
                <w:szCs w:val="21"/>
                <w:highlight w:val="none"/>
              </w:rPr>
              <w:t xml:space="preserve">m 100／box， 100个/盒，符合色谱实验室前处理质量要求。</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13</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一次性塑料吸管</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塑料吸管，规格1mL，总容量5mL，长度145mm，500个/盒，</w:t>
            </w:r>
            <w:r>
              <w:rPr>
                <w:rFonts w:hint="eastAsia" w:ascii="宋体" w:hAnsi="宋体" w:eastAsia="宋体" w:cs="宋体"/>
                <w:color w:val="000000"/>
                <w:szCs w:val="21"/>
                <w:highlight w:val="none"/>
                <w:lang w:val="en-US" w:eastAsia="zh-CN"/>
              </w:rPr>
              <w:t xml:space="preserve">10盒/箱，</w:t>
            </w:r>
            <w:r>
              <w:rPr>
                <w:rFonts w:hint="eastAsia" w:ascii="宋体" w:hAnsi="宋体" w:eastAsia="宋体" w:cs="宋体"/>
                <w:color w:val="000000"/>
                <w:szCs w:val="21"/>
                <w:highlight w:val="none"/>
              </w:rPr>
              <w:t xml:space="preserve">符合色谱实验室前处理要求。</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14</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一次性塑料连盖试管</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10mL，耐酸碱，符合实验室分析前处理要求，200个/包。</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15</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一次性塑料注射器</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容积1mL，耐酸碱，符合毒物分析前处理要求，100个/盒。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16</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快检试剂包</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农药速测卡： 60片/盒。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毒鼠强速测管（自备强酸）：20份样品用量。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氟乙酰胺速测管：20份样品用量。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亚硝酸盐速测管：20支/包。</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砷速测盒：30份样品用量。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7</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汞速测盒：30份样品用量。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7</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水中氰化物速测管：20次检测用量。</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包</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快检荧光显色试剂：适用于赛默飞二合一快检光谱设备。</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尖底离心管，50mL试管，能适应高速离心。</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个</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500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17</w:t>
            </w:r>
            <w:r/>
          </w:p>
        </w:tc>
        <w:tc>
          <w:tcPr>
            <w:tcW w:w="1078" w:type="dxa"/>
            <w:vAlign w:val="center"/>
            <w:vMerge w:val="restart"/>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质谱设备维保（24小时不间断运行）</w:t>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岛津GCMS2010Ultra气质联用仪年度维保；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22"/>
              </w:numPr>
              <w:rPr>
                <w:rFonts w:hint="eastAsia"/>
                <w:highlight w:val="none"/>
                <w:lang w:val="en-US" w:eastAsia="zh-CN"/>
              </w:rPr>
            </w:pPr>
            <w:r>
              <w:rPr>
                <w:rFonts w:hint="eastAsia"/>
                <w:highlight w:val="none"/>
                <w:lang w:val="en-US" w:eastAsia="zh-CN"/>
              </w:rPr>
              <w:t xml:space="preserve">优先使用维修方的工程师资源及零部件资源。</w:t>
            </w:r>
            <w:r/>
          </w:p>
          <w:p>
            <w:pPr>
              <w:numPr>
                <w:ilvl w:val="0"/>
                <w:numId w:val="22"/>
              </w:numPr>
              <w:rPr>
                <w:rFonts w:hint="eastAsia"/>
                <w:highlight w:val="none"/>
                <w:lang w:val="en-US" w:eastAsia="zh-CN"/>
              </w:rPr>
            </w:pPr>
            <w:r>
              <w:rPr>
                <w:rFonts w:hint="eastAsia"/>
                <w:highlight w:val="none"/>
                <w:lang w:val="en-US" w:eastAsia="zh-CN"/>
              </w:rPr>
              <w:t xml:space="preserve">仪器发生故障时由维修方客户热线服务中心（固话800-810-0439，手机400-650-0439）协助并指导分析故障原因，由仪器方独立排除故障以便及时恢复正常分析状态。</w:t>
            </w:r>
            <w:r/>
          </w:p>
          <w:p>
            <w:pPr>
              <w:numPr>
                <w:ilvl w:val="0"/>
                <w:numId w:val="22"/>
              </w:numPr>
              <w:rPr>
                <w:rFonts w:hint="eastAsia"/>
                <w:highlight w:val="none"/>
                <w:lang w:val="en-US" w:eastAsia="zh-CN"/>
              </w:rPr>
            </w:pPr>
            <w:r>
              <w:rPr>
                <w:rFonts w:hint="eastAsia"/>
                <w:highlight w:val="none"/>
                <w:lang w:val="en-US" w:eastAsia="zh-CN"/>
              </w:rPr>
              <w:t xml:space="preserve">签约保修：现场维修服务、提供维修用零部件和消耗品。</w:t>
            </w:r>
            <w:r/>
          </w:p>
          <w:p>
            <w:pPr>
              <w:numPr>
                <w:ilvl w:val="0"/>
                <w:numId w:val="22"/>
              </w:numPr>
              <w:rPr>
                <w:rFonts w:hint="eastAsia"/>
                <w:highlight w:val="none"/>
                <w:lang w:val="en-US" w:eastAsia="zh-CN"/>
              </w:rPr>
            </w:pPr>
            <w:r>
              <w:rPr>
                <w:rFonts w:hint="eastAsia"/>
                <w:highlight w:val="none"/>
                <w:lang w:val="en-US" w:eastAsia="zh-CN"/>
              </w:rPr>
              <w:t xml:space="preserve">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22"/>
              </w:numPr>
              <w:rPr>
                <w:rFonts w:hint="eastAsia"/>
                <w:highlight w:val="none"/>
                <w:lang w:val="en-US" w:eastAsia="zh-CN"/>
              </w:rPr>
            </w:pPr>
            <w:r>
              <w:rPr>
                <w:rFonts w:hint="eastAsia"/>
                <w:highlight w:val="none"/>
                <w:lang w:val="en-US" w:eastAsia="zh-CN"/>
              </w:rPr>
              <w:t xml:space="preserve">分析操作所使用的日常消耗品，不包含在服务内容，如有需要单独购买。</w:t>
            </w:r>
            <w:r/>
          </w:p>
          <w:p>
            <w:pPr>
              <w:numPr>
                <w:ilvl w:val="0"/>
                <w:numId w:val="22"/>
              </w:numPr>
              <w:rPr>
                <w:rFonts w:hint="eastAsia"/>
                <w:highlight w:val="none"/>
                <w:lang w:val="en-US" w:eastAsia="zh-CN"/>
              </w:rPr>
            </w:pPr>
            <w:r>
              <w:rPr>
                <w:rFonts w:hint="eastAsia"/>
                <w:highlight w:val="none"/>
                <w:lang w:val="en-US" w:eastAsia="zh-CN"/>
              </w:rPr>
              <w:t xml:space="preserve">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23"/>
              </w:numPr>
              <w:jc w:val="both"/>
              <w:widowControl w:val="off"/>
              <w:rPr>
                <w:rFonts w:hint="eastAsia"/>
                <w:highlight w:val="none"/>
                <w:lang w:val="en-US" w:eastAsia="zh-CN"/>
              </w:rPr>
            </w:pPr>
            <w:r>
              <w:rPr>
                <w:rFonts w:hint="eastAsia"/>
                <w:highlight w:val="none"/>
                <w:lang w:val="en-US" w:eastAsia="zh-CN"/>
              </w:rPr>
              <w:t xml:space="preserve">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23"/>
              </w:numPr>
              <w:jc w:val="both"/>
              <w:widowControl w:val="off"/>
              <w:rPr>
                <w:rFonts w:hint="eastAsia"/>
                <w:highlight w:val="none"/>
                <w:lang w:val="en-US" w:eastAsia="zh-CN"/>
              </w:rPr>
            </w:pPr>
            <w:r>
              <w:rPr>
                <w:rFonts w:hint="eastAsia"/>
                <w:highlight w:val="none"/>
                <w:lang w:val="en-US" w:eastAsia="zh-CN"/>
              </w:rPr>
              <w:t xml:space="preserve">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23"/>
              </w:numPr>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岛津TQ8040气质联用仪年度维保；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0"/>
              </w:numPr>
              <w:rPr>
                <w:rFonts w:hint="eastAsia"/>
                <w:highlight w:val="none"/>
                <w:lang w:val="en-US" w:eastAsia="zh-CN"/>
              </w:rPr>
            </w:pPr>
            <w:r>
              <w:rPr>
                <w:rFonts w:hint="eastAsia"/>
                <w:highlight w:val="none"/>
                <w:lang w:val="en-US" w:eastAsia="zh-CN"/>
              </w:rPr>
              <w:t xml:space="preserve">1、优先使用维修方的工程师资源及零部件资源。</w:t>
            </w:r>
            <w:r/>
          </w:p>
          <w:p>
            <w:pPr>
              <w:numPr>
                <w:ilvl w:val="0"/>
                <w:numId w:val="0"/>
              </w:numPr>
              <w:rPr>
                <w:rFonts w:hint="eastAsia"/>
                <w:highlight w:val="none"/>
                <w:lang w:val="en-US" w:eastAsia="zh-CN"/>
              </w:rPr>
            </w:pPr>
            <w:r>
              <w:rPr>
                <w:rFonts w:hint="eastAsia"/>
                <w:highlight w:val="none"/>
                <w:lang w:val="en-US" w:eastAsia="zh-CN"/>
              </w:rPr>
              <w:t xml:space="preserve">2、仪器发生故障时由维修方客户热线服务中心（固话800-810-0439，手机400-650-0439）协助并指导分析故障原因，由仪器方独立排除故障以便及时恢复正常分析状态。</w:t>
            </w:r>
            <w:r/>
          </w:p>
          <w:p>
            <w:pPr>
              <w:numPr>
                <w:ilvl w:val="0"/>
                <w:numId w:val="0"/>
              </w:numPr>
              <w:rPr>
                <w:rFonts w:hint="eastAsia"/>
                <w:highlight w:val="none"/>
                <w:lang w:val="en-US" w:eastAsia="zh-CN"/>
              </w:rPr>
            </w:pPr>
            <w:r>
              <w:rPr>
                <w:rFonts w:hint="eastAsia"/>
                <w:highlight w:val="none"/>
                <w:lang w:val="en-US" w:eastAsia="zh-CN"/>
              </w:rPr>
              <w:t xml:space="preserve">3、签约保修：现场维修服务、提供维修用零部件和消耗品。</w:t>
            </w:r>
            <w:r/>
          </w:p>
          <w:p>
            <w:pPr>
              <w:numPr>
                <w:ilvl w:val="0"/>
                <w:numId w:val="0"/>
              </w:numPr>
              <w:rPr>
                <w:rFonts w:hint="eastAsia"/>
                <w:highlight w:val="none"/>
                <w:lang w:val="en-US" w:eastAsia="zh-CN"/>
              </w:rPr>
            </w:pPr>
            <w:r>
              <w:rPr>
                <w:rFonts w:hint="eastAsia"/>
                <w:highlight w:val="none"/>
                <w:lang w:val="en-US" w:eastAsia="zh-CN"/>
              </w:rPr>
              <w:t xml:space="preserve">4、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0"/>
              </w:numPr>
              <w:rPr>
                <w:rFonts w:hint="eastAsia"/>
                <w:highlight w:val="none"/>
                <w:lang w:val="en-US" w:eastAsia="zh-CN"/>
              </w:rPr>
            </w:pPr>
            <w:r>
              <w:rPr>
                <w:rFonts w:hint="eastAsia"/>
                <w:highlight w:val="none"/>
                <w:lang w:val="en-US" w:eastAsia="zh-CN"/>
              </w:rPr>
              <w:t xml:space="preserve">5、分析操作所使用的日常消耗品，不包含在服务内容，如有需要单独购买。</w:t>
            </w:r>
            <w:r/>
          </w:p>
          <w:p>
            <w:pPr>
              <w:numPr>
                <w:ilvl w:val="0"/>
                <w:numId w:val="0"/>
              </w:numPr>
              <w:rPr>
                <w:rFonts w:hint="eastAsia"/>
                <w:highlight w:val="none"/>
                <w:lang w:val="en-US" w:eastAsia="zh-CN"/>
              </w:rPr>
            </w:pPr>
            <w:r>
              <w:rPr>
                <w:rFonts w:hint="eastAsia"/>
                <w:highlight w:val="none"/>
                <w:lang w:val="en-US" w:eastAsia="zh-CN"/>
              </w:rPr>
              <w:t xml:space="preserve">6、设备日常维护6次/年。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1、维修方提供现场保修服务的工作时间为全天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0"/>
              </w:numPr>
              <w:jc w:val="both"/>
              <w:widowControl w:val="off"/>
              <w:rPr>
                <w:rFonts w:hint="eastAsia"/>
                <w:color w:val="000000"/>
                <w:highlight w:val="none"/>
                <w:lang w:val="en-US" w:eastAsia="zh-CN"/>
              </w:rPr>
            </w:pPr>
            <w:r>
              <w:rPr>
                <w:rFonts w:hint="eastAsia"/>
                <w:highlight w:val="none"/>
                <w:lang w:val="en-US" w:eastAsia="zh-CN"/>
              </w:rPr>
              <w:t xml:space="preserve">2、维修方需提供48小时的快捷响应服务。服务响应时间计算方法规定为，从仪器方请求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0"/>
              </w:numPr>
              <w:ind w:left="0" w:firstLine="0"/>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3、维修方维修服务所使用的零部件均为维修方产品的指定零件。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岛津TQ8040-NX气质联用仪年度维保；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0"/>
              </w:numPr>
              <w:rPr>
                <w:rFonts w:hint="eastAsia"/>
                <w:highlight w:val="none"/>
                <w:lang w:val="en-US" w:eastAsia="zh-CN"/>
              </w:rPr>
            </w:pPr>
            <w:r>
              <w:rPr>
                <w:rFonts w:hint="eastAsia"/>
                <w:highlight w:val="none"/>
                <w:lang w:val="en-US" w:eastAsia="zh-CN"/>
              </w:rPr>
              <w:t xml:space="preserve">1、优先使用维修方的工程师资源及零部件资源。</w:t>
            </w:r>
            <w:r/>
          </w:p>
          <w:p>
            <w:pPr>
              <w:numPr>
                <w:ilvl w:val="0"/>
                <w:numId w:val="0"/>
              </w:numPr>
              <w:rPr>
                <w:rFonts w:hint="eastAsia"/>
                <w:highlight w:val="none"/>
                <w:lang w:val="en-US" w:eastAsia="zh-CN"/>
              </w:rPr>
            </w:pPr>
            <w:r>
              <w:rPr>
                <w:rFonts w:hint="eastAsia"/>
                <w:highlight w:val="none"/>
                <w:lang w:val="en-US" w:eastAsia="zh-CN"/>
              </w:rPr>
              <w:t xml:space="preserve">2、仪器发生故障时由维修方客户热线服务中心（固话800-810-0439，手机400-650-0439）协助并指导分析故障原因，由仪器方独立排除故障以便及时恢复正常分析状态。</w:t>
            </w:r>
            <w:r/>
          </w:p>
          <w:p>
            <w:pPr>
              <w:numPr>
                <w:ilvl w:val="0"/>
                <w:numId w:val="0"/>
              </w:numPr>
              <w:rPr>
                <w:rFonts w:hint="eastAsia"/>
                <w:highlight w:val="none"/>
                <w:lang w:val="en-US" w:eastAsia="zh-CN"/>
              </w:rPr>
            </w:pPr>
            <w:r>
              <w:rPr>
                <w:rFonts w:hint="eastAsia"/>
                <w:highlight w:val="none"/>
                <w:lang w:val="en-US" w:eastAsia="zh-CN"/>
              </w:rPr>
              <w:t xml:space="preserve">3、签约保修：现场维修服务、提供维修用零部件和消耗品。</w:t>
            </w:r>
            <w:r/>
          </w:p>
          <w:p>
            <w:pPr>
              <w:numPr>
                <w:ilvl w:val="0"/>
                <w:numId w:val="0"/>
              </w:numPr>
              <w:rPr>
                <w:rFonts w:hint="eastAsia"/>
                <w:highlight w:val="none"/>
                <w:lang w:val="en-US" w:eastAsia="zh-CN"/>
              </w:rPr>
            </w:pPr>
            <w:r>
              <w:rPr>
                <w:rFonts w:hint="eastAsia"/>
                <w:highlight w:val="none"/>
                <w:lang w:val="en-US" w:eastAsia="zh-CN"/>
              </w:rPr>
              <w:t xml:space="preserve">4、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0"/>
              </w:numPr>
              <w:rPr>
                <w:rFonts w:hint="eastAsia"/>
                <w:highlight w:val="none"/>
                <w:lang w:val="en-US" w:eastAsia="zh-CN"/>
              </w:rPr>
            </w:pPr>
            <w:r>
              <w:rPr>
                <w:rFonts w:hint="eastAsia"/>
                <w:highlight w:val="none"/>
                <w:lang w:val="en-US" w:eastAsia="zh-CN"/>
              </w:rPr>
              <w:t xml:space="preserve">5、分析操作所使用的日常消耗品，不包含在服务内容，如有需要单独购买。</w:t>
            </w:r>
            <w:r/>
          </w:p>
          <w:p>
            <w:pPr>
              <w:numPr>
                <w:ilvl w:val="0"/>
                <w:numId w:val="0"/>
              </w:numPr>
              <w:rPr>
                <w:rFonts w:hint="eastAsia"/>
                <w:highlight w:val="none"/>
                <w:lang w:val="en-US" w:eastAsia="zh-CN"/>
              </w:rPr>
            </w:pPr>
            <w:r>
              <w:rPr>
                <w:rFonts w:hint="eastAsia"/>
                <w:highlight w:val="none"/>
                <w:lang w:val="en-US" w:eastAsia="zh-CN"/>
              </w:rPr>
              <w:t xml:space="preserve">6、设备日常维护6次/年。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1、维修方提供现场保修服务的工作时间为全天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0"/>
              </w:numPr>
              <w:jc w:val="both"/>
              <w:widowControl w:val="off"/>
              <w:rPr>
                <w:rFonts w:hint="eastAsia"/>
                <w:color w:val="000000"/>
                <w:highlight w:val="none"/>
                <w:lang w:val="en-US" w:eastAsia="zh-CN"/>
              </w:rPr>
            </w:pPr>
            <w:r>
              <w:rPr>
                <w:rFonts w:hint="eastAsia"/>
                <w:highlight w:val="none"/>
                <w:lang w:val="en-US" w:eastAsia="zh-CN"/>
              </w:rPr>
              <w:t xml:space="preserve">2、维修方需提供48小时的快捷响应服务。服务响应时间计算方法规定为，从仪器方请求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0"/>
              </w:numPr>
              <w:ind w:left="0" w:firstLine="0"/>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3、维修方维修服务所使用的零部件均为维修方产品的指定零件。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1078" w:type="dxa"/>
            <w:vAlign w:val="center"/>
            <w:vMerge w:val="continue"/>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W w:w="5390" w:type="dxa"/>
            <w:vAlign w:val="center"/>
            <w:textDirection w:val="lrTb"/>
            <w:noWrap w:val="false"/>
          </w:tcPr>
          <w:p>
            <w:pPr>
              <w:jc w:val="left"/>
              <w:spacing w:line="40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岛津LCMS8050液质联用仪年度维保；</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服务内容：</w:t>
            </w:r>
            <w:r/>
          </w:p>
          <w:p>
            <w:pPr>
              <w:numPr>
                <w:ilvl w:val="0"/>
                <w:numId w:val="0"/>
              </w:numPr>
              <w:rPr>
                <w:rFonts w:hint="eastAsia"/>
                <w:highlight w:val="none"/>
                <w:lang w:val="en-US" w:eastAsia="zh-CN"/>
              </w:rPr>
            </w:pPr>
            <w:r>
              <w:rPr>
                <w:rFonts w:hint="eastAsia"/>
                <w:highlight w:val="none"/>
                <w:lang w:val="en-US" w:eastAsia="zh-CN"/>
              </w:rPr>
              <w:t xml:space="preserve">1、优先使用维修方的工程师资源及零部件资源。</w:t>
            </w:r>
            <w:r/>
          </w:p>
          <w:p>
            <w:pPr>
              <w:numPr>
                <w:ilvl w:val="0"/>
                <w:numId w:val="0"/>
              </w:numPr>
              <w:rPr>
                <w:rFonts w:hint="eastAsia"/>
                <w:highlight w:val="none"/>
                <w:lang w:val="en-US" w:eastAsia="zh-CN"/>
              </w:rPr>
            </w:pPr>
            <w:r>
              <w:rPr>
                <w:rFonts w:hint="eastAsia"/>
                <w:highlight w:val="none"/>
                <w:lang w:val="en-US" w:eastAsia="zh-CN"/>
              </w:rPr>
              <w:t xml:space="preserve">2、仪器发生故障时由维修方客户热线服务中心（固话800-810-0439，手机400-650-0439）协助并指导分析故障原因，由仪器方独立排除故障以便及时恢复正常分析状态。</w:t>
            </w:r>
            <w:r/>
          </w:p>
          <w:p>
            <w:pPr>
              <w:numPr>
                <w:ilvl w:val="0"/>
                <w:numId w:val="0"/>
              </w:numPr>
              <w:rPr>
                <w:rFonts w:hint="eastAsia"/>
                <w:highlight w:val="none"/>
                <w:lang w:val="en-US" w:eastAsia="zh-CN"/>
              </w:rPr>
            </w:pPr>
            <w:r>
              <w:rPr>
                <w:rFonts w:hint="eastAsia"/>
                <w:highlight w:val="none"/>
                <w:lang w:val="en-US" w:eastAsia="zh-CN"/>
              </w:rPr>
              <w:t xml:space="preserve">3、签约保修：现场维修服务、提供维修用零部件和消耗品。</w:t>
            </w:r>
            <w:r/>
          </w:p>
          <w:p>
            <w:pPr>
              <w:numPr>
                <w:ilvl w:val="0"/>
                <w:numId w:val="0"/>
              </w:numPr>
              <w:rPr>
                <w:rFonts w:hint="eastAsia"/>
                <w:highlight w:val="none"/>
                <w:lang w:val="en-US" w:eastAsia="zh-CN"/>
              </w:rPr>
            </w:pPr>
            <w:r>
              <w:rPr>
                <w:rFonts w:hint="eastAsia"/>
                <w:highlight w:val="none"/>
                <w:lang w:val="en-US" w:eastAsia="zh-CN"/>
              </w:rPr>
              <w:t xml:space="preserve">4、现场维修服务包括对仪器故障的现场诊断及修复。修复故障的工作包括工程师采用适当的措施并由仪器方继续观察故障直到故障完全消失。如此过程中维修方工程师发现零件及其他资源不能满足需要，将暂时中断故障维修工作，同时进行相应的准备工作，在条件满足后立刻恢复工作，直至仪器故障被完全排除。</w:t>
            </w:r>
            <w:r/>
          </w:p>
          <w:p>
            <w:pPr>
              <w:numPr>
                <w:ilvl w:val="0"/>
                <w:numId w:val="0"/>
              </w:numPr>
              <w:rPr>
                <w:rFonts w:hint="eastAsia"/>
                <w:highlight w:val="none"/>
                <w:lang w:val="en-US" w:eastAsia="zh-CN"/>
              </w:rPr>
            </w:pPr>
            <w:r>
              <w:rPr>
                <w:rFonts w:hint="eastAsia"/>
                <w:highlight w:val="none"/>
                <w:lang w:val="en-US" w:eastAsia="zh-CN"/>
              </w:rPr>
              <w:t xml:space="preserve">5、分析操作所使用的日常消耗品，不包含在服务内容，如有需要单独购买。</w:t>
            </w:r>
            <w:r/>
          </w:p>
          <w:p>
            <w:pPr>
              <w:numPr>
                <w:ilvl w:val="0"/>
                <w:numId w:val="0"/>
              </w:numPr>
              <w:rPr>
                <w:rFonts w:hint="eastAsia"/>
                <w:highlight w:val="none"/>
                <w:lang w:val="en-US" w:eastAsia="zh-CN"/>
              </w:rPr>
            </w:pPr>
            <w:r>
              <w:rPr>
                <w:rFonts w:hint="eastAsia"/>
                <w:highlight w:val="none"/>
                <w:lang w:val="en-US" w:eastAsia="zh-CN"/>
              </w:rPr>
              <w:t xml:space="preserve">6、设备日常维护6次/年。</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维修方责任：</w:t>
            </w:r>
            <w:r/>
          </w:p>
          <w:p>
            <w:pPr>
              <w:numPr>
                <w:ilvl w:val="0"/>
                <w:numId w:val="0"/>
              </w:numPr>
              <w:jc w:val="both"/>
              <w:widowControl w:val="off"/>
              <w:rPr>
                <w:rFonts w:hint="eastAsia"/>
                <w:highlight w:val="none"/>
                <w:lang w:val="en-US" w:eastAsia="zh-CN"/>
              </w:rPr>
            </w:pPr>
            <w:r>
              <w:rPr>
                <w:rFonts w:hint="eastAsia"/>
                <w:highlight w:val="none"/>
                <w:lang w:val="en-US" w:eastAsia="zh-CN"/>
              </w:rPr>
              <w:t xml:space="preserve">1、维修方提供现场保修服务的工作时间为全天</w:t>
            </w:r>
            <w:r>
              <w:rPr>
                <w:rFonts w:hint="eastAsia" w:ascii="宋体" w:hAnsi="宋体" w:eastAsia="宋体" w:cs="宋体"/>
                <w:szCs w:val="21"/>
                <w:highlight w:val="none"/>
              </w:rPr>
              <w:t xml:space="preserve">24小时</w:t>
            </w:r>
            <w:r>
              <w:rPr>
                <w:rFonts w:hint="eastAsia"/>
                <w:highlight w:val="none"/>
                <w:lang w:val="en-US" w:eastAsia="zh-CN"/>
              </w:rPr>
              <w:t xml:space="preserve">。</w:t>
            </w:r>
            <w:r/>
          </w:p>
          <w:p>
            <w:pPr>
              <w:numPr>
                <w:ilvl w:val="0"/>
                <w:numId w:val="0"/>
              </w:numPr>
              <w:jc w:val="both"/>
              <w:widowControl w:val="off"/>
              <w:rPr>
                <w:rFonts w:hint="eastAsia"/>
                <w:color w:val="000000"/>
                <w:highlight w:val="none"/>
                <w:lang w:val="en-US" w:eastAsia="zh-CN"/>
              </w:rPr>
            </w:pPr>
            <w:r>
              <w:rPr>
                <w:rFonts w:hint="eastAsia"/>
                <w:highlight w:val="none"/>
                <w:lang w:val="en-US" w:eastAsia="zh-CN"/>
              </w:rPr>
              <w:t xml:space="preserve">2、维修方需提供48小时的快捷响应服务。服务响应时间计算方法规定为，从仪器方请求</w:t>
            </w:r>
            <w:r>
              <w:rPr>
                <w:rFonts w:hint="eastAsia"/>
                <w:color w:val="000000"/>
                <w:highlight w:val="none"/>
                <w:lang w:val="en-US" w:eastAsia="zh-CN"/>
              </w:rPr>
              <w:t xml:space="preserve">服务并双方确认故障需要现场维修之日开始到维修方工程师到达现场。如确属交通原因或各方面外界无法抗拒因素造成工程师无法及时到达现场，维修方应及时通知相关日期并将到达日期告知。</w:t>
            </w:r>
            <w:r/>
          </w:p>
          <w:p>
            <w:pPr>
              <w:numPr>
                <w:ilvl w:val="0"/>
                <w:numId w:val="0"/>
              </w:numPr>
              <w:ind w:left="0" w:firstLine="0"/>
              <w:jc w:val="both"/>
              <w:widowControl w:val="off"/>
              <w:rPr>
                <w:rFonts w:hint="eastAsia" w:ascii="宋体" w:hAnsi="宋体" w:eastAsia="宋体" w:cs="宋体"/>
                <w:i w:val="0"/>
                <w:iCs w:val="0"/>
                <w:color w:val="auto"/>
                <w:sz w:val="21"/>
                <w:szCs w:val="21"/>
                <w:highlight w:val="none"/>
                <w:u w:val="none"/>
                <w:lang w:val="en-US" w:eastAsia="zh-CN"/>
              </w:rPr>
            </w:pPr>
            <w:r>
              <w:rPr>
                <w:rFonts w:hint="eastAsia"/>
                <w:color w:val="000000"/>
                <w:highlight w:val="none"/>
                <w:lang w:val="en-US" w:eastAsia="zh-CN"/>
              </w:rPr>
              <w:t xml:space="preserve">3、维修方维修服务所使用的零部件均为维修方产品的指定零件。</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台</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18</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其他设备突发性故障维修</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安捷伦7697顶空加热进样器、安捷伦7820A气相色谱仪、PE铂金埃尔默顶空加热自动进样器、岛津液相色谱仪LC20A，赛默飞离子色谱ICS-90、岛津ATLAS自动样品处理平台、北京普析TU-1901紫外分光光度计、安捷伦1200液相色谱仪、热电6890气相色谱仪、sigama高速离心机、实验室冷藏设备、实验室前处理装置等设备突发性故障维修，要求24小时响应上门维修，包括异地上门派遣费、工时费、仪器配件费；付款时以实际发生费用为准，不超出预算。</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年</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00"/>
        </w:trPr>
        <w:tc>
          <w:tcPr>
            <w:tcW w:w="68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19</w:t>
            </w:r>
            <w:r/>
          </w:p>
        </w:tc>
        <w:tc>
          <w:tcPr>
            <w:tcW w:w="107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同步录音录像刻录光盘</w:t>
            </w:r>
            <w:r/>
          </w:p>
        </w:tc>
        <w:tc>
          <w:tcPr>
            <w:tcW w:w="5390"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color w:val="000000"/>
                <w:szCs w:val="21"/>
                <w:highlight w:val="none"/>
              </w:rPr>
              <w:t xml:space="preserve">容量25GB，能长期保存。50片装/盒。</w:t>
            </w:r>
            <w:r/>
          </w:p>
        </w:tc>
        <w:tc>
          <w:tcPr>
            <w:tcW w:w="79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盒</w:t>
            </w:r>
            <w:r/>
          </w:p>
        </w:tc>
        <w:tc>
          <w:tcPr>
            <w:tcW w:w="717" w:type="dxa"/>
            <w:vAlign w:val="center"/>
            <w:textDirection w:val="lrTb"/>
            <w:noWrap w:val="false"/>
          </w:tcPr>
          <w:p>
            <w:pPr>
              <w:jc w:val="center"/>
              <w:spacing w:line="400" w:lineRule="exact"/>
              <w:widowControl/>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10</w:t>
            </w:r>
            <w:r/>
          </w:p>
        </w:tc>
        <w:tc>
          <w:tcPr>
            <w:tcW w:w="1194"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“▲”为重要指标项，不作为强制废标条款，但作为重要评分依据。</w:t>
      </w:r>
      <w:r/>
    </w:p>
    <w:p>
      <w:pPr>
        <w:pStyle w:val="812"/>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合同签订之日起三个月内完成供货，维护维保期自签订合同之日起一年。</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lang w:val="en-US" w:eastAsia="zh-CN"/>
        </w:rPr>
        <w:t xml:space="preserve">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合同签订后一个月内支付合同总金额的30%，</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50%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val="0"/>
          <w:bCs w:val="0"/>
          <w:i/>
          <w:iCs/>
          <w:color w:val="auto"/>
          <w:sz w:val="21"/>
          <w:szCs w:val="21"/>
          <w:highlight w:val="none"/>
          <w:u w:val="singl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pStyle w:val="812"/>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自愿现场考察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考察联系人：</w:t>
      </w:r>
      <w:r>
        <w:rPr>
          <w:rFonts w:hint="eastAsia" w:ascii="宋体" w:hAnsi="宋体" w:eastAsia="宋体" w:cs="宋体"/>
          <w:color w:val="auto"/>
          <w:sz w:val="21"/>
          <w:szCs w:val="21"/>
          <w:highlight w:val="none"/>
          <w:lang w:eastAsia="zh-CN"/>
        </w:rPr>
        <w:t xml:space="preserve">王</w:t>
      </w:r>
      <w:r>
        <w:rPr>
          <w:rFonts w:hint="eastAsia" w:ascii="宋体" w:hAnsi="宋体" w:eastAsia="宋体" w:cs="宋体"/>
          <w:color w:val="auto"/>
          <w:sz w:val="21"/>
          <w:szCs w:val="21"/>
          <w:highlight w:val="none"/>
        </w:rPr>
        <w:t xml:space="preserve">警官        联系电话：</w:t>
      </w:r>
      <w:r>
        <w:rPr>
          <w:rFonts w:hint="eastAsia" w:ascii="宋体" w:hAnsi="宋体" w:eastAsia="宋体" w:cs="宋体"/>
          <w:color w:val="auto"/>
          <w:sz w:val="21"/>
          <w:szCs w:val="21"/>
          <w:highlight w:val="none"/>
          <w:lang w:val="en-US" w:eastAsia="zh-CN"/>
        </w:rPr>
        <w:t xml:space="preserve">15061332561</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spacing w:line="360" w:lineRule="auto"/>
        <w:rPr>
          <w:rFonts w:hint="eastAsia" w:ascii="宋体" w:hAnsi="宋体" w:eastAsia="宋体" w:cs="宋体"/>
          <w:b w:val="0"/>
          <w:color w:val="auto"/>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采购包3</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常染色体建库试剂盒</w:t>
      </w:r>
      <w:r>
        <w:rPr>
          <w:rFonts w:hint="eastAsia" w:ascii="宋体" w:hAnsi="宋体" w:eastAsia="宋体" w:cs="宋体"/>
          <w:b/>
          <w:bCs/>
          <w:color w:val="auto"/>
          <w:sz w:val="24"/>
          <w:szCs w:val="24"/>
          <w:highlight w:val="none"/>
          <w:u w:val="singl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1"/>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87"/>
        <w:gridCol w:w="5689"/>
        <w:gridCol w:w="535"/>
        <w:gridCol w:w="453"/>
        <w:gridCol w:w="1124"/>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中小企业划分标准所属行</w:t>
            </w:r>
            <w:r>
              <w:rPr>
                <w:rFonts w:hint="eastAsia" w:ascii="宋体" w:hAnsi="宋体" w:eastAsia="宋体" w:cs="宋体"/>
                <w:b/>
                <w:bCs/>
                <w:i w:val="0"/>
                <w:iCs w:val="0"/>
                <w:color w:val="auto"/>
                <w:sz w:val="21"/>
                <w:szCs w:val="21"/>
                <w:highlight w:val="none"/>
                <w:u w:val="none"/>
              </w:rPr>
              <w:t xml:space="preserve">业</w:t>
            </w:r>
            <w:r/>
          </w:p>
        </w:tc>
      </w:tr>
      <w:tr>
        <w:trPr>
          <w:trHeight w:val="3360"/>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87"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常染色体建库试剂盒</w:t>
            </w:r>
            <w:r/>
          </w:p>
        </w:tc>
        <w:tc>
          <w:tcPr>
            <w:tcBorders>
              <w:top w:val="none" w:color="000000" w:sz="4" w:space="0"/>
              <w:left w:val="single" w:color="000000" w:sz="4" w:space="0"/>
              <w:bottom w:val="single" w:color="auto" w:sz="4" w:space="0"/>
              <w:right w:val="single" w:color="000000" w:sz="4" w:space="0"/>
            </w:tcBorders>
            <w:tcW w:w="5689"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建库所需常染色体试剂盒采用六色及以上荧光标记，至少同时扩增“打拐DNA数据库”要求的29个核心基因座： D18S51、D2</w:t>
            </w:r>
            <w:r>
              <w:rPr>
                <w:rFonts w:hint="eastAsia" w:ascii="宋体" w:hAnsi="宋体" w:eastAsia="宋体" w:cs="宋体"/>
                <w:i w:val="0"/>
                <w:iCs w:val="0"/>
                <w:color w:val="000000"/>
                <w:sz w:val="21"/>
                <w:szCs w:val="21"/>
                <w:highlight w:val="none"/>
                <w:u w:val="none"/>
                <w:lang w:val="en-US" w:eastAsia="zh-CN"/>
              </w:rPr>
              <w:t xml:space="preserve">1S11、D3S1358、FGA、D8S1179、vWA、CSF1PO、D16S539、D7S820、D13S317、D5S818、D2S1338、D19S433、TH01、TPOX、D6S1043、Penta D、Penta E、D12S391、D1S1656、D2S441、D22S1045、D10S1248、D8S1132、D15S659、D3S3045、D19S253、D6S477、D10S1435和Amelogenin基因座。                                     </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2、为防止因性别位点Y缺失造成的性别误判，建库试剂盒含有至少1个Y遗传标记位点。                                     </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3、建库试剂盒包含扩增检测所需全部试剂（热启动酶、引物、内标、等位基因 Ladder等），规格为25微升标准反应体系200人份，可按10微升体系扩增。                                     </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4、所投建库试剂盒型号已加入全国公安机关DNA数据库数据导入界面试剂盒型号选择菜单。</w:t>
            </w:r>
            <w:r>
              <w:rPr>
                <w:rFonts w:hint="eastAsia" w:ascii="宋体" w:hAnsi="宋体" w:eastAsia="宋体" w:cs="宋体"/>
                <w:b/>
                <w:bCs/>
                <w:i w:val="0"/>
                <w:iCs w:val="0"/>
                <w:color w:val="000000"/>
                <w:sz w:val="21"/>
                <w:szCs w:val="21"/>
                <w:highlight w:val="none"/>
                <w:u w:val="none"/>
                <w:lang w:val="en-US" w:eastAsia="zh-CN"/>
              </w:rPr>
              <w:t xml:space="preserve">（投标文件中提供数据库截图证明并加盖公章）</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▲5、供应商需承担甲方自有建库设备3130XL基因测序仪的维护保养，以及建库所需的3130XL耗材。                            ▲6、供应商需提供24小时建库应急响应。</w:t>
            </w:r>
            <w:r/>
          </w:p>
        </w:tc>
        <w:tc>
          <w:tcPr>
            <w:tcBorders>
              <w:top w:val="non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35</w:t>
            </w:r>
            <w:r/>
          </w:p>
        </w:tc>
        <w:tc>
          <w:tcPr>
            <w:tcBorders>
              <w:top w:val="non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auto" w:sz="4" w:space="0"/>
              <w:left w:val="single" w:color="000000" w:sz="4" w:space="0"/>
              <w:bottom w:val="single" w:color="auto" w:sz="4" w:space="0"/>
              <w:right w:val="single" w:color="000000" w:sz="4" w:space="0"/>
            </w:tcBorders>
            <w:tcW w:w="1587"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Y染色体建库试剂盒</w:t>
            </w:r>
            <w:r/>
          </w:p>
        </w:tc>
        <w:tc>
          <w:tcPr>
            <w:tcBorders>
              <w:top w:val="single" w:color="auto" w:sz="4" w:space="0"/>
              <w:left w:val="single" w:color="000000" w:sz="4" w:space="0"/>
              <w:bottom w:val="single" w:color="auto" w:sz="4" w:space="0"/>
              <w:right w:val="single" w:color="auto" w:sz="4" w:space="0"/>
            </w:tcBorders>
            <w:tcW w:w="5689" w:type="dxa"/>
            <w:vAlign w:val="top"/>
            <w:textDirection w:val="lrTb"/>
            <w:noWrap w:val="false"/>
          </w:tcPr>
          <w:p>
            <w:pPr>
              <w:jc w:val="left"/>
              <w:spacing w:after="200" w:afterAutospacing="0"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1、试剂盒采用六色荧光标记，可单管同时扩增检测不少于35 个Y-STR 基因座，须包含公安部要求的20 个核心基因座</w:t>
            </w:r>
            <w:r>
              <w:rPr>
                <w:rFonts w:hint="eastAsia" w:ascii="宋体" w:hAnsi="宋体" w:eastAsia="宋体" w:cs="宋体"/>
                <w:i w:val="0"/>
                <w:iCs w:val="0"/>
                <w:color w:val="000000"/>
                <w:sz w:val="21"/>
                <w:szCs w:val="21"/>
                <w:highlight w:val="none"/>
                <w:u w:val="none"/>
                <w:lang w:val="en-US" w:eastAsia="zh-CN"/>
              </w:rPr>
              <w:t xml:space="preserve">（DYS19、DYS385 a/b、DYS389 I、DYS389 II、DYS390、DYS391、DYS392、DYS393、DYS437、DYS438、DYS439、DYS448、DYS456、DYS458、DYS635、Y GATA H4、DYS481、DYS533、DYS576）和15 个优选基因座（DYS643、DYS460、DYS549、DYF387S1a/b、DYS449、DYS518、DYS627、DYS570、DYS527a/b、DYS447、DYS444、DYS557、DYS596）。</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2、试剂盒可直接扩增各种类型的血卡和唾液卡，也可扩增案件检材提取后的DNA 模板。</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3、试剂盒最大扩增片段长度不大于600bp，内含至少8 个扩增长度在220bp 以下的Mini-STR 基因座。</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4、试剂盒包装规格为25ul×200 人份，应包含扩增检测所需全部试剂，可按10微升体系扩增。</w:t>
            </w:r>
            <w:r>
              <w:rPr>
                <w:rFonts w:hint="eastAsia" w:ascii="宋体" w:hAnsi="宋体" w:eastAsia="宋体" w:cs="宋体"/>
                <w:b/>
                <w:bCs/>
                <w:i w:val="0"/>
                <w:iCs w:val="0"/>
                <w:color w:val="000000"/>
                <w:sz w:val="21"/>
                <w:szCs w:val="21"/>
                <w:highlight w:val="none"/>
                <w:u w:val="none"/>
                <w:lang w:val="en-US" w:eastAsia="zh-CN"/>
              </w:rPr>
              <w:t xml:space="preserve">（热启动酶、引物、内标、Bin 等以公安部刑事技术产品质量监督检验中心报告为准。）</w:t>
            </w:r>
            <w:r/>
          </w:p>
        </w:tc>
        <w:tc>
          <w:tcPr>
            <w:tcBorders>
              <w:top w:val="single" w:color="000000" w:sz="4" w:space="0"/>
              <w:left w:val="single" w:color="auto" w:sz="4" w:space="0"/>
              <w:bottom w:val="single" w:color="000000" w:sz="4" w:space="0"/>
              <w:right w:val="single" w:color="000000" w:sz="4" w:space="0"/>
            </w:tcBorders>
            <w:tcW w:w="535"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项目实施及售后服务要求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1、采购人提供自有设备3130XL基因测序仪1台供本项目建库使用，仪器设备维护维保费用由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承担，维护维保期限为与采购人签订政府采购合同之日起1年内。</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2、投标人需同时提供检验血样所需配套的耗材，</w:t>
      </w:r>
      <w:r>
        <w:rPr>
          <w:rFonts w:hint="eastAsia" w:ascii="宋体" w:hAnsi="宋体" w:eastAsia="宋体" w:cs="宋体"/>
          <w:b/>
          <w:bCs/>
          <w:i/>
          <w:iCs/>
          <w:color w:val="auto"/>
          <w:sz w:val="21"/>
          <w:szCs w:val="21"/>
          <w:highlight w:val="none"/>
          <w:u w:val="single"/>
          <w:lang w:eastAsia="zh-CN"/>
        </w:rPr>
        <w:t xml:space="preserve">年检验量不少于</w:t>
      </w:r>
      <w:r>
        <w:rPr>
          <w:rFonts w:hint="eastAsia" w:ascii="宋体" w:hAnsi="宋体" w:eastAsia="宋体" w:cs="宋体"/>
          <w:b/>
          <w:bCs/>
          <w:i/>
          <w:iCs/>
          <w:color w:val="auto"/>
          <w:sz w:val="21"/>
          <w:szCs w:val="21"/>
          <w:highlight w:val="none"/>
          <w:u w:val="single"/>
          <w:lang w:val="en-US" w:eastAsia="zh-CN"/>
        </w:rPr>
        <w:t xml:space="preserve">3.5万人份，</w:t>
      </w:r>
      <w:r>
        <w:rPr>
          <w:rFonts w:hint="eastAsia" w:ascii="宋体" w:hAnsi="宋体" w:eastAsia="宋体" w:cs="宋体"/>
          <w:b/>
          <w:bCs/>
          <w:i/>
          <w:iCs/>
          <w:color w:val="auto"/>
          <w:sz w:val="21"/>
          <w:szCs w:val="21"/>
          <w:highlight w:val="none"/>
          <w:u w:val="single"/>
        </w:rPr>
        <w:t xml:space="preserve">包括但不限于以下耗材：Buffer缓冲液、电泳胶、甲酰胺、96孔板、手套、移液器枪头等，保证建库顺利进行。</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3、如甲方提出工作需求，投标人24小时内做出响应，并提供1-2名具有检测能力的检测服务人员</w:t>
      </w:r>
      <w:r>
        <w:rPr>
          <w:rFonts w:hint="eastAsia" w:ascii="宋体" w:hAnsi="宋体" w:eastAsia="宋体" w:cs="宋体"/>
          <w:b/>
          <w:bCs/>
          <w:i/>
          <w:iCs/>
          <w:color w:val="auto"/>
          <w:sz w:val="21"/>
          <w:szCs w:val="21"/>
          <w:highlight w:val="none"/>
          <w:u w:val="single"/>
          <w:lang w:val="en-US" w:eastAsia="zh-CN"/>
        </w:rPr>
        <w:t xml:space="preserve">或应急人员</w:t>
      </w:r>
      <w:r>
        <w:rPr>
          <w:rFonts w:hint="eastAsia" w:ascii="宋体" w:hAnsi="宋体" w:eastAsia="宋体" w:cs="宋体"/>
          <w:b/>
          <w:bCs/>
          <w:i/>
          <w:iCs/>
          <w:color w:val="auto"/>
          <w:sz w:val="21"/>
          <w:szCs w:val="21"/>
          <w:highlight w:val="none"/>
          <w:u w:val="single"/>
        </w:rPr>
        <w:t xml:space="preserve">到连云港市公安局DNA实验室提供技术支持。可能出现的任何人身安全事故和所有费用均由投标人负责。（需提供检测人员相关证书及承诺函，格式自拟）</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4、投标人剂耗材分批次进行，具体数量和送达地点由甲方决定，一般3天内送达。普通耗材保质期在12个月以上，扩增试剂保质期不少于6个月。</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合同签订之日起六个月内完成供货</w:t>
      </w:r>
      <w:r>
        <w:rPr>
          <w:rFonts w:hint="eastAsia" w:ascii="宋体" w:hAnsi="宋体" w:eastAsia="宋体" w:cs="宋体"/>
          <w:b/>
          <w:bCs/>
          <w:i/>
          <w:iCs/>
          <w:color w:val="auto"/>
          <w:sz w:val="21"/>
          <w:szCs w:val="21"/>
          <w:highlight w:val="none"/>
          <w:u w:val="single"/>
        </w:rPr>
        <w:t xml:space="preserve">。</w:t>
      </w:r>
      <w:r/>
    </w:p>
    <w:p>
      <w:pPr>
        <w:ind w:firstLine="422"/>
        <w:jc w:val="left"/>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i/>
          <w:i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七</w:t>
      </w:r>
      <w:r>
        <w:rPr>
          <w:rFonts w:hint="eastAsia" w:ascii="宋体" w:hAnsi="宋体" w:eastAsia="宋体" w:cs="宋体"/>
          <w:b/>
          <w:i w:val="0"/>
          <w:iCs w:val="0"/>
          <w:color w:val="auto"/>
          <w:sz w:val="21"/>
          <w:szCs w:val="21"/>
          <w:highlight w:val="none"/>
        </w:rPr>
        <w:t xml:space="preserve">、投标报价要求</w:t>
      </w:r>
      <w:r/>
    </w:p>
    <w:p>
      <w:pPr>
        <w:ind w:firstLine="420"/>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八</w:t>
      </w:r>
      <w:r>
        <w:rPr>
          <w:rFonts w:hint="eastAsia" w:ascii="宋体" w:hAnsi="宋体" w:eastAsia="宋体" w:cs="宋体"/>
          <w:b/>
          <w:i w:val="0"/>
          <w:iCs w:val="0"/>
          <w:color w:val="auto"/>
          <w:sz w:val="21"/>
          <w:szCs w:val="21"/>
          <w:highlight w:val="none"/>
        </w:rPr>
        <w:t xml:space="preserve">、付款方式与履约保证金</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1.付款方式：合同签订后一个月内支付合同总金额的30%，供货完成经采购人验收合格并经审计后支付余款（无息）。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spacing w:line="360" w:lineRule="auto"/>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5" w:h="16838" w:orient="portrait"/>
          <w:pgMar w:top="1417" w:right="1134" w:bottom="1417" w:left="1134" w:header="851" w:footer="992" w:gutter="0"/>
          <w:cols w:num="1" w:sep="0" w:space="720" w:equalWidth="1"/>
          <w:docGrid w:linePitch="360"/>
        </w:sect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VeriFiler Plus扩增试剂盒</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821"/>
        <w:tblW w:w="10096" w:type="dxa"/>
        <w:tblInd w:w="-2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1"/>
        <w:gridCol w:w="1207"/>
        <w:gridCol w:w="5695"/>
        <w:gridCol w:w="611"/>
        <w:gridCol w:w="902"/>
        <w:gridCol w:w="980"/>
      </w:tblGrid>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115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VeriFiler Plus扩增试剂盒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i w:val="0"/>
                <w:iCs w:val="0"/>
                <w:color w:val="000000"/>
                <w:sz w:val="21"/>
                <w:szCs w:val="21"/>
                <w:highlight w:val="none"/>
                <w:u w:val="none"/>
                <w:lang w:val="en-US" w:eastAsia="zh-CN"/>
              </w:rPr>
              <w:t xml:space="preserve">200T/盒，200人份免提取，25个位点以及2个内控质量</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参考（IQC）产品提供以下符合性证据：</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1、每试剂盒按标准反应体系25微升*200人份。</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单管同时可扩增25个位点，包括24个常染色体STR位点和1个插入缺失位点：D18S51、FGA、D21S11、D8S1179、VWA、D13S317、D16S539、D7S820、TH01、D3S1358、D5S818、CSF1PO、D2S1338、D19S433、D1S1656、D12S391、D2S441、D10S1248、TPOX、D22S1045、D6S1043、Penta E、Penta D、Amelogenin、Y-indel。</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3、扩增产物中须包含内控质量参考（IQC）标记物，可用于样品质量（如抑制物、降解）的快速评估。</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采用六色荧光技术，实现了一色荧光标记分子量内标，在维持扩增产物大小不变的条件下，有效提高单个泳道分辨的片段数。多色荧光标记，便于更清晰的分辨基因座的多态性信息。每种荧光标记基因座分配均衡，保证荧光电泳通道顺畅。</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5、内含10个mini-STR（扩增长度在250bp以下），便于降解样品信息的获取，对于降解DNA和疑难样品更容易得到完整DNA分型信息，数据更精确更可靠。</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394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HGT S7案件试剂盒</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（固体版）</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240" w:lineRule="auto"/>
              <w:widowControl w:val="off"/>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1、试剂盒采用六色荧光技术，可复合扩增25个基因座，包含23个常染色体基因座：D18S51、D21S11、D3S1358、FGA、D8S1179、vWA、CSF1PO、D16S539、D7S820、D13S317、D5S818、D2S1338、D19S433、TH01、TPOX、D6S1043、Penta D、Penta E、D12S391、D1S1656、D2S441、D22S1045、D10S1248。</w:t>
            </w:r>
            <w:r>
              <w:rPr>
                <w:rFonts w:hint="eastAsia" w:ascii="宋体" w:hAnsi="宋体" w:eastAsia="宋体" w:cs="宋体"/>
                <w:b/>
                <w:bCs/>
                <w:i w:val="0"/>
                <w:iCs w:val="0"/>
                <w:color w:val="000000"/>
                <w:sz w:val="21"/>
                <w:szCs w:val="21"/>
                <w:highlight w:val="none"/>
                <w:u w:val="none"/>
                <w:lang w:val="en-US" w:eastAsia="zh-CN"/>
              </w:rPr>
              <w:t xml:space="preserve">（需提供经由 Genemapper 或者 IDX 软件分析出的分型彩色图谱）</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2、试剂盒包含1个性别基因座Amelogenin，1个Y染色体插入缺失片段Yindel和2个内控质量参考。</w:t>
            </w:r>
            <w:r>
              <w:rPr>
                <w:rFonts w:hint="eastAsia" w:ascii="宋体" w:hAnsi="宋体" w:eastAsia="宋体" w:cs="宋体"/>
                <w:b/>
                <w:bCs/>
                <w:i w:val="0"/>
                <w:iCs w:val="0"/>
                <w:color w:val="000000"/>
                <w:sz w:val="21"/>
                <w:szCs w:val="21"/>
                <w:highlight w:val="none"/>
                <w:u w:val="none"/>
                <w:lang w:val="en-US" w:eastAsia="zh-CN"/>
              </w:rPr>
              <w:t xml:space="preserve">（需提供经由 Genemapper 或者 IDX 软件分析出的分型彩色图谱）</w:t>
            </w:r>
            <w:r>
              <w:rPr>
                <w:rFonts w:hint="eastAsia" w:ascii="宋体" w:hAnsi="宋体" w:eastAsia="宋体" w:cs="宋体"/>
                <w:b/>
                <w:bCs/>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3、试剂盒全部基因座最大扩增片段不超过420bp,且包含16个小于250bp的基因座，提高降解DNA样本中数据信息的获取。</w:t>
            </w:r>
            <w:r>
              <w:rPr>
                <w:rFonts w:hint="eastAsia" w:ascii="宋体" w:hAnsi="宋体" w:eastAsia="宋体" w:cs="宋体"/>
                <w:b/>
                <w:bCs/>
                <w:color w:val="auto"/>
                <w:sz w:val="21"/>
                <w:szCs w:val="21"/>
                <w:highlight w:val="none"/>
              </w:rPr>
              <w:t xml:space="preserve">（投标时须提供产品资料</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rPr>
              <w:t xml:space="preserve">件证明）</w:t>
            </w:r>
            <w:r>
              <w:rPr>
                <w:rFonts w:hint="eastAsia" w:ascii="宋体" w:hAnsi="宋体" w:eastAsia="宋体" w:cs="宋体"/>
                <w:b/>
                <w:bCs/>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4、试剂盒采用全新扩增体系，快速扩增模式，最大加样量7μL,提高微量DNA样本的检验能力。</w:t>
            </w:r>
            <w:r>
              <w:rPr>
                <w:rFonts w:hint="eastAsia" w:ascii="宋体" w:hAnsi="宋体" w:eastAsia="宋体" w:cs="宋体"/>
                <w:b/>
                <w:bCs/>
                <w:i w:val="0"/>
                <w:iCs w:val="0"/>
                <w:color w:val="000000"/>
                <w:sz w:val="21"/>
                <w:szCs w:val="21"/>
                <w:highlight w:val="none"/>
                <w:u w:val="none"/>
                <w:lang w:val="en-US" w:eastAsia="zh-CN"/>
              </w:rPr>
              <w:t xml:space="preserve">（提供产品彩页或官网截图等证明文件）</w:t>
            </w:r>
            <w:r>
              <w:rPr>
                <w:rFonts w:hint="eastAsia" w:ascii="宋体" w:hAnsi="宋体" w:eastAsia="宋体" w:cs="宋体"/>
                <w:b/>
                <w:bCs/>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5、试剂盒适用于各类纯化后的DNA样本，也可直接扩增WhatmanFTA血卡/唾液卡、规血卡/唾液卡和口腔拭子等。扩增时间小于90分钟。</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6、试剂盒为符合国家质量标准的全新产品，须具备由中国安全技术防范认证中心颁发的《中国公共安全产品认证证书》。</w:t>
            </w:r>
            <w:r>
              <w:rPr>
                <w:rFonts w:hint="eastAsia" w:ascii="宋体" w:hAnsi="宋体" w:eastAsia="宋体" w:cs="宋体"/>
                <w:b/>
                <w:bCs/>
                <w:color w:val="auto"/>
                <w:sz w:val="21"/>
                <w:szCs w:val="21"/>
                <w:highlight w:val="none"/>
              </w:rPr>
              <w:t xml:space="preserve">（投标时须提供有效证书</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rPr>
              <w:t xml:space="preserve">件证明）</w:t>
            </w:r>
            <w:r/>
          </w:p>
        </w:tc>
        <w:tc>
          <w:tcPr>
            <w:tcBorders>
              <w:top w:val="none" w:color="000000" w:sz="4" w:space="0"/>
              <w:left w:val="none" w:color="000000" w:sz="4" w:space="0"/>
              <w:bottom w:val="none" w:color="000000" w:sz="4" w:space="0"/>
              <w:right w:val="non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1433"/>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手工提取试剂盒（D盾）</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100人份/盒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9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二代测序试剂盒</w:t>
            </w:r>
            <w:r/>
          </w:p>
        </w:tc>
        <w:tc>
          <w:tcPr>
            <w:tcBorders>
              <w:top w:val="single" w:color="000000" w:sz="4" w:space="0"/>
              <w:left w:val="single" w:color="000000" w:sz="4" w:space="0"/>
              <w:bottom w:val="single" w:color="auto"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▲1、用于法医、公安、司法领域检材/样本的DNA扩增检测，采用高通量技术进行测序，测序数据可分析得到位点分型。</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2、单个引物池至少包含191个以上标记位点引物，一个反应可同时扩增包括性别判定位点、常染色体STR、Y染色体STR</w:t>
            </w:r>
            <w:r>
              <w:rPr>
                <w:rFonts w:hint="eastAsia" w:ascii="宋体" w:hAnsi="宋体" w:eastAsia="宋体" w:cs="宋体"/>
                <w:b/>
                <w:bCs/>
                <w:i w:val="0"/>
                <w:iCs w:val="0"/>
                <w:color w:val="000000"/>
                <w:sz w:val="21"/>
                <w:szCs w:val="21"/>
                <w:highlight w:val="none"/>
                <w:u w:val="none"/>
                <w:lang w:val="en-US" w:eastAsia="zh-CN"/>
              </w:rPr>
              <w:t xml:space="preserve">（提供彩页及说明书作为证明材料）</w:t>
            </w:r>
            <w:r>
              <w:rPr>
                <w:rFonts w:hint="eastAsia" w:ascii="宋体" w:hAnsi="宋体" w:eastAsia="宋体" w:cs="宋体"/>
                <w:i w:val="0"/>
                <w:iCs w:val="0"/>
                <w:color w:val="000000"/>
                <w:sz w:val="21"/>
                <w:szCs w:val="21"/>
                <w:highlight w:val="none"/>
                <w:u w:val="none"/>
                <w:lang w:val="en-US" w:eastAsia="zh-CN"/>
              </w:rPr>
              <w:t xml:space="preserve">。</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▲3、位点涵盖：19个公安部核心常STR位点全包含、29个打拐位点全包含；公安部核心和优选的35个Y-STR位点全包含。</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4、具有1000份以上样本测试数据。</w:t>
            </w:r>
            <w:r>
              <w:rPr>
                <w:rFonts w:hint="eastAsia" w:ascii="宋体" w:hAnsi="宋体" w:eastAsia="宋体" w:cs="宋体"/>
                <w:b/>
                <w:bCs/>
                <w:i w:val="0"/>
                <w:iCs w:val="0"/>
                <w:color w:val="000000"/>
                <w:sz w:val="21"/>
                <w:szCs w:val="21"/>
                <w:highlight w:val="none"/>
                <w:u w:val="none"/>
                <w:lang w:val="en-US" w:eastAsia="zh-CN"/>
              </w:rPr>
              <w:t xml:space="preserve">（提供相关证明材料）</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5、所包含的所有STR扩增子片段长度小于350bp，便于降解样品信息的获取，对于降解DNA和疑难样品更容易得到更多有效DNA分型信息。</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6、有配套的数据分析系统，分析能力包括复杂亲缘关系鉴定、全同胞、祖孙等关系鉴定、法医系谱学分析。</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7、有配套的数据库存储管理系统，用于对大批量DNA数据、案件数据、检材数据等进行多维度存储管理并比对、分析、计算同一/父系/母系/复杂亲缘关系；</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8、试剂配套的数据分析系统可自动化输出单样本STR分型信息导出，并可展示碱基序列信息、侧翼序列突变信息、可能的等位基因不平衡与stutter信息、质控信息等。</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righ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3800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auto" w:sz="4" w:space="0"/>
              <w:left w:val="single" w:color="auto" w:sz="4" w:space="0"/>
              <w:bottom w:val="single" w:color="auto"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鸟类种属鉴定试剂盒</w:t>
            </w:r>
            <w:r/>
          </w:p>
        </w:tc>
        <w:tc>
          <w:tcPr>
            <w:tcBorders>
              <w:top w:val="single" w:color="auto" w:sz="4" w:space="0"/>
              <w:left w:val="single" w:color="000000" w:sz="4" w:space="0"/>
              <w:bottom w:val="single" w:color="auto" w:sz="4" w:space="0"/>
              <w:right w:val="single" w:color="auto"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1、适用样本类型：组织、血液、毛发、环境 DNA 等提取的基因组DNA。</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2、应用场景：动物物种鉴定、入侵物种筛查、肉类食品成分溯源、法医物证分析等。</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3、利用线粒体条形码作为重要依据进行物种鉴定；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▲4、所投试剂盒须基于线粒体 DNA（mtDNA）的4个高变基因（CO1、Cytb、16S rRNA、12S rRNA）设计多重扩增体系，其扩增产物可用于脊椎动物物种的高效鉴定。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5、试剂盒须通过多重PCR一次性扩增，并联合纳米孔测序或毛细管电泳技术。</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6、片段长度200-1000bp。</w:t>
            </w:r>
            <w:r/>
          </w:p>
        </w:tc>
        <w:tc>
          <w:tcPr>
            <w:tcBorders>
              <w:top w:val="single" w:color="000000" w:sz="4" w:space="0"/>
              <w:left w:val="single" w:color="auto"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180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832"/>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auto"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血样采集袋套装</w:t>
            </w:r>
            <w:r/>
          </w:p>
        </w:tc>
        <w:tc>
          <w:tcPr>
            <w:tcBorders>
              <w:top w:val="single" w:color="auto"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套装，包含抑菌型血样采集卡/唾液卡、碘伏消毒棉片、干棉片、采血针、DNA数据库专用血样袋</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30000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430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法医DNA提取试剂盒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1、16 人份/板，能与本实验室的 MW-AP48 核酸纯化平台配套使用；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2、提取时间≤40 分钟；</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3、裂解结合处理体积≥1000µL；</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4、洗脱液体积≤30µl；</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5、采用标准化孔位， 方便排枪移液；</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6、试剂盒中包括消化缓冲液、裂解结合液、漂洗液、 洗脱液、DTT、蛋白酶 K 、磁珠、套管等。</w:t>
            </w:r>
            <w:r/>
          </w:p>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7、磁珠回收率≥99%</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8、单次提取 8 人份，节省耗材。</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9、采用可拆卸孔板，洗脱液可单列保存，节省空间。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10、试剂 DNA 回收率&gt;80%。</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板</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150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TraceMag微量DNA磁珠纯化试剂盒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24人份。TraceMag微量磁珠法DNA提取试剂盒为U-Pure微量DNA提取工作站专用试剂盒，采用具有独特分离作用的磁珠和缓冲液体系，从唾液、血液、血斑、软骨、牙齿、毛发、指纹等检材中提取DNA。试剂盒纯化后的核酸纯度高，无盐离子残留，无需离心或过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采用低温56℃和高温98℃双重温度的裂解方案，低温56℃加蛋白酶K可以有效降解细胞表面和内部蛋白，可以更有效地释放DNA，高温98℃可以灭活降解残余的蛋白酶K，同时进一步变性降解裂解后的细胞杂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3、经过修饰过的磁珠在一定条件下对核酸具有很强的亲和力，当改变条件时可以可逆的释放所吸附的核酸，从而达到快速分离纯化核酸的目的。从100μl-500 μl样本中分离纯化高质量基因组DNA，可以有效去除dNTP、引物、引物二聚体、盐离子和其它杂质。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▲4、采用带滤膜嵌套式裂解板，可以有效去除样本中固体颗粒物。试剂预封装封装在板材内，撕开即用，适合全自动核酸提取工作站使用。使用带滤芯石墨移液吸头，配合工作站使用实现液面探测功能。</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配合微量DNA自动提取检测工作站，对100pg以下的DNA回收率qPCR检测大于90%，200pg标准DNA提取能获得完整STR分型。可用于血液(斑)、唾液(斑)、毛发、组织等常规检材及陈旧、污染、降解和微量检材等疑难检材的DNA提取纯化。</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80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SpermMag混合精斑DNA磁珠纯化试剂盒</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▲1、8人份，SpermMag混合精斑DNA磁珠纯化试剂盒（U-Pure 微量DNA提取工作站专用）为一体式封装试剂，采用多重裂解滤膜法快速提取检材中含有的精子基因组DNA，试剂预封在可与全自动DNA提取工作站配套使用的反应板内，使用时撕开密封膜即可直接用于全自动混合精斑DNA的纯化。</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该提取试剂采用多重裂解的缓冲液体系，独特的消化因子和深度裂解，通过短时多次的裂解，能有效去除样本中含有的大量女性上皮细胞，并最大限度保留精子成分，试剂中同时含有对精子细胞的保护成分，能避免女性上皮细胞消化过程中对精子细胞的损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精子纯化由高效吸附核酸的超顺磁性纳米微球和安全环保的提取试剂体系组成，磁珠表面修饰有特殊化学基团，在一定条件下对精子基因组DNA具有很强的亲和力，能高效特异性吸附精子DNA，当条件改变时可以可逆的释放所吸附的核酸，从而达到快速分离纯化核酸的目的。</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完整试剂盒包装含有封装试剂的反应板，并配有试剂相应数量的盒装吸头（吸头为封装好的石墨吸头，撕开外包装即可整盒放在工作站上使用），专用配套的特殊孔径滤膜套管，封装好的消化液（一次性使用，无需二次整体转移消化液，撕开封膜即可放在工作站上使用）。</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提取24份混合精斑约180分钟，提纯的样本包含女性上清以及精斑沉淀，用户可以根据需要选择对女性上清进行扩增分析，便于对性侵案件的性质认定。独有的检材保留设计，能在女性上清充分清除的基础上保证收集检材中全部精子细胞，提高男性成分的检出率。</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6、配合微量DNA自动提取检测工作站，对100pg以下的DNA回收率qPCR检测大于90%，200pg标准DNA提取能获得完整STR分型。可用于内裤、纸巾、阴道拭子、避孕套等相关检材检材的精子DNA提取纯化。</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PK酶</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100mg/瓶</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抗人血试剂条(FOB)</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100条/盒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抗人精试剂条(PSA)</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100条/盒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12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血样保存柜</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长105cm*宽36cm*高200cm</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组</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采保试剂</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30mL/瓶</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丁腈手套</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100个/盒，10盒/箱，耐酸碱及有机溶剂，M号单只重量≥6g，L号单只重量≥6.5g</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45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PE手套</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50包/箱</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75%实验室消毒酒精</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500mL/瓶</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60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酒精棉球</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10袋/盒</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500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27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207"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3500XL维护</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1、ABI 3500XL 基因分析仪整机保修，包括但不限于合同期内中标方提供对 ABI3500XL 基因分析仪上门维护校正服务，更换机内的损耗部件，对仪器内部系统进行调整有效的避免可能产生的故障，减少可能的停机带来的不必要麻烦，使其工作在最优的指标范围内。包含电脑的保修，中标方在无法修复电脑的情况下，由电脑生产厂家进行维修，产生的相关费用由乙方承担。</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2、维护保养工作依据APPLIED BIOSYSTEMS维修手册中所订标准进行。维护保养工作完成后，出具维护校准报告，由仪器使用方现场确认验收，验收合格后由中标方加盖公司公章并递交仪器使用方存档，维护保养工作必须包括但不限于如下内容：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2.1系统维护：包括设备主机内外构件的检查、清理及运行状态确定；</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2.2系统信息：机器信息、软件注册码等信息确认；</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2.3系统确认：确认机器各主要部件的工作状态及性能参数；</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2.4光路系统：光路系统检查，必要时对光路系统进行调整；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2.5机械臂位置校准：对仪器的机械位置如自动进样器进行校准，必要的进行调整；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2.6空间定位和光谱校正：检测各通道空间定位及光谱校正，必要时进行调校。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2.7缓冲液更换：供应商提供2套全新的缓冲液Buffer用于仪器的日常使用，确保仪器在最佳状态下运行（1套缓冲液包含4个阳极Buffer以及4个阴性Buffer）。</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3、用于修复仪器设备的零部件必须是仪器原厂商的、全新的、性能合格的、型号、性能及指标符合国家现行有关技术、质量、安全标准。</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4、服务期内，至少一次上门维护，设备出现故障时，在 4 工作时内提供电话响应，2 工作日内到达设备现场，维修完成后，由仪器使用方对维修后的设备进行确认并签署相关服务报告，服务报告需提供给仪器使用方进行存档。</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5、正常使用条件下，一旦发生非人为损坏的维修，以上所有维修费用全免（包括人工费，差旅费，备件费等相关费用）。费用由中标方承担。</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工业</w:t>
            </w:r>
            <w:r/>
          </w:p>
        </w:tc>
      </w:tr>
      <w:tr>
        <w:trPr>
          <w:trHeight w:val="1187"/>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207"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实验室管理系统Lims维护</w:t>
            </w:r>
            <w:r/>
          </w:p>
        </w:tc>
        <w:tc>
          <w:tcPr>
            <w:tcBorders>
              <w:top w:val="single" w:color="000000" w:sz="4" w:space="0"/>
              <w:left w:val="single" w:color="000000" w:sz="4" w:space="0"/>
              <w:bottom w:val="single" w:color="000000" w:sz="4" w:space="0"/>
              <w:right w:val="single" w:color="000000" w:sz="4" w:space="0"/>
            </w:tcBorders>
            <w:tcW w:w="5695" w:type="dxa"/>
            <w:vAlign w:val="center"/>
            <w:textDirection w:val="lrTb"/>
            <w:noWrap w:val="false"/>
          </w:tcPr>
          <w:p>
            <w:pPr>
              <w:jc w:val="left"/>
              <w:spacing w:line="400" w:lineRule="exact"/>
              <w:widowControl/>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1、DNA实验室管理系统维护服务（维护期：1年）</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服务器远程维护</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全年服务次数：12次）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包括：服务器重启、服务器关机、查看服务器运行状态、服务器操作系统杀毒、服务器操作系统安全漏洞修复（维护期内操作系统版本）。</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1.2</w:t>
            </w:r>
            <w:r>
              <w:rPr>
                <w:rFonts w:hint="eastAsia" w:ascii="宋体" w:hAnsi="宋体" w:eastAsia="宋体" w:cs="宋体"/>
                <w:b w:val="0"/>
                <w:bCs w:val="0"/>
                <w:color w:val="auto"/>
                <w:sz w:val="21"/>
                <w:szCs w:val="21"/>
                <w:highlight w:val="none"/>
              </w:rPr>
              <w:t xml:space="preserve">系统恢复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在系统发生严重故障时，如硬件损坏或者系统崩溃时，提供系统恢复服务，</w:t>
            </w:r>
            <w:r>
              <w:rPr>
                <w:rFonts w:hint="eastAsia" w:ascii="宋体" w:hAnsi="宋体" w:eastAsia="宋体" w:cs="宋体"/>
                <w:b w:val="0"/>
                <w:bCs w:val="0"/>
                <w:color w:val="auto"/>
                <w:sz w:val="21"/>
                <w:szCs w:val="21"/>
                <w:highlight w:val="none"/>
              </w:rPr>
              <w:t xml:space="preserve">包括：数据库恢复</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；应用系统恢复</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3系统集成调试</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系统集成调试，验证各服务端口是否可访问。</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检查系统资源使用情况。</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验证系统各功能模块是否访问正常。</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rPr>
              <w:t xml:space="preserve">1.4</w:t>
            </w:r>
            <w:r>
              <w:rPr>
                <w:rFonts w:hint="eastAsia" w:ascii="宋体" w:hAnsi="宋体" w:eastAsia="宋体" w:cs="宋体"/>
                <w:b w:val="0"/>
                <w:bCs w:val="0"/>
                <w:color w:val="auto"/>
                <w:sz w:val="21"/>
                <w:szCs w:val="21"/>
                <w:highlight w:val="none"/>
              </w:rPr>
              <w:t xml:space="preserve">数据</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全年服务次数：12次）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rPr>
              <w:t xml:space="preserve">数据备份</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）提供数据统计及</w:t>
            </w:r>
            <w:r>
              <w:rPr>
                <w:rFonts w:hint="eastAsia" w:ascii="宋体" w:hAnsi="宋体" w:eastAsia="宋体" w:cs="宋体"/>
                <w:b w:val="0"/>
                <w:bCs w:val="0"/>
                <w:color w:val="auto"/>
                <w:sz w:val="21"/>
                <w:szCs w:val="21"/>
                <w:highlight w:val="none"/>
              </w:rPr>
              <w:t xml:space="preserve">数据导出</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5系统培训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提供为期1天的远程培训，不限制人数。</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提供用户手册，培训PPT，演示视频等资料供甲方自行学习。</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6系统巡检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全年服务次数：12次）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）按月提供</w:t>
            </w:r>
            <w:r>
              <w:rPr>
                <w:rFonts w:hint="eastAsia" w:ascii="宋体" w:hAnsi="宋体" w:eastAsia="宋体" w:cs="宋体"/>
                <w:b w:val="0"/>
                <w:bCs w:val="0"/>
                <w:color w:val="auto"/>
                <w:sz w:val="21"/>
                <w:szCs w:val="21"/>
                <w:highlight w:val="none"/>
              </w:rPr>
              <w:t xml:space="preserve">服务器巡检</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）按月提供</w:t>
            </w:r>
            <w:r>
              <w:rPr>
                <w:rFonts w:hint="eastAsia" w:ascii="宋体" w:hAnsi="宋体" w:eastAsia="宋体" w:cs="宋体"/>
                <w:b w:val="0"/>
                <w:bCs w:val="0"/>
                <w:color w:val="auto"/>
                <w:sz w:val="21"/>
                <w:szCs w:val="21"/>
                <w:highlight w:val="none"/>
              </w:rPr>
              <w:t xml:space="preserve">系统巡检</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rPr>
              <w:t xml:space="preserve">1.</w:t>
            </w:r>
            <w:r>
              <w:rPr>
                <w:rFonts w:hint="eastAsia" w:ascii="宋体" w:hAnsi="宋体" w:eastAsia="宋体" w:cs="宋体"/>
                <w:b w:val="0"/>
                <w:bCs w:val="0"/>
                <w:color w:val="auto"/>
                <w:sz w:val="21"/>
                <w:szCs w:val="21"/>
                <w:highlight w:val="none"/>
              </w:rPr>
              <w:t xml:space="preserve">7系统</w:t>
            </w:r>
            <w:r>
              <w:rPr>
                <w:rFonts w:hint="eastAsia" w:ascii="宋体" w:hAnsi="宋体" w:eastAsia="宋体" w:cs="宋体"/>
                <w:b w:val="0"/>
                <w:bCs w:val="0"/>
                <w:color w:val="auto"/>
                <w:sz w:val="21"/>
                <w:szCs w:val="21"/>
                <w:highlight w:val="none"/>
                <w:lang w:val="en-US" w:eastAsia="zh-CN"/>
              </w:rPr>
              <w:t xml:space="preserve">模版更新</w:t>
            </w:r>
            <w:r>
              <w:rPr>
                <w:rFonts w:hint="eastAsia" w:ascii="宋体" w:hAnsi="宋体" w:eastAsia="宋体" w:cs="宋体"/>
                <w:b w:val="0"/>
                <w:bCs w:val="0"/>
                <w:color w:val="auto"/>
                <w:sz w:val="21"/>
                <w:szCs w:val="21"/>
                <w:highlight w:val="none"/>
              </w:rPr>
              <w:t xml:space="preserve">服务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全年服务次数：1次）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）根据用户需求提供</w:t>
            </w:r>
            <w:r>
              <w:rPr>
                <w:rFonts w:hint="eastAsia" w:ascii="宋体" w:hAnsi="宋体" w:eastAsia="宋体" w:cs="宋体"/>
                <w:b w:val="0"/>
                <w:bCs w:val="0"/>
                <w:color w:val="auto"/>
                <w:sz w:val="21"/>
                <w:szCs w:val="21"/>
                <w:highlight w:val="none"/>
              </w:rPr>
              <w:t xml:space="preserve">鉴定书</w:t>
            </w:r>
            <w:r>
              <w:rPr>
                <w:rFonts w:hint="eastAsia" w:ascii="宋体" w:hAnsi="宋体" w:eastAsia="宋体" w:cs="宋体"/>
                <w:b w:val="0"/>
                <w:bCs w:val="0"/>
                <w:color w:val="auto"/>
                <w:sz w:val="21"/>
                <w:szCs w:val="21"/>
                <w:highlight w:val="none"/>
                <w:lang w:val="en-US" w:eastAsia="zh-CN"/>
              </w:rPr>
              <w:t xml:space="preserve">模版</w:t>
            </w:r>
            <w:r>
              <w:rPr>
                <w:rFonts w:hint="eastAsia" w:ascii="宋体" w:hAnsi="宋体" w:eastAsia="宋体" w:cs="宋体"/>
                <w:b w:val="0"/>
                <w:bCs w:val="0"/>
                <w:color w:val="auto"/>
                <w:sz w:val="21"/>
                <w:szCs w:val="21"/>
                <w:highlight w:val="none"/>
              </w:rPr>
              <w:t xml:space="preserve">修改服务。</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）根据用户需求提供数据</w:t>
            </w:r>
            <w:r>
              <w:rPr>
                <w:rFonts w:hint="eastAsia" w:ascii="宋体" w:hAnsi="宋体" w:eastAsia="宋体" w:cs="宋体"/>
                <w:b w:val="0"/>
                <w:bCs w:val="0"/>
                <w:color w:val="auto"/>
                <w:sz w:val="21"/>
                <w:szCs w:val="21"/>
                <w:highlight w:val="none"/>
              </w:rPr>
              <w:t xml:space="preserve">导入导出模版修改服务。</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 接口维护服务（全年服务次数：根据需求，不限次数）</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保障DNA实验室管理系统向全国公安机关DNA数据库上报通道正常，当全国公安机关DNA数据库的接口标准有变化时提供DNA实验室管理系统相应的接口更新服务。</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1.9按月度提供产品服务报告（全年服务次数：12次）</w:t>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1）系统运行情况。</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2）服务器运行情况</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系统巡检情况。</w:t>
            </w:r>
            <w:r/>
          </w:p>
          <w:p>
            <w:pP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提供运维工作统计。</w:t>
            </w:r>
            <w:r/>
          </w:p>
          <w:p>
            <w:pPr>
              <w:spacing w:line="360" w:lineRule="auto"/>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数据备份情况。</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软件和信息技术服务业</w:t>
            </w:r>
            <w:r/>
          </w:p>
        </w:tc>
      </w:tr>
      <w:tr>
        <w:trPr>
          <w:trHeight w:val="9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DNA国家库维护</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1、安全服务（全年服务次数：12次）</w:t>
            </w:r>
            <w:r/>
          </w:p>
          <w:p>
            <w:pPr>
              <w:jc w:val="left"/>
              <w:spacing w:line="400" w:lineRule="exact"/>
              <w:widowControl/>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提供数据备份服务；提供病毒查杀服务；数据库安全漏洞修复；中间件安全漏洞修复；业务系统安全漏洞修复；服务器操作系统安全漏洞修复。</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2、服务器维护（全年服务次数：12次）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服务器宕机处理服务；处理服务器非法开/关机；异常断电导致的系统异常；定期查看服务器运行状态；时制掌握硬件情况。</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3、系统巡检（全年服务次数：12次）</w:t>
            </w:r>
            <w:r/>
          </w:p>
          <w:p>
            <w:pPr>
              <w:jc w:val="left"/>
              <w:spacing w:line="400" w:lineRule="exact"/>
              <w:widowControl/>
              <w:rPr>
                <w:rFonts w:hint="default" w:ascii="宋体" w:hAnsi="宋体" w:eastAsia="宋体" w:cs="宋体"/>
                <w:i w:val="0"/>
                <w:iCs w:val="0"/>
                <w:color w:val="000000"/>
                <w:sz w:val="21"/>
                <w:szCs w:val="21"/>
                <w:highlight w:val="none"/>
                <w:u w:val="none"/>
                <w:lang w:val="en-US" w:eastAsia="zh-CN"/>
              </w:rPr>
            </w:pPr>
            <w:r>
              <w:rPr>
                <w:rFonts w:hint="default" w:ascii="宋体" w:hAnsi="宋体" w:eastAsia="宋体" w:cs="宋体"/>
                <w:i w:val="0"/>
                <w:iCs w:val="0"/>
                <w:color w:val="000000"/>
                <w:sz w:val="21"/>
                <w:szCs w:val="21"/>
                <w:highlight w:val="none"/>
                <w:u w:val="none"/>
                <w:lang w:val="en-US" w:eastAsia="zh-CN"/>
              </w:rPr>
              <w:t xml:space="preserve">巡检DNA数据库应用系统是否正常、巡检系统数据存储指标是否正常、巡检系统巡检数据传输通道是否正常、巡检数据上报情况是否正常、巡检数据通报下发情况是否正常、逐级核对数据上报和下发通报的各类数据的传输数量是否正常、逐级核对数据上报和下发通报的各类数据比对是否正常、巡检比对队列是否正常、巡检比对任务是否及时消化掉、巡检比对结果是否全部展现在用户操作界面、巡检系统配置是否合理、巡检字典项从国家库同步是否及时、巡检字典项是否与国家库保持一致。</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4、数据服务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4.1统计（全年服务次数：4次）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数据库异常数据查询；数据入库情况批量查的；数据库库容量统计；数据库年度案件总量、年增长量统计；数据库年度样本总量、年增长量统计；关健指标数据情况统计。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4.2备份（全年服务次数：12次）</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数据备份。</w:t>
            </w:r>
            <w:r/>
          </w:p>
          <w:p>
            <w:pPr>
              <w:numPr>
                <w:ilvl w:val="0"/>
                <w:numId w:val="0"/>
              </w:numPr>
              <w:ind w:left="0" w:firstLine="0"/>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i w:val="0"/>
                <w:iCs w:val="0"/>
                <w:color w:val="000000"/>
                <w:sz w:val="21"/>
                <w:szCs w:val="21"/>
                <w:highlight w:val="none"/>
                <w:u w:val="none"/>
                <w:lang w:val="en-US" w:eastAsia="zh-CN"/>
              </w:rPr>
              <w:t xml:space="preserve">数据导出。</w:t>
            </w:r>
            <w:r/>
          </w:p>
          <w:p>
            <w:pPr>
              <w:numPr>
                <w:ilvl w:val="0"/>
                <w:numId w:val="0"/>
              </w:numPr>
              <w:ind w:left="0" w:firstLine="0"/>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bidi="ar-SA"/>
              </w:rPr>
              <w:t xml:space="preserve">3）</w:t>
            </w:r>
            <w:r>
              <w:rPr>
                <w:rFonts w:hint="eastAsia" w:ascii="宋体" w:hAnsi="宋体" w:eastAsia="宋体" w:cs="宋体"/>
                <w:i w:val="0"/>
                <w:iCs w:val="0"/>
                <w:color w:val="000000"/>
                <w:sz w:val="21"/>
                <w:szCs w:val="21"/>
                <w:highlight w:val="none"/>
                <w:u w:val="none"/>
                <w:lang w:val="en-US" w:eastAsia="zh-CN"/>
              </w:rPr>
              <w:t xml:space="preserve">设置定时备份。</w:t>
            </w:r>
            <w:r/>
          </w:p>
          <w:p>
            <w:pPr>
              <w:numPr>
                <w:ilvl w:val="0"/>
                <w:numId w:val="0"/>
              </w:numPr>
              <w:ind w:left="0" w:firstLine="0"/>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5、培训服务（全年服务次数：1次）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业务系统使用培训；业务系统使用咨询；关键指标指导与解答。</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6、系统集成调试服务（全年服务次数：1次）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验证各服务端口是否可访问；检查系统资源使用情况；验证系统各功能模块是否访问正常。</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7、系统恢复与迁移服务（全年服务次数：1次）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系统恢复一次-远程操作；应用系统恢复一次-远程操作；验证数据恢复、数据迁移之后，数据数量是否与迁移前一致。</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8、运行服务报告（全年服务次数：12次）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系统运行情况汇总；服务器运行情况汇总；系统定期升级情况汇总；系统巡检情况汇总；提供运维工作统计汇总；数据备份情况汇总；关键指标情况汇总；按月度提供运维服务报告PDF版本。</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9、设置专属服务跟踪团队（全年服务次数：12次）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运维团队提供5*8小时远程及现场技术服务。7*24小时电话技术支持服务。用户通过拨打专属工程师手机、售后服务热线电话反馈问题，专属工程师根据用户描述判断是否可以先通过电话指导解决，如果电话无法解决可以通过远程解决。如果是服务器问题可协助用户向服务器原厂报修；如果是用户网络环境问题。不能保障运维工程师远程系统排查问题，则需要用户向本单位相关信通部门申报解决网络问题，以便工程师远程系统。</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9.1、保养内容</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1）换季保养检查2次（4月中旬和11月中旬）。</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2）每个月巡检至少1次。</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3）夏季及冬季每个月巡检至少2次。</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软件和信息技术服务业</w:t>
            </w:r>
            <w:r/>
          </w:p>
        </w:tc>
      </w:tr>
      <w:tr>
        <w:trPr>
          <w:trHeight w:val="1511"/>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风冷净化系统维修保</w:t>
            </w:r>
            <w:r/>
          </w:p>
        </w:tc>
        <w:tc>
          <w:tcPr>
            <w:tcBorders>
              <w:top w:val="single" w:color="000000" w:sz="4" w:space="0"/>
              <w:left w:val="single" w:color="000000" w:sz="4" w:space="0"/>
              <w:bottom w:val="single" w:color="000000" w:sz="4" w:space="0"/>
              <w:right w:val="single" w:color="000000" w:sz="4" w:space="0"/>
            </w:tcBorders>
            <w:tcW w:w="5695"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1、保养内容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1.1换季保养检查2次（4月中旬和11月中旬）。</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1.2每个月巡检至少1次。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1.3夏季及冬季每个月巡检至少2 次。</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1.4各类保养内容。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2、换季保养检查内容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冷媒系统：冷媒管路接口冷媒泄漏的检查；冷媒系统高压压力的测定；冷媒系统低压 压力的测定；冷媒系统冷媒量的确认；冷媒系统部件螺丝、紧固件的确认；压缩机个所属电磁阀的紧闭和开启状况的检查；室外冷凝风机的运转检查；室外冷凝器翅片清洗； 检查压缩机和冷凝器、蒸发器的泄漏情况。</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空调风机箱：送风机电机的运转检查；送风机电机传动皮带检查；空气过滤袋的积尘检查。</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电气系统：压缩机工作电流的测定；压缩机运转声、震动的判定； 压缩机工作电压的 测定；机组工作电压的测定；电加热工作状态的确定；电气部件螺丝和紧固件的确认；控制线路的检查以及修复（断裂、短路、破损）；电气控制部件的调整； 温度调节器的确认及调整；控制部件工作电压的测定；检查机组的设定程序运行情况；保护装置部件状态的确认和调整。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加湿系统：加湿器工作电流的测定；电加热工作状态的确定；控制部件工作电压的测定；保护装置部件状态的确认和调整；检查加湿器水质结垢的情况必要时拆卸清洗。</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除湿系统：加热器工作电流的测定；加热器工作电压的测定；电加热工作状态的确定；控制部件工作电压的测定；保护装置部件状态的确认和调整；检查加热管紧固件的状态。</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3、巡检保养内容</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冷媒系统：冷媒系统高压压力的测定；冷媒系统低压压力测定；压缩机个所属电磁阀的紧闭和开启状况的检查；室外冷凝风机的运转检查。</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电气系统：压缩机工作电流的测定；压缩机工作电压的测定；机组工作电压的测定； 电加热工作状态的确定；控制部件工作电压的测定；检查机组的设定程序运行情况；保护装置部件状态的确认和调整。</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加湿系统：加湿器工作电流的测定；加湿器工作电压的测定；电加热工作状态的确定；控制部件工作电压的测定；保护装置部件状态的确认和调整加湿器夏季转冬季清洗一次；加热器工作电流的测定；加热器工作电压的测定；电加热工作状态的确定；控制部件工作电压的测定。</w:t>
            </w:r>
            <w:r/>
          </w:p>
        </w:tc>
        <w:tc>
          <w:tcPr>
            <w:tcBorders>
              <w:top w:val="single" w:color="000000" w:sz="4" w:space="0"/>
              <w:left w:val="single" w:color="000000" w:sz="4" w:space="0"/>
              <w:bottom w:val="single" w:color="000000" w:sz="4" w:space="0"/>
              <w:right w:val="single" w:color="000000" w:sz="4" w:space="0"/>
            </w:tcBorders>
            <w:tcW w:w="611"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 </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pStyle w:val="812"/>
        <w:numPr>
          <w:ilvl w:val="0"/>
          <w:numId w:val="0"/>
        </w:numPr>
        <w:ind w:firstLine="420"/>
        <w:keepLines/>
        <w:keepNext/>
        <w:spacing w:before="0" w:after="0" w:line="360" w:lineRule="auto"/>
        <w:widowControl w:val="off"/>
        <w:tabs>
          <w:tab w:val="left" w:pos="360" w:leader="none"/>
          <w:tab w:val="left" w:pos="1021"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812"/>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合同签订之日起六个月内完成供货，3500XL、实验室管理系统Lims、DNA国家库维护、风冷净化系统维护维保期自2026年12月1日至2027年11月30日。</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1.质保期：至少1年。质保期间，供应商承担维修、保养、安检、调换等，相关费用包含在预算内，采购方不再支付任何费用；对于采购方人为原因造成的故障，供应商只收取维保成本费用。</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2.本采购包招标项目需要供应商提供24小时售后服务。</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b/>
          <w:bCs/>
          <w:i/>
          <w:color w:val="auto"/>
          <w:sz w:val="21"/>
          <w:szCs w:val="21"/>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4.投标人投标时提供承诺书承诺中标后一周内提供招标清单中19-21项（即ABI 3500XL基因分析仪设备制造商、DNA实验室信息管理系统lims维护厂商，全国公安机关DNA数据库应用系统厂商）原厂出具的针对本项目的售后质量承诺书原件（格式自拟）。</w:t>
      </w:r>
      <w:r/>
    </w:p>
    <w:p>
      <w:pPr>
        <w:ind w:firstLine="422"/>
        <w:jc w:val="left"/>
        <w:spacing w:line="360" w:lineRule="auto"/>
        <w:rPr>
          <w:rFonts w:hint="default"/>
          <w:b/>
          <w:bCs/>
          <w:i/>
          <w:highlight w:val="none"/>
          <w:u w:val="single"/>
          <w:lang w:val="en-US" w:eastAsia="zh-CN"/>
        </w:rPr>
      </w:pPr>
      <w:r>
        <w:rPr>
          <w:rFonts w:hint="eastAsia" w:ascii="宋体" w:hAnsi="宋体" w:eastAsia="宋体" w:cs="宋体"/>
          <w:b/>
          <w:bCs/>
          <w:i/>
          <w:color w:val="auto"/>
          <w:sz w:val="21"/>
          <w:szCs w:val="21"/>
          <w:highlight w:val="none"/>
          <w:u w:val="single"/>
          <w:lang w:val="en-US" w:eastAsia="zh-CN"/>
        </w:rPr>
        <w:t xml:space="preserve">5.经检查发现如有虚假材料或未能提供承诺的有效材料，甲方有权取消其中标资格，并报相关部门依法处理。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i/>
          <w:iCs/>
          <w:color w:val="auto"/>
          <w:sz w:val="21"/>
          <w:szCs w:val="21"/>
          <w:highlight w:val="none"/>
          <w:u w:val="single"/>
          <w:lang w:val="en-US" w:eastAsia="zh-CN"/>
        </w:rPr>
        <w:t xml:space="preserve">2.投标报价：本次报价包含货物、包装费、运输、装卸、人工、调试、培训、技术服务、验收合格所需的各种费用及必要的保险费用和各项税金等。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u w:val="singl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60%</w:t>
      </w:r>
      <w:r>
        <w:rPr>
          <w:rFonts w:hint="eastAsia" w:ascii="宋体" w:hAnsi="宋体" w:eastAsia="宋体" w:cs="宋体"/>
          <w:b/>
          <w:bCs/>
          <w:i/>
          <w:iCs/>
          <w:color w:val="auto"/>
          <w:sz w:val="21"/>
          <w:szCs w:val="21"/>
          <w:highlight w:val="none"/>
          <w:u w:val="single"/>
          <w:lang w:eastAsia="zh-CN"/>
        </w:rPr>
        <w:t xml:space="preserve">，验收合格满六个月后支付合同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20%，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color w:val="auto"/>
          <w:sz w:val="21"/>
          <w:szCs w:val="21"/>
          <w:highlight w:val="none"/>
          <w:lang w:val="en-US" w:eastAsia="zh-CN"/>
        </w:rPr>
        <w:t xml:space="preserve">  </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pStyle w:val="812"/>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w:t>
      </w:r>
      <w:r>
        <w:rPr>
          <w:rFonts w:hint="eastAsia" w:ascii="宋体" w:hAnsi="宋体" w:eastAsia="宋体" w:cs="宋体"/>
          <w:color w:val="auto"/>
          <w:sz w:val="21"/>
          <w:szCs w:val="21"/>
          <w:highlight w:val="none"/>
        </w:rPr>
        <w:t xml:space="preserve">自愿现场考察</w:t>
      </w:r>
      <w:r>
        <w:rPr>
          <w:rFonts w:hint="eastAsia" w:ascii="宋体" w:hAnsi="宋体" w:eastAsia="宋体" w:cs="宋体"/>
          <w:color w:val="auto"/>
          <w:sz w:val="21"/>
          <w:szCs w:val="21"/>
          <w:highlight w:val="none"/>
        </w:rPr>
        <w:t xml:space="preserve">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考察联系人：曹警官        联系电话：15861236876</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auto"/>
          <w:sz w:val="24"/>
          <w:szCs w:val="24"/>
          <w:highlight w:val="none"/>
        </w:rPr>
        <w:br w:type="page" w:clear="all"/>
      </w:r>
      <w:r/>
    </w:p>
    <w:p>
      <w:pPr>
        <w:pStyle w:val="811"/>
        <w:jc w:val="center"/>
        <w:spacing w:line="360" w:lineRule="auto"/>
        <w:rPr>
          <w:rFonts w:hint="eastAsia" w:ascii="宋体" w:hAnsi="宋体" w:eastAsia="宋体" w:cs="宋体"/>
          <w:b w:val="0"/>
          <w:color w:val="auto"/>
          <w:highlight w:val="none"/>
        </w:rPr>
      </w:pPr>
      <w:r/>
      <w:bookmarkStart w:id="12" w:name="_Toc26840"/>
      <w:r>
        <w:rPr>
          <w:rFonts w:hint="eastAsia" w:ascii="宋体" w:hAnsi="宋体" w:eastAsia="宋体" w:cs="宋体"/>
          <w:b w:val="0"/>
          <w:color w:val="auto"/>
          <w:highlight w:val="none"/>
        </w:rPr>
        <w:t xml:space="preserve">第五章  评标方法与评标标准</w:t>
      </w:r>
      <w:bookmarkEnd w:id="11"/>
      <w:r/>
      <w:bookmarkEnd w:id="12"/>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w:t>
      </w:r>
      <w:r>
        <w:rPr>
          <w:rFonts w:hint="eastAsia" w:ascii="宋体" w:hAnsi="宋体" w:eastAsia="宋体" w:cs="宋体"/>
          <w:color w:val="auto"/>
          <w:sz w:val="24"/>
          <w:szCs w:val="24"/>
          <w:highlight w:val="none"/>
          <w:lang w:val="en-US" w:eastAsia="zh-CN"/>
        </w:rPr>
        <w:t xml:space="preserve">每个采购包</w:t>
      </w:r>
      <w:r>
        <w:rPr>
          <w:rFonts w:hint="eastAsia" w:ascii="宋体" w:hAnsi="宋体" w:eastAsia="宋体" w:cs="宋体"/>
          <w:color w:val="auto"/>
          <w:sz w:val="24"/>
          <w:szCs w:val="24"/>
          <w:highlight w:val="none"/>
        </w:rPr>
        <w:t xml:space="preserve">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821"/>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7408"/>
      </w:tblGrid>
      <w:tr>
        <w:trPr>
          <w:jc w:val="center"/>
          <w:trHeight w:val="621"/>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0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217"/>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08"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pStyle w:val="864"/>
              <w:jc w:val="both"/>
              <w:spacing w:line="360" w:lineRule="auto"/>
              <w:shd w:val="clear" w:color="auto" w:fill="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20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408" w:type="dxa"/>
            <w:vAlign w:val="center"/>
            <w:textDirection w:val="lrTb"/>
            <w:noWrap w:val="false"/>
          </w:tcPr>
          <w:p>
            <w:pPr>
              <w:pStyle w:val="826"/>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w:t>
            </w:r>
            <w:r>
              <w:rPr>
                <w:rFonts w:hint="eastAsia" w:ascii="宋体" w:hAnsi="宋体" w:eastAsia="宋体" w:cs="宋体"/>
                <w:color w:val="auto"/>
                <w:sz w:val="24"/>
                <w:szCs w:val="24"/>
                <w:highlight w:val="none"/>
                <w:lang w:eastAsia="zh-CN"/>
              </w:rPr>
              <w:t xml:space="preserve">（</w:t>
            </w:r>
            <w:r>
              <w:rPr>
                <w:rFonts w:hint="eastAsia"/>
                <w:highlight w:val="none"/>
                <w:lang w:val="en-US" w:eastAsia="zh-CN"/>
              </w:rPr>
              <w:t xml:space="preserve">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，投标人具有专业实验室耗材供应类似项目业绩的，每有一个得4分，</w:t>
            </w:r>
            <w:r>
              <w:rPr>
                <w:rFonts w:hint="eastAsia" w:ascii="宋体" w:hAnsi="宋体" w:eastAsia="宋体" w:cs="宋体"/>
                <w:b/>
                <w:color w:val="auto"/>
                <w:sz w:val="24"/>
                <w:szCs w:val="24"/>
                <w:highlight w:val="none"/>
              </w:rPr>
              <w:t xml:space="preserve">最高得2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821"/>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2"/>
        <w:gridCol w:w="7429"/>
      </w:tblGrid>
      <w:tr>
        <w:trPr>
          <w:jc w:val="center"/>
          <w:trHeight w:val="613"/>
        </w:trPr>
        <w:tc>
          <w:tcPr>
            <w:tcW w:w="242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2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02"/>
        </w:trPr>
        <w:tc>
          <w:tcPr>
            <w:tcW w:w="2422" w:type="dxa"/>
            <w:vAlign w:val="center"/>
            <w:textDirection w:val="lrTb"/>
            <w:noWrap w:val="false"/>
          </w:tcPr>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b/>
                <w:color w:val="auto"/>
                <w:sz w:val="24"/>
                <w:szCs w:val="28"/>
                <w:highlight w:val="none"/>
                <w:lang w:eastAsia="zh-CN"/>
              </w:rPr>
            </w:pPr>
            <w:r>
              <w:rPr>
                <w:rFonts w:hint="eastAsia" w:ascii="宋体" w:hAnsi="宋体" w:eastAsia="宋体" w:cs="宋体"/>
                <w:b/>
                <w:color w:val="auto"/>
                <w:sz w:val="24"/>
                <w:szCs w:val="28"/>
                <w:highlight w:val="none"/>
              </w:rPr>
              <w:t xml:space="preserve">根据本项目采购需求总体实施方案</w:t>
            </w:r>
            <w:r>
              <w:rPr>
                <w:rFonts w:hint="eastAsia" w:ascii="宋体" w:hAnsi="宋体" w:eastAsia="宋体" w:cs="宋体"/>
                <w:b/>
                <w:color w:val="auto"/>
                <w:sz w:val="24"/>
                <w:szCs w:val="28"/>
                <w:highlight w:val="none"/>
                <w:lang w:eastAsia="zh-CN"/>
              </w:rPr>
              <w:t xml:space="preserve">。</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实施方案描述详细、清晰，科学、合理，思路先进</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实施方案描述清晰程度一般，设计基本合理，针对性较强</w:t>
            </w:r>
            <w:r>
              <w:rPr>
                <w:rFonts w:hint="eastAsia" w:ascii="宋体" w:hAnsi="宋体" w:eastAsia="宋体" w:cs="宋体"/>
                <w:color w:val="auto"/>
                <w:sz w:val="24"/>
                <w:szCs w:val="24"/>
                <w:highlight w:val="none"/>
                <w:lang w:val="en-US" w:eastAsia="zh-CN"/>
              </w:rPr>
              <w:t xml:space="preserve">的得4分；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实施方案描述较含糊，整体方案不完整</w:t>
            </w:r>
            <w:r>
              <w:rPr>
                <w:rFonts w:hint="eastAsia" w:ascii="宋体" w:hAnsi="宋体" w:eastAsia="宋体" w:cs="宋体"/>
                <w:color w:val="auto"/>
                <w:sz w:val="24"/>
                <w:szCs w:val="24"/>
                <w:highlight w:val="none"/>
                <w:lang w:val="en-US" w:eastAsia="zh-CN"/>
              </w:rPr>
              <w:t xml:space="preserve">的得2分；</w:t>
            </w:r>
            <w:r/>
          </w:p>
          <w:p>
            <w:pP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2793"/>
        </w:trPr>
        <w:tc>
          <w:tcPr>
            <w:tcW w:w="2422" w:type="dxa"/>
            <w:vAlign w:val="center"/>
            <w:textDirection w:val="lrTb"/>
            <w:noWrap w:val="false"/>
          </w:tcPr>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项目配送方案</w:t>
            </w:r>
            <w:r/>
          </w:p>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 xml:space="preserve">投标人提供详细的产品配送运输方案</w:t>
            </w:r>
            <w:r>
              <w:rPr>
                <w:rFonts w:hint="eastAsia" w:ascii="宋体" w:hAnsi="宋体" w:eastAsia="宋体" w:cs="宋体"/>
                <w:color w:val="auto"/>
                <w:sz w:val="24"/>
                <w:szCs w:val="28"/>
                <w:highlight w:val="none"/>
              </w:rPr>
              <w:t xml:space="preserve">。方案中应包含仓储、运输的具体条件及具体的配送方式方法等。</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方案非常详细具体，完善可行</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方案比较具体，比较完善可行</w:t>
            </w:r>
            <w:r>
              <w:rPr>
                <w:rFonts w:hint="eastAsia" w:ascii="宋体" w:hAnsi="宋体" w:eastAsia="宋体" w:cs="宋体"/>
                <w:color w:val="auto"/>
                <w:sz w:val="24"/>
                <w:szCs w:val="24"/>
                <w:highlight w:val="none"/>
                <w:lang w:val="en-US" w:eastAsia="zh-CN"/>
              </w:rPr>
              <w:t xml:space="preserve">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方案细致程度一般，可行性一般</w:t>
            </w:r>
            <w:r>
              <w:rPr>
                <w:rFonts w:hint="eastAsia" w:ascii="宋体" w:hAnsi="宋体" w:eastAsia="宋体" w:cs="宋体"/>
                <w:color w:val="auto"/>
                <w:sz w:val="24"/>
                <w:szCs w:val="24"/>
                <w:highlight w:val="none"/>
                <w:lang w:val="en-US" w:eastAsia="zh-CN"/>
              </w:rPr>
              <w:t xml:space="preserve">的得2分；</w:t>
            </w:r>
            <w:r/>
          </w:p>
          <w:p>
            <w:pPr>
              <w:pStyle w:val="864"/>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446"/>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投标人提供售后服务方案</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的得10分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方案比较详细，售后服务计划比较完善可行，服务承诺、服务队伍建设比较规范，能满足项目要求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pStyle w:val="864"/>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021"/>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投标人制定应急保障措施。</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完善可行，在月需求量增大时，制定了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详细的应急响应服务机制，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能够满足项目需求要求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4"/>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bl>
    <w:p>
      <w:pPr>
        <w:jc w:val="left"/>
        <w:spacing w:line="360" w:lineRule="auto"/>
        <w:widowControl w:val="off"/>
        <w:rPr>
          <w:rFonts w:hint="eastAsia" w:ascii="宋体" w:hAnsi="宋体" w:eastAsia="宋体" w:cs="宋体"/>
          <w:color w:val="auto"/>
          <w:sz w:val="24"/>
          <w:szCs w:val="24"/>
          <w:highlight w:val="none"/>
        </w:rPr>
        <w:sectPr>
          <w:footerReference w:type="default" r:id="rId15"/>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821"/>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2"/>
        <w:gridCol w:w="7139"/>
      </w:tblGrid>
      <w:tr>
        <w:trPr>
          <w:jc w:val="center"/>
          <w:trHeight w:val="621"/>
        </w:trPr>
        <w:tc>
          <w:tcPr>
            <w:tcW w:w="232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13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621"/>
        </w:trPr>
        <w:tc>
          <w:tcPr>
            <w:tcW w:w="232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139"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23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13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时间以合同签订时间为准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起至今，投标人具有专业实验室耗材供应类似项目业绩的，每有一个得4分，</w:t>
            </w:r>
            <w:r>
              <w:rPr>
                <w:rFonts w:hint="eastAsia" w:ascii="宋体" w:hAnsi="宋体" w:eastAsia="宋体" w:cs="宋体"/>
                <w:b/>
                <w:color w:val="auto"/>
                <w:sz w:val="24"/>
                <w:szCs w:val="24"/>
                <w:highlight w:val="none"/>
              </w:rPr>
              <w:t xml:space="preserve">最高得2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821"/>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150"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2332" w:type="dxa"/>
            <w:vAlign w:val="center"/>
            <w:textDirection w:val="lrTb"/>
            <w:noWrap w:val="false"/>
          </w:tcPr>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p>
        </w:tc>
        <w:tc>
          <w:tcPr>
            <w:tcW w:w="7150" w:type="dxa"/>
            <w:vAlign w:val="top"/>
            <w:textDirection w:val="lrTb"/>
            <w:noWrap w:val="false"/>
          </w:tcPr>
          <w:p>
            <w:pPr>
              <w:spacing w:line="360" w:lineRule="auto"/>
              <w:widowControl w:val="off"/>
              <w:rPr>
                <w:rFonts w:hint="eastAsia" w:ascii="宋体" w:hAnsi="宋体" w:eastAsia="宋体" w:cs="宋体"/>
                <w:b/>
                <w:color w:val="auto"/>
                <w:sz w:val="24"/>
                <w:szCs w:val="28"/>
                <w:highlight w:val="none"/>
                <w:lang w:eastAsia="zh-CN"/>
              </w:rPr>
            </w:pPr>
            <w:r>
              <w:rPr>
                <w:rFonts w:hint="eastAsia" w:ascii="宋体" w:hAnsi="宋体" w:eastAsia="宋体" w:cs="宋体"/>
                <w:b/>
                <w:color w:val="auto"/>
                <w:sz w:val="24"/>
                <w:szCs w:val="28"/>
                <w:highlight w:val="none"/>
              </w:rPr>
              <w:t xml:space="preserve">根据本项目采购需求总体实施方案</w:t>
            </w:r>
            <w:r>
              <w:rPr>
                <w:rFonts w:hint="eastAsia" w:ascii="宋体" w:hAnsi="宋体" w:eastAsia="宋体" w:cs="宋体"/>
                <w:b/>
                <w:color w:val="auto"/>
                <w:sz w:val="24"/>
                <w:szCs w:val="28"/>
                <w:highlight w:val="none"/>
                <w:lang w:eastAsia="zh-CN"/>
              </w:rPr>
              <w:t xml:space="preserve">。</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实施方案描述详细、清晰，科学、合理，思路先进</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实施方案描述清晰程度一般，设计基本合理，针对性较强</w:t>
            </w:r>
            <w:r>
              <w:rPr>
                <w:rFonts w:hint="eastAsia" w:ascii="宋体" w:hAnsi="宋体" w:eastAsia="宋体" w:cs="宋体"/>
                <w:color w:val="auto"/>
                <w:sz w:val="24"/>
                <w:szCs w:val="24"/>
                <w:highlight w:val="none"/>
                <w:lang w:val="en-US" w:eastAsia="zh-CN"/>
              </w:rPr>
              <w:t xml:space="preserve">的得4分；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实施方案描述较含糊，整体方案不完整</w:t>
            </w:r>
            <w:r>
              <w:rPr>
                <w:rFonts w:hint="eastAsia" w:ascii="宋体" w:hAnsi="宋体" w:eastAsia="宋体" w:cs="宋体"/>
                <w:color w:val="auto"/>
                <w:sz w:val="24"/>
                <w:szCs w:val="24"/>
                <w:highlight w:val="none"/>
                <w:lang w:val="en-US" w:eastAsia="zh-CN"/>
              </w:rPr>
              <w:t xml:space="preserve">的得2分；</w:t>
            </w:r>
            <w:r/>
          </w:p>
          <w:p>
            <w:pP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41"/>
        </w:trPr>
        <w:tc>
          <w:tcPr>
            <w:tcW w:w="2332" w:type="dxa"/>
            <w:vAlign w:val="center"/>
            <w:textDirection w:val="lrTb"/>
            <w:noWrap w:val="false"/>
          </w:tcPr>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项目配送方案</w:t>
            </w:r>
            <w:r/>
          </w:p>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 xml:space="preserve">投标人提供详细的产品配送运输方案</w:t>
            </w:r>
            <w:bookmarkStart w:id="28" w:name="_GoBack"/>
            <w:r/>
            <w:bookmarkEnd w:id="28"/>
            <w:r>
              <w:rPr>
                <w:rFonts w:hint="eastAsia" w:ascii="宋体" w:hAnsi="宋体" w:eastAsia="宋体" w:cs="宋体"/>
                <w:color w:val="auto"/>
                <w:sz w:val="24"/>
                <w:szCs w:val="28"/>
                <w:highlight w:val="none"/>
              </w:rPr>
              <w:t xml:space="preserve">。方案中应包含仓储、运输的具体条件及具体的配送方式方法等。</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方案非常详细具体，完善可行</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方案比较具体，比较完善可行</w:t>
            </w:r>
            <w:r>
              <w:rPr>
                <w:rFonts w:hint="eastAsia" w:ascii="宋体" w:hAnsi="宋体" w:eastAsia="宋体" w:cs="宋体"/>
                <w:color w:val="auto"/>
                <w:sz w:val="24"/>
                <w:szCs w:val="24"/>
                <w:highlight w:val="none"/>
                <w:lang w:val="en-US" w:eastAsia="zh-CN"/>
              </w:rPr>
              <w:t xml:space="preserve">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方案细致程度一般，可行性一般</w:t>
            </w:r>
            <w:r>
              <w:rPr>
                <w:rFonts w:hint="eastAsia" w:ascii="宋体" w:hAnsi="宋体" w:eastAsia="宋体" w:cs="宋体"/>
                <w:color w:val="auto"/>
                <w:sz w:val="24"/>
                <w:szCs w:val="24"/>
                <w:highlight w:val="none"/>
                <w:lang w:val="en-US" w:eastAsia="zh-CN"/>
              </w:rPr>
              <w:t xml:space="preserve">的得2分；</w:t>
            </w:r>
            <w:r/>
          </w:p>
          <w:p>
            <w:pPr>
              <w:pStyle w:val="864"/>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投标人提供售后服务方案</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的得10分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方案比较详细，售后服务计划比较完善可行，服务承诺、服务队伍建设比较规范，能满足项目要求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pStyle w:val="864"/>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投标人制定应急保障措施。</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完善可行，在月需求量增大时，制定了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详细的应急响应服务机制，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能够满足项目需求要求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4"/>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bl>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采购包3：</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821"/>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4"/>
        <w:gridCol w:w="7537"/>
      </w:tblGrid>
      <w:tr>
        <w:trPr>
          <w:jc w:val="center"/>
          <w:trHeight w:val="621"/>
        </w:trPr>
        <w:tc>
          <w:tcPr>
            <w:tcW w:w="19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53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621"/>
        </w:trPr>
        <w:tc>
          <w:tcPr>
            <w:tcW w:w="19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37"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10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1924" w:type="dxa"/>
            <w:vAlign w:val="center"/>
            <w:textDirection w:val="lrTb"/>
            <w:noWrap w:val="false"/>
          </w:tcPr>
          <w:p>
            <w:pPr>
              <w:pStyle w:val="847"/>
              <w:ind w:firstLine="0"/>
              <w:jc w:val="center"/>
              <w:spacing w:beforeAutospacing="0" w:afterAutospacing="0"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产品性能</w:t>
            </w:r>
            <w:r/>
          </w:p>
          <w:p>
            <w:pPr>
              <w:pStyle w:val="847"/>
              <w:ind w:firstLine="0"/>
              <w:jc w:val="center"/>
              <w:spacing w:beforeAutospacing="0" w:afterAutospacing="0" w:line="360" w:lineRule="auto"/>
              <w:rPr>
                <w:rFonts w:hint="eastAsia" w:ascii="宋体" w:hAnsi="宋体" w:eastAsia="宋体" w:cs="宋体"/>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tc>
        <w:tc>
          <w:tcPr>
            <w:tcW w:w="7537" w:type="dxa"/>
            <w:vAlign w:val="center"/>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为确保降解检材的有效检出，试剂盒最大扩增片段长度</w:t>
            </w:r>
            <w:r>
              <w:rPr>
                <w:rFonts w:hint="eastAsia" w:ascii="Times New Roman" w:hAnsi="Times New Roman"/>
                <w:color w:val="auto"/>
                <w:sz w:val="24"/>
                <w:szCs w:val="24"/>
                <w:highlight w:val="none"/>
              </w:rPr>
              <w:t xml:space="preserve">在满足</w:t>
            </w:r>
            <w:r>
              <w:rPr>
                <w:rFonts w:ascii="Times New Roman" w:hAnsi="Times New Roman"/>
                <w:color w:val="auto"/>
                <w:sz w:val="24"/>
                <w:szCs w:val="24"/>
                <w:highlight w:val="none"/>
              </w:rPr>
              <w:t xml:space="preserve">不超过500bp</w:t>
            </w:r>
            <w:r>
              <w:rPr>
                <w:rFonts w:hint="eastAsia" w:ascii="Times New Roman" w:hAnsi="Times New Roman"/>
                <w:color w:val="auto"/>
                <w:sz w:val="24"/>
                <w:szCs w:val="24"/>
                <w:highlight w:val="none"/>
              </w:rPr>
              <w:t xml:space="preserve">的基础上</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常染色体试剂盒20个核心基因座小于450bp的得</w:t>
            </w:r>
            <w:r>
              <w:rPr>
                <w:rFonts w:hint="eastAsia" w:ascii="Times New Roman" w:hAnsi="Times New Roman" w:eastAsia="宋体"/>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分</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Y染色体试剂盒20个核心基因座小于450bp的得2</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color w:val="auto"/>
                <w:sz w:val="24"/>
                <w:szCs w:val="24"/>
                <w:highlight w:val="none"/>
              </w:rPr>
              <w:t xml:space="preserve">分</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本项最高得5分</w:t>
            </w:r>
            <w:r>
              <w:rPr>
                <w:rFonts w:hint="eastAsia" w:ascii="Times New Roman" w:hAnsi="Times New Roman"/>
                <w:color w:val="auto"/>
                <w:sz w:val="24"/>
                <w:szCs w:val="24"/>
                <w:highlight w:val="none"/>
              </w:rPr>
              <w:t xml:space="preserve">。</w:t>
            </w:r>
            <w:r/>
          </w:p>
          <w:p>
            <w:pPr>
              <w:jc w:val="left"/>
              <w:spacing w:line="360" w:lineRule="auto"/>
              <w:rPr>
                <w:rFonts w:hint="eastAsia" w:ascii="宋体" w:hAnsi="宋体" w:eastAsia="宋体" w:cs="宋体"/>
                <w:b/>
                <w:color w:val="auto"/>
                <w:sz w:val="24"/>
                <w:szCs w:val="24"/>
                <w:highlight w:val="none"/>
                <w:lang w:eastAsia="zh-CN"/>
              </w:rPr>
            </w:pPr>
            <w:r>
              <w:rPr>
                <w:rFonts w:hint="eastAsia" w:ascii="Times New Roman" w:hAnsi="Times New Roman" w:eastAsia="宋体"/>
                <w:b/>
                <w:bCs/>
                <w:color w:val="auto"/>
                <w:sz w:val="24"/>
                <w:szCs w:val="24"/>
                <w:highlight w:val="none"/>
                <w:lang w:val="en-US" w:eastAsia="zh-CN"/>
              </w:rPr>
              <w:t xml:space="preserve">注：</w:t>
            </w:r>
            <w:r>
              <w:rPr>
                <w:rFonts w:hint="eastAsia" w:ascii="Times New Roman" w:hAnsi="Times New Roman"/>
                <w:b/>
                <w:bCs/>
                <w:color w:val="auto"/>
                <w:sz w:val="24"/>
                <w:szCs w:val="24"/>
                <w:highlight w:val="none"/>
                <w:lang w:val="en-US" w:eastAsia="zh-CN"/>
              </w:rPr>
              <w:t xml:space="preserve">提供</w:t>
            </w:r>
            <w:r>
              <w:rPr>
                <w:rFonts w:hint="eastAsia" w:ascii="Times New Roman" w:hAnsi="Times New Roman"/>
                <w:b/>
                <w:bCs/>
                <w:color w:val="auto"/>
                <w:sz w:val="24"/>
                <w:szCs w:val="24"/>
                <w:highlight w:val="none"/>
              </w:rPr>
              <w:t xml:space="preserve">所投产品技术资料、分析软件导出的彩色分型图谱、试剂盒Panel文件说明</w:t>
            </w:r>
            <w:r>
              <w:rPr>
                <w:rFonts w:hint="eastAsia" w:ascii="Times New Roman" w:hAnsi="Times New Roman" w:eastAsia="宋体"/>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rPr>
                <w:rFonts w:hint="eastAsia" w:ascii="Times New Roman" w:hAnsi="Times New Roman"/>
                <w:b/>
                <w:bCs/>
                <w:color w:val="auto"/>
                <w:sz w:val="24"/>
                <w:szCs w:val="24"/>
                <w:highlight w:val="none"/>
              </w:rPr>
              <w:t xml:space="preserve">。</w:t>
            </w:r>
            <w:r/>
          </w:p>
        </w:tc>
      </w:tr>
      <w:tr>
        <w:trPr>
          <w:jc w:val="center"/>
          <w:trHeight w:val="621"/>
        </w:trPr>
        <w:tc>
          <w:tcPr>
            <w:tcW w:w="1924" w:type="dxa"/>
            <w:vAlign w:val="center"/>
            <w:textDirection w:val="lrTb"/>
            <w:noWrap w:val="false"/>
          </w:tcPr>
          <w:p>
            <w:pPr>
              <w:pStyle w:val="847"/>
              <w:ind w:firstLine="0"/>
              <w:jc w:val="center"/>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应急能力</w:t>
            </w:r>
            <w:r/>
          </w:p>
          <w:p>
            <w:pPr>
              <w:pStyle w:val="847"/>
              <w:ind w:firstLine="0"/>
              <w:jc w:val="center"/>
              <w:spacing w:beforeAutospacing="0" w:afterAutospacing="0"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（3分）</w:t>
            </w:r>
            <w:r/>
          </w:p>
        </w:tc>
        <w:tc>
          <w:tcPr>
            <w:tcW w:w="7537" w:type="dxa"/>
            <w:vAlign w:val="center"/>
            <w:textDirection w:val="lrTb"/>
            <w:noWrap w:val="false"/>
          </w:tcPr>
          <w:p>
            <w:pPr>
              <w:spacing w:line="360" w:lineRule="auto"/>
              <w:rPr>
                <w:rFonts w:hint="default" w:ascii="Times New Roman" w:hAnsi="Times New Roman"/>
                <w:color w:val="auto"/>
                <w:sz w:val="24"/>
                <w:szCs w:val="24"/>
                <w:highlight w:val="none"/>
                <w:lang w:val="en-US" w:eastAsia="zh-CN"/>
              </w:rPr>
            </w:pPr>
            <w:r>
              <w:rPr>
                <w:rFonts w:ascii="Times New Roman" w:hAnsi="Times New Roman"/>
                <w:color w:val="auto"/>
                <w:sz w:val="24"/>
                <w:szCs w:val="24"/>
                <w:highlight w:val="none"/>
              </w:rPr>
              <w:t xml:space="preserve">为应对部分案件排查需求，供应商可提供同品牌Y染色体排查试剂盒，试剂盒需录入全国公安机关DNA数据库，一次检测不少于</w:t>
            </w:r>
            <w:r>
              <w:rPr>
                <w:rFonts w:hint="eastAsia" w:ascii="Times New Roman" w:hAnsi="Times New Roman"/>
                <w:color w:val="auto"/>
                <w:sz w:val="24"/>
                <w:szCs w:val="24"/>
                <w:highlight w:val="none"/>
              </w:rPr>
              <w:t xml:space="preserve">50</w:t>
            </w:r>
            <w:r>
              <w:rPr>
                <w:rFonts w:ascii="Times New Roman" w:hAnsi="Times New Roman"/>
                <w:color w:val="auto"/>
                <w:sz w:val="24"/>
                <w:szCs w:val="24"/>
                <w:highlight w:val="none"/>
              </w:rPr>
              <w:t xml:space="preserve">个Y-STR基因座</w:t>
            </w:r>
            <w:r>
              <w:rPr>
                <w:rFonts w:hint="eastAsia" w:ascii="Times New Roman" w:hAnsi="Times New Roman" w:eastAsia="宋体"/>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得</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分，</w:t>
            </w:r>
            <w:r>
              <w:rPr>
                <w:rFonts w:ascii="Times New Roman" w:hAnsi="Times New Roman"/>
                <w:color w:val="auto"/>
                <w:sz w:val="24"/>
                <w:szCs w:val="24"/>
                <w:highlight w:val="none"/>
              </w:rPr>
              <w:t xml:space="preserve">一次检测不少于</w:t>
            </w:r>
            <w:r>
              <w:rPr>
                <w:rFonts w:hint="eastAsia" w:ascii="Times New Roman" w:hAnsi="Times New Roman"/>
                <w:color w:val="auto"/>
                <w:sz w:val="24"/>
                <w:szCs w:val="24"/>
                <w:highlight w:val="none"/>
              </w:rPr>
              <w:t xml:space="preserve">55</w:t>
            </w:r>
            <w:r>
              <w:rPr>
                <w:rFonts w:ascii="Times New Roman" w:hAnsi="Times New Roman"/>
                <w:color w:val="auto"/>
                <w:sz w:val="24"/>
                <w:szCs w:val="24"/>
                <w:highlight w:val="none"/>
              </w:rPr>
              <w:t xml:space="preserve">个Y-STR基因座</w:t>
            </w:r>
            <w:r>
              <w:rPr>
                <w:rFonts w:hint="eastAsia" w:ascii="Times New Roman" w:hAnsi="Times New Roman" w:eastAsia="宋体"/>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得</w:t>
            </w:r>
            <w:r>
              <w:rPr>
                <w:rFonts w:hint="eastAsia" w:ascii="Times New Roman" w:hAnsi="Times New Roman" w:eastAsia="宋体"/>
                <w:color w:val="auto"/>
                <w:sz w:val="24"/>
                <w:szCs w:val="24"/>
                <w:highlight w:val="none"/>
                <w:lang w:val="en-US" w:eastAsia="zh-CN"/>
              </w:rPr>
              <w:t xml:space="preserve">3</w:t>
            </w:r>
            <w:r>
              <w:rPr>
                <w:rFonts w:hint="eastAsia" w:ascii="Times New Roman" w:hAnsi="Times New Roman"/>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本项最高得3分</w:t>
            </w:r>
            <w:r/>
          </w:p>
          <w:p>
            <w:pPr>
              <w:spacing w:line="360" w:lineRule="auto"/>
              <w:rPr>
                <w:rFonts w:hint="eastAsia" w:ascii="Times New Roman" w:hAnsi="Times New Roman" w:eastAsia="宋体"/>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注：</w:t>
            </w:r>
            <w:r>
              <w:rPr>
                <w:rFonts w:ascii="Times New Roman" w:hAnsi="Times New Roman"/>
                <w:b/>
                <w:bCs/>
                <w:color w:val="auto"/>
                <w:sz w:val="24"/>
                <w:szCs w:val="24"/>
                <w:highlight w:val="none"/>
              </w:rPr>
              <w:t xml:space="preserve">提供全国公安机关DNA数据库截图、分析软件导出的彩色分型图谱</w:t>
            </w:r>
            <w:r>
              <w:rPr>
                <w:rFonts w:hint="eastAsia" w:ascii="Times New Roman" w:hAnsi="Times New Roman"/>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rPr>
                <w:rFonts w:hint="eastAsia" w:ascii="Times New Roman" w:hAnsi="Times New Roman"/>
                <w:b/>
                <w:bCs/>
                <w:color w:val="auto"/>
                <w:sz w:val="24"/>
                <w:szCs w:val="24"/>
                <w:highlight w:val="none"/>
                <w:lang w:val="en-US" w:eastAsia="zh-CN"/>
              </w:rPr>
              <w:t xml:space="preserve">。</w:t>
            </w:r>
            <w:r/>
          </w:p>
        </w:tc>
      </w:tr>
      <w:tr>
        <w:trPr>
          <w:jc w:val="center"/>
          <w:trHeight w:val="621"/>
        </w:trPr>
        <w:tc>
          <w:tcPr>
            <w:tcW w:w="1924" w:type="dxa"/>
            <w:vAlign w:val="center"/>
            <w:textDirection w:val="lrTb"/>
            <w:noWrap w:val="false"/>
          </w:tcPr>
          <w:p>
            <w:pPr>
              <w:pStyle w:val="847"/>
              <w:ind w:firstLine="0"/>
              <w:jc w:val="center"/>
              <w:spacing w:beforeAutospacing="0" w:afterAutospacing="0" w:line="360" w:lineRule="auto"/>
              <w:rPr>
                <w:color w:val="auto"/>
                <w:sz w:val="24"/>
                <w:szCs w:val="24"/>
                <w:highlight w:val="none"/>
              </w:rPr>
            </w:pPr>
            <w:r>
              <w:rPr>
                <w:rFonts w:hint="eastAsia"/>
                <w:color w:val="auto"/>
                <w:sz w:val="24"/>
                <w:szCs w:val="24"/>
                <w:highlight w:val="none"/>
              </w:rPr>
              <w:t xml:space="preserve">企业信誉</w:t>
            </w:r>
            <w:r/>
          </w:p>
          <w:p>
            <w:pPr>
              <w:pStyle w:val="847"/>
              <w:ind w:firstLine="0"/>
              <w:jc w:val="center"/>
              <w:spacing w:beforeAutospacing="0" w:afterAutospacing="0" w:line="360" w:lineRule="auto"/>
              <w:rPr>
                <w:rFonts w:hint="eastAsia" w:ascii="宋体" w:hAnsi="宋体" w:eastAsia="宋体" w:cs="宋体"/>
                <w:color w:val="auto"/>
                <w:sz w:val="24"/>
                <w:szCs w:val="24"/>
                <w:highlight w:val="none"/>
              </w:rPr>
            </w:pPr>
            <w:r>
              <w:rPr>
                <w:rFonts w:hint="eastAsia"/>
                <w:color w:val="auto"/>
                <w:sz w:val="24"/>
                <w:szCs w:val="24"/>
                <w:highlight w:val="none"/>
              </w:rPr>
              <w:t xml:space="preserve">（6分）</w:t>
            </w:r>
            <w:r/>
          </w:p>
        </w:tc>
        <w:tc>
          <w:tcPr>
            <w:tcW w:w="7537"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具有的管理体系有效认证证书：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质量管理体系认证证书（须包含DNA鉴定检验试剂的研发或销售或技术服务）</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信息安全管理体系认证证书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环境管理体系认证证书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提供</w:t>
            </w:r>
            <w:r>
              <w:rPr>
                <w:rFonts w:hint="eastAsia"/>
                <w:b/>
                <w:bCs/>
                <w:color w:val="auto"/>
                <w:sz w:val="24"/>
                <w:szCs w:val="24"/>
                <w:highlight w:val="none"/>
              </w:rPr>
              <w:t xml:space="preserve">有效证书的扫描件</w:t>
            </w:r>
            <w:r>
              <w:rPr>
                <w:rFonts w:hint="eastAsia" w:eastAsia="宋体"/>
                <w:b/>
                <w:bCs/>
                <w:color w:val="auto"/>
                <w:sz w:val="24"/>
                <w:szCs w:val="24"/>
                <w:highlight w:val="none"/>
                <w:lang w:val="en-US" w:eastAsia="zh-CN"/>
              </w:rPr>
              <w:t xml:space="preserve">及</w:t>
            </w:r>
            <w:r>
              <w:rPr>
                <w:rFonts w:hint="eastAsia"/>
                <w:b/>
                <w:bCs/>
                <w:color w:val="auto"/>
                <w:sz w:val="24"/>
                <w:szCs w:val="24"/>
                <w:highlight w:val="none"/>
              </w:rPr>
              <w:t xml:space="preserve">国家认证认可监督管理委员会官网查询截图；</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p>
        </w:tc>
      </w:tr>
      <w:tr>
        <w:trPr>
          <w:jc w:val="center"/>
          <w:trHeight w:val="481"/>
        </w:trPr>
        <w:tc>
          <w:tcPr>
            <w:tcW w:w="192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资信</w:t>
            </w:r>
            <w:r/>
          </w:p>
          <w:p>
            <w:pPr>
              <w:jc w:val="center"/>
              <w:spacing w:line="360" w:lineRule="auto"/>
              <w:rPr>
                <w:rFonts w:hint="eastAsia" w:ascii="宋体" w:hAnsi="宋体" w:eastAsia="Arial"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7537" w:type="dxa"/>
            <w:vAlign w:val="center"/>
            <w:textDirection w:val="lrTb"/>
            <w:noWrap w:val="false"/>
          </w:tcPr>
          <w:p>
            <w:pPr>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试剂盒</w:t>
            </w:r>
            <w:r>
              <w:rPr>
                <w:rFonts w:hint="eastAsia" w:ascii="宋体" w:hAnsi="宋体" w:eastAsia="宋体" w:cs="宋体"/>
                <w:color w:val="auto"/>
                <w:sz w:val="24"/>
                <w:szCs w:val="24"/>
                <w:highlight w:val="none"/>
                <w:lang w:val="en-US" w:eastAsia="zh-CN"/>
              </w:rPr>
              <w:t xml:space="preserve">制造商</w:t>
            </w:r>
            <w:r>
              <w:rPr>
                <w:rFonts w:hint="eastAsia" w:ascii="宋体" w:hAnsi="宋体" w:cs="宋体"/>
                <w:color w:val="auto"/>
                <w:sz w:val="24"/>
                <w:szCs w:val="24"/>
                <w:highlight w:val="none"/>
              </w:rPr>
              <w:t xml:space="preserve">具有DNA技术相关的</w:t>
            </w:r>
            <w:r>
              <w:rPr>
                <w:rFonts w:hint="eastAsia" w:ascii="宋体" w:hAnsi="宋体" w:eastAsia="宋体" w:cs="宋体"/>
                <w:color w:val="auto"/>
                <w:sz w:val="24"/>
                <w:szCs w:val="24"/>
                <w:highlight w:val="none"/>
                <w:lang w:val="en-US" w:eastAsia="zh-CN"/>
              </w:rPr>
              <w:t xml:space="preserve">市</w:t>
            </w:r>
            <w:r>
              <w:rPr>
                <w:rFonts w:hint="eastAsia" w:ascii="宋体" w:hAnsi="宋体" w:cs="宋体"/>
                <w:color w:val="auto"/>
                <w:sz w:val="24"/>
                <w:szCs w:val="24"/>
                <w:highlight w:val="none"/>
              </w:rPr>
              <w:t xml:space="preserve">级及以上奖项，每提供一个得1分，最高得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auto"/>
              <w:shd w:val="clear" w:color="auto" w:fill="ffffff"/>
              <w:widowControl/>
              <w:rPr>
                <w:rFonts w:hint="eastAsia" w:ascii="宋体" w:hAnsi="宋体" w:eastAsia="Arial"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提供证书扫描件</w:t>
            </w:r>
            <w:r>
              <w:rPr>
                <w:rFonts w:hint="eastAsia" w:ascii="Times New Roman" w:hAnsi="Times New Roman" w:eastAsia="宋体"/>
                <w:b/>
                <w:bCs/>
                <w:color w:val="auto"/>
                <w:sz w:val="24"/>
                <w:szCs w:val="24"/>
                <w:highlight w:val="none"/>
                <w:lang w:val="en-US" w:eastAsia="zh-CN"/>
              </w:rPr>
              <w:t xml:space="preserve">加盖投标人公章，</w:t>
            </w:r>
            <w:r>
              <w:rPr>
                <w:rFonts w:hint="eastAsia" w:ascii="宋体" w:hAnsi="宋体" w:cs="宋体"/>
                <w:color w:val="auto"/>
                <w:sz w:val="24"/>
                <w:szCs w:val="24"/>
                <w:highlight w:val="none"/>
              </w:rPr>
              <w:t xml:space="preserve">否则不得分。</w:t>
            </w:r>
            <w:r/>
          </w:p>
        </w:tc>
      </w:tr>
      <w:tr>
        <w:trPr>
          <w:jc w:val="center"/>
          <w:trHeight w:val="621"/>
        </w:trPr>
        <w:tc>
          <w:tcPr>
            <w:tcW w:w="19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年1月1日起至今，投标人具有血样建库类似业绩的，每有一个得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注：时间以合同签订日期为准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投标人须提供清晰的合同扫描件并加盖公章，否则不得分。</w:t>
            </w:r>
            <w:r/>
          </w:p>
        </w:tc>
      </w:tr>
      <w:tr>
        <w:trPr>
          <w:jc w:val="center"/>
          <w:trHeight w:val="621"/>
        </w:trPr>
        <w:tc>
          <w:tcPr>
            <w:tcW w:w="19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应急人员</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W w:w="75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应急响应人员</w:t>
            </w:r>
            <w:r>
              <w:rPr>
                <w:rFonts w:hint="eastAsia" w:ascii="宋体" w:hAnsi="宋体" w:eastAsia="宋体" w:cs="宋体"/>
                <w:b w:val="0"/>
                <w:bCs/>
                <w:color w:val="auto"/>
                <w:sz w:val="24"/>
                <w:szCs w:val="24"/>
                <w:highlight w:val="none"/>
                <w:lang w:val="en-US" w:eastAsia="zh-CN"/>
              </w:rPr>
              <w:t xml:space="preserve">自</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年1月1日至今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具有20万人份（含）及以上建库经验得2分。</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注：提供身份证和公安部门出具的建库经验证明扫描件并加盖公章，否则不得分</w:t>
            </w:r>
            <w:r>
              <w:rPr>
                <w:rFonts w:hint="eastAsia" w:ascii="宋体" w:hAnsi="宋体" w:eastAsia="宋体" w:cs="宋体"/>
                <w:b/>
                <w:color w:val="auto"/>
                <w:sz w:val="24"/>
                <w:szCs w:val="24"/>
                <w:highlight w:val="none"/>
                <w:lang w:eastAsia="zh-CN"/>
              </w:rPr>
              <w:t xml:space="preserve">。</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821"/>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7619"/>
      </w:tblGrid>
      <w:tr>
        <w:trPr>
          <w:jc w:val="center"/>
          <w:trHeight w:val="541"/>
        </w:trPr>
        <w:tc>
          <w:tcPr>
            <w:tcW w:w="1974"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61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1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评委根据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提供实施方案、质量保障措施，</w:t>
            </w:r>
            <w:r>
              <w:rPr>
                <w:rFonts w:hint="eastAsia" w:ascii="宋体" w:hAnsi="宋体" w:eastAsia="宋体" w:cs="宋体"/>
                <w:color w:val="auto"/>
                <w:sz w:val="24"/>
                <w:szCs w:val="24"/>
                <w:highlight w:val="none"/>
              </w:rPr>
              <w:t xml:space="preserve">包括但不限于项目实施、货物质保期的时间、产品渠道、配送方案、运输方式、产品质量问题造成事故的赔偿方案等内容。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实施方案、质量保障措施方案科学合理、内容详细全面、切实可行的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实施方案、质量保障措施方案较科学合理、内容较详细全面、较切实可行的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科学合理、内容</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详细全面、</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切实可行的</w:t>
            </w:r>
            <w:r>
              <w:rPr>
                <w:rFonts w:hint="eastAsia" w:ascii="宋体" w:hAnsi="宋体" w:eastAsia="宋体" w:cs="宋体"/>
                <w:color w:val="auto"/>
                <w:sz w:val="24"/>
                <w:szCs w:val="24"/>
                <w:highlight w:val="none"/>
                <w:lang w:val="en-US" w:eastAsia="zh-CN"/>
              </w:rPr>
              <w:t xml:space="preserve">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实施方案、质量保障措施方案科学合理性一般、内容空洞、切实可行性一般的</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1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评委根据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提供售后服务方案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内容需包含但不限于产品质量承诺、技术支持、售后服务计划。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4"/>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实施方案</w:t>
            </w:r>
            <w:r>
              <w:rPr>
                <w:rFonts w:hint="eastAsia" w:ascii="宋体" w:hAnsi="宋体" w:cs="宋体"/>
                <w:sz w:val="24"/>
                <w:szCs w:val="24"/>
                <w:highlight w:val="none"/>
              </w:rPr>
              <w:br/>
            </w: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分）</w:t>
            </w:r>
            <w:r/>
          </w:p>
        </w:tc>
        <w:tc>
          <w:tcPr>
            <w:tcW w:w="7619" w:type="dxa"/>
            <w:vAlign w:val="center"/>
            <w:textDirection w:val="lrTb"/>
            <w:noWrap w:val="false"/>
          </w:tcPr>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评委根据供应商的项目实施方案，从</w:t>
            </w:r>
            <w:r>
              <w:rPr>
                <w:rFonts w:hint="eastAsia" w:ascii="宋体" w:hAnsi="宋体" w:cs="宋体"/>
                <w:color w:val="auto"/>
                <w:sz w:val="24"/>
                <w:szCs w:val="24"/>
                <w:highlight w:val="none"/>
                <w:lang w:val="en-US" w:eastAsia="zh-CN"/>
              </w:rPr>
              <w:t xml:space="preserve">制造工艺、</w:t>
            </w:r>
            <w:r>
              <w:rPr>
                <w:rFonts w:hint="eastAsia" w:ascii="宋体" w:hAnsi="宋体" w:cs="宋体"/>
                <w:color w:val="auto"/>
                <w:sz w:val="24"/>
                <w:szCs w:val="24"/>
                <w:highlight w:val="none"/>
              </w:rPr>
              <w:t xml:space="preserve">供货、</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rPr>
              <w:t xml:space="preserve">、验收等进行评审。</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实施方案全面完整、切合本项目实际、合理可行，内容详实、科学，考虑周全针对性强，完全能够满足需要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实施方案较为完整、较符合本项目实际、较合理，考虑较周全，针对性较强，较可以满足需要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实施方案基本完整、基本符合本项目实际、基本合理，基本考虑周全，针对性一般，可以满足需要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实施方案不完整、不实用，合理性方面一般，基本考虑不周，措施不够到位，针对性不强，虽然能够基本满足需要，但需要进一步完善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864"/>
              <w:jc w:val="both"/>
              <w:spacing w:line="360" w:lineRule="auto"/>
              <w:rPr>
                <w:rFonts w:hint="eastAsia" w:ascii="宋体" w:hAnsi="宋体" w:eastAsia="宋体" w:cs="宋体"/>
                <w:b w:val="0"/>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应急预案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W w:w="7619" w:type="dxa"/>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color w:val="auto"/>
                <w:sz w:val="24"/>
                <w:szCs w:val="24"/>
                <w:highlight w:val="none"/>
              </w:rPr>
              <w:t xml:space="preserve">评委根据供应商的</w:t>
            </w:r>
            <w:r>
              <w:rPr>
                <w:rFonts w:hint="default" w:ascii="宋体" w:hAnsi="宋体" w:cs="宋体"/>
                <w:sz w:val="24"/>
                <w:szCs w:val="24"/>
                <w:highlight w:val="none"/>
              </w:rPr>
              <w:t xml:space="preserve">供货过程中突发情况的应急预案</w:t>
            </w:r>
            <w:r>
              <w:rPr>
                <w:rFonts w:hint="eastAsia" w:ascii="宋体" w:hAnsi="宋体" w:cs="宋体"/>
                <w:sz w:val="24"/>
                <w:szCs w:val="24"/>
                <w:highlight w:val="none"/>
              </w:rPr>
              <w:t xml:space="preserve">进行评审：</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定制化服务方案具有针对性，应急预案详细、合理可行的得</w:t>
            </w:r>
            <w:r>
              <w:rPr>
                <w:rFonts w:hint="eastAsia" w:ascii="宋体" w:hAnsi="宋体" w:cs="宋体"/>
                <w:sz w:val="24"/>
                <w:szCs w:val="24"/>
                <w:highlight w:val="none"/>
                <w:lang w:val="en-US" w:eastAsia="zh-CN"/>
              </w:rPr>
              <w:t xml:space="preserve">6</w:t>
            </w:r>
            <w:r>
              <w:rPr>
                <w:rFonts w:hint="default" w:ascii="宋体" w:hAnsi="宋体" w:cs="宋体"/>
                <w:sz w:val="24"/>
                <w:szCs w:val="24"/>
                <w:highlight w:val="none"/>
              </w:rPr>
              <w:t xml:space="preserve">分；</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定制化服务方案较有针对性，应急预案较详细、较合理可行</w:t>
            </w:r>
            <w:r>
              <w:rPr>
                <w:rFonts w:hint="eastAsia" w:ascii="宋体" w:hAnsi="宋体" w:eastAsia="宋体" w:cs="宋体"/>
                <w:sz w:val="24"/>
                <w:szCs w:val="24"/>
                <w:highlight w:val="none"/>
                <w:lang w:val="en-US" w:eastAsia="zh-CN"/>
              </w:rPr>
              <w:t xml:space="preserve">的</w:t>
            </w:r>
            <w:r>
              <w:rPr>
                <w:rFonts w:hint="default" w:ascii="宋体" w:hAnsi="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default" w:ascii="宋体" w:hAnsi="宋体" w:cs="宋体"/>
                <w:sz w:val="24"/>
                <w:szCs w:val="24"/>
                <w:highlight w:val="none"/>
              </w:rPr>
              <w:t xml:space="preserve">分；</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定制化服务方案针对性一般，应急预案详细、合理可行性一般的得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cs="宋体"/>
                <w:b/>
                <w:bCs/>
                <w:sz w:val="24"/>
                <w:szCs w:val="24"/>
                <w:highlight w:val="none"/>
              </w:rPr>
              <w:t xml:space="preserve">未提供不得分。</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2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采购包4：</w:t>
      </w:r>
      <w:r/>
    </w:p>
    <w:p>
      <w:pPr>
        <w:jc w:val="center"/>
        <w:spacing w:line="360" w:lineRule="auto"/>
        <w:rPr>
          <w:rFonts w:hint="eastAsia" w:ascii="宋体" w:hAnsi="宋体" w:eastAsia="宋体" w:cs="宋体"/>
          <w:color w:val="auto"/>
          <w:sz w:val="32"/>
          <w:szCs w:val="24"/>
          <w:highlight w:val="none"/>
        </w:rPr>
      </w:pPr>
      <w:r/>
      <w:bookmarkStart w:id="13" w:name="_Toc162361615"/>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37</w:t>
      </w:r>
      <w:r>
        <w:rPr>
          <w:rFonts w:hint="eastAsia" w:ascii="宋体" w:hAnsi="宋体" w:eastAsia="宋体" w:cs="宋体"/>
          <w:b/>
          <w:color w:val="auto"/>
          <w:sz w:val="24"/>
          <w:szCs w:val="24"/>
          <w:highlight w:val="none"/>
        </w:rPr>
        <w:t xml:space="preserve">分）</w:t>
      </w:r>
      <w:r/>
    </w:p>
    <w:tbl>
      <w:tblPr>
        <w:tblStyle w:val="821"/>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7"/>
        <w:gridCol w:w="7499"/>
      </w:tblGrid>
      <w:tr>
        <w:trPr>
          <w:jc w:val="center"/>
          <w:trHeight w:val="621"/>
        </w:trPr>
        <w:tc>
          <w:tcPr>
            <w:tcW w:w="20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621"/>
        </w:trPr>
        <w:tc>
          <w:tcPr>
            <w:tcW w:w="20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99"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分，扣完为止；</w:t>
            </w:r>
            <w:r>
              <w:rPr>
                <w:rFonts w:hint="eastAsia" w:ascii="宋体" w:hAnsi="宋体" w:eastAsia="宋体" w:cs="宋体"/>
                <w:b/>
                <w:bCs w:val="0"/>
                <w:color w:val="auto"/>
                <w:sz w:val="24"/>
                <w:szCs w:val="24"/>
                <w:highlight w:val="none"/>
                <w:shd w:val="clear" w:color="auto" w:fill="auto"/>
                <w:lang w:val="zh-CN" w:eastAsia="zh-CN" w:bidi="ar-SA"/>
              </w:rPr>
              <w:t xml:space="preserve">其他参数和商务条款，有一项负偏离的扣1分，扣完为止。缺项漏项视为负偏离。</w:t>
            </w:r>
            <w:r>
              <w:rPr>
                <w:rFonts w:hint="eastAsia" w:ascii="宋体" w:hAnsi="宋体" w:eastAsia="宋体" w:cs="宋体"/>
                <w:b/>
                <w:bCs w:val="0"/>
                <w:color w:val="auto"/>
                <w:sz w:val="24"/>
                <w:szCs w:val="24"/>
                <w:highlight w:val="none"/>
              </w:rPr>
              <w:t xml:space="preserve">投标文件中提供详细的</w:t>
            </w:r>
            <w:r>
              <w:rPr>
                <w:rFonts w:hint="eastAsia" w:ascii="宋体" w:hAnsi="宋体" w:eastAsia="宋体" w:cs="宋体"/>
                <w:b/>
                <w:bCs w:val="0"/>
                <w:color w:val="auto"/>
                <w:sz w:val="24"/>
                <w:szCs w:val="24"/>
                <w:highlight w:val="none"/>
                <w:lang w:eastAsia="zh-CN"/>
              </w:rPr>
              <w:t xml:space="preserve">技术要求响应及偏离表</w:t>
            </w:r>
            <w:r>
              <w:rPr>
                <w:rFonts w:hint="eastAsia" w:ascii="宋体" w:hAnsi="宋体" w:eastAsia="宋体" w:cs="宋体"/>
                <w:b/>
                <w:bCs w:val="0"/>
                <w:color w:val="auto"/>
                <w:sz w:val="24"/>
                <w:szCs w:val="24"/>
                <w:highlight w:val="none"/>
                <w:lang w:val="en-US" w:eastAsia="zh-CN"/>
              </w:rPr>
              <w:t xml:space="preserve">及</w:t>
            </w:r>
            <w:r>
              <w:rPr>
                <w:rFonts w:hint="eastAsia" w:ascii="宋体" w:hAnsi="宋体" w:eastAsia="宋体" w:cs="宋体"/>
                <w:b/>
                <w:bCs w:val="0"/>
                <w:color w:val="auto"/>
                <w:sz w:val="24"/>
                <w:szCs w:val="24"/>
                <w:highlight w:val="none"/>
              </w:rPr>
              <w:t xml:space="preserve">相关证明材料，否则不得分。</w:t>
            </w:r>
            <w:r/>
          </w:p>
        </w:tc>
      </w:tr>
      <w:tr>
        <w:trPr>
          <w:jc w:val="center"/>
          <w:trHeight w:val="621"/>
        </w:trPr>
        <w:tc>
          <w:tcPr>
            <w:tcW w:w="20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产品维护</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（5分）</w:t>
            </w:r>
            <w:r/>
          </w:p>
        </w:tc>
        <w:tc>
          <w:tcPr>
            <w:tcW w:w="749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1、供应商能提供DNA实验室信息管理系统lims维护，全国公安机关DNA数据库应用系统原厂针对本项目的售后相关证明（承诺书）得2分。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2、供应商能提供ABI 3500XL基因分析仪原厂针对本项目的售后相关证明（承诺书）得3分。</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注：以上需提供承诺书原件彩色扫描件，加盖投标人公章，未提供的不得分。承诺如有虚假行为的，愿意无条件接受被取消中标资格，一切损失由投标人承担，同时愿意接受相关处罚</w:t>
            </w:r>
            <w:r>
              <w:rPr>
                <w:rFonts w:hint="eastAsia" w:ascii="宋体" w:hAnsi="宋体" w:eastAsia="宋体" w:cs="宋体"/>
                <w:b/>
                <w:bCs/>
                <w:color w:val="auto"/>
                <w:sz w:val="24"/>
                <w:szCs w:val="24"/>
                <w:highlight w:val="none"/>
                <w:lang w:eastAsia="zh-CN"/>
              </w:rPr>
              <w:t xml:space="preserve">。</w:t>
            </w:r>
            <w:r/>
          </w:p>
        </w:tc>
      </w:tr>
      <w:tr>
        <w:trPr>
          <w:jc w:val="center"/>
          <w:trHeight w:val="621"/>
        </w:trPr>
        <w:tc>
          <w:tcPr>
            <w:tcW w:w="209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49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年1月1日起至今，投标人具有DNA专业耗材供应类似项目业绩的，每有一个得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注：时间以合同签订日期为准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33</w:t>
      </w:r>
      <w:r>
        <w:rPr>
          <w:rFonts w:hint="eastAsia" w:ascii="宋体" w:hAnsi="宋体" w:eastAsia="宋体" w:cs="宋体"/>
          <w:b/>
          <w:color w:val="auto"/>
          <w:sz w:val="24"/>
          <w:szCs w:val="24"/>
          <w:highlight w:val="none"/>
        </w:rPr>
        <w:t xml:space="preserve">分）</w:t>
      </w:r>
      <w:r/>
    </w:p>
    <w:tbl>
      <w:tblPr>
        <w:tblStyle w:val="821"/>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7150"/>
      </w:tblGrid>
      <w:tr>
        <w:trPr>
          <w:jc w:val="center"/>
          <w:trHeight w:val="541"/>
        </w:trPr>
        <w:tc>
          <w:tcPr>
            <w:tcW w:w="233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150"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实施方案（10分）</w:t>
            </w:r>
            <w:r/>
          </w:p>
        </w:tc>
        <w:tc>
          <w:tcPr>
            <w:tcW w:w="7150" w:type="dxa"/>
            <w:vAlign w:val="center"/>
            <w:textDirection w:val="lrTb"/>
            <w:noWrap w:val="false"/>
          </w:tcPr>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评委根据供应商的项目实施方案，从</w:t>
            </w:r>
            <w:r>
              <w:rPr>
                <w:rFonts w:hint="eastAsia" w:ascii="宋体" w:hAnsi="宋体" w:cs="宋体"/>
                <w:color w:val="auto"/>
                <w:sz w:val="24"/>
                <w:szCs w:val="24"/>
                <w:highlight w:val="none"/>
                <w:lang w:val="en-US" w:eastAsia="zh-CN"/>
              </w:rPr>
              <w:t xml:space="preserve">制造工艺、</w:t>
            </w:r>
            <w:r>
              <w:rPr>
                <w:rFonts w:hint="eastAsia" w:ascii="宋体" w:hAnsi="宋体" w:cs="宋体"/>
                <w:color w:val="auto"/>
                <w:sz w:val="24"/>
                <w:szCs w:val="24"/>
                <w:highlight w:val="none"/>
              </w:rPr>
              <w:t xml:space="preserve">供货、</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rPr>
              <w:t xml:space="preserve">、验收等进行评审。</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实施方案全面完整、切合本项目实际、合理可行，内容详实、科学，考虑周全，措施到位，针对性强，完全能够满足需要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得10分；</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实施方案较为完整、较符合本项目实际、较合理，考虑较周全，措施较到位，针对性较强，较可以满足需要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得8分；</w:t>
            </w:r>
            <w:r/>
          </w:p>
          <w:p>
            <w:pPr>
              <w:pStyle w:val="86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实施方案基本完整、基本符合本项目实际、基本合理，基本考虑周全，措施基本到位，针对性一般，可以满足需要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得6分；</w:t>
            </w:r>
            <w:r/>
          </w:p>
          <w:p>
            <w:pPr>
              <w:pStyle w:val="864"/>
              <w:jc w:val="both"/>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实施方案不完整、不实用，合理性方面一般，基本考虑不周，措施不够到位，针对性不强，虽然能够基本满足需要，但需要进一步完善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得4分</w:t>
            </w:r>
            <w:r>
              <w:rPr>
                <w:rFonts w:hint="eastAsia" w:ascii="宋体" w:hAnsi="宋体" w:cs="宋体"/>
                <w:color w:val="auto"/>
                <w:sz w:val="24"/>
                <w:szCs w:val="24"/>
                <w:highlight w:val="none"/>
                <w:lang w:eastAsia="zh-CN"/>
              </w:rPr>
              <w:t xml:space="preserve">。</w:t>
            </w:r>
            <w:r/>
          </w:p>
          <w:p>
            <w:pPr>
              <w:pStyle w:val="864"/>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2332" w:type="dxa"/>
            <w:vAlign w:val="center"/>
            <w:textDirection w:val="lrTb"/>
            <w:noWrap w:val="false"/>
          </w:tcPr>
          <w:p>
            <w:pPr>
              <w:jc w:val="center"/>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仓储及</w:t>
            </w:r>
            <w:r>
              <w:rPr>
                <w:rFonts w:hint="eastAsia" w:ascii="宋体" w:hAnsi="宋体" w:cs="宋体"/>
                <w:color w:val="000000"/>
                <w:sz w:val="24"/>
                <w:szCs w:val="24"/>
                <w:highlight w:val="none"/>
              </w:rPr>
              <w:t xml:space="preserve">配送能力</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p>
        </w:tc>
        <w:tc>
          <w:tcPr>
            <w:tcW w:w="7150"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评委</w:t>
            </w: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配送保障物资投入、物资仓储能力及配送服务方案等配送能力进行评审</w:t>
            </w:r>
            <w:r>
              <w:rPr>
                <w:rFonts w:hint="eastAsia" w:ascii="宋体" w:hAnsi="宋体" w:cs="宋体"/>
                <w:color w:val="000000"/>
                <w:sz w:val="24"/>
                <w:szCs w:val="24"/>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计划内容全面具体，科学合理，可行性、可操作性强，措施完善</w:t>
            </w:r>
            <w:r>
              <w:rPr>
                <w:rFonts w:hint="eastAsia" w:ascii="宋体" w:hAnsi="宋体" w:eastAsia="宋体" w:cs="宋体"/>
                <w:color w:val="000000"/>
                <w:sz w:val="24"/>
                <w:szCs w:val="24"/>
                <w:highlight w:val="none"/>
                <w:lang w:val="en-US" w:eastAsia="zh-CN"/>
              </w:rPr>
              <w:t xml:space="preserve">的得8</w:t>
            </w:r>
            <w:r>
              <w:rPr>
                <w:rFonts w:hint="eastAsia" w:ascii="宋体" w:hAnsi="宋体" w:cs="宋体"/>
                <w:color w:val="000000"/>
                <w:sz w:val="24"/>
                <w:szCs w:val="24"/>
                <w:highlight w:val="none"/>
              </w:rPr>
              <w:t xml:space="preserve">分；</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计划内容具体，较科学合理，可行性、可操作性较强，措施较完善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000000"/>
                <w:sz w:val="24"/>
                <w:szCs w:val="24"/>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计划内容有缺失、可行性、可操作性较差</w:t>
            </w:r>
            <w:r>
              <w:rPr>
                <w:rFonts w:hint="eastAsia" w:ascii="宋体" w:hAnsi="宋体" w:cs="宋体"/>
                <w:color w:val="auto"/>
                <w:sz w:val="24"/>
                <w:szCs w:val="24"/>
                <w:highlight w:val="none"/>
                <w:lang w:val="en-US" w:eastAsia="zh-CN"/>
              </w:rPr>
              <w:t xml:space="preserve">的4</w:t>
            </w:r>
            <w:r>
              <w:rPr>
                <w:rFonts w:hint="eastAsia" w:ascii="宋体" w:hAnsi="宋体" w:cs="宋体"/>
                <w:color w:val="auto"/>
                <w:sz w:val="24"/>
                <w:szCs w:val="24"/>
                <w:highlight w:val="none"/>
              </w:rPr>
              <w:t xml:space="preserve">得</w:t>
            </w:r>
            <w:r>
              <w:rPr>
                <w:rFonts w:hint="eastAsia" w:ascii="宋体" w:hAnsi="宋体" w:cs="宋体"/>
                <w:color w:val="000000"/>
                <w:sz w:val="24"/>
                <w:szCs w:val="24"/>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计划内容极其不全面、可行性、可操作性差</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未提供不得分。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评委</w:t>
            </w:r>
            <w:r>
              <w:rPr>
                <w:rFonts w:hint="eastAsia" w:ascii="宋体" w:hAnsi="宋体" w:cs="宋体"/>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提供售后服务方案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方案较详细，售后服务计划较完善可行，服务承诺、服务队伍建设较规范，</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能满足项目要求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rPr>
                <w:rFonts w:hint="eastAsia"/>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能满足项目要求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64"/>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23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150"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评委</w:t>
            </w:r>
            <w:r>
              <w:rPr>
                <w:rFonts w:hint="eastAsia" w:ascii="宋体" w:hAnsi="宋体" w:cs="宋体"/>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制定应急保障措施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的得7分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的得5分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的得3分</w:t>
            </w:r>
            <w:r>
              <w:rPr>
                <w:rFonts w:hint="eastAsia" w:ascii="宋体" w:hAnsi="宋体" w:eastAsia="宋体" w:cs="宋体"/>
                <w:color w:val="auto"/>
                <w:sz w:val="24"/>
                <w:szCs w:val="24"/>
                <w:highlight w:val="none"/>
              </w:rPr>
              <w:t xml:space="preserve">。</w:t>
            </w:r>
            <w:r/>
          </w:p>
          <w:p>
            <w:pPr>
              <w:pStyle w:val="864"/>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rPr>
              <w:t xml:space="preserve">未提供不得分。</w:t>
            </w:r>
            <w:r/>
          </w:p>
        </w:tc>
      </w:tr>
    </w:tbl>
    <w:p>
      <w:pPr>
        <w:pStyle w:val="828"/>
        <w:ind w:left="0" w:firstLine="0"/>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828"/>
        <w:rPr>
          <w:rFonts w:hint="eastAsia" w:ascii="宋体" w:hAnsi="宋体" w:eastAsia="宋体" w:cs="宋体"/>
          <w:b w:val="0"/>
          <w:color w:val="auto"/>
          <w:highlight w:val="none"/>
        </w:rPr>
      </w:pPr>
      <w:r>
        <w:rPr>
          <w:rFonts w:hint="eastAsia" w:ascii="宋体" w:hAnsi="宋体" w:eastAsia="宋体" w:cs="宋体"/>
          <w:b w:val="0"/>
          <w:color w:val="auto"/>
          <w:highlight w:val="none"/>
        </w:rPr>
      </w:r>
      <w:bookmarkEnd w:id="13"/>
      <w:r/>
      <w:r/>
    </w:p>
    <w:p>
      <w:pPr>
        <w:jc w:val="center"/>
        <w:keepLines/>
        <w:keepNext/>
        <w:spacing w:before="340" w:after="330" w:line="360" w:lineRule="auto"/>
        <w:shd w:val="clear" w:color="auto" w:fill="auto"/>
        <w:widowControl w:val="off"/>
        <w:rPr>
          <w:rFonts w:hint="eastAsia"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4" w:name="_Toc165205799"/>
      <w:r/>
      <w:r/>
    </w:p>
    <w:p>
      <w:pPr>
        <w:pStyle w:val="829"/>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pStyle w:val="829"/>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pStyle w:val="829"/>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pStyle w:val="829"/>
        <w:rPr>
          <w:rFonts w:hint="eastAsia" w:ascii="黑体" w:hAnsi="黑体" w:eastAsia="黑体" w:cs="Times New Roman"/>
          <w:b w:val="0"/>
          <w:bCs/>
          <w:sz w:val="44"/>
          <w:szCs w:val="44"/>
          <w:highlight w:val="none"/>
          <w:shd w:val="clear" w:color="auto" w:fill="auto"/>
          <w:lang w:val="en-US" w:eastAsia="zh-CN" w:bidi="ar-SA"/>
        </w:rPr>
      </w:pPr>
      <w:r>
        <w:rPr>
          <w:rFonts w:hint="eastAsia" w:ascii="黑体" w:hAnsi="黑体" w:eastAsia="黑体" w:cs="Times New Roman"/>
          <w:b w:val="0"/>
          <w:bCs/>
          <w:sz w:val="44"/>
          <w:szCs w:val="44"/>
          <w:highlight w:val="none"/>
          <w:shd w:val="clear" w:color="auto" w:fill="auto"/>
          <w:lang w:val="en-US" w:eastAsia="zh-CN" w:bidi="ar-SA"/>
        </w:rPr>
      </w:r>
      <w:r/>
    </w:p>
    <w:p>
      <w:pPr>
        <w:jc w:val="center"/>
        <w:keepLines/>
        <w:keepNext/>
        <w:spacing w:before="340" w:after="330" w:line="360" w:lineRule="auto"/>
        <w:shd w:val="clear" w:color="auto" w:fill="auto"/>
        <w:widowControl w:val="off"/>
        <w:rPr>
          <w:rFonts w:hint="eastAsia"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rPr>
          <w:rFonts w:hint="eastAsia" w:ascii="黑体" w:hAnsi="黑体" w:eastAsia="黑体" w:cs="Times New Roman"/>
          <w:b w:val="0"/>
          <w:bCs/>
          <w:sz w:val="44"/>
          <w:szCs w:val="44"/>
          <w:highlight w:val="none"/>
          <w:shd w:val="clear" w:color="auto" w:fill="auto"/>
          <w:lang w:val="en-US" w:eastAsia="zh-CN" w:bidi="ar-SA"/>
        </w:rPr>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4"/>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四、具备履行合同所必需的设备和专业技术能力的声明及证明材料</w:t>
      </w:r>
      <w:r/>
    </w:p>
    <w:p>
      <w:pPr>
        <w:jc w:val="center"/>
        <w:spacing w:line="46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8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8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82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eastAsia="zh-CN"/>
        </w:rPr>
        <w:t xml:space="preserve">JSZC-320700-XHZX-G2026-0009</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十三、联合体协议（参考格式）（分包号：**）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iCs/>
          <w:sz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iCs/>
          <w:sz w:val="36"/>
          <w:highlight w:val="none"/>
          <w:u w:val="singl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8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8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82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rPr>
          <w:rFonts w:hint="eastAsia" w:ascii="宋体" w:hAnsi="宋体" w:eastAsia="宋体" w:cs="宋体"/>
          <w:b/>
          <w:iCs/>
          <w:color w:val="auto"/>
          <w:sz w:val="36"/>
          <w:highlight w:val="none"/>
        </w:rP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iCs/>
          <w:color w:val="auto"/>
          <w:sz w:val="36"/>
          <w:highlight w:val="none"/>
        </w:rPr>
        <w:br w:type="page" w:clear="all"/>
      </w:r>
      <w:r/>
    </w:p>
    <w:p>
      <w:pPr>
        <w:jc w:val="left"/>
        <w:keepLines/>
        <w:keepNext/>
        <w:spacing w:before="260" w:after="260" w:line="360" w:lineRule="auto"/>
        <w:rPr>
          <w:rFonts w:hint="eastAsia" w:ascii="宋体" w:hAnsi="宋体" w:eastAsia="宋体" w:cs="宋体"/>
          <w:b/>
          <w:color w:val="auto"/>
          <w:sz w:val="32"/>
          <w:szCs w:val="32"/>
          <w:highlight w:val="none"/>
        </w:rPr>
        <w:outlineLvl w:val="1"/>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江苏新时代工程项目管理有限公司</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lang w:eastAsia="zh-CN"/>
        </w:rPr>
        <w:t xml:space="preserve">JSZC-320700-XHZX-G2026-0009</w:t>
      </w:r>
      <w:r>
        <w:rPr>
          <w:rFonts w:hint="eastAsia" w:ascii="宋体" w:hAnsi="宋体" w:eastAsia="宋体" w:cs="宋体"/>
          <w:color w:val="auto"/>
          <w:sz w:val="24"/>
          <w:szCs w:val="21"/>
          <w:highlight w:val="none"/>
        </w:rPr>
        <w:t xml:space="preserve">_________________号招标文件，正式授权下述签字人___________(姓名)代表我方______________（投标人的名称），全权处理本次项目投标的有关事宜。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十一、中小企业声明函（</w:t>
      </w:r>
      <w:r>
        <w:rPr>
          <w:rFonts w:hint="eastAsia" w:ascii="宋体" w:hAnsi="宋体" w:eastAsia="宋体" w:cs="宋体"/>
          <w:b/>
          <w:color w:val="auto"/>
          <w:sz w:val="36"/>
          <w:highlight w:val="none"/>
          <w:lang w:val="en-US" w:eastAsia="zh-CN"/>
        </w:rPr>
        <w:t xml:space="preserve">货物</w:t>
      </w:r>
      <w:r>
        <w:rPr>
          <w:rFonts w:hint="eastAsia" w:ascii="宋体" w:hAnsi="宋体" w:eastAsia="宋体" w:cs="宋体"/>
          <w:b/>
          <w:color w:val="auto"/>
          <w:sz w:val="36"/>
          <w:highlight w:val="none"/>
        </w:rPr>
        <w:t xml:space="preserve">）</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（标段名称）</w:t>
      </w:r>
      <w:r>
        <w:rPr>
          <w:rFonts w:hint="eastAsia" w:ascii="宋体" w:hAnsi="宋体" w:cs="宋体"/>
          <w:color w:val="auto"/>
          <w:sz w:val="24"/>
          <w:highlight w:val="none"/>
        </w:rPr>
        <w:t xml:space="preserve">采购活动，提供的货物全部由符合政策要求的中小企业制造。相关企业的具体情况如下：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（货物名称）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（货物名称）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行业；制造商为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right="16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1"/>
          <w:highlight w:val="none"/>
        </w:rPr>
        <w:t xml:space="preserve">）采购活动由本单位提供全部服务。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十三、联合体协议（本项目不接受联合体）</w:t>
      </w:r>
      <w:r/>
    </w:p>
    <w:p>
      <w:pPr>
        <w:jc w:val="center"/>
        <w:spacing w:line="360" w:lineRule="auto"/>
        <w:tabs>
          <w:tab w:val="left" w:pos="360" w:leader="none"/>
        </w:tabs>
        <w:rPr>
          <w:rFonts w:hint="eastAsia" w:ascii="宋体" w:hAnsi="宋体" w:eastAsia="宋体" w:cs="宋体"/>
          <w:color w:val="auto"/>
          <w:sz w:val="24"/>
          <w:szCs w:val="21"/>
          <w:highlight w:val="none"/>
          <w:u w:val="single"/>
        </w:rPr>
      </w:pPr>
      <w:r>
        <w:rPr>
          <w:rFonts w:hint="eastAsia" w:ascii="宋体" w:hAnsi="宋体" w:eastAsia="宋体" w:cs="宋体"/>
          <w:bCs/>
          <w:color w:val="auto"/>
          <w:sz w:val="36"/>
          <w:szCs w:val="28"/>
          <w:highlight w:val="none"/>
        </w:rPr>
        <w:t xml:space="preserve">联合体协议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（联合体中各供应商全称）</w:t>
      </w:r>
      <w:r>
        <w:rPr>
          <w:rFonts w:hint="eastAsia" w:ascii="宋体" w:hAnsi="宋体" w:eastAsia="宋体" w:cs="宋体"/>
          <w:color w:val="auto"/>
          <w:sz w:val="24"/>
          <w:szCs w:val="21"/>
          <w:highlight w:val="none"/>
        </w:rPr>
        <w:t xml:space="preserve">在此达成以下协议：</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 xml:space="preserve">自愿组成联合体，参加</w:t>
      </w:r>
      <w:r>
        <w:rPr>
          <w:rFonts w:hint="eastAsia" w:ascii="宋体" w:hAnsi="宋体" w:eastAsia="宋体" w:cs="宋体"/>
          <w:color w:val="auto"/>
          <w:sz w:val="24"/>
          <w:szCs w:val="24"/>
          <w:highlight w:val="none"/>
          <w:lang w:eastAsia="zh-CN"/>
        </w:rPr>
        <w:t xml:space="preserve">江苏新时代工程项目管理有限公司</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的政府采购活动，我联合体指定</w:t>
      </w:r>
      <w:r>
        <w:rPr>
          <w:rFonts w:hint="eastAsia" w:ascii="宋体" w:hAnsi="宋体" w:eastAsia="宋体" w:cs="宋体"/>
          <w:color w:val="auto"/>
          <w:sz w:val="24"/>
          <w:szCs w:val="21"/>
          <w:highlight w:val="none"/>
          <w:u w:val="single"/>
        </w:rPr>
        <w:t xml:space="preserve">（供应商*）</w:t>
      </w:r>
      <w:r>
        <w:rPr>
          <w:rFonts w:hint="eastAsia" w:ascii="宋体" w:hAnsi="宋体" w:eastAsia="宋体" w:cs="宋体"/>
          <w:color w:val="auto"/>
          <w:sz w:val="24"/>
          <w:szCs w:val="21"/>
          <w:highlight w:val="none"/>
        </w:rPr>
        <w:t xml:space="preserve">为牵头单位（牵头单位必须为联合体成员）。</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2、若我们联合中标、成交，</w:t>
      </w:r>
      <w:r>
        <w:rPr>
          <w:rFonts w:hint="eastAsia" w:ascii="宋体" w:hAnsi="宋体" w:eastAsia="宋体" w:cs="宋体"/>
          <w:color w:val="auto"/>
          <w:sz w:val="24"/>
          <w:szCs w:val="21"/>
          <w:highlight w:val="none"/>
          <w:u w:val="single"/>
        </w:rPr>
        <w:t xml:space="preserve">（供应商单位1全称）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w:t>
      </w:r>
      <w:r>
        <w:rPr>
          <w:rFonts w:hint="eastAsia" w:ascii="宋体" w:hAnsi="宋体" w:eastAsia="宋体" w:cs="宋体"/>
          <w:color w:val="auto"/>
          <w:sz w:val="24"/>
          <w:szCs w:val="21"/>
          <w:highlight w:val="none"/>
          <w:u w:val="single"/>
        </w:rPr>
        <w:t xml:space="preserve">（供应商单位2全称）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部分工作，并承担相应的责任……。（注：联合体中各供应商都应明示所承担的工作和相应的责任）。</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供应商1全称（公章）：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供应商2全称（公章）：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备注：本招标文件中要求加盖公章的地方，仅需加盖牵头单位的公章。</w:t>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十四、投标分项报价表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821"/>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项号</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货物（标的）名称</w:t>
            </w:r>
            <w:r/>
          </w:p>
        </w:tc>
        <w:tc>
          <w:tcPr>
            <w:tcW w:w="709"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品牌</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规格型号</w:t>
            </w:r>
            <w:r/>
          </w:p>
        </w:tc>
        <w:tc>
          <w:tcPr>
            <w:tcW w:w="850"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制造商</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制造商企业类型</w:t>
            </w:r>
            <w:r/>
          </w:p>
        </w:tc>
        <w:tc>
          <w:tcPr>
            <w:tcW w:w="709"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单价</w:t>
            </w:r>
            <w:r/>
          </w:p>
        </w:tc>
        <w:tc>
          <w:tcPr>
            <w:tcW w:w="113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采购数量</w:t>
            </w:r>
            <w:r/>
          </w:p>
        </w:tc>
        <w:tc>
          <w:tcPr>
            <w:tcW w:w="1094"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计量单位</w:t>
            </w:r>
            <w:r/>
          </w:p>
        </w:tc>
        <w:tc>
          <w:tcPr>
            <w:tcW w:w="1047" w:type="dxa"/>
            <w:vAlign w:val="center"/>
            <w:textDirection w:val="lrTb"/>
            <w:noWrap w:val="false"/>
          </w:tcPr>
          <w:p>
            <w:pPr>
              <w:jc w:val="center"/>
              <w:spacing w:line="360" w:lineRule="auto"/>
              <w:widowControl/>
              <w:rPr>
                <w:rFonts w:ascii="宋体" w:hAnsi="宋体" w:cs="宋体"/>
                <w:bCs/>
                <w:color w:val="auto"/>
                <w:highlight w:val="none"/>
              </w:rPr>
            </w:pPr>
            <w:r>
              <w:rPr>
                <w:rFonts w:hint="eastAsia" w:ascii="宋体" w:hAnsi="宋体" w:cs="宋体"/>
                <w:bCs/>
                <w:color w:val="auto"/>
                <w:highlight w:val="none"/>
              </w:rPr>
              <w:t xml:space="preserve">总价</w:t>
            </w:r>
            <w:r/>
          </w:p>
        </w:tc>
      </w:tr>
      <w:tr>
        <w:trPr>
          <w:jc w:val="center"/>
          <w:trHeight w:val="581"/>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48"/>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51"/>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47"/>
        </w:trPr>
        <w:tc>
          <w:tcPr>
            <w:tcW w:w="726"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r>
        <w:trPr>
          <w:jc w:val="center"/>
          <w:trHeight w:val="567"/>
        </w:trPr>
        <w:tc>
          <w:tcPr>
            <w:tcW w:w="726" w:type="dxa"/>
            <w:vAlign w:val="center"/>
            <w:textDirection w:val="lrTb"/>
            <w:noWrap w:val="false"/>
          </w:tcPr>
          <w:p>
            <w:pPr>
              <w:spacing w:line="360" w:lineRule="auto"/>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1134" w:type="dxa"/>
            <w:vAlign w:val="center"/>
            <w:textDirection w:val="lrTb"/>
            <w:noWrap w:val="false"/>
          </w:tcPr>
          <w:p>
            <w:pPr>
              <w:spacing w:line="360" w:lineRule="auto"/>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850"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709"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13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94"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c>
          <w:tcPr>
            <w:tcW w:w="1047" w:type="dxa"/>
            <w:vAlign w:val="center"/>
            <w:textDirection w:val="lrTb"/>
            <w:noWrap w:val="false"/>
          </w:tcPr>
          <w:p>
            <w:pPr>
              <w:spacing w:line="360" w:lineRule="auto"/>
              <w:widowControl/>
              <w:rPr>
                <w:rFonts w:ascii="宋体" w:hAnsi="宋体" w:cs="宋体"/>
                <w:color w:val="auto"/>
                <w:highlight w:val="none"/>
              </w:rPr>
            </w:pPr>
            <w:r>
              <w:rPr>
                <w:rFonts w:ascii="宋体" w:hAnsi="宋体" w:cs="宋体"/>
                <w:color w:val="auto"/>
                <w:highlight w:val="none"/>
              </w:rPr>
            </w:r>
            <w:r/>
          </w:p>
        </w:tc>
      </w:tr>
    </w:tbl>
    <w:p>
      <w:pPr>
        <w:pStyle w:val="869"/>
        <w:ind w:firstLine="480"/>
        <w:rPr>
          <w:rFonts w:ascii="宋体" w:hAnsi="宋体" w:eastAsia="宋体" w:cs="宋体"/>
          <w:color w:val="auto"/>
          <w:highlight w:val="none"/>
        </w:rPr>
      </w:pPr>
      <w:r>
        <w:rPr>
          <w:rFonts w:ascii="宋体" w:hAnsi="宋体" w:eastAsia="宋体" w:cs="宋体"/>
          <w:color w:val="auto"/>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pStyle w:val="832"/>
        <w:ind w:firstLine="420"/>
        <w:spacing w:line="360" w:lineRule="auto"/>
        <w:rPr>
          <w:rFonts w:hAnsi="宋体" w:cs="宋体"/>
          <w:color w:val="auto"/>
          <w:szCs w:val="28"/>
          <w:highlight w:val="none"/>
        </w:rPr>
      </w:pPr>
      <w:r>
        <w:rPr>
          <w:rFonts w:hint="eastAsia" w:ascii="宋体" w:hAnsi="宋体" w:cs="宋体"/>
          <w:b/>
          <w:bCs/>
          <w:color w:val="auto"/>
          <w:szCs w:val="21"/>
          <w:highlight w:val="none"/>
        </w:rPr>
        <w:t xml:space="preserve"> </w:t>
      </w:r>
      <w:r>
        <w:rPr>
          <w:rFonts w:hint="eastAsia" w:hAnsi="宋体" w:cs="宋体"/>
          <w:color w:val="auto"/>
          <w:szCs w:val="28"/>
          <w:highlight w:val="none"/>
        </w:rPr>
        <w:t xml:space="preserve">填报说明：</w:t>
      </w:r>
      <w:r/>
    </w:p>
    <w:p>
      <w:pPr>
        <w:pStyle w:val="832"/>
        <w:ind w:firstLine="420"/>
        <w:spacing w:line="360" w:lineRule="auto"/>
        <w:rPr>
          <w:rFonts w:hAnsi="宋体" w:cs="宋体"/>
          <w:color w:val="auto"/>
          <w:szCs w:val="28"/>
          <w:highlight w:val="none"/>
        </w:rPr>
      </w:pPr>
      <w:r>
        <w:rPr>
          <w:rFonts w:hint="eastAsia" w:hAnsi="宋体" w:cs="宋体"/>
          <w:color w:val="auto"/>
          <w:szCs w:val="28"/>
          <w:highlight w:val="none"/>
        </w:rPr>
        <w:t xml:space="preserve">1、“制造商企业类型”栏填写内容为“大型”“中型”“小型”“微型”“监狱企业”或“残疾人福利性单位”。</w:t>
      </w:r>
      <w:r/>
    </w:p>
    <w:p>
      <w:pPr>
        <w:pStyle w:val="832"/>
        <w:ind w:firstLine="420"/>
        <w:spacing w:line="360" w:lineRule="auto"/>
        <w:rPr>
          <w:rFonts w:hAnsi="宋体" w:cs="宋体"/>
          <w:color w:val="auto"/>
          <w:szCs w:val="28"/>
          <w:highlight w:val="none"/>
        </w:rPr>
      </w:pPr>
      <w:r>
        <w:rPr>
          <w:rFonts w:hint="eastAsia" w:hAnsi="宋体" w:cs="宋体"/>
          <w:color w:val="auto"/>
          <w:szCs w:val="28"/>
          <w:highlight w:val="none"/>
        </w:rPr>
        <w:t xml:space="preserve">2、以上总价包含货物费用、运杂费、安装施工费、集成费、税金和其他费用。</w:t>
      </w:r>
      <w:r/>
    </w:p>
    <w:p>
      <w:pPr>
        <w:pStyle w:val="832"/>
        <w:ind w:firstLine="420"/>
        <w:spacing w:line="360" w:lineRule="auto"/>
        <w:rPr>
          <w:rFonts w:hAnsi="宋体" w:cs="宋体"/>
          <w:color w:val="auto"/>
          <w:szCs w:val="28"/>
          <w:highlight w:val="none"/>
        </w:rPr>
      </w:pPr>
      <w:r>
        <w:rPr>
          <w:rFonts w:hint="eastAsia" w:hAnsi="宋体" w:cs="宋体"/>
          <w:color w:val="auto"/>
          <w:szCs w:val="28"/>
          <w:highlight w:val="none"/>
          <w:lang w:val="en-US" w:eastAsia="zh-CN"/>
        </w:rPr>
        <w:t xml:space="preserve">3</w:t>
      </w:r>
      <w:r>
        <w:rPr>
          <w:rFonts w:hint="eastAsia" w:hAnsi="宋体" w:cs="宋体"/>
          <w:color w:val="auto"/>
          <w:szCs w:val="28"/>
          <w:highlight w:val="none"/>
        </w:rPr>
        <w:t xml:space="preserve">、请</w:t>
      </w:r>
      <w:r>
        <w:rPr>
          <w:rFonts w:hint="eastAsia" w:hAnsi="宋体" w:cs="宋体"/>
          <w:color w:val="auto"/>
          <w:szCs w:val="28"/>
          <w:highlight w:val="none"/>
          <w:lang w:val="en-US" w:eastAsia="zh-CN"/>
        </w:rPr>
        <w:t xml:space="preserve">投标人</w:t>
      </w:r>
      <w:r>
        <w:rPr>
          <w:rFonts w:hint="eastAsia" w:hAnsi="宋体" w:cs="宋体"/>
          <w:color w:val="auto"/>
          <w:szCs w:val="28"/>
          <w:highlight w:val="none"/>
        </w:rPr>
        <w:t xml:space="preserve">如实、正确填写本表，所填内容将作为评审的依据，其内容应与对应的证明资料相符。</w:t>
      </w:r>
      <w:r/>
    </w:p>
    <w:p>
      <w:pPr>
        <w:pStyle w:val="832"/>
        <w:ind w:firstLine="420"/>
        <w:spacing w:line="360" w:lineRule="auto"/>
        <w:rPr>
          <w:rFonts w:hAnsi="宋体" w:cs="宋体"/>
          <w:color w:val="auto"/>
          <w:szCs w:val="28"/>
          <w:highlight w:val="none"/>
        </w:rPr>
      </w:pPr>
      <w:r>
        <w:rPr>
          <w:rFonts w:hint="eastAsia" w:hAnsi="宋体" w:cs="宋体"/>
          <w:color w:val="auto"/>
          <w:szCs w:val="28"/>
          <w:highlight w:val="none"/>
          <w:lang w:val="en-US" w:eastAsia="zh-CN"/>
        </w:rPr>
        <w:t xml:space="preserve">4</w:t>
      </w:r>
      <w:r>
        <w:rPr>
          <w:rFonts w:hint="eastAsia" w:hAnsi="宋体" w:cs="宋体"/>
          <w:color w:val="auto"/>
          <w:szCs w:val="28"/>
          <w:highlight w:val="none"/>
        </w:rPr>
        <w:t xml:space="preserve">、行数或事项不够，可自行增加。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十五、技术要求响应及偏离表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p>
    <w:tbl>
      <w:tblPr>
        <w:tblStyle w:val="82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请按所投产品的实际技术参数，逐条对应</w:t>
      </w:r>
      <w:r>
        <w:rPr>
          <w:rFonts w:hint="eastAsia" w:ascii="宋体" w:hAnsi="宋体" w:eastAsia="宋体" w:cs="宋体"/>
          <w:color w:val="auto"/>
          <w:sz w:val="24"/>
          <w:szCs w:val="22"/>
          <w:highlight w:val="none"/>
          <w:lang w:val="en-US" w:eastAsia="zh-CN"/>
        </w:rPr>
        <w:t xml:space="preserve">招标</w:t>
      </w:r>
      <w:r>
        <w:rPr>
          <w:rFonts w:hint="eastAsia" w:ascii="宋体" w:hAnsi="宋体" w:cs="宋体"/>
          <w:color w:val="auto"/>
          <w:sz w:val="24"/>
          <w:szCs w:val="22"/>
          <w:highlight w:val="none"/>
        </w:rPr>
        <w:t xml:space="preserve">文件“</w:t>
      </w:r>
      <w:r>
        <w:rPr>
          <w:rFonts w:hint="eastAsia" w:ascii="宋体" w:hAnsi="宋体" w:eastAsia="宋体" w:cs="宋体"/>
          <w:color w:val="auto"/>
          <w:sz w:val="24"/>
          <w:szCs w:val="22"/>
          <w:highlight w:val="none"/>
          <w:lang w:val="en-US" w:eastAsia="zh-CN"/>
        </w:rPr>
        <w:t xml:space="preserve">采购</w:t>
      </w:r>
      <w:r>
        <w:rPr>
          <w:rFonts w:hint="eastAsia" w:ascii="宋体" w:hAnsi="宋体" w:cs="宋体"/>
          <w:color w:val="auto"/>
          <w:sz w:val="24"/>
          <w:szCs w:val="22"/>
          <w:highlight w:val="none"/>
        </w:rPr>
        <w:t xml:space="preserve">需求”中要求的技术规范填写该表，该表不能作为所投产品的技术文件，投标人应在投标文件中单独提供技术文件。</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bookmarkStart w:id="15" w:name="_Hlt26955054"/>
      <w:r/>
      <w:bookmarkEnd w:id="15"/>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十六、商务要求响应及偏离表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82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6" w:name="_Hlt26671372"/>
            <w:r/>
            <w:bookmarkEnd w:id="16"/>
            <w:r/>
            <w:bookmarkStart w:id="17" w:name="_Hlt24879081"/>
            <w:r/>
            <w:bookmarkEnd w:id="17"/>
            <w:r/>
            <w:bookmarkStart w:id="18" w:name="_Hlt26671343"/>
            <w:r/>
            <w:bookmarkEnd w:id="18"/>
            <w:r/>
            <w:bookmarkStart w:id="19" w:name="_Hlt26609391"/>
            <w:r/>
            <w:bookmarkEnd w:id="19"/>
            <w:r/>
            <w:bookmarkStart w:id="20" w:name="_Hlt26580838"/>
            <w:r/>
            <w:bookmarkEnd w:id="20"/>
            <w:r/>
            <w:bookmarkStart w:id="21" w:name="_Hlt26782999"/>
            <w:r/>
            <w:bookmarkEnd w:id="21"/>
            <w:r/>
            <w:bookmarkStart w:id="22" w:name="_Hlt26955064"/>
            <w:r/>
            <w:bookmarkEnd w:id="22"/>
            <w:r/>
            <w:bookmarkStart w:id="23" w:name="_Hlt26955056"/>
            <w:r/>
            <w:bookmarkEnd w:id="23"/>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0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1"/>
        <w:jc w:val="both"/>
        <w:keepLines/>
        <w:keepNext/>
        <w:spacing w:before="20" w:after="2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注：填写“第四章  采购需求”中斜体下划线条款。</w:t>
      </w:r>
      <w:r/>
    </w:p>
    <w:p>
      <w:pPr>
        <w:rPr>
          <w:rFonts w:hint="default"/>
          <w:highlight w:val="none"/>
          <w:lang w:val="en-US" w:eastAsia="zh-CN"/>
        </w:rPr>
      </w:pPr>
      <w:r>
        <w:rPr>
          <w:rFonts w:hint="default"/>
          <w:highlight w:val="none"/>
          <w:lang w:val="en-US" w:eastAsia="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bookmarkStart w:id="24" w:name="_格式2__法定代表人授权书"/>
      <w:r/>
      <w:bookmarkEnd w:id="24"/>
      <w:r/>
      <w:bookmarkStart w:id="25" w:name="_Hlt26609389"/>
      <w:r/>
      <w:bookmarkEnd w:id="25"/>
      <w:r/>
      <w:bookmarkStart w:id="26" w:name="_Hlt26955066"/>
      <w:r/>
      <w:bookmarkEnd w:id="26"/>
      <w:r/>
      <w:bookmarkStart w:id="27" w:name="_Hlt26671374"/>
      <w:r/>
      <w:bookmarkEnd w:id="27"/>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十七、类似项目业绩一览表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821"/>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8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spacing w:line="360" w:lineRule="auto"/>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821"/>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本项目拟担任职务</w:t>
            </w:r>
            <w:r/>
          </w:p>
        </w:tc>
        <w:tc>
          <w:tcPr>
            <w:tcW w:w="198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技术职称、专业资质</w:t>
            </w:r>
            <w:r/>
          </w:p>
        </w:tc>
        <w:tc>
          <w:tcPr>
            <w:tcW w:w="15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根据项目需求、评分办法确定一览表格式</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152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0"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注：表格格式不为固定格式，请各投标人根据招标文件具体内容自行编制。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十九、开标一览表</w:t>
      </w:r>
      <w:r/>
    </w:p>
    <w:p>
      <w:pPr>
        <w:ind w:firstLine="480"/>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投标人全称（CA公章）：</w:t>
      </w:r>
      <w:r/>
    </w:p>
    <w:p>
      <w:pPr>
        <w:ind w:firstLine="480"/>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项目名称：</w:t>
      </w:r>
      <w:r/>
    </w:p>
    <w:p>
      <w:pPr>
        <w:ind w:firstLine="480"/>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项目编号：                                   分包号：</w:t>
      </w:r>
      <w:r/>
    </w:p>
    <w:tbl>
      <w:tblPr>
        <w:tblStyle w:val="849"/>
        <w:tblW w:w="9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46"/>
        <w:gridCol w:w="6606"/>
      </w:tblGrid>
      <w:tr>
        <w:trPr/>
        <w:tc>
          <w:tcPr>
            <w:tcW w:w="324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投标货物名称</w:t>
            </w:r>
            <w:r/>
          </w:p>
        </w:tc>
        <w:tc>
          <w:tcPr>
            <w:tcW w:w="660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总价（小写）</w:t>
            </w:r>
            <w:r/>
          </w:p>
        </w:tc>
      </w:tr>
      <w:tr>
        <w:trPr/>
        <w:tc>
          <w:tcPr>
            <w:tcW w:w="324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ascii="宋体" w:hAnsi="宋体" w:eastAsia="宋体" w:cs="Times New Roman"/>
                <w:iCs/>
                <w:color w:val="auto"/>
                <w:sz w:val="24"/>
                <w:szCs w:val="24"/>
                <w:highlight w:val="none"/>
              </w:rPr>
            </w:r>
            <w:r/>
          </w:p>
        </w:tc>
        <w:tc>
          <w:tcPr>
            <w:tcW w:w="660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元</w:t>
            </w:r>
            <w:r/>
          </w:p>
        </w:tc>
      </w:tr>
      <w:tr>
        <w:trPr/>
        <w:tc>
          <w:tcPr>
            <w:tcW w:w="324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hint="eastAsia" w:ascii="宋体" w:hAnsi="宋体" w:eastAsia="宋体" w:cs="Times New Roman"/>
                <w:iCs/>
                <w:color w:val="auto"/>
                <w:sz w:val="24"/>
                <w:szCs w:val="24"/>
                <w:highlight w:val="none"/>
              </w:rPr>
              <w:t xml:space="preserve">核心产品</w:t>
            </w:r>
            <w:r/>
          </w:p>
        </w:tc>
        <w:tc>
          <w:tcPr>
            <w:tcW w:w="6606" w:type="dxa"/>
            <w:vAlign w:val="top"/>
            <w:textDirection w:val="lrTb"/>
            <w:noWrap w:val="false"/>
          </w:tcPr>
          <w:p>
            <w:pPr>
              <w:jc w:val="center"/>
              <w:spacing w:line="500" w:lineRule="exact"/>
              <w:rPr>
                <w:rFonts w:ascii="宋体" w:hAnsi="宋体" w:eastAsia="宋体" w:cs="Times New Roman"/>
                <w:iCs/>
                <w:color w:val="auto"/>
                <w:sz w:val="24"/>
                <w:szCs w:val="24"/>
                <w:highlight w:val="none"/>
              </w:rPr>
            </w:pPr>
            <w:r>
              <w:rPr>
                <w:rFonts w:ascii="宋体" w:hAnsi="宋体" w:eastAsia="宋体" w:cs="Times New Roman"/>
                <w:iCs/>
                <w:color w:val="auto"/>
                <w:sz w:val="24"/>
                <w:szCs w:val="24"/>
                <w:highlight w:val="none"/>
              </w:rPr>
            </w:r>
            <w:r/>
          </w:p>
        </w:tc>
      </w:tr>
    </w:tbl>
    <w:p>
      <w:pPr>
        <w:ind w:firstLine="480"/>
        <w:jc w:val="right"/>
        <w:spacing w:line="500" w:lineRule="exact"/>
        <w:rPr>
          <w:rFonts w:ascii="Times New Roman" w:hAnsi="Times New Roman" w:eastAsia="宋体" w:cs="Times New Roman"/>
          <w:iCs/>
          <w:color w:val="auto"/>
          <w:sz w:val="24"/>
          <w:szCs w:val="24"/>
          <w:highlight w:val="none"/>
        </w:rPr>
      </w:pPr>
      <w:r>
        <w:rPr>
          <w:rFonts w:hint="eastAsia" w:ascii="Times New Roman" w:hAnsi="Times New Roman" w:eastAsia="宋体" w:cs="Times New Roman"/>
          <w:iCs/>
          <w:color w:val="auto"/>
          <w:sz w:val="24"/>
          <w:szCs w:val="24"/>
          <w:highlight w:val="none"/>
        </w:rPr>
        <w:t xml:space="preserve">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汉仪书宋二S">
    <w:panose1 w:val="020B0503020202020204"/>
  </w:font>
  <w:font w:name="华文中宋">
    <w:panose1 w:val="02010600040101010101"/>
  </w:font>
  <w:font w:name="仿宋_GB2312">
    <w:panose1 w:val="02010609060101010101"/>
  </w:font>
  <w:font w:name="仿宋">
    <w:panose1 w:val="02010609060101010101"/>
  </w:font>
  <w:font w:name="Segoe UI">
    <w:panose1 w:val="020B0502040204020203"/>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
  </w:p>
  <w:p>
    <w:pPr>
      <w:pStyle w:val="8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rPr>
        <w:rFonts w:hint="default" w:ascii="Calibri" w:hAnsi="Calibri" w:eastAsia="Arial" w:cs="Arial"/>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69573" cy="401294"/>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669572" cy="401293"/>
                      </a:xfrm>
                      <a:prstGeom prst="rect">
                        <a:avLst/>
                      </a:prstGeom>
                      <a:noFill/>
                      <a:ln>
                        <a:noFill/>
                      </a:ln>
                    </wps:spPr>
                    <wps:txbx>
                      <w:txbxContent>
                        <w:p>
                          <w:pPr>
                            <w:pStyle w:val="837"/>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2.7pt;height:31.6pt;mso-wrap-distance-left:9.0pt;mso-wrap-distance-top:0.0pt;mso-wrap-distance-right:9.0pt;mso-wrap-distance-bottom:0.0pt;visibility:visible;" filled="f" stroked="f">
              <v:textbox inset="0,0,0,0">
                <w:txbxContent>
                  <w:p>
                    <w:pPr>
                      <w:pStyle w:val="837"/>
                      <w:jc w:val="center"/>
                    </w:pPr>
                    <w:r>
                      <w:fldChar w:fldCharType="begin"/>
                    </w:r>
                    <w:r>
                      <w:instrText xml:space="preserve"> PAGE   \* MERGEFORMAT </w:instrText>
                    </w:r>
                    <w:r>
                      <w:fldChar w:fldCharType="separate"/>
                    </w:r>
                    <w:r>
                      <w:rPr>
                        <w:lang w:val="zh-CN"/>
                      </w:rPr>
                      <w:t xml:space="preserve">65</w:t>
                    </w:r>
                    <w:r>
                      <w:rPr>
                        <w:lang w:val="zh-CN"/>
                      </w:rPr>
                      <w:fldChar w:fldCharType="end"/>
                    </w:r>
                    <w:r/>
                  </w:p>
                </w:txbxContent>
              </v:textbox>
            </v:shape>
          </w:pict>
        </mc:Fallback>
      </mc:AlternateContent>
    </w:r>
    <w:r/>
  </w:p>
  <w:p>
    <w:pPr>
      <w:pStyle w:val="8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6850" cy="2438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Bdr>
        <w:bottom w:val="none" w:color="auto" w:sz="0" w:space="1"/>
      </w:pBdr>
    </w:pPr>
    <w:r/>
    <w:r/>
  </w:p>
  <w:p>
    <w:pPr>
      <w:pStyle w:val="83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7"/>
  </w:num>
  <w:num w:numId="4">
    <w:abstractNumId w:val="4"/>
  </w:num>
  <w:num w:numId="5">
    <w:abstractNumId w:val="2"/>
  </w:num>
  <w:num w:numId="6">
    <w:abstractNumId w:val="9"/>
  </w:num>
  <w:num w:numId="7">
    <w:abstractNumId w:val="12"/>
  </w:num>
  <w:num w:numId="8">
    <w:abstractNumId w:val="10"/>
  </w:num>
  <w:num w:numId="9">
    <w:abstractNumId w:val="18"/>
  </w:num>
  <w:num w:numId="10">
    <w:abstractNumId w:val="3"/>
  </w:num>
  <w:num w:numId="11">
    <w:abstractNumId w:val="16"/>
  </w:num>
  <w:num w:numId="12">
    <w:abstractNumId w:val="6"/>
  </w:num>
  <w:num w:numId="13">
    <w:abstractNumId w:val="11"/>
  </w:num>
  <w:num w:numId="14">
    <w:abstractNumId w:val="19"/>
  </w:num>
  <w:num w:numId="15">
    <w:abstractNumId w:val="15"/>
  </w:num>
  <w:num w:numId="16">
    <w:abstractNumId w:val="13"/>
  </w:num>
  <w:num w:numId="17">
    <w:abstractNumId w:val="14"/>
  </w:num>
  <w:num w:numId="18">
    <w:abstractNumId w:val="7"/>
  </w:num>
  <w:num w:numId="19">
    <w:abstractNumId w:val="1"/>
  </w:num>
  <w:num w:numId="20">
    <w:abstractNumId w:val="0"/>
  </w:num>
  <w:num w:numId="21">
    <w:abstractNumId w:val="22"/>
  </w:num>
  <w:num w:numId="22">
    <w:abstractNumId w:val="2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811">
    <w:name w:val="Heading 1"/>
    <w:basedOn w:val="810"/>
    <w:next w:val="810"/>
    <w:link w:val="893"/>
    <w:uiPriority w:val="0"/>
    <w:qFormat/>
    <w:pPr>
      <w:keepLines/>
      <w:keepNext/>
      <w:spacing w:before="340" w:after="330" w:line="578" w:lineRule="auto"/>
      <w:outlineLvl w:val="0"/>
    </w:pPr>
    <w:rPr>
      <w:b/>
      <w:bCs/>
      <w:sz w:val="44"/>
      <w:szCs w:val="44"/>
    </w:rPr>
  </w:style>
  <w:style w:type="paragraph" w:styleId="812">
    <w:name w:val="Heading 2"/>
    <w:basedOn w:val="810"/>
    <w:next w:val="810"/>
    <w:link w:val="895"/>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813">
    <w:name w:val="Heading 3"/>
    <w:basedOn w:val="810"/>
    <w:next w:val="810"/>
    <w:link w:val="896"/>
    <w:uiPriority w:val="9"/>
    <w:unhideWhenUsed/>
    <w:qFormat/>
    <w:pPr>
      <w:keepLines/>
      <w:keepNext/>
      <w:spacing w:before="260" w:after="260" w:line="416" w:lineRule="auto"/>
      <w:outlineLvl w:val="2"/>
    </w:pPr>
    <w:rPr>
      <w:b/>
      <w:bCs/>
      <w:sz w:val="32"/>
      <w:szCs w:val="32"/>
    </w:rPr>
  </w:style>
  <w:style w:type="paragraph" w:styleId="814">
    <w:name w:val="Heading 4"/>
    <w:basedOn w:val="810"/>
    <w:next w:val="810"/>
    <w:link w:val="876"/>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77"/>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78"/>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80"/>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81"/>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unhideWhenUsed/>
    <w:qFormat/>
  </w:style>
  <w:style w:type="table" w:styleId="821" w:default="1">
    <w:name w:val="Normal Table"/>
    <w:uiPriority w:val="99"/>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Normal Indent"/>
    <w:basedOn w:val="810"/>
    <w:uiPriority w:val="99"/>
    <w:qFormat/>
    <w:pPr>
      <w:ind w:firstLine="420"/>
    </w:pPr>
    <w:rPr>
      <w:rFonts w:eastAsia="Times New Roman"/>
      <w:sz w:val="24"/>
      <w:szCs w:val="20"/>
    </w:rPr>
  </w:style>
  <w:style w:type="paragraph" w:styleId="824">
    <w:name w:val="Caption"/>
    <w:basedOn w:val="810"/>
    <w:next w:val="810"/>
    <w:uiPriority w:val="35"/>
    <w:unhideWhenUsed/>
    <w:qFormat/>
    <w:pPr>
      <w:spacing w:line="276" w:lineRule="auto"/>
    </w:pPr>
    <w:rPr>
      <w:b/>
      <w:bCs/>
      <w:color w:val="4f81bd"/>
      <w:sz w:val="18"/>
      <w:szCs w:val="18"/>
    </w:rPr>
  </w:style>
  <w:style w:type="paragraph" w:styleId="825">
    <w:name w:val="Document Map"/>
    <w:basedOn w:val="810"/>
    <w:link w:val="894"/>
    <w:uiPriority w:val="0"/>
    <w:unhideWhenUsed/>
    <w:qFormat/>
    <w:rPr>
      <w:rFonts w:ascii="宋体" w:eastAsia="宋体"/>
      <w:sz w:val="18"/>
      <w:szCs w:val="18"/>
    </w:rPr>
  </w:style>
  <w:style w:type="paragraph" w:styleId="826">
    <w:name w:val="annotation text"/>
    <w:basedOn w:val="810"/>
    <w:link w:val="898"/>
    <w:uiPriority w:val="0"/>
    <w:qFormat/>
    <w:pPr>
      <w:ind w:firstLine="922"/>
      <w:jc w:val="left"/>
      <w:spacing w:line="360" w:lineRule="auto"/>
    </w:pPr>
    <w:rPr>
      <w:rFonts w:ascii="Times New Roman" w:hAnsi="Times New Roman" w:eastAsia="宋体" w:cs="Times New Roman"/>
      <w:szCs w:val="24"/>
    </w:rPr>
  </w:style>
  <w:style w:type="paragraph" w:styleId="827">
    <w:name w:val="Body Text"/>
    <w:basedOn w:val="810"/>
    <w:next w:val="810"/>
    <w:link w:val="902"/>
    <w:uiPriority w:val="0"/>
    <w:semiHidden/>
    <w:qFormat/>
    <w:rPr>
      <w:rFonts w:ascii="Arial" w:hAnsi="Arial" w:eastAsia="Arial" w:cs="Arial"/>
      <w:szCs w:val="21"/>
      <w:lang w:eastAsia="en-US"/>
    </w:rPr>
  </w:style>
  <w:style w:type="paragraph" w:styleId="828">
    <w:name w:val="Body Text Indent"/>
    <w:basedOn w:val="810"/>
    <w:next w:val="829"/>
    <w:uiPriority w:val="99"/>
    <w:qFormat/>
    <w:pPr>
      <w:ind w:firstLine="301"/>
      <w:spacing w:line="200" w:lineRule="exact"/>
    </w:pPr>
    <w:rPr>
      <w:rFonts w:ascii="Tahoma" w:hAnsi="黑体"/>
      <w:spacing w:val="-4"/>
      <w:sz w:val="18"/>
      <w:szCs w:val="20"/>
    </w:rPr>
  </w:style>
  <w:style w:type="paragraph" w:styleId="829">
    <w:name w:val="envelope return"/>
    <w:basedOn w:val="810"/>
    <w:uiPriority w:val="99"/>
    <w:qFormat/>
    <w:rPr>
      <w:rFonts w:ascii="Arial" w:hAnsi="Arial"/>
    </w:rPr>
  </w:style>
  <w:style w:type="paragraph" w:styleId="830">
    <w:name w:val="toc 5"/>
    <w:basedOn w:val="810"/>
    <w:next w:val="810"/>
    <w:uiPriority w:val="39"/>
    <w:unhideWhenUsed/>
    <w:qFormat/>
    <w:pPr>
      <w:ind w:left="1134" w:right="0" w:firstLine="0"/>
      <w:spacing w:after="57"/>
    </w:pPr>
  </w:style>
  <w:style w:type="paragraph" w:styleId="831">
    <w:name w:val="toc 3"/>
    <w:basedOn w:val="810"/>
    <w:next w:val="810"/>
    <w:uiPriority w:val="39"/>
    <w:unhideWhenUsed/>
    <w:qFormat/>
    <w:pPr>
      <w:ind w:left="567" w:right="0" w:firstLine="0"/>
      <w:spacing w:after="57"/>
    </w:pPr>
  </w:style>
  <w:style w:type="paragraph" w:styleId="832">
    <w:name w:val="Plain Text"/>
    <w:basedOn w:val="810"/>
    <w:link w:val="901"/>
    <w:uiPriority w:val="0"/>
    <w:qFormat/>
    <w:rPr>
      <w:rFonts w:ascii="宋体" w:hAnsi="Courier New" w:eastAsia="宋体" w:cs="Times New Roman"/>
      <w:szCs w:val="20"/>
    </w:rPr>
  </w:style>
  <w:style w:type="paragraph" w:styleId="833">
    <w:name w:val="toc 8"/>
    <w:basedOn w:val="810"/>
    <w:next w:val="810"/>
    <w:uiPriority w:val="39"/>
    <w:unhideWhenUsed/>
    <w:qFormat/>
    <w:pPr>
      <w:ind w:left="1984" w:right="0" w:firstLine="0"/>
      <w:spacing w:after="57"/>
    </w:pPr>
  </w:style>
  <w:style w:type="paragraph" w:styleId="834">
    <w:name w:val="Date"/>
    <w:basedOn w:val="810"/>
    <w:next w:val="810"/>
    <w:link w:val="897"/>
    <w:uiPriority w:val="99"/>
    <w:unhideWhenUsed/>
    <w:qFormat/>
    <w:pPr>
      <w:ind w:left="100"/>
    </w:pPr>
  </w:style>
  <w:style w:type="paragraph" w:styleId="835">
    <w:name w:val="endnote text"/>
    <w:basedOn w:val="810"/>
    <w:link w:val="890"/>
    <w:uiPriority w:val="99"/>
    <w:unhideWhenUsed/>
    <w:qFormat/>
    <w:pPr>
      <w:spacing w:after="0" w:line="240" w:lineRule="auto"/>
    </w:pPr>
    <w:rPr>
      <w:sz w:val="20"/>
    </w:rPr>
  </w:style>
  <w:style w:type="paragraph" w:styleId="836">
    <w:name w:val="Balloon Text"/>
    <w:basedOn w:val="810"/>
    <w:link w:val="899"/>
    <w:uiPriority w:val="0"/>
    <w:unhideWhenUsed/>
    <w:qFormat/>
    <w:rPr>
      <w:sz w:val="18"/>
      <w:szCs w:val="18"/>
    </w:rPr>
  </w:style>
  <w:style w:type="paragraph" w:styleId="837">
    <w:name w:val="Footer"/>
    <w:basedOn w:val="810"/>
    <w:link w:val="892"/>
    <w:uiPriority w:val="0"/>
    <w:unhideWhenUsed/>
    <w:qFormat/>
    <w:pPr>
      <w:jc w:val="left"/>
      <w:tabs>
        <w:tab w:val="center" w:pos="4153" w:leader="none"/>
        <w:tab w:val="right" w:pos="8306" w:leader="none"/>
      </w:tabs>
    </w:pPr>
    <w:rPr>
      <w:sz w:val="18"/>
      <w:szCs w:val="18"/>
    </w:rPr>
  </w:style>
  <w:style w:type="paragraph" w:styleId="838">
    <w:name w:val="Header"/>
    <w:basedOn w:val="810"/>
    <w:link w:val="89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10"/>
    <w:next w:val="810"/>
    <w:uiPriority w:val="39"/>
    <w:unhideWhenUsed/>
    <w:qFormat/>
    <w:pPr>
      <w:jc w:val="center"/>
      <w:spacing w:line="360" w:lineRule="auto"/>
      <w:tabs>
        <w:tab w:val="right" w:pos="9628" w:leader="dot"/>
      </w:tabs>
    </w:pPr>
    <w:rPr>
      <w:sz w:val="32"/>
    </w:rPr>
  </w:style>
  <w:style w:type="paragraph" w:styleId="840">
    <w:name w:val="toc 4"/>
    <w:basedOn w:val="810"/>
    <w:next w:val="810"/>
    <w:uiPriority w:val="39"/>
    <w:unhideWhenUsed/>
    <w:qFormat/>
    <w:pPr>
      <w:ind w:left="850" w:right="0" w:firstLine="0"/>
      <w:spacing w:after="57"/>
    </w:pPr>
  </w:style>
  <w:style w:type="paragraph" w:styleId="841">
    <w:name w:val="Subtitle"/>
    <w:basedOn w:val="810"/>
    <w:next w:val="810"/>
    <w:link w:val="883"/>
    <w:uiPriority w:val="11"/>
    <w:qFormat/>
    <w:pPr>
      <w:spacing w:before="200" w:after="200"/>
    </w:pPr>
    <w:rPr>
      <w:sz w:val="24"/>
      <w:szCs w:val="24"/>
    </w:rPr>
  </w:style>
  <w:style w:type="paragraph" w:styleId="842">
    <w:name w:val="footnote text"/>
    <w:basedOn w:val="810"/>
    <w:link w:val="889"/>
    <w:uiPriority w:val="99"/>
    <w:unhideWhenUsed/>
    <w:qFormat/>
    <w:pPr>
      <w:spacing w:after="40" w:line="240" w:lineRule="auto"/>
    </w:pPr>
    <w:rPr>
      <w:sz w:val="18"/>
    </w:rPr>
  </w:style>
  <w:style w:type="paragraph" w:styleId="843">
    <w:name w:val="toc 6"/>
    <w:basedOn w:val="810"/>
    <w:next w:val="810"/>
    <w:uiPriority w:val="39"/>
    <w:unhideWhenUsed/>
    <w:qFormat/>
    <w:pPr>
      <w:ind w:left="1417" w:right="0" w:firstLine="0"/>
      <w:spacing w:after="57"/>
    </w:pPr>
  </w:style>
  <w:style w:type="paragraph" w:styleId="844">
    <w:name w:val="table of figures"/>
    <w:basedOn w:val="810"/>
    <w:next w:val="810"/>
    <w:uiPriority w:val="99"/>
    <w:unhideWhenUsed/>
    <w:qFormat/>
    <w:pPr>
      <w:spacing w:after="0" w:afterAutospacing="0"/>
    </w:pPr>
  </w:style>
  <w:style w:type="paragraph" w:styleId="845">
    <w:name w:val="toc 2"/>
    <w:basedOn w:val="810"/>
    <w:next w:val="810"/>
    <w:uiPriority w:val="39"/>
    <w:unhideWhenUsed/>
    <w:qFormat/>
    <w:pPr>
      <w:ind w:left="283" w:right="0" w:firstLine="0"/>
      <w:spacing w:after="57"/>
    </w:pPr>
  </w:style>
  <w:style w:type="paragraph" w:styleId="846">
    <w:name w:val="toc 9"/>
    <w:basedOn w:val="810"/>
    <w:next w:val="810"/>
    <w:uiPriority w:val="39"/>
    <w:unhideWhenUsed/>
    <w:qFormat/>
    <w:pPr>
      <w:ind w:left="2268" w:right="0" w:firstLine="0"/>
      <w:spacing w:after="57"/>
    </w:pPr>
  </w:style>
  <w:style w:type="paragraph" w:styleId="847">
    <w:name w:val="Normal (Web)"/>
    <w:basedOn w:val="810"/>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848">
    <w:name w:val="Title"/>
    <w:basedOn w:val="810"/>
    <w:next w:val="810"/>
    <w:link w:val="882"/>
    <w:uiPriority w:val="10"/>
    <w:qFormat/>
    <w:pPr>
      <w:contextualSpacing/>
      <w:spacing w:before="300" w:after="200"/>
    </w:pPr>
    <w:rPr>
      <w:sz w:val="48"/>
      <w:szCs w:val="48"/>
    </w:rPr>
  </w:style>
  <w:style w:type="table" w:styleId="849">
    <w:name w:val="Table Grid"/>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Strong"/>
    <w:basedOn w:val="820"/>
    <w:uiPriority w:val="22"/>
    <w:qFormat/>
    <w:rPr>
      <w:b/>
    </w:rPr>
  </w:style>
  <w:style w:type="character" w:styleId="851">
    <w:name w:val="endnote reference"/>
    <w:basedOn w:val="820"/>
    <w:uiPriority w:val="99"/>
    <w:unhideWhenUsed/>
    <w:qFormat/>
    <w:rPr>
      <w:vertAlign w:val="superscript"/>
    </w:rPr>
  </w:style>
  <w:style w:type="character" w:styleId="852">
    <w:name w:val="page number"/>
    <w:basedOn w:val="820"/>
    <w:uiPriority w:val="99"/>
    <w:unhideWhenUsed/>
    <w:qFormat/>
  </w:style>
  <w:style w:type="character" w:styleId="853">
    <w:name w:val="Emphasis"/>
    <w:basedOn w:val="820"/>
    <w:uiPriority w:val="20"/>
    <w:qFormat/>
    <w:rPr>
      <w:i/>
    </w:rPr>
  </w:style>
  <w:style w:type="character" w:styleId="854">
    <w:name w:val="Hyperlink"/>
    <w:uiPriority w:val="99"/>
    <w:qFormat/>
    <w:rPr>
      <w:color w:val="0000ff"/>
      <w:u w:val="none"/>
    </w:rPr>
  </w:style>
  <w:style w:type="character" w:styleId="855">
    <w:name w:val="annotation reference"/>
    <w:uiPriority w:val="0"/>
    <w:qFormat/>
    <w:rPr>
      <w:sz w:val="21"/>
      <w:szCs w:val="21"/>
    </w:rPr>
  </w:style>
  <w:style w:type="character" w:styleId="856">
    <w:name w:val="footnote reference"/>
    <w:basedOn w:val="820"/>
    <w:uiPriority w:val="99"/>
    <w:unhideWhenUsed/>
    <w:qFormat/>
    <w:rPr>
      <w:vertAlign w:val="superscript"/>
    </w:rPr>
  </w:style>
  <w:style w:type="paragraph" w:styleId="8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8" w:customStyle="1">
    <w:name w:val="Quote1"/>
    <w:basedOn w:val="810"/>
    <w:next w:val="810"/>
    <w:uiPriority w:val="99"/>
    <w:qFormat/>
    <w:pPr>
      <w:ind w:left="864" w:right="864"/>
      <w:jc w:val="center"/>
      <w:spacing w:before="200" w:after="160"/>
      <w:widowControl/>
    </w:pPr>
    <w:rPr>
      <w:rFonts w:ascii="宋体"/>
      <w:i/>
      <w:color w:val="404040"/>
    </w:rPr>
  </w:style>
  <w:style w:type="paragraph" w:styleId="859" w:customStyle="1">
    <w:name w:val="List Paragraph"/>
    <w:basedOn w:val="810"/>
    <w:uiPriority w:val="34"/>
    <w:qFormat/>
    <w:pPr>
      <w:contextualSpacing/>
      <w:ind w:left="720"/>
    </w:pPr>
  </w:style>
  <w:style w:type="paragraph" w:styleId="860"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61" w:customStyle="1">
    <w:name w:val="Quote"/>
    <w:basedOn w:val="810"/>
    <w:next w:val="810"/>
    <w:link w:val="884"/>
    <w:uiPriority w:val="29"/>
    <w:qFormat/>
    <w:pPr>
      <w:ind w:left="720" w:right="720"/>
    </w:pPr>
    <w:rPr>
      <w:i/>
    </w:rPr>
  </w:style>
  <w:style w:type="paragraph" w:styleId="862" w:customStyle="1">
    <w:name w:val="Intense Quote"/>
    <w:basedOn w:val="810"/>
    <w:next w:val="810"/>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Heading"/>
    <w:uiPriority w:val="39"/>
    <w:unhideWhenUsed/>
    <w:qFormat/>
    <w:rPr>
      <w:rFonts w:hint="default" w:ascii="Calibri" w:hAnsi="Calibri" w:eastAsia="Arial" w:cs="Arial"/>
      <w:lang w:val="en-US" w:eastAsia="zh-CN" w:bidi="ar-SA"/>
    </w:rPr>
  </w:style>
  <w:style w:type="paragraph" w:styleId="864" w:customStyle="1">
    <w:name w:val="Default"/>
    <w:link w:val="900"/>
    <w:uiPriority w:val="99"/>
    <w:qFormat/>
    <w:pPr>
      <w:widowControl w:val="off"/>
    </w:pPr>
    <w:rPr>
      <w:rFonts w:hint="default" w:ascii="MS Mincho" w:hAnsi="Calibri" w:eastAsia="宋体" w:cs="Times New Roman"/>
      <w:color w:val="000000"/>
      <w:sz w:val="21"/>
      <w:szCs w:val="24"/>
      <w:lang w:val="en-US" w:eastAsia="zh-CN" w:bidi="ar-SA"/>
    </w:rPr>
  </w:style>
  <w:style w:type="paragraph" w:styleId="865"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66" w:customStyle="1">
    <w:name w:val="Table Text"/>
    <w:basedOn w:val="810"/>
    <w:uiPriority w:val="0"/>
    <w:semiHidden/>
    <w:qFormat/>
    <w:rPr>
      <w:rFonts w:ascii="宋体" w:hAnsi="宋体" w:eastAsia="宋体" w:cs="宋体"/>
      <w:sz w:val="24"/>
      <w:szCs w:val="24"/>
      <w:lang w:eastAsia="en-US"/>
    </w:rPr>
  </w:style>
  <w:style w:type="paragraph" w:styleId="867" w:customStyle="1">
    <w:name w:val="纯文本11"/>
    <w:basedOn w:val="810"/>
    <w:next w:val="810"/>
    <w:uiPriority w:val="0"/>
    <w:qFormat/>
    <w:pPr>
      <w:ind w:firstLine="922"/>
      <w:spacing w:line="360" w:lineRule="auto"/>
    </w:pPr>
    <w:rPr>
      <w:rFonts w:ascii="宋体" w:hAnsi="Courier New" w:eastAsia="宋体" w:cs="Times New Roman"/>
      <w:szCs w:val="20"/>
    </w:rPr>
  </w:style>
  <w:style w:type="paragraph" w:styleId="868" w:customStyle="1">
    <w:name w:val="正文文本1"/>
    <w:basedOn w:val="810"/>
    <w:uiPriority w:val="0"/>
    <w:qFormat/>
    <w:pPr>
      <w:ind w:firstLine="922"/>
      <w:spacing w:line="360" w:lineRule="auto"/>
    </w:pPr>
    <w:rPr>
      <w:rFonts w:ascii="金山简黑体" w:hAnsi="Courier New" w:eastAsia="金山简黑体" w:cs="Times New Roman"/>
      <w:b/>
      <w:spacing w:val="-8"/>
      <w:sz w:val="44"/>
      <w:szCs w:val="20"/>
    </w:rPr>
  </w:style>
  <w:style w:type="paragraph" w:styleId="869" w:customStyle="1">
    <w:name w:val="正文1"/>
    <w:basedOn w:val="823"/>
    <w:uiPriority w:val="0"/>
    <w:qFormat/>
    <w:pPr>
      <w:spacing w:line="500" w:lineRule="exact"/>
    </w:pPr>
    <w:rPr>
      <w:rFonts w:hAnsi="新宋体"/>
    </w:rPr>
  </w:style>
  <w:style w:type="paragraph" w:styleId="870" w:customStyle="1">
    <w:name w:val="_Style 6"/>
    <w:basedOn w:val="810"/>
    <w:next w:val="810"/>
    <w:uiPriority w:val="0"/>
    <w:qFormat/>
    <w:pPr>
      <w:ind w:firstLine="420"/>
      <w:spacing w:line="192" w:lineRule="auto"/>
    </w:pPr>
    <w:rPr>
      <w:rFonts w:ascii="Calibri" w:hAnsi="Calibri" w:eastAsia="宋体" w:cs="Times New Roman"/>
      <w:szCs w:val="24"/>
    </w:rPr>
  </w:style>
  <w:style w:type="paragraph" w:styleId="871" w:customStyle="1">
    <w:name w:val="列出段落1"/>
    <w:basedOn w:val="810"/>
    <w:uiPriority w:val="0"/>
    <w:qFormat/>
    <w:pPr>
      <w:ind w:firstLine="420"/>
    </w:pPr>
    <w:rPr>
      <w:szCs w:val="21"/>
    </w:rPr>
  </w:style>
  <w:style w:type="paragraph" w:styleId="872" w:customStyle="1">
    <w:name w:val="标题 31"/>
    <w:basedOn w:val="810"/>
    <w:next w:val="810"/>
    <w:uiPriority w:val="0"/>
    <w:qFormat/>
    <w:pPr>
      <w:keepLines/>
      <w:keepNext/>
      <w:spacing w:before="260" w:after="260" w:line="416" w:lineRule="auto"/>
      <w:outlineLvl w:val="2"/>
    </w:pPr>
    <w:rPr>
      <w:rFonts w:ascii="Times New Roman" w:hAnsi="Times New Roman"/>
      <w:b/>
      <w:bCs/>
      <w:sz w:val="32"/>
      <w:szCs w:val="32"/>
    </w:rPr>
  </w:style>
  <w:style w:type="character" w:styleId="873" w:customStyle="1">
    <w:name w:val="Heading 1 Char"/>
    <w:basedOn w:val="820"/>
    <w:uiPriority w:val="9"/>
    <w:qFormat/>
    <w:rPr>
      <w:rFonts w:ascii="Arial" w:hAnsi="Arial" w:eastAsia="Arial" w:cs="Arial"/>
      <w:sz w:val="40"/>
      <w:szCs w:val="40"/>
    </w:rPr>
  </w:style>
  <w:style w:type="character" w:styleId="874" w:customStyle="1">
    <w:name w:val="Heading 2 Char"/>
    <w:basedOn w:val="820"/>
    <w:uiPriority w:val="9"/>
    <w:qFormat/>
    <w:rPr>
      <w:rFonts w:ascii="Arial" w:hAnsi="Arial" w:eastAsia="Arial" w:cs="Arial"/>
      <w:sz w:val="34"/>
    </w:rPr>
  </w:style>
  <w:style w:type="character" w:styleId="875" w:customStyle="1">
    <w:name w:val="Heading 3 Char"/>
    <w:basedOn w:val="820"/>
    <w:uiPriority w:val="9"/>
    <w:qFormat/>
    <w:rPr>
      <w:rFonts w:ascii="Arial" w:hAnsi="Arial" w:eastAsia="Arial" w:cs="Arial"/>
      <w:sz w:val="30"/>
      <w:szCs w:val="30"/>
    </w:rPr>
  </w:style>
  <w:style w:type="character" w:styleId="876" w:customStyle="1">
    <w:name w:val="Heading 4 Char"/>
    <w:basedOn w:val="820"/>
    <w:link w:val="814"/>
    <w:uiPriority w:val="9"/>
    <w:qFormat/>
    <w:rPr>
      <w:rFonts w:ascii="Arial" w:hAnsi="Arial" w:eastAsia="Arial" w:cs="Arial"/>
      <w:b/>
      <w:bCs/>
      <w:sz w:val="26"/>
      <w:szCs w:val="26"/>
    </w:rPr>
  </w:style>
  <w:style w:type="character" w:styleId="877" w:customStyle="1">
    <w:name w:val="Heading 5 Char"/>
    <w:basedOn w:val="820"/>
    <w:link w:val="815"/>
    <w:uiPriority w:val="9"/>
    <w:qFormat/>
    <w:rPr>
      <w:rFonts w:ascii="Arial" w:hAnsi="Arial" w:eastAsia="Arial" w:cs="Arial"/>
      <w:b/>
      <w:bCs/>
      <w:sz w:val="24"/>
      <w:szCs w:val="24"/>
    </w:rPr>
  </w:style>
  <w:style w:type="character" w:styleId="878" w:customStyle="1">
    <w:name w:val="Heading 6 Char"/>
    <w:basedOn w:val="820"/>
    <w:link w:val="816"/>
    <w:uiPriority w:val="9"/>
    <w:qFormat/>
    <w:rPr>
      <w:rFonts w:ascii="Arial" w:hAnsi="Arial" w:eastAsia="Arial" w:cs="Arial"/>
      <w:b/>
      <w:bCs/>
      <w:sz w:val="22"/>
      <w:szCs w:val="22"/>
    </w:rPr>
  </w:style>
  <w:style w:type="character" w:styleId="879" w:customStyle="1">
    <w:name w:val="Heading 7 Char"/>
    <w:basedOn w:val="820"/>
    <w:link w:val="817"/>
    <w:uiPriority w:val="9"/>
    <w:qFormat/>
    <w:rPr>
      <w:rFonts w:ascii="Arial" w:hAnsi="Arial" w:eastAsia="Arial" w:cs="Arial"/>
      <w:b/>
      <w:bCs/>
      <w:i/>
      <w:iCs/>
      <w:sz w:val="22"/>
      <w:szCs w:val="22"/>
    </w:rPr>
  </w:style>
  <w:style w:type="character" w:styleId="880" w:customStyle="1">
    <w:name w:val="Heading 8 Char"/>
    <w:basedOn w:val="820"/>
    <w:link w:val="818"/>
    <w:uiPriority w:val="9"/>
    <w:qFormat/>
    <w:rPr>
      <w:rFonts w:ascii="Arial" w:hAnsi="Arial" w:eastAsia="Arial" w:cs="Arial"/>
      <w:i/>
      <w:iCs/>
      <w:sz w:val="22"/>
      <w:szCs w:val="22"/>
    </w:rPr>
  </w:style>
  <w:style w:type="character" w:styleId="881" w:customStyle="1">
    <w:name w:val="Heading 9 Char"/>
    <w:basedOn w:val="820"/>
    <w:link w:val="819"/>
    <w:uiPriority w:val="9"/>
    <w:qFormat/>
    <w:rPr>
      <w:rFonts w:ascii="Arial" w:hAnsi="Arial" w:eastAsia="Arial" w:cs="Arial"/>
      <w:i/>
      <w:iCs/>
      <w:sz w:val="21"/>
      <w:szCs w:val="21"/>
    </w:rPr>
  </w:style>
  <w:style w:type="character" w:styleId="882" w:customStyle="1">
    <w:name w:val="Title Char"/>
    <w:basedOn w:val="820"/>
    <w:link w:val="848"/>
    <w:uiPriority w:val="10"/>
    <w:qFormat/>
    <w:rPr>
      <w:sz w:val="48"/>
      <w:szCs w:val="48"/>
    </w:rPr>
  </w:style>
  <w:style w:type="character" w:styleId="883" w:customStyle="1">
    <w:name w:val="Subtitle Char"/>
    <w:basedOn w:val="820"/>
    <w:link w:val="841"/>
    <w:uiPriority w:val="11"/>
    <w:qFormat/>
    <w:rPr>
      <w:sz w:val="24"/>
      <w:szCs w:val="24"/>
    </w:rPr>
  </w:style>
  <w:style w:type="character" w:styleId="884" w:customStyle="1">
    <w:name w:val="Quote Char"/>
    <w:link w:val="861"/>
    <w:uiPriority w:val="29"/>
    <w:qFormat/>
    <w:rPr>
      <w:i/>
    </w:rPr>
  </w:style>
  <w:style w:type="character" w:styleId="885" w:customStyle="1">
    <w:name w:val="Intense Quote Char"/>
    <w:link w:val="862"/>
    <w:uiPriority w:val="30"/>
    <w:qFormat/>
    <w:rPr>
      <w:i/>
    </w:rPr>
  </w:style>
  <w:style w:type="character" w:styleId="886" w:customStyle="1">
    <w:name w:val="Header Char"/>
    <w:basedOn w:val="820"/>
    <w:uiPriority w:val="99"/>
    <w:qFormat/>
  </w:style>
  <w:style w:type="character" w:styleId="887" w:customStyle="1">
    <w:name w:val="Footer Char"/>
    <w:basedOn w:val="820"/>
    <w:uiPriority w:val="99"/>
    <w:qFormat/>
  </w:style>
  <w:style w:type="character" w:styleId="888" w:customStyle="1">
    <w:name w:val="Caption Char"/>
    <w:uiPriority w:val="99"/>
    <w:qFormat/>
  </w:style>
  <w:style w:type="character" w:styleId="889" w:customStyle="1">
    <w:name w:val="Footnote Text Char"/>
    <w:link w:val="842"/>
    <w:uiPriority w:val="99"/>
    <w:qFormat/>
    <w:rPr>
      <w:sz w:val="18"/>
    </w:rPr>
  </w:style>
  <w:style w:type="character" w:styleId="890" w:customStyle="1">
    <w:name w:val="Endnote Text Char"/>
    <w:link w:val="835"/>
    <w:uiPriority w:val="99"/>
    <w:qFormat/>
    <w:rPr>
      <w:sz w:val="20"/>
    </w:rPr>
  </w:style>
  <w:style w:type="character" w:styleId="891" w:customStyle="1">
    <w:name w:val="页眉 Char"/>
    <w:basedOn w:val="820"/>
    <w:link w:val="838"/>
    <w:uiPriority w:val="0"/>
    <w:qFormat/>
    <w:rPr>
      <w:sz w:val="18"/>
      <w:szCs w:val="18"/>
    </w:rPr>
  </w:style>
  <w:style w:type="character" w:styleId="892" w:customStyle="1">
    <w:name w:val="页脚 Char"/>
    <w:basedOn w:val="820"/>
    <w:link w:val="837"/>
    <w:uiPriority w:val="0"/>
    <w:qFormat/>
    <w:rPr>
      <w:sz w:val="18"/>
      <w:szCs w:val="18"/>
    </w:rPr>
  </w:style>
  <w:style w:type="character" w:styleId="893" w:customStyle="1">
    <w:name w:val="标题 1 Char"/>
    <w:basedOn w:val="820"/>
    <w:link w:val="811"/>
    <w:uiPriority w:val="0"/>
    <w:qFormat/>
    <w:rPr>
      <w:b/>
      <w:bCs/>
      <w:sz w:val="44"/>
      <w:szCs w:val="44"/>
    </w:rPr>
  </w:style>
  <w:style w:type="character" w:styleId="894" w:customStyle="1">
    <w:name w:val="文档结构图 Char"/>
    <w:basedOn w:val="820"/>
    <w:link w:val="825"/>
    <w:uiPriority w:val="0"/>
    <w:qFormat/>
    <w:rPr>
      <w:rFonts w:ascii="宋体" w:eastAsia="宋体"/>
      <w:sz w:val="18"/>
      <w:szCs w:val="18"/>
    </w:rPr>
  </w:style>
  <w:style w:type="character" w:styleId="895" w:customStyle="1">
    <w:name w:val="标题 2 Char"/>
    <w:basedOn w:val="820"/>
    <w:link w:val="812"/>
    <w:uiPriority w:val="9"/>
    <w:qFormat/>
    <w:rPr>
      <w:rFonts w:ascii="Cambria" w:hAnsi="Cambria" w:eastAsia="Arial" w:cs="Arial"/>
      <w:b/>
      <w:bCs/>
      <w:sz w:val="32"/>
      <w:szCs w:val="32"/>
    </w:rPr>
  </w:style>
  <w:style w:type="character" w:styleId="896" w:customStyle="1">
    <w:name w:val="标题 3 Char"/>
    <w:basedOn w:val="820"/>
    <w:link w:val="813"/>
    <w:uiPriority w:val="9"/>
    <w:qFormat/>
    <w:rPr>
      <w:b/>
      <w:bCs/>
      <w:sz w:val="32"/>
      <w:szCs w:val="32"/>
    </w:rPr>
  </w:style>
  <w:style w:type="character" w:styleId="897" w:customStyle="1">
    <w:name w:val="日期 Char"/>
    <w:basedOn w:val="820"/>
    <w:link w:val="834"/>
    <w:uiPriority w:val="99"/>
    <w:semiHidden/>
    <w:qFormat/>
  </w:style>
  <w:style w:type="character" w:styleId="898" w:customStyle="1">
    <w:name w:val="批注文字 Char"/>
    <w:basedOn w:val="820"/>
    <w:link w:val="826"/>
    <w:uiPriority w:val="0"/>
    <w:qFormat/>
    <w:rPr>
      <w:rFonts w:ascii="Times New Roman" w:hAnsi="Times New Roman" w:eastAsia="宋体" w:cs="Times New Roman"/>
      <w:szCs w:val="24"/>
    </w:rPr>
  </w:style>
  <w:style w:type="character" w:styleId="899" w:customStyle="1">
    <w:name w:val="批注框文本 Char"/>
    <w:basedOn w:val="820"/>
    <w:link w:val="836"/>
    <w:uiPriority w:val="0"/>
    <w:qFormat/>
    <w:rPr>
      <w:sz w:val="18"/>
      <w:szCs w:val="18"/>
    </w:rPr>
  </w:style>
  <w:style w:type="character" w:styleId="900" w:customStyle="1">
    <w:name w:val="Default Char"/>
    <w:link w:val="864"/>
    <w:uiPriority w:val="99"/>
    <w:qFormat/>
    <w:rPr>
      <w:rFonts w:ascii="MS Mincho" w:hAnsi="Calibri" w:eastAsia="宋体" w:cs="Times New Roman"/>
      <w:color w:val="000000"/>
      <w:szCs w:val="24"/>
    </w:rPr>
  </w:style>
  <w:style w:type="character" w:styleId="901" w:customStyle="1">
    <w:name w:val="纯文本 Char"/>
    <w:basedOn w:val="820"/>
    <w:link w:val="832"/>
    <w:uiPriority w:val="0"/>
    <w:qFormat/>
    <w:rPr>
      <w:rFonts w:ascii="宋体" w:hAnsi="Courier New" w:eastAsia="宋体" w:cs="Times New Roman"/>
      <w:szCs w:val="20"/>
    </w:rPr>
  </w:style>
  <w:style w:type="character" w:styleId="902" w:customStyle="1">
    <w:name w:val="正文文本 Char"/>
    <w:basedOn w:val="820"/>
    <w:link w:val="827"/>
    <w:uiPriority w:val="0"/>
    <w:semiHidden/>
    <w:qFormat/>
    <w:rPr>
      <w:rFonts w:ascii="Arial" w:hAnsi="Arial" w:eastAsia="Arial" w:cs="Arial"/>
      <w:szCs w:val="21"/>
      <w:lang w:eastAsia="en-US"/>
    </w:rPr>
  </w:style>
  <w:style w:type="character" w:styleId="903" w:customStyle="1">
    <w:name w:val="font81"/>
    <w:basedOn w:val="820"/>
    <w:uiPriority w:val="0"/>
    <w:qFormat/>
    <w:rPr>
      <w:rFonts w:hint="eastAsia" w:ascii="宋体" w:hAnsi="宋体" w:eastAsia="宋体" w:cs="宋体"/>
      <w:color w:val="000000"/>
      <w:sz w:val="20"/>
      <w:szCs w:val="20"/>
      <w:u w:val="none"/>
    </w:rPr>
  </w:style>
  <w:style w:type="character" w:styleId="904" w:customStyle="1">
    <w:name w:val="font71"/>
    <w:basedOn w:val="820"/>
    <w:uiPriority w:val="0"/>
    <w:qFormat/>
    <w:rPr>
      <w:rFonts w:hint="default" w:ascii="方正仿宋_GBK" w:hAnsi="方正仿宋_GBK" w:eastAsia="方正仿宋_GBK" w:cs="方正仿宋_GBK"/>
      <w:color w:val="000000"/>
      <w:sz w:val="20"/>
      <w:szCs w:val="20"/>
      <w:u w:val="none"/>
    </w:rPr>
  </w:style>
  <w:style w:type="character" w:styleId="905" w:customStyle="1">
    <w:name w:val="font91"/>
    <w:basedOn w:val="820"/>
    <w:uiPriority w:val="0"/>
    <w:qFormat/>
    <w:rPr>
      <w:rFonts w:hint="eastAsia" w:ascii="宋体" w:hAnsi="宋体" w:eastAsia="宋体" w:cs="宋体"/>
      <w:color w:val="000000"/>
      <w:sz w:val="20"/>
      <w:szCs w:val="20"/>
      <w:u w:val="none"/>
    </w:rPr>
  </w:style>
  <w:style w:type="character" w:styleId="906" w:customStyle="1">
    <w:name w:val="font31"/>
    <w:basedOn w:val="820"/>
    <w:uiPriority w:val="0"/>
    <w:qFormat/>
    <w:rPr>
      <w:rFonts w:hint="default" w:ascii="方正仿宋_GBK" w:hAnsi="方正仿宋_GBK" w:eastAsia="方正仿宋_GBK" w:cs="方正仿宋_GBK"/>
      <w:color w:val="000000"/>
      <w:sz w:val="20"/>
      <w:szCs w:val="20"/>
      <w:u w:val="none"/>
    </w:rPr>
  </w:style>
  <w:style w:type="character" w:styleId="907" w:customStyle="1">
    <w:name w:val="font51"/>
    <w:basedOn w:val="820"/>
    <w:uiPriority w:val="0"/>
    <w:qFormat/>
    <w:rPr>
      <w:rFonts w:hint="default" w:ascii="方正仿宋_GBK" w:hAnsi="方正仿宋_GBK" w:eastAsia="方正仿宋_GBK" w:cs="方正仿宋_GBK"/>
      <w:color w:val="000000"/>
      <w:sz w:val="21"/>
      <w:szCs w:val="21"/>
      <w:u w:val="none"/>
    </w:rPr>
  </w:style>
  <w:style w:type="character" w:styleId="908" w:customStyle="1">
    <w:name w:val="font61"/>
    <w:basedOn w:val="820"/>
    <w:uiPriority w:val="0"/>
    <w:qFormat/>
    <w:rPr>
      <w:rFonts w:hint="default" w:ascii="方正仿宋_GBK" w:hAnsi="方正仿宋_GBK" w:eastAsia="方正仿宋_GBK" w:cs="方正仿宋_GBK"/>
      <w:color w:val="000000"/>
      <w:sz w:val="24"/>
      <w:szCs w:val="24"/>
      <w:u w:val="none"/>
    </w:rPr>
  </w:style>
  <w:style w:type="character" w:styleId="909" w:customStyle="1">
    <w:name w:val="font21"/>
    <w:basedOn w:val="820"/>
    <w:uiPriority w:val="0"/>
    <w:qFormat/>
    <w:rPr>
      <w:rFonts w:hint="default" w:ascii="方正仿宋_GBK" w:hAnsi="方正仿宋_GBK" w:eastAsia="方正仿宋_GBK" w:cs="方正仿宋_GBK"/>
      <w:color w:val="000000"/>
      <w:sz w:val="24"/>
      <w:szCs w:val="24"/>
      <w:u w:val="none"/>
    </w:rPr>
  </w:style>
  <w:style w:type="character" w:styleId="910" w:customStyle="1">
    <w:name w:val="font41"/>
    <w:basedOn w:val="820"/>
    <w:uiPriority w:val="0"/>
    <w:qFormat/>
    <w:rPr>
      <w:rFonts w:ascii="Arial" w:hAnsi="Arial" w:cs="Arial"/>
      <w:color w:val="000000"/>
      <w:sz w:val="24"/>
      <w:szCs w:val="24"/>
      <w:u w:val="none"/>
    </w:rPr>
  </w:style>
  <w:style w:type="character" w:styleId="911" w:customStyle="1">
    <w:name w:val="font11"/>
    <w:basedOn w:val="820"/>
    <w:uiPriority w:val="0"/>
    <w:qFormat/>
    <w:rPr>
      <w:rFonts w:hint="default" w:ascii="方正仿宋_GBK" w:hAnsi="方正仿宋_GBK" w:eastAsia="方正仿宋_GBK" w:cs="方正仿宋_GBK"/>
      <w:color w:val="000000"/>
      <w:sz w:val="24"/>
      <w:szCs w:val="24"/>
      <w:u w:val="none"/>
    </w:rPr>
  </w:style>
  <w:style w:type="table" w:styleId="912" w:customStyle="1">
    <w:name w:val="Table Grid Light"/>
    <w:basedOn w:val="8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3" w:customStyle="1">
    <w:name w:val="Plain Table 1"/>
    <w:basedOn w:val="82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Plain Table 2"/>
    <w:basedOn w:val="82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3"/>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6" w:customStyle="1">
    <w:name w:val="Plain Table 4"/>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Plain Table 5"/>
    <w:basedOn w:val="821"/>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Grid Table 1 Light"/>
    <w:basedOn w:val="82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9" w:customStyle="1">
    <w:name w:val="Grid Table 1 Light - Accent 1"/>
    <w:basedOn w:val="8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0" w:customStyle="1">
    <w:name w:val="Grid Table 1 Light - Accent 2"/>
    <w:basedOn w:val="8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1" w:customStyle="1">
    <w:name w:val="Grid Table 1 Light - Accent 3"/>
    <w:basedOn w:val="8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2" w:customStyle="1">
    <w:name w:val="Grid Table 1 Light - Accent 4"/>
    <w:basedOn w:val="8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3" w:customStyle="1">
    <w:name w:val="Grid Table 1 Light - Accent 5"/>
    <w:basedOn w:val="8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4" w:customStyle="1">
    <w:name w:val="Grid Table 1 Light - Accent 6"/>
    <w:basedOn w:val="8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5" w:customStyle="1">
    <w:name w:val="Grid Table 2"/>
    <w:basedOn w:val="82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2 - Accent 1"/>
    <w:basedOn w:val="82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2 - Accent 2"/>
    <w:basedOn w:val="82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2 - Accent 3"/>
    <w:basedOn w:val="82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2 - Accent 4"/>
    <w:basedOn w:val="82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2 - Accent 5"/>
    <w:basedOn w:val="82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Grid Table 2 - Accent 6"/>
    <w:basedOn w:val="82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3"/>
    <w:basedOn w:val="82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Grid Table 3 - Accent 1"/>
    <w:basedOn w:val="82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3 - Accent 2"/>
    <w:basedOn w:val="821"/>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3 - Accent 3"/>
    <w:basedOn w:val="821"/>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3 - Accent 4"/>
    <w:basedOn w:val="821"/>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3 - Accent 5"/>
    <w:basedOn w:val="821"/>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Grid Table 3 - Accent 6"/>
    <w:basedOn w:val="821"/>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Grid Table 4"/>
    <w:basedOn w:val="82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4 - Accent 1"/>
    <w:basedOn w:val="82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4 - Accent 2"/>
    <w:basedOn w:val="821"/>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4 - Accent 3"/>
    <w:basedOn w:val="821"/>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4 - Accent 4"/>
    <w:basedOn w:val="821"/>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4 - Accent 5"/>
    <w:basedOn w:val="821"/>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4 - Accent 6"/>
    <w:basedOn w:val="821"/>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5 Dark"/>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5 Dark- Accent 1"/>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5 Dark - Accent 2"/>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Grid Table 5 Dark - Accent 3"/>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5 Dark- Accent 4"/>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5 Dark - Accent 5"/>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5 Dark - Accent 6"/>
    <w:basedOn w:val="82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6 Colorful"/>
    <w:basedOn w:val="82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954" w:customStyle="1">
    <w:name w:val="Grid Table 6 Colorful - Accent 1"/>
    <w:basedOn w:val="82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955" w:customStyle="1">
    <w:name w:val="Grid Table 6 Colorful - Accent 2"/>
    <w:basedOn w:val="821"/>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956" w:customStyle="1">
    <w:name w:val="Grid Table 6 Colorful - Accent 3"/>
    <w:basedOn w:val="821"/>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57" w:customStyle="1">
    <w:name w:val="Grid Table 6 Colorful - Accent 4"/>
    <w:basedOn w:val="821"/>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958" w:customStyle="1">
    <w:name w:val="Grid Table 6 Colorful - Accent 5"/>
    <w:basedOn w:val="821"/>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59" w:customStyle="1">
    <w:name w:val="Grid Table 6 Colorful - Accent 6"/>
    <w:basedOn w:val="821"/>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60" w:customStyle="1">
    <w:name w:val="Grid Table 7 Colorful"/>
    <w:basedOn w:val="82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7 Colorful - Accent 1"/>
    <w:basedOn w:val="82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7 Colorful - Accent 2"/>
    <w:basedOn w:val="821"/>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7 Colorful - Accent 3"/>
    <w:basedOn w:val="821"/>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7 Colorful - Accent 4"/>
    <w:basedOn w:val="821"/>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7 Colorful - Accent 5"/>
    <w:basedOn w:val="821"/>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7 Colorful - Accent 6"/>
    <w:basedOn w:val="821"/>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1 Light"/>
    <w:basedOn w:val="82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1 Light - Accent 1"/>
    <w:basedOn w:val="82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1 Light - Accent 2"/>
    <w:basedOn w:val="821"/>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1 Light - Accent 3"/>
    <w:basedOn w:val="821"/>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1 Light - Accent 4"/>
    <w:basedOn w:val="821"/>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1 Light - Accent 5"/>
    <w:basedOn w:val="821"/>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1 Light - Accent 6"/>
    <w:basedOn w:val="821"/>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2"/>
    <w:basedOn w:val="82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75" w:customStyle="1">
    <w:name w:val="List Table 2 - Accent 1"/>
    <w:basedOn w:val="82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76" w:customStyle="1">
    <w:name w:val="List Table 2 - Accent 2"/>
    <w:basedOn w:val="821"/>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77" w:customStyle="1">
    <w:name w:val="List Table 2 - Accent 3"/>
    <w:basedOn w:val="821"/>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78" w:customStyle="1">
    <w:name w:val="List Table 2 - Accent 4"/>
    <w:basedOn w:val="821"/>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79" w:customStyle="1">
    <w:name w:val="List Table 2 - Accent 5"/>
    <w:basedOn w:val="821"/>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80" w:customStyle="1">
    <w:name w:val="List Table 2 - Accent 6"/>
    <w:basedOn w:val="821"/>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81" w:customStyle="1">
    <w:name w:val="List Table 3"/>
    <w:basedOn w:val="82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2" w:customStyle="1">
    <w:name w:val="List Table 3 - Accent 1"/>
    <w:basedOn w:val="82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3" w:customStyle="1">
    <w:name w:val="List Table 3 - Accent 2"/>
    <w:basedOn w:val="821"/>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4" w:customStyle="1">
    <w:name w:val="List Table 3 - Accent 3"/>
    <w:basedOn w:val="821"/>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5" w:customStyle="1">
    <w:name w:val="List Table 3 - Accent 4"/>
    <w:basedOn w:val="821"/>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6" w:customStyle="1">
    <w:name w:val="List Table 3 - Accent 5"/>
    <w:basedOn w:val="821"/>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7" w:customStyle="1">
    <w:name w:val="List Table 3 - Accent 6"/>
    <w:basedOn w:val="821"/>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8" w:customStyle="1">
    <w:name w:val="List Table 4"/>
    <w:basedOn w:val="82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9" w:customStyle="1">
    <w:name w:val="List Table 4 - Accent 1"/>
    <w:basedOn w:val="82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0" w:customStyle="1">
    <w:name w:val="List Table 4 - Accent 2"/>
    <w:basedOn w:val="821"/>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1" w:customStyle="1">
    <w:name w:val="List Table 4 - Accent 3"/>
    <w:basedOn w:val="821"/>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2" w:customStyle="1">
    <w:name w:val="List Table 4 - Accent 4"/>
    <w:basedOn w:val="821"/>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3" w:customStyle="1">
    <w:name w:val="List Table 4 - Accent 5"/>
    <w:basedOn w:val="821"/>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4" w:customStyle="1">
    <w:name w:val="List Table 4 - Accent 6"/>
    <w:basedOn w:val="821"/>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5" w:customStyle="1">
    <w:name w:val="List Table 5 Dark"/>
    <w:basedOn w:val="82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96" w:customStyle="1">
    <w:name w:val="List Table 5 Dark - Accent 1"/>
    <w:basedOn w:val="82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97" w:customStyle="1">
    <w:name w:val="List Table 5 Dark - Accent 2"/>
    <w:basedOn w:val="821"/>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98" w:customStyle="1">
    <w:name w:val="List Table 5 Dark - Accent 3"/>
    <w:basedOn w:val="821"/>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99" w:customStyle="1">
    <w:name w:val="List Table 5 Dark - Accent 4"/>
    <w:basedOn w:val="821"/>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00" w:customStyle="1">
    <w:name w:val="List Table 5 Dark - Accent 5"/>
    <w:basedOn w:val="821"/>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01" w:customStyle="1">
    <w:name w:val="List Table 5 Dark - Accent 6"/>
    <w:basedOn w:val="821"/>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02" w:customStyle="1">
    <w:name w:val="List Table 6 Colorful"/>
    <w:basedOn w:val="821"/>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6 Colorful - Accent 1"/>
    <w:basedOn w:val="821"/>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6 Colorful - Accent 2"/>
    <w:basedOn w:val="821"/>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6 Colorful - Accent 3"/>
    <w:basedOn w:val="821"/>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6 Colorful - Accent 4"/>
    <w:basedOn w:val="821"/>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6 Colorful - Accent 5"/>
    <w:basedOn w:val="821"/>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6 Colorful - Accent 6"/>
    <w:basedOn w:val="821"/>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7 Colorful"/>
    <w:basedOn w:val="821"/>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7 Colorful - Accent 1"/>
    <w:basedOn w:val="821"/>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7 Colorful - Accent 2"/>
    <w:basedOn w:val="821"/>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7 Colorful - Accent 3"/>
    <w:basedOn w:val="821"/>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7 Colorful - Accent 4"/>
    <w:basedOn w:val="821"/>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7 Colorful - Accent 5"/>
    <w:basedOn w:val="821"/>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7 Colorful - Accent 6"/>
    <w:basedOn w:val="821"/>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ned - Accent"/>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7" w:customStyle="1">
    <w:name w:val="Lined - Accent 1"/>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8" w:customStyle="1">
    <w:name w:val="Lined - Accent 2"/>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9" w:customStyle="1">
    <w:name w:val="Lined - Accent 3"/>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0" w:customStyle="1">
    <w:name w:val="Lined - Accent 4"/>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1" w:customStyle="1">
    <w:name w:val="Lined - Accent 5"/>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2" w:customStyle="1">
    <w:name w:val="Lined - Accent 6"/>
    <w:basedOn w:val="8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3" w:customStyle="1">
    <w:name w:val="Bordered &amp; Lined - Accent"/>
    <w:basedOn w:val="821"/>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4" w:customStyle="1">
    <w:name w:val="Bordered &amp; Lined - Accent 1"/>
    <w:basedOn w:val="82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5" w:customStyle="1">
    <w:name w:val="Bordered &amp; Lined - Accent 2"/>
    <w:basedOn w:val="821"/>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6" w:customStyle="1">
    <w:name w:val="Bordered &amp; Lined - Accent 3"/>
    <w:basedOn w:val="821"/>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7" w:customStyle="1">
    <w:name w:val="Bordered &amp; Lined - Accent 4"/>
    <w:basedOn w:val="821"/>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8" w:customStyle="1">
    <w:name w:val="Bordered &amp; Lined - Accent 5"/>
    <w:basedOn w:val="821"/>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9" w:customStyle="1">
    <w:name w:val="Bordered &amp; Lined - Accent 6"/>
    <w:basedOn w:val="821"/>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0" w:customStyle="1">
    <w:name w:val="Bordered"/>
    <w:basedOn w:val="821"/>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Bordered - Accent 1"/>
    <w:basedOn w:val="82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Bordered - Accent 2"/>
    <w:basedOn w:val="821"/>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Bordered - Accent 3"/>
    <w:basedOn w:val="821"/>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Bordered - Accent 4"/>
    <w:basedOn w:val="821"/>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Bordered - Accent 5"/>
    <w:basedOn w:val="821"/>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Bordered - Accent 6"/>
    <w:basedOn w:val="821"/>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陈岩</cp:lastModifiedBy>
  <cp:revision>3</cp:revision>
  <dcterms:created xsi:type="dcterms:W3CDTF">2024-01-04T03:50:00Z</dcterms:created>
  <dcterms:modified xsi:type="dcterms:W3CDTF">2026-06-12T09:13:30Z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eyJoZGlkIjoiZWUwZWNmZWE3OWVkYWZiY2Q2NmVmNzFhNWU1M2E3MTUiLCJ1c2VySWQiOiI5MjU1NTA0NDYifQ==</vt:lpwstr>
  </property>
  <property fmtid="{D5CDD505-2E9C-101B-9397-08002B2CF9AE}" pid="3" name="KSOProductBuildVer">
    <vt:lpwstr>2052-12.1.0.26895</vt:lpwstr>
  </property>
  <property fmtid="{D5CDD505-2E9C-101B-9397-08002B2CF9AE}" pid="4" name="ICV">
    <vt:lpwstr>A793057FD2C7420B9E9C67E13EA97511_13</vt:lpwstr>
  </property>
</Properties>
</file>