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jc w:val="center"/>
        <w:spacing w:line="360" w:lineRule="auto"/>
        <w:rPr>
          <w:rFonts w:hint="eastAsia" w:ascii="宋体" w:hAnsi="宋体" w:cs="宋体"/>
        </w:rPr>
      </w:pPr>
      <w:r>
        <w:rPr>
          <w:rFonts w:hint="eastAsia" w:ascii="宋体" w:hAnsi="宋体" w:cs="宋体"/>
        </w:rPr>
      </w:r>
      <w:r/>
    </w:p>
    <w:p>
      <w:pPr>
        <w:pStyle w:val="799"/>
        <w:ind w:firstLine="0"/>
        <w:jc w:val="center"/>
        <w:rPr>
          <w:rFonts w:hint="eastAsia" w:ascii="宋体" w:hAnsi="宋体" w:cs="宋体"/>
          <w:b/>
          <w:bCs/>
          <w:sz w:val="84"/>
          <w:szCs w:val="84"/>
        </w:rPr>
      </w:pPr>
      <w:r>
        <w:rPr>
          <w:rFonts w:hint="eastAsia" w:ascii="宋体" w:hAnsi="宋体" w:cs="宋体"/>
          <w:b/>
          <w:bCs/>
          <w:sz w:val="84"/>
          <w:szCs w:val="84"/>
        </w:rPr>
      </w:r>
      <w:r/>
    </w:p>
    <w:p>
      <w:pPr>
        <w:pStyle w:val="799"/>
        <w:ind w:firstLine="0"/>
        <w:jc w:val="center"/>
        <w:rPr>
          <w:rFonts w:hint="eastAsia" w:ascii="宋体" w:hAnsi="宋体" w:cs="宋体"/>
          <w:b/>
          <w:bCs/>
          <w:sz w:val="84"/>
          <w:szCs w:val="84"/>
        </w:rPr>
      </w:pPr>
      <w:r>
        <w:rPr>
          <w:rFonts w:hint="eastAsia" w:ascii="宋体" w:hAnsi="宋体" w:cs="宋体"/>
          <w:b/>
          <w:bCs/>
          <w:sz w:val="96"/>
          <w:szCs w:val="96"/>
        </w:rPr>
        <w:t xml:space="preserve">招　标　文　件</w:t>
      </w:r>
      <w:r>
        <w:rPr>
          <w:rFonts w:hint="eastAsia" w:ascii="宋体" w:hAnsi="宋体" w:cs="宋体"/>
          <w:b/>
          <w:bCs/>
          <w:sz w:val="84"/>
          <w:szCs w:val="84"/>
        </w:rPr>
      </w:r>
      <w:r/>
    </w:p>
    <w:p>
      <w:pPr>
        <w:pStyle w:val="799"/>
        <w:ind w:firstLine="0"/>
        <w:jc w:val="center"/>
        <w:rPr>
          <w:rFonts w:hint="eastAsia" w:ascii="宋体" w:hAnsi="宋体" w:cs="宋体"/>
          <w:b/>
          <w:bCs/>
          <w:sz w:val="36"/>
          <w:szCs w:val="36"/>
        </w:rPr>
      </w:pPr>
      <w:r>
        <w:rPr>
          <w:rFonts w:hint="eastAsia" w:ascii="宋体" w:hAnsi="宋体" w:cs="宋体"/>
          <w:b/>
          <w:bCs/>
          <w:sz w:val="36"/>
          <w:szCs w:val="36"/>
        </w:rPr>
      </w:r>
      <w:r/>
    </w:p>
    <w:p>
      <w:pPr>
        <w:pStyle w:val="799"/>
        <w:ind w:firstLine="0"/>
        <w:jc w:val="center"/>
        <w:rPr>
          <w:rFonts w:hint="eastAsia" w:ascii="宋体" w:hAnsi="宋体" w:cs="宋体"/>
          <w:b/>
          <w:bCs/>
          <w:sz w:val="36"/>
          <w:szCs w:val="36"/>
        </w:rPr>
      </w:pPr>
      <w:r>
        <w:rPr>
          <w:rFonts w:hint="eastAsia" w:ascii="宋体" w:hAnsi="宋体" w:cs="宋体"/>
          <w:b/>
          <w:bCs/>
          <w:sz w:val="36"/>
          <w:szCs w:val="36"/>
        </w:rPr>
      </w:r>
      <w:r/>
    </w:p>
    <w:p>
      <w:pPr>
        <w:pStyle w:val="799"/>
        <w:ind w:firstLine="0"/>
        <w:jc w:val="center"/>
        <w:rPr>
          <w:rFonts w:hint="eastAsia" w:ascii="宋体" w:hAnsi="宋体" w:cs="宋体"/>
          <w:b/>
          <w:bCs/>
          <w:sz w:val="36"/>
          <w:szCs w:val="36"/>
        </w:rPr>
      </w:pPr>
      <w:r>
        <w:rPr>
          <w:rFonts w:hint="eastAsia" w:ascii="宋体" w:hAnsi="宋体" w:cs="宋体"/>
          <w:b/>
          <w:bCs/>
          <w:sz w:val="36"/>
          <w:szCs w:val="36"/>
        </w:rPr>
      </w:r>
      <w:r/>
    </w:p>
    <w:p>
      <w:pPr>
        <w:pStyle w:val="799"/>
        <w:ind w:firstLine="0"/>
        <w:jc w:val="center"/>
        <w:spacing w:line="600" w:lineRule="auto"/>
        <w:rPr>
          <w:rFonts w:hint="eastAsia" w:ascii="宋体" w:hAnsi="宋体" w:cs="宋体"/>
          <w:b/>
          <w:bCs/>
          <w:sz w:val="36"/>
          <w:szCs w:val="36"/>
        </w:rPr>
      </w:pPr>
      <w:r/>
      <w:bookmarkStart w:id="0" w:name="OLE_LINK18"/>
      <w:r>
        <w:rPr>
          <w:rFonts w:hint="eastAsia" w:ascii="宋体" w:hAnsi="宋体" w:cs="宋体"/>
          <w:b/>
          <w:bCs/>
          <w:sz w:val="36"/>
          <w:szCs w:val="36"/>
        </w:rPr>
        <w:t xml:space="preserve">项目名称：2026年数字资源库采购</w:t>
      </w:r>
      <w:r>
        <w:rPr>
          <w:rFonts w:hint="eastAsia" w:ascii="宋体" w:hAnsi="宋体" w:cs="宋体"/>
          <w:b/>
          <w:bCs/>
          <w:sz w:val="36"/>
          <w:szCs w:val="36"/>
        </w:rPr>
      </w:r>
      <w:r/>
    </w:p>
    <w:p>
      <w:pPr>
        <w:pStyle w:val="799"/>
        <w:ind w:firstLine="1807"/>
        <w:jc w:val="both"/>
        <w:spacing w:line="600" w:lineRule="auto"/>
        <w:rPr>
          <w:rFonts w:hint="eastAsia" w:ascii="宋体" w:hAnsi="宋体" w:eastAsia="宋体" w:cs="宋体"/>
          <w:b/>
          <w:bCs/>
          <w:sz w:val="36"/>
          <w:szCs w:val="36"/>
          <w:lang w:eastAsia="zh-CN"/>
        </w:rPr>
      </w:pPr>
      <w:r>
        <w:rPr>
          <w:rFonts w:hint="eastAsia" w:ascii="宋体" w:hAnsi="宋体" w:cs="宋体"/>
          <w:b/>
          <w:bCs/>
          <w:sz w:val="36"/>
          <w:szCs w:val="36"/>
        </w:rPr>
        <w:t xml:space="preserve">项目编号：</w:t>
      </w:r>
      <w:r>
        <w:rPr>
          <w:rFonts w:hint="eastAsia" w:ascii="宋体" w:hAnsi="宋体" w:cs="宋体"/>
          <w:b/>
          <w:bCs/>
          <w:sz w:val="36"/>
          <w:szCs w:val="36"/>
          <w:lang w:eastAsia="zh-CN"/>
        </w:rPr>
        <w:t xml:space="preserve">JSZC-320000-DCXG-G2026-0005</w:t>
      </w:r>
      <w:r>
        <w:rPr>
          <w:rFonts w:hint="eastAsia" w:ascii="宋体" w:hAnsi="宋体" w:eastAsia="宋体" w:cs="宋体"/>
          <w:b/>
          <w:bCs/>
          <w:sz w:val="36"/>
          <w:szCs w:val="36"/>
          <w:lang w:eastAsia="zh-CN"/>
        </w:rPr>
      </w:r>
      <w:r/>
    </w:p>
    <w:p>
      <w:pPr>
        <w:pStyle w:val="799"/>
        <w:ind w:firstLine="0"/>
        <w:jc w:val="left"/>
        <w:rPr>
          <w:rFonts w:hint="eastAsia" w:ascii="宋体" w:hAnsi="宋体" w:cs="宋体"/>
          <w:b/>
          <w:bCs/>
          <w:sz w:val="36"/>
          <w:szCs w:val="36"/>
        </w:rPr>
      </w:pPr>
      <w:r>
        <w:rPr>
          <w:rFonts w:hint="eastAsia" w:ascii="宋体" w:hAnsi="宋体" w:cs="宋体"/>
          <w:b/>
          <w:bCs/>
          <w:sz w:val="36"/>
          <w:szCs w:val="36"/>
        </w:rPr>
      </w:r>
      <w:r/>
    </w:p>
    <w:p>
      <w:pPr>
        <w:pStyle w:val="799"/>
        <w:ind w:firstLine="0"/>
        <w:jc w:val="center"/>
        <w:rPr>
          <w:rFonts w:hint="eastAsia" w:ascii="宋体" w:hAnsi="宋体" w:cs="宋体"/>
          <w:b/>
          <w:bCs/>
          <w:sz w:val="36"/>
          <w:szCs w:val="36"/>
        </w:rPr>
      </w:pPr>
      <w:r>
        <w:rPr>
          <w:rFonts w:hint="eastAsia" w:ascii="宋体" w:hAnsi="宋体" w:cs="宋体"/>
          <w:b/>
          <w:bCs/>
          <w:sz w:val="36"/>
          <w:szCs w:val="36"/>
        </w:rPr>
      </w:r>
      <w:r/>
    </w:p>
    <w:p>
      <w:pPr>
        <w:pStyle w:val="799"/>
        <w:ind w:firstLine="0"/>
        <w:jc w:val="center"/>
        <w:rPr>
          <w:rFonts w:hint="eastAsia" w:ascii="宋体" w:hAnsi="宋体" w:cs="宋体"/>
          <w:b/>
          <w:bCs/>
          <w:sz w:val="36"/>
          <w:szCs w:val="36"/>
        </w:rPr>
      </w:pPr>
      <w:r>
        <w:rPr>
          <w:rFonts w:hint="eastAsia" w:ascii="宋体" w:hAnsi="宋体" w:cs="宋体"/>
          <w:b/>
          <w:bCs/>
          <w:sz w:val="36"/>
          <w:szCs w:val="36"/>
        </w:rPr>
      </w:r>
      <w:r/>
    </w:p>
    <w:p>
      <w:pPr>
        <w:pStyle w:val="799"/>
        <w:ind w:firstLine="1928"/>
        <w:jc w:val="both"/>
        <w:rPr>
          <w:rFonts w:hint="eastAsia" w:ascii="宋体" w:hAnsi="宋体" w:cs="宋体"/>
          <w:b/>
          <w:bCs/>
          <w:sz w:val="32"/>
          <w:szCs w:val="32"/>
        </w:rPr>
      </w:pPr>
      <w:r>
        <w:rPr>
          <w:rFonts w:hint="eastAsia" w:ascii="宋体" w:hAnsi="宋体" w:cs="宋体"/>
          <w:b/>
          <w:bCs/>
          <w:sz w:val="32"/>
          <w:szCs w:val="32"/>
        </w:rPr>
        <w:t xml:space="preserve">采 购 人：南京艺术学院</w:t>
      </w:r>
      <w:r>
        <w:rPr>
          <w:rFonts w:hint="eastAsia" w:ascii="宋体" w:hAnsi="宋体" w:cs="宋体"/>
          <w:b/>
          <w:bCs/>
          <w:sz w:val="32"/>
          <w:szCs w:val="32"/>
        </w:rPr>
      </w:r>
      <w:r/>
    </w:p>
    <w:p>
      <w:pPr>
        <w:pStyle w:val="799"/>
        <w:ind w:firstLine="1928"/>
        <w:jc w:val="both"/>
        <w:rPr>
          <w:rFonts w:hint="eastAsia" w:ascii="宋体" w:hAnsi="宋体" w:cs="宋体"/>
          <w:b/>
          <w:bCs/>
          <w:sz w:val="32"/>
          <w:szCs w:val="32"/>
        </w:rPr>
      </w:pPr>
      <w:r>
        <w:rPr>
          <w:rFonts w:hint="eastAsia" w:ascii="宋体" w:hAnsi="宋体" w:cs="宋体"/>
          <w:b/>
          <w:bCs/>
          <w:sz w:val="32"/>
          <w:szCs w:val="32"/>
        </w:rPr>
        <w:t xml:space="preserve">代理机构：南京达琛鑫工程咨询有限公司</w:t>
      </w:r>
      <w:r>
        <w:rPr>
          <w:rFonts w:hint="eastAsia" w:ascii="宋体" w:hAnsi="宋体" w:cs="宋体"/>
          <w:b/>
          <w:bCs/>
          <w:sz w:val="32"/>
          <w:szCs w:val="32"/>
        </w:rPr>
      </w:r>
      <w:r/>
    </w:p>
    <w:p>
      <w:pPr>
        <w:pStyle w:val="799"/>
        <w:ind w:firstLine="0"/>
        <w:jc w:val="center"/>
        <w:rPr>
          <w:rFonts w:hint="eastAsia" w:ascii="宋体" w:hAnsi="宋体" w:cs="宋体"/>
          <w:b/>
          <w:bCs/>
          <w:sz w:val="32"/>
          <w:szCs w:val="32"/>
        </w:rPr>
      </w:pPr>
      <w:r>
        <w:rPr>
          <w:rFonts w:hint="eastAsia" w:ascii="宋体" w:hAnsi="宋体" w:cs="宋体"/>
          <w:b/>
          <w:bCs/>
          <w:sz w:val="32"/>
          <w:szCs w:val="32"/>
        </w:rPr>
        <w:t xml:space="preserve">二 ○ 二 六 年 </w:t>
      </w: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 月</w:t>
      </w:r>
      <w:r>
        <w:rPr>
          <w:rFonts w:hint="eastAsia" w:ascii="宋体" w:hAnsi="宋体" w:cs="宋体"/>
          <w:b/>
          <w:bCs/>
          <w:sz w:val="32"/>
          <w:szCs w:val="32"/>
        </w:rPr>
      </w:r>
      <w:r/>
      <w:r>
        <w:rPr>
          <w:rFonts w:hint="eastAsia"/>
          <w:b/>
          <w:bCs/>
          <w:sz w:val="36"/>
          <w:szCs w:val="36"/>
        </w:rPr>
      </w:r>
      <w:r/>
      <w:r>
        <w:rPr>
          <w:rFonts w:hint="eastAsia" w:ascii="宋体" w:hAnsi="宋体" w:cs="宋体"/>
          <w:b/>
          <w:bCs/>
          <w:sz w:val="32"/>
          <w:szCs w:val="32"/>
        </w:rPr>
      </w:r>
    </w:p>
    <w:p>
      <w:pPr>
        <w:pStyle w:val="741"/>
        <w:ind w:firstLine="640"/>
        <w:jc w:val="center"/>
        <w:spacing w:line="360" w:lineRule="auto"/>
        <w:rPr>
          <w:rFonts w:hint="eastAsia" w:ascii="宋体" w:hAnsi="宋体" w:cs="宋体"/>
          <w:sz w:val="32"/>
          <w:szCs w:val="32"/>
        </w:rPr>
      </w:pPr>
      <w:r>
        <w:rPr>
          <w:rFonts w:hint="eastAsia" w:ascii="宋体" w:hAnsi="宋体" w:cs="宋体"/>
          <w:sz w:val="32"/>
          <w:szCs w:val="32"/>
        </w:rPr>
        <w:t xml:space="preserve">目录</w:t>
      </w:r>
      <w:r>
        <w:rPr>
          <w:rFonts w:hint="eastAsia" w:ascii="宋体" w:hAnsi="宋体" w:cs="宋体"/>
          <w:sz w:val="32"/>
          <w:szCs w:val="32"/>
        </w:rPr>
      </w:r>
      <w:r/>
    </w:p>
    <w:p>
      <w:pPr>
        <w:pStyle w:val="775"/>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_Toc10311 </w:instrText>
      </w:r>
      <w:r>
        <w:rPr>
          <w:rFonts w:hint="eastAsia"/>
        </w:rPr>
        <w:fldChar w:fldCharType="separate"/>
      </w:r>
      <w:r>
        <w:rPr>
          <w:rFonts w:hint="eastAsia"/>
          <w:bCs/>
        </w:rPr>
        <w:t xml:space="preserve">第一章  投标邀请（招标公告）</w:t>
      </w:r>
      <w:r>
        <w:rPr>
          <w:rFonts w:hint="eastAsia"/>
        </w:rPr>
        <w:tab/>
      </w:r>
      <w:r>
        <w:rPr>
          <w:rFonts w:hint="eastAsia"/>
        </w:rPr>
        <w:fldChar w:fldCharType="begin"/>
      </w:r>
      <w:r>
        <w:rPr>
          <w:rFonts w:hint="eastAsia"/>
        </w:rPr>
        <w:instrText xml:space="preserve"> PAGEREF _Toc10311 \h </w:instrText>
      </w:r>
      <w:r>
        <w:rPr>
          <w:rFonts w:hint="eastAsia"/>
        </w:rPr>
        <w:fldChar w:fldCharType="separate"/>
      </w:r>
      <w:r>
        <w:rPr>
          <w:rFonts w:hint="eastAsia"/>
        </w:rPr>
        <w:t xml:space="preserve">1</w:t>
      </w:r>
      <w:r>
        <w:rPr>
          <w:rFonts w:hint="eastAsia"/>
        </w:rPr>
        <w:fldChar w:fldCharType="end"/>
      </w:r>
      <w:r>
        <w:rPr>
          <w:rFonts w:hint="eastAsia"/>
        </w:rPr>
        <w:fldChar w:fldCharType="end"/>
      </w:r>
      <w:r>
        <w:rPr>
          <w:rFonts w:hint="eastAsia"/>
        </w:rPr>
      </w:r>
      <w:r/>
    </w:p>
    <w:p>
      <w:pPr>
        <w:pStyle w:val="775"/>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_Toc14634 </w:instrText>
      </w:r>
      <w:r>
        <w:rPr>
          <w:rFonts w:hint="eastAsia"/>
        </w:rPr>
        <w:fldChar w:fldCharType="separate"/>
      </w:r>
      <w:r>
        <w:rPr>
          <w:rFonts w:hint="eastAsia"/>
          <w:bCs/>
        </w:rPr>
        <w:t xml:space="preserve">第二章  投标人须知</w:t>
      </w:r>
      <w:r>
        <w:rPr>
          <w:rFonts w:hint="eastAsia"/>
        </w:rPr>
        <w:tab/>
      </w:r>
      <w:r>
        <w:rPr>
          <w:rFonts w:hint="eastAsia"/>
        </w:rPr>
        <w:fldChar w:fldCharType="begin"/>
      </w:r>
      <w:r>
        <w:rPr>
          <w:rFonts w:hint="eastAsia"/>
        </w:rPr>
        <w:instrText xml:space="preserve"> PAGEREF _Toc14634 \h </w:instrText>
      </w:r>
      <w:r>
        <w:rPr>
          <w:rFonts w:hint="eastAsia"/>
        </w:rPr>
        <w:fldChar w:fldCharType="separate"/>
      </w:r>
      <w:r>
        <w:rPr>
          <w:rFonts w:hint="eastAsia"/>
        </w:rPr>
        <w:t xml:space="preserve">6</w:t>
      </w:r>
      <w:r>
        <w:rPr>
          <w:rFonts w:hint="eastAsia"/>
        </w:rPr>
        <w:fldChar w:fldCharType="end"/>
      </w:r>
      <w:r>
        <w:rPr>
          <w:rFonts w:hint="eastAsia"/>
        </w:rPr>
        <w:fldChar w:fldCharType="end"/>
      </w:r>
      <w:r>
        <w:rPr>
          <w:rFonts w:hint="eastAsia"/>
        </w:rPr>
      </w:r>
      <w:r/>
    </w:p>
    <w:p>
      <w:pPr>
        <w:pStyle w:val="775"/>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_Toc17819 </w:instrText>
      </w:r>
      <w:r>
        <w:rPr>
          <w:rFonts w:hint="eastAsia"/>
        </w:rPr>
        <w:fldChar w:fldCharType="separate"/>
      </w:r>
      <w:r>
        <w:rPr>
          <w:rFonts w:hint="eastAsia"/>
          <w:bCs/>
          <w:szCs w:val="44"/>
        </w:rPr>
        <w:t xml:space="preserve">第三章  合同条款及格式</w:t>
      </w:r>
      <w:r>
        <w:rPr>
          <w:rFonts w:hint="eastAsia"/>
        </w:rPr>
        <w:tab/>
      </w:r>
      <w:r>
        <w:rPr>
          <w:rFonts w:hint="eastAsia"/>
        </w:rPr>
        <w:fldChar w:fldCharType="begin"/>
      </w:r>
      <w:r>
        <w:rPr>
          <w:rFonts w:hint="eastAsia"/>
        </w:rPr>
        <w:instrText xml:space="preserve"> PAGEREF _Toc17819 \h </w:instrText>
      </w:r>
      <w:r>
        <w:rPr>
          <w:rFonts w:hint="eastAsia"/>
        </w:rPr>
        <w:fldChar w:fldCharType="separate"/>
      </w:r>
      <w:r>
        <w:rPr>
          <w:rFonts w:hint="eastAsia"/>
        </w:rPr>
        <w:t xml:space="preserve">19</w:t>
      </w:r>
      <w:r>
        <w:rPr>
          <w:rFonts w:hint="eastAsia"/>
        </w:rPr>
        <w:fldChar w:fldCharType="end"/>
      </w:r>
      <w:r>
        <w:rPr>
          <w:rFonts w:hint="eastAsia"/>
        </w:rPr>
        <w:fldChar w:fldCharType="end"/>
      </w:r>
      <w:r>
        <w:rPr>
          <w:rFonts w:hint="eastAsia"/>
        </w:rPr>
      </w:r>
      <w:r/>
    </w:p>
    <w:p>
      <w:pPr>
        <w:pStyle w:val="775"/>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_Toc27884 </w:instrText>
      </w:r>
      <w:r>
        <w:rPr>
          <w:rFonts w:hint="eastAsia"/>
        </w:rPr>
        <w:fldChar w:fldCharType="separate"/>
      </w:r>
      <w:r>
        <w:rPr>
          <w:rFonts w:hint="eastAsia"/>
          <w:bCs/>
          <w:szCs w:val="44"/>
        </w:rPr>
        <w:t xml:space="preserve">第四章  项目需求</w:t>
      </w:r>
      <w:r>
        <w:rPr>
          <w:rFonts w:hint="eastAsia"/>
        </w:rPr>
        <w:tab/>
      </w:r>
      <w:r>
        <w:rPr>
          <w:rFonts w:hint="eastAsia"/>
        </w:rPr>
        <w:fldChar w:fldCharType="begin"/>
      </w:r>
      <w:r>
        <w:rPr>
          <w:rFonts w:hint="eastAsia"/>
        </w:rPr>
        <w:instrText xml:space="preserve"> PAGEREF _Toc27884 \h </w:instrText>
      </w:r>
      <w:r>
        <w:rPr>
          <w:rFonts w:hint="eastAsia"/>
        </w:rPr>
        <w:fldChar w:fldCharType="separate"/>
      </w:r>
      <w:r>
        <w:rPr>
          <w:rFonts w:hint="eastAsia"/>
        </w:rPr>
        <w:t xml:space="preserve">23</w:t>
      </w:r>
      <w:r>
        <w:rPr>
          <w:rFonts w:hint="eastAsia"/>
        </w:rPr>
        <w:fldChar w:fldCharType="end"/>
      </w:r>
      <w:r>
        <w:rPr>
          <w:rFonts w:hint="eastAsia"/>
        </w:rPr>
        <w:fldChar w:fldCharType="end"/>
      </w:r>
      <w:r>
        <w:rPr>
          <w:rFonts w:hint="eastAsia"/>
        </w:rPr>
      </w:r>
      <w:r/>
    </w:p>
    <w:p>
      <w:pPr>
        <w:pStyle w:val="775"/>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_Toc13118 </w:instrText>
      </w:r>
      <w:r>
        <w:rPr>
          <w:rFonts w:hint="eastAsia"/>
        </w:rPr>
        <w:fldChar w:fldCharType="separate"/>
      </w:r>
      <w:r>
        <w:rPr>
          <w:rFonts w:hint="eastAsia"/>
        </w:rPr>
        <w:t xml:space="preserve">第五章  评标方法与评标标准</w:t>
      </w:r>
      <w:r>
        <w:rPr>
          <w:rFonts w:hint="eastAsia"/>
        </w:rPr>
        <w:tab/>
      </w:r>
      <w:r>
        <w:rPr>
          <w:rFonts w:hint="eastAsia"/>
        </w:rPr>
        <w:fldChar w:fldCharType="begin"/>
      </w:r>
      <w:r>
        <w:rPr>
          <w:rFonts w:hint="eastAsia"/>
        </w:rPr>
        <w:instrText xml:space="preserve"> PAGEREF _Toc13118 \h </w:instrText>
      </w:r>
      <w:r>
        <w:rPr>
          <w:rFonts w:hint="eastAsia"/>
        </w:rPr>
        <w:fldChar w:fldCharType="separate"/>
      </w:r>
      <w:r>
        <w:rPr>
          <w:rFonts w:hint="eastAsia"/>
        </w:rPr>
        <w:t xml:space="preserve">47</w:t>
      </w:r>
      <w:r>
        <w:rPr>
          <w:rFonts w:hint="eastAsia"/>
        </w:rPr>
        <w:fldChar w:fldCharType="end"/>
      </w:r>
      <w:r>
        <w:rPr>
          <w:rFonts w:hint="eastAsia"/>
        </w:rPr>
        <w:fldChar w:fldCharType="end"/>
      </w:r>
      <w:r>
        <w:rPr>
          <w:rFonts w:hint="eastAsia"/>
        </w:rPr>
      </w:r>
      <w:r/>
    </w:p>
    <w:p>
      <w:pPr>
        <w:pStyle w:val="775"/>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_Toc1249 </w:instrText>
      </w:r>
      <w:r>
        <w:rPr>
          <w:rFonts w:hint="eastAsia"/>
        </w:rPr>
        <w:fldChar w:fldCharType="separate"/>
      </w:r>
      <w:r>
        <w:rPr>
          <w:rFonts w:hint="eastAsia"/>
          <w:bCs/>
          <w:szCs w:val="40"/>
        </w:rPr>
        <w:t xml:space="preserve">第六章  投标文件格式</w:t>
      </w:r>
      <w:r>
        <w:rPr>
          <w:rFonts w:hint="eastAsia"/>
        </w:rPr>
        <w:tab/>
      </w:r>
      <w:r>
        <w:rPr>
          <w:rFonts w:hint="eastAsia"/>
        </w:rPr>
        <w:fldChar w:fldCharType="begin"/>
      </w:r>
      <w:r>
        <w:rPr>
          <w:rFonts w:hint="eastAsia"/>
        </w:rPr>
        <w:instrText xml:space="preserve"> PAGEREF _Toc1249 \h </w:instrText>
      </w:r>
      <w:r>
        <w:rPr>
          <w:rFonts w:hint="eastAsia"/>
        </w:rPr>
        <w:fldChar w:fldCharType="separate"/>
      </w:r>
      <w:r>
        <w:rPr>
          <w:rFonts w:hint="eastAsia"/>
        </w:rPr>
        <w:t xml:space="preserve">68</w:t>
      </w:r>
      <w:r>
        <w:rPr>
          <w:rFonts w:hint="eastAsia"/>
        </w:rPr>
        <w:fldChar w:fldCharType="end"/>
      </w:r>
      <w:r>
        <w:rPr>
          <w:rFonts w:hint="eastAsia"/>
        </w:rPr>
        <w:fldChar w:fldCharType="end"/>
      </w:r>
      <w:r>
        <w:rPr>
          <w:rFonts w:hint="eastAsia"/>
        </w:rPr>
      </w:r>
      <w:r/>
    </w:p>
    <w:p>
      <w:pPr>
        <w:pStyle w:val="741"/>
        <w:spacing w:line="360" w:lineRule="auto"/>
        <w:rPr>
          <w:rFonts w:hint="eastAsia" w:ascii="宋体" w:hAnsi="宋体" w:cs="宋体"/>
        </w:rPr>
      </w:pPr>
      <w:r>
        <w:rPr>
          <w:rFonts w:hint="eastAsia" w:ascii="宋体" w:hAnsi="宋体" w:cs="宋体"/>
        </w:rPr>
        <w:fldChar w:fldCharType="end"/>
      </w:r>
      <w:r>
        <w:rPr>
          <w:rFonts w:hint="eastAsia" w:ascii="宋体" w:hAnsi="宋体" w:cs="宋体"/>
        </w:rPr>
      </w:r>
      <w:r/>
    </w:p>
    <w:p>
      <w:pPr>
        <w:pStyle w:val="775"/>
        <w:ind w:firstLine="0"/>
        <w:jc w:val="center"/>
        <w:pageBreakBefore/>
        <w:spacing w:before="0" w:after="0" w:line="360" w:lineRule="auto"/>
        <w:tabs>
          <w:tab w:val="clear" w:pos="8720" w:leader="none"/>
        </w:tabs>
        <w:rPr>
          <w:rFonts w:hint="eastAsia"/>
          <w:sz w:val="4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253" w:right="1253" w:bottom="1253" w:left="1253" w:header="851" w:footer="992" w:gutter="0"/>
          <w:pgNumType w:start="1"/>
          <w:cols w:num="1" w:sep="0" w:space="1701" w:equalWidth="1"/>
          <w:docGrid w:linePitch="360"/>
        </w:sectPr>
        <w:outlineLvl w:val="0"/>
      </w:pPr>
      <w:r>
        <w:rPr>
          <w:rFonts w:hint="eastAsia"/>
          <w:sz w:val="40"/>
        </w:rPr>
      </w:r>
      <w:r/>
    </w:p>
    <w:p>
      <w:pPr>
        <w:pStyle w:val="775"/>
        <w:ind w:firstLine="0"/>
        <w:jc w:val="center"/>
        <w:pageBreakBefore/>
        <w:spacing w:before="0" w:after="0" w:line="360" w:lineRule="auto"/>
        <w:tabs>
          <w:tab w:val="clear" w:pos="8720" w:leader="none"/>
        </w:tabs>
        <w:rPr>
          <w:rFonts w:hint="eastAsia"/>
          <w:b/>
          <w:bCs/>
          <w:sz w:val="40"/>
        </w:rPr>
        <w:outlineLvl w:val="0"/>
      </w:pPr>
      <w:r/>
      <w:bookmarkStart w:id="1" w:name="_Toc19432"/>
      <w:r/>
      <w:bookmarkStart w:id="2" w:name="_Toc10311"/>
      <w:r/>
      <w:bookmarkStart w:id="3" w:name="_Toc23401"/>
      <w:r/>
      <w:bookmarkStart w:id="4" w:name="_Toc5560"/>
      <w:r/>
      <w:bookmarkStart w:id="5" w:name="_Toc2468"/>
      <w:r/>
      <w:bookmarkStart w:id="6" w:name="_Toc24877"/>
      <w:r/>
      <w:bookmarkStart w:id="7" w:name="_Toc1225"/>
      <w:r/>
      <w:bookmarkStart w:id="8" w:name="_Toc8881"/>
      <w:r/>
      <w:bookmarkStart w:id="9" w:name="_Toc29297"/>
      <w:r/>
      <w:bookmarkStart w:id="10" w:name="_Toc19635"/>
      <w:r/>
      <w:bookmarkStart w:id="11" w:name="_Toc996"/>
      <w:r/>
      <w:bookmarkStart w:id="12" w:name="_Toc7300"/>
      <w:r/>
      <w:bookmarkStart w:id="13" w:name="_Toc7725"/>
      <w:r>
        <w:rPr>
          <w:rFonts w:hint="eastAsia"/>
          <w:b/>
          <w:bCs/>
          <w:sz w:val="40"/>
        </w:rPr>
        <w:t xml:space="preserve">第一章  投标邀请</w:t>
      </w:r>
      <w:bookmarkEnd w:id="1"/>
      <w:r>
        <w:rPr>
          <w:rFonts w:hint="eastAsia"/>
          <w:b/>
          <w:bCs/>
          <w:sz w:val="40"/>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rPr>
          <w:rFonts w:hint="eastAsia"/>
          <w:b/>
          <w:bCs/>
          <w:sz w:val="40"/>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spacing w:line="360" w:lineRule="auto"/>
        <w:rPr>
          <w:rFonts w:hint="eastAsia" w:ascii="宋体" w:hAnsi="宋体" w:cs="宋体"/>
          <w:sz w:val="24"/>
          <w:szCs w:val="24"/>
        </w:rPr>
        <w:pBdr>
          <w:top w:val="single" w:color="000000" w:sz="4" w:space="1"/>
          <w:left w:val="single" w:color="000000" w:sz="4" w:space="0"/>
          <w:bottom w:val="single" w:color="000000" w:sz="4" w:space="1"/>
          <w:right w:val="single" w:color="000000" w:sz="4" w:space="4"/>
        </w:pBdr>
      </w:pPr>
      <w:r>
        <w:rPr>
          <w:rFonts w:hint="eastAsia" w:ascii="宋体" w:hAnsi="宋体" w:cs="宋体"/>
          <w:b/>
          <w:bCs/>
          <w:sz w:val="24"/>
          <w:szCs w:val="24"/>
        </w:rPr>
        <w:t xml:space="preserve">项目概况：</w:t>
      </w:r>
      <w:r>
        <w:rPr>
          <w:rFonts w:hint="eastAsia" w:ascii="宋体" w:hAnsi="宋体" w:cs="宋体"/>
          <w:b/>
          <w:bCs/>
          <w:sz w:val="24"/>
          <w:szCs w:val="24"/>
          <w:u w:val="single"/>
        </w:rPr>
        <w:t xml:space="preserve">2026年数字资源库采购</w:t>
      </w:r>
      <w:r>
        <w:rPr>
          <w:rFonts w:hint="eastAsia" w:ascii="宋体" w:hAnsi="宋体" w:cs="宋体"/>
          <w:sz w:val="24"/>
          <w:szCs w:val="24"/>
        </w:rPr>
        <w:t xml:space="preserve">的潜在投标人应在“苏采云”系统内下载（投标人必须在苏采云系统中获取采购文件，方能参与政府采购项目）获取招标文件，并于2026年</w:t>
      </w:r>
      <w:r>
        <w:rPr>
          <w:rFonts w:hint="eastAsia" w:ascii="宋体" w:hAnsi="宋体" w:cs="宋体"/>
          <w:sz w:val="24"/>
          <w:szCs w:val="24"/>
          <w:lang w:val="en-US" w:eastAsia="zh-CN"/>
        </w:rPr>
        <w:t xml:space="preserve">06</w:t>
      </w:r>
      <w:r>
        <w:rPr>
          <w:rFonts w:hint="eastAsia" w:ascii="宋体" w:hAnsi="宋体" w:cs="宋体"/>
          <w:sz w:val="24"/>
          <w:szCs w:val="24"/>
        </w:rPr>
        <w:t xml:space="preserve">月</w:t>
      </w:r>
      <w:r>
        <w:rPr>
          <w:rFonts w:hint="eastAsia" w:ascii="宋体" w:hAnsi="宋体" w:cs="宋体"/>
          <w:sz w:val="24"/>
          <w:szCs w:val="24"/>
          <w:lang w:val="en-US" w:eastAsia="zh-CN"/>
        </w:rPr>
        <w:t xml:space="preserve">1</w:t>
      </w:r>
      <w:r>
        <w:rPr>
          <w:rFonts w:hint="eastAsia" w:ascii="宋体" w:hAnsi="宋体" w:cs="宋体"/>
          <w:sz w:val="24"/>
          <w:szCs w:val="24"/>
        </w:rPr>
        <w:t xml:space="preserve">日14:00（北京时间）前上传电子投标文件。</w:t>
      </w:r>
      <w:r>
        <w:rPr>
          <w:rFonts w:hint="eastAsia" w:ascii="宋体" w:hAnsi="宋体" w:cs="宋体"/>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一、项目基本概况</w:t>
      </w:r>
      <w:r>
        <w:rPr>
          <w:rFonts w:hint="eastAsia" w:ascii="宋体" w:hAnsi="宋体" w:cs="宋体"/>
          <w:b/>
          <w:bCs/>
          <w:sz w:val="24"/>
          <w:szCs w:val="24"/>
        </w:rPr>
      </w:r>
      <w:r/>
    </w:p>
    <w:p>
      <w:pPr>
        <w:pStyle w:val="741"/>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JSZC-320000-DCXG-G2026-0005</w:t>
      </w:r>
      <w:r>
        <w:rPr>
          <w:rFonts w:hint="eastAsia" w:ascii="宋体" w:hAnsi="宋体" w:eastAsia="宋体" w:cs="宋体"/>
          <w:sz w:val="24"/>
          <w:szCs w:val="24"/>
          <w:lang w:eastAsia="zh-CN"/>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2、项目名称：2026年数字资源库采购</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3、分包划分：</w:t>
      </w: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分包一：中国知识文献全文数据库；分包二：学术搜索平台；分包三：中国传统音乐数据库；分包四：古典音乐数据库；分包五：台湾学术文献数据库；分包六：中国近代文献全文数据库；分包七：国外硕博论文全文数据库；分包八：国外艺术、设计与建筑学学科数据库；分包九：古籍数据库；分包十：馆配电子图书；分包十一：馆配文献数字化加工。</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4、预算总金额：人民币114.7万元整</w:t>
      </w: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分包一：中国知识文献全文数据库，人民币35.2万元</w:t>
      </w:r>
      <w:r>
        <w:rPr>
          <w:rFonts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分包二：学术搜索平台，人民币10万元</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分包三：中国传统音乐数据库，人民币6.5万元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分包四：古典音乐数据库，人民币5.5万元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分包五：台湾学术文献数据库，人民币9.5万元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分包六：中国近代文献全文数据库，人民币7万元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分包七：国外硕博论文全文数据库，人民币9万元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分包八：国外艺术、设计与建筑学学科数据库，人民币6万元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分包九：古籍数据库，人民币10万元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分包十：馆配电子图书，人民币10万元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分包十一：馆配文献数字化加工，人民币6万元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5、最高限价：人民币114.7万元整</w:t>
      </w: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分包一：中国知识文献全文数据库，人民币35.2万元</w:t>
      </w:r>
      <w:r>
        <w:rPr>
          <w:rFonts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分包二：学术搜索平台，人民币10万元</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分包三：中国传统音乐数据库，人民币6.5万元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分包四：古典音乐数据库，人民币5.5万元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分包五：台湾学术文献数据库，人民币9.5万元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分包六：中国近代文献全文数据库，人民币7万元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分包七：国外硕博论文全文数据库，人民币9万元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分包八：国外艺术、设计与建筑学学科数据库，人民币6万元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分包九：古籍数据库，人民币10万元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分包十：馆配电子图书，人民币10万元</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分包十一：馆配文献数字化加工，人民币6万元</w:t>
      </w:r>
      <w:r>
        <w:rPr>
          <w:rFonts w:hint="eastAsia" w:ascii="宋体" w:hAnsi="宋体" w:cs="宋体"/>
          <w:sz w:val="24"/>
          <w:szCs w:val="24"/>
        </w:rPr>
      </w:r>
      <w:r/>
    </w:p>
    <w:p>
      <w:pPr>
        <w:pStyle w:val="741"/>
        <w:ind w:firstLine="482"/>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 xml:space="preserve">投标报价超过采购预算和最高限价的为无效报价，按照无效投标处理。</w:t>
      </w:r>
      <w:r>
        <w:rPr>
          <w:rFonts w:hint="eastAsia" w:ascii="宋体" w:hAnsi="宋体" w:cs="宋体"/>
          <w:b/>
          <w:bCs/>
          <w:i/>
          <w:iCs/>
          <w:sz w:val="24"/>
          <w:szCs w:val="24"/>
          <w:u w:val="single"/>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6、项目需求（简介）：</w:t>
      </w:r>
      <w:bookmarkStart w:id="14" w:name="OLE_LINK21"/>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lang w:val="zh-CN"/>
        </w:rPr>
        <w:t xml:space="preserve">南京艺术学院拟定采购一</w:t>
      </w:r>
      <w:r>
        <w:rPr>
          <w:rFonts w:hint="eastAsia" w:ascii="宋体" w:hAnsi="宋体" w:cs="宋体"/>
          <w:sz w:val="24"/>
          <w:szCs w:val="24"/>
        </w:rPr>
        <w:t xml:space="preserve">批数字资源库</w:t>
      </w:r>
      <w:r>
        <w:rPr>
          <w:rFonts w:hint="eastAsia" w:ascii="宋体" w:hAnsi="宋体" w:cs="宋体"/>
          <w:sz w:val="24"/>
          <w:szCs w:val="24"/>
          <w:lang w:val="zh-CN"/>
        </w:rPr>
        <w:t xml:space="preserve">，</w:t>
      </w:r>
      <w:r>
        <w:rPr>
          <w:rFonts w:hint="eastAsia" w:ascii="宋体" w:hAnsi="宋体" w:cs="宋体"/>
          <w:sz w:val="24"/>
          <w:szCs w:val="24"/>
        </w:rPr>
        <w:t xml:space="preserve">各分包技术参数详见第四章项目需求。</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lang w:val="zh-CN"/>
        </w:rPr>
        <w:t xml:space="preserve">本项目共划分为</w:t>
      </w:r>
      <w:r>
        <w:rPr>
          <w:rFonts w:hint="eastAsia" w:ascii="宋体" w:hAnsi="宋体" w:cs="宋体"/>
          <w:sz w:val="24"/>
          <w:szCs w:val="24"/>
        </w:rPr>
        <w:t xml:space="preserve">11</w:t>
      </w:r>
      <w:r>
        <w:rPr>
          <w:rFonts w:hint="eastAsia" w:ascii="宋体" w:hAnsi="宋体" w:cs="宋体"/>
          <w:sz w:val="24"/>
          <w:szCs w:val="24"/>
          <w:lang w:val="zh-CN"/>
        </w:rPr>
        <w:t xml:space="preserve">个采购包，评标顺序</w:t>
      </w:r>
      <w:r>
        <w:rPr>
          <w:rFonts w:hint="eastAsia" w:ascii="宋体" w:hAnsi="宋体" w:cs="宋体"/>
          <w:sz w:val="24"/>
          <w:szCs w:val="24"/>
        </w:rPr>
        <w:t xml:space="preserve">按</w:t>
      </w:r>
      <w:r>
        <w:rPr>
          <w:rFonts w:hint="eastAsia" w:ascii="宋体" w:hAnsi="宋体" w:cs="宋体"/>
          <w:sz w:val="24"/>
          <w:szCs w:val="24"/>
          <w:lang w:val="zh-CN"/>
        </w:rPr>
        <w:t xml:space="preserve">采购包1、采购包2、采购包3</w:t>
      </w:r>
      <w:r>
        <w:rPr>
          <w:rFonts w:hint="eastAsia" w:ascii="宋体" w:hAnsi="宋体" w:cs="宋体"/>
          <w:sz w:val="24"/>
          <w:szCs w:val="24"/>
        </w:rPr>
        <w:t xml:space="preserve">...以此类推</w:t>
      </w:r>
      <w:r>
        <w:rPr>
          <w:rFonts w:hint="eastAsia" w:ascii="宋体" w:hAnsi="宋体" w:cs="宋体"/>
          <w:sz w:val="24"/>
          <w:szCs w:val="24"/>
          <w:lang w:val="zh-CN"/>
        </w:rPr>
        <w:t xml:space="preserve">，本项目采用兼投不兼中原则。例如：在分包1中被推荐的第一中标候选人不得成为分包2推荐的第一中标候选人。已在分包1中被推荐的第一中标候选人如在分包2中排名第一，此时分包2的推荐第一中标候选人将顺延至排名第二的中标候选人，以此类推。</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7、合同履行期限：自合同</w:t>
      </w:r>
      <w:r>
        <w:rPr>
          <w:rFonts w:hint="eastAsia" w:ascii="宋体" w:hAnsi="宋体" w:cs="宋体"/>
          <w:sz w:val="24"/>
          <w:szCs w:val="24"/>
          <w:lang w:val="zh-CN"/>
        </w:rPr>
        <w:t xml:space="preserve">签订合同</w:t>
      </w:r>
      <w:r>
        <w:rPr>
          <w:rFonts w:hint="eastAsia" w:ascii="宋体" w:hAnsi="宋体" w:cs="宋体"/>
          <w:sz w:val="24"/>
          <w:szCs w:val="24"/>
        </w:rPr>
        <w:t xml:space="preserve">之日起</w:t>
      </w:r>
      <w:r>
        <w:rPr>
          <w:rFonts w:hint="eastAsia" w:ascii="宋体" w:hAnsi="宋体" w:cs="宋体"/>
          <w:sz w:val="24"/>
          <w:szCs w:val="24"/>
          <w:lang w:val="en-US" w:eastAsia="zh-CN"/>
        </w:rPr>
        <w:t xml:space="preserve">一年内有效</w:t>
      </w:r>
      <w:r>
        <w:rPr>
          <w:rFonts w:hint="eastAsia" w:ascii="宋体" w:hAnsi="宋体" w:cs="宋体"/>
          <w:sz w:val="24"/>
          <w:szCs w:val="24"/>
        </w:rPr>
        <w:t xml:space="preserve">。</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bookmarkEnd w:id="14"/>
      <w:r>
        <w:rPr>
          <w:rFonts w:hint="eastAsia" w:ascii="宋体" w:hAnsi="宋体" w:cs="宋体"/>
          <w:sz w:val="24"/>
          <w:szCs w:val="24"/>
        </w:rPr>
        <w:t xml:space="preserve">8、本项目（是/否）接受联合体：</w:t>
      </w:r>
      <w:r>
        <w:rPr>
          <w:rFonts w:hint="eastAsia" w:ascii="宋体" w:hAnsi="宋体" w:cs="宋体"/>
          <w:b/>
          <w:bCs/>
          <w:sz w:val="24"/>
          <w:szCs w:val="24"/>
          <w:u w:val="single"/>
        </w:rPr>
        <w:t xml:space="preserve">不接受联合体。</w:t>
      </w:r>
      <w:r>
        <w:rPr>
          <w:rFonts w:hint="eastAsia" w:ascii="宋体" w:hAnsi="宋体" w:cs="宋体"/>
          <w:sz w:val="24"/>
          <w:szCs w:val="24"/>
        </w:rPr>
      </w:r>
      <w:r/>
    </w:p>
    <w:p>
      <w:pPr>
        <w:pStyle w:val="741"/>
        <w:ind w:firstLine="482"/>
        <w:spacing w:line="360" w:lineRule="auto"/>
        <w:tabs>
          <w:tab w:val="left" w:pos="7810" w:leader="none"/>
        </w:tabs>
        <w:rPr>
          <w:rFonts w:hint="eastAsia" w:ascii="宋体" w:hAnsi="宋体" w:cs="宋体"/>
          <w:b/>
          <w:bCs/>
          <w:sz w:val="24"/>
          <w:szCs w:val="24"/>
        </w:rPr>
      </w:pPr>
      <w:r>
        <w:rPr>
          <w:rFonts w:hint="eastAsia" w:ascii="宋体" w:hAnsi="宋体" w:cs="宋体"/>
          <w:b/>
          <w:bCs/>
          <w:sz w:val="24"/>
          <w:szCs w:val="24"/>
        </w:rPr>
        <w:t xml:space="preserve">二、申请人的资格要求</w:t>
      </w:r>
      <w:r>
        <w:rPr>
          <w:rFonts w:hint="eastAsia" w:ascii="宋体" w:hAnsi="宋体" w:cs="宋体"/>
          <w:b/>
          <w:bCs/>
          <w:sz w:val="24"/>
          <w:szCs w:val="24"/>
        </w:rPr>
        <w:tab/>
      </w:r>
      <w:r>
        <w:rPr>
          <w:rFonts w:hint="eastAsia" w:ascii="宋体" w:hAnsi="宋体" w:cs="宋体"/>
          <w:b/>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1、具有独立承担民事责任的能力（提供法人或者其他组织的营业执照复印件并加盖公章，或者自然人的身份证明）；</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2、具有良好的商业信誉和健全的财务会计制度（提供2025年度或2024年度的财务报告或银行出具的企业资信证明，法人或者其他组织成立未满一年的可提供近半年内任一月的资产负债和利润表）；</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3、具有履行合同所必需的设备和专业技术能力（根据项目需求提供履行合同所必需的设备和专业技术能力的证明材料或声明函）；</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4、有依法缴纳税收和社会保障资金的良好记录（提供参加本次采购活动前依法缴纳税收及社会保险的凭据。依法免缴、迟缴的应提供相应文件证明）；</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5、参加本次采购活动前3年内在经营活动中没有重大违法记录（提供参加本次采购活动前3年内在经营活动中没有重大违法记录的书面声明）；</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（二）落实政府采购政策需满足的资格要求：本项目不专门面向中小企业采购，执行价格扣除优惠政策。供应商为小微企业的，报价给予</w:t>
      </w:r>
      <w:r>
        <w:rPr>
          <w:rFonts w:hint="eastAsia" w:ascii="宋体" w:hAnsi="宋体" w:cs="宋体"/>
          <w:sz w:val="24"/>
          <w:szCs w:val="24"/>
          <w:u w:val="single"/>
        </w:rPr>
        <w:t xml:space="preserve"> </w:t>
      </w:r>
      <w:r>
        <w:rPr>
          <w:rFonts w:hint="eastAsia" w:ascii="宋体" w:hAnsi="宋体" w:cs="宋体"/>
          <w:b/>
          <w:bCs/>
          <w:sz w:val="24"/>
          <w:szCs w:val="24"/>
          <w:u w:val="single"/>
        </w:rPr>
        <w:t xml:space="preserve">10% </w:t>
      </w:r>
      <w:r>
        <w:rPr>
          <w:rFonts w:hint="eastAsia" w:ascii="宋体" w:hAnsi="宋体" w:cs="宋体"/>
          <w:sz w:val="24"/>
          <w:szCs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sz w:val="24"/>
          <w:szCs w:val="24"/>
        </w:rPr>
      </w:r>
      <w:r/>
    </w:p>
    <w:p>
      <w:pPr>
        <w:pStyle w:val="741"/>
        <w:ind w:firstLine="480"/>
        <w:spacing w:line="360" w:lineRule="auto"/>
        <w:rPr>
          <w:rFonts w:hint="eastAsia" w:ascii="宋体" w:hAnsi="宋体" w:cs="宋体"/>
          <w:b/>
          <w:sz w:val="24"/>
          <w:szCs w:val="24"/>
          <w:u w:val="single"/>
        </w:rPr>
      </w:pPr>
      <w:r>
        <w:rPr>
          <w:rFonts w:hint="eastAsia" w:ascii="宋体" w:hAnsi="宋体" w:cs="宋体"/>
          <w:bCs/>
          <w:sz w:val="24"/>
          <w:szCs w:val="24"/>
        </w:rPr>
        <w:t xml:space="preserve">本项目采购标的对应的中小企业划分标准所属行业为：</w:t>
      </w:r>
      <w:r>
        <w:rPr>
          <w:rFonts w:hint="eastAsia" w:ascii="宋体" w:hAnsi="宋体" w:cs="宋体"/>
          <w:b/>
          <w:sz w:val="24"/>
          <w:szCs w:val="24"/>
          <w:u w:val="single"/>
        </w:rPr>
        <w:t xml:space="preserve">软件和信息技术服务业。</w:t>
      </w:r>
      <w:r>
        <w:rPr>
          <w:rFonts w:hint="eastAsia" w:ascii="宋体" w:hAnsi="宋体" w:cs="宋体"/>
          <w:b/>
          <w:sz w:val="24"/>
          <w:szCs w:val="24"/>
          <w:u w:val="single"/>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（三）其他资格要求：</w:t>
      </w:r>
      <w:r>
        <w:rPr>
          <w:rFonts w:hint="eastAsia" w:ascii="宋体" w:hAnsi="宋体" w:cs="宋体"/>
          <w:b/>
          <w:bCs/>
          <w:sz w:val="24"/>
          <w:szCs w:val="24"/>
        </w:rPr>
        <w:t xml:space="preserve">无。</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（四）拒绝下述投标人参加本次招标活动：</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1、投标人单位负责人为同一人或者存在直接控股、管理关系的不同投标人，不得参加同一合同项下的政府采购活动。</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2、凡为采购项目提供整体设计、规范编制或者项目管理、监理、检测等服务的投标人，不得再参加该采购项目的其他采购活动。</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3、投标人在投标截止日前被“信用中国”网站（www.creditchina.gov.cn）、“中国政府采购网”(www.ccgp.gov.cn)列入失信被执行人、重大税收违法案件当事人名单、政府招标严重违法失信行为记录名单的投标人。（提供网页截图）</w:t>
      </w:r>
      <w:r>
        <w:rPr>
          <w:rFonts w:hint="eastAsia" w:ascii="宋体" w:hAnsi="宋体" w:cs="宋体"/>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 </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2.地点：江苏政府采购网 </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3.方式：在苏采云电子交易平台http://jszfcg.jsczt.cn/首页点击供应商→使用CA锁登录系统(新用户需进行“平台用户注册”)→“项目参与”进行登记，在“可参与项目”中选择“我要参与”，参与成功后到“已参与项目”界面中找到该项目下载电子文件并进行操作，详见《苏采云系统供应商操作手册》。 </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sz w:val="24"/>
          <w:szCs w:val="24"/>
          <w:lang w:val="en-US" w:eastAsia="zh-CN"/>
        </w:rPr>
        <w:t xml:space="preserve">售价</w:t>
      </w:r>
      <w:r>
        <w:rPr>
          <w:rFonts w:hint="eastAsia" w:ascii="宋体" w:hAnsi="宋体" w:cs="宋体"/>
          <w:sz w:val="24"/>
          <w:szCs w:val="24"/>
        </w:rPr>
        <w:t xml:space="preserve">：</w:t>
      </w:r>
      <w:r>
        <w:rPr>
          <w:rFonts w:hint="eastAsia" w:ascii="宋体" w:hAnsi="宋体" w:cs="宋体"/>
          <w:sz w:val="24"/>
          <w:szCs w:val="24"/>
          <w:lang w:val="en-US" w:eastAsia="zh-CN"/>
        </w:rPr>
        <w:t xml:space="preserve">500.00元</w:t>
      </w:r>
      <w:r>
        <w:rPr>
          <w:rFonts w:hint="eastAsia" w:ascii="宋体" w:hAnsi="宋体" w:cs="宋体"/>
          <w:sz w:val="24"/>
          <w:szCs w:val="24"/>
        </w:rPr>
        <w:t xml:space="preserve"> </w:t>
      </w:r>
      <w:r>
        <w:rPr>
          <w:rFonts w:hint="eastAsia" w:ascii="宋体" w:hAnsi="宋体" w:cs="宋体"/>
          <w:sz w:val="24"/>
          <w:szCs w:val="24"/>
        </w:rPr>
      </w:r>
      <w:r/>
    </w:p>
    <w:p>
      <w:pPr>
        <w:pStyle w:val="741"/>
        <w:ind w:firstLine="482"/>
        <w:spacing w:line="360" w:lineRule="auto"/>
        <w:rPr>
          <w:rFonts w:hint="eastAsia" w:ascii="宋体" w:hAnsi="宋体" w:cs="宋体"/>
          <w:b/>
          <w:bCs/>
          <w:sz w:val="24"/>
          <w:szCs w:val="24"/>
        </w:rPr>
      </w:pPr>
      <w:r/>
      <w:bookmarkStart w:id="15" w:name="_Toc24653"/>
      <w:r/>
      <w:bookmarkStart w:id="16" w:name="_Toc14178"/>
      <w:r>
        <w:rPr>
          <w:rFonts w:hint="eastAsia" w:ascii="宋体" w:hAnsi="宋体" w:cs="宋体"/>
          <w:b/>
          <w:bCs/>
          <w:sz w:val="24"/>
          <w:szCs w:val="24"/>
        </w:rPr>
        <w:t xml:space="preserve">四、提交投标文件截止时间和地点</w:t>
      </w:r>
      <w:r>
        <w:rPr>
          <w:rFonts w:hint="eastAsia" w:ascii="宋体" w:hAnsi="宋体" w:cs="宋体"/>
          <w:b/>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1.截止时间：2026-</w:t>
      </w:r>
      <w:r>
        <w:rPr>
          <w:rFonts w:hint="eastAsia" w:ascii="宋体" w:hAnsi="宋体" w:cs="宋体"/>
          <w:sz w:val="24"/>
          <w:szCs w:val="24"/>
          <w:lang w:val="en-US" w:eastAsia="zh-CN"/>
        </w:rPr>
        <w:t xml:space="preserve">06</w:t>
      </w:r>
      <w:r>
        <w:rPr>
          <w:rFonts w:hint="eastAsia" w:ascii="宋体" w:hAnsi="宋体" w:cs="宋体"/>
          <w:sz w:val="24"/>
          <w:szCs w:val="24"/>
        </w:rPr>
        <w:t xml:space="preserve">-</w:t>
      </w:r>
      <w:r>
        <w:rPr>
          <w:rFonts w:hint="eastAsia" w:ascii="宋体" w:hAnsi="宋体" w:cs="宋体"/>
          <w:sz w:val="24"/>
          <w:szCs w:val="24"/>
          <w:lang w:val="en-US" w:eastAsia="zh-CN"/>
        </w:rPr>
        <w:t xml:space="preserve">01</w:t>
      </w:r>
      <w:r>
        <w:rPr>
          <w:rFonts w:hint="eastAsia" w:ascii="宋体" w:hAnsi="宋体" w:cs="宋体"/>
          <w:sz w:val="24"/>
          <w:szCs w:val="24"/>
        </w:rPr>
        <w:t xml:space="preserve"> 14:00 （北京时间）。</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2.地点：江苏省政府采购交易系统（以下简称“苏采云系统”）网上开标大厅。</w:t>
      </w:r>
      <w:r>
        <w:rPr>
          <w:rFonts w:hint="eastAsia" w:ascii="宋体" w:hAnsi="宋体" w:cs="宋体"/>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本次公开招标公告期限为五个工作日。</w:t>
      </w:r>
      <w:r>
        <w:rPr>
          <w:rFonts w:hint="eastAsia" w:ascii="宋体" w:hAnsi="宋体" w:cs="宋体"/>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六、评标时间和地点</w:t>
      </w:r>
      <w:r>
        <w:rPr>
          <w:rFonts w:hint="eastAsia" w:ascii="宋体" w:hAnsi="宋体" w:cs="宋体"/>
          <w:b/>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1、时间：2026年</w:t>
      </w:r>
      <w:r>
        <w:rPr>
          <w:rFonts w:hint="eastAsia" w:ascii="宋体" w:hAnsi="宋体" w:cs="宋体"/>
          <w:sz w:val="24"/>
          <w:szCs w:val="24"/>
          <w:lang w:val="en-US" w:eastAsia="zh-CN"/>
        </w:rPr>
        <w:t xml:space="preserve">06</w:t>
      </w:r>
      <w:r>
        <w:rPr>
          <w:rFonts w:hint="eastAsia" w:ascii="宋体" w:hAnsi="宋体" w:cs="宋体"/>
          <w:sz w:val="24"/>
          <w:szCs w:val="24"/>
        </w:rPr>
        <w:t xml:space="preserve">月</w:t>
      </w:r>
      <w:r>
        <w:rPr>
          <w:rFonts w:hint="eastAsia" w:ascii="宋体" w:hAnsi="宋体" w:cs="宋体"/>
          <w:sz w:val="24"/>
          <w:szCs w:val="24"/>
          <w:lang w:val="en-US" w:eastAsia="zh-CN"/>
        </w:rPr>
        <w:t xml:space="preserve">01</w:t>
      </w:r>
      <w:r>
        <w:rPr>
          <w:rFonts w:hint="eastAsia" w:ascii="宋体" w:hAnsi="宋体" w:cs="宋体"/>
          <w:sz w:val="24"/>
          <w:szCs w:val="24"/>
        </w:rPr>
        <w:t xml:space="preserve">日下午14：00分（北京时间）。</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2、地点：南京市秦淮区光华东街6号世界之窗创意产业园15号楼4楼会议室。</w:t>
      </w:r>
      <w:r>
        <w:rPr>
          <w:rFonts w:hint="eastAsia" w:ascii="宋体" w:hAnsi="宋体" w:cs="宋体"/>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七、其他补充事宜</w:t>
      </w:r>
      <w:r>
        <w:rPr>
          <w:rFonts w:hint="eastAsia" w:ascii="宋体" w:hAnsi="宋体" w:cs="宋体"/>
          <w:b/>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1、本项目招标代理编号：NJDCX-202604231911</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2、本次招标不收取投标保证金。</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3、现场勘查及答疑：本项目不组织现场勘查。</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4、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操作手册下载地址：</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首次登录“苏采云”系统的新用户，登录网址后，点击“用户注册”--“新CA办理指南”--获取CA后绑定、登录系统--采购项目参与--下载采购文件（文件后缀名为“.kedt”）。</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“苏采云”南京地区客服热线025-83633744、025-83633743。</w:t>
      </w:r>
      <w:r>
        <w:rPr>
          <w:rFonts w:hint="eastAsia" w:ascii="宋体" w:hAnsi="宋体" w:cs="宋体"/>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八、凡对本次采购提出询问，请按以下方式联系。</w:t>
      </w:r>
      <w:r>
        <w:rPr>
          <w:rFonts w:hint="eastAsia" w:ascii="宋体" w:hAnsi="宋体" w:cs="宋体"/>
          <w:b/>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单位名称：南京艺术学院</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联系人：南京市鼓楼区北京西路74号</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联系人：凌老师</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联系电话：025-83498796</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单位名称：南京达琛鑫工程咨询有限公司</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单位地址：南京市秦淮区光华东街6号世界之窗创意产业园15号楼4楼</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bookmarkStart w:id="17" w:name="OLE_LINK22"/>
      <w:r>
        <w:rPr>
          <w:rFonts w:hint="eastAsia" w:ascii="宋体" w:hAnsi="宋体" w:cs="宋体"/>
          <w:sz w:val="24"/>
          <w:szCs w:val="24"/>
        </w:rPr>
        <w:t xml:space="preserve">联系人：周工</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联系电话：025-52639995转8006</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bookmarkEnd w:id="17"/>
      <w:r>
        <w:rPr>
          <w:rFonts w:hint="eastAsia" w:ascii="宋体" w:hAnsi="宋体" w:cs="宋体"/>
          <w:sz w:val="24"/>
          <w:szCs w:val="24"/>
        </w:rPr>
        <w:t xml:space="preserve">3、项目联系方式</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项目联系人：</w:t>
      </w:r>
      <w:bookmarkStart w:id="18" w:name="OLE_LINK23"/>
      <w:r>
        <w:rPr>
          <w:rFonts w:hint="eastAsia" w:ascii="宋体" w:hAnsi="宋体" w:cs="宋体"/>
          <w:sz w:val="24"/>
          <w:szCs w:val="24"/>
        </w:rPr>
        <w:t xml:space="preserve">周工</w:t>
      </w: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电话：025-52639995转8006</w:t>
      </w:r>
      <w:r>
        <w:rPr>
          <w:rFonts w:ascii="宋体" w:hAnsi="宋体" w:cs="宋体"/>
          <w:sz w:val="24"/>
          <w:szCs w:val="24"/>
        </w:rPr>
      </w:r>
      <w:r/>
    </w:p>
    <w:p>
      <w:pPr>
        <w:pStyle w:val="775"/>
        <w:ind w:firstLine="0"/>
        <w:jc w:val="center"/>
        <w:pageBreakBefore/>
        <w:spacing w:before="0" w:after="0" w:line="360" w:lineRule="auto"/>
        <w:tabs>
          <w:tab w:val="clear" w:pos="8720" w:leader="none"/>
        </w:tabs>
        <w:rPr>
          <w:rFonts w:hint="eastAsia"/>
          <w:b/>
          <w:bCs/>
          <w:sz w:val="40"/>
        </w:rPr>
        <w:outlineLvl w:val="0"/>
      </w:pPr>
      <w:r/>
      <w:bookmarkStart w:id="19" w:name="_Toc1657"/>
      <w:r/>
      <w:bookmarkStart w:id="20" w:name="_Toc32114"/>
      <w:r/>
      <w:bookmarkStart w:id="21" w:name="_Toc26730"/>
      <w:r/>
      <w:bookmarkStart w:id="22" w:name="_Toc9192"/>
      <w:r/>
      <w:bookmarkStart w:id="23" w:name="_Toc14634"/>
      <w:r/>
      <w:bookmarkStart w:id="24" w:name="_Toc24324"/>
      <w:r>
        <w:rPr>
          <w:rFonts w:hint="eastAsia"/>
          <w:b/>
          <w:bCs/>
          <w:sz w:val="40"/>
        </w:rPr>
        <w:t xml:space="preserve">第二章  投标人须知</w:t>
      </w:r>
      <w:bookmarkEnd w:id="19"/>
      <w:r/>
      <w:bookmarkEnd w:id="20"/>
      <w:r/>
      <w:bookmarkEnd w:id="21"/>
      <w:r/>
      <w:bookmarkEnd w:id="22"/>
      <w:r/>
      <w:bookmarkEnd w:id="23"/>
      <w:r/>
      <w:bookmarkEnd w:id="24"/>
      <w:r>
        <w:rPr>
          <w:rFonts w:hint="eastAsia"/>
          <w:b/>
          <w:bCs/>
          <w:sz w:val="40"/>
        </w:rPr>
      </w:r>
      <w:r/>
    </w:p>
    <w:p>
      <w:pPr>
        <w:pStyle w:val="844"/>
        <w:ind w:firstLine="422"/>
        <w:spacing w:line="360" w:lineRule="auto"/>
        <w:tabs>
          <w:tab w:val="left" w:pos="963" w:leader="none"/>
        </w:tabs>
        <w:rPr>
          <w:rFonts w:hint="eastAsia" w:ascii="宋体" w:hAnsi="宋体" w:cs="宋体"/>
          <w:b/>
          <w:color w:val="000000"/>
          <w:sz w:val="24"/>
          <w:szCs w:val="24"/>
        </w:rPr>
        <w:outlineLvl w:val="2"/>
      </w:pPr>
      <w:r/>
      <w:bookmarkEnd w:id="15"/>
      <w:r/>
      <w:bookmarkEnd w:id="16"/>
      <w:r/>
      <w:bookmarkEnd w:id="18"/>
      <w:r/>
      <w:bookmarkStart w:id="25" w:name="_Hlt16619475"/>
      <w:r/>
      <w:bookmarkEnd w:id="25"/>
      <w:r>
        <w:rPr>
          <w:rFonts w:hint="eastAsia" w:ascii="宋体" w:hAnsi="宋体" w:cs="宋体"/>
          <w:b/>
          <w:color w:val="000000"/>
          <w:sz w:val="24"/>
          <w:szCs w:val="24"/>
          <w:lang w:val="zh-CN" w:bidi="zh-CN"/>
        </w:rPr>
        <w:t xml:space="preserve">一、</w:t>
      </w:r>
      <w:r>
        <w:rPr>
          <w:rFonts w:hint="eastAsia" w:ascii="宋体" w:hAnsi="宋体" w:cs="宋体"/>
          <w:b/>
          <w:color w:val="000000"/>
          <w:sz w:val="24"/>
          <w:szCs w:val="24"/>
        </w:rPr>
        <w:t xml:space="preserve">总则</w:t>
      </w:r>
      <w:r>
        <w:rPr>
          <w:rFonts w:hint="eastAsia" w:ascii="宋体" w:hAnsi="宋体" w:cs="宋体"/>
          <w:b/>
          <w:color w:val="000000"/>
          <w:sz w:val="24"/>
          <w:szCs w:val="24"/>
        </w:rPr>
      </w:r>
      <w:r/>
    </w:p>
    <w:p>
      <w:pPr>
        <w:pStyle w:val="844"/>
        <w:ind w:firstLine="422"/>
        <w:spacing w:line="360" w:lineRule="auto"/>
        <w:tabs>
          <w:tab w:val="left" w:pos="842" w:leader="none"/>
        </w:tabs>
        <w:rPr>
          <w:rFonts w:hint="eastAsia" w:ascii="宋体" w:hAnsi="宋体" w:cs="宋体"/>
          <w:bCs/>
          <w:color w:val="000000"/>
          <w:sz w:val="24"/>
          <w:szCs w:val="24"/>
        </w:rPr>
      </w:pPr>
      <w:r>
        <w:rPr>
          <w:rFonts w:hint="eastAsia" w:ascii="宋体" w:hAnsi="宋体" w:cs="宋体"/>
          <w:bCs/>
          <w:color w:val="000000"/>
          <w:sz w:val="24"/>
          <w:szCs w:val="24"/>
          <w:lang w:val="zh-CN" w:bidi="zh-CN"/>
        </w:rPr>
        <w:t xml:space="preserve">1、</w:t>
      </w:r>
      <w:r>
        <w:rPr>
          <w:rFonts w:hint="eastAsia" w:ascii="宋体" w:hAnsi="宋体" w:cs="宋体"/>
          <w:bCs/>
          <w:color w:val="000000"/>
          <w:sz w:val="24"/>
          <w:szCs w:val="24"/>
        </w:rPr>
        <w:t xml:space="preserve">适用法律</w:t>
      </w:r>
      <w:r>
        <w:rPr>
          <w:rFonts w:hint="eastAsia" w:ascii="宋体" w:hAnsi="宋体" w:cs="宋体"/>
          <w:bCs/>
          <w:color w:val="000000"/>
          <w:sz w:val="24"/>
          <w:szCs w:val="24"/>
        </w:rPr>
      </w:r>
      <w:r/>
    </w:p>
    <w:p>
      <w:pPr>
        <w:pStyle w:val="84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1.1《中华人民共和国政府采购法》、《中华人民共和国政府采购法实施条例》、《政府采购货物和服务招标投标管理办法》等有关法律、规章和规定等。</w:t>
      </w:r>
      <w:r>
        <w:rPr>
          <w:rFonts w:hint="eastAsia" w:ascii="宋体" w:hAnsi="宋体" w:cs="宋体"/>
          <w:color w:val="000000"/>
          <w:sz w:val="24"/>
          <w:szCs w:val="24"/>
        </w:rPr>
      </w:r>
      <w:r/>
    </w:p>
    <w:p>
      <w:pPr>
        <w:pStyle w:val="844"/>
        <w:ind w:firstLine="422"/>
        <w:spacing w:line="360" w:lineRule="auto"/>
        <w:tabs>
          <w:tab w:val="left" w:pos="842" w:leader="none"/>
        </w:tabs>
        <w:rPr>
          <w:rFonts w:hint="eastAsia" w:ascii="宋体" w:hAnsi="宋体" w:cs="宋体"/>
          <w:bCs/>
          <w:color w:val="000000"/>
          <w:sz w:val="24"/>
          <w:szCs w:val="24"/>
        </w:rPr>
      </w:pPr>
      <w:r>
        <w:rPr>
          <w:rFonts w:hint="eastAsia" w:ascii="宋体" w:hAnsi="宋体" w:cs="宋体"/>
          <w:bCs/>
          <w:color w:val="000000"/>
          <w:sz w:val="24"/>
          <w:szCs w:val="24"/>
          <w:lang w:val="zh-CN" w:bidi="zh-CN"/>
        </w:rPr>
        <w:t xml:space="preserve">2、</w:t>
      </w:r>
      <w:r>
        <w:rPr>
          <w:rFonts w:hint="eastAsia" w:ascii="宋体" w:hAnsi="宋体" w:cs="宋体"/>
          <w:bCs/>
          <w:color w:val="000000"/>
          <w:sz w:val="24"/>
          <w:szCs w:val="24"/>
        </w:rPr>
        <w:t xml:space="preserve">定义</w:t>
      </w:r>
      <w:r>
        <w:rPr>
          <w:rFonts w:hint="eastAsia" w:ascii="宋体" w:hAnsi="宋体" w:cs="宋体"/>
          <w:bCs/>
          <w:color w:val="000000"/>
          <w:sz w:val="24"/>
          <w:szCs w:val="24"/>
        </w:rPr>
      </w:r>
      <w:r/>
    </w:p>
    <w:p>
      <w:pPr>
        <w:pStyle w:val="844"/>
        <w:ind w:firstLine="42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2.1</w:t>
      </w:r>
      <w:r>
        <w:rPr>
          <w:rFonts w:hint="eastAsia" w:ascii="宋体" w:hAnsi="宋体" w:cs="宋体"/>
          <w:color w:val="000000"/>
          <w:sz w:val="24"/>
          <w:szCs w:val="24"/>
        </w:rPr>
        <w:t xml:space="preserve">“采购人”指依法进行政府采购的国家机关、事业单位、团体组织。</w:t>
      </w:r>
      <w:r>
        <w:rPr>
          <w:rFonts w:hint="eastAsia" w:ascii="宋体" w:hAnsi="宋体" w:cs="宋体"/>
          <w:color w:val="000000"/>
          <w:sz w:val="24"/>
          <w:szCs w:val="24"/>
        </w:rPr>
      </w:r>
      <w:r/>
    </w:p>
    <w:p>
      <w:pPr>
        <w:pStyle w:val="844"/>
        <w:ind w:firstLine="42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2.2</w:t>
      </w:r>
      <w:r>
        <w:rPr>
          <w:rFonts w:hint="eastAsia" w:ascii="宋体" w:hAnsi="宋体" w:cs="宋体"/>
          <w:color w:val="000000"/>
          <w:sz w:val="24"/>
          <w:szCs w:val="24"/>
        </w:rPr>
        <w:t xml:space="preserve">“使用单位”是指使用货物、服务的单位。</w:t>
      </w:r>
      <w:r>
        <w:rPr>
          <w:rFonts w:hint="eastAsia" w:ascii="宋体" w:hAnsi="宋体" w:cs="宋体"/>
          <w:color w:val="000000"/>
          <w:sz w:val="24"/>
          <w:szCs w:val="24"/>
        </w:rPr>
      </w:r>
      <w:r/>
    </w:p>
    <w:p>
      <w:pPr>
        <w:pStyle w:val="844"/>
        <w:ind w:firstLine="42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2.3</w:t>
      </w:r>
      <w:r>
        <w:rPr>
          <w:rFonts w:hint="eastAsia" w:ascii="宋体" w:hAnsi="宋体" w:cs="宋体"/>
          <w:color w:val="000000"/>
          <w:sz w:val="24"/>
          <w:szCs w:val="24"/>
        </w:rPr>
        <w:t xml:space="preserve">“采购代理”是指集中采购机构和集中采购机构以外的采购代理机构。</w:t>
      </w:r>
      <w:r>
        <w:rPr>
          <w:rFonts w:hint="eastAsia" w:ascii="宋体" w:hAnsi="宋体" w:cs="宋体"/>
          <w:color w:val="000000"/>
          <w:sz w:val="24"/>
          <w:szCs w:val="24"/>
        </w:rPr>
      </w:r>
      <w:r/>
    </w:p>
    <w:p>
      <w:pPr>
        <w:pStyle w:val="844"/>
        <w:ind w:firstLine="42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2.4</w:t>
      </w:r>
      <w:r>
        <w:rPr>
          <w:rFonts w:hint="eastAsia" w:ascii="宋体" w:hAnsi="宋体" w:cs="宋体"/>
          <w:color w:val="000000"/>
          <w:sz w:val="24"/>
          <w:szCs w:val="24"/>
        </w:rPr>
        <w:t xml:space="preserve">“投标人”“供应商”是指向采购人提供货物、工程或者服务的法人、其他组织或者自然人。</w:t>
      </w:r>
      <w:r>
        <w:rPr>
          <w:rFonts w:hint="eastAsia" w:ascii="宋体" w:hAnsi="宋体" w:cs="宋体"/>
          <w:color w:val="000000"/>
          <w:sz w:val="24"/>
          <w:szCs w:val="24"/>
        </w:rPr>
      </w:r>
      <w:r/>
    </w:p>
    <w:p>
      <w:pPr>
        <w:pStyle w:val="844"/>
        <w:ind w:firstLine="42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2.5</w:t>
      </w:r>
      <w:r>
        <w:rPr>
          <w:rFonts w:hint="eastAsia" w:ascii="宋体" w:hAnsi="宋体" w:cs="宋体"/>
          <w:color w:val="000000"/>
          <w:sz w:val="24"/>
          <w:szCs w:val="24"/>
        </w:rPr>
        <w:t xml:space="preserve">“产品”指本招标文件中所述产品及相关服务。</w:t>
      </w:r>
      <w:r>
        <w:rPr>
          <w:rFonts w:hint="eastAsia" w:ascii="宋体" w:hAnsi="宋体" w:cs="宋体"/>
          <w:color w:val="000000"/>
          <w:sz w:val="24"/>
          <w:szCs w:val="24"/>
        </w:rPr>
      </w:r>
      <w:r/>
    </w:p>
    <w:p>
      <w:pPr>
        <w:pStyle w:val="844"/>
        <w:ind w:firstLine="422"/>
        <w:spacing w:line="360" w:lineRule="auto"/>
        <w:tabs>
          <w:tab w:val="left" w:pos="842" w:leader="none"/>
        </w:tabs>
        <w:rPr>
          <w:rFonts w:hint="eastAsia" w:ascii="宋体" w:hAnsi="宋体" w:cs="宋体"/>
          <w:bCs/>
          <w:color w:val="000000"/>
          <w:sz w:val="24"/>
          <w:szCs w:val="24"/>
        </w:rPr>
      </w:pPr>
      <w:r>
        <w:rPr>
          <w:rFonts w:hint="eastAsia" w:ascii="宋体" w:hAnsi="宋体" w:cs="宋体"/>
          <w:bCs/>
          <w:color w:val="000000"/>
          <w:sz w:val="24"/>
          <w:szCs w:val="24"/>
          <w:lang w:val="zh-CN" w:bidi="zh-CN"/>
        </w:rPr>
        <w:t xml:space="preserve">3、</w:t>
      </w:r>
      <w:r>
        <w:rPr>
          <w:rFonts w:hint="eastAsia" w:ascii="宋体" w:hAnsi="宋体" w:cs="宋体"/>
          <w:bCs/>
          <w:color w:val="000000"/>
          <w:sz w:val="24"/>
          <w:szCs w:val="24"/>
        </w:rPr>
        <w:t xml:space="preserve">政策功能</w:t>
      </w:r>
      <w:r>
        <w:rPr>
          <w:rFonts w:hint="eastAsia" w:ascii="宋体" w:hAnsi="宋体" w:cs="宋体"/>
          <w:bCs/>
          <w:color w:val="000000"/>
          <w:sz w:val="24"/>
          <w:szCs w:val="24"/>
        </w:rPr>
      </w:r>
      <w:r/>
    </w:p>
    <w:p>
      <w:pPr>
        <w:pStyle w:val="844"/>
        <w:ind w:firstLine="420"/>
        <w:spacing w:line="360" w:lineRule="auto"/>
        <w:tabs>
          <w:tab w:val="left" w:pos="903" w:leader="none"/>
        </w:tabs>
        <w:rPr>
          <w:rFonts w:hint="eastAsia" w:ascii="宋体" w:hAnsi="宋体" w:cs="宋体"/>
          <w:bCs/>
          <w:color w:val="000000"/>
          <w:sz w:val="24"/>
          <w:szCs w:val="24"/>
        </w:rPr>
      </w:pPr>
      <w:r>
        <w:rPr>
          <w:rFonts w:hint="eastAsia" w:ascii="宋体" w:hAnsi="宋体" w:cs="宋体"/>
          <w:bCs/>
          <w:color w:val="000000"/>
          <w:sz w:val="24"/>
          <w:szCs w:val="24"/>
          <w:lang w:val="zh-CN" w:bidi="zh-CN"/>
        </w:rPr>
        <w:t xml:space="preserve">3.1</w:t>
      </w:r>
      <w:r>
        <w:rPr>
          <w:rFonts w:hint="eastAsia" w:ascii="宋体" w:hAnsi="宋体" w:cs="宋体"/>
          <w:bCs/>
          <w:color w:val="000000"/>
          <w:sz w:val="24"/>
          <w:szCs w:val="24"/>
        </w:rPr>
        <w:t xml:space="preserve">中小企业、监狱企业及残疾人福利性单位政策</w:t>
      </w:r>
      <w:r>
        <w:rPr>
          <w:rFonts w:hint="eastAsia" w:ascii="宋体" w:hAnsi="宋体" w:cs="宋体"/>
          <w:bCs/>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3.1.1</w:t>
      </w:r>
      <w:r>
        <w:rPr>
          <w:rFonts w:hint="eastAsia" w:ascii="宋体" w:hAnsi="宋体" w:cs="宋体"/>
          <w:color w:val="000000"/>
          <w:sz w:val="24"/>
          <w:szCs w:val="24"/>
        </w:rPr>
        <w:t xml:space="preserve">政府采购促进中小企业发展，在政府采购活动中，供应商提供的货物、工程或者服务符合下列情形的，享受中小企业扶持政策：</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（1）</w:t>
      </w:r>
      <w:r>
        <w:rPr>
          <w:rFonts w:hint="eastAsia" w:ascii="宋体" w:hAnsi="宋体" w:cs="宋体"/>
          <w:color w:val="000000"/>
          <w:sz w:val="24"/>
          <w:szCs w:val="24"/>
        </w:rPr>
        <w:t xml:space="preserve">在货物采购项目中，货物由中小企业制造，即货物由中小企业生产且使用该中小企业商号或者注册商标；</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（2）</w:t>
      </w:r>
      <w:r>
        <w:rPr>
          <w:rFonts w:hint="eastAsia" w:ascii="宋体" w:hAnsi="宋体" w:cs="宋体"/>
          <w:color w:val="000000"/>
          <w:sz w:val="24"/>
          <w:szCs w:val="24"/>
        </w:rPr>
        <w:t xml:space="preserve">在工程采购项目中，工程由中小企业承建，即工程施工单位为中小企业；</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（3）</w:t>
      </w:r>
      <w:r>
        <w:rPr>
          <w:rFonts w:hint="eastAsia"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3.1.2</w:t>
      </w:r>
      <w:r>
        <w:rPr>
          <w:rFonts w:hint="eastAsia" w:ascii="宋体" w:hAnsi="宋体" w:cs="宋体"/>
          <w:color w:val="000000"/>
          <w:sz w:val="24"/>
          <w:szCs w:val="24"/>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3.1.3</w:t>
      </w:r>
      <w:r>
        <w:rPr>
          <w:rFonts w:hint="eastAsia" w:ascii="宋体" w:hAnsi="宋体" w:cs="宋体"/>
          <w:color w:val="000000"/>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3.1.4</w:t>
      </w:r>
      <w:r>
        <w:rPr>
          <w:rFonts w:hint="eastAsia" w:ascii="宋体" w:hAnsi="宋体" w:cs="宋体"/>
          <w:color w:val="000000"/>
          <w:sz w:val="24"/>
          <w:szCs w:val="24"/>
        </w:rPr>
        <w:t xml:space="preserve">中小企业供应商参加政府采购活动，应当出具《中小企业声明函》（格式见后附件），否则不得享受相关中小企业扶持政策。</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3.1.5</w:t>
      </w:r>
      <w:r>
        <w:rPr>
          <w:rFonts w:hint="eastAsia" w:ascii="宋体" w:hAnsi="宋体" w:cs="宋体"/>
          <w:color w:val="000000"/>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3.1.6</w:t>
      </w:r>
      <w:r>
        <w:rPr>
          <w:rFonts w:hint="eastAsia" w:ascii="宋体" w:hAnsi="宋体" w:cs="宋体"/>
          <w:color w:val="000000"/>
          <w:sz w:val="24"/>
          <w:szCs w:val="24"/>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color w:val="000000"/>
          <w:sz w:val="24"/>
          <w:szCs w:val="24"/>
        </w:rPr>
      </w:r>
      <w:r/>
    </w:p>
    <w:p>
      <w:pPr>
        <w:pStyle w:val="844"/>
        <w:ind w:firstLine="42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3.1.7</w:t>
      </w:r>
      <w:r>
        <w:rPr>
          <w:rFonts w:hint="eastAsia" w:ascii="宋体" w:hAnsi="宋体" w:cs="宋体"/>
          <w:color w:val="000000"/>
          <w:sz w:val="24"/>
          <w:szCs w:val="24"/>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cs="宋体"/>
          <w:color w:val="000000"/>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3.2节能产品政策</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3.2.2参加政府采购活动的节能产品投标人应当提供国家确定的认证机构出具的、处于有效期之内的节能产品认证证书。</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3.3环境标志产品政策</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3.3.2参加政府采购活动的环境标志产品投标人应当提供国家确定的认证机构出具的、处于有效期之内的环境标志产品认证证书。</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4、采购本国产品的支持政策</w:t>
      </w:r>
      <w:r>
        <w:rPr>
          <w:rFonts w:hint="eastAsia" w:ascii="宋体" w:hAnsi="宋体" w:cs="宋体"/>
          <w:sz w:val="24"/>
          <w:szCs w:val="24"/>
        </w:rPr>
      </w:r>
      <w:r/>
    </w:p>
    <w:p>
      <w:pPr>
        <w:pStyle w:val="741"/>
        <w:ind w:firstLine="420"/>
        <w:spacing w:line="360" w:lineRule="auto"/>
        <w:tabs>
          <w:tab w:val="left" w:pos="1080" w:leader="none"/>
          <w:tab w:val="left" w:pos="1589" w:leader="none"/>
        </w:tabs>
        <w:rPr>
          <w:rFonts w:hint="eastAsia" w:ascii="宋体" w:hAnsi="宋体" w:cs="宋体"/>
          <w:sz w:val="24"/>
          <w:szCs w:val="24"/>
        </w:rPr>
      </w:pPr>
      <w:r>
        <w:rPr>
          <w:rFonts w:hint="eastAsia" w:ascii="宋体" w:hAnsi="宋体" w:cs="宋体"/>
          <w:sz w:val="24"/>
          <w:szCs w:val="24"/>
        </w:rPr>
        <w:t xml:space="preserve">4.1政府采购活动中既有本国产品又有非本国产品参与竞争的，依法对本国产品给予价格评审优惠，对本国产品的报价给予20%的价格扣除，用扣除后的价格参与评审。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rPr>
      </w:r>
      <w:r/>
    </w:p>
    <w:p>
      <w:pPr>
        <w:pStyle w:val="741"/>
        <w:ind w:firstLine="420"/>
        <w:spacing w:line="360" w:lineRule="auto"/>
        <w:tabs>
          <w:tab w:val="left" w:pos="1080" w:leader="none"/>
          <w:tab w:val="left" w:pos="1589" w:leader="none"/>
        </w:tabs>
        <w:rPr>
          <w:rFonts w:hint="eastAsia" w:ascii="宋体" w:hAnsi="宋体" w:cs="宋体"/>
          <w:sz w:val="24"/>
          <w:szCs w:val="24"/>
        </w:rPr>
      </w:pPr>
      <w:r>
        <w:rPr>
          <w:rFonts w:hint="eastAsia" w:ascii="宋体" w:hAnsi="宋体" w:cs="宋体"/>
          <w:sz w:val="24"/>
          <w:szCs w:val="24"/>
        </w:rPr>
        <w:t xml:space="preserve">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szCs w:val="24"/>
        </w:rPr>
      </w:r>
      <w:r/>
    </w:p>
    <w:p>
      <w:pPr>
        <w:pStyle w:val="741"/>
        <w:ind w:firstLine="420"/>
        <w:spacing w:line="360" w:lineRule="auto"/>
        <w:tabs>
          <w:tab w:val="left" w:pos="1080" w:leader="none"/>
          <w:tab w:val="left" w:pos="1589" w:leader="none"/>
        </w:tabs>
        <w:rPr>
          <w:rFonts w:hint="eastAsia" w:ascii="宋体" w:hAnsi="宋体" w:cs="宋体"/>
          <w:sz w:val="24"/>
          <w:szCs w:val="24"/>
        </w:rPr>
      </w:pPr>
      <w:r>
        <w:rPr>
          <w:rFonts w:hint="eastAsia" w:ascii="宋体" w:hAnsi="宋体" w:cs="宋体"/>
          <w:sz w:val="24"/>
          <w:szCs w:val="24"/>
        </w:rPr>
        <w:t xml:space="preserve">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rPr>
      </w:r>
      <w:r/>
    </w:p>
    <w:p>
      <w:pPr>
        <w:pStyle w:val="741"/>
        <w:ind w:firstLine="420"/>
        <w:spacing w:line="360" w:lineRule="auto"/>
        <w:tabs>
          <w:tab w:val="left" w:pos="1080" w:leader="none"/>
          <w:tab w:val="left" w:pos="1589" w:leader="none"/>
        </w:tabs>
        <w:rPr>
          <w:rFonts w:hint="eastAsia" w:ascii="宋体" w:hAnsi="宋体" w:cs="宋体"/>
          <w:sz w:val="24"/>
          <w:szCs w:val="24"/>
        </w:rPr>
      </w:pPr>
      <w:r>
        <w:rPr>
          <w:rFonts w:hint="eastAsia" w:ascii="宋体" w:hAnsi="宋体" w:cs="宋体"/>
          <w:sz w:val="24"/>
          <w:szCs w:val="24"/>
        </w:rPr>
        <w:t xml:space="preserve">4.4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rPr>
      </w:r>
      <w:r/>
    </w:p>
    <w:p>
      <w:pPr>
        <w:pStyle w:val="741"/>
        <w:ind w:firstLine="420"/>
        <w:spacing w:line="360" w:lineRule="auto"/>
        <w:tabs>
          <w:tab w:val="left" w:pos="1080" w:leader="none"/>
          <w:tab w:val="left" w:pos="1589" w:leader="none"/>
        </w:tabs>
        <w:rPr>
          <w:rFonts w:hint="eastAsia" w:ascii="宋体" w:hAnsi="宋体" w:cs="宋体"/>
          <w:sz w:val="24"/>
          <w:szCs w:val="24"/>
        </w:rPr>
      </w:pPr>
      <w:r>
        <w:rPr>
          <w:rFonts w:hint="eastAsia" w:ascii="宋体" w:hAnsi="宋体" w:cs="宋体"/>
          <w:sz w:val="24"/>
          <w:szCs w:val="24"/>
        </w:rPr>
        <w:t xml:space="preserve">4.5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4.6进口产品政策</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（2）允许进口产品参加的，满足需求的国内产品可以参加。</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（3）允许进口产品参加的，优先采购向我国企业转让技术、与我国企业签订消化吸收再创新方案的投标人的进口产品。</w:t>
      </w:r>
      <w:r>
        <w:rPr>
          <w:rFonts w:hint="eastAsia" w:ascii="宋体" w:hAnsi="宋体" w:cs="宋体"/>
          <w:sz w:val="24"/>
          <w:szCs w:val="24"/>
        </w:rPr>
      </w:r>
      <w:r/>
    </w:p>
    <w:p>
      <w:pPr>
        <w:pStyle w:val="844"/>
        <w:ind w:firstLine="420"/>
        <w:spacing w:line="360" w:lineRule="auto"/>
        <w:tabs>
          <w:tab w:val="left" w:pos="903" w:leader="none"/>
        </w:tabs>
        <w:rPr>
          <w:rFonts w:hint="eastAsia" w:ascii="宋体" w:hAnsi="宋体" w:cs="宋体"/>
          <w:color w:val="000000"/>
          <w:sz w:val="24"/>
          <w:szCs w:val="24"/>
        </w:rPr>
      </w:pPr>
      <w:r>
        <w:rPr>
          <w:rFonts w:hint="eastAsia" w:ascii="宋体" w:hAnsi="宋体" w:cs="宋体"/>
          <w:color w:val="000000"/>
          <w:sz w:val="24"/>
          <w:szCs w:val="24"/>
          <w:lang w:bidi="zh-CN"/>
        </w:rPr>
        <w:t xml:space="preserve">4.7</w:t>
      </w:r>
      <w:r>
        <w:rPr>
          <w:rFonts w:hint="eastAsia" w:ascii="宋体" w:hAnsi="宋体" w:cs="宋体"/>
          <w:color w:val="000000"/>
          <w:sz w:val="24"/>
          <w:szCs w:val="24"/>
        </w:rPr>
        <w:t xml:space="preserve">未按要求提供相关材料的，不享受相关政策。</w:t>
      </w:r>
      <w:r>
        <w:rPr>
          <w:rFonts w:hint="eastAsia" w:ascii="宋体" w:hAnsi="宋体" w:cs="宋体"/>
          <w:color w:val="000000"/>
          <w:sz w:val="24"/>
          <w:szCs w:val="24"/>
        </w:rPr>
      </w:r>
      <w:r/>
    </w:p>
    <w:p>
      <w:pPr>
        <w:pStyle w:val="741"/>
        <w:numPr>
          <w:ilvl w:val="2"/>
          <w:numId w:val="0"/>
        </w:numPr>
        <w:ind w:firstLine="482"/>
        <w:jc w:val="left"/>
        <w:spacing w:line="360" w:lineRule="auto"/>
        <w:tabs>
          <w:tab w:val="left" w:pos="720" w:leader="none"/>
          <w:tab w:val="left" w:pos="794" w:leader="none"/>
        </w:tabs>
        <w:rPr>
          <w:rFonts w:hint="eastAsia" w:ascii="宋体" w:hAnsi="宋体" w:cs="宋体"/>
          <w:b/>
          <w:bCs/>
          <w:sz w:val="24"/>
          <w:szCs w:val="24"/>
        </w:rPr>
        <w:outlineLvl w:val="3"/>
      </w:pPr>
      <w:r>
        <w:rPr>
          <w:rFonts w:hint="eastAsia" w:ascii="宋体" w:hAnsi="宋体" w:cs="宋体"/>
          <w:b/>
          <w:bCs/>
          <w:sz w:val="24"/>
          <w:szCs w:val="24"/>
        </w:rPr>
        <w:t xml:space="preserve">5、投标费用</w:t>
      </w:r>
      <w:r>
        <w:rPr>
          <w:rFonts w:hint="eastAsia" w:ascii="宋体" w:hAnsi="宋体" w:cs="宋体"/>
          <w:b/>
          <w:bCs/>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5.1 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5.2本次招标收取标书费。</w:t>
      </w:r>
      <w:r>
        <w:rPr>
          <w:rFonts w:hint="eastAsia" w:ascii="宋体" w:hAnsi="宋体" w:cs="宋体"/>
          <w:sz w:val="24"/>
          <w:szCs w:val="24"/>
          <w:highlight w:val="none"/>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5.3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hint="eastAsia" w:ascii="宋体" w:hAnsi="宋体" w:cs="宋体"/>
          <w:sz w:val="24"/>
          <w:szCs w:val="24"/>
        </w:rPr>
      </w:r>
      <w:r/>
    </w:p>
    <w:p>
      <w:pPr>
        <w:pStyle w:val="845"/>
        <w:ind w:firstLine="482"/>
        <w:spacing w:before="145" w:after="145" w:line="360" w:lineRule="auto"/>
        <w:rPr>
          <w:rFonts w:hint="eastAsia" w:ascii="宋体" w:hAnsi="宋体" w:cs="宋体"/>
          <w:sz w:val="24"/>
          <w:szCs w:val="24"/>
        </w:rPr>
      </w:pPr>
      <w:r/>
      <w:bookmarkStart w:id="26" w:name="_Toc16938525"/>
      <w:r/>
      <w:bookmarkStart w:id="27" w:name="_Toc513029209"/>
      <w:r/>
      <w:bookmarkStart w:id="28" w:name="_Toc120614215"/>
      <w:r/>
      <w:bookmarkStart w:id="29" w:name="_Toc20823281"/>
      <w:r>
        <w:rPr>
          <w:rFonts w:hint="eastAsia" w:ascii="宋体" w:hAnsi="宋体" w:cs="宋体"/>
          <w:sz w:val="24"/>
          <w:szCs w:val="24"/>
        </w:rPr>
        <w:t xml:space="preserve">二、招标文件</w:t>
      </w:r>
      <w:bookmarkEnd w:id="26"/>
      <w:r/>
      <w:bookmarkEnd w:id="27"/>
      <w:r/>
      <w:bookmarkEnd w:id="28"/>
      <w:r/>
      <w:bookmarkEnd w:id="29"/>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30" w:name="_Toc20823282"/>
      <w:r/>
      <w:bookmarkStart w:id="31" w:name="_Toc16938526"/>
      <w:r/>
      <w:bookmarkStart w:id="32" w:name="_Toc513029210"/>
      <w:r>
        <w:rPr>
          <w:rFonts w:hint="eastAsia" w:ascii="宋体" w:hAnsi="宋体" w:eastAsia="宋体" w:cs="宋体"/>
          <w:b w:val="0"/>
          <w:bCs w:val="0"/>
          <w:sz w:val="24"/>
          <w:szCs w:val="24"/>
        </w:rPr>
        <w:t xml:space="preserve">6、招标文件构成</w:t>
      </w:r>
      <w:bookmarkEnd w:id="30"/>
      <w:r/>
      <w:bookmarkEnd w:id="31"/>
      <w:r/>
      <w:bookmarkEnd w:id="32"/>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6.1 招标文件由以下部分组成：</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（1）投标邀请（招标公告）</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（2）投标人须知</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（3）合同文本</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（4）采购需求</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（6）投标文件格式</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投标人应仔细检查招标文件是否齐全，如有缺漏请立即与代理机构联系解决。</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33" w:name="_Toc513029211"/>
      <w:r/>
      <w:bookmarkStart w:id="34" w:name="_Toc462564070"/>
      <w:r/>
      <w:bookmarkStart w:id="35" w:name="_Toc16938527"/>
      <w:r/>
      <w:bookmarkStart w:id="36" w:name="_Toc20823283"/>
      <w:r>
        <w:rPr>
          <w:rFonts w:hint="eastAsia" w:ascii="宋体" w:hAnsi="宋体" w:eastAsia="宋体" w:cs="宋体"/>
          <w:b w:val="0"/>
          <w:bCs w:val="0"/>
          <w:sz w:val="24"/>
          <w:szCs w:val="24"/>
        </w:rPr>
        <w:t xml:space="preserve">7、招标文件的澄清</w:t>
      </w:r>
      <w:bookmarkEnd w:id="33"/>
      <w:r/>
      <w:bookmarkEnd w:id="34"/>
      <w:r/>
      <w:bookmarkEnd w:id="35"/>
      <w:r/>
      <w:bookmarkEnd w:id="36"/>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任何要求对招标文件进行澄清的投标人，应在投标截止期十日前按招标公告中的通讯地址，以书面形式通知代理机构。</w:t>
      </w:r>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37" w:name="_Toc20823284"/>
      <w:r/>
      <w:bookmarkStart w:id="38" w:name="_Toc513029212"/>
      <w:r/>
      <w:bookmarkStart w:id="39" w:name="_Toc462564071"/>
      <w:r/>
      <w:bookmarkStart w:id="40" w:name="_Toc16938528"/>
      <w:r>
        <w:rPr>
          <w:rFonts w:hint="eastAsia" w:ascii="宋体" w:hAnsi="宋体" w:eastAsia="宋体" w:cs="宋体"/>
          <w:b w:val="0"/>
          <w:bCs w:val="0"/>
          <w:sz w:val="24"/>
          <w:szCs w:val="24"/>
        </w:rPr>
        <w:t xml:space="preserve">8、招标文件的修改</w:t>
      </w:r>
      <w:bookmarkEnd w:id="37"/>
      <w:r/>
      <w:bookmarkEnd w:id="38"/>
      <w:r/>
      <w:bookmarkEnd w:id="39"/>
      <w:r/>
      <w:bookmarkEnd w:id="40"/>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8.3 代理机构有权按照法定的要求推迟投标截止日期和开标日期，并在原公告媒体发布更正公告。</w:t>
      </w:r>
      <w:r>
        <w:rPr>
          <w:rFonts w:hint="eastAsia" w:ascii="宋体" w:hAnsi="宋体" w:cs="宋体"/>
          <w:sz w:val="24"/>
          <w:szCs w:val="24"/>
        </w:rPr>
      </w:r>
      <w:r/>
    </w:p>
    <w:p>
      <w:pPr>
        <w:pStyle w:val="845"/>
        <w:ind w:firstLine="482"/>
        <w:spacing w:before="145" w:after="145" w:line="360" w:lineRule="auto"/>
        <w:rPr>
          <w:rFonts w:hint="eastAsia" w:ascii="宋体" w:hAnsi="宋体" w:cs="宋体"/>
          <w:sz w:val="24"/>
          <w:szCs w:val="24"/>
        </w:rPr>
      </w:pPr>
      <w:r/>
      <w:bookmarkStart w:id="41" w:name="_Toc20823285"/>
      <w:r/>
      <w:bookmarkStart w:id="42" w:name="_Toc462564072"/>
      <w:r/>
      <w:bookmarkStart w:id="43" w:name="_Toc513029213"/>
      <w:r/>
      <w:bookmarkStart w:id="44" w:name="_Toc120614216"/>
      <w:r/>
      <w:bookmarkStart w:id="45" w:name="_Toc16938529"/>
      <w:r>
        <w:rPr>
          <w:rFonts w:hint="eastAsia" w:ascii="宋体" w:hAnsi="宋体" w:cs="宋体"/>
          <w:sz w:val="24"/>
          <w:szCs w:val="24"/>
        </w:rPr>
        <w:t xml:space="preserve">三、投标文件的编制</w:t>
      </w:r>
      <w:bookmarkEnd w:id="41"/>
      <w:r/>
      <w:bookmarkEnd w:id="42"/>
      <w:r/>
      <w:bookmarkEnd w:id="43"/>
      <w:r/>
      <w:bookmarkEnd w:id="44"/>
      <w:r/>
      <w:bookmarkEnd w:id="45"/>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46" w:name="_Toc513029214"/>
      <w:r/>
      <w:bookmarkStart w:id="47" w:name="_Toc16938530"/>
      <w:r/>
      <w:bookmarkStart w:id="48" w:name="_Toc462564073"/>
      <w:r/>
      <w:bookmarkStart w:id="49" w:name="_Toc20823286"/>
      <w:r>
        <w:rPr>
          <w:rFonts w:hint="eastAsia" w:ascii="宋体" w:hAnsi="宋体" w:eastAsia="宋体" w:cs="宋体"/>
          <w:b w:val="0"/>
          <w:bCs w:val="0"/>
          <w:sz w:val="24"/>
          <w:szCs w:val="24"/>
        </w:rPr>
        <w:t xml:space="preserve">9、投标文件的语言及度量衡单位</w:t>
      </w:r>
      <w:bookmarkEnd w:id="46"/>
      <w:r/>
      <w:bookmarkEnd w:id="47"/>
      <w:r/>
      <w:bookmarkEnd w:id="48"/>
      <w:r/>
      <w:bookmarkEnd w:id="49"/>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9.1 投标人提交的投标文件以及投标人与代理机构就有关投标的所有来往通知、函件和文件均应使用简体中文。</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50" w:name="_Toc513029215"/>
      <w:r/>
      <w:bookmarkStart w:id="51" w:name="_Toc16938531"/>
      <w:r/>
      <w:bookmarkStart w:id="52" w:name="_Toc462564074"/>
      <w:r/>
      <w:bookmarkStart w:id="53" w:name="_Toc20823287"/>
      <w:r>
        <w:rPr>
          <w:rFonts w:hint="eastAsia" w:ascii="宋体" w:hAnsi="宋体" w:eastAsia="宋体" w:cs="宋体"/>
          <w:b w:val="0"/>
          <w:bCs w:val="0"/>
          <w:sz w:val="24"/>
          <w:szCs w:val="24"/>
        </w:rPr>
        <w:t xml:space="preserve">10、投标文件构成</w:t>
      </w:r>
      <w:bookmarkEnd w:id="50"/>
      <w:r/>
      <w:bookmarkEnd w:id="51"/>
      <w:r/>
      <w:bookmarkEnd w:id="52"/>
      <w:r/>
      <w:bookmarkEnd w:id="53"/>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10.1 投标人编写的投标文件应包括资格证明文件、符合性证明文件、投标报价明细表、响应及偏离表、其他证明文件、投标函、开标一览表等部分。</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w:t>
      </w:r>
      <w:r>
        <w:rPr>
          <w:rFonts w:hint="eastAsia" w:ascii="宋体" w:hAnsi="宋体" w:cs="宋体"/>
          <w:b/>
          <w:bCs/>
          <w:sz w:val="24"/>
          <w:szCs w:val="24"/>
          <w:u w:val="single"/>
        </w:rPr>
        <w:t xml:space="preserve">以招标文件内的格式为准。</w:t>
      </w:r>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54" w:name="_Hlt26668975"/>
      <w:r/>
      <w:bookmarkEnd w:id="54"/>
      <w:r/>
      <w:bookmarkStart w:id="55" w:name="_Hlt26954838"/>
      <w:r/>
      <w:bookmarkEnd w:id="55"/>
      <w:r/>
      <w:bookmarkStart w:id="56" w:name="_Hlt26670360"/>
      <w:r/>
      <w:bookmarkEnd w:id="56"/>
      <w:r/>
      <w:bookmarkStart w:id="57" w:name="_Toc14577357"/>
      <w:r/>
      <w:bookmarkStart w:id="58" w:name="_Toc14577354"/>
      <w:r/>
      <w:bookmarkStart w:id="59" w:name="_Toc49090507"/>
      <w:r/>
      <w:bookmarkStart w:id="60" w:name="_Toc513029216"/>
      <w:r/>
      <w:bookmarkStart w:id="61" w:name="_Toc513029219"/>
      <w:r/>
      <w:bookmarkStart w:id="62" w:name="_Toc49090509"/>
      <w:r>
        <w:rPr>
          <w:rFonts w:hint="eastAsia" w:ascii="宋体" w:hAnsi="宋体" w:eastAsia="宋体" w:cs="宋体"/>
          <w:b w:val="0"/>
          <w:bCs w:val="0"/>
          <w:sz w:val="24"/>
          <w:szCs w:val="24"/>
        </w:rPr>
        <w:t xml:space="preserve">11、证明投标人及投标标的符合招标文件规定的文件</w:t>
      </w:r>
      <w:bookmarkEnd w:id="57"/>
      <w:r/>
      <w:bookmarkEnd w:id="58"/>
      <w:r/>
      <w:bookmarkEnd w:id="59"/>
      <w:r/>
      <w:bookmarkEnd w:id="60"/>
      <w:r/>
      <w:bookmarkEnd w:id="61"/>
      <w:r/>
      <w:bookmarkEnd w:id="62"/>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rPr>
      </w:pPr>
      <w:r/>
      <w:bookmarkStart w:id="63" w:name="_Toc14577355"/>
      <w:r/>
      <w:bookmarkStart w:id="64" w:name="_Toc49090508"/>
      <w:r>
        <w:rPr>
          <w:rFonts w:hint="eastAsia" w:ascii="宋体" w:hAnsi="宋体" w:cs="宋体"/>
          <w:sz w:val="24"/>
          <w:szCs w:val="24"/>
        </w:rPr>
        <w:t xml:space="preserve">11.1 投标人应按照法律、法规、规章和规范性文件以及招标文件要求提交证明文件，证明其及投标标的符合招标文件规定。</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11.2 招标文件对证明文件无明确形式要求的，证明文件可以以文字资料、图纸和数据等形式提交。</w:t>
      </w:r>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12、投标报价</w:t>
      </w:r>
      <w:bookmarkEnd w:id="63"/>
      <w:r/>
      <w:bookmarkStart w:id="65" w:name="_Hlt26670373"/>
      <w:r/>
      <w:bookmarkEnd w:id="65"/>
      <w:r>
        <w:rPr>
          <w:rFonts w:hint="eastAsia" w:ascii="宋体" w:hAnsi="宋体" w:eastAsia="宋体" w:cs="宋体"/>
          <w:b w:val="0"/>
          <w:bCs w:val="0"/>
          <w:sz w:val="24"/>
          <w:szCs w:val="24"/>
        </w:rPr>
        <w:t xml:space="preserve">明细表</w:t>
      </w:r>
      <w:bookmarkEnd w:id="64"/>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12.1 投</w:t>
      </w:r>
      <w:bookmarkStart w:id="66" w:name="_Hlt26954840"/>
      <w:r/>
      <w:bookmarkEnd w:id="66"/>
      <w:r>
        <w:rPr>
          <w:rFonts w:hint="eastAsia" w:ascii="宋体" w:hAnsi="宋体" w:cs="宋体"/>
          <w:sz w:val="24"/>
          <w:szCs w:val="24"/>
        </w:rPr>
        <w:t xml:space="preserve">标人应按照招标文件规定格式填报投标报价明细表</w:t>
      </w:r>
      <w:bookmarkStart w:id="67" w:name="_Hlt26670399"/>
      <w:r/>
      <w:bookmarkEnd w:id="67"/>
      <w:r>
        <w:rPr>
          <w:rFonts w:hint="eastAsia" w:ascii="宋体" w:hAnsi="宋体" w:cs="宋体"/>
          <w:sz w:val="24"/>
          <w:szCs w:val="24"/>
        </w:rPr>
        <w:t xml:space="preserve">。</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12.2 投标货币。投标文件中的单价和总价无特殊规定的采用人民币报价，以元为单位标注。招标文件中另有规定的按规定执行。</w:t>
      </w:r>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68" w:name="_Hlt26954846"/>
      <w:r/>
      <w:bookmarkEnd w:id="68"/>
      <w:r/>
      <w:bookmarkStart w:id="69" w:name="_Hlt26670486"/>
      <w:r/>
      <w:bookmarkEnd w:id="69"/>
      <w:r/>
      <w:bookmarkStart w:id="70" w:name="_Hlt26954848"/>
      <w:r/>
      <w:bookmarkEnd w:id="70"/>
      <w:r/>
      <w:bookmarkStart w:id="71" w:name="_Hlt26954842"/>
      <w:r/>
      <w:bookmarkEnd w:id="71"/>
      <w:r/>
      <w:bookmarkStart w:id="72" w:name="_Hlt26954844"/>
      <w:r/>
      <w:bookmarkEnd w:id="72"/>
      <w:r/>
      <w:bookmarkStart w:id="73" w:name="_Hlt26670403"/>
      <w:r/>
      <w:bookmarkEnd w:id="73"/>
      <w:r/>
      <w:bookmarkStart w:id="74" w:name="_Hlt26954731"/>
      <w:r/>
      <w:bookmarkEnd w:id="74"/>
      <w:r/>
      <w:bookmarkStart w:id="75" w:name="_Hlt26668983"/>
      <w:r/>
      <w:bookmarkEnd w:id="75"/>
      <w:r/>
      <w:bookmarkStart w:id="76" w:name="_Hlt26670482"/>
      <w:r/>
      <w:bookmarkEnd w:id="76"/>
      <w:r/>
      <w:bookmarkStart w:id="77" w:name="_Hlt26670425"/>
      <w:r/>
      <w:bookmarkEnd w:id="77"/>
      <w:r>
        <w:rPr>
          <w:rFonts w:hint="eastAsia" w:ascii="宋体" w:hAnsi="宋体" w:eastAsia="宋体" w:cs="宋体"/>
          <w:b w:val="0"/>
          <w:bCs w:val="0"/>
          <w:sz w:val="24"/>
          <w:szCs w:val="24"/>
        </w:rPr>
        <w:t xml:space="preserve">13、响应及偏离表</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投标人需对招标文件中的技术要求与商务要求逐项作出响应或偏离说明。</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13.2 投标人可以在投标文件中提供认为需要的其他技术文件或说明。</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bookmarkStart w:id="78" w:name="_Toc14577359"/>
      <w:r/>
      <w:bookmarkStart w:id="79" w:name="_Toc49090510"/>
      <w:r>
        <w:rPr>
          <w:rFonts w:hint="eastAsia" w:ascii="宋体" w:hAnsi="宋体" w:eastAsia="宋体" w:cs="宋体"/>
          <w:b w:val="0"/>
          <w:bCs w:val="0"/>
          <w:sz w:val="24"/>
          <w:szCs w:val="24"/>
        </w:rPr>
        <w:t xml:space="preserve">14、投标函和开标一览表</w:t>
      </w:r>
      <w:bookmarkEnd w:id="78"/>
      <w:r/>
      <w:bookmarkEnd w:id="79"/>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color w:val="000000"/>
          <w:sz w:val="24"/>
          <w:szCs w:val="24"/>
          <w:lang w:val="zh-CN"/>
        </w:rPr>
      </w:pPr>
      <w:r/>
      <w:bookmarkStart w:id="80" w:name="_Hlt26954734"/>
      <w:r/>
      <w:bookmarkEnd w:id="80"/>
      <w:r/>
      <w:bookmarkStart w:id="81" w:name="_Hlt26670489"/>
      <w:r/>
      <w:bookmarkEnd w:id="81"/>
      <w:r/>
      <w:bookmarkStart w:id="82" w:name="_Hlt26954850"/>
      <w:r/>
      <w:bookmarkEnd w:id="82"/>
      <w:r/>
      <w:bookmarkStart w:id="83" w:name="_Toc14577360"/>
      <w:r/>
      <w:bookmarkStart w:id="84" w:name="_Toc49090511"/>
      <w:r>
        <w:rPr>
          <w:rFonts w:hint="eastAsia" w:ascii="宋体" w:hAnsi="宋体" w:cs="宋体"/>
          <w:color w:val="000000"/>
          <w:sz w:val="24"/>
          <w:szCs w:val="24"/>
          <w:lang w:val="zh-CN"/>
        </w:rPr>
        <w:t xml:space="preserve">14.1 投标人应按照招标文件提供的格式完整、正确填写投标函、开标一览表，所投核心产品品牌缺项的将视为无效投标。</w:t>
      </w:r>
      <w:r>
        <w:rPr>
          <w:rFonts w:hint="eastAsia" w:ascii="宋体" w:hAnsi="宋体" w:cs="宋体"/>
          <w:color w:val="000000"/>
          <w:sz w:val="24"/>
          <w:szCs w:val="24"/>
          <w:lang w:val="zh-CN"/>
        </w:rPr>
      </w:r>
      <w:r/>
    </w:p>
    <w:p>
      <w:pPr>
        <w:pStyle w:val="741"/>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14.2 对于采用货币报价的项目，开标一览表中的投标总报价应与投标报价</w:t>
      </w:r>
      <w:r>
        <w:rPr>
          <w:rFonts w:hint="eastAsia" w:ascii="宋体" w:hAnsi="宋体" w:cs="宋体"/>
          <w:color w:val="000000"/>
          <w:sz w:val="24"/>
          <w:szCs w:val="24"/>
        </w:rPr>
        <w:t xml:space="preserve">明细</w:t>
      </w:r>
      <w:r>
        <w:rPr>
          <w:rFonts w:hint="eastAsia" w:ascii="宋体" w:hAnsi="宋体" w:cs="宋体"/>
          <w:color w:val="000000"/>
          <w:sz w:val="24"/>
          <w:szCs w:val="24"/>
          <w:lang w:val="zh-CN"/>
        </w:rPr>
        <w:t xml:space="preserve">表中的投标总报价一致，如不一致，不作为无效投标处理，但评标时按开标一览表中价格为准。</w:t>
      </w:r>
      <w:r>
        <w:rPr>
          <w:rFonts w:hint="eastAsia" w:ascii="宋体" w:hAnsi="宋体" w:cs="宋体"/>
          <w:color w:val="000000"/>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15、投标有效期</w:t>
      </w:r>
      <w:bookmarkEnd w:id="83"/>
      <w:r/>
      <w:bookmarkEnd w:id="84"/>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15.1 投标有效期为开标之日后</w:t>
      </w:r>
      <w:r>
        <w:rPr>
          <w:rFonts w:hint="eastAsia" w:ascii="宋体" w:hAnsi="宋体" w:cs="宋体"/>
          <w:sz w:val="24"/>
          <w:szCs w:val="24"/>
        </w:rPr>
        <w:t xml:space="preserve">九十</w:t>
      </w:r>
      <w:r>
        <w:rPr>
          <w:rFonts w:hint="eastAsia" w:ascii="宋体" w:hAnsi="宋体" w:cs="宋体"/>
          <w:sz w:val="24"/>
          <w:szCs w:val="24"/>
          <w:lang w:val="zh-CN"/>
        </w:rPr>
        <w:t xml:space="preserve">天。投标有效期比规定短的将被视为未实质性响应招标文件而予以拒绝。</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cs="宋体"/>
          <w:sz w:val="24"/>
          <w:szCs w:val="24"/>
          <w:lang w:val="zh-CN"/>
        </w:rPr>
      </w:r>
      <w:r/>
    </w:p>
    <w:p>
      <w:pPr>
        <w:pStyle w:val="845"/>
        <w:ind w:firstLine="482"/>
        <w:spacing w:before="145" w:after="145" w:line="360" w:lineRule="auto"/>
        <w:rPr>
          <w:rFonts w:hint="eastAsia" w:ascii="宋体" w:hAnsi="宋体" w:cs="宋体"/>
          <w:sz w:val="24"/>
          <w:szCs w:val="24"/>
        </w:rPr>
      </w:pPr>
      <w:r/>
      <w:bookmarkStart w:id="85" w:name="_Hlt26954852"/>
      <w:r/>
      <w:bookmarkEnd w:id="85"/>
      <w:r/>
      <w:bookmarkStart w:id="86" w:name="_Hlt26954739"/>
      <w:r/>
      <w:bookmarkEnd w:id="86"/>
      <w:r/>
      <w:bookmarkStart w:id="87" w:name="_Toc513029224"/>
      <w:r/>
      <w:bookmarkStart w:id="88" w:name="_Toc20823296"/>
      <w:r/>
      <w:bookmarkStart w:id="89" w:name="_Toc16938540"/>
      <w:r/>
      <w:bookmarkStart w:id="90" w:name="_Toc120614217"/>
      <w:r>
        <w:rPr>
          <w:rFonts w:hint="eastAsia" w:ascii="宋体" w:hAnsi="宋体" w:cs="宋体"/>
          <w:sz w:val="24"/>
          <w:szCs w:val="24"/>
        </w:rPr>
        <w:t xml:space="preserve">四、投标文件的递交</w:t>
      </w:r>
      <w:bookmarkEnd w:id="87"/>
      <w:r/>
      <w:bookmarkEnd w:id="88"/>
      <w:r/>
      <w:bookmarkEnd w:id="89"/>
      <w:r/>
      <w:bookmarkEnd w:id="90"/>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91" w:name="_Toc16938541"/>
      <w:r/>
      <w:bookmarkStart w:id="92" w:name="_Toc513029225"/>
      <w:r/>
      <w:bookmarkStart w:id="93" w:name="_Toc462564084"/>
      <w:r/>
      <w:bookmarkStart w:id="94" w:name="_Toc20823297"/>
      <w:r>
        <w:rPr>
          <w:rFonts w:hint="eastAsia" w:ascii="宋体" w:hAnsi="宋体" w:eastAsia="宋体" w:cs="宋体"/>
          <w:b w:val="0"/>
          <w:bCs w:val="0"/>
          <w:sz w:val="24"/>
          <w:szCs w:val="24"/>
        </w:rPr>
        <w:t xml:space="preserve">17、投标文件</w:t>
      </w:r>
      <w:bookmarkEnd w:id="91"/>
      <w:r/>
      <w:bookmarkEnd w:id="92"/>
      <w:r/>
      <w:bookmarkEnd w:id="93"/>
      <w:r/>
      <w:bookmarkEnd w:id="94"/>
      <w:r>
        <w:rPr>
          <w:rFonts w:hint="eastAsia" w:ascii="宋体" w:hAnsi="宋体" w:eastAsia="宋体" w:cs="宋体"/>
          <w:b w:val="0"/>
          <w:bCs w:val="0"/>
          <w:sz w:val="24"/>
          <w:szCs w:val="24"/>
        </w:rPr>
        <w:t xml:space="preserve">的递交</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17.1 电子投标文件的递交</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投标人应当按照《操作手册》规定，在投标截止时间前制作并上传电子投标文件。</w:t>
      </w:r>
      <w:bookmarkStart w:id="95" w:name="_Toc513029226"/>
      <w:r/>
      <w:bookmarkStart w:id="96" w:name="_Toc20823298"/>
      <w:r/>
      <w:bookmarkStart w:id="97" w:name="_Toc16938542"/>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18、投标截止</w:t>
      </w:r>
      <w:bookmarkEnd w:id="95"/>
      <w:r/>
      <w:bookmarkEnd w:id="96"/>
      <w:r/>
      <w:bookmarkEnd w:id="97"/>
      <w:r>
        <w:rPr>
          <w:rFonts w:hint="eastAsia" w:ascii="宋体" w:hAnsi="宋体" w:eastAsia="宋体" w:cs="宋体"/>
          <w:b w:val="0"/>
          <w:bCs w:val="0"/>
          <w:sz w:val="24"/>
          <w:szCs w:val="24"/>
        </w:rPr>
        <w:t xml:space="preserve">时间</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18.1 投标人上传电子投标文件的时间不得迟于招标公告中规定的投标截止时间。</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18.2 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bookmarkStart w:id="98" w:name="_Toc513029227"/>
      <w:r/>
      <w:bookmarkStart w:id="99" w:name="_Toc20823299"/>
      <w:r/>
      <w:bookmarkStart w:id="100" w:name="_Toc16938543"/>
      <w:r>
        <w:rPr>
          <w:rFonts w:hint="eastAsia" w:ascii="宋体" w:hAnsi="宋体" w:eastAsia="宋体" w:cs="宋体"/>
          <w:b w:val="0"/>
          <w:bCs w:val="0"/>
          <w:sz w:val="24"/>
          <w:szCs w:val="24"/>
        </w:rPr>
        <w:t xml:space="preserve">19、投标文件</w:t>
      </w:r>
      <w:bookmarkEnd w:id="98"/>
      <w:r/>
      <w:bookmarkEnd w:id="99"/>
      <w:r/>
      <w:bookmarkEnd w:id="100"/>
      <w:r>
        <w:rPr>
          <w:rFonts w:hint="eastAsia" w:ascii="宋体" w:hAnsi="宋体" w:eastAsia="宋体" w:cs="宋体"/>
          <w:b w:val="0"/>
          <w:bCs w:val="0"/>
          <w:sz w:val="24"/>
          <w:szCs w:val="24"/>
        </w:rPr>
        <w:t xml:space="preserve">的拒收</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19.1代理机构拒绝接收投标截止时间后上传的任何投标文件。</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bookmarkStart w:id="101" w:name="_Toc20823300"/>
      <w:r/>
      <w:bookmarkStart w:id="102" w:name="_Toc16938544"/>
      <w:r/>
      <w:bookmarkStart w:id="103" w:name="_Toc513029228"/>
      <w:r>
        <w:rPr>
          <w:rFonts w:hint="eastAsia" w:ascii="宋体" w:hAnsi="宋体" w:eastAsia="宋体" w:cs="宋体"/>
          <w:b w:val="0"/>
          <w:bCs w:val="0"/>
          <w:sz w:val="24"/>
          <w:szCs w:val="24"/>
        </w:rPr>
        <w:t xml:space="preserve">20、投标文件的撤回和修改</w:t>
      </w:r>
      <w:bookmarkEnd w:id="101"/>
      <w:r/>
      <w:bookmarkEnd w:id="102"/>
      <w:r/>
      <w:bookmarkEnd w:id="103"/>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20.1 投标文件的撤回</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21.1.1电子投标文件的撤回</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投标人可在投标截止时间前，撤回其电子投标文件，具体操作方法见《操作手册》。</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21.1.2投标人撤回电子投标文件，则认为其不再参与本项目投标活动。</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20.2 投标文件的修改</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20.2.1投标人可在投标截止时间前，对其电子投标文件进行修改，具体操作方法见《操作手册》。</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20.2.2在投标截止时间之后，投标人不得对其电子投标文件作任何修改。</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20.3 在投标截止时间至招标文件中规定的投标有效期满之间的这段时间内，投标人不得撤回其投标。</w:t>
      </w:r>
      <w:bookmarkStart w:id="104" w:name="_Toc513029229"/>
      <w:r/>
      <w:bookmarkStart w:id="105" w:name="_Toc120614218"/>
      <w:r/>
      <w:bookmarkStart w:id="106" w:name="_Toc16938545"/>
      <w:r/>
      <w:bookmarkStart w:id="107" w:name="_Toc20823301"/>
      <w:r>
        <w:rPr>
          <w:rFonts w:hint="eastAsia" w:ascii="宋体" w:hAnsi="宋体" w:cs="宋体"/>
          <w:sz w:val="24"/>
          <w:szCs w:val="24"/>
          <w:lang w:val="zh-CN"/>
        </w:rPr>
      </w:r>
      <w:r/>
    </w:p>
    <w:p>
      <w:pPr>
        <w:pStyle w:val="845"/>
        <w:ind w:firstLine="482"/>
        <w:spacing w:before="145" w:after="145" w:line="360" w:lineRule="auto"/>
        <w:rPr>
          <w:rFonts w:hint="eastAsia" w:ascii="宋体" w:hAnsi="宋体" w:cs="宋体"/>
          <w:sz w:val="24"/>
          <w:szCs w:val="24"/>
        </w:rPr>
      </w:pPr>
      <w:r>
        <w:rPr>
          <w:rFonts w:hint="eastAsia" w:ascii="宋体" w:hAnsi="宋体" w:cs="宋体"/>
          <w:sz w:val="24"/>
          <w:szCs w:val="24"/>
        </w:rPr>
        <w:t xml:space="preserve">五、解密与评标</w:t>
      </w:r>
      <w:bookmarkEnd w:id="104"/>
      <w:r/>
      <w:bookmarkEnd w:id="105"/>
      <w:r/>
      <w:bookmarkEnd w:id="106"/>
      <w:r/>
      <w:bookmarkEnd w:id="107"/>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108" w:name="_Toc513029230"/>
      <w:r/>
      <w:bookmarkStart w:id="109" w:name="_Toc16938546"/>
      <w:r/>
      <w:bookmarkStart w:id="110" w:name="_Toc20823302"/>
      <w:r>
        <w:rPr>
          <w:rFonts w:hint="eastAsia" w:ascii="宋体" w:hAnsi="宋体" w:eastAsia="宋体" w:cs="宋体"/>
          <w:b w:val="0"/>
          <w:bCs w:val="0"/>
          <w:sz w:val="24"/>
          <w:szCs w:val="24"/>
        </w:rPr>
        <w:t xml:space="preserve">21、</w:t>
      </w:r>
      <w:bookmarkEnd w:id="108"/>
      <w:r/>
      <w:bookmarkEnd w:id="109"/>
      <w:r/>
      <w:bookmarkEnd w:id="110"/>
      <w:r>
        <w:rPr>
          <w:rFonts w:hint="eastAsia" w:ascii="宋体" w:hAnsi="宋体" w:eastAsia="宋体" w:cs="宋体"/>
          <w:b w:val="0"/>
          <w:bCs w:val="0"/>
          <w:sz w:val="24"/>
          <w:szCs w:val="24"/>
        </w:rPr>
        <w:t xml:space="preserve">解密</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21.1 代理机构将在招标公告中规定的时间和地点组织公开开标。投标人应当按照《操作手册》规定，在苏采云系统规定的时间内对</w:t>
      </w:r>
      <w:r>
        <w:rPr>
          <w:rFonts w:hint="eastAsia" w:ascii="宋体" w:hAnsi="宋体" w:cs="宋体"/>
          <w:sz w:val="24"/>
          <w:szCs w:val="24"/>
        </w:rPr>
        <w:t xml:space="preserve">投标</w:t>
      </w:r>
      <w:r>
        <w:rPr>
          <w:rFonts w:hint="eastAsia" w:ascii="宋体" w:hAnsi="宋体" w:cs="宋体"/>
          <w:sz w:val="24"/>
          <w:szCs w:val="24"/>
          <w:lang w:val="zh-CN"/>
        </w:rPr>
        <w:t xml:space="preserve">文件进行解密。本项目采购文件规定的供应商按时在线解密方式：开启</w:t>
      </w:r>
      <w:r>
        <w:rPr>
          <w:rFonts w:hint="eastAsia" w:ascii="宋体" w:hAnsi="宋体" w:cs="宋体"/>
          <w:sz w:val="24"/>
          <w:szCs w:val="24"/>
        </w:rPr>
        <w:t xml:space="preserve">后，在规定时间内</w:t>
      </w:r>
      <w:r>
        <w:rPr>
          <w:rFonts w:hint="eastAsia" w:ascii="宋体" w:hAnsi="宋体" w:cs="宋体"/>
          <w:sz w:val="24"/>
          <w:szCs w:val="24"/>
          <w:lang w:val="zh-CN"/>
        </w:rPr>
        <w:t xml:space="preserve">通过“苏采云”系统（使用“CA数字证书”）解密；如因供应商自身原因造成的电子</w:t>
      </w:r>
      <w:r>
        <w:rPr>
          <w:rFonts w:hint="eastAsia" w:ascii="宋体" w:hAnsi="宋体" w:cs="宋体"/>
          <w:sz w:val="24"/>
          <w:szCs w:val="24"/>
        </w:rPr>
        <w:t xml:space="preserve">投标</w:t>
      </w:r>
      <w:r>
        <w:rPr>
          <w:rFonts w:hint="eastAsia" w:ascii="宋体" w:hAnsi="宋体" w:cs="宋体"/>
          <w:sz w:val="24"/>
          <w:szCs w:val="24"/>
          <w:lang w:val="zh-CN"/>
        </w:rPr>
        <w:t xml:space="preserve">文件未在规定时间内解密成功的，按照无效响应处理。</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21.2开标仪式由代理机构组织。苏采云系统将自动对项目进行开标，并公布各投标人名称和投标价格。</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21.3投标人在开标过程中涉及到的投标文件解密、开标结果确认等工作，应按照《操作手册》规定执行。</w:t>
      </w:r>
      <w:r>
        <w:rPr>
          <w:rFonts w:hint="eastAsia" w:ascii="宋体" w:hAnsi="宋体" w:cs="宋体"/>
          <w:sz w:val="24"/>
          <w:szCs w:val="24"/>
          <w:lang w:val="zh-CN"/>
        </w:rPr>
      </w:r>
      <w:r/>
    </w:p>
    <w:p>
      <w:pPr>
        <w:pStyle w:val="741"/>
        <w:ind w:firstLine="480"/>
        <w:spacing w:line="360" w:lineRule="auto"/>
        <w:rPr>
          <w:rFonts w:hint="eastAsia" w:ascii="宋体" w:hAnsi="宋体" w:cs="宋体"/>
          <w:b/>
          <w:bCs/>
          <w:sz w:val="24"/>
          <w:szCs w:val="24"/>
        </w:rPr>
      </w:pPr>
      <w:r>
        <w:rPr>
          <w:rFonts w:hint="eastAsia" w:ascii="宋体" w:hAnsi="宋体" w:cs="宋体"/>
          <w:sz w:val="24"/>
          <w:szCs w:val="24"/>
          <w:lang w:val="zh-CN"/>
        </w:rPr>
        <w:t xml:space="preserve">21.4投标人如果对开标过程和开标记录有疑义，应当根据《操作手册》规定提出，如苏采云系统中《开标记录表》公布后</w:t>
      </w:r>
      <w:r>
        <w:rPr>
          <w:rFonts w:hint="eastAsia" w:ascii="宋体" w:hAnsi="宋体" w:cs="宋体"/>
          <w:sz w:val="24"/>
          <w:szCs w:val="24"/>
        </w:rPr>
        <w:t xml:space="preserve">规定时间</w:t>
      </w:r>
      <w:r>
        <w:rPr>
          <w:rFonts w:hint="eastAsia" w:ascii="宋体" w:hAnsi="宋体" w:cs="宋体"/>
          <w:sz w:val="24"/>
          <w:szCs w:val="24"/>
          <w:lang w:val="zh-CN"/>
        </w:rPr>
        <w:t xml:space="preserve">内未提出的，视同认可开标结果。投标人在开、评标全过程中应保持通讯畅通，及时登录苏采云系统查阅、答复相关信息，并安排专人与采购代理机构联系。</w:t>
      </w:r>
      <w:r>
        <w:rPr>
          <w:rFonts w:hint="eastAsia" w:ascii="宋体" w:hAnsi="宋体" w:cs="宋体"/>
          <w:b/>
          <w:bCs/>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111" w:name="_Toc16938547"/>
      <w:r/>
      <w:bookmarkStart w:id="112" w:name="_Toc20823303"/>
      <w:r/>
      <w:bookmarkStart w:id="113" w:name="_Toc513029231"/>
      <w:r>
        <w:rPr>
          <w:rFonts w:hint="eastAsia" w:ascii="宋体" w:hAnsi="宋体" w:eastAsia="宋体" w:cs="宋体"/>
          <w:b w:val="0"/>
          <w:bCs w:val="0"/>
          <w:sz w:val="24"/>
          <w:szCs w:val="24"/>
        </w:rPr>
        <w:t xml:space="preserve">22、评标</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22.1 代理机构将组织评标委员会（以下简称评委会）进行评标。</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22.2 评委会由采购人代表和有关技术、经济等方面的专家组成，且人员构成符合政府采购有关规定。</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22.3评委会独立工作，负责评审所有投标文件并</w:t>
      </w:r>
      <w:r>
        <w:rPr>
          <w:rFonts w:hint="eastAsia" w:ascii="宋体" w:hAnsi="宋体" w:cs="宋体"/>
          <w:sz w:val="24"/>
          <w:szCs w:val="24"/>
        </w:rPr>
        <w:t xml:space="preserve">推荐</w:t>
      </w:r>
      <w:r>
        <w:rPr>
          <w:rFonts w:hint="eastAsia" w:ascii="宋体" w:hAnsi="宋体" w:cs="宋体"/>
          <w:sz w:val="24"/>
          <w:szCs w:val="24"/>
          <w:lang w:val="zh-CN"/>
        </w:rPr>
        <w:t xml:space="preserve">中标侯选人，</w:t>
      </w:r>
      <w:r>
        <w:rPr>
          <w:rFonts w:hint="eastAsia" w:ascii="宋体" w:hAnsi="宋体" w:cs="宋体"/>
          <w:sz w:val="24"/>
          <w:szCs w:val="24"/>
        </w:rPr>
        <w:t xml:space="preserve">或根据采购人委托直接确定中标人</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bookmarkEnd w:id="111"/>
      <w:r/>
      <w:bookmarkEnd w:id="112"/>
      <w:r/>
      <w:bookmarkEnd w:id="113"/>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23.1凡是与审查、澄清、评价和比较投标的有关资料以及授标建议等，采购人、评委、代理机构均不得向投标人或与评标无关的其他人员透露。</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23.2在评标过程中，投标人不得以任何行为影响评标过程，否则其投标文件将被作为无效投标文件。</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23.3 代理机构和评委会不向未中标的投标人解释未中标原因，也不公布评标过程中的相关细节。</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bookmarkStart w:id="114" w:name="_Toc20823304"/>
      <w:r/>
      <w:bookmarkStart w:id="115" w:name="_Toc513029232"/>
      <w:r/>
      <w:bookmarkStart w:id="116" w:name="_Toc16938548"/>
      <w:r>
        <w:rPr>
          <w:rFonts w:hint="eastAsia" w:ascii="宋体" w:hAnsi="宋体" w:eastAsia="宋体" w:cs="宋体"/>
          <w:b w:val="0"/>
          <w:bCs w:val="0"/>
          <w:sz w:val="24"/>
          <w:szCs w:val="24"/>
        </w:rPr>
        <w:t xml:space="preserve">24、投标文件的澄清</w:t>
      </w:r>
      <w:bookmarkEnd w:id="114"/>
      <w:r/>
      <w:bookmarkEnd w:id="115"/>
      <w:r/>
      <w:bookmarkEnd w:id="116"/>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24.3 接到评委会澄清、说明和补正要求的投标人如未按规定做出澄清、说明和补正，其风险由投标人自行承担。</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sz w:val="24"/>
          <w:szCs w:val="24"/>
        </w:rPr>
      </w:pPr>
      <w:r/>
      <w:bookmarkStart w:id="117" w:name="_Toc20823305"/>
      <w:r/>
      <w:bookmarkStart w:id="118" w:name="_Toc16938549"/>
      <w:r/>
      <w:bookmarkStart w:id="119" w:name="_Toc513029233"/>
      <w:r>
        <w:rPr>
          <w:rFonts w:hint="eastAsia" w:ascii="宋体" w:hAnsi="宋体" w:eastAsia="宋体" w:cs="宋体"/>
          <w:sz w:val="24"/>
          <w:szCs w:val="24"/>
        </w:rPr>
        <w:t xml:space="preserve">25、对投标文件的初审</w:t>
      </w:r>
      <w:bookmarkEnd w:id="117"/>
      <w:r/>
      <w:bookmarkEnd w:id="118"/>
      <w:r/>
      <w:bookmarkEnd w:id="119"/>
      <w:r>
        <w:rPr>
          <w:rFonts w:hint="eastAsia" w:ascii="宋体" w:hAnsi="宋体" w:eastAsia="宋体" w:cs="宋体"/>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25.1投标文件初审分为资格审查和符合性审查。</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25.1.1资格审查：依据法律法规和招标文件的规定，由采购人对投标文件中的资格证明文件进行审查。资格审查的结论，采购人以书面形式向评委会进行反馈。</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color w:val="000000"/>
          <w:sz w:val="24"/>
          <w:szCs w:val="24"/>
        </w:rPr>
        <w:t xml:space="preserve">25.1.1.1在进行资格性审查的同时，将在“信用中国”网站（</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"http://www.creditchina.gov.cn/"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rPr>
        <w:t xml:space="preserve">25.1.1.2</w:t>
      </w:r>
      <w:r>
        <w:rPr>
          <w:rFonts w:hint="eastAsia" w:ascii="宋体" w:hAnsi="宋体" w:cs="宋体"/>
          <w:sz w:val="24"/>
          <w:szCs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25.1.3未通过资格审查或符合性审查的投标人，代理机构将在苏采云系统中告知</w:t>
      </w:r>
      <w:r>
        <w:rPr>
          <w:rFonts w:hint="eastAsia" w:ascii="宋体" w:hAnsi="宋体" w:cs="宋体"/>
          <w:sz w:val="24"/>
          <w:szCs w:val="24"/>
        </w:rPr>
        <w:t xml:space="preserve">具体</w:t>
      </w:r>
      <w:r>
        <w:rPr>
          <w:rFonts w:hint="eastAsia" w:ascii="宋体" w:hAnsi="宋体" w:cs="宋体"/>
          <w:sz w:val="24"/>
          <w:szCs w:val="24"/>
          <w:lang w:val="zh-CN"/>
        </w:rPr>
        <w:t xml:space="preserve">原因，评标结束后，代理机构将不再告知未通过资格审查和符合性审查的原因。</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25.2在详细评</w:t>
      </w:r>
      <w:r>
        <w:rPr>
          <w:rFonts w:hint="eastAsia" w:ascii="宋体" w:hAnsi="宋体" w:cs="宋体"/>
          <w:sz w:val="24"/>
          <w:szCs w:val="24"/>
        </w:rPr>
        <w:t xml:space="preserve">审</w:t>
      </w:r>
      <w:r>
        <w:rPr>
          <w:rFonts w:hint="eastAsia" w:ascii="宋体" w:hAnsi="宋体" w:cs="宋体"/>
          <w:sz w:val="24"/>
          <w:szCs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所谓重大偏离或保留是指与招标文件规定的实质性要求存在负偏离，或者在实质上与招标文件不一致，而且限制了合同中</w:t>
      </w:r>
      <w:r>
        <w:rPr>
          <w:rFonts w:hint="eastAsia" w:ascii="宋体" w:hAnsi="宋体" w:cs="宋体"/>
          <w:sz w:val="24"/>
          <w:szCs w:val="24"/>
        </w:rPr>
        <w:t xml:space="preserve">采购人</w:t>
      </w:r>
      <w:r>
        <w:rPr>
          <w:rFonts w:hint="eastAsia" w:ascii="宋体" w:hAnsi="宋体" w:cs="宋体"/>
          <w:sz w:val="24"/>
          <w:szCs w:val="24"/>
          <w:lang w:val="zh-CN"/>
        </w:rPr>
        <w:t xml:space="preserve">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25.4评委会将对确定为实质性响应的投标进行进一步审核，确定其是否有计算上或累加上的算术错误，修正错误的原则如下：</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同时出现两种以上错误的，按照前款规定的顺序修正。</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bookmarkStart w:id="120" w:name="_Toc16938550"/>
      <w:r/>
      <w:bookmarkStart w:id="121" w:name="_Toc20823306"/>
      <w:r/>
      <w:bookmarkStart w:id="122" w:name="_Toc513029234"/>
      <w:r>
        <w:rPr>
          <w:rFonts w:hint="eastAsia" w:ascii="宋体" w:hAnsi="宋体" w:cs="宋体"/>
          <w:sz w:val="24"/>
          <w:szCs w:val="24"/>
          <w:lang w:val="zh-CN"/>
        </w:rPr>
        <w:t xml:space="preserve">25.6投标人在开、评标全过程中应保持通讯畅通，及时登录苏采云系统查阅、答复相关信息，并安排专人与代理机构及评委会联系。</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26、</w:t>
      </w:r>
      <w:bookmarkEnd w:id="120"/>
      <w:r/>
      <w:bookmarkEnd w:id="121"/>
      <w:r/>
      <w:bookmarkEnd w:id="122"/>
      <w:r>
        <w:rPr>
          <w:rFonts w:hint="eastAsia" w:ascii="宋体" w:hAnsi="宋体" w:eastAsia="宋体" w:cs="宋体"/>
          <w:sz w:val="24"/>
          <w:szCs w:val="24"/>
        </w:rPr>
        <w:t xml:space="preserve">无效投标条款和废标条款</w:t>
      </w:r>
      <w:r>
        <w:rPr>
          <w:rFonts w:hint="eastAsia" w:ascii="宋体" w:hAnsi="宋体" w:eastAsia="宋体" w:cs="宋体"/>
          <w:sz w:val="24"/>
          <w:szCs w:val="24"/>
        </w:rPr>
      </w:r>
      <w:r/>
    </w:p>
    <w:p>
      <w:pPr>
        <w:pStyle w:val="741"/>
        <w:ind w:firstLine="420"/>
        <w:spacing w:line="360" w:lineRule="auto"/>
        <w:rPr>
          <w:rFonts w:hint="eastAsia" w:ascii="宋体" w:hAnsi="宋体" w:cs="宋体"/>
          <w:sz w:val="24"/>
          <w:szCs w:val="24"/>
          <w:lang w:val="zh-CN"/>
        </w:rPr>
      </w:pPr>
      <w:r/>
      <w:bookmarkStart w:id="123" w:name="_Toc16938551"/>
      <w:r/>
      <w:bookmarkStart w:id="124" w:name="_Toc513029235"/>
      <w:r/>
      <w:bookmarkStart w:id="125" w:name="_Toc20823307"/>
      <w:r>
        <w:rPr>
          <w:rFonts w:hint="eastAsia" w:ascii="宋体" w:hAnsi="宋体" w:cs="宋体"/>
          <w:sz w:val="24"/>
          <w:szCs w:val="24"/>
          <w:lang w:val="zh-CN"/>
        </w:rPr>
        <w:t xml:space="preserve">26.1无效投标条款</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26.1.1投标人在苏采云系统规定的时间内未成功解密电子投标文件的。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26.1.2投标人未按照招标文件要求上传电子投标文件的。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26.1.3同一投标人提交两个（含两个）以上不同的投标报价的。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26.1.4投标人不具备招标文件中规定资格要求的。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26.1.5投标人的报价超过了采购预算或最高限价的。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26.1.6未通过符合性审查的。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26.1.7不符合招标文件中规定的实质性要求和条件的（</w:t>
      </w:r>
      <w:r>
        <w:rPr>
          <w:rFonts w:hint="eastAsia" w:ascii="宋体" w:hAnsi="宋体" w:cs="宋体"/>
          <w:b/>
          <w:bCs/>
          <w:i/>
          <w:iCs/>
          <w:sz w:val="24"/>
          <w:szCs w:val="24"/>
          <w:u w:val="single"/>
          <w:lang w:val="zh-CN"/>
        </w:rPr>
        <w:t xml:space="preserve">本招标文件中斜体且有下划线部分</w:t>
      </w:r>
      <w:r>
        <w:rPr>
          <w:rFonts w:hint="eastAsia" w:ascii="宋体" w:hAnsi="宋体" w:cs="宋体"/>
          <w:sz w:val="24"/>
          <w:szCs w:val="24"/>
          <w:lang w:val="zh-CN"/>
        </w:rPr>
        <w:t xml:space="preserve">或者打“</w:t>
      </w:r>
      <w:r>
        <w:rPr>
          <w:rFonts w:hint="eastAsia" w:ascii="宋体" w:hAnsi="宋体" w:cs="宋体"/>
          <w:sz w:val="24"/>
          <w:szCs w:val="24"/>
        </w:rPr>
        <w:t xml:space="preserve">★</w:t>
      </w:r>
      <w:r>
        <w:rPr>
          <w:rFonts w:hint="eastAsia" w:ascii="宋体" w:hAnsi="宋体" w:cs="宋体"/>
          <w:sz w:val="24"/>
          <w:szCs w:val="24"/>
          <w:lang w:val="zh-CN"/>
        </w:rPr>
        <w:t xml:space="preserve">”内容为实质性要求和条件）。</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26.1.9投标文件含有采购人不能接受的附加条件的。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26.1.11</w:t>
      </w:r>
      <w:r>
        <w:rPr>
          <w:rFonts w:hint="eastAsia" w:ascii="宋体" w:hAnsi="宋体" w:cs="宋体"/>
          <w:sz w:val="24"/>
          <w:szCs w:val="24"/>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26.1.1</w:t>
      </w:r>
      <w:r>
        <w:rPr>
          <w:rFonts w:hint="eastAsia" w:ascii="宋体" w:hAnsi="宋体" w:cs="宋体"/>
          <w:sz w:val="24"/>
          <w:szCs w:val="24"/>
        </w:rPr>
        <w:t xml:space="preserve">2</w:t>
      </w:r>
      <w:r>
        <w:rPr>
          <w:rFonts w:hint="eastAsia" w:ascii="宋体" w:hAnsi="宋体" w:cs="宋体"/>
          <w:sz w:val="24"/>
          <w:szCs w:val="24"/>
          <w:lang w:val="zh-CN"/>
        </w:rPr>
        <w:t xml:space="preserve">投标文件未按照招标文件要求加盖CA电子公章的。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26.1.1</w:t>
      </w:r>
      <w:r>
        <w:rPr>
          <w:rFonts w:hint="eastAsia" w:ascii="宋体" w:hAnsi="宋体" w:cs="宋体"/>
          <w:sz w:val="24"/>
          <w:szCs w:val="24"/>
        </w:rPr>
        <w:t xml:space="preserve">3</w:t>
      </w:r>
      <w:r>
        <w:rPr>
          <w:rFonts w:hint="eastAsia" w:ascii="宋体" w:hAnsi="宋体" w:cs="宋体"/>
          <w:sz w:val="24"/>
          <w:szCs w:val="24"/>
          <w:lang w:val="zh-CN"/>
        </w:rPr>
        <w:t xml:space="preserve">其他法律、法规及本招标文件规定的属无效投标的情形。</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26.2废标条款</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26.2.1符合专业条件的供应商或者对招标文件作实质响应的供应商不足三家的。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26.2.2出现影响采购公正的违法、违规行为的。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26.2.3因重大变故，采购任务取消的。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26.2.4评委会认定招标文件存在歧义、重大缺陷导致评审工作无法进行。</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26.2.5因苏采云系统故障原因造成开标不成功的。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26.3 投标截止时间后参加投标的供应商不足三家的处理</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26.3.1如出现投标截止时间后参加投标的供应商或者在评标期间对招标文件做出实质响应的供应商不足三家情况，按政府采购相关规定执行。</w:t>
      </w:r>
      <w:r>
        <w:rPr>
          <w:rFonts w:hint="eastAsia" w:ascii="宋体" w:hAnsi="宋体" w:cs="宋体"/>
          <w:sz w:val="24"/>
          <w:szCs w:val="24"/>
          <w:lang w:val="zh-CN"/>
        </w:rPr>
      </w:r>
      <w:r/>
    </w:p>
    <w:p>
      <w:pPr>
        <w:pStyle w:val="844"/>
        <w:ind w:firstLine="420"/>
        <w:spacing w:line="360" w:lineRule="auto"/>
        <w:tabs>
          <w:tab w:val="left" w:pos="1380" w:leader="none"/>
        </w:tabs>
        <w:rPr>
          <w:rFonts w:hint="eastAsia" w:ascii="宋体" w:hAnsi="宋体" w:cs="宋体"/>
          <w:color w:val="000000"/>
          <w:sz w:val="24"/>
          <w:szCs w:val="24"/>
        </w:rPr>
      </w:pPr>
      <w:r>
        <w:rPr>
          <w:rFonts w:hint="eastAsia" w:ascii="宋体" w:hAnsi="宋体" w:cs="宋体"/>
          <w:color w:val="000000"/>
          <w:sz w:val="24"/>
          <w:szCs w:val="24"/>
          <w:lang w:val="zh-CN" w:bidi="zh-CN"/>
        </w:rPr>
        <w:t xml:space="preserve">2</w:t>
      </w:r>
      <w:r>
        <w:rPr>
          <w:rFonts w:hint="eastAsia" w:ascii="宋体" w:hAnsi="宋体" w:cs="宋体"/>
          <w:color w:val="000000"/>
          <w:sz w:val="24"/>
          <w:szCs w:val="24"/>
          <w:lang w:bidi="zh-CN"/>
        </w:rPr>
        <w:t xml:space="preserve">6.4</w:t>
      </w:r>
      <w:r>
        <w:rPr>
          <w:rFonts w:hint="eastAsia" w:ascii="宋体" w:hAnsi="宋体" w:cs="宋体"/>
          <w:color w:val="000000"/>
          <w:sz w:val="24"/>
          <w:szCs w:val="24"/>
        </w:rPr>
        <w:t xml:space="preserve">同品牌多家供应商处理原则</w:t>
      </w:r>
      <w:r>
        <w:rPr>
          <w:rFonts w:hint="eastAsia" w:ascii="宋体" w:hAnsi="宋体" w:cs="宋体"/>
          <w:color w:val="000000"/>
          <w:sz w:val="24"/>
          <w:szCs w:val="24"/>
        </w:rPr>
      </w:r>
      <w:r/>
    </w:p>
    <w:p>
      <w:pPr>
        <w:pStyle w:val="844"/>
        <w:ind w:firstLine="420"/>
        <w:spacing w:line="360" w:lineRule="auto"/>
        <w:tabs>
          <w:tab w:val="left" w:pos="1322" w:leader="none"/>
        </w:tabs>
        <w:rPr>
          <w:rFonts w:hint="eastAsia" w:ascii="宋体" w:hAnsi="宋体" w:cs="宋体"/>
          <w:color w:val="000000"/>
          <w:sz w:val="24"/>
          <w:szCs w:val="24"/>
        </w:rPr>
      </w:pPr>
      <w:r>
        <w:rPr>
          <w:rFonts w:hint="eastAsia" w:ascii="宋体" w:hAnsi="宋体" w:cs="宋体"/>
          <w:color w:val="000000"/>
          <w:sz w:val="24"/>
          <w:szCs w:val="24"/>
        </w:rPr>
        <w:t xml:space="preserve">26.4.1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rFonts w:hint="eastAsia" w:ascii="宋体" w:hAnsi="宋体" w:cs="宋体"/>
          <w:color w:val="000000"/>
          <w:sz w:val="24"/>
          <w:szCs w:val="24"/>
        </w:rPr>
      </w:r>
      <w:r/>
    </w:p>
    <w:p>
      <w:pPr>
        <w:pStyle w:val="844"/>
        <w:ind w:firstLine="420"/>
        <w:spacing w:line="360" w:lineRule="auto"/>
        <w:tabs>
          <w:tab w:val="left" w:pos="1322" w:leader="none"/>
        </w:tabs>
        <w:rPr>
          <w:rFonts w:hint="eastAsia" w:ascii="宋体" w:hAnsi="宋体" w:cs="宋体"/>
          <w:color w:val="000000"/>
          <w:sz w:val="24"/>
          <w:szCs w:val="24"/>
        </w:rPr>
      </w:pPr>
      <w:r>
        <w:rPr>
          <w:rFonts w:hint="eastAsia" w:ascii="宋体" w:hAnsi="宋体" w:cs="宋体"/>
          <w:color w:val="000000"/>
          <w:sz w:val="24"/>
          <w:szCs w:val="24"/>
        </w:rPr>
        <w:t xml:space="preserve">26.4.2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cs="宋体"/>
          <w:color w:val="000000"/>
          <w:sz w:val="24"/>
          <w:szCs w:val="24"/>
        </w:rPr>
      </w:r>
      <w:r/>
    </w:p>
    <w:p>
      <w:pPr>
        <w:pStyle w:val="844"/>
        <w:ind w:firstLine="420"/>
        <w:spacing w:line="360" w:lineRule="auto"/>
        <w:tabs>
          <w:tab w:val="left" w:pos="1322" w:leader="none"/>
        </w:tabs>
        <w:rPr>
          <w:rFonts w:hint="eastAsia" w:ascii="宋体" w:hAnsi="宋体" w:cs="宋体"/>
          <w:color w:val="000000"/>
          <w:sz w:val="24"/>
          <w:szCs w:val="24"/>
        </w:rPr>
      </w:pPr>
      <w:r>
        <w:rPr>
          <w:rFonts w:hint="eastAsia" w:ascii="宋体" w:hAnsi="宋体" w:cs="宋体"/>
          <w:color w:val="000000"/>
          <w:sz w:val="24"/>
          <w:szCs w:val="24"/>
        </w:rPr>
        <w:t xml:space="preserve">26.4.3非单一产品采购项目，根据采购项目技术构成、产品价格比重等合理确定核心产品，核心产品见招标文件规定。多家供应商提供的核心产品品牌相同的，按前两款规定处理。</w:t>
      </w:r>
      <w:r>
        <w:rPr>
          <w:rFonts w:hint="eastAsia" w:ascii="宋体" w:hAnsi="宋体" w:cs="宋体"/>
          <w:color w:val="000000"/>
          <w:sz w:val="24"/>
          <w:szCs w:val="24"/>
        </w:rPr>
      </w:r>
      <w:r/>
    </w:p>
    <w:p>
      <w:pPr>
        <w:pStyle w:val="845"/>
        <w:ind w:firstLine="482"/>
        <w:spacing w:before="145" w:after="145" w:line="360" w:lineRule="auto"/>
        <w:rPr>
          <w:rFonts w:hint="eastAsia" w:ascii="宋体" w:hAnsi="宋体" w:cs="宋体"/>
          <w:sz w:val="24"/>
          <w:szCs w:val="24"/>
        </w:rPr>
      </w:pPr>
      <w:r/>
      <w:bookmarkStart w:id="126" w:name="_Toc120614219"/>
      <w:r>
        <w:rPr>
          <w:rFonts w:hint="eastAsia" w:ascii="宋体" w:hAnsi="宋体" w:cs="宋体"/>
          <w:sz w:val="24"/>
          <w:szCs w:val="24"/>
        </w:rPr>
        <w:t xml:space="preserve">六、</w:t>
      </w:r>
      <w:bookmarkEnd w:id="123"/>
      <w:r/>
      <w:bookmarkEnd w:id="124"/>
      <w:r/>
      <w:bookmarkEnd w:id="125"/>
      <w:r>
        <w:rPr>
          <w:rFonts w:hint="eastAsia" w:ascii="宋体" w:hAnsi="宋体" w:cs="宋体"/>
          <w:sz w:val="24"/>
          <w:szCs w:val="24"/>
        </w:rPr>
        <w:t xml:space="preserve">定标</w:t>
      </w:r>
      <w:bookmarkEnd w:id="126"/>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127" w:name="_Toc513029238"/>
      <w:r/>
      <w:bookmarkStart w:id="128" w:name="_Toc16938554"/>
      <w:r/>
      <w:bookmarkStart w:id="129" w:name="_Toc20823310"/>
      <w:r>
        <w:rPr>
          <w:rFonts w:hint="eastAsia" w:ascii="宋体" w:hAnsi="宋体" w:eastAsia="宋体" w:cs="宋体"/>
          <w:b w:val="0"/>
          <w:bCs w:val="0"/>
          <w:sz w:val="24"/>
          <w:szCs w:val="24"/>
        </w:rPr>
        <w:t xml:space="preserve">27、</w:t>
      </w:r>
      <w:bookmarkEnd w:id="127"/>
      <w:r>
        <w:rPr>
          <w:rFonts w:hint="eastAsia" w:ascii="宋体" w:hAnsi="宋体" w:eastAsia="宋体" w:cs="宋体"/>
          <w:b w:val="0"/>
          <w:bCs w:val="0"/>
          <w:sz w:val="24"/>
          <w:szCs w:val="24"/>
        </w:rPr>
        <w:t xml:space="preserve">确定</w:t>
      </w:r>
      <w:bookmarkEnd w:id="128"/>
      <w:r/>
      <w:bookmarkEnd w:id="129"/>
      <w:r>
        <w:rPr>
          <w:rFonts w:hint="eastAsia" w:ascii="宋体" w:hAnsi="宋体" w:eastAsia="宋体" w:cs="宋体"/>
          <w:b w:val="0"/>
          <w:bCs w:val="0"/>
          <w:sz w:val="24"/>
          <w:szCs w:val="24"/>
        </w:rPr>
        <w:t xml:space="preserve">中标单位</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27.1中标候选人的选取原则和数量见招标文件第五章规定。 </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27.2 按以下第（1）种方式确定中标人</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（1）评委会直接确定排名第一的中标候选人为中标人；</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（2）采购人在评委会推荐的中标候选人中按顺序确定中标人。</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27.3 代理机构将在“江苏政府采购网”发布中标公告，公告期限为1个工作日。</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27.4若有充分证据证明，中标人出现下列情况之一的，一经查实，将被取消中标资格：</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27.4.1提供虚假材料谋取中标的。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27.4.2向采购人、代理机构行贿或者提供其他不正当利益的。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27.4.3属于本文件规定的无效条件，但在评标过程中又未被评委会发现的。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27.4.4与采购人或者其他供应商恶意串通的。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27.4.5采取不正当手段诋毁、排挤其他供应商的。</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bookmarkStart w:id="130" w:name="_Toc200451960"/>
      <w:r>
        <w:rPr>
          <w:rFonts w:hint="eastAsia" w:ascii="宋体" w:hAnsi="宋体" w:cs="宋体"/>
          <w:sz w:val="24"/>
          <w:szCs w:val="24"/>
          <w:lang w:val="zh-CN"/>
        </w:rPr>
        <w:t xml:space="preserve">27.5有下列情形之一的，视为投标人串通投标，投标无效：</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27.5.1不同投标人的投标文件由同一单位或者个人编制。</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27.5.2不同投标人委托同一单位或者个人办理投标事宜。</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27.5.3不同投标人的投标文件载明的项目管理成员或者联系人员为同一人。</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27.5.4不同投标人的投标文件异常一致或者投标报价呈规律性差异。</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28、质疑处理</w:t>
      </w:r>
      <w:bookmarkEnd w:id="130"/>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28.1 提出质疑的供应商应当是参与所质疑项目采购活动的供应商。潜在供应商依法获取其可质疑的采购文件的，可以对采购文件提出质疑。</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28.2.1对可以质疑的采购文件提出质疑的，为收到采购文件之日或者采购文件公告期限届满之日。</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28.2.2对采购过程提出质疑的，为各采购程序环节结束之日。</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28.2.3对中标或者成交结果提出质疑的，为中标或者成交结果公告期限届满之日。</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cs="宋体"/>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代理机构和采购人只接收以纸质原件形式送达的质疑,建议供应商尽量通过邮寄方式提交质疑（代理机构和采购人不接受未填写快递运单的快件）。</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28.5 以下情形的质疑不予受理：</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28.5.1内容不符合《政府采购质疑和投诉办法》第十二条规定的质疑。</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28.5.2超出政府采购法定期限的质疑。</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28.5.3以传真、电子邮件等方式递交的非原件形式的质疑。</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28.5.4未参加投标活动的供应商或在投标活动中自身权益未受到损害的供应商所提出的质疑。</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28.5.5供应商组成联合体参加投标，联合体中任何一方或多方未按要求签字、盖章、加盖公章的质疑。</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29、中标通知书</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lang w:val="zh-CN"/>
        </w:rPr>
      </w:r>
      <w:r/>
    </w:p>
    <w:p>
      <w:pPr>
        <w:pStyle w:val="845"/>
        <w:ind w:firstLine="482"/>
        <w:spacing w:before="145" w:after="145" w:line="360" w:lineRule="auto"/>
        <w:rPr>
          <w:rFonts w:hint="eastAsia" w:ascii="宋体" w:hAnsi="宋体" w:cs="宋体"/>
          <w:sz w:val="24"/>
          <w:szCs w:val="24"/>
        </w:rPr>
      </w:pPr>
      <w:r/>
      <w:bookmarkStart w:id="131" w:name="_Toc20823308"/>
      <w:r/>
      <w:bookmarkStart w:id="132" w:name="_Toc16938552"/>
      <w:r/>
      <w:bookmarkStart w:id="133" w:name="_Toc513029236"/>
      <w:r/>
      <w:bookmarkStart w:id="134" w:name="_Toc120614220"/>
      <w:r>
        <w:rPr>
          <w:rFonts w:hint="eastAsia" w:ascii="宋体" w:hAnsi="宋体" w:cs="宋体"/>
          <w:sz w:val="24"/>
          <w:szCs w:val="24"/>
        </w:rPr>
        <w:t xml:space="preserve">七、授予合同</w:t>
      </w:r>
      <w:bookmarkEnd w:id="131"/>
      <w:r/>
      <w:bookmarkEnd w:id="132"/>
      <w:r/>
      <w:bookmarkEnd w:id="133"/>
      <w:r/>
      <w:bookmarkEnd w:id="134"/>
      <w:r>
        <w:rPr>
          <w:rFonts w:hint="eastAsia" w:ascii="宋体" w:hAnsi="宋体" w:cs="宋体"/>
          <w:sz w:val="24"/>
          <w:szCs w:val="24"/>
        </w:rPr>
      </w:r>
      <w:r/>
    </w:p>
    <w:p>
      <w:pPr>
        <w:pStyle w:val="847"/>
        <w:ind w:firstLine="420"/>
        <w:spacing w:before="0" w:after="0" w:line="360" w:lineRule="auto"/>
        <w:rPr>
          <w:rFonts w:hint="eastAsia" w:ascii="宋体" w:hAnsi="宋体" w:eastAsia="宋体" w:cs="宋体"/>
          <w:b w:val="0"/>
          <w:bCs w:val="0"/>
          <w:sz w:val="24"/>
          <w:szCs w:val="24"/>
        </w:rPr>
      </w:pPr>
      <w:r/>
      <w:bookmarkStart w:id="135" w:name="_Toc20823309"/>
      <w:r/>
      <w:bookmarkStart w:id="136" w:name="_Toc513029237"/>
      <w:r/>
      <w:bookmarkStart w:id="137" w:name="_Toc16938553"/>
      <w:r>
        <w:rPr>
          <w:rFonts w:hint="eastAsia" w:ascii="宋体" w:hAnsi="宋体" w:eastAsia="宋体" w:cs="宋体"/>
          <w:b w:val="0"/>
          <w:bCs w:val="0"/>
          <w:sz w:val="24"/>
          <w:szCs w:val="24"/>
        </w:rPr>
        <w:t xml:space="preserve">30、签订合同</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30.l中标人应当在中标通知书发出之日起三十日内，按照招标文件确定的事项与采购人签订政府采购合同。</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30.2 招标文件、中标人的投标文件及招标过程中有关澄清、承诺文件均应作为合同附件。</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 w:val="24"/>
          <w:szCs w:val="24"/>
          <w:lang w:val="zh-CN"/>
        </w:rPr>
      </w:r>
      <w:r/>
    </w:p>
    <w:p>
      <w:pPr>
        <w:pStyle w:val="847"/>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31、服务（包含与服务相关的货物）的追加</w:t>
      </w:r>
      <w:r>
        <w:rPr>
          <w:rFonts w:hint="eastAsia" w:ascii="宋体" w:hAnsi="宋体" w:eastAsia="宋体" w:cs="宋体"/>
          <w:b w:val="0"/>
          <w:bCs w:val="0"/>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35"/>
      <w:r/>
      <w:bookmarkEnd w:id="136"/>
      <w:r/>
      <w:bookmarkEnd w:id="137"/>
      <w:r>
        <w:rPr>
          <w:rFonts w:hint="eastAsia" w:ascii="宋体" w:hAnsi="宋体" w:cs="宋体"/>
          <w:sz w:val="24"/>
          <w:szCs w:val="24"/>
          <w:lang w:val="zh-CN"/>
        </w:rPr>
      </w:r>
      <w:r/>
    </w:p>
    <w:p>
      <w:pPr>
        <w:pStyle w:val="741"/>
        <w:ind w:firstLine="480"/>
        <w:spacing w:line="360" w:lineRule="auto"/>
        <w:rPr>
          <w:rFonts w:hint="eastAsia" w:ascii="宋体" w:hAnsi="宋体" w:cs="宋体"/>
          <w:sz w:val="24"/>
          <w:szCs w:val="24"/>
        </w:rPr>
        <w:sectPr>
          <w:footerReference w:type="default" r:id="rId15"/>
          <w:footnotePr/>
          <w:endnotePr/>
          <w:type w:val="nextPage"/>
          <w:pgSz w:w="11906" w:h="16838" w:orient="portrait"/>
          <w:pgMar w:top="1253" w:right="1253" w:bottom="1253" w:left="1253" w:header="851" w:footer="992" w:gutter="0"/>
          <w:pgNumType w:start="1"/>
          <w:cols w:num="1" w:sep="0" w:space="1701" w:equalWidth="1"/>
          <w:docGrid w:linePitch="360"/>
        </w:sectPr>
      </w:pP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2"/>
        <w:numPr>
          <w:ilvl w:val="0"/>
          <w:numId w:val="0"/>
        </w:numPr>
        <w:rPr>
          <w:rFonts w:hint="eastAsia" w:ascii="宋体" w:hAnsi="宋体" w:eastAsia="宋体" w:cs="宋体"/>
          <w:b/>
          <w:bCs/>
          <w:sz w:val="44"/>
          <w:szCs w:val="44"/>
        </w:rPr>
      </w:pPr>
      <w:r/>
      <w:bookmarkStart w:id="138" w:name="_Toc26522"/>
      <w:r/>
      <w:bookmarkStart w:id="139" w:name="_Toc20443"/>
      <w:r/>
      <w:bookmarkStart w:id="140" w:name="_Toc19272"/>
      <w:r/>
      <w:bookmarkStart w:id="141" w:name="_Toc17819"/>
      <w:r/>
      <w:bookmarkStart w:id="142" w:name="_Toc10413"/>
      <w:r/>
      <w:bookmarkStart w:id="143" w:name="_Toc11923"/>
      <w:r/>
      <w:bookmarkStart w:id="144" w:name="_Toc8461"/>
      <w:r/>
      <w:bookmarkStart w:id="145" w:name="_Toc15846"/>
      <w:r/>
      <w:bookmarkStart w:id="146" w:name="_Toc24968"/>
      <w:r/>
      <w:bookmarkStart w:id="147" w:name="_Toc8716"/>
      <w:r/>
      <w:bookmarkStart w:id="148" w:name="_Toc18499"/>
      <w:r/>
      <w:bookmarkStart w:id="149" w:name="_Toc12445"/>
      <w:r/>
      <w:bookmarkStart w:id="150" w:name="_Toc11432"/>
      <w:r/>
      <w:bookmarkStart w:id="151" w:name="_Toc20631"/>
      <w:r>
        <w:rPr>
          <w:rFonts w:hint="eastAsia" w:ascii="宋体" w:hAnsi="宋体" w:eastAsia="宋体" w:cs="宋体"/>
          <w:b/>
          <w:bCs/>
          <w:sz w:val="44"/>
          <w:szCs w:val="44"/>
        </w:rPr>
        <w:t xml:space="preserve">第三章  合同条款及格式</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b/>
          <w:bCs/>
          <w:sz w:val="44"/>
          <w:szCs w:val="44"/>
        </w:rPr>
      </w:r>
      <w:r/>
    </w:p>
    <w:p>
      <w:pPr>
        <w:pStyle w:val="741"/>
        <w:jc w:val="center"/>
        <w:spacing w:line="360" w:lineRule="auto"/>
        <w:rPr>
          <w:rFonts w:hint="eastAsia" w:ascii="宋体" w:hAnsi="宋体" w:cs="宋体"/>
          <w:b/>
          <w:bCs/>
          <w:sz w:val="24"/>
        </w:rPr>
      </w:pPr>
      <w:r/>
      <w:bookmarkStart w:id="152" w:name="_Toc15865"/>
      <w:r/>
      <w:bookmarkStart w:id="153" w:name="_Toc8846"/>
      <w:r/>
      <w:bookmarkStart w:id="154" w:name="_Toc27221"/>
      <w:r/>
      <w:bookmarkStart w:id="155" w:name="_Toc22618"/>
      <w:r>
        <w:rPr>
          <w:rFonts w:hint="eastAsia" w:ascii="宋体" w:hAnsi="宋体" w:cs="宋体"/>
          <w:b/>
          <w:bCs/>
          <w:sz w:val="24"/>
        </w:rPr>
        <w:t xml:space="preserve"> 江苏省政府采购合同（合同编号）</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项目名称：                                       项目编号：</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甲方：（买方）_________</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乙方：（卖方）</w:t>
      </w:r>
      <w:r>
        <w:rPr>
          <w:rFonts w:hint="eastAsia" w:ascii="宋体" w:hAnsi="宋体" w:cs="宋体"/>
          <w:sz w:val="24"/>
          <w:u w:val="single"/>
        </w:rPr>
        <w:t xml:space="preserve">         </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   甲、乙双方根据</w:t>
      </w:r>
      <w:r>
        <w:rPr>
          <w:rFonts w:hint="eastAsia" w:ascii="宋体" w:hAnsi="宋体" w:cs="宋体"/>
          <w:sz w:val="24"/>
          <w:u w:val="single"/>
        </w:rPr>
        <w:t xml:space="preserve">         </w:t>
      </w:r>
      <w:r>
        <w:rPr>
          <w:rFonts w:hint="eastAsia" w:ascii="宋体" w:hAnsi="宋体" w:cs="宋体"/>
          <w:sz w:val="24"/>
        </w:rPr>
        <w:t xml:space="preserve">项目公开招标的结果，签署本合同。</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一、采购标的</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1.1 产品内容：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1.2 交货期：</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1.3 补充条款：</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二、合同金额</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2.1 本合同金额为（大写）：_________________元整（￥__________元）人民币。本合同价款包含所有乙方提供合同约定产品和服务的报酬及乙方提供合同中产品和服务所支出的必要费用，甲方在上述合同价款之外不再向乙方支付其他任何费用。</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三、技术资料</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3.1乙方应按采购文件规定的时间向甲方提供有关技术资料。</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四、知识产权</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五、产权担保</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乙方保证所交付标的的所有权完全属于乙方且无任何抵押、查封等产权瑕疵。</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六、转包或分包</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6.1本合同范围内产品或服务，应由乙方直接供应，不得转让他人供应；</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6.2 除非得到甲方的书面同意，乙方不得部分分包给他人供应。</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6.3如有转让和未经甲方同意的分包行为，甲方有权给予终止合同。 </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七、服务期、付款方式及服务地点</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7.1交货期：___________。  </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7.2付款方式：_________。</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7.3交货地点：_________。</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八、合同款支付</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 8.1付款方式：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九、税费</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本合同执行中相关的一切税费均由乙方负担。</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十、质量保证及售后服务</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10.1乙方应按采购文件规定和响应文件承诺的性能、技术要求、质量标准向甲方提供产品或服务。</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10.2乙方提供的产品或服务在质保期内因其本身出现质量问题，根据实际情况，经双方协商，可按以下办法处理：</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（1）更换：由乙方承担所发生的全部费用。</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（2）合同终止处理：合同终止，并退还甲方支付的合同款，同时应承担由此产生的所有费用，甲方不承担发生任何费用。</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10.3如在使用过程中发生质量问题，乙方在接到甲方通知后在</w:t>
      </w:r>
      <w:r>
        <w:rPr>
          <w:rFonts w:ascii="宋体" w:hAnsi="宋体" w:cs="宋体"/>
          <w:sz w:val="24"/>
          <w:u w:val="single"/>
        </w:rPr>
        <w:t xml:space="preserve">24</w:t>
      </w:r>
      <w:r>
        <w:rPr>
          <w:rFonts w:hint="eastAsia" w:ascii="宋体" w:hAnsi="宋体" w:cs="宋体"/>
          <w:sz w:val="24"/>
        </w:rPr>
        <w:t xml:space="preserve">小时内到达甲方现场。</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10.4在质保期内，乙方应对产品或服务出现的质量及安全问题负责处理解决并承担一切费用。</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10.5合同标的对质量保证和售后服务另有要求的，按采购文件中的相关要求处理。</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十一、验收</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11.1甲方对乙方提交的产品或服务依据采购文件上的项目需求要求、乙方响应文件及国家有关质量标准进行验收。</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11.2乙方交货前应对产品或服务作出全面检查和对验收文件进行整理，并列出清单，作为甲方验收和使用的技术条件依据，检验的结果应随服务一起提交甲方。</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11.3甲方对乙方提供的产品或服务在使用前，乙方需负责培训甲方的使用操作人员，并协助甲方一起试用，直到符合技术要求，甲方才做最终验收。</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11.4对技术复杂的产品或服务，甲方可请国家认可的专业检测机构参与初步验收及最终验收，并由其出具质量检测报告。</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11.5验收时乙方必须在现场，验收完毕后作出验收结果报告；采购文件规定以外的验收费用由甲乙双方协商解决。</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11.6合同标的对验收另有要求的，按采购文件中的相关要求执行。</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十二、合同内容的交付</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12.1乙方应保证合同标的安全运达甲方指定地点。</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12.2 使用说明书、质量检验证明书一并提交甲方。</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12.3 乙方在合同标的交付甲方48小时前通知甲方准备接收。</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12.4 合同标的在交付甲方前发生的风险均由乙方负责。</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12.5 合同标的在规定的服务期限内由乙方送达甲方指定的地点视为交付，乙方同时需通知甲方已送达；</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12.6合同标的对交付另有要求的，按采购文件中的相关要求执行。</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十三、违约责任</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13.1 甲方无正当理由拒收的，甲方向乙方偿付拒收货款总值的百分之五违约金。</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13.2 甲方无故逾期验收和办理合同款支付手续的,甲方应按逾期付款总额每日万分之五向乙方支付违约金。</w:t>
      </w:r>
      <w:r>
        <w:rPr>
          <w:rFonts w:hint="eastAsia" w:ascii="宋体" w:hAnsi="宋体" w:cs="宋体"/>
          <w:sz w:val="24"/>
        </w:rPr>
      </w:r>
      <w:r/>
    </w:p>
    <w:p>
      <w:pPr>
        <w:pStyle w:val="757"/>
        <w:ind w:firstLine="480"/>
        <w:spacing w:line="360" w:lineRule="auto"/>
        <w:rPr>
          <w:rFonts w:hint="eastAsia" w:ascii="宋体" w:hAnsi="宋体" w:cs="宋体"/>
        </w:rPr>
      </w:pPr>
      <w:r>
        <w:rPr>
          <w:rFonts w:hint="eastAsia" w:ascii="宋体" w:hAnsi="宋体" w:cs="宋体"/>
          <w:sz w:val="24"/>
        </w:rPr>
        <w:t xml:space="preserve">13.3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包括但不限于甲方因维权产生的诉讼费、律师费、保全费、保全保费、差旅费等。</w:t>
      </w:r>
      <w:r>
        <w:rPr>
          <w:rFonts w:hint="eastAsia" w:ascii="宋体" w:hAnsi="宋体" w:cs="宋体"/>
        </w:rPr>
      </w:r>
      <w:r/>
    </w:p>
    <w:p>
      <w:pPr>
        <w:pStyle w:val="741"/>
        <w:ind w:firstLine="480"/>
        <w:spacing w:line="360" w:lineRule="auto"/>
        <w:rPr>
          <w:rFonts w:hint="eastAsia" w:ascii="宋体" w:hAnsi="宋体" w:cs="宋体"/>
          <w:sz w:val="24"/>
        </w:rPr>
      </w:pPr>
      <w:r>
        <w:rPr>
          <w:rFonts w:hint="eastAsia" w:ascii="宋体" w:hAnsi="宋体" w:cs="宋体"/>
          <w:sz w:val="24"/>
        </w:rPr>
        <w:t xml:space="preserve">13.4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包括但不限于甲方因维权产生的诉讼费、律师费、保全费、保全保费、差旅费等。</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十四、不可抗力事件处理</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14.1 在合同有效期内，任何一方因不可抗力事件导致不能履行合同，则合同履行期延长，其延长期与不可抗力影响期相同。</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14.2 不可抗力事件发生后，应立即通知对方，并寄送有关权威机构出具的证明。</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14.3 不可抗力事件延续60天以上，双方应通过友好协商，确定是否继续履行合同。</w:t>
      </w:r>
      <w:r>
        <w:rPr>
          <w:rFonts w:hint="eastAsia" w:ascii="宋体" w:hAnsi="宋体" w:cs="宋体"/>
          <w:sz w:val="24"/>
        </w:rPr>
      </w:r>
      <w:r/>
    </w:p>
    <w:p>
      <w:pPr>
        <w:pStyle w:val="741"/>
        <w:ind w:firstLine="482"/>
        <w:spacing w:line="360" w:lineRule="auto"/>
        <w:rPr>
          <w:rFonts w:hint="eastAsia" w:ascii="宋体" w:hAnsi="宋体" w:cs="宋体"/>
          <w:sz w:val="24"/>
        </w:rPr>
      </w:pPr>
      <w:r>
        <w:rPr>
          <w:rFonts w:hint="eastAsia" w:ascii="宋体" w:hAnsi="宋体" w:cs="宋体"/>
          <w:b/>
          <w:bCs/>
          <w:sz w:val="24"/>
        </w:rPr>
        <w:t xml:space="preserve">十五、诉讼</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15.1 双方在执行合同中所发生的一切争议，应通过协商解决。如协商不成，可向合同签订地法院起诉，合同签订地在此约定为南京市。</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十六、合同生效及其它</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16.1 合同经双方法定代表人或授权委托代表人签字并加盖单位公章后生效。</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16.2本合同未尽事宜，遵照《中华人民共和国民法典》有关条文执行。</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16.3 本合同正本一式肆份，具有同等法律效力，甲方、乙方各执贰份。</w:t>
      </w:r>
      <w:r>
        <w:rPr>
          <w:rFonts w:hint="eastAsia" w:ascii="宋体" w:hAnsi="宋体" w:cs="宋体"/>
          <w:sz w:val="24"/>
        </w:rPr>
      </w:r>
      <w:r/>
    </w:p>
    <w:p>
      <w:pPr>
        <w:pStyle w:val="741"/>
        <w:spacing w:line="360" w:lineRule="auto"/>
        <w:rPr>
          <w:rFonts w:hint="eastAsia" w:ascii="宋体" w:hAnsi="宋体" w:cs="宋体"/>
          <w:sz w:val="24"/>
        </w:rPr>
      </w:pPr>
      <w:r>
        <w:rPr>
          <w:rFonts w:hint="eastAsia" w:ascii="宋体" w:hAnsi="宋体" w:cs="宋体"/>
          <w:sz w:val="24"/>
        </w:rPr>
        <w:t xml:space="preserve">   甲方：                                   乙方： </w:t>
      </w:r>
      <w:r>
        <w:rPr>
          <w:rFonts w:hint="eastAsia" w:ascii="宋体" w:hAnsi="宋体" w:cs="宋体"/>
          <w:sz w:val="24"/>
        </w:rPr>
      </w:r>
      <w:r/>
    </w:p>
    <w:p>
      <w:pPr>
        <w:pStyle w:val="741"/>
        <w:spacing w:line="360" w:lineRule="auto"/>
        <w:rPr>
          <w:rFonts w:hint="eastAsia" w:ascii="宋体" w:hAnsi="宋体" w:cs="宋体"/>
          <w:sz w:val="24"/>
        </w:rPr>
      </w:pPr>
      <w:r>
        <w:rPr>
          <w:rFonts w:hint="eastAsia" w:ascii="宋体" w:hAnsi="宋体" w:cs="宋体"/>
          <w:sz w:val="24"/>
        </w:rPr>
        <w:t xml:space="preserve">   地址：                                   地址： </w:t>
      </w:r>
      <w:r>
        <w:rPr>
          <w:rFonts w:hint="eastAsia" w:ascii="宋体" w:hAnsi="宋体" w:cs="宋体"/>
          <w:sz w:val="24"/>
        </w:rPr>
      </w:r>
      <w:r/>
    </w:p>
    <w:p>
      <w:pPr>
        <w:pStyle w:val="741"/>
        <w:spacing w:line="360" w:lineRule="auto"/>
        <w:rPr>
          <w:rFonts w:hint="eastAsia" w:ascii="宋体" w:hAnsi="宋体" w:cs="宋体"/>
          <w:sz w:val="24"/>
        </w:rPr>
      </w:pPr>
      <w:r>
        <w:rPr>
          <w:rFonts w:hint="eastAsia" w:ascii="宋体" w:hAnsi="宋体" w:cs="宋体"/>
          <w:sz w:val="24"/>
        </w:rPr>
        <w:t xml:space="preserve">   法定代表人或授权代表：                   法定代表人或授权代表：</w:t>
      </w:r>
      <w:r>
        <w:rPr>
          <w:rFonts w:hint="eastAsia" w:ascii="宋体" w:hAnsi="宋体" w:cs="宋体"/>
          <w:sz w:val="24"/>
        </w:rPr>
      </w:r>
      <w:r/>
    </w:p>
    <w:p>
      <w:pPr>
        <w:pStyle w:val="741"/>
        <w:spacing w:line="360" w:lineRule="auto"/>
        <w:rPr>
          <w:rFonts w:hint="eastAsia" w:ascii="宋体" w:hAnsi="宋体" w:cs="宋体"/>
          <w:sz w:val="24"/>
        </w:rPr>
      </w:pPr>
      <w:r>
        <w:rPr>
          <w:rFonts w:hint="eastAsia" w:ascii="宋体" w:hAnsi="宋体" w:cs="宋体"/>
          <w:sz w:val="24"/>
        </w:rPr>
        <w:t xml:space="preserve">   联系电话：                               联系电话：</w:t>
      </w:r>
      <w:r>
        <w:rPr>
          <w:rFonts w:hint="eastAsia" w:ascii="宋体" w:hAnsi="宋体" w:cs="宋体"/>
          <w:sz w:val="24"/>
        </w:rPr>
      </w:r>
      <w:r/>
    </w:p>
    <w:p>
      <w:pPr>
        <w:pStyle w:val="741"/>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741"/>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741"/>
        <w:ind w:firstLine="5280"/>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p>
      <w:pPr>
        <w:pStyle w:val="781"/>
        <w:ind w:firstLine="480"/>
        <w:spacing w:before="0" w:beforeAutospacing="0" w:after="0" w:afterAutospacing="0" w:line="360" w:lineRule="auto"/>
        <w:rPr>
          <w:rFonts w:hint="eastAsia"/>
        </w:rPr>
      </w:pPr>
      <w:r>
        <w:rPr>
          <w:rFonts w:hint="eastAsia"/>
        </w:rPr>
      </w:r>
      <w:r/>
    </w:p>
    <w:p>
      <w:pPr>
        <w:pStyle w:val="781"/>
        <w:ind w:firstLine="480"/>
        <w:jc w:val="both"/>
        <w:spacing w:before="0" w:beforeAutospacing="0" w:after="0" w:afterAutospacing="0" w:line="360" w:lineRule="auto"/>
        <w:rPr>
          <w:rFonts w:hint="eastAsia"/>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rPr>
      </w:r>
      <w:r/>
    </w:p>
    <w:p>
      <w:pPr>
        <w:pStyle w:val="742"/>
        <w:numPr>
          <w:ilvl w:val="0"/>
          <w:numId w:val="0"/>
        </w:numPr>
        <w:spacing w:after="319"/>
        <w:rPr>
          <w:rFonts w:hint="eastAsia" w:ascii="宋体" w:hAnsi="宋体" w:eastAsia="宋体" w:cs="宋体"/>
          <w:b/>
          <w:bCs/>
          <w:sz w:val="44"/>
          <w:szCs w:val="44"/>
        </w:rPr>
      </w:pPr>
      <w:r/>
      <w:bookmarkStart w:id="156" w:name="_Toc13526"/>
      <w:r/>
      <w:bookmarkStart w:id="157" w:name="_Toc7640"/>
      <w:r/>
      <w:bookmarkStart w:id="158" w:name="_Toc22777"/>
      <w:r/>
      <w:bookmarkStart w:id="159" w:name="_Toc21312"/>
      <w:r/>
      <w:bookmarkStart w:id="160" w:name="_Toc30023"/>
      <w:r/>
      <w:bookmarkStart w:id="161" w:name="_Toc27884"/>
      <w:r/>
      <w:bookmarkStart w:id="162" w:name="_Toc32266"/>
      <w:r/>
      <w:bookmarkStart w:id="163" w:name="_Toc12506"/>
      <w:r/>
      <w:bookmarkStart w:id="164" w:name="_Toc2499"/>
      <w:r/>
      <w:bookmarkStart w:id="165" w:name="_Toc16039"/>
      <w:r>
        <w:rPr>
          <w:rFonts w:hint="eastAsia" w:ascii="宋体" w:hAnsi="宋体" w:eastAsia="宋体" w:cs="宋体"/>
          <w:b/>
          <w:bCs/>
          <w:sz w:val="44"/>
          <w:szCs w:val="44"/>
        </w:rPr>
        <w:t xml:space="preserve">第四章  项目需求</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b/>
          <w:bCs/>
          <w:sz w:val="44"/>
          <w:szCs w:val="44"/>
        </w:rPr>
      </w:r>
      <w:r/>
    </w:p>
    <w:p>
      <w:pPr>
        <w:pStyle w:val="743"/>
        <w:numPr>
          <w:ilvl w:val="0"/>
          <w:numId w:val="0"/>
        </w:numPr>
        <w:jc w:val="both"/>
        <w:spacing w:before="0" w:after="0" w:line="312" w:lineRule="auto"/>
        <w:rPr>
          <w:rFonts w:hint="eastAsia" w:ascii="宋体" w:hAnsi="宋体" w:eastAsia="宋体" w:cs="宋体"/>
          <w:sz w:val="28"/>
          <w:szCs w:val="28"/>
        </w:rPr>
      </w:pPr>
      <w:r/>
      <w:bookmarkStart w:id="166" w:name="_Toc25792"/>
      <w:r>
        <w:rPr>
          <w:rFonts w:hint="eastAsia" w:ascii="宋体" w:hAnsi="宋体" w:eastAsia="宋体" w:cs="宋体"/>
          <w:sz w:val="28"/>
          <w:szCs w:val="28"/>
        </w:rPr>
        <w:t xml:space="preserve">一、项目概况</w:t>
      </w:r>
      <w:bookmarkEnd w:id="166"/>
      <w:r>
        <w:rPr>
          <w:rFonts w:hint="eastAsia" w:ascii="宋体" w:hAnsi="宋体" w:eastAsia="宋体" w:cs="宋体"/>
          <w:sz w:val="28"/>
          <w:szCs w:val="28"/>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南京艺术学院拟采购2026年数字资源库一批。</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sz w:val="24"/>
          <w:szCs w:val="24"/>
        </w:rPr>
      </w:pPr>
      <w:r>
        <w:rPr>
          <w:rFonts w:hint="eastAsia" w:ascii="宋体" w:hAnsi="宋体" w:cs="宋体"/>
          <w:color w:val="000000"/>
          <w:sz w:val="24"/>
          <w:szCs w:val="24"/>
          <w:lang w:bidi="ar"/>
        </w:rPr>
        <w:t xml:space="preserve">1、项目名称：</w:t>
      </w:r>
      <w:r>
        <w:rPr>
          <w:rFonts w:hint="eastAsia" w:ascii="宋体" w:hAnsi="宋体" w:cs="宋体"/>
          <w:sz w:val="24"/>
          <w:szCs w:val="24"/>
        </w:rPr>
        <w:t xml:space="preserve">2026年数字资源库采购。</w:t>
      </w:r>
      <w:r>
        <w:rPr>
          <w:rFonts w:hint="eastAsia" w:ascii="宋体" w:hAnsi="宋体" w:cs="宋体"/>
          <w:sz w:val="24"/>
          <w:szCs w:val="24"/>
        </w:rPr>
      </w:r>
      <w:r/>
    </w:p>
    <w:p>
      <w:pPr>
        <w:pStyle w:val="741"/>
        <w:ind w:firstLine="480"/>
        <w:jc w:val="left"/>
        <w:spacing w:line="360" w:lineRule="auto"/>
        <w:rPr>
          <w:rFonts w:hint="eastAsia" w:ascii="宋体" w:hAnsi="宋体" w:cs="宋体"/>
          <w:color w:val="ff0000"/>
          <w:sz w:val="24"/>
          <w:szCs w:val="24"/>
        </w:rPr>
      </w:pPr>
      <w:r>
        <w:rPr>
          <w:rFonts w:hint="eastAsia" w:ascii="宋体" w:hAnsi="宋体" w:cs="宋体"/>
          <w:sz w:val="24"/>
          <w:szCs w:val="24"/>
        </w:rPr>
        <w:t xml:space="preserve">2、合同履行期限</w:t>
      </w:r>
      <w:r>
        <w:rPr>
          <w:rFonts w:hint="eastAsia" w:ascii="宋体" w:hAnsi="宋体" w:cs="宋体"/>
          <w:color w:val="000000"/>
          <w:sz w:val="24"/>
          <w:szCs w:val="24"/>
        </w:rPr>
        <w:t xml:space="preserve">：自合同</w:t>
      </w:r>
      <w:r>
        <w:rPr>
          <w:rFonts w:hint="eastAsia" w:ascii="宋体" w:hAnsi="宋体" w:cs="宋体"/>
          <w:color w:val="000000"/>
          <w:sz w:val="24"/>
          <w:szCs w:val="24"/>
          <w:lang w:val="zh-CN"/>
        </w:rPr>
        <w:t xml:space="preserve">签订生效</w:t>
      </w:r>
      <w:r>
        <w:rPr>
          <w:rFonts w:hint="eastAsia" w:ascii="宋体" w:hAnsi="宋体" w:cs="宋体"/>
          <w:color w:val="000000"/>
          <w:sz w:val="24"/>
          <w:szCs w:val="24"/>
        </w:rPr>
        <w:t xml:space="preserve">之日起一年。</w:t>
      </w:r>
      <w:r>
        <w:rPr>
          <w:rFonts w:hint="eastAsia" w:ascii="宋体" w:hAnsi="宋体" w:cs="宋体"/>
          <w:color w:val="ff0000"/>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3、交付地点：采购人指定地点。</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4、服务要求：</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（1）故障维护响应速度：故障反应时间不超过24小时；</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（2）使用情况报告：提供符合标准的使用统计报告；</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（3）培训与支持：每年不低于</w:t>
      </w:r>
      <w:r>
        <w:rPr>
          <w:rFonts w:hint="eastAsia" w:ascii="宋体" w:hAnsi="宋体" w:cs="宋体"/>
          <w:sz w:val="24"/>
          <w:szCs w:val="24"/>
          <w:lang w:val="en-US" w:eastAsia="zh-CN"/>
        </w:rPr>
        <w:t xml:space="preserve">2</w:t>
      </w:r>
      <w:r>
        <w:rPr>
          <w:rFonts w:hint="eastAsia" w:ascii="宋体" w:hAnsi="宋体" w:cs="宋体"/>
          <w:sz w:val="24"/>
          <w:szCs w:val="24"/>
        </w:rPr>
        <w:t xml:space="preserve">次上门现场培训，并通过在线培训等多种形式提供培训服务；</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（4）访问故障：为用户解决日常使用中发生的问题，包括日常维护、排除故障、IP更新等事宜。</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5、验收标准：</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1）合同签订5日内部署，部署后采购人组织集体验收，如提供的产品与中标供应商的承诺无区别，即表示履行合同义务，验收合格；远程访问的数据库，用抽检方式进行，登录成功，能正常访问及下载视为验收合格；</w:t>
      </w:r>
      <w:r>
        <w:rPr>
          <w:rFonts w:hint="eastAsia" w:ascii="宋体" w:hAnsi="宋体" w:cs="宋体"/>
          <w:sz w:val="24"/>
          <w:szCs w:val="24"/>
        </w:rPr>
      </w:r>
      <w:r/>
    </w:p>
    <w:p>
      <w:pPr>
        <w:pStyle w:val="741"/>
        <w:ind w:firstLine="480"/>
        <w:jc w:val="left"/>
        <w:spacing w:line="360" w:lineRule="auto"/>
        <w:rPr>
          <w:rFonts w:ascii="宋体" w:hAnsi="宋体" w:cs="宋体"/>
          <w:sz w:val="24"/>
          <w:szCs w:val="24"/>
        </w:rPr>
      </w:pPr>
      <w:r>
        <w:rPr>
          <w:rFonts w:hint="eastAsia" w:ascii="宋体" w:hAnsi="宋体" w:cs="宋体"/>
          <w:sz w:val="24"/>
          <w:szCs w:val="24"/>
        </w:rPr>
        <w:t xml:space="preserve">（2）若验收不能全部通过，则视为验收不合格，采购人有权拒绝付款并终止合同，所产生的一切费用由供应商自行承担，采购人不承担任何费用。</w:t>
      </w:r>
      <w:r>
        <w:rPr>
          <w:rFonts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6、付款方式：</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合同履行并验收合格后，在202</w:t>
      </w:r>
      <w:r>
        <w:rPr>
          <w:rFonts w:hint="eastAsia" w:ascii="宋体" w:hAnsi="宋体" w:cs="宋体"/>
          <w:sz w:val="24"/>
          <w:szCs w:val="24"/>
          <w:lang w:val="en-US" w:eastAsia="zh-CN"/>
        </w:rPr>
        <w:t xml:space="preserve">6</w:t>
      </w:r>
      <w:r>
        <w:rPr>
          <w:rFonts w:hint="eastAsia" w:ascii="宋体" w:hAnsi="宋体" w:cs="宋体"/>
          <w:sz w:val="24"/>
          <w:szCs w:val="24"/>
        </w:rPr>
        <w:t xml:space="preserve">年12月20日前付总款项的 </w:t>
      </w:r>
      <w:r>
        <w:rPr>
          <w:rFonts w:hint="eastAsia" w:ascii="宋体" w:hAnsi="宋体" w:cs="宋体"/>
          <w:sz w:val="24"/>
          <w:szCs w:val="24"/>
          <w:lang w:val="en-US" w:eastAsia="zh-CN"/>
        </w:rPr>
        <w:t xml:space="preserve">95</w:t>
      </w:r>
      <w:r>
        <w:rPr>
          <w:rFonts w:hint="eastAsia" w:ascii="宋体" w:hAnsi="宋体" w:cs="宋体"/>
          <w:sz w:val="24"/>
          <w:szCs w:val="24"/>
        </w:rPr>
        <w:t xml:space="preserve">%；合同履行完毕之后付总款项的</w:t>
      </w: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sz w:val="24"/>
          <w:szCs w:val="24"/>
        </w:rPr>
      </w:r>
      <w:r/>
    </w:p>
    <w:p>
      <w:pPr>
        <w:pStyle w:val="741"/>
        <w:ind w:firstLine="480"/>
        <w:jc w:val="left"/>
        <w:spacing w:line="360" w:lineRule="auto"/>
        <w:rPr>
          <w:rFonts w:hint="eastAsia" w:ascii="宋体" w:hAnsi="宋体" w:cs="宋体"/>
          <w:b/>
          <w:bCs/>
          <w:i/>
          <w:iCs/>
          <w:sz w:val="24"/>
          <w:szCs w:val="24"/>
          <w:u w:val="single"/>
        </w:rPr>
      </w:pPr>
      <w:r>
        <w:rPr>
          <w:rFonts w:hint="eastAsia" w:ascii="宋体" w:hAnsi="宋体" w:cs="宋体"/>
          <w:sz w:val="24"/>
          <w:szCs w:val="24"/>
        </w:rPr>
        <w:t xml:space="preserve">7、其他要求：</w:t>
      </w:r>
      <w:r>
        <w:rPr>
          <w:rFonts w:hint="eastAsia" w:ascii="宋体" w:hAnsi="宋体" w:cs="宋体"/>
          <w:b/>
          <w:bCs/>
          <w:i/>
          <w:iCs/>
          <w:sz w:val="24"/>
          <w:szCs w:val="24"/>
          <w:u w:val="single"/>
        </w:rPr>
        <w:t xml:space="preserve">所有报价、承诺事项及重要证明文件均须加盖投标人公司公章。</w:t>
      </w:r>
      <w:r>
        <w:rPr>
          <w:rFonts w:hint="eastAsia" w:ascii="宋体" w:hAnsi="宋体" w:cs="宋体"/>
          <w:b/>
          <w:bCs/>
          <w:i/>
          <w:iCs/>
          <w:sz w:val="24"/>
          <w:szCs w:val="24"/>
          <w:u w:val="single"/>
        </w:rPr>
      </w:r>
      <w:r/>
    </w:p>
    <w:p>
      <w:pPr>
        <w:pStyle w:val="741"/>
        <w:ind w:firstLine="422"/>
        <w:jc w:val="left"/>
        <w:spacing w:line="360" w:lineRule="auto"/>
        <w:rPr>
          <w:rFonts w:hint="eastAsia" w:ascii="宋体" w:hAnsi="宋体" w:cs="宋体"/>
          <w:b/>
          <w:bCs/>
          <w:i/>
          <w:iCs/>
          <w:sz w:val="24"/>
          <w:szCs w:val="24"/>
          <w:u w:val="single"/>
        </w:rPr>
      </w:pPr>
      <w:r>
        <w:rPr>
          <w:rFonts w:hint="eastAsia" w:ascii="Times New Roman" w:hAnsi="Times New Roman"/>
          <w:b/>
          <w:bCs/>
          <w:color w:val="000000"/>
        </w:rPr>
        <w:t xml:space="preserve">注：以上内容需完全响应，未响应作无效投标处理。</w:t>
      </w:r>
      <w:r>
        <w:rPr>
          <w:rFonts w:hint="eastAsia" w:ascii="宋体" w:hAnsi="宋体" w:cs="宋体"/>
          <w:b/>
          <w:bCs/>
          <w:i/>
          <w:iCs/>
          <w:sz w:val="24"/>
          <w:szCs w:val="24"/>
          <w:u w:val="single"/>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二、分包一：中国知识文献全文数据库</w:t>
      </w:r>
      <w:r>
        <w:rPr>
          <w:rFonts w:hint="eastAsia" w:ascii="宋体" w:hAnsi="宋体" w:eastAsia="宋体" w:cs="宋体"/>
          <w:sz w:val="28"/>
          <w:szCs w:val="28"/>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1、技术参数</w:t>
      </w:r>
      <w:r>
        <w:rPr>
          <w:rFonts w:hint="eastAsia" w:ascii="宋体" w:hAnsi="宋体" w:cs="宋体"/>
          <w:b/>
          <w:bCs/>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1）中国学术期刊：全库要求累计收录期刊不少于8400种，中文全文文献总量不少于6000万篇。其中收录核心期刊不低于1900种。网络数据实时更新，可以提供网络首发的数字出版模式。采购内容需覆盖工程科技Ⅰ辑、工程科技Ⅱ辑、哲学与人文科学专辑、社会科学Ⅰ辑、社会科学Ⅱ辑、信息科技专辑、经济与管理科学专辑及园艺专题。</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2）中国博士学位论文数据库：全库收录博士学位论文不少于50万篇，收录不低于500家博士培养单位（涉及国家保密的单位除外）的博士学位论文，“双一流”建设高校覆盖率需达到100%。要求平均论文出版时间不晚于授予学位之后2个月。采购内容需覆盖工程科技Ⅰ辑、工程科技Ⅱ辑、哲学与人文科学专辑、社会科学Ⅰ辑、社会科学Ⅱ辑、信息科技专辑、经济与管理科学专辑及园艺专题。</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（3）中国优秀硕士学位论文数据库：全库要求收录不少于750家硕士培养单位（涉及国家保密的单位除外）的硕士学位论文。“双一流”建设高校覆盖率需达到100%。 收录硕士学位论文不少于600万篇。出版时效平均不晚于授予学位之后2个月。采购内容需覆盖工程科技Ⅰ辑、工程科技Ⅱ辑、哲学与人文科学专辑、社会科学Ⅰ辑、社会科学Ⅱ辑、信息科技专辑、经济与管理科学专辑及园艺专题。</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4）中国重要会议论文数据库：全库要求收录由国内外不少于3000家授权单位推荐的国内重要学术会议的论文。收录会议论文不少于250万篇。要求出版时效为平均当年会议结束之后2个月内出版会议论文网络版。采购内容需覆盖工程科技Ⅰ辑、哲学与人文科学专辑、社会科学Ⅰ辑、社会科学Ⅱ辑、经济与管理科学专辑。</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5）中国重要报纸数据库：全库要求收录中央级各类报纸，各省、自治区、直辖市及其他地市级城市党报，以及面向全国公开发行的具有一定影响力的特色重要行业性报纸。共收录各级党报及特色行业报等重要报纸不少于450种，其中当天更新当日出版报纸不少于270种，出版文献总量不少于1580万篇。采购内容需覆盖哲学与人文科学专辑、社会科学Ⅰ辑、社会科学Ⅱ辑。</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（6）中国学术辑刊数据库：全库要求收录国内出版的重要学术辑刊不少于1000种，累计文献总量不少于28万篇。采购内容需覆盖哲学与人文科学专辑。</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7）研学平台（平台版）：需是一个集文献检索、文献阅读、文献管理、深度阅读、论文创作、笔记整理、阅读写作训练与指导等功能于一体的文献阅读与论文写作平台，需能提供个性化的学习服务，需支持Web/桌面/APP多端云同步。采购内容包含500个账号，其中50个可漫游。</w:t>
      </w:r>
      <w:r>
        <w:rPr>
          <w:rFonts w:ascii="宋体" w:hAnsi="宋体" w:cs="宋体"/>
          <w:color w:val="000000"/>
          <w:sz w:val="24"/>
          <w:szCs w:val="24"/>
          <w:lang w:bidi="ar"/>
        </w:rPr>
      </w:r>
      <w:r/>
    </w:p>
    <w:p>
      <w:pPr>
        <w:pStyle w:val="741"/>
        <w:jc w:val="left"/>
        <w:spacing w:line="360" w:lineRule="auto"/>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2、商务要求</w:t>
      </w:r>
      <w:r>
        <w:rPr>
          <w:rFonts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（1）所购数据库必须易于操作和使用，提供详尽易懂的操作指导或使用指南，并适时提供讲解及培训，培训时间由甲乙双方协商确定；</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（2）必须保证数据库的每日正常使用；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（3）必须及时更新相应数据库内容，保证更新时间不大于正常数据库更新时间；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（4）因版权问题而引发的知识产权纠纷由供应商负全部法律责任。</w:t>
      </w:r>
      <w:r>
        <w:rPr>
          <w:rFonts w:hint="eastAsia" w:ascii="宋体" w:hAnsi="宋体" w:cs="宋体"/>
          <w:color w:val="000000"/>
          <w:sz w:val="24"/>
          <w:szCs w:val="24"/>
          <w:lang w:bidi="ar"/>
        </w:rPr>
      </w:r>
      <w:r/>
    </w:p>
    <w:p>
      <w:pPr>
        <w:pStyle w:val="741"/>
        <w:jc w:val="left"/>
        <w:spacing w:line="360" w:lineRule="auto"/>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3、</w:t>
      </w:r>
      <w:r>
        <w:rPr>
          <w:rFonts w:ascii="宋体" w:hAnsi="宋体" w:cs="宋体"/>
          <w:b/>
          <w:bCs/>
          <w:color w:val="000000"/>
          <w:sz w:val="24"/>
          <w:szCs w:val="24"/>
          <w:lang w:bidi="ar"/>
        </w:rPr>
        <w:t xml:space="preserve">数据库使用方式</w:t>
      </w:r>
      <w:r>
        <w:rPr>
          <w:rFonts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远程访问一年。</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三、分包二：学术搜索平台</w:t>
      </w:r>
      <w:r>
        <w:rPr>
          <w:rFonts w:hint="eastAsia" w:ascii="宋体" w:hAnsi="宋体" w:eastAsia="宋体" w:cs="宋体"/>
          <w:sz w:val="28"/>
          <w:szCs w:val="28"/>
        </w:rPr>
      </w:r>
      <w:r/>
    </w:p>
    <w:p>
      <w:pPr>
        <w:pStyle w:val="741"/>
        <w:jc w:val="left"/>
        <w:spacing w:line="360" w:lineRule="auto"/>
        <w:rPr>
          <w:rFonts w:ascii="宋体" w:hAnsi="宋体" w:cs="宋体"/>
          <w:b/>
          <w:bCs/>
          <w:color w:val="000000"/>
          <w:sz w:val="24"/>
          <w:szCs w:val="24"/>
          <w:lang w:bidi="ar"/>
        </w:rPr>
        <w:outlineLvl w:val="2"/>
      </w:pPr>
      <w:r>
        <w:rPr>
          <w:rFonts w:ascii="宋体" w:hAnsi="宋体" w:cs="宋体"/>
          <w:b/>
          <w:bCs/>
          <w:color w:val="000000"/>
          <w:sz w:val="24"/>
          <w:szCs w:val="24"/>
          <w:lang w:bidi="ar"/>
        </w:rPr>
        <w:t xml:space="preserve">1、技术参数</w:t>
      </w:r>
      <w:r>
        <w:rPr>
          <w:rFonts w:ascii="宋体" w:hAnsi="宋体" w:cs="宋体"/>
          <w:b/>
          <w:bCs/>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平台需满足书名、作者、主题词等基本字段搜索、章节名称搜索、正文搜索。</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提供二次搜索，且提供布尔逻辑的高级搜索、专业搜索等功能。</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平台需支持知识点搜索，用户可在图书资料中通过搜索找到所需知识点并直接阅读，阅读中提供文字提取、查看来源等功能。</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平台需涵盖知识点、图书类型，为读者提供海量信息资源多面搜索服务。</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w:t>
      </w:r>
      <w:r>
        <w:rPr>
          <w:rFonts w:ascii="宋体" w:hAnsi="宋体" w:cs="宋体"/>
          <w:color w:val="000000"/>
          <w:sz w:val="24"/>
          <w:szCs w:val="24"/>
          <w:lang w:bidi="ar"/>
        </w:rPr>
        <w:t xml:space="preserve">平台中至少包含700万种中文图书信息，涵盖中国图书馆分类法22个分类，每个分类细分到第三级子类。</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（6）</w:t>
      </w:r>
      <w:r>
        <w:rPr>
          <w:rFonts w:ascii="宋体" w:hAnsi="宋体" w:cs="宋体"/>
          <w:color w:val="000000"/>
          <w:sz w:val="24"/>
          <w:szCs w:val="24"/>
          <w:lang w:bidi="ar"/>
        </w:rPr>
        <w:t xml:space="preserve">平台需支持千余家单位馆藏的联合目录查询。</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（7）</w:t>
      </w:r>
      <w:r>
        <w:rPr>
          <w:rFonts w:ascii="宋体" w:hAnsi="宋体" w:cs="宋体"/>
          <w:color w:val="000000"/>
          <w:sz w:val="24"/>
          <w:szCs w:val="24"/>
          <w:lang w:bidi="ar"/>
        </w:rPr>
        <w:t xml:space="preserve">平台支持纸质图书和电子图书统一检索，平台支持按照馆藏纸书和电子图书进行筛选。且针对图书的检索结果可按照类型、年代、学科、作者进行筛选。</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（8）</w:t>
      </w:r>
      <w:r>
        <w:rPr>
          <w:rFonts w:ascii="宋体" w:hAnsi="宋体" w:cs="宋体"/>
          <w:color w:val="000000"/>
          <w:sz w:val="24"/>
          <w:szCs w:val="24"/>
          <w:lang w:bidi="ar"/>
        </w:rPr>
        <w:t xml:space="preserve">平台可以提供图书试读功能，可以对封面页、前言页、目次页、版权页、正文部分页等进行试读。</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（9）</w:t>
      </w:r>
      <w:r>
        <w:rPr>
          <w:rFonts w:ascii="宋体" w:hAnsi="宋体" w:cs="宋体"/>
          <w:color w:val="000000"/>
          <w:sz w:val="24"/>
          <w:szCs w:val="24"/>
          <w:lang w:bidi="ar"/>
        </w:rPr>
        <w:t xml:space="preserve">平台需提供通过Email的方式向读者进行文献资源的传递服务，可提供文献传递服务的图书总量不低于349万种。</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（10）</w:t>
      </w:r>
      <w:r>
        <w:rPr>
          <w:rFonts w:ascii="宋体" w:hAnsi="宋体" w:cs="宋体"/>
          <w:color w:val="000000"/>
          <w:sz w:val="24"/>
          <w:szCs w:val="24"/>
          <w:lang w:bidi="ar"/>
        </w:rPr>
        <w:t xml:space="preserve">对于本馆没有的图书，需支持荐购功能，有关图书信息不需手动填写，系统自动填充。</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（11）</w:t>
      </w:r>
      <w:r>
        <w:rPr>
          <w:rFonts w:ascii="宋体" w:hAnsi="宋体" w:cs="宋体"/>
          <w:color w:val="000000"/>
          <w:sz w:val="24"/>
          <w:szCs w:val="24"/>
          <w:lang w:bidi="ar"/>
        </w:rPr>
        <w:t xml:space="preserve">提供中外文词典翻译、同义词、相关词、共现词的提示。</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（12）</w:t>
      </w:r>
      <w:r>
        <w:rPr>
          <w:rFonts w:ascii="宋体" w:hAnsi="宋体" w:cs="宋体"/>
          <w:color w:val="000000"/>
          <w:sz w:val="24"/>
          <w:szCs w:val="24"/>
          <w:lang w:bidi="ar"/>
        </w:rPr>
        <w:t xml:space="preserve">需要能查询到图书的被引用情况。提供100年来中文图书被引用情况的分析，尤其可对每种中文图书是否有被引用及具体的被引用情况进行查询，从而作为评价中文图书学术影响力的重要指标和依据。</w:t>
      </w:r>
      <w:r>
        <w:rPr>
          <w:rFonts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2、数据库访问方式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远程访问一年。</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四、分包三：中国传统音乐数据库</w:t>
      </w:r>
      <w:r>
        <w:rPr>
          <w:rFonts w:hint="eastAsia" w:ascii="宋体" w:hAnsi="宋体" w:eastAsia="宋体" w:cs="宋体"/>
          <w:sz w:val="28"/>
          <w:szCs w:val="28"/>
        </w:rPr>
      </w:r>
      <w:r/>
    </w:p>
    <w:p>
      <w:pPr>
        <w:pStyle w:val="741"/>
        <w:jc w:val="left"/>
        <w:spacing w:line="360" w:lineRule="auto"/>
        <w:rPr>
          <w:rFonts w:ascii="宋体" w:hAnsi="宋体" w:cs="宋体"/>
          <w:b/>
          <w:bCs/>
          <w:color w:val="000000"/>
          <w:sz w:val="24"/>
          <w:szCs w:val="24"/>
          <w:lang w:bidi="ar"/>
        </w:rPr>
        <w:outlineLvl w:val="2"/>
      </w:pPr>
      <w:r>
        <w:rPr>
          <w:rFonts w:ascii="宋体" w:hAnsi="宋体" w:cs="宋体"/>
          <w:b/>
          <w:bCs/>
          <w:color w:val="000000"/>
          <w:sz w:val="24"/>
          <w:szCs w:val="24"/>
          <w:lang w:bidi="ar"/>
        </w:rPr>
        <w:t xml:space="preserve">1、数据库收录需求</w:t>
      </w:r>
      <w:r>
        <w:rPr>
          <w:rFonts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中国传统音乐数据库内容需整合了海内外音响档案馆、独立藏家和艺术家的私人资源，并涵盖现存的“中国最早的录音”（1901年），介质类型包括了蜡筒、唱片、开盘带等等，体裁包括了戏曲、曲艺、器乐、歌舞、“非遗”等多个门类，其中不少为华韵独藏的善本、珍本、孤本，与数百位当代传统音乐艺术家及版权内容机构展开合作，曲目总量不低于30万。</w:t>
      </w:r>
      <w:r>
        <w:rPr>
          <w:rFonts w:hint="eastAsia" w:ascii="宋体" w:hAnsi="宋体" w:cs="宋体"/>
          <w:color w:val="000000"/>
          <w:sz w:val="24"/>
          <w:szCs w:val="24"/>
          <w:lang w:bidi="ar"/>
        </w:rPr>
      </w:r>
      <w:r/>
    </w:p>
    <w:p>
      <w:pPr>
        <w:pStyle w:val="741"/>
        <w:jc w:val="left"/>
        <w:spacing w:line="360" w:lineRule="auto"/>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w:t>
      </w:r>
      <w:r>
        <w:rPr>
          <w:rFonts w:ascii="宋体" w:hAnsi="宋体" w:cs="宋体"/>
          <w:b/>
          <w:bCs/>
          <w:color w:val="000000"/>
          <w:sz w:val="24"/>
          <w:szCs w:val="24"/>
          <w:lang w:bidi="ar"/>
        </w:rPr>
        <w:t xml:space="preserve">技术参数</w:t>
      </w:r>
      <w:r>
        <w:rPr>
          <w:rFonts w:ascii="宋体" w:hAnsi="宋体" w:cs="宋体"/>
          <w:b/>
          <w:bCs/>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中国戏曲数据库</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涵盖中国百余种戏曲种类，有京剧、昆剧、越剧、黄梅戏、秦腔、川剧等大型剧种的各类有声文献，也有越调、甬剧、文场戏、泗州戏等地方小剧种和稀有剧种的珍贵录音资源。资源总量6万余首。</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中国曲艺数据库</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收录近百种中国曲艺，囊括清末以来不同地区、不同民族、不同艺术表现手法的曲艺音乐，如鼓曲、相声、评弹、评书、民间说唱等艺术形式，品类齐全，版本精优。资源总量3万余首。</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民族歌曲数据库</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汇集中国各民族丰富多彩的音乐形式，全面体现了中国五十六个民族的音乐艺术。资源中既有各民族优秀艺术家的代表作品，也收入有大量田野调查录音，具有社会学与人类学研究价值。资源总量5万余首</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歌舞音乐数据库</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收录中国不同地域与不同民族的歌舞音乐资源，并按声乐类、器乐类及综合类歌舞音乐整理归类，兼具学术研究、教学范本、艺术欣赏的功能。资源总量4万余首。</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w:t>
      </w:r>
      <w:r>
        <w:rPr>
          <w:rFonts w:ascii="宋体" w:hAnsi="宋体" w:cs="宋体"/>
          <w:color w:val="000000"/>
          <w:sz w:val="24"/>
          <w:szCs w:val="24"/>
          <w:lang w:bidi="ar"/>
        </w:rPr>
        <w:t xml:space="preserve">民族器乐数据库</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网罗中国各民族与地区的器乐曲目，包含弹拨、拉弦、吹奏等百余种民族乐器的独奏曲目，并有众多民间器乐合奏音乐，如鼓吹乐、丝竹乐、弦索乐等，是中国传统器乐的艺术集成。资源总量4万余首。</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（6）</w:t>
      </w:r>
      <w:r>
        <w:rPr>
          <w:rFonts w:ascii="宋体" w:hAnsi="宋体" w:cs="宋体"/>
          <w:color w:val="000000"/>
          <w:sz w:val="24"/>
          <w:szCs w:val="24"/>
          <w:lang w:bidi="ar"/>
        </w:rPr>
        <w:t xml:space="preserve">红色音乐文化基因库</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收录上万条中华民族之红色记忆的象征性曲目，素材来自各类有声媒介，描述和再现历史事件、英烈人物、红色历程，让听者感触中华民族薪火相传之根、之脉、之魂。资源总量1万余首。</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（7）</w:t>
      </w:r>
      <w:r>
        <w:rPr>
          <w:rFonts w:ascii="宋体" w:hAnsi="宋体" w:cs="宋体"/>
          <w:color w:val="000000"/>
          <w:sz w:val="24"/>
          <w:szCs w:val="24"/>
          <w:lang w:bidi="ar"/>
        </w:rPr>
        <w:t xml:space="preserve">人类口头和非物质文化遗产专题站</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简称“非遗库”，主要收录联合国和中国官方“非遗”项目之相关音视频资料，同时兼顾各类实地、文献、田野考察资料。资源总量1万余首。</w:t>
      </w:r>
      <w:r>
        <w:rPr>
          <w:rFonts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3、数据库访问方式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远程访问一年。</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4、</w:t>
      </w:r>
      <w:r>
        <w:rPr>
          <w:rFonts w:ascii="宋体" w:hAnsi="宋体" w:cs="宋体"/>
          <w:b/>
          <w:bCs/>
          <w:color w:val="000000"/>
          <w:sz w:val="24"/>
          <w:szCs w:val="24"/>
          <w:lang w:bidi="ar"/>
        </w:rPr>
        <w:t xml:space="preserve">售后服务要求</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eastAsia="en-US" w:bidi="ar"/>
        </w:rPr>
        <w:t xml:space="preserve">安排专人进行售后服务，每月至少一次电话回访</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eastAsia="en-US" w:bidi="ar"/>
        </w:rPr>
        <w:t xml:space="preserve">根据用户需求，提供使用统计报告</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eastAsia="en-US" w:bidi="ar"/>
        </w:rPr>
        <w:t xml:space="preserve">免费提供</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eastAsia="en-US" w:bidi="ar"/>
        </w:rPr>
        <w:t xml:space="preserve">次相关市场推广活动</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（4）在出现技术故障时做到2小时内响应，48小时内解决技术故障；</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eastAsia="en-US" w:bidi="ar"/>
        </w:rPr>
        <w:t xml:space="preserve">在IP地址段内，不需要进行身份认证，可直接访问网站</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五、分包四：古典音乐数据库</w:t>
      </w:r>
      <w:r>
        <w:rPr>
          <w:rFonts w:hint="eastAsia" w:ascii="宋体" w:hAnsi="宋体" w:eastAsia="宋体" w:cs="宋体"/>
          <w:sz w:val="28"/>
          <w:szCs w:val="28"/>
        </w:rPr>
      </w:r>
      <w:r/>
    </w:p>
    <w:p>
      <w:pPr>
        <w:pStyle w:val="741"/>
        <w:jc w:val="left"/>
        <w:spacing w:line="360" w:lineRule="auto"/>
        <w:rPr>
          <w:rFonts w:ascii="宋体" w:hAnsi="宋体" w:cs="宋体"/>
          <w:b/>
          <w:bCs/>
          <w:color w:val="000000"/>
          <w:sz w:val="24"/>
          <w:szCs w:val="24"/>
          <w:lang w:bidi="ar"/>
        </w:rPr>
        <w:outlineLvl w:val="2"/>
      </w:pPr>
      <w:r>
        <w:rPr>
          <w:rFonts w:ascii="宋体" w:hAnsi="宋体" w:cs="宋体"/>
          <w:b/>
          <w:bCs/>
          <w:color w:val="000000"/>
          <w:sz w:val="24"/>
          <w:szCs w:val="24"/>
          <w:lang w:bidi="ar"/>
        </w:rPr>
        <w:t xml:space="preserve">1、数据库收录</w:t>
      </w:r>
      <w:r>
        <w:rPr>
          <w:rFonts w:hint="eastAsia" w:ascii="宋体" w:hAnsi="宋体" w:cs="宋体"/>
          <w:b/>
          <w:bCs/>
          <w:color w:val="000000"/>
          <w:sz w:val="24"/>
          <w:szCs w:val="24"/>
          <w:lang w:bidi="ar"/>
        </w:rPr>
        <w:t xml:space="preserve">内容</w:t>
      </w:r>
      <w:r>
        <w:rPr>
          <w:rFonts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古典</w:t>
      </w:r>
      <w:r>
        <w:rPr>
          <w:rFonts w:hint="eastAsia" w:ascii="宋体" w:hAnsi="宋体" w:cs="宋体"/>
          <w:color w:val="000000"/>
          <w:sz w:val="24"/>
          <w:szCs w:val="24"/>
          <w:lang w:eastAsia="en-US" w:bidi="ar"/>
        </w:rPr>
        <w:t xml:space="preserve">音乐数据库</w:t>
      </w:r>
      <w:r>
        <w:rPr>
          <w:rFonts w:hint="eastAsia" w:ascii="宋体" w:hAnsi="宋体" w:cs="宋体"/>
          <w:color w:val="000000"/>
          <w:sz w:val="24"/>
          <w:szCs w:val="24"/>
          <w:lang w:bidi="ar"/>
        </w:rPr>
        <w:t xml:space="preserve">需拥有</w:t>
      </w:r>
      <w:r>
        <w:rPr>
          <w:rFonts w:hint="eastAsia" w:ascii="宋体" w:hAnsi="宋体" w:cs="宋体"/>
          <w:color w:val="000000"/>
          <w:sz w:val="24"/>
          <w:szCs w:val="24"/>
          <w:lang w:eastAsia="en-US" w:bidi="ar"/>
        </w:rPr>
        <w:t xml:space="preserve">包括</w:t>
      </w:r>
      <w:r>
        <w:rPr>
          <w:rFonts w:hint="eastAsia" w:ascii="宋体" w:hAnsi="宋体" w:cs="宋体"/>
          <w:color w:val="000000"/>
          <w:sz w:val="24"/>
          <w:szCs w:val="24"/>
          <w:lang w:bidi="ar"/>
        </w:rPr>
        <w:t xml:space="preserve">拿索斯、ARC, BIS 等国外</w:t>
      </w:r>
      <w:r>
        <w:rPr>
          <w:rFonts w:hint="eastAsia" w:ascii="宋体" w:hAnsi="宋体" w:cs="宋体"/>
          <w:color w:val="000000"/>
          <w:sz w:val="24"/>
          <w:szCs w:val="24"/>
          <w:lang w:eastAsia="en-US" w:bidi="ar"/>
        </w:rPr>
        <w:t xml:space="preserve">数百家唱片公司的特色资源，</w:t>
      </w:r>
      <w:r>
        <w:rPr>
          <w:rFonts w:hint="eastAsia" w:ascii="宋体" w:hAnsi="宋体" w:cs="宋体"/>
          <w:color w:val="000000"/>
          <w:sz w:val="24"/>
          <w:szCs w:val="24"/>
          <w:lang w:bidi="ar"/>
        </w:rPr>
        <w:t xml:space="preserve">有着诸多独家版权的音乐服务商，收录</w:t>
      </w:r>
      <w:r>
        <w:rPr>
          <w:rFonts w:hint="eastAsia" w:ascii="宋体" w:hAnsi="宋体" w:cs="宋体"/>
          <w:color w:val="000000"/>
          <w:sz w:val="24"/>
          <w:szCs w:val="24"/>
          <w:lang w:eastAsia="en-US" w:bidi="ar"/>
        </w:rPr>
        <w:t xml:space="preserve">从</w:t>
      </w:r>
      <w:r>
        <w:rPr>
          <w:rFonts w:hint="eastAsia" w:ascii="宋体" w:hAnsi="宋体" w:cs="宋体"/>
          <w:color w:val="000000"/>
          <w:sz w:val="24"/>
          <w:szCs w:val="24"/>
          <w:lang w:bidi="ar"/>
        </w:rPr>
        <w:t xml:space="preserve">中世纪时期到近现代30,000多位艺术家、100多种乐器的</w:t>
      </w:r>
      <w:r>
        <w:rPr>
          <w:rFonts w:hint="eastAsia" w:ascii="宋体" w:hAnsi="宋体" w:cs="宋体"/>
          <w:color w:val="000000"/>
          <w:sz w:val="24"/>
          <w:szCs w:val="24"/>
          <w:lang w:eastAsia="en-US" w:bidi="ar"/>
        </w:rPr>
        <w:t xml:space="preserve">音视频</w:t>
      </w:r>
      <w:r>
        <w:rPr>
          <w:rFonts w:hint="eastAsia" w:ascii="宋体" w:hAnsi="宋体" w:cs="宋体"/>
          <w:color w:val="000000"/>
          <w:sz w:val="24"/>
          <w:szCs w:val="24"/>
          <w:lang w:bidi="ar"/>
        </w:rPr>
        <w:t xml:space="preserve">作品，提供一个全面、丰富的正版音乐资源。除了具有现代录音技术制作的音乐资源以外，还需收藏很多珍贵的历史录音资源，比如格什温自己弹奏《蓝色狂想曲》的录音，指挥大师卡拉扬半个世纪前亲自指挥乐队演奏的录音等。</w:t>
      </w:r>
      <w:r>
        <w:rPr>
          <w:rFonts w:hint="eastAsia" w:ascii="宋体" w:hAnsi="宋体" w:cs="宋体"/>
          <w:color w:val="000000"/>
          <w:sz w:val="24"/>
          <w:szCs w:val="24"/>
          <w:lang w:bidi="ar"/>
        </w:rPr>
      </w:r>
      <w:r/>
    </w:p>
    <w:p>
      <w:pPr>
        <w:pStyle w:val="741"/>
        <w:jc w:val="left"/>
        <w:spacing w:line="360" w:lineRule="auto"/>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w:t>
      </w:r>
      <w:r>
        <w:rPr>
          <w:rFonts w:ascii="宋体" w:hAnsi="宋体" w:cs="宋体"/>
          <w:b/>
          <w:bCs/>
          <w:color w:val="000000"/>
          <w:sz w:val="24"/>
          <w:szCs w:val="24"/>
          <w:lang w:bidi="ar"/>
        </w:rPr>
        <w:t xml:space="preserve">技术参数</w:t>
      </w:r>
      <w:r>
        <w:rPr>
          <w:rFonts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eastAsia="en-US" w:bidi="ar"/>
        </w:rPr>
        <w:t xml:space="preserve">古典音乐</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①涵盖世界上绝大部分的古典音乐资源，包括交响乐、室内乐、歌剧、芭蕾、协奏曲、乐器独奏等古典音乐种类，</w:t>
      </w:r>
      <w:r>
        <w:rPr>
          <w:rFonts w:hint="eastAsia" w:ascii="宋体" w:hAnsi="宋体" w:cs="宋体"/>
          <w:color w:val="000000"/>
          <w:sz w:val="24"/>
          <w:szCs w:val="24"/>
          <w:lang w:eastAsia="en-US" w:bidi="ar"/>
        </w:rPr>
        <w:t xml:space="preserve">总计</w:t>
      </w:r>
      <w:r>
        <w:rPr>
          <w:rFonts w:hint="eastAsia" w:ascii="宋体" w:hAnsi="宋体" w:cs="宋体"/>
          <w:color w:val="000000"/>
          <w:sz w:val="24"/>
          <w:szCs w:val="24"/>
          <w:lang w:bidi="ar"/>
        </w:rPr>
        <w:t xml:space="preserve">120多万首曲目。</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②音频资料格式均为MP3格式，提供192K及320K音质的音频文件，远程访问模式，有完整的分类体系平台，提供模糊检索；也可以根据音乐家、乐器、厂牌或是音乐体裁、出版时期等进行分类导航。</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③每年至少更新3,000首曲目。</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eastAsia="en-US" w:bidi="ar"/>
        </w:rPr>
      </w:pPr>
      <w:r>
        <w:rPr>
          <w:rFonts w:hint="eastAsia" w:ascii="宋体" w:hAnsi="宋体" w:cs="宋体"/>
          <w:color w:val="000000"/>
          <w:sz w:val="24"/>
          <w:szCs w:val="24"/>
          <w:lang w:bidi="ar"/>
        </w:rPr>
        <w:t xml:space="preserve">（2）世界民族</w:t>
      </w:r>
      <w:r>
        <w:rPr>
          <w:rFonts w:hint="eastAsia" w:ascii="宋体" w:hAnsi="宋体" w:cs="宋体"/>
          <w:color w:val="000000"/>
          <w:sz w:val="24"/>
          <w:szCs w:val="24"/>
          <w:lang w:eastAsia="en-US" w:bidi="ar"/>
        </w:rPr>
        <w:t xml:space="preserve">民间音乐</w:t>
      </w:r>
      <w:r>
        <w:rPr>
          <w:rFonts w:hint="eastAsia" w:ascii="宋体" w:hAnsi="宋体" w:cs="宋体"/>
          <w:color w:val="000000"/>
          <w:sz w:val="24"/>
          <w:szCs w:val="24"/>
          <w:lang w:eastAsia="en-US"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提供来自世界多国、多地区的民族民间音乐，通过人物、文化、地区、厂牌的分类，直观的感受世界各民族的魅力和文化的差异，成为了解当地风俗和文化的窗口。音乐资源来自150多个国家、超过1,500个文化群体，汇集成万张专辑......同时，我们将极具特色的精选专辑推荐在首页，帮助听众了解世界民族民间音乐的精髓，全新专辑持续更新中。</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②提供多种搜索和浏览方式：根据唱片标题按字母顺序浏览，根据艺术家名字、曲目或唱片名称按关键字搜索以及按多种标准进行高级搜索，还可根据文化和地区进行搜索浏览。</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（3）爵士</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精选各种风格的爵士音乐，包含爵士乐坛著名的大人物，如路易斯·阿姆斯特朗（Louis Armstrong）、迈尔斯·戴维斯（Miles Davis）、埃林顿公爵（Duke Ellington）、本尼·古德曼（Benny Goodman）</w:t>
      </w:r>
      <w:r>
        <w:rPr>
          <w:rFonts w:hint="eastAsia" w:ascii="宋体" w:hAnsi="宋体" w:cs="宋体"/>
          <w:color w:val="000000"/>
          <w:sz w:val="24"/>
          <w:szCs w:val="24"/>
          <w:lang w:bidi="ar"/>
        </w:rPr>
        <w:t xml:space="preserve">、比莉·豪利黛（Billie Holiday）、杰利－罗尔·莫顿（Jelly-Roll Morton）、莎拉·沃恩（Sarah Vaughan）等怀旧录音，也有自如随性的当代爵士演绎。各大厂牌出品的爵士音乐质量优良，诚意满满，其中拿索斯出品的爵士大师系列唱片，深得乐迷们的好评和收藏。即兴的演奏或演唱，独特的爵士和弦与音色的运用，都散发着爵士音乐独有的魅力。在此，不仅可以听到爵士经典音乐，听众亦可通过分类、厂牌、人物等多种方式来发现、聆听和收藏更多独具个性的爵士音乐，目前唱片数量已过万张，全新专辑持续更新中。</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（4）有声读物</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分为英语读物和中文读物两部分。英语读物由英国BBC广播电台、美国ABC广播电台当红主播亲自朗读，结合丰富的古典音乐配乐，在形式上很受大众的喜爱。内容涵盖了诗歌名著、小说、历史传记等近5,000张CD的有声读物经典作品，目前已被众多院校作为英语口语视听课件使用。中文读物有唐诗、宋词等朗诵作品，并配以优美的中国民乐作配乐，风格优雅清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②音频资料格式均为MP3格式，提供192K 以上音质的音频文件，远程访问模式，有完整的分类体系平台，提供模糊检索，也可以根据唐诗、传记、青少年文学、经典文学等进行分类导航。</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（5）视频</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汇集了歌剧、舞蹈、音乐会、纪录片、爵士、音乐之旅、讲解与大师课、艺术、戏剧、比赛等近现代1,000多部共2,500多小时的优秀音乐视频作品。既有巴赫、贝多芬、莫扎特等大师宏伟巨作的现场音乐会，亦有帕瓦罗蒂、多明戈等歌唱家的天籁之音，以及中国当代音乐家谭盾、陈其钢等的经典作品，阿巴多、阿格里奇等现代音乐大师访谈，伯恩斯坦的现场排练课等。在欣赏经典芭蕾舞剧的同时，还可领略罗马、莫斯科、伦敦、北京等中外名城的音乐风光，感受不同地域风情，享受完美视听盛宴。</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②视频资料均为MP4格式，提供200K、700K的视频画质，远程访问模式，有完整的分类体系平台，提供模糊检索，可根据厂牌、演奏/指挥或是音乐曲风进行分类导航。</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（6）剧院</w:t>
      </w:r>
      <w:r>
        <w:rPr>
          <w:rFonts w:hint="eastAsia"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①</w:t>
      </w:r>
      <w:r>
        <w:rPr>
          <w:rFonts w:hint="eastAsia" w:ascii="宋体" w:hAnsi="宋体" w:cs="宋体"/>
          <w:color w:val="000000"/>
          <w:sz w:val="24"/>
          <w:szCs w:val="24"/>
          <w:lang w:eastAsia="en-US" w:bidi="ar"/>
        </w:rPr>
        <w:t xml:space="preserve">包含</w:t>
      </w:r>
      <w:r>
        <w:rPr>
          <w:rFonts w:hint="eastAsia" w:ascii="宋体" w:hAnsi="宋体" w:cs="宋体"/>
          <w:color w:val="000000"/>
          <w:sz w:val="24"/>
          <w:szCs w:val="24"/>
          <w:lang w:bidi="ar"/>
        </w:rPr>
        <w:t xml:space="preserve">歌剧、音乐会、戏曲、相声等</w:t>
      </w:r>
      <w:r>
        <w:rPr>
          <w:rFonts w:hint="eastAsia" w:ascii="宋体" w:hAnsi="宋体" w:cs="宋体"/>
          <w:color w:val="000000"/>
          <w:sz w:val="24"/>
          <w:szCs w:val="24"/>
          <w:lang w:eastAsia="en-US" w:bidi="ar"/>
        </w:rPr>
        <w:t xml:space="preserve">节目类型</w:t>
      </w:r>
      <w:r>
        <w:rPr>
          <w:rFonts w:hint="eastAsia" w:ascii="宋体" w:hAnsi="宋体" w:cs="宋体"/>
          <w:color w:val="000000"/>
          <w:sz w:val="24"/>
          <w:szCs w:val="24"/>
          <w:lang w:bidi="ar"/>
        </w:rPr>
        <w:t xml:space="preserve">，曲目量1000余场每</w:t>
      </w:r>
      <w:r>
        <w:rPr>
          <w:rFonts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②可根据演出时间、演出场地、演出类型进行分类导航。</w:t>
      </w:r>
      <w:r>
        <w:rPr>
          <w:rFonts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3、数据库访问方式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远程访问一年。</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4、</w:t>
      </w:r>
      <w:r>
        <w:rPr>
          <w:rFonts w:ascii="宋体" w:hAnsi="宋体" w:cs="宋体"/>
          <w:b/>
          <w:bCs/>
          <w:color w:val="000000"/>
          <w:sz w:val="24"/>
          <w:szCs w:val="24"/>
          <w:lang w:bidi="ar"/>
        </w:rPr>
        <w:t xml:space="preserve">售后服务要求</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（1）内容更新服务承诺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保持各类音频内容和音乐文字资料的稳定、持续服务和及时、持续更新并保证平均每个月至少有30张以上的唱片更新。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（2）售后服务承诺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及时便捷地解决用户在使用本合同项下的产品或服务所遇到的各种问题。用户可以根据实际需求，通过热线咨询、邮件咨询和论坛咨询等方式来获取相应的服务。中标供应商4小时内做出实质响应，若远程支持无法解决问题的，中标供应商将提供2个工作日内上门服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（3）服务中断双倍补偿承诺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为了保障用户对产品的不间断使用。任何非因用户自身原因造成的服务中断，包括但不限于由于政府有权部门或司法机构的命令，造成数据库不能通过互联网正常提供服务；由于网络服务提供商的服务故障，造成数据库暂时不能正常通过互联网发布信息等情形，均由数据库服务商双倍补偿用户中断服务的时间。</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（4）宣传承诺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积极配合图书馆开展资源宣传推介工作；提供现场培训和培训课件及相关宣传产品。</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（5）自动登录承诺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在校园网IP段内，能够实现自动登录，直接查阅和浏览资源。</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（6）授权数据库APP的免费使用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在机构IP范围内下载数据库APP，注册个人帐号，可免费访问APP内容</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（7）服务期内免费解决用户在使用数据库产品或服务中所遇到的各种问题，提供相应技术服务及支持。</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六、分包五：台湾学术文献数据库</w:t>
      </w:r>
      <w:r>
        <w:rPr>
          <w:rFonts w:hint="eastAsia" w:ascii="宋体" w:hAnsi="宋体" w:eastAsia="宋体" w:cs="宋体"/>
          <w:sz w:val="28"/>
          <w:szCs w:val="28"/>
        </w:rPr>
      </w:r>
      <w:r/>
    </w:p>
    <w:p>
      <w:pPr>
        <w:pStyle w:val="741"/>
        <w:jc w:val="left"/>
        <w:spacing w:line="360" w:lineRule="auto"/>
        <w:rPr>
          <w:rFonts w:ascii="宋体" w:hAnsi="宋体" w:cs="宋体"/>
          <w:b/>
          <w:bCs/>
          <w:color w:val="000000"/>
          <w:sz w:val="24"/>
          <w:szCs w:val="24"/>
          <w:lang w:bidi="ar"/>
        </w:rPr>
        <w:outlineLvl w:val="2"/>
      </w:pPr>
      <w:r>
        <w:rPr>
          <w:rFonts w:ascii="宋体" w:hAnsi="宋体" w:cs="宋体"/>
          <w:b/>
          <w:bCs/>
          <w:color w:val="000000"/>
          <w:sz w:val="24"/>
          <w:szCs w:val="24"/>
          <w:lang w:bidi="ar"/>
        </w:rPr>
        <w:t xml:space="preserve">1、数据库收录</w:t>
      </w:r>
      <w:r>
        <w:rPr>
          <w:rFonts w:hint="eastAsia" w:ascii="宋体" w:hAnsi="宋体" w:cs="宋体"/>
          <w:b/>
          <w:bCs/>
          <w:color w:val="000000"/>
          <w:sz w:val="24"/>
          <w:szCs w:val="24"/>
          <w:lang w:bidi="ar"/>
        </w:rPr>
        <w:t xml:space="preserve">内容</w:t>
      </w:r>
      <w:r>
        <w:rPr>
          <w:rFonts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（1）收录内容包含台湾期刊和硕博士学位论文两部分资源内容，并且两部分内容可以在同一个平台使用。平台还需整合我校购买的华艺电子书数据库的内容，做到期刊、学位论文、电子书均能同一个平台使用。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台湾期刊：收录期刊种数不少于1900种，期刊全文文章数量不少于60万篇。其中人文社科期刊不少于1300种（不含跨学科），人文社科期刊电子全文不少于29万篇；科学期刊不少于800种，科学期刊电子全文不少于29万篇；</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（3）台湾学位论文：收录不少于40所台湾高校硕博士论文，论文数量不少于130000篇，其中人文社科硕博论文不少于40000篇；科学硕博士论文不少于90000篇。必须包含台湾大学的硕博士论文。</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此次订购内容为数据库中人文艺术类所有资源。期刊种数不少于400种，期刊全文不少于10万篇。其中人文学期刊不少于300种，期刊全文不少于8万篇，艺术学期刊不少于100种，期刊全文不少于2万篇。硕博士学位论文不少于30000篇，其中人文学硕博士学位论文不少于24000篇，艺术学硕博士论文不少于6000篇。</w:t>
      </w:r>
      <w:r>
        <w:rPr>
          <w:rFonts w:hint="eastAsia" w:ascii="宋体" w:hAnsi="宋体" w:cs="宋体"/>
          <w:color w:val="000000"/>
          <w:sz w:val="24"/>
          <w:szCs w:val="24"/>
          <w:lang w:bidi="ar"/>
        </w:rPr>
      </w:r>
      <w:r/>
    </w:p>
    <w:p>
      <w:pPr>
        <w:pStyle w:val="741"/>
        <w:jc w:val="left"/>
        <w:spacing w:line="360" w:lineRule="auto"/>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w:t>
      </w:r>
      <w:r>
        <w:rPr>
          <w:rFonts w:ascii="宋体" w:hAnsi="宋体" w:cs="宋体"/>
          <w:b/>
          <w:bCs/>
          <w:color w:val="000000"/>
          <w:sz w:val="24"/>
          <w:szCs w:val="24"/>
          <w:lang w:bidi="ar"/>
        </w:rPr>
        <w:t xml:space="preserve">技术参数</w:t>
      </w:r>
      <w:r>
        <w:rPr>
          <w:rFonts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（1）数据格式：索引、摘要及电子全文（PDF文件）</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（2）文献类型：期刊文章及学位论文</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（3）回溯年限：期刊收录年限：1930年至今；学位论文收录年限：2004年至今</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（4）版权状态：可下载全文献皆取得所有著作权人的合法授权</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（5）网页语言：简体中文；全文语言：繁体中文，可透过本库新提供之文档阅读器，于下载时或下载后以简体中文阅读</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（6）浏览功能：可依学门、出版机构、期刊索引、拼音进行浏览</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（7）检索功能：提供简易检索、高级检索及缩小检索功能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（8）简繁检索：支持简繁中文相互检索（如两岸相关用语：计算机与计算器、信息与信息、甲肝与A肝等）</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（9）刊号查询：支持以ISSN号检索</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（10）更新周期：每日更新。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（11）版权保证及承诺责任：产品已妥善解决好该资源所有的版权问题。必须承诺：如因版权问题引起法律纠纷，中标人承担所有责任并消除所有不良影响。</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3、数据库访问方式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远程包库访问一年：学校IP范围开放，无并发用户数限制。支持VPN和CARIS校外访问方式。</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4、</w:t>
      </w:r>
      <w:r>
        <w:rPr>
          <w:rFonts w:ascii="宋体" w:hAnsi="宋体" w:cs="宋体"/>
          <w:b/>
          <w:bCs/>
          <w:color w:val="000000"/>
          <w:sz w:val="24"/>
          <w:szCs w:val="24"/>
          <w:lang w:bidi="ar"/>
        </w:rPr>
        <w:t xml:space="preserve">售后服务要求</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（1）合同签订后十五天内为用户开通数据库使用权限。合同期内在需要更新的情况下每两个月更新一次。按时向用户提供更新或追加数据，并及时向用户提供与本系统有关的软件升级信息。</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做到每周7*24小时服务响应，所有销售、技术服务人员均7*24小时保持手机畅通。接到热线服务需求后，实时响应，在1小时内告知用户解决方案和解决时间。网络或者远程可以解决问题的，1小时内为用户提供网络服务或者远程支持服务，并在1天内解决问题，或者提供适当的解决方案。如果通过热线、网络、远程均无法解决问题，技术服务工程师应在24小时之内赶到现场进行数据维护。</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（3）为做好数字图书馆宣传和引导工作，实现传统图书馆到数字图书馆的意识转变，根据学校安排免费协助图书馆为读者、馆员提供宣传和培训工作，以便更好的达成数字图书馆的服务效果。</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（4）一年内提供至少一次使用统计报告。</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（5）支持该库的推广活动，并提出相关读者服务体系，增加用户粘度。</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（6）对于资源本身导致的版权纠纷，一律由中标供应商负责，用户不承担连带责任。如因用户违反合同的使用行为而导致的其他版权问题，用户自行承担。</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七、分包六：中国近代文献全文数据库</w:t>
      </w:r>
      <w:r>
        <w:rPr>
          <w:rFonts w:hint="eastAsia" w:ascii="宋体" w:hAnsi="宋体" w:eastAsia="宋体" w:cs="宋体"/>
          <w:sz w:val="28"/>
          <w:szCs w:val="28"/>
        </w:rPr>
      </w:r>
      <w:r/>
    </w:p>
    <w:p>
      <w:pPr>
        <w:pStyle w:val="741"/>
        <w:ind w:firstLine="482"/>
        <w:jc w:val="left"/>
        <w:spacing w:line="360" w:lineRule="auto"/>
        <w:rPr>
          <w:rFonts w:hint="eastAsia" w:ascii="宋体" w:hAnsi="宋体" w:cs="宋体"/>
          <w:b/>
          <w:bCs/>
          <w:color w:val="000000"/>
          <w:sz w:val="24"/>
          <w:szCs w:val="24"/>
          <w:lang w:bidi="ar"/>
        </w:rPr>
        <w:outlineLvl w:val="2"/>
      </w:pPr>
      <w:r/>
      <w:bookmarkStart w:id="167" w:name="_Hlk96439860"/>
      <w:r>
        <w:rPr>
          <w:rFonts w:hint="eastAsia" w:ascii="宋体" w:hAnsi="宋体" w:cs="宋体"/>
          <w:b/>
          <w:bCs/>
          <w:color w:val="000000"/>
          <w:sz w:val="24"/>
          <w:szCs w:val="24"/>
          <w:lang w:bidi="ar"/>
        </w:rPr>
        <w:t xml:space="preserve">1、数据库收入内容</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bookmarkStart w:id="168" w:name="_Hlk193273013"/>
      <w:r>
        <w:rPr>
          <w:rFonts w:hint="eastAsia" w:ascii="宋体" w:hAnsi="宋体" w:cs="宋体"/>
          <w:color w:val="000000"/>
          <w:sz w:val="24"/>
          <w:szCs w:val="24"/>
          <w:lang w:bidi="ar"/>
        </w:rPr>
        <w:t xml:space="preserve">近代期刊不少于21000种，文献不少于900万篇；</w:t>
      </w:r>
      <w:bookmarkEnd w:id="168"/>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（2）近代报纸1000余种（需包含</w:t>
      </w:r>
      <w:bookmarkStart w:id="169" w:name="_Hlk193273052"/>
      <w:r>
        <w:rPr>
          <w:rFonts w:hint="eastAsia" w:ascii="宋体" w:hAnsi="宋体" w:cs="宋体"/>
          <w:color w:val="000000"/>
          <w:sz w:val="24"/>
          <w:szCs w:val="24"/>
          <w:lang w:bidi="ar"/>
        </w:rPr>
        <w:t xml:space="preserve">大公报、民国日报、益世报、中央日报、申报、字林洋行中英文报纸</w:t>
      </w:r>
      <w:bookmarkEnd w:id="169"/>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（3）近代图书120000余种。</w:t>
      </w:r>
      <w:r>
        <w:rPr>
          <w:rFonts w:hint="eastAsia" w:ascii="宋体" w:hAnsi="宋体" w:cs="宋体"/>
          <w:color w:val="000000"/>
          <w:sz w:val="24"/>
          <w:szCs w:val="24"/>
          <w:lang w:bidi="ar"/>
        </w:rPr>
      </w:r>
      <w:r/>
    </w:p>
    <w:p>
      <w:pPr>
        <w:pStyle w:val="741"/>
        <w:ind w:firstLine="482"/>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2、数据库收入数据年份：</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1833-1949。</w:t>
      </w:r>
      <w:r>
        <w:rPr>
          <w:rFonts w:hint="eastAsia" w:ascii="宋体" w:hAnsi="宋体" w:cs="宋体"/>
          <w:color w:val="000000"/>
          <w:sz w:val="24"/>
          <w:szCs w:val="24"/>
          <w:lang w:bidi="ar"/>
        </w:rPr>
      </w:r>
      <w:r/>
    </w:p>
    <w:p>
      <w:pPr>
        <w:pStyle w:val="741"/>
        <w:ind w:firstLine="482"/>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3、数据库学科范围：</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社会科学、政治、军事、哲学、宗教、法律、文化、科学、教育、体育、经济、历史、地理、文学、艺术、自然科学等。</w:t>
      </w:r>
      <w:r>
        <w:rPr>
          <w:rFonts w:hint="eastAsia" w:ascii="宋体" w:hAnsi="宋体" w:cs="宋体"/>
          <w:color w:val="000000"/>
          <w:sz w:val="24"/>
          <w:szCs w:val="24"/>
          <w:lang w:bidi="ar"/>
        </w:rPr>
      </w:r>
      <w:r/>
    </w:p>
    <w:p>
      <w:pPr>
        <w:pStyle w:val="741"/>
        <w:ind w:firstLine="482"/>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4、数据库文献形式：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电子期刊、报纸、图书，全文数据库。</w:t>
      </w:r>
      <w:r>
        <w:rPr>
          <w:rFonts w:hint="eastAsia" w:ascii="宋体" w:hAnsi="宋体" w:cs="宋体"/>
          <w:color w:val="000000"/>
          <w:sz w:val="24"/>
          <w:szCs w:val="24"/>
          <w:lang w:bidi="ar"/>
        </w:rPr>
      </w:r>
      <w:r/>
    </w:p>
    <w:p>
      <w:pPr>
        <w:pStyle w:val="741"/>
        <w:ind w:firstLine="482"/>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5、数据库平台功能：</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用便捷的检索服务平台，可从全字段、标题、作者、作者单位、刊名、分类号、年份及期号等途径对文献进行检索、浏览并下载全文。同时还可以使用期刊导航功能，直接浏览和下载期刊原文。数据库需要具备文献聚类功能、精确和模糊检索等功能，普通检索、高级检索、专业检索等功能，其中专业检索支持输入检索表达式检索。</w:t>
      </w:r>
      <w:r>
        <w:rPr>
          <w:rFonts w:hint="eastAsia" w:ascii="宋体" w:hAnsi="宋体" w:cs="宋体"/>
          <w:color w:val="000000"/>
          <w:sz w:val="24"/>
          <w:szCs w:val="24"/>
          <w:lang w:bidi="ar"/>
        </w:rPr>
      </w:r>
      <w:r/>
    </w:p>
    <w:p>
      <w:pPr>
        <w:pStyle w:val="741"/>
        <w:ind w:firstLine="482"/>
        <w:jc w:val="left"/>
        <w:spacing w:line="360" w:lineRule="auto"/>
        <w:rPr>
          <w:rFonts w:hint="eastAsia" w:ascii="宋体" w:hAnsi="宋体" w:cs="宋体"/>
          <w:b/>
          <w:bCs/>
          <w:color w:val="000000"/>
          <w:sz w:val="24"/>
          <w:szCs w:val="24"/>
          <w:lang w:bidi="ar"/>
        </w:rPr>
        <w:outlineLvl w:val="2"/>
      </w:pPr>
      <w:r/>
      <w:bookmarkEnd w:id="167"/>
      <w:r>
        <w:rPr>
          <w:rFonts w:hint="eastAsia" w:ascii="宋体" w:hAnsi="宋体" w:cs="宋体"/>
          <w:b/>
          <w:bCs/>
          <w:color w:val="000000"/>
          <w:sz w:val="24"/>
          <w:szCs w:val="24"/>
          <w:lang w:bidi="ar"/>
        </w:rPr>
        <w:t xml:space="preserve">6、数据库服务方式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（1）远程访问</w:t>
      </w:r>
      <w:bookmarkStart w:id="170" w:name="_Hlk193273078"/>
      <w:r>
        <w:rPr>
          <w:rFonts w:hint="eastAsia" w:ascii="宋体" w:hAnsi="宋体" w:cs="宋体"/>
          <w:color w:val="000000"/>
          <w:sz w:val="24"/>
          <w:szCs w:val="24"/>
          <w:lang w:bidi="ar"/>
        </w:rPr>
        <w:t xml:space="preserve">一年</w:t>
      </w:r>
      <w:bookmarkEnd w:id="170"/>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（2）镜像服务：提供民国期刊不低于500种。</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八、分包七：国外硕博论文全文数据库</w:t>
      </w:r>
      <w:r>
        <w:rPr>
          <w:rFonts w:hint="eastAsia" w:ascii="宋体" w:hAnsi="宋体" w:eastAsia="宋体" w:cs="宋体"/>
          <w:sz w:val="28"/>
          <w:szCs w:val="28"/>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1、数据库资源参数</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（1）可以査询全球大学（欧美为主）优秀博硕士学位论文全文数据库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收录包括哈佛大学、麻省理工学院、剑桥大学、斯坦福大学、香港科技大学等 4000多家一流学府的优秀博硕士论文全文约110余万篇，摘要索引约304余万篇。</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（2）强大的高级检索功能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用户可以按标题、摘要、学科、作者等条件进行检索。</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（3）论文更新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每年新收录论文6万篇左右，确保用户检索到最新信息。</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（4）全文、文摘、荐购一站式服务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读者在阅读全文文摘的基础上，可通过平台向图书馆荐购全文。</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（5）长期保存</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学位论文全文库提供中国本土长期保存。长期保存模式为国家保存，数据库存档方式为裸数据和检索系统，可提供PDF格式存档。DRAA拥有集团订购数据的存档权。</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（6）永久使用权</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无论后续加入或提前退出，均能得到自己所订购相应篇数的PDF论文全文的永久使用权和存档权（用户可以在国外学位论文中国集团全文检索平台下载自己挑选的论文PDF并保存）。停止订购后，对拥有永久使用权的内容，可以继续通过原平台访问，不收取平台费和/或服务费。</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2、数据库使用方式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（1）免费开通近3年的数据的访问权（无永久访问权限）。</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（2）使用时限：一年远程访问权。</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九、分包八：国外艺术、设计与建筑学学科数据库</w:t>
      </w:r>
      <w:r>
        <w:rPr>
          <w:rFonts w:hint="eastAsia" w:ascii="宋体" w:hAnsi="宋体" w:eastAsia="宋体" w:cs="宋体"/>
          <w:sz w:val="28"/>
          <w:szCs w:val="28"/>
        </w:rPr>
      </w:r>
      <w:r/>
    </w:p>
    <w:p>
      <w:pPr>
        <w:pStyle w:val="741"/>
        <w:jc w:val="left"/>
        <w:spacing w:line="360" w:lineRule="auto"/>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1、数据库内容</w:t>
      </w:r>
      <w:r>
        <w:rPr>
          <w:rFonts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bookmarkStart w:id="171" w:name="_Toc160055425"/>
      <w:r>
        <w:rPr>
          <w:rFonts w:hint="eastAsia" w:ascii="宋体" w:hAnsi="宋体" w:cs="宋体"/>
          <w:color w:val="000000"/>
          <w:sz w:val="24"/>
          <w:szCs w:val="24"/>
          <w:lang w:bidi="ar"/>
        </w:rPr>
        <w:t xml:space="preserve">艺术、设计与建筑学学科数据库</w:t>
      </w:r>
      <w:bookmarkEnd w:id="171"/>
      <w:r>
        <w:rPr>
          <w:rFonts w:hint="eastAsia" w:ascii="宋体" w:hAnsi="宋体" w:cs="宋体"/>
          <w:color w:val="000000"/>
          <w:sz w:val="24"/>
          <w:szCs w:val="24"/>
          <w:lang w:bidi="ar"/>
        </w:rPr>
        <w:t xml:space="preserve">需包含现代艺术书目数据库（ABM :ARTbibliographies Modern）、艺术与人文期刊全文数据库（Arts &amp; Humanities Database）、</w:t>
      </w:r>
      <w:r>
        <w:rPr>
          <w:rFonts w:hint="eastAsia" w:ascii="宋体" w:hAnsi="宋体" w:cs="宋体"/>
          <w:color w:val="000000"/>
          <w:sz w:val="24"/>
          <w:szCs w:val="24"/>
          <w:lang w:bidi="ar"/>
        </w:rPr>
        <w:t xml:space="preserve"> 设计与应用艺术索引数据库（DAAI: Design &amp; Applied Arts Index）与国际艺术书目数据库（IBA: International Bibliography of Art ）等数据库的内容，收录1914年至今全球出版的1200多种出版物，资源类型包括学术期刊、行业杂志、图书、报纸、学位论文、会议论文与报告等，涵盖艺术史、建筑与建筑史、工艺美术、陶瓷艺术、玻璃艺术、珠宝首饰艺术、装饰艺术、古董、时尚、纺织品、服饰、家具与室内设计、工业设计、现当代艺术、博物馆与文物保护与摄影等主题领域。</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2、资源内容与数量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bookmarkStart w:id="172" w:name="OLE_LINK2"/>
      <w:r/>
      <w:bookmarkStart w:id="173" w:name="OLE_LINK1"/>
      <w:r>
        <w:rPr>
          <w:rFonts w:hint="eastAsia" w:ascii="宋体" w:hAnsi="宋体" w:cs="宋体"/>
          <w:color w:val="000000"/>
          <w:sz w:val="24"/>
          <w:szCs w:val="24"/>
          <w:lang w:bidi="ar"/>
        </w:rPr>
        <w:t xml:space="preserve">（1）收录出版物种数</w:t>
      </w:r>
      <w:r>
        <w:rPr>
          <w:rFonts w:hint="eastAsia" w:ascii="宋体" w:hAnsi="宋体" w:cs="宋体"/>
          <w:color w:val="000000"/>
          <w:sz w:val="24"/>
          <w:szCs w:val="24"/>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49"/>
        <w:gridCol w:w="2086"/>
        <w:gridCol w:w="2044"/>
        <w:gridCol w:w="1937"/>
      </w:tblGrid>
      <w:tr>
        <w:trPr>
          <w:trHeight w:val="264"/>
        </w:trPr>
        <w:tc>
          <w:tcPr>
            <w:tcW w:w="1844" w:type="dxa"/>
            <w:vAlign w:val="top"/>
            <w:textDirection w:val="lrTb"/>
            <w:noWrap/>
          </w:tcPr>
          <w:p>
            <w:pPr>
              <w:pStyle w:val="741"/>
              <w:jc w:val="center"/>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Art, Design &amp; Architecture Collection</w:t>
            </w:r>
            <w:r>
              <w:rPr>
                <w:rFonts w:hint="eastAsia" w:ascii="宋体" w:hAnsi="宋体" w:cs="宋体"/>
                <w:color w:val="000000"/>
                <w:sz w:val="24"/>
                <w:szCs w:val="24"/>
                <w:lang w:bidi="ar"/>
              </w:rPr>
            </w:r>
            <w:r/>
          </w:p>
        </w:tc>
        <w:tc>
          <w:tcPr>
            <w:tcW w:w="1084" w:type="dxa"/>
            <w:vAlign w:val="top"/>
            <w:textDirection w:val="lrTb"/>
            <w:noWrap/>
          </w:tcPr>
          <w:p>
            <w:pPr>
              <w:pStyle w:val="741"/>
              <w:jc w:val="center"/>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全部出版物数量</w:t>
            </w:r>
            <w:r>
              <w:rPr>
                <w:rFonts w:hint="eastAsia" w:ascii="宋体" w:hAnsi="宋体" w:cs="宋体"/>
                <w:color w:val="000000"/>
                <w:sz w:val="24"/>
                <w:szCs w:val="24"/>
                <w:lang w:bidi="ar"/>
              </w:rPr>
            </w:r>
            <w:r/>
          </w:p>
        </w:tc>
        <w:tc>
          <w:tcPr>
            <w:tcW w:w="1063" w:type="dxa"/>
            <w:vAlign w:val="top"/>
            <w:textDirection w:val="lrTb"/>
            <w:noWrap/>
          </w:tcPr>
          <w:p>
            <w:pPr>
              <w:pStyle w:val="741"/>
              <w:jc w:val="center"/>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全文出版物数量</w:t>
            </w:r>
            <w:r>
              <w:rPr>
                <w:rFonts w:hint="eastAsia" w:ascii="宋体" w:hAnsi="宋体" w:cs="宋体"/>
                <w:color w:val="000000"/>
                <w:sz w:val="24"/>
                <w:szCs w:val="24"/>
                <w:lang w:bidi="ar"/>
              </w:rPr>
            </w:r>
            <w:r/>
          </w:p>
        </w:tc>
        <w:tc>
          <w:tcPr>
            <w:tcW w:w="1007" w:type="dxa"/>
            <w:vAlign w:val="top"/>
            <w:textDirection w:val="lrTb"/>
            <w:noWrap/>
          </w:tcPr>
          <w:p>
            <w:pPr>
              <w:pStyle w:val="741"/>
              <w:jc w:val="center"/>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全文现刊数量</w:t>
            </w:r>
            <w:r>
              <w:rPr>
                <w:rFonts w:hint="eastAsia" w:ascii="宋体" w:hAnsi="宋体" w:cs="宋体"/>
                <w:color w:val="000000"/>
                <w:sz w:val="24"/>
                <w:szCs w:val="24"/>
                <w:lang w:bidi="ar"/>
              </w:rPr>
            </w:r>
            <w:r/>
          </w:p>
        </w:tc>
      </w:tr>
      <w:tr>
        <w:trPr>
          <w:trHeight w:val="264"/>
        </w:trPr>
        <w:tc>
          <w:tcPr>
            <w:tcW w:w="1844" w:type="dxa"/>
            <w:vAlign w:val="top"/>
            <w:textDirection w:val="lrTb"/>
            <w:noWrap/>
          </w:tcPr>
          <w:p>
            <w:pPr>
              <w:pStyle w:val="741"/>
              <w:jc w:val="center"/>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截至2026年</w:t>
            </w: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月</w:t>
            </w:r>
            <w:r>
              <w:rPr>
                <w:rFonts w:hint="eastAsia" w:ascii="宋体" w:hAnsi="宋体" w:cs="宋体"/>
                <w:color w:val="000000"/>
                <w:sz w:val="24"/>
                <w:szCs w:val="24"/>
                <w:lang w:bidi="ar"/>
              </w:rPr>
            </w:r>
            <w:r/>
          </w:p>
        </w:tc>
        <w:tc>
          <w:tcPr>
            <w:tcW w:w="1084" w:type="dxa"/>
            <w:vAlign w:val="top"/>
            <w:textDirection w:val="lrTb"/>
            <w:noWrap/>
          </w:tcPr>
          <w:p>
            <w:pPr>
              <w:pStyle w:val="741"/>
              <w:jc w:val="center"/>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不低于12</w:t>
            </w:r>
            <w:r>
              <w:rPr>
                <w:rFonts w:ascii="宋体" w:hAnsi="宋体" w:cs="宋体"/>
                <w:color w:val="000000"/>
                <w:sz w:val="24"/>
                <w:szCs w:val="24"/>
                <w:lang w:bidi="ar"/>
              </w:rPr>
              <w:t xml:space="preserve">00</w:t>
            </w:r>
            <w:r>
              <w:rPr>
                <w:rFonts w:hint="eastAsia" w:ascii="宋体" w:hAnsi="宋体" w:cs="宋体"/>
                <w:color w:val="000000"/>
                <w:sz w:val="24"/>
                <w:szCs w:val="24"/>
                <w:lang w:bidi="ar"/>
              </w:rPr>
              <w:t xml:space="preserve">种</w:t>
            </w:r>
            <w:r>
              <w:rPr>
                <w:rFonts w:hint="eastAsia" w:ascii="宋体" w:hAnsi="宋体" w:cs="宋体"/>
                <w:color w:val="000000"/>
                <w:sz w:val="24"/>
                <w:szCs w:val="24"/>
                <w:lang w:bidi="ar"/>
              </w:rPr>
            </w:r>
            <w:r/>
          </w:p>
        </w:tc>
        <w:tc>
          <w:tcPr>
            <w:tcW w:w="1063" w:type="dxa"/>
            <w:vAlign w:val="top"/>
            <w:textDirection w:val="lrTb"/>
            <w:noWrap/>
          </w:tcPr>
          <w:p>
            <w:pPr>
              <w:pStyle w:val="741"/>
              <w:jc w:val="center"/>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不低于7</w:t>
            </w:r>
            <w:r>
              <w:rPr>
                <w:rFonts w:ascii="宋体" w:hAnsi="宋体" w:cs="宋体"/>
                <w:color w:val="000000"/>
                <w:sz w:val="24"/>
                <w:szCs w:val="24"/>
                <w:lang w:bidi="ar"/>
              </w:rPr>
              <w:t xml:space="preserve">00</w:t>
            </w:r>
            <w:r>
              <w:rPr>
                <w:rFonts w:hint="eastAsia" w:ascii="宋体" w:hAnsi="宋体" w:cs="宋体"/>
                <w:color w:val="000000"/>
                <w:sz w:val="24"/>
                <w:szCs w:val="24"/>
                <w:lang w:bidi="ar"/>
              </w:rPr>
              <w:t xml:space="preserve">种</w:t>
            </w:r>
            <w:r>
              <w:rPr>
                <w:rFonts w:hint="eastAsia" w:ascii="宋体" w:hAnsi="宋体" w:cs="宋体"/>
                <w:color w:val="000000"/>
                <w:sz w:val="24"/>
                <w:szCs w:val="24"/>
                <w:lang w:bidi="ar"/>
              </w:rPr>
            </w:r>
            <w:r/>
          </w:p>
        </w:tc>
        <w:tc>
          <w:tcPr>
            <w:tcW w:w="1007" w:type="dxa"/>
            <w:vAlign w:val="top"/>
            <w:textDirection w:val="lrTb"/>
            <w:noWrap/>
          </w:tcPr>
          <w:p>
            <w:pPr>
              <w:pStyle w:val="741"/>
              <w:jc w:val="center"/>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不低于39</w:t>
            </w:r>
            <w:r>
              <w:rPr>
                <w:rFonts w:ascii="宋体" w:hAnsi="宋体" w:cs="宋体"/>
                <w:color w:val="000000"/>
                <w:sz w:val="24"/>
                <w:szCs w:val="24"/>
                <w:lang w:bidi="ar"/>
              </w:rPr>
              <w:t xml:space="preserve">0</w:t>
            </w:r>
            <w:r>
              <w:rPr>
                <w:rFonts w:hint="eastAsia" w:ascii="宋体" w:hAnsi="宋体" w:cs="宋体"/>
                <w:color w:val="000000"/>
                <w:sz w:val="24"/>
                <w:szCs w:val="24"/>
                <w:lang w:bidi="ar"/>
              </w:rPr>
              <w:t xml:space="preserve">种</w:t>
            </w:r>
            <w:r>
              <w:rPr>
                <w:rFonts w:hint="eastAsia" w:ascii="宋体" w:hAnsi="宋体" w:cs="宋体"/>
                <w:color w:val="000000"/>
                <w:sz w:val="24"/>
                <w:szCs w:val="24"/>
                <w:lang w:bidi="ar"/>
              </w:rPr>
            </w:r>
            <w:r/>
          </w:p>
        </w:tc>
      </w:tr>
    </w:tbl>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（2）文种：英语为主，包含多个语种。</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（3）更新频率：周更新。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（4）数据年限：1914年-至今。</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（5）数据库所属学科：艺术史、建筑与建筑史、工艺美术等。</w:t>
      </w:r>
      <w:bookmarkEnd w:id="172"/>
      <w:r/>
      <w:bookmarkEnd w:id="173"/>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3、资源检索系统与功能</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bookmarkStart w:id="174" w:name="_Hlk119504563"/>
      <w:r>
        <w:rPr>
          <w:rFonts w:hint="eastAsia" w:ascii="宋体" w:hAnsi="宋体" w:cs="宋体"/>
          <w:color w:val="000000"/>
          <w:sz w:val="24"/>
          <w:szCs w:val="24"/>
          <w:lang w:bidi="ar"/>
        </w:rPr>
        <w:t xml:space="preserve">（1）提供基本检索。</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（2）高级检索：提供在线ProQuest主题词、可按篇名、作者、主题、文摘、全文、出版物名称、语言等字段进行检索，并可实现多字段组合检索以精确定位读者需要的内容。</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（3）按出版物进行检索浏览，查看出版物每期内容。</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（4）直接在线下载保存文章全文。</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（5）支持Widget，可方便地生成Widget检索框，嵌入到任何网页中。</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（6）该数据库可通过网页直接浏览检索结果，也可将检索结果直接下载，通过电子邮件、打印、保存为PDF/Excel等方式进行输出；同时，检索结果也可以导出到RefWorks、EndNote等文献管理工具。</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（7）可在一个平台上检索其订购的ProQuest多个数据库，同时Open URL支持对检索结果的链接。除此之外，ProQuest平台提供中文的检索界面，支持RSS Feeds功能，并可定制系统提示功能（Alert）。</w:t>
      </w:r>
      <w:bookmarkEnd w:id="174"/>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4、访问方式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（1）一年远程访问，IP控制访问，无并发用户限制。</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（2）支持VPN访问。</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（3）提供免费CARSI访问方式。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（4）提供CERNET专线访问。</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5、售后服务</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（1）用户培训：可提供丰富的在线使用课程及培训材料，方便用户通过学习视频、在线讲座等多种方式掌握数据库的利用技巧。</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（2）提供优质的用户服务，并及时解决访问故障。</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（3）可随时通过管理平台自行下载包括符合COUNTER 标准的各种形式的使用统计数据。</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十、分包九：古籍数据库</w:t>
      </w:r>
      <w:r>
        <w:rPr>
          <w:rFonts w:hint="eastAsia" w:ascii="宋体" w:hAnsi="宋体" w:eastAsia="宋体" w:cs="宋体"/>
          <w:sz w:val="28"/>
          <w:szCs w:val="28"/>
        </w:rPr>
      </w:r>
      <w:r/>
    </w:p>
    <w:p>
      <w:pPr>
        <w:pStyle w:val="741"/>
        <w:ind w:left="482" w:hanging="482"/>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1、产品参数</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（1）收录范围涉及广</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广泛收录中国大陆及港澳台地区公共机构、私人藏家、研究机构及博物馆所藏历代古籍资源，特色古籍采录海外所藏中国古籍。</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（2）收录时间跨度长</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收录从先秦至民国撰写并经写抄、刻印、排印、影印的历朝历代汉文古籍。</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（3）收录版本涵盖全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版本包含稿抄本、刻本、石印本、铅印本、活字本等。在版本选择时，尤以同类版本中保存良好的为先，要求书籍品相好，避免虫蛀、漫漶情况。</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（4）收录分类设置专</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分类清晰明了，著录规则分类标准沿用四部分类法，经、史、子、集部外增设丛书部。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（5）收录内容数量大</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收录古籍文献超二万种、四十万卷。</w:t>
      </w:r>
      <w:r>
        <w:rPr>
          <w:rFonts w:hint="eastAsia" w:ascii="宋体" w:hAnsi="宋体" w:cs="宋体"/>
          <w:color w:val="000000"/>
          <w:sz w:val="24"/>
          <w:szCs w:val="24"/>
          <w:lang w:bidi="ar"/>
        </w:rPr>
      </w:r>
      <w:r/>
    </w:p>
    <w:p>
      <w:pPr>
        <w:pStyle w:val="741"/>
        <w:ind w:left="482" w:hanging="482"/>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2、技术参数</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（1）全文检索功能。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数据库应实现所有古籍图书均做到书中字字可检。同时设置快速检索、高级检索、书内搜索等功能，可按照部、类、属、书名、著者、出版年代、卷数、版本等多种检索方式。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（2）图文对照功能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可以实现原图显示、文本显示、图文并排显示等不同显示方法，同时实现古籍原版图像和现代文字的逐字逐行对照。</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（3）IE直接阅读</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使用IE直接浏览，绿色阅读，方便快捷。</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（4）个性功能丰富</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 支持文字编辑、复制、粘贴，有助于将古籍文献用于学术研究；支持书签功能，便于下次阅读；支持读书笔记，随时记录阅读感受。</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（5）高速检索引擎。</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采用超速文本检索引擎并配合分布式服务器集群，亿级文字检索只需1秒。可实现即翻即看，无等待翻頁。系统配合UNICODE编码和大字符集，能显示7万多汉字。</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（6）保持原文原貌。</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以高分辨率整版扫描方式，保持真实原貌。文献典籍的图像数据不做任何删减，保留书上的题跋、批校、印章等，原样呈现图书信息。</w:t>
      </w:r>
      <w:r>
        <w:rPr>
          <w:rFonts w:hint="eastAsia" w:ascii="宋体" w:hAnsi="宋体" w:cs="宋体"/>
          <w:color w:val="000000"/>
          <w:sz w:val="24"/>
          <w:szCs w:val="24"/>
          <w:lang w:bidi="ar"/>
        </w:rPr>
      </w:r>
      <w:r/>
    </w:p>
    <w:p>
      <w:pPr>
        <w:pStyle w:val="741"/>
        <w:ind w:left="482" w:hanging="482"/>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3、服务方式</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数据库服务方式：远程包库使用一年，赠送镜像安装不低于3500种。</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4、售后服务</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（1）免费安装、调试。</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（2）免费向学校图书馆技术老师提供技术维护培训以及所需的维护说明书及相关资料。</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（3）技术支持服务：包库使用故障1小时内响应，1个工作日内解决。</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（4）系统维护服务每月通过远程对产品运行状况进行一次全面监测，对系统运行管理状况提供管理建议。</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（5）每月电话回访一次用户。</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（6）不定期进行区域性或全国范围线上线下设计比赛等活动。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（7）用户在正常使用范围内所产生的版权问题，一律由中标供应商负责，用户和学校不承担连带责任。</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十一、分包十：馆配电子图书</w:t>
      </w:r>
      <w:r>
        <w:rPr>
          <w:rFonts w:hint="eastAsia" w:ascii="宋体" w:hAnsi="宋体" w:eastAsia="宋体" w:cs="宋体"/>
          <w:sz w:val="28"/>
          <w:szCs w:val="28"/>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1、电子图书资源参数</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（1）所有电子书均为出版方发行的正版电子出版物，均有合法授权；</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可提供不少于300家出版商的版权授权书，包括人民邮电出版社、化学工业出版社、电子工业出版社、机械工业出版社、北京大学出版社、中国人民大学出版社、清华大学出版社、中华书局、社会科学文献出版社、江苏译林出版社等重点出版商；</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（3）可提供不少于60万种的电子图书供图书馆采选；</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编目数据：可提供符合国图标准和CALIS标准的电子图书的CNMARC数据，支持编目入藏，可导入图书馆自动化管理系统，纳入馆藏统计册数，并做图书馆资产管理；供应商需提供《国家图书馆联合编目中心下载协议》；提供不少于4人的编目员证书及发行员证书（复印件）；</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（5）图书馆采购的电子书可以整合到OPAC系统上实现统一检索和揭示；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（6）提供纸电一体化采选平台，平台提供不少于140万种可供纸书书目数据，并和电子书数据整合，实现纸电一体化业务（提供网址链接、账号、密码）。</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（7）电子书保持纸书原有的版式和原貌，高保真显示；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（8）电子书的文件格式为：EBK\CXBP、CXBF，电子书原文件均为出版社提供的标准排版格式文件转换的矢量格式文件，非扫描PDF文件；</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（9）图书馆采购的电子书可以镜像到本地，在内部局域网内使用，并供认证持卡读者远程访问使用；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（10）图书馆采购的电子书镜像到本地后，可作为馆藏永久保存、陈列，服务于本馆认证读者，电子书平台永久免费升级维护，保证所购电子图书正常使用</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2、馆配电子图书平台参数</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（1）门户定制</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为图书馆定制专属电子书门户，支持门户个性化设置，支持按学科/中图法/院系专业的分类导航，支持图书馆资源专题定制；</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（2）使用终端</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支持PC Web、PC客户端、Android、IOS及H5、触摸屏电子书借阅设备等多终端设备的使用，电子书无需安装APP即可微信阅读，并可嵌入图书馆微信公众号，并绑定读者卡号实现免登录使用；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（3）检索方式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常规检索（书名、作者、出版单位、ISBN、分类等检索条件）、高级检索（书名、作者、出版单位、ISBN、分类、出版时间、读者对象等条件的组合查询以及精准和模糊检索）、全文检索、目次检索和聚合检索；检索内容支持简繁体通检；</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（4）知识发现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通过人工智能手段，提取知识元帮助读者深度发现知识和图书，实现沉浸式阅读。读者通过关键词检索，可查看所有相关知识片段与图书；当查看其中某条知识时，推荐与本条知识相关的图书。</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（5）访问方式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平台采用 B/S 结构，页面支持 Web2.0、AJAX 等技术开发，不需要另行安装插件就可以直接体验阅读，支持 IE9+、Safari、Firefox、Chrome 等主流浏览器。支持包括授权IP范围内、或授权IP范围外认证读者账号的组合控制使用；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可提供多种认证方式：支持微信扫描二维码认证，支持与CARSI平台用户实现无缝对接；</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支持与图书馆管理平台的单点登录对接；</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（6）读者荐购</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平台支持读者荐购，图书馆可查看每本书的荐购人信息，荐购理由，支持荐购短信提醒，当用户荐购的图书被图书馆采购或者拒绝后，系统自动发送短信通知用户；</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（7）读者PDA</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根据图书馆读者需求进行采购的PDA模式，读者每阅读一本书即视为已采购。图书馆可对PDA设置相应参数：PDA采购总量、图书出版时间、读者对象、出版社、中图法与学科分类法类别（三级分类）、单个读者采购总金额/种数/单本金额上限以及角色等参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（8）电子书阅读</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子书阅读支持上下翻页/左右翻页/仿真翻页、目录页跳转、进度跳转、书签、笔记、划线、文字复制、字号设置、背景色设置、页面亮度设置、语音朗读/男女声朗读/定时朗读、自动阅读等设置，支持评论、分享、收藏，支持版式图书横屏阅读、图片复制等；</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支持阅读电子报纸；</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（9）书架管理</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电子书书架可以对图书分类管理，允许用户添加、删除、阅读图书，并对书架图书进行排序，还支持导入本地图书；</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（10）听书服务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 提供部分电子书的听书服务，平台的流式书支持听书功能；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（11）个性化阅读</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系统可根据个人阅读偏好以及阅读大数据分析进行图书智能推荐；</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读者可查看个人阅读报告含：阅读时长、已读图书、读完图书、笔记书评、荐购或者PDA数据，还可查看音频及视频类的观看历史等；</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（12）社交互动功能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提供读者互动交流圈功能；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（13）积分管理系统</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提供读者签到、每日积分任务获取积分，用户积分可以在积分商城兑换商品或者参与抽奖，读者阅读积分可参与积分排行；</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（14）数据统计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平台对读者阅读数据进行整体管理，可按图书馆需求提供数据统计报告；</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支持提供COUNTER5标准数据统计接口，根据SUSHI协议自动收割数据，按月度，年度，输出资源的统计报告；</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（15）数据接口</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平台对外提供标准Web API数据接口，可以整合到第三方阅读平台查询和使用；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（16）后台管理</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提供管理后台，可在线订购电子书，维护图书馆首页进行门户定制、专题维护、可查看订单数据统计购买资源、可查看用户使用数据如：阅读数据、下载数据、荐购数据、PDA数据、终端使用数据等；</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（17）纸电一体化服务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超过140万条可供纸书数据，实现纸电一体化业务。老师可在采购电子书时，同步采购其纸本图书，反之，在采购纸书时，可配送电子书，为读者提供纸书和电子书的一体化荐购服务。电子书支持编目入藏，可导入图书馆自动化管理系统，纳入馆藏统计册数，并做图书馆资产管理，在opac系统和发现系统中实现统一检索、揭示和阅读。</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（18）馆藏查重</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支持馆藏查重，读者在阅读电子书时可看到该书在本馆的馆藏情况，老师在采购电子书时，也可以与馆藏实时查重，了解该书在图书馆的馆藏复本量、流通次数等馆藏情况，以便科学决策采购。</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（19）词典功能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词典查询功能，读者在阅读页通过词典功能进行查找相关的字词，词语释义、百科条目、英文翻译等，词典收录了《辞海》（第七版）《汉语大词典》《大辞海》《英汉大词典》《中药大辞典》等近百种优质工具书、超320万词条，提高了阅读的便捷性。</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（20）想法功能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支持添加“写想法”功能，可以随时记录所思所想；想法内容支持公开或是仅自己可见，公开内容还可以进行点赞和评论。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（21）AI智能阅读</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支持AI摘要、AI大纲、思维导图、词云功能，通过语言处理和机器算法，能够快速分析文章内容并识别关键信息，生成简洁的摘要、大纲、导图和词云，减少人工阅读和理解文章内容的时间，提高了阅读效率‌。</w:t>
      </w:r>
      <w:r>
        <w:rPr>
          <w:rFonts w:hint="eastAsia" w:ascii="宋体" w:hAnsi="宋体" w:cs="宋体"/>
          <w:color w:val="000000"/>
          <w:sz w:val="24"/>
          <w:szCs w:val="24"/>
          <w:lang w:bidi="ar"/>
        </w:rPr>
      </w:r>
      <w:r/>
    </w:p>
    <w:p>
      <w:pPr>
        <w:pStyle w:val="743"/>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十二、分包十一：馆配文献数字化加工</w:t>
      </w:r>
      <w:r>
        <w:rPr>
          <w:rFonts w:hint="eastAsia" w:ascii="宋体" w:hAnsi="宋体" w:eastAsia="宋体" w:cs="宋体"/>
          <w:sz w:val="28"/>
          <w:szCs w:val="28"/>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1、馆藏文献数字化加工建设要求</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（1）平台基础要求：</w:t>
      </w:r>
      <w:r>
        <w:rPr>
          <w:rFonts w:hint="eastAsia"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ascii="宋体" w:hAnsi="宋体" w:cs="宋体"/>
          <w:color w:val="000000"/>
          <w:sz w:val="24"/>
          <w:szCs w:val="24"/>
          <w:lang w:bidi="ar"/>
        </w:rPr>
        <w:t xml:space="preserve">对接</w:t>
      </w:r>
      <w:r>
        <w:rPr>
          <w:rFonts w:hint="eastAsia" w:ascii="宋体" w:hAnsi="宋体" w:cs="宋体"/>
          <w:color w:val="000000"/>
          <w:sz w:val="24"/>
          <w:szCs w:val="24"/>
          <w:lang w:bidi="ar"/>
        </w:rPr>
        <w:t xml:space="preserve">学校图书馆</w:t>
      </w:r>
      <w:r>
        <w:rPr>
          <w:rFonts w:ascii="宋体" w:hAnsi="宋体" w:cs="宋体"/>
          <w:color w:val="000000"/>
          <w:sz w:val="24"/>
          <w:szCs w:val="24"/>
          <w:lang w:bidi="ar"/>
        </w:rPr>
        <w:t xml:space="preserve">已经建设的馆藏数字资源服务平台，可以在原有平台上使用此次建设的馆藏数字资源</w:t>
      </w:r>
      <w:r>
        <w:rPr>
          <w:rFonts w:hint="eastAsia" w:ascii="宋体" w:hAnsi="宋体" w:cs="宋体"/>
          <w:color w:val="000000"/>
          <w:sz w:val="24"/>
          <w:szCs w:val="24"/>
          <w:lang w:bidi="ar"/>
        </w:rPr>
        <w:t xml:space="preserve">。自行承担对接原有平台产生的费用。</w:t>
      </w:r>
      <w:r>
        <w:rPr>
          <w:rFonts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（2）扫描设备要求：</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①扫描设备：扫描设备选择零边距无紫外线的同步冷光源，避免纸张褶皱、撕裂、破损等情况的发生。扫描图像无缺页、多页、压页现象。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②数码拍照设备：数码拍照相机的有效像素不低于3000万像素。建议选择有效像素5000万像素以上的数码设备。</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（3）数据图像扫描基本要求：</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①符合国家标准《纸质档案数字化技术规范》。确保在扫描过程中不对文献原件造成二次损伤。保证文献扫描图像与原件一致、整洁、清晰。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图像文件放大到1:1状态，逐页检查。检查文件是否有透光、透字、有彩点、彩线、太淡、太浓、黑边、污点、歪斜、模糊（马赛克等）或图像内容不完整等现象，不符合图像质量要求应进行图像校正或重新扫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③发现文件漏扫时，应及时补扫并正确插入图像。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④检查是否符合扫描规格要求和技术参数。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⑤所有文件保存位置正确，可以有效打开和显示。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⑥检查图像页码是否连续，不得跳页。</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⑦文献以册／件为单位检查标引（描述和管理）数据是否完整、准确。</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⑧按照命名规则，检查目录、文件、数据库、文档、介质等名称是否正确。</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⑨检查各类说明、统计、验收等文档是否齐全。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（4）元数据著录标准</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①依据CNmarc规范，元数据内容包含题名、责任者、出版单位、日期、ISBN（ISSN）号、中图分类号、页数、定价、版次、开本、主题词（关键词）等要素。要求元数据信息与扫描数据信息正确对应，无错乱现象。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②针对全部文献进行编号和编目数据形成excel文件后，以利于今后进一步深度加工与利用，要求抽检错误率不高于千分之三。</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5、数据图像采集要求：</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扫描数据采用300DPI标准PNG格式。要求对文献资源进行不拆装扫描，遵循尽可能保持文献原貌的原则。扫描图像要求完整、整洁、无歪斜、无黑边、浏览及打印清晰。根据文献情况，采用最为可靠的扫描设备和扫描方式完成文献扫描，避免纸张褶皱、撕裂、破损等情况的发生。扫描图像无缺页、多页、压页现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②扫描避免透光，要求扫描图像清晰，不透字、完整、整洁、无歪斜、无黑边、浏览及打印清晰，遵循尽可能保持文献原貌的原则。</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扫描必须按文献装订的实际顺序进行，不允许重页、缺页，错页、折页等情况发生（原书缺页、错页除外）。补扫缺页图像要与同册图像文件的大小一致，颜色接近。按1：1比例扫描，页面外围要求留白，宽度不超过1-2厘米；书页间距不超过0.1厘米。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④根据文献情况，采用最为可靠的扫描设备和扫描方式完成文献扫描，避免纸张褶皱、撕裂、破损等情况的发生。</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⑤以原书的上边沿为基准，以中缝为中心线，保持原文献的天头、地脚的尺寸不变，左右两边的尺寸基本不变。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⑥原件表面有其他粘贴物件时，先将原件与粘贴物（即粘贴物覆盖于文献）一起扫描，然后将粘贴物掀开（不允许拆装），再次扫描原件。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⑦原件透背页字迹，有虫蛀、漏洞时，需垫上古籍适用的衬纸后扫描。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⑧分画幅扫描时，各扫描区域边缘必须有3厘米（含）以上的重复扫描区</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⑨数字文件用photoshop软件检查，图像不失真（图像放大至实际尺寸100%)检查清晰度。</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⑩数字文件与原件不一致，须先进行色彩校正，再进行重新扫描工作。</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（6）图像处理要求：</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①纠偏处理。对出现偏斜的图像进行纠偏处理，对方向不正确的图像进行旋转还原，以符合阅读习惯。</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②图像拼接。对大幅面文献进行分区扫描形成的多幅图像，合并为一个完整的图像，以保证数字文件的整体性。</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③图像剪裁。图像外的边缘裁至0.5至0.75厘米。</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④不能进行锐化或者图像增强处理，不能更改图像的颜色，尽量减少对图像文件的后期处理。</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⑤可按照图书馆要求对指定部分页面添加防泄漏馆藏章水印。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⑥数据图像命名规则：数据扫描时命名的优先顺序分别为：正文—→目录—→版权—→封面—→书名—→前言。比如目录页占正文页码时应该扫为正文，目录和版权在同一页时扫为目录页。封面页、目录页、书名页、前言页、版权页、正文页、正文中的插页、附录页等扫描文件命名科学，投标书中提供详细的命名规则。</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⑦前言、序、题词、出版说明、正文前的彩图等均扫为前言页，后记和跋扫在正文后面。辅助页中不能有空白页存在，正文后的附录、附表、附图、图版均扫为附录。总目、总书目、图版目录、词典的索引、检字表等其它目录也扫在目录里。正文前的索引扫为目录，正文后的索引扫为正文。上册目录已包括下册目录，但下册页号又从一开始，如果下册没有目录的，把上册目录中有关下册内容的部分拷贝一份到下册目录中。上、中、下册的书，页号连续，每册的书名页都需扫描。书名的内容占两页时需要拼图。</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⑧命名规则：</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封面页：文件名—cov001.png开始。</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目录页：文件名—!00001.png开始。</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书名页：文件名—bok001.png开始。</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前言页：文件名—fow001.png开始。</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版权页：文件名—leg001.png开始。</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正文页：文件名—000001.png开始。</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正文中的插页：文件名*01.png开始。如21页与22页之间的插页，则命名为00002101.png（共8位数字，前6位代表当前页，后2位代表当前页的第几页插页）。第1页前面的插页文件名为00000001.png。同一页数据后面的插页超过100页的插页都扫为前言页。</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附录页：文件名—att001.png开始。</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（7）数据提交要求：</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①提交方式：数字化加工数据以移动硬盘形式提交给图书馆。为了防止文献信息数据泄露，双方须签订相关数字化服务合同或者协议。</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交接手续：数据制作公司填写《数字资源提交单》，与数据和存储介质一并提交图书馆。图书馆对接收数据进行初步的审核，核查数据类型和数量以及交接单内容，确认无误后签字接收。《数字资源提交单》一式两份，图书馆与数据制作公司双方各执一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（8）验收要求：</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1）验收方式：图书馆组织专家进行数据的验收，检查加工数据质量、数据内容是否完整，采取抽样检查方式，由验收专家或者图书馆随机抽样抽检，样本数依据提交数据的总量以及质量确定验收比例。</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2）验收标准</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送检数据与《数字资源提交单》的内容一致，各种格式数据和数据说明文件一一对应，不可夹杂无关文件。</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①各种标引、说明文件的文字、符号、版式、位置和名称准确，其综合错误率不超过0.3‰。</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②图像数据扫描方式、扫描规格、文件格式、文件命名、图像处理、压缩方式等符合要求，其综合错误率不超过1‰。</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③成品数据备份数量、保存介质命名、数据存放方式、数据内容符合规范要求，且各类型保存介质内无坏死文件、不准携带病毒，错误率为0。</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④达到验收标准的数据视为合格，在规定错误率范围内检查出的数据问题由加工单位进行修正；超出错误率、未达到验收标准的数据由加工单位对全部提交数据进行整改、重新数字化等返工处理。</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（9）安全要求：</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①参与本项目加工的计算机设备全部在局域网内工作，断绝任何外网连接；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②参与本项目加工的全部计算机设备均拆除光驱、软驱，封闭USB 端口。</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③加工系统的服务器需两个管理员同时在场才能操作，其他任何人不得操作服务器。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④加强网络安全，局域网络使用屏蔽双绞线，防止网线电磁传输信息泄漏。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⑤提供加工服务期间必须遵守图书馆要求的相关规章制度。</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⑥加工流程的各环节交接时，交接双方必须对照交接清单核对图书的书号及名称无误后方可签字确认交接。</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⑦加工过程中允许图书馆工作人员全程监管，防止丢失图书或者文献材料。加工现场无关人员不得入内，严格登记制度，门锁钥匙由专人保管；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⑧加工过程中，须维护纸质文献或者图书原貌，不得人为纂改、不得损毁、不得私自带出或丢失。</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⑨加工现场严禁吸烟、吃零食，纸质文献或者图书附近不得放置水杯、墨水瓶等可能对文献造成污损的物品；</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（10）质量保障要求：</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1）错页：图书的页码及内容应相连，不能顺序颠倒、错乱。封面页、书名页、版权页的内容必须一致，目录应与正文相对应。</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2）缺页或删页：正文页、目录页、前言页、版权页、封面页、书名页、插页, 文件名起始页必须从第一页开始且数据内容完整、页数顺序连续，不能出现多页或少页，多余的页要删除。</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有关原书缺页的补充规定：如加工的图书原本有缺页，必须在缺页位置补上相应页数文件，页面内容为‘原书缺页’；应使用与原文相同版本的‘原书缺页’样本；如原书正文最后一页明显内容未结束，但目录中最后页的内容正文中没有，应在最后页补原书缺页。</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4）连页压字：页面不能有上下连页严重且已经压字。</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5）不能有压页现象,当页页面上不能有其它页内容或图像。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6）图像文字不能有明显的彩线或黑线。</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7）歪斜：所有上正下歪或下正上歪的数据都算不合格。</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8）亮度：亮度验收以50%显示的结果为标准，不能过深或过浅。</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9）去污：所有数据都需去掉馆藏章和手写编号，注意需去污的周边文字尽可能保持完整，不能有缺字、断字现象。去污后的页面以读不出馆藏信息为准；去污后不影响阅读效果的条形码、铅字号都要求去掉，去污时不允许使用整体去污功能，避免造成缺字、断字现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10）重命名: 正文页、目录页、前言页、版权页、封面页、书名页、插页的物理文件名必须按扫描标准的命名规则命名,不能错乱或颠倒.</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11）数据不能有死机、打不开页、黑屏、变形（字体扭曲、字体拉大的幅度超过标准五号字的1/3）等错误。</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12）数据奇偶页的版本必须一致。如因纠偏后造成版本变大的，版面变大幅度最大不能超过原图的十分之一。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13）旋转：同一本书的文字方向应保持一致，图书数据的方向以文字正方向为准。</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14）无封面：成品数据中如有无封面且没有上交数据说明的，要抽查纸质图书是否确实没有封面。</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2、数字化加工文献服务平台（系统）建设要求</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（1）建设原则 </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1）平台要方便高效，做到检索方便、内容展示科学、使用便利。</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2）平台要具有较强的拓展性，为今后资源的更新维护、数据的统计奠定坚实的基础。</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3）平台具有良好的安全性，既是对数据本身的安全保护，也是对平台的安全性保护，做到安全高效。</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（2）安全体系建设</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1）平台作为在线发布数字资源的媒介，基于数字资源安全性的考虑，必须有版权保护措施，同时保护数字资源不被盗取用作违法传播。</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2）限制全文开放阅读：用户可预览书名页、版权页、前言页、目录页，如果想获取全文需要通过提交文献传递申请，在个人邮箱点击PDF数字副本的下载链接获取。</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3）平台IP段访问限制：支持通过后台控制功能中的IP范围设置管理，可以将允许访问平台的IP范围添加进入，不在IP地址范围内的无法访问到本平台。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文献传递管理：平台限制用户的总借阅次数，用户首次使用平台需提交注册申请表，经由馆员老师审批通过后登录平台，后续借阅无需单次审核，支持后台对用户角色的借阅总次数进行设定，当用户使用满总次数之后需要再次提交申请，防止恶意用户非法获得大量资源。</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5）支持数据路径加密：通过对数字资源的显示路径的加密，有效隐藏平台部署的地址及数字资源存储资质，有效防范黑客等人员通过路径查找到资源存储位置进而偷盗数字资源。</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6）接口调用管理：支持给其他平台提供页面阅读接口，在IP范围段内授权调用接口的程序可以直接调用资源试读页面。</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7）支持账号锁定和解锁：对于异常借阅用户，馆员老师可在后台锁定账号，限制该账号的数字副本借阅权限，直到账号解锁才可再次借阅。</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8）本地部署：平台和数字化加工后的数据需全部部署在用户方指定的本地服务器。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（3）功能建设</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1）认证功能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①支持双层认证功能，同时验证用户IP范围以及用户用户名、密码。</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②单位IP地址范围内的用户可通过验证用户名、密码登录获取相应访问权限。</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③IP地址范围外的用户无法访问平台。</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2）发布功能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①按照数据的分类编号情况发布，方便按照分类查找阅读，默认按照中图分类法进行分类。</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3）检索功能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①支持书名、作者、主题词字段检索。</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②支持在检索结果中进行二次检索。</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③支持在选中的分类中再次检索。</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④支持书名、作者、出版日期、主题词、分类信息的组合检索。</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⑤检索结果排序合理，支持书名和出版日期的升降序排序方式。</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4）阅读功能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①支持浏览器阅读的方式，用户不用安装插件和阅读器。</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5）数字副本借阅功能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①支持用户在线提交文献传递申请的表单，在个人邮箱点击PDF数字副本的下载链接即可获取全文数字副本在线阅读权限。</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6）排行功能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①可根据用户的阅读情况生成一周热门借阅图书排行榜。</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7）统计功能</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①提供首页以及阅读页面的访问统计。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②提供内网用户的阅读情况统计。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③支持单个IP地址阅读情况统计。</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④支持列表和图表方式展示统计结果。</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⑤支持统计数字资源副本借阅详情信息的统计功能。</w:t>
      </w:r>
      <w:r>
        <w:rPr>
          <w:rFonts w:hint="eastAsia" w:ascii="宋体" w:hAnsi="宋体" w:cs="宋体"/>
          <w:color w:val="000000"/>
          <w:sz w:val="24"/>
          <w:szCs w:val="24"/>
          <w:lang w:bidi="ar"/>
        </w:rPr>
      </w:r>
      <w:r/>
    </w:p>
    <w:p>
      <w:pPr>
        <w:pStyle w:val="741"/>
        <w:jc w:val="left"/>
        <w:spacing w:line="360" w:lineRule="auto"/>
        <w:rPr>
          <w:rFonts w:hint="eastAsia"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3、售后服务要求</w:t>
      </w:r>
      <w:r>
        <w:rPr>
          <w:rFonts w:hint="eastAsia" w:ascii="宋体" w:hAnsi="宋体" w:cs="宋体"/>
          <w:b/>
          <w:bCs/>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（1）承诺提供快速的服务响应和长期的技术支持。服务期内，如果系统运行出现问题，若出现不能通过电话或者其他方式远程指导采购方的技术人员解决问题，中标供应商应安排技术人员到达现场维修解决。</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（2）远程指导服务：可随时记录及解答用户提出的问题，及时反馈，告知用户解决方案和解决时间，对系统出现的问题无法通过电话解决时将及时派人员前往现场进行维修、调试。</w:t>
      </w:r>
      <w:r>
        <w:rPr>
          <w:rFonts w:hint="eastAsia" w:ascii="宋体" w:hAnsi="宋体" w:cs="宋体"/>
          <w:color w:val="000000"/>
          <w:sz w:val="24"/>
          <w:szCs w:val="24"/>
          <w:lang w:bidi="ar"/>
        </w:rPr>
      </w:r>
      <w:r/>
    </w:p>
    <w:p>
      <w:pPr>
        <w:pStyle w:val="741"/>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（3）上门维护服务：当远程、电话服务不能解决的问题提供上门服务，保证24小时内响应。</w:t>
      </w:r>
      <w:r>
        <w:rPr>
          <w:rFonts w:hint="eastAsia" w:ascii="宋体" w:hAnsi="宋体" w:cs="宋体"/>
          <w:color w:val="000000"/>
          <w:sz w:val="24"/>
          <w:szCs w:val="24"/>
          <w:lang w:bidi="ar"/>
        </w:rPr>
      </w:r>
      <w:r/>
    </w:p>
    <w:p>
      <w:pPr>
        <w:pStyle w:val="741"/>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（4）每次服务完成后，应向用户提交正规的售后服务报告，并应得到用户签字认可。</w:t>
      </w:r>
      <w:r>
        <w:rPr>
          <w:rFonts w:ascii="宋体" w:hAnsi="宋体" w:cs="宋体"/>
          <w:color w:val="000000"/>
          <w:sz w:val="24"/>
          <w:szCs w:val="24"/>
          <w:lang w:bidi="ar"/>
        </w:rPr>
      </w:r>
      <w:r/>
    </w:p>
    <w:p>
      <w:pPr>
        <w:pStyle w:val="801"/>
        <w:pageBreakBefore/>
        <w:spacing w:after="319" w:line="360" w:lineRule="auto"/>
        <w:rPr>
          <w:rFonts w:hint="eastAsia" w:ascii="宋体" w:hAnsi="宋体" w:eastAsia="宋体" w:cs="宋体"/>
        </w:rPr>
      </w:pPr>
      <w:r/>
      <w:bookmarkStart w:id="175" w:name="_Toc25596"/>
      <w:r/>
      <w:bookmarkStart w:id="176" w:name="_Toc25270"/>
      <w:r/>
      <w:bookmarkStart w:id="177" w:name="_Toc10365"/>
      <w:r/>
      <w:bookmarkStart w:id="178" w:name="_Toc6317"/>
      <w:r/>
      <w:bookmarkStart w:id="179" w:name="_Toc797"/>
      <w:r/>
      <w:bookmarkStart w:id="180" w:name="_Toc13118"/>
      <w:r/>
      <w:bookmarkStart w:id="181" w:name="_Toc9027"/>
      <w:r/>
      <w:bookmarkStart w:id="182" w:name="_Toc2171"/>
      <w:r/>
      <w:bookmarkStart w:id="183" w:name="_Toc32444"/>
      <w:r/>
      <w:bookmarkStart w:id="184" w:name="_Toc5657"/>
      <w:r/>
      <w:bookmarkStart w:id="185" w:name="_Toc427"/>
      <w:r/>
      <w:bookmarkStart w:id="186" w:name="_Toc11323"/>
      <w:r/>
      <w:bookmarkStart w:id="187" w:name="_Toc11000"/>
      <w:r/>
      <w:bookmarkStart w:id="188" w:name="_Toc1549"/>
      <w:r>
        <w:rPr>
          <w:rFonts w:hint="eastAsia" w:ascii="宋体" w:hAnsi="宋体" w:eastAsia="宋体" w:cs="宋体"/>
        </w:rPr>
        <w:t xml:space="preserve">第五章  评标方法与评标标准</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hint="eastAsia" w:ascii="宋体" w:hAnsi="宋体" w:eastAsia="宋体" w:cs="宋体"/>
        </w:rPr>
      </w:r>
      <w:r/>
    </w:p>
    <w:p>
      <w:pPr>
        <w:pStyle w:val="803"/>
        <w:numPr>
          <w:ilvl w:val="0"/>
          <w:numId w:val="0"/>
        </w:numPr>
        <w:ind w:firstLine="562"/>
        <w:spacing w:line="360" w:lineRule="auto"/>
        <w:tabs>
          <w:tab w:val="left" w:pos="720" w:leader="none"/>
        </w:tabs>
        <w:rPr>
          <w:rFonts w:hint="eastAsia" w:ascii="宋体" w:hAnsi="宋体" w:cs="宋体"/>
        </w:rPr>
      </w:pPr>
      <w:r/>
      <w:bookmarkStart w:id="189" w:name="_Toc13127"/>
      <w:r>
        <w:rPr>
          <w:rFonts w:hint="eastAsia" w:ascii="宋体" w:hAnsi="宋体" w:cs="宋体"/>
        </w:rPr>
        <w:t xml:space="preserve">一、评标方法与定标原则</w:t>
      </w:r>
      <w:bookmarkEnd w:id="189"/>
      <w:r>
        <w:rPr>
          <w:rFonts w:hint="eastAsia" w:ascii="宋体" w:hAnsi="宋体" w:cs="宋体"/>
        </w:rPr>
      </w:r>
      <w:r/>
    </w:p>
    <w:p>
      <w:pPr>
        <w:pStyle w:val="741"/>
        <w:ind w:firstLine="480"/>
        <w:spacing w:line="360" w:lineRule="auto"/>
        <w:rPr>
          <w:rFonts w:hint="eastAsia" w:ascii="宋体" w:hAnsi="宋体" w:cs="宋体"/>
          <w:sz w:val="24"/>
          <w:szCs w:val="24"/>
        </w:rPr>
      </w:pPr>
      <w:r/>
      <w:bookmarkStart w:id="190" w:name="_Toc2329"/>
      <w:r>
        <w:rPr>
          <w:rFonts w:hint="eastAsia" w:ascii="宋体" w:hAnsi="宋体" w:cs="宋体"/>
          <w:sz w:val="24"/>
          <w:szCs w:val="24"/>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hAnsi="宋体" w:cs="宋体"/>
          <w:sz w:val="24"/>
          <w:szCs w:val="24"/>
        </w:rPr>
      </w:r>
      <w:r/>
    </w:p>
    <w:p>
      <w:pPr>
        <w:pStyle w:val="803"/>
        <w:numPr>
          <w:ilvl w:val="0"/>
          <w:numId w:val="0"/>
        </w:numPr>
        <w:ind w:firstLine="562"/>
        <w:spacing w:line="360" w:lineRule="auto"/>
        <w:tabs>
          <w:tab w:val="left" w:pos="720" w:leader="none"/>
        </w:tabs>
        <w:rPr>
          <w:rFonts w:hint="eastAsia" w:ascii="宋体" w:hAnsi="宋体" w:cs="宋体"/>
        </w:rPr>
      </w:pPr>
      <w:r>
        <w:rPr>
          <w:rFonts w:hint="eastAsia" w:ascii="宋体" w:hAnsi="宋体" w:cs="宋体"/>
        </w:rPr>
        <w:t xml:space="preserve">二、评标标准</w:t>
      </w:r>
      <w:bookmarkEnd w:id="190"/>
      <w:r>
        <w:rPr>
          <w:rFonts w:hint="eastAsia" w:ascii="宋体" w:hAnsi="宋体" w:cs="宋体"/>
        </w:rPr>
      </w:r>
      <w:r/>
    </w:p>
    <w:p>
      <w:pPr>
        <w:pStyle w:val="741"/>
        <w:ind w:firstLine="482"/>
        <w:spacing w:line="360" w:lineRule="auto"/>
        <w:rPr>
          <w:rFonts w:hint="eastAsia"/>
          <w:b/>
          <w:bCs/>
        </w:rPr>
        <w:outlineLvl w:val="1"/>
      </w:pPr>
      <w:r>
        <w:rPr>
          <w:rFonts w:hint="eastAsia" w:ascii="宋体" w:hAnsi="宋体" w:cs="宋体"/>
          <w:b/>
          <w:bCs/>
          <w:sz w:val="24"/>
          <w:szCs w:val="24"/>
        </w:rPr>
        <w:t xml:space="preserve">分包一：中国知识文献全文数据库</w:t>
      </w:r>
      <w:r>
        <w:rPr>
          <w:rFonts w:hint="eastAsia"/>
          <w:b/>
          <w:bCs/>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投标产品能够完全满足招标文件技术参数指标要求</w:t>
            </w:r>
            <w:r>
              <w:rPr>
                <w:rFonts w:hint="eastAsia" w:ascii="宋体" w:hAnsi="宋体" w:cs="宋体"/>
                <w:spacing w:val="-2"/>
                <w:sz w:val="24"/>
                <w:szCs w:val="24"/>
              </w:rPr>
              <w:t xml:space="preserve">和商务要求</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22</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w:t>
            </w:r>
            <w:r>
              <w:rPr>
                <w:rFonts w:hint="eastAsia" w:ascii="宋体" w:hAnsi="宋体" w:cs="宋体"/>
                <w:spacing w:val="-2"/>
                <w:sz w:val="24"/>
                <w:szCs w:val="24"/>
              </w:rPr>
              <w:t xml:space="preserve">和</w:t>
            </w:r>
            <w:r>
              <w:rPr>
                <w:rFonts w:hint="eastAsia" w:ascii="宋体" w:hAnsi="宋体" w:cs="宋体"/>
                <w:spacing w:val="-2"/>
                <w:sz w:val="24"/>
                <w:szCs w:val="24"/>
                <w:lang w:val="zh-CN"/>
              </w:rPr>
              <w:t xml:space="preserve">“</w:t>
            </w:r>
            <w:r>
              <w:rPr>
                <w:rFonts w:hint="eastAsia" w:ascii="宋体" w:hAnsi="宋体" w:cs="宋体"/>
                <w:spacing w:val="-2"/>
                <w:sz w:val="24"/>
                <w:szCs w:val="24"/>
              </w:rPr>
              <w:t xml:space="preserve">商务</w:t>
            </w:r>
            <w:r>
              <w:rPr>
                <w:rFonts w:hint="eastAsia" w:ascii="宋体" w:hAnsi="宋体" w:cs="宋体"/>
                <w:spacing w:val="-2"/>
                <w:sz w:val="24"/>
                <w:szCs w:val="24"/>
                <w:lang w:val="zh-CN"/>
              </w:rPr>
              <w:t xml:space="preserve">要求响应及偏离表 ”中如实详细填列所投产品的技术指标</w:t>
            </w:r>
            <w:r>
              <w:rPr>
                <w:rFonts w:hint="eastAsia" w:ascii="宋体" w:hAnsi="宋体" w:cs="宋体"/>
                <w:spacing w:val="-2"/>
                <w:sz w:val="24"/>
                <w:szCs w:val="24"/>
              </w:rPr>
              <w:t xml:space="preserve">和商务要求</w:t>
            </w:r>
            <w:r>
              <w:rPr>
                <w:rFonts w:hint="eastAsia" w:ascii="宋体" w:hAnsi="宋体" w:cs="宋体"/>
                <w:spacing w:val="-2"/>
                <w:sz w:val="24"/>
                <w:szCs w:val="24"/>
                <w:lang w:val="zh-CN"/>
              </w:rPr>
              <w:t xml:space="preserve">，并提供相应证明材料：产品彩页或产品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22</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7</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培训计划内容编写充分完善、合理科学，满足采购文件要求的得7分；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培训计划内容编写较完善、较合理科学，基本满足采购文件要求的得4分；培训计划内容编写较差，低于采购文件要求的得1分；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方案优于招标文件要求的得7分；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方案符合招标文件要求的得4分；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方案低于招标文件要求的得1分；不提供不得分。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分包二：学术搜索平台</w:t>
      </w:r>
      <w:r>
        <w:rPr>
          <w:rFonts w:hint="eastAsia" w:ascii="宋体" w:hAnsi="宋体" w:cs="宋体"/>
          <w:b/>
          <w:bCs/>
          <w:sz w:val="24"/>
          <w:szCs w:val="24"/>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投标产品能够完全满足招标文件技术参数指标要求的得</w:t>
            </w:r>
            <w:r>
              <w:rPr>
                <w:rFonts w:hint="eastAsia" w:ascii="宋体" w:hAnsi="宋体" w:cs="宋体"/>
                <w:spacing w:val="-2"/>
                <w:sz w:val="24"/>
                <w:szCs w:val="24"/>
              </w:rPr>
              <w:t xml:space="preserve">24</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”中如实详细填列所投产品的技术指标，并提供相应证明材料：产品彩页或产品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24</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7</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7</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培训计划内容编写充分完善、合理科学，满足采购文件要求的得7分；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培训计划内容编写较完善、较合理科学，基本满足采购文件要求的得4分；培训计划内容编写较差，低于采购文件要求的得1分；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方案优于招标文件要求的得7分；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方案符合招标文件要求的得4分；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方案低于招标文件要求的得1分；不提供不得分。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分包三：中国传统音乐数据库</w:t>
      </w:r>
      <w:r>
        <w:rPr>
          <w:rFonts w:hint="eastAsia" w:ascii="宋体" w:hAnsi="宋体" w:cs="宋体"/>
          <w:b/>
          <w:bCs/>
          <w:sz w:val="24"/>
          <w:szCs w:val="24"/>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投标产品能够完全满足招标文件技术参数指标要求</w:t>
            </w:r>
            <w:r>
              <w:rPr>
                <w:rFonts w:hint="eastAsia" w:ascii="宋体" w:hAnsi="宋体" w:cs="宋体"/>
                <w:spacing w:val="-2"/>
                <w:sz w:val="24"/>
                <w:szCs w:val="24"/>
              </w:rPr>
              <w:t xml:space="preserve">和售后服务要求</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24</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w:t>
            </w:r>
            <w:r>
              <w:rPr>
                <w:rFonts w:hint="eastAsia" w:ascii="宋体" w:hAnsi="宋体" w:cs="宋体"/>
                <w:spacing w:val="-2"/>
                <w:sz w:val="24"/>
                <w:szCs w:val="24"/>
              </w:rPr>
              <w:t xml:space="preserve">和</w:t>
            </w:r>
            <w:r>
              <w:rPr>
                <w:rFonts w:hint="eastAsia" w:ascii="宋体" w:hAnsi="宋体" w:cs="宋体"/>
                <w:spacing w:val="-2"/>
                <w:sz w:val="24"/>
                <w:szCs w:val="24"/>
                <w:lang w:val="zh-CN"/>
              </w:rPr>
              <w:t xml:space="preserve">“</w:t>
            </w:r>
            <w:r>
              <w:rPr>
                <w:rFonts w:hint="eastAsia" w:ascii="宋体" w:hAnsi="宋体" w:cs="宋体"/>
                <w:spacing w:val="-2"/>
                <w:sz w:val="24"/>
                <w:szCs w:val="24"/>
              </w:rPr>
              <w:t xml:space="preserve">商务</w:t>
            </w:r>
            <w:r>
              <w:rPr>
                <w:rFonts w:hint="eastAsia" w:ascii="宋体" w:hAnsi="宋体" w:cs="宋体"/>
                <w:spacing w:val="-2"/>
                <w:sz w:val="24"/>
                <w:szCs w:val="24"/>
                <w:lang w:val="zh-CN"/>
              </w:rPr>
              <w:t xml:space="preserve">要求响应及偏离表 ”中如实详细填列所投产品的技术指标</w:t>
            </w:r>
            <w:r>
              <w:rPr>
                <w:rFonts w:hint="eastAsia" w:ascii="宋体" w:hAnsi="宋体" w:cs="宋体"/>
                <w:spacing w:val="-2"/>
                <w:sz w:val="24"/>
                <w:szCs w:val="24"/>
              </w:rPr>
              <w:t xml:space="preserve">和商务要求</w:t>
            </w:r>
            <w:r>
              <w:rPr>
                <w:rFonts w:hint="eastAsia" w:ascii="宋体" w:hAnsi="宋体" w:cs="宋体"/>
                <w:spacing w:val="-2"/>
                <w:sz w:val="24"/>
                <w:szCs w:val="24"/>
                <w:lang w:val="zh-CN"/>
              </w:rPr>
              <w:t xml:space="preserve">，并提供相应证明材料：产品彩页或产品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24</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7</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7</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培训计划内容编写充分完善、合理科学，满足采购文件要求的得7分；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培训计划内容编写较完善、较合理科学，基本满足采购文件要求的得4分；培训计划内容编写较差，低于采购文件要求的得1分；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方案优于招标文件要求的得7分；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方案符合招标文件要求的得4分；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方案低于招标文件要求的得1分；不提供不得分。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b/>
          <w:bCs/>
        </w:rPr>
        <w:outlineLvl w:val="1"/>
      </w:pPr>
      <w:r>
        <w:rPr>
          <w:rFonts w:hint="eastAsia" w:ascii="宋体" w:hAnsi="宋体" w:cs="宋体"/>
          <w:b/>
          <w:bCs/>
          <w:sz w:val="24"/>
          <w:szCs w:val="24"/>
        </w:rPr>
        <w:t xml:space="preserve">分包四：古典音乐数据库</w:t>
      </w:r>
      <w:r>
        <w:rPr>
          <w:rFonts w:hint="eastAsia"/>
          <w:b/>
          <w:bCs/>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投标产品能够完全满足招标文件技术参数指标要求</w:t>
            </w:r>
            <w:r>
              <w:rPr>
                <w:rFonts w:hint="eastAsia" w:ascii="宋体" w:hAnsi="宋体" w:cs="宋体"/>
                <w:spacing w:val="-2"/>
                <w:sz w:val="24"/>
                <w:szCs w:val="24"/>
              </w:rPr>
              <w:t xml:space="preserve">和售后服务要求</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19</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w:t>
            </w:r>
            <w:r>
              <w:rPr>
                <w:rFonts w:hint="eastAsia" w:ascii="宋体" w:hAnsi="宋体" w:cs="宋体"/>
                <w:spacing w:val="-2"/>
                <w:sz w:val="24"/>
                <w:szCs w:val="24"/>
              </w:rPr>
              <w:t xml:space="preserve">和</w:t>
            </w:r>
            <w:r>
              <w:rPr>
                <w:rFonts w:hint="eastAsia" w:ascii="宋体" w:hAnsi="宋体" w:cs="宋体"/>
                <w:spacing w:val="-2"/>
                <w:sz w:val="24"/>
                <w:szCs w:val="24"/>
                <w:lang w:val="zh-CN"/>
              </w:rPr>
              <w:t xml:space="preserve">“</w:t>
            </w:r>
            <w:r>
              <w:rPr>
                <w:rFonts w:hint="eastAsia" w:ascii="宋体" w:hAnsi="宋体" w:cs="宋体"/>
                <w:spacing w:val="-2"/>
                <w:sz w:val="24"/>
                <w:szCs w:val="24"/>
              </w:rPr>
              <w:t xml:space="preserve">商务</w:t>
            </w:r>
            <w:r>
              <w:rPr>
                <w:rFonts w:hint="eastAsia" w:ascii="宋体" w:hAnsi="宋体" w:cs="宋体"/>
                <w:spacing w:val="-2"/>
                <w:sz w:val="24"/>
                <w:szCs w:val="24"/>
                <w:lang w:val="zh-CN"/>
              </w:rPr>
              <w:t xml:space="preserve">要求响应及偏离表 ”中如实详细填列所投产品的技术指标</w:t>
            </w:r>
            <w:r>
              <w:rPr>
                <w:rFonts w:hint="eastAsia" w:ascii="宋体" w:hAnsi="宋体" w:cs="宋体"/>
                <w:spacing w:val="-2"/>
                <w:sz w:val="24"/>
                <w:szCs w:val="24"/>
              </w:rPr>
              <w:t xml:space="preserve">和商务要求</w:t>
            </w:r>
            <w:r>
              <w:rPr>
                <w:rFonts w:hint="eastAsia" w:ascii="宋体" w:hAnsi="宋体" w:cs="宋体"/>
                <w:spacing w:val="-2"/>
                <w:sz w:val="24"/>
                <w:szCs w:val="24"/>
                <w:lang w:val="zh-CN"/>
              </w:rPr>
              <w:t xml:space="preserve">，并提供相应证明材料：产品彩页或产品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19</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5</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培训计划内容编写充分完善、合理科学，满足采购文件要求的得8分；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培训计划内容编写较完善、较合理科学，基本满足采购文件要求的得5分；培训计划内容编写较差，低于采购文件要求的得2分；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方案优于招标文件要求的得8分；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方案符合招标文件要求的得5分；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方案低于招标文件要求的得2分；不提供不得分。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b/>
          <w:bCs/>
        </w:rPr>
        <w:outlineLvl w:val="1"/>
      </w:pPr>
      <w:r>
        <w:rPr>
          <w:rFonts w:hint="eastAsia" w:ascii="宋体" w:hAnsi="宋体" w:cs="宋体"/>
          <w:b/>
          <w:bCs/>
          <w:sz w:val="24"/>
          <w:szCs w:val="24"/>
        </w:rPr>
        <w:t xml:space="preserve">分包五：台湾学术文献数据库</w:t>
      </w:r>
      <w:r>
        <w:rPr>
          <w:rFonts w:hint="eastAsia"/>
          <w:b/>
          <w:bCs/>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投标产品能够完全满足招标文件技术参数指标要求</w:t>
            </w:r>
            <w:r>
              <w:rPr>
                <w:rFonts w:hint="eastAsia" w:ascii="宋体" w:hAnsi="宋体" w:cs="宋体"/>
                <w:spacing w:val="-2"/>
                <w:sz w:val="24"/>
                <w:szCs w:val="24"/>
              </w:rPr>
              <w:t xml:space="preserve">和售后服务要求</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17</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w:t>
            </w:r>
            <w:r>
              <w:rPr>
                <w:rFonts w:hint="eastAsia" w:ascii="宋体" w:hAnsi="宋体" w:cs="宋体"/>
                <w:spacing w:val="-2"/>
                <w:sz w:val="24"/>
                <w:szCs w:val="24"/>
              </w:rPr>
              <w:t xml:space="preserve">和</w:t>
            </w:r>
            <w:r>
              <w:rPr>
                <w:rFonts w:hint="eastAsia" w:ascii="宋体" w:hAnsi="宋体" w:cs="宋体"/>
                <w:spacing w:val="-2"/>
                <w:sz w:val="24"/>
                <w:szCs w:val="24"/>
                <w:lang w:val="zh-CN"/>
              </w:rPr>
              <w:t xml:space="preserve">“</w:t>
            </w:r>
            <w:r>
              <w:rPr>
                <w:rFonts w:hint="eastAsia" w:ascii="宋体" w:hAnsi="宋体" w:cs="宋体"/>
                <w:spacing w:val="-2"/>
                <w:sz w:val="24"/>
                <w:szCs w:val="24"/>
              </w:rPr>
              <w:t xml:space="preserve">商务</w:t>
            </w:r>
            <w:r>
              <w:rPr>
                <w:rFonts w:hint="eastAsia" w:ascii="宋体" w:hAnsi="宋体" w:cs="宋体"/>
                <w:spacing w:val="-2"/>
                <w:sz w:val="24"/>
                <w:szCs w:val="24"/>
                <w:lang w:val="zh-CN"/>
              </w:rPr>
              <w:t xml:space="preserve">要求响应及偏离表 ”中如实详细填列所投产品的技术指标</w:t>
            </w:r>
            <w:r>
              <w:rPr>
                <w:rFonts w:hint="eastAsia" w:ascii="宋体" w:hAnsi="宋体" w:cs="宋体"/>
                <w:spacing w:val="-2"/>
                <w:sz w:val="24"/>
                <w:szCs w:val="24"/>
              </w:rPr>
              <w:t xml:space="preserve">和商务要求</w:t>
            </w:r>
            <w:r>
              <w:rPr>
                <w:rFonts w:hint="eastAsia" w:ascii="宋体" w:hAnsi="宋体" w:cs="宋体"/>
                <w:spacing w:val="-2"/>
                <w:sz w:val="24"/>
                <w:szCs w:val="24"/>
                <w:lang w:val="zh-CN"/>
              </w:rPr>
              <w:t xml:space="preserve">，并提供相应证明材料：产品彩页或产品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17</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5</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培训计划内容编写充分完善、合理科学，满足采购文件要求的得8分；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培训计划内容编写较完善、较合理科学，基本满足采购文件要求的得5分；培训计划内容编写较差，低于采购文件要求的得2分；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方案优于招标文件要求的得8分；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方案符合招标文件要求的得5分；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方案低于招标文件要求的得2分；不提供不得分。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提供过往服务单位出具的用户满意度评价证明（评价为"良好"及以上），每提供1份得2分，最高得8分。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8分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分包六：中国近代文献全文数据库</w:t>
      </w:r>
      <w:r>
        <w:rPr>
          <w:rFonts w:hint="eastAsia" w:ascii="宋体" w:hAnsi="宋体" w:cs="宋体"/>
          <w:b/>
          <w:bCs/>
          <w:sz w:val="24"/>
          <w:szCs w:val="24"/>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w:t>
            </w:r>
            <w:r>
              <w:rPr>
                <w:rFonts w:hint="eastAsia" w:ascii="宋体" w:hAnsi="宋体" w:cs="宋体"/>
                <w:spacing w:val="-2"/>
                <w:sz w:val="24"/>
                <w:szCs w:val="24"/>
              </w:rPr>
              <w:t xml:space="preserve">所有</w:t>
            </w:r>
            <w:r>
              <w:rPr>
                <w:rFonts w:hint="eastAsia" w:ascii="宋体" w:hAnsi="宋体" w:cs="宋体"/>
                <w:spacing w:val="-2"/>
                <w:sz w:val="24"/>
                <w:szCs w:val="24"/>
                <w:lang w:val="zh-CN"/>
              </w:rPr>
              <w:t xml:space="preserve">指标要求的得</w:t>
            </w:r>
            <w:r>
              <w:rPr>
                <w:rFonts w:hint="eastAsia" w:ascii="宋体" w:hAnsi="宋体" w:cs="宋体"/>
                <w:spacing w:val="-2"/>
                <w:sz w:val="24"/>
                <w:szCs w:val="24"/>
              </w:rPr>
              <w:t xml:space="preserve">18</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”中如实详细填列所投产品的技术指标，并提供相应证明材料：产品彩页或产品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18</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培训计划内容编写充分完善、合理科学，满足采购文件要求的得8分；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培训计划内容编写较完善、较合理科学，基本满足采购文件要求的得5分；培训计划内容编写较差，低于采购文件要求的得2分；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方案优于招标文件要求的得8分；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方案符合招标文件要求的得5分；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方案低于招标文件要求的得2分；不提供不得分。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b/>
          <w:bCs/>
        </w:rPr>
        <w:outlineLvl w:val="1"/>
      </w:pPr>
      <w:r>
        <w:rPr>
          <w:rFonts w:hint="eastAsia" w:ascii="宋体" w:hAnsi="宋体" w:cs="宋体"/>
          <w:b/>
          <w:bCs/>
          <w:sz w:val="24"/>
          <w:szCs w:val="24"/>
        </w:rPr>
        <w:t xml:space="preserve">分包七：国外硕博论文全文数据库</w:t>
      </w:r>
      <w:r>
        <w:rPr>
          <w:rFonts w:hint="eastAsia"/>
          <w:b/>
          <w:bCs/>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投标产品能够完全满足招标文件参数指标要求的得</w:t>
            </w:r>
            <w:r>
              <w:rPr>
                <w:rFonts w:hint="eastAsia" w:ascii="宋体" w:hAnsi="宋体" w:cs="宋体"/>
                <w:spacing w:val="-2"/>
                <w:sz w:val="24"/>
                <w:szCs w:val="24"/>
              </w:rPr>
              <w:t xml:space="preserve">18</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”中如实详细填列所投产品的技术指标，并提供相应证明材料：产品彩页或产品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18</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5</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5</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培训计划内容编写充分完善、合理科学，满足采购文件要求的得8分；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培训计划内容编写较完善、较合理科学，基本满足采购文件要求的得5分；培训计划内容编写较差，低于采购文件要求的得2分；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方案优于招标文件要求的得8分；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方案符合招标文件要求的得5分；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方案低于招标文件要求的得2分；不提供不得分。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提供过往服务单位出具的用户满意度评价证明（评价为"良好"及以上），每提供1份得2分，最高得8分。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8分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b/>
          <w:bCs/>
        </w:rPr>
        <w:outlineLvl w:val="1"/>
      </w:pPr>
      <w:r>
        <w:rPr>
          <w:rFonts w:hint="eastAsia" w:ascii="宋体" w:hAnsi="宋体" w:cs="宋体"/>
          <w:b/>
          <w:bCs/>
          <w:sz w:val="24"/>
          <w:szCs w:val="24"/>
        </w:rPr>
        <w:t xml:space="preserve">分包八：国外艺术、设计与建筑学学科数据库</w:t>
      </w:r>
      <w:r>
        <w:rPr>
          <w:rFonts w:hint="eastAsia"/>
          <w:b/>
          <w:bCs/>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w:t>
            </w:r>
            <w:r>
              <w:rPr>
                <w:rFonts w:hint="eastAsia" w:ascii="宋体" w:hAnsi="宋体" w:cs="宋体"/>
                <w:spacing w:val="-2"/>
                <w:sz w:val="24"/>
                <w:szCs w:val="24"/>
              </w:rPr>
              <w:t xml:space="preserve">所有技术</w:t>
            </w:r>
            <w:r>
              <w:rPr>
                <w:rFonts w:hint="eastAsia" w:ascii="宋体" w:hAnsi="宋体" w:cs="宋体"/>
                <w:spacing w:val="-2"/>
                <w:sz w:val="24"/>
                <w:szCs w:val="24"/>
                <w:lang w:val="zh-CN"/>
              </w:rPr>
              <w:t xml:space="preserve">要求</w:t>
            </w:r>
            <w:r>
              <w:rPr>
                <w:rFonts w:hint="eastAsia" w:ascii="宋体" w:hAnsi="宋体" w:cs="宋体"/>
                <w:spacing w:val="-2"/>
                <w:sz w:val="24"/>
                <w:szCs w:val="24"/>
              </w:rPr>
              <w:t xml:space="preserve">和售后服务要求</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20</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w:t>
            </w:r>
            <w:r>
              <w:rPr>
                <w:rFonts w:hint="eastAsia" w:ascii="宋体" w:hAnsi="宋体" w:cs="宋体"/>
                <w:spacing w:val="-2"/>
                <w:sz w:val="24"/>
                <w:szCs w:val="24"/>
              </w:rPr>
              <w:t xml:space="preserve">和</w:t>
            </w:r>
            <w:r>
              <w:rPr>
                <w:rFonts w:hint="eastAsia" w:ascii="宋体" w:hAnsi="宋体" w:cs="宋体"/>
                <w:spacing w:val="-2"/>
                <w:sz w:val="24"/>
                <w:szCs w:val="24"/>
                <w:lang w:val="zh-CN"/>
              </w:rPr>
              <w:t xml:space="preserve">“</w:t>
            </w:r>
            <w:r>
              <w:rPr>
                <w:rFonts w:hint="eastAsia" w:ascii="宋体" w:hAnsi="宋体" w:cs="宋体"/>
                <w:spacing w:val="-2"/>
                <w:sz w:val="24"/>
                <w:szCs w:val="24"/>
              </w:rPr>
              <w:t xml:space="preserve">商务</w:t>
            </w:r>
            <w:r>
              <w:rPr>
                <w:rFonts w:hint="eastAsia" w:ascii="宋体" w:hAnsi="宋体" w:cs="宋体"/>
                <w:spacing w:val="-2"/>
                <w:sz w:val="24"/>
                <w:szCs w:val="24"/>
                <w:lang w:val="zh-CN"/>
              </w:rPr>
              <w:t xml:space="preserve">要求响应及偏离表 ”中如实详细填列所投产品的技术指标</w:t>
            </w:r>
            <w:r>
              <w:rPr>
                <w:rFonts w:hint="eastAsia" w:ascii="宋体" w:hAnsi="宋体" w:cs="宋体"/>
                <w:spacing w:val="-2"/>
                <w:sz w:val="24"/>
                <w:szCs w:val="24"/>
              </w:rPr>
              <w:t xml:space="preserve">和商务要求</w:t>
            </w:r>
            <w:r>
              <w:rPr>
                <w:rFonts w:hint="eastAsia" w:ascii="宋体" w:hAnsi="宋体" w:cs="宋体"/>
                <w:spacing w:val="-2"/>
                <w:sz w:val="24"/>
                <w:szCs w:val="24"/>
                <w:lang w:val="zh-CN"/>
              </w:rPr>
              <w:t xml:space="preserve">，并提供相应证明材料：产品彩页或产品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20</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5</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5</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培训计划内容编写充分完善、合理科学，满足采购文件要求的得8分；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培训计划内容编写较完善、较合理科学，基本满足采购文件要求的得5分；培训计划内容编写较差，低于采购文件要求的得2分；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方案优于招标文件要求的得8分；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方案符合招标文件要求的得5分；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方案低于招标文件要求的得2分；不提供不得分。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b/>
          <w:bCs/>
        </w:rPr>
        <w:outlineLvl w:val="1"/>
      </w:pPr>
      <w:r>
        <w:rPr>
          <w:rFonts w:hint="eastAsia" w:ascii="宋体" w:hAnsi="宋体" w:cs="宋体"/>
          <w:b/>
          <w:bCs/>
          <w:sz w:val="24"/>
          <w:szCs w:val="24"/>
        </w:rPr>
        <w:t xml:space="preserve">分包九：古籍数据库</w:t>
      </w:r>
      <w:r>
        <w:rPr>
          <w:rFonts w:hint="eastAsia"/>
          <w:b/>
          <w:bCs/>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w:t>
            </w:r>
            <w:r>
              <w:rPr>
                <w:rFonts w:hint="eastAsia" w:ascii="宋体" w:hAnsi="宋体" w:cs="宋体"/>
                <w:spacing w:val="-2"/>
                <w:sz w:val="24"/>
                <w:szCs w:val="24"/>
              </w:rPr>
              <w:t xml:space="preserve">所有</w:t>
            </w:r>
            <w:r>
              <w:rPr>
                <w:rFonts w:hint="eastAsia" w:ascii="宋体" w:hAnsi="宋体" w:cs="宋体"/>
                <w:spacing w:val="-2"/>
                <w:sz w:val="24"/>
                <w:szCs w:val="24"/>
                <w:lang w:val="zh-CN"/>
              </w:rPr>
              <w:t xml:space="preserve">参数指标要求</w:t>
            </w:r>
            <w:r>
              <w:rPr>
                <w:rFonts w:hint="eastAsia" w:ascii="宋体" w:hAnsi="宋体" w:cs="宋体"/>
                <w:spacing w:val="-2"/>
                <w:sz w:val="24"/>
                <w:szCs w:val="24"/>
              </w:rPr>
              <w:t xml:space="preserve">和售后服务要求</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19</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w:t>
            </w:r>
            <w:r>
              <w:rPr>
                <w:rFonts w:hint="eastAsia" w:ascii="宋体" w:hAnsi="宋体" w:cs="宋体"/>
                <w:spacing w:val="-2"/>
                <w:sz w:val="24"/>
                <w:szCs w:val="24"/>
              </w:rPr>
              <w:t xml:space="preserve">和</w:t>
            </w:r>
            <w:r>
              <w:rPr>
                <w:rFonts w:hint="eastAsia" w:ascii="宋体" w:hAnsi="宋体" w:cs="宋体"/>
                <w:spacing w:val="-2"/>
                <w:sz w:val="24"/>
                <w:szCs w:val="24"/>
                <w:lang w:val="zh-CN"/>
              </w:rPr>
              <w:t xml:space="preserve">“</w:t>
            </w:r>
            <w:r>
              <w:rPr>
                <w:rFonts w:hint="eastAsia" w:ascii="宋体" w:hAnsi="宋体" w:cs="宋体"/>
                <w:spacing w:val="-2"/>
                <w:sz w:val="24"/>
                <w:szCs w:val="24"/>
              </w:rPr>
              <w:t xml:space="preserve">商务</w:t>
            </w:r>
            <w:r>
              <w:rPr>
                <w:rFonts w:hint="eastAsia" w:ascii="宋体" w:hAnsi="宋体" w:cs="宋体"/>
                <w:spacing w:val="-2"/>
                <w:sz w:val="24"/>
                <w:szCs w:val="24"/>
                <w:lang w:val="zh-CN"/>
              </w:rPr>
              <w:t xml:space="preserve">要求响应及偏离表 ”中如实详细填列所投产品的技术指标</w:t>
            </w:r>
            <w:r>
              <w:rPr>
                <w:rFonts w:hint="eastAsia" w:ascii="宋体" w:hAnsi="宋体" w:cs="宋体"/>
                <w:spacing w:val="-2"/>
                <w:sz w:val="24"/>
                <w:szCs w:val="24"/>
              </w:rPr>
              <w:t xml:space="preserve">和商务要求</w:t>
            </w:r>
            <w:r>
              <w:rPr>
                <w:rFonts w:hint="eastAsia" w:ascii="宋体" w:hAnsi="宋体" w:cs="宋体"/>
                <w:spacing w:val="-2"/>
                <w:sz w:val="24"/>
                <w:szCs w:val="24"/>
                <w:lang w:val="zh-CN"/>
              </w:rPr>
              <w:t xml:space="preserve">，并提供相应证明材料：产品彩页或产品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19</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5</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培训计划内容编写充分完善、合理科学，满足采购文件要求的得8分；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培训计划内容编写较完善、较合理科学，基本满足采购文件要求的得5分；培训计划内容编写较差，低于采购文件要求的得2分；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方案优于招标文件要求的得8分；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方案符合招标文件要求的得5分；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方案低于招标文件要求的得2分；不提供不得分。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分包十：馆配电子图书</w:t>
      </w:r>
      <w:r>
        <w:rPr>
          <w:rFonts w:hint="eastAsia" w:ascii="宋体" w:hAnsi="宋体" w:cs="宋体"/>
          <w:b/>
          <w:bCs/>
          <w:sz w:val="24"/>
          <w:szCs w:val="24"/>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投标产品能够完全满足招标文件技术参数指标要求的得</w:t>
            </w:r>
            <w:r>
              <w:rPr>
                <w:rFonts w:hint="eastAsia" w:ascii="宋体" w:hAnsi="宋体" w:cs="宋体"/>
                <w:spacing w:val="-2"/>
                <w:sz w:val="24"/>
                <w:szCs w:val="24"/>
              </w:rPr>
              <w:t xml:space="preserve">31</w:t>
            </w:r>
            <w:r>
              <w:rPr>
                <w:rFonts w:hint="eastAsia" w:ascii="宋体" w:hAnsi="宋体" w:cs="宋体"/>
                <w:spacing w:val="-2"/>
                <w:sz w:val="24"/>
                <w:szCs w:val="24"/>
                <w:lang w:val="zh-CN"/>
              </w:rPr>
              <w:t xml:space="preserve">分。有一项负偏离扣</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”中如实详细填列所投产品的技术指标，并提供相应证明材料：产品彩页或产品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31</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5</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1</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培训计划内容编写充分完善、合理科学，满足采购文件要求的得5分；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培训计划内容编写较完善、较合理科学，基本满足采购文件要求的得3分；培训计划内容编写较差，低于采购文件要求的得1分；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方案优于招标文件要求的得5分；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方案符合招标文件要求的得3分；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方案低于招标文件要求的得1分；不提供不得分。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2"/>
        <w:spacing w:line="360" w:lineRule="auto"/>
        <w:rPr>
          <w:rFonts w:hint="eastAsia"/>
          <w:b/>
          <w:bCs/>
        </w:rPr>
        <w:outlineLvl w:val="1"/>
      </w:pPr>
      <w:r>
        <w:rPr>
          <w:rFonts w:hint="eastAsia" w:ascii="宋体" w:hAnsi="宋体" w:cs="宋体"/>
          <w:b/>
          <w:bCs/>
          <w:sz w:val="24"/>
          <w:szCs w:val="24"/>
        </w:rPr>
        <w:t xml:space="preserve">分包十一：馆配文献数字化加工</w:t>
      </w:r>
      <w:r>
        <w:rPr>
          <w:rFonts w:hint="eastAsia"/>
          <w:b/>
          <w:bCs/>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59"/>
        <w:gridCol w:w="6410"/>
        <w:gridCol w:w="958"/>
      </w:tblGrid>
      <w:tr>
        <w:trPr>
          <w:trHeight w:val="614"/>
        </w:trPr>
        <w:tc>
          <w:tcPr>
            <w:tcW w:w="434"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666"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rPr>
                <w:rFonts w:hint="eastAsia" w:ascii="宋体" w:hAnsi="宋体" w:cs="宋体"/>
                <w:b/>
                <w:bCs/>
                <w:sz w:val="24"/>
                <w:szCs w:val="24"/>
              </w:rPr>
            </w:r>
            <w:r/>
          </w:p>
        </w:tc>
        <w:tc>
          <w:tcPr>
            <w:tcW w:w="3392"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价格分采用低价优先法计算，即满足招标文件要求且报价最低的为评标基准价，其价格分为满分30分。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其他投标人的价格分统一按照下列公式计算（小数点保留两位）：投标报价得分=(评标基准价／投标报价)×30。</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技术指标</w:t>
            </w:r>
            <w:r>
              <w:rPr>
                <w:rFonts w:hint="eastAsia" w:ascii="宋体" w:hAnsi="宋体" w:cs="宋体"/>
                <w:spacing w:val="-2"/>
                <w:sz w:val="24"/>
                <w:szCs w:val="24"/>
                <w:lang w:val="zh-CN"/>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投标产品能够完全满足招标文件参数指标要求的得</w:t>
            </w:r>
            <w:r>
              <w:rPr>
                <w:rFonts w:hint="eastAsia" w:ascii="宋体" w:hAnsi="宋体" w:cs="宋体"/>
                <w:spacing w:val="-2"/>
                <w:sz w:val="24"/>
                <w:szCs w:val="24"/>
              </w:rPr>
              <w:t xml:space="preserve">25</w:t>
            </w:r>
            <w:r>
              <w:rPr>
                <w:rFonts w:hint="eastAsia" w:ascii="宋体" w:hAnsi="宋体" w:cs="宋体"/>
                <w:spacing w:val="-2"/>
                <w:sz w:val="24"/>
                <w:szCs w:val="24"/>
                <w:lang w:val="zh-CN"/>
              </w:rPr>
              <w:t xml:space="preserve">分。加“★”号指标为重要技术参数</w:t>
            </w:r>
            <w:r>
              <w:rPr>
                <w:rFonts w:hint="eastAsia" w:ascii="宋体" w:hAnsi="宋体" w:cs="宋体"/>
                <w:spacing w:val="-2"/>
                <w:sz w:val="24"/>
                <w:szCs w:val="24"/>
              </w:rPr>
              <w:t xml:space="preserve">计18分</w:t>
            </w:r>
            <w:r>
              <w:rPr>
                <w:rFonts w:hint="eastAsia" w:ascii="宋体" w:hAnsi="宋体" w:cs="宋体"/>
                <w:spacing w:val="-2"/>
                <w:sz w:val="24"/>
                <w:szCs w:val="24"/>
                <w:lang w:val="zh-CN"/>
              </w:rPr>
              <w:t xml:space="preserve">，有一项负偏离扣</w:t>
            </w:r>
            <w:r>
              <w:rPr>
                <w:rFonts w:hint="eastAsia" w:ascii="宋体" w:hAnsi="宋体" w:cs="宋体"/>
                <w:spacing w:val="-2"/>
                <w:sz w:val="24"/>
                <w:szCs w:val="24"/>
              </w:rPr>
              <w:t xml:space="preserve">0.3</w:t>
            </w:r>
            <w:r>
              <w:rPr>
                <w:rFonts w:hint="eastAsia" w:ascii="宋体" w:hAnsi="宋体" w:cs="宋体"/>
                <w:spacing w:val="-2"/>
                <w:sz w:val="24"/>
                <w:szCs w:val="24"/>
                <w:lang w:val="zh-CN"/>
              </w:rPr>
              <w:t xml:space="preserve">分，其余技术指标为一般参数</w:t>
            </w:r>
            <w:r>
              <w:rPr>
                <w:rFonts w:hint="eastAsia" w:ascii="宋体" w:hAnsi="宋体" w:cs="宋体"/>
                <w:spacing w:val="-2"/>
                <w:sz w:val="24"/>
                <w:szCs w:val="24"/>
              </w:rPr>
              <w:t xml:space="preserve">计7分</w:t>
            </w:r>
            <w:r>
              <w:rPr>
                <w:rFonts w:hint="eastAsia" w:ascii="宋体" w:hAnsi="宋体" w:cs="宋体"/>
                <w:spacing w:val="-2"/>
                <w:sz w:val="24"/>
                <w:szCs w:val="24"/>
                <w:lang w:val="zh-CN"/>
              </w:rPr>
              <w:t xml:space="preserve">，有一项负偏离扣0.2分，扣完为止。</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注：投标人需在“技术要求响应及偏离表 ”中如实详细填列所投产品的技术指标，并提供相应证明材料：产品彩页或产品</w:t>
            </w:r>
            <w:r>
              <w:rPr>
                <w:rFonts w:hint="eastAsia" w:ascii="宋体" w:hAnsi="宋体" w:cs="宋体"/>
                <w:spacing w:val="-2"/>
                <w:sz w:val="24"/>
                <w:szCs w:val="24"/>
              </w:rPr>
              <w:t xml:space="preserve">功能截图</w:t>
            </w:r>
            <w:r>
              <w:rPr>
                <w:rFonts w:hint="eastAsia" w:ascii="宋体" w:hAnsi="宋体" w:cs="宋体"/>
                <w:spacing w:val="-2"/>
                <w:sz w:val="24"/>
                <w:szCs w:val="24"/>
                <w:lang w:val="zh-CN"/>
              </w:rPr>
              <w:t xml:space="preserve">或既往用户使用统计报告样本</w:t>
            </w:r>
            <w:r>
              <w:rPr>
                <w:rFonts w:hint="eastAsia" w:ascii="宋体" w:hAnsi="宋体" w:cs="宋体"/>
                <w:spacing w:val="-2"/>
                <w:sz w:val="24"/>
                <w:szCs w:val="24"/>
              </w:rPr>
              <w:t xml:space="preserve">或承诺函</w:t>
            </w:r>
            <w:r>
              <w:rPr>
                <w:rFonts w:hint="eastAsia" w:ascii="宋体" w:hAnsi="宋体" w:cs="宋体"/>
                <w:spacing w:val="-2"/>
                <w:sz w:val="24"/>
                <w:szCs w:val="24"/>
                <w:lang w:val="zh-CN"/>
              </w:rPr>
              <w:t xml:space="preserve">等。未提供证明材料的，按负偏离处理。（为方便评审请在偏离表中链接所在页码）</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25</w:t>
            </w:r>
            <w:r>
              <w:rPr>
                <w:rFonts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项目实施</w:t>
            </w:r>
            <w:r>
              <w:rPr>
                <w:rFonts w:hint="eastAsia" w:ascii="宋体" w:hAnsi="宋体" w:cs="宋体"/>
                <w:spacing w:val="-2"/>
                <w:sz w:val="24"/>
                <w:szCs w:val="24"/>
                <w:lang w:val="zh-CN"/>
              </w:rPr>
            </w:r>
            <w:r/>
          </w:p>
          <w:p>
            <w:pPr>
              <w:pStyle w:val="741"/>
              <w:jc w:val="center"/>
              <w:spacing w:line="360" w:lineRule="auto"/>
              <w:rPr>
                <w:rFonts w:hint="eastAsia" w:ascii="宋体" w:hAnsi="宋体" w:cs="宋体"/>
                <w:b/>
                <w:bCs/>
                <w:sz w:val="24"/>
                <w:szCs w:val="24"/>
              </w:rPr>
            </w:pPr>
            <w:r>
              <w:rPr>
                <w:rFonts w:hint="eastAsia" w:ascii="宋体" w:hAnsi="宋体" w:cs="宋体"/>
                <w:spacing w:val="-2"/>
                <w:sz w:val="24"/>
                <w:szCs w:val="24"/>
                <w:lang w:val="zh-CN"/>
              </w:rPr>
              <w:t xml:space="preserve">方案</w:t>
            </w:r>
            <w:r>
              <w:rPr>
                <w:rFonts w:hint="eastAsia" w:ascii="宋体" w:hAnsi="宋体" w:cs="宋体"/>
                <w:b/>
                <w:bCs/>
                <w:sz w:val="24"/>
                <w:szCs w:val="24"/>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投标人应根据招标文件要求提供具体详实的项目实施方案，方案详细完整，清晰明确、全面科学，满足采购文件要求的得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方案完整清晰，全面科学可行，基本满足采购文件要求的得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方案粗糙缺漏，可行性差，低于采购文件要求的得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项目验收</w:t>
            </w:r>
            <w:r>
              <w:rPr>
                <w:rFonts w:hint="eastAsia" w:ascii="宋体" w:hAnsi="宋体" w:cs="宋体"/>
                <w:sz w:val="24"/>
                <w:szCs w:val="24"/>
                <w:lang w:eastAsia="en-US"/>
              </w:rPr>
            </w:r>
            <w:r/>
          </w:p>
          <w:p>
            <w:pPr>
              <w:pStyle w:val="741"/>
              <w:jc w:val="center"/>
              <w:spacing w:line="360" w:lineRule="auto"/>
              <w:rPr>
                <w:rFonts w:hint="eastAsia" w:ascii="宋体" w:hAnsi="宋体" w:cs="宋体"/>
                <w:sz w:val="24"/>
                <w:szCs w:val="24"/>
              </w:rPr>
            </w:pPr>
            <w:r>
              <w:rPr>
                <w:rFonts w:hint="eastAsia" w:ascii="宋体" w:hAnsi="宋体" w:cs="宋体"/>
                <w:sz w:val="24"/>
                <w:szCs w:val="24"/>
                <w:lang w:eastAsia="en-US"/>
              </w:rPr>
              <w:t xml:space="preserve">方案</w:t>
            </w:r>
            <w:r>
              <w:rPr>
                <w:rFonts w:hint="eastAsia" w:ascii="宋体" w:hAnsi="宋体" w:cs="宋体"/>
                <w:sz w:val="24"/>
                <w:szCs w:val="24"/>
              </w:rPr>
            </w:r>
            <w:r/>
          </w:p>
        </w:tc>
        <w:tc>
          <w:tcPr>
            <w:tcW w:w="3392" w:type="dxa"/>
            <w:vAlign w:val="top"/>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投标人应根据招标文件要求提供具体详实的项目验收方案，</w:t>
            </w:r>
            <w:r>
              <w:rPr>
                <w:rFonts w:hint="eastAsia" w:ascii="宋体" w:hAnsi="宋体" w:cs="宋体"/>
                <w:spacing w:val="-2"/>
                <w:sz w:val="24"/>
                <w:szCs w:val="24"/>
              </w:rPr>
              <w:t xml:space="preserve">全面</w:t>
            </w:r>
            <w:r>
              <w:rPr>
                <w:rFonts w:hint="eastAsia" w:ascii="宋体" w:hAnsi="宋体" w:cs="宋体"/>
                <w:spacing w:val="-2"/>
                <w:sz w:val="24"/>
                <w:szCs w:val="24"/>
                <w:lang w:val="zh-CN"/>
              </w:rPr>
              <w:t xml:space="preserve">科学合理、针对性强、可操作性强得</w:t>
            </w:r>
            <w:r>
              <w:rPr>
                <w:rFonts w:hint="eastAsia" w:ascii="宋体" w:hAnsi="宋体" w:cs="宋体"/>
                <w:spacing w:val="-2"/>
                <w:sz w:val="24"/>
                <w:szCs w:val="24"/>
              </w:rPr>
              <w:t xml:space="preserve">6</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方案齐全、具有实际可操作性得</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方案可操作性较低、针对性</w:t>
            </w:r>
            <w:r>
              <w:rPr>
                <w:rFonts w:hint="eastAsia" w:ascii="宋体" w:hAnsi="宋体" w:cs="宋体"/>
                <w:spacing w:val="-2"/>
                <w:sz w:val="24"/>
                <w:szCs w:val="24"/>
              </w:rPr>
              <w:t xml:space="preserve">一般</w:t>
            </w:r>
            <w:r>
              <w:rPr>
                <w:rFonts w:hint="eastAsia" w:ascii="宋体" w:hAnsi="宋体" w:cs="宋体"/>
                <w:spacing w:val="-2"/>
                <w:sz w:val="24"/>
                <w:szCs w:val="24"/>
                <w:lang w:val="zh-CN"/>
              </w:rPr>
              <w:t xml:space="preserve">的得</w:t>
            </w:r>
            <w:r>
              <w:rPr>
                <w:rFonts w:hint="eastAsia" w:ascii="宋体" w:hAnsi="宋体" w:cs="宋体"/>
                <w:spacing w:val="-2"/>
                <w:sz w:val="24"/>
                <w:szCs w:val="24"/>
              </w:rPr>
              <w:t xml:space="preserve">2</w:t>
            </w:r>
            <w:r>
              <w:rPr>
                <w:rFonts w:hint="eastAsia" w:ascii="宋体" w:hAnsi="宋体" w:cs="宋体"/>
                <w:spacing w:val="-2"/>
                <w:sz w:val="24"/>
                <w:szCs w:val="24"/>
                <w:lang w:val="zh-CN"/>
              </w:rPr>
              <w:t xml:space="preserve">分；</w:t>
            </w:r>
            <w:r>
              <w:rPr>
                <w:rFonts w:hint="eastAsia" w:ascii="宋体" w:hAnsi="宋体" w:cs="宋体"/>
                <w:spacing w:val="-2"/>
                <w:sz w:val="24"/>
                <w:szCs w:val="24"/>
                <w:lang w:val="zh-CN"/>
              </w:rPr>
            </w:r>
            <w:r/>
          </w:p>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未提供的不得分。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z w:val="24"/>
                <w:szCs w:val="24"/>
                <w:lang w:eastAsia="en-US"/>
              </w:rPr>
            </w:pPr>
            <w:r>
              <w:rPr>
                <w:rFonts w:hint="eastAsia" w:ascii="宋体" w:hAnsi="宋体" w:cs="宋体"/>
                <w:spacing w:val="-2"/>
                <w:sz w:val="24"/>
                <w:szCs w:val="24"/>
                <w:lang w:val="zh-CN"/>
              </w:rPr>
              <w:t xml:space="preserve">培训方案</w:t>
            </w:r>
            <w:r>
              <w:rPr>
                <w:rFonts w:hint="eastAsia" w:ascii="宋体" w:hAnsi="宋体" w:cs="宋体"/>
                <w:sz w:val="24"/>
                <w:szCs w:val="24"/>
                <w:lang w:eastAsia="en-US"/>
              </w:rPr>
            </w:r>
            <w:r/>
          </w:p>
        </w:tc>
        <w:tc>
          <w:tcPr>
            <w:tcW w:w="3392" w:type="dxa"/>
            <w:vAlign w:val="center"/>
            <w:textDirection w:val="lrTb"/>
            <w:noWrap w:val="false"/>
          </w:tcPr>
          <w:p>
            <w:pPr>
              <w:pStyle w:val="741"/>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对买方操作、维护人员的培训方案及计划，需有合理的培训计划，明确给出培训目标、内容、时长，地点等。</w:t>
            </w:r>
            <w:r>
              <w:rPr>
                <w:rFonts w:hint="eastAsia" w:ascii="宋体" w:hAnsi="宋体" w:cs="宋体"/>
                <w:spacing w:val="-2"/>
                <w:sz w:val="24"/>
                <w:szCs w:val="24"/>
                <w:lang w:val="zh-CN"/>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培训计划内容编写充分完善、合理科学，满足采购文件要求的得6分；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培训计划内容编写较完善、较合理科学，基本满足采购文件要求的得4分；培训计划内容编写较差，低于采购文件要求的得2分；</w:t>
            </w:r>
            <w:r>
              <w:rPr>
                <w:rFonts w:hint="eastAsia" w:ascii="宋体" w:hAnsi="宋体" w:cs="宋体"/>
                <w:sz w:val="24"/>
                <w:szCs w:val="24"/>
              </w:rPr>
            </w:r>
            <w:r/>
          </w:p>
          <w:p>
            <w:pPr>
              <w:pStyle w:val="741"/>
              <w:jc w:val="left"/>
              <w:spacing w:line="360" w:lineRule="auto"/>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r>
            <w:r/>
          </w:p>
        </w:tc>
      </w:tr>
      <w:tr>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6</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售后服务</w:t>
            </w:r>
            <w:r>
              <w:rPr>
                <w:rFonts w:hint="eastAsia" w:ascii="宋体" w:hAnsi="宋体" w:cs="宋体"/>
                <w:spacing w:val="-3"/>
                <w:sz w:val="24"/>
                <w:szCs w:val="24"/>
              </w:rPr>
            </w:r>
            <w:r/>
          </w:p>
          <w:p>
            <w:pPr>
              <w:pStyle w:val="741"/>
              <w:jc w:val="center"/>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w:t>
            </w:r>
            <w:r>
              <w:rPr>
                <w:rFonts w:hint="eastAsia" w:ascii="宋体" w:hAnsi="宋体" w:cs="宋体"/>
                <w:spacing w:val="-2"/>
                <w:sz w:val="24"/>
                <w:szCs w:val="24"/>
                <w:lang w:val="zh-CN"/>
              </w:rPr>
            </w:r>
            <w:r/>
          </w:p>
        </w:tc>
        <w:tc>
          <w:tcPr>
            <w:tcW w:w="3392" w:type="dxa"/>
            <w:vAlign w:val="center"/>
            <w:textDirection w:val="lrTb"/>
            <w:noWrap w:val="false"/>
          </w:tcPr>
          <w:p>
            <w:pPr>
              <w:pStyle w:val="741"/>
              <w:jc w:val="left"/>
              <w:spacing w:line="360" w:lineRule="auto"/>
              <w:rPr>
                <w:rFonts w:hint="eastAsia" w:ascii="宋体" w:hAnsi="宋体" w:cs="宋体"/>
                <w:spacing w:val="-3"/>
                <w:sz w:val="24"/>
                <w:szCs w:val="24"/>
              </w:rPr>
            </w:pPr>
            <w:r>
              <w:rPr>
                <w:rFonts w:hint="eastAsia" w:ascii="宋体" w:hAnsi="宋体" w:cs="宋体"/>
                <w:spacing w:val="-2"/>
                <w:sz w:val="24"/>
                <w:szCs w:val="24"/>
              </w:rPr>
              <w:t xml:space="preserve">投标人</w:t>
            </w:r>
            <w:r>
              <w:rPr>
                <w:rFonts w:hint="eastAsia" w:ascii="宋体" w:hAnsi="宋体" w:cs="宋体"/>
                <w:spacing w:val="-3"/>
                <w:sz w:val="24"/>
                <w:szCs w:val="24"/>
              </w:rPr>
              <w:t xml:space="preserve">应根据招标文件质保和维保的服务要求，针对本项目自身及所投产品的响应标准、服务体系、备件体系、故障解决方案、专业技术人员保障等售后服务承诺方案；服务方案应内容详实、科学合理、具备针对性、切实可行。</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方案优于招标文件要求的得6分；</w:t>
            </w:r>
            <w:r>
              <w:rPr>
                <w:rFonts w:hint="eastAsia" w:ascii="宋体" w:hAnsi="宋体" w:cs="宋体"/>
                <w:spacing w:val="-3"/>
                <w:sz w:val="24"/>
                <w:szCs w:val="24"/>
              </w:rPr>
            </w:r>
            <w:r/>
          </w:p>
          <w:p>
            <w:pPr>
              <w:pStyle w:val="741"/>
              <w:spacing w:line="360" w:lineRule="auto"/>
              <w:rPr>
                <w:rFonts w:hint="eastAsia" w:ascii="宋体" w:hAnsi="宋体" w:cs="宋体"/>
                <w:spacing w:val="-3"/>
                <w:sz w:val="24"/>
                <w:szCs w:val="24"/>
              </w:rPr>
            </w:pPr>
            <w:r>
              <w:rPr>
                <w:rFonts w:hint="eastAsia" w:ascii="宋体" w:hAnsi="宋体" w:cs="宋体"/>
                <w:spacing w:val="-3"/>
                <w:sz w:val="24"/>
                <w:szCs w:val="24"/>
              </w:rPr>
              <w:t xml:space="preserve">方案符合招标文件要求的得4分；</w:t>
            </w:r>
            <w:r>
              <w:rPr>
                <w:rFonts w:hint="eastAsia" w:ascii="宋体" w:hAnsi="宋体" w:cs="宋体"/>
                <w:spacing w:val="-3"/>
                <w:sz w:val="24"/>
                <w:szCs w:val="24"/>
              </w:rPr>
            </w:r>
            <w:r/>
          </w:p>
          <w:p>
            <w:pPr>
              <w:pStyle w:val="741"/>
              <w:spacing w:line="360" w:lineRule="auto"/>
              <w:rPr>
                <w:rFonts w:hint="eastAsia" w:ascii="宋体" w:hAnsi="宋体" w:cs="宋体"/>
                <w:spacing w:val="-2"/>
                <w:sz w:val="24"/>
                <w:szCs w:val="24"/>
                <w:lang w:val="zh-CN"/>
              </w:rPr>
            </w:pPr>
            <w:r>
              <w:rPr>
                <w:rFonts w:hint="eastAsia" w:ascii="宋体" w:hAnsi="宋体" w:cs="宋体"/>
                <w:spacing w:val="-3"/>
                <w:sz w:val="24"/>
                <w:szCs w:val="24"/>
              </w:rPr>
              <w:t xml:space="preserve">方案低于招标文件要求的得2分；不提供不得分。</w:t>
            </w:r>
            <w:r>
              <w:rPr>
                <w:rFonts w:hint="eastAsia" w:ascii="宋体" w:hAnsi="宋体" w:cs="宋体"/>
                <w:spacing w:val="-2"/>
                <w:sz w:val="24"/>
                <w:szCs w:val="24"/>
                <w:lang w:val="zh-CN"/>
              </w:rPr>
            </w:r>
            <w:r/>
          </w:p>
        </w:tc>
        <w:tc>
          <w:tcPr>
            <w:tcW w:w="507" w:type="dxa"/>
            <w:vAlign w:val="center"/>
            <w:textDirection w:val="lrTb"/>
            <w:noWrap w:val="false"/>
          </w:tcPr>
          <w:p>
            <w:pPr>
              <w:pStyle w:val="741"/>
              <w:jc w:val="center"/>
              <w:spacing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7</w:t>
            </w:r>
            <w:r>
              <w:rPr>
                <w:rFonts w:hint="eastAsia" w:ascii="宋体" w:hAnsi="宋体" w:cs="宋体"/>
                <w:spacing w:val="-2"/>
                <w:sz w:val="24"/>
                <w:szCs w:val="24"/>
                <w:lang w:val="zh-CN"/>
              </w:rPr>
            </w:r>
            <w:r/>
          </w:p>
        </w:tc>
        <w:tc>
          <w:tcPr>
            <w:tcW w:w="666" w:type="dxa"/>
            <w:vAlign w:val="center"/>
            <w:textDirection w:val="lrTb"/>
            <w:noWrap w:val="false"/>
          </w:tcPr>
          <w:p>
            <w:pPr>
              <w:pStyle w:val="741"/>
              <w:jc w:val="center"/>
              <w:spacing w:line="360" w:lineRule="auto"/>
              <w:rPr>
                <w:rFonts w:hint="eastAsia" w:ascii="宋体" w:hAnsi="宋体" w:cs="宋体"/>
                <w:spacing w:val="-3"/>
                <w:sz w:val="24"/>
                <w:szCs w:val="24"/>
              </w:rPr>
            </w:pPr>
            <w:r>
              <w:rPr>
                <w:rFonts w:hint="eastAsia" w:ascii="宋体" w:hAnsi="宋体" w:cs="宋体"/>
                <w:spacing w:val="-2"/>
                <w:sz w:val="24"/>
                <w:szCs w:val="24"/>
              </w:rPr>
              <w:t xml:space="preserve">企业业绩</w:t>
            </w:r>
            <w:r>
              <w:rPr>
                <w:rFonts w:hint="eastAsia" w:ascii="宋体" w:hAnsi="宋体" w:cs="宋体"/>
                <w:spacing w:val="-3"/>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自2023年1月1日（含）以来，投标人或厂家承担过类似项目业绩的，且通过验收的，每提供一项得2分，本项最高得12分。（投标文件中提供合同、合格的验收报告（须有用户签字及其单位盖章）、发票复印件加盖公章，时间以合同签订时间为准，业绩须包含核心产品，如果业绩里产品名称与核心产品名称不一致，则须提供相应功能的证明材料，未提供或提供不全不得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r>
      <w:tr>
        <w:trPr>
          <w:trHeight w:val="533"/>
        </w:trPr>
        <w:tc>
          <w:tcPr>
            <w:tcW w:w="434" w:type="dxa"/>
            <w:vAlign w:val="center"/>
            <w:textDirection w:val="lrTb"/>
            <w:noWrap w:val="false"/>
          </w:tcPr>
          <w:p>
            <w:pPr>
              <w:pStyle w:val="741"/>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3"/>
                <w:sz w:val="24"/>
                <w:szCs w:val="24"/>
              </w:rPr>
              <w:t xml:space="preserve">用户满意度评价</w:t>
            </w:r>
            <w:r>
              <w:rPr>
                <w:rFonts w:hint="eastAsia" w:ascii="宋体" w:hAnsi="宋体" w:cs="宋体"/>
                <w:spacing w:val="-2"/>
                <w:sz w:val="24"/>
                <w:szCs w:val="24"/>
              </w:rPr>
            </w:r>
            <w:r/>
          </w:p>
        </w:tc>
        <w:tc>
          <w:tcPr>
            <w:tcW w:w="3392" w:type="dxa"/>
            <w:vAlign w:val="center"/>
            <w:textDirection w:val="lrTb"/>
            <w:noWrap w:val="false"/>
          </w:tcPr>
          <w:p>
            <w:pPr>
              <w:pStyle w:val="757"/>
              <w:jc w:val="both"/>
              <w:spacing w:line="360" w:lineRule="auto"/>
              <w:rPr>
                <w:rFonts w:hint="eastAsia" w:ascii="宋体" w:hAnsi="宋体" w:cs="宋体"/>
                <w:spacing w:val="-3"/>
                <w:sz w:val="24"/>
                <w:szCs w:val="24"/>
              </w:rPr>
            </w:pPr>
            <w:r>
              <w:rPr>
                <w:rFonts w:hint="eastAsia" w:ascii="宋体" w:hAnsi="宋体" w:cs="宋体"/>
                <w:spacing w:val="-3"/>
                <w:sz w:val="24"/>
                <w:szCs w:val="24"/>
              </w:rPr>
              <w:t xml:space="preserve">提供过往服务单位出具的用户满意度评价证明（评价为"良好"及以上），每提供1份得1分，最高得6分。</w:t>
            </w:r>
            <w:r>
              <w:rPr>
                <w:rFonts w:hint="eastAsia" w:ascii="宋体" w:hAnsi="宋体" w:cs="宋体"/>
                <w:spacing w:val="-3"/>
                <w:sz w:val="24"/>
                <w:szCs w:val="24"/>
              </w:rPr>
            </w:r>
            <w:r/>
          </w:p>
        </w:tc>
        <w:tc>
          <w:tcPr>
            <w:tcW w:w="507" w:type="dxa"/>
            <w:vAlign w:val="center"/>
            <w:textDirection w:val="lrTb"/>
            <w:noWrap w:val="false"/>
          </w:tcPr>
          <w:p>
            <w:pPr>
              <w:pStyle w:val="741"/>
              <w:jc w:val="center"/>
              <w:spacing w:line="360" w:lineRule="auto"/>
              <w:rPr>
                <w:rFonts w:ascii="宋体" w:hAnsi="宋体" w:cs="宋体"/>
                <w:bCs/>
                <w:sz w:val="24"/>
                <w:szCs w:val="24"/>
              </w:rPr>
            </w:pPr>
            <w:r>
              <w:rPr>
                <w:rFonts w:hint="eastAsia" w:ascii="宋体" w:hAnsi="宋体" w:cs="宋体"/>
                <w:bCs/>
                <w:sz w:val="24"/>
                <w:szCs w:val="24"/>
              </w:rPr>
              <w:t xml:space="preserve">6分</w:t>
            </w:r>
            <w:r>
              <w:rPr>
                <w:rFonts w:ascii="宋体" w:hAnsi="宋体" w:cs="宋体"/>
                <w:bCs/>
                <w:sz w:val="24"/>
                <w:szCs w:val="24"/>
              </w:rPr>
            </w:r>
            <w:r/>
          </w:p>
        </w:tc>
      </w:tr>
      <w:tr>
        <w:trPr>
          <w:trHeight w:val="628"/>
        </w:trPr>
        <w:tc>
          <w:tcPr>
            <w:gridSpan w:val="3"/>
            <w:tcW w:w="8489" w:type="dxa"/>
            <w:vAlign w:val="center"/>
            <w:textDirection w:val="lrTb"/>
            <w:noWrap w:val="false"/>
          </w:tcPr>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rPr>
                <w:rFonts w:hint="eastAsia" w:ascii="宋体" w:hAnsi="宋体" w:cs="宋体"/>
                <w:b/>
                <w:bCs/>
                <w:sz w:val="24"/>
                <w:szCs w:val="24"/>
              </w:rPr>
            </w:r>
            <w:r/>
          </w:p>
        </w:tc>
        <w:tc>
          <w:tcPr>
            <w:tcW w:w="507" w:type="dxa"/>
            <w:vAlign w:val="center"/>
            <w:textDirection w:val="lrTb"/>
            <w:noWrap w:val="false"/>
          </w:tcPr>
          <w:p>
            <w:pPr>
              <w:pStyle w:val="741"/>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rPr>
                <w:rFonts w:hint="eastAsia" w:ascii="宋体" w:hAnsi="宋体" w:cs="宋体"/>
                <w:b/>
                <w:bCs/>
                <w:sz w:val="24"/>
                <w:szCs w:val="24"/>
              </w:rPr>
            </w:r>
            <w:r/>
          </w:p>
        </w:tc>
      </w:tr>
    </w:tbl>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22"/>
        <w:spacing w:line="312" w:lineRule="auto"/>
        <w:rPr>
          <w:rFonts w:hint="eastAsia" w:ascii="宋体" w:hAnsi="宋体" w:cs="宋体"/>
          <w:b/>
          <w:bCs/>
        </w:rPr>
      </w:pPr>
      <w:r/>
      <w:bookmarkStart w:id="191" w:name="_Hlk106727412"/>
      <w:r/>
      <w:bookmarkStart w:id="192" w:name="_Toc32487"/>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191"/>
      <w:r>
        <w:rPr>
          <w:rFonts w:hint="eastAsia" w:ascii="宋体" w:hAnsi="宋体" w:cs="宋体"/>
          <w:b/>
          <w:bCs/>
        </w:rPr>
      </w:r>
      <w:r/>
    </w:p>
    <w:p>
      <w:pPr>
        <w:pStyle w:val="741"/>
        <w:ind w:firstLine="422"/>
        <w:spacing w:line="312" w:lineRule="auto"/>
        <w:rPr>
          <w:rFonts w:hint="eastAsia" w:ascii="宋体" w:hAnsi="宋体" w:cs="宋体"/>
          <w:b/>
          <w:bCs/>
        </w:rPr>
      </w:pPr>
      <w:r>
        <w:rPr>
          <w:rFonts w:hint="eastAsia" w:ascii="宋体" w:hAnsi="宋体" w:cs="宋体"/>
          <w:b/>
          <w:bCs/>
        </w:rPr>
        <w:t xml:space="preserve">说明：</w:t>
      </w:r>
      <w:r>
        <w:rPr>
          <w:rFonts w:hint="eastAsia" w:ascii="宋体" w:hAnsi="宋体" w:cs="宋体"/>
          <w:b/>
          <w:bCs/>
        </w:rPr>
      </w:r>
      <w:r/>
    </w:p>
    <w:p>
      <w:pPr>
        <w:pStyle w:val="741"/>
        <w:ind w:firstLine="420"/>
        <w:spacing w:line="312" w:lineRule="auto"/>
        <w:rPr>
          <w:rFonts w:hint="eastAsia" w:ascii="宋体" w:hAnsi="宋体" w:cs="宋体"/>
          <w:bCs/>
        </w:rPr>
      </w:pPr>
      <w:r>
        <w:rPr>
          <w:rFonts w:hint="eastAsia" w:ascii="宋体" w:hAnsi="宋体" w:cs="宋体"/>
          <w:bCs/>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bCs/>
        </w:rPr>
      </w:r>
      <w:r/>
    </w:p>
    <w:p>
      <w:pPr>
        <w:pStyle w:val="741"/>
        <w:ind w:firstLine="420"/>
        <w:spacing w:line="312" w:lineRule="auto"/>
        <w:rPr>
          <w:rFonts w:hint="eastAsia" w:ascii="宋体" w:hAnsi="宋体" w:cs="宋体"/>
          <w:bCs/>
        </w:rPr>
      </w:pPr>
      <w:r>
        <w:rPr>
          <w:rFonts w:hint="eastAsia" w:ascii="宋体" w:hAnsi="宋体" w:cs="宋体"/>
          <w:bCs/>
        </w:rPr>
        <w:t xml:space="preserve">供应商提供的货物、工程或者服务符合下列情形的，享受本办法规定的中小企业扶持政策：</w:t>
      </w:r>
      <w:r>
        <w:rPr>
          <w:rFonts w:hint="eastAsia" w:ascii="宋体" w:hAnsi="宋体" w:cs="宋体"/>
          <w:bCs/>
        </w:rPr>
      </w:r>
      <w:r/>
    </w:p>
    <w:p>
      <w:pPr>
        <w:pStyle w:val="741"/>
        <w:ind w:firstLine="420"/>
        <w:spacing w:line="312" w:lineRule="auto"/>
        <w:rPr>
          <w:rFonts w:hint="eastAsia" w:ascii="宋体" w:hAnsi="宋体" w:cs="宋体"/>
          <w:bCs/>
        </w:rPr>
      </w:pPr>
      <w:r>
        <w:rPr>
          <w:rFonts w:hint="eastAsia" w:ascii="宋体" w:hAnsi="宋体" w:cs="宋体"/>
          <w:bCs/>
        </w:rPr>
        <w:t xml:space="preserve">（1）在货物采购项目中，货物由中小企业制造，即货物由中小企业生产且使用该中小企业商号或者注册商标；</w:t>
      </w:r>
      <w:r>
        <w:rPr>
          <w:rFonts w:hint="eastAsia" w:ascii="宋体" w:hAnsi="宋体" w:cs="宋体"/>
          <w:bCs/>
        </w:rPr>
      </w:r>
      <w:r/>
    </w:p>
    <w:p>
      <w:pPr>
        <w:pStyle w:val="741"/>
        <w:ind w:firstLine="420"/>
        <w:spacing w:line="312" w:lineRule="auto"/>
        <w:rPr>
          <w:rFonts w:hint="eastAsia" w:ascii="宋体" w:hAnsi="宋体" w:cs="宋体"/>
          <w:bCs/>
        </w:rPr>
      </w:pPr>
      <w:r>
        <w:rPr>
          <w:rFonts w:hint="eastAsia" w:ascii="宋体" w:hAnsi="宋体" w:cs="宋体"/>
          <w:bCs/>
        </w:rPr>
        <w:t xml:space="preserve">（2）在工程采购项目中，工程由中小企业承建，即工程施工单位为中小企业；</w:t>
      </w:r>
      <w:r>
        <w:rPr>
          <w:rFonts w:hint="eastAsia" w:ascii="宋体" w:hAnsi="宋体" w:cs="宋体"/>
          <w:bCs/>
        </w:rPr>
      </w:r>
      <w:r/>
    </w:p>
    <w:p>
      <w:pPr>
        <w:pStyle w:val="741"/>
        <w:ind w:firstLine="420"/>
        <w:spacing w:line="312" w:lineRule="auto"/>
        <w:rPr>
          <w:rFonts w:hint="eastAsia" w:ascii="宋体" w:hAnsi="宋体" w:cs="宋体"/>
          <w:bCs/>
        </w:rPr>
      </w:pPr>
      <w:r>
        <w:rPr>
          <w:rFonts w:hint="eastAsia" w:ascii="宋体" w:hAnsi="宋体" w:cs="宋体"/>
          <w:bCs/>
        </w:rPr>
        <w:t xml:space="preserve">（3）在服务采购项目中，服务由中小企业承接，即提供服务的人员为中小企业依照《中华人民共和国劳动合同法》订立劳动合同的从业人员。</w:t>
      </w:r>
      <w:r>
        <w:rPr>
          <w:rFonts w:hint="eastAsia" w:ascii="宋体" w:hAnsi="宋体" w:cs="宋体"/>
          <w:bCs/>
        </w:rPr>
      </w:r>
      <w:r/>
    </w:p>
    <w:p>
      <w:pPr>
        <w:pStyle w:val="741"/>
        <w:ind w:firstLine="420"/>
        <w:spacing w:line="312" w:lineRule="auto"/>
        <w:rPr>
          <w:rFonts w:hint="eastAsia" w:ascii="宋体" w:hAnsi="宋体" w:cs="宋体"/>
          <w:bCs/>
        </w:rPr>
      </w:pPr>
      <w:r>
        <w:rPr>
          <w:rFonts w:hint="eastAsia" w:ascii="宋体" w:hAnsi="宋体" w:cs="宋体"/>
          <w:bCs/>
        </w:rPr>
        <w:t xml:space="preserve">在货物采购项目中，供应商提供的货物既有中小企业制造货物，也有大型企业制造货物的，不享受本办法规定的中小企业扶持政策。</w:t>
      </w:r>
      <w:r>
        <w:rPr>
          <w:rFonts w:hint="eastAsia" w:ascii="宋体" w:hAnsi="宋体" w:cs="宋体"/>
          <w:bCs/>
        </w:rPr>
      </w:r>
      <w:r/>
    </w:p>
    <w:p>
      <w:pPr>
        <w:pStyle w:val="741"/>
        <w:ind w:firstLine="420"/>
        <w:spacing w:line="312" w:lineRule="auto"/>
        <w:rPr>
          <w:rFonts w:hint="eastAsia" w:ascii="宋体" w:hAnsi="宋体" w:cs="宋体"/>
          <w:bCs/>
        </w:rPr>
      </w:pPr>
      <w:r>
        <w:rPr>
          <w:rFonts w:hint="eastAsia" w:ascii="宋体" w:hAnsi="宋体" w:cs="宋体"/>
          <w:bCs/>
        </w:rPr>
        <w:t xml:space="preserve">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741"/>
        <w:ind w:firstLine="420"/>
        <w:spacing w:line="312" w:lineRule="auto"/>
        <w:rPr>
          <w:rFonts w:hint="eastAsia" w:ascii="宋体" w:hAnsi="宋体" w:cs="宋体"/>
          <w:bCs/>
        </w:rPr>
      </w:pPr>
      <w:r>
        <w:rPr>
          <w:rFonts w:hint="eastAsia" w:ascii="宋体" w:hAnsi="宋体" w:cs="宋体"/>
          <w:bCs/>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bCs/>
        </w:rPr>
      </w:r>
      <w:r/>
    </w:p>
    <w:p>
      <w:pPr>
        <w:pStyle w:val="741"/>
        <w:ind w:firstLine="420"/>
        <w:spacing w:line="312" w:lineRule="auto"/>
        <w:rPr>
          <w:rFonts w:hint="eastAsia" w:ascii="宋体" w:hAnsi="宋体" w:cs="宋体"/>
          <w:bCs/>
        </w:rPr>
      </w:pPr>
      <w:r>
        <w:rPr>
          <w:rFonts w:hint="eastAsia" w:ascii="宋体" w:hAnsi="宋体" w:cs="宋体"/>
          <w:bCs/>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或者大中型企业的报价给予2%的扣除，用扣除后的价格参加评审。组成联合体或者接受分包的小微企业与联合体内其他企业、分包企业之间存在直接控股、管理关系的，不享受价格扣除优惠政策。</w:t>
      </w:r>
      <w:r>
        <w:rPr>
          <w:rFonts w:hint="eastAsia" w:ascii="宋体" w:hAnsi="宋体" w:cs="宋体"/>
          <w:bCs/>
        </w:rPr>
      </w:r>
      <w:r/>
    </w:p>
    <w:p>
      <w:pPr>
        <w:pStyle w:val="741"/>
        <w:ind w:firstLine="420"/>
        <w:spacing w:line="312" w:lineRule="auto"/>
        <w:tabs>
          <w:tab w:val="left" w:pos="1080" w:leader="none"/>
          <w:tab w:val="left" w:pos="1589" w:leader="none"/>
        </w:tabs>
        <w:rPr>
          <w:rFonts w:hint="eastAsia" w:ascii="宋体" w:hAnsi="宋体" w:cs="宋体"/>
          <w:bCs/>
        </w:rPr>
      </w:pPr>
      <w:r>
        <w:rPr>
          <w:rFonts w:hint="eastAsia" w:ascii="宋体" w:hAnsi="宋体" w:cs="宋体"/>
          <w:bCs/>
        </w:rPr>
        <w:t xml:space="preserve">（四）采购本国产品的支持政策</w:t>
      </w:r>
      <w:r>
        <w:rPr>
          <w:rFonts w:hint="eastAsia" w:ascii="宋体" w:hAnsi="宋体" w:cs="宋体"/>
          <w:bCs/>
        </w:rPr>
      </w:r>
      <w:r/>
    </w:p>
    <w:p>
      <w:pPr>
        <w:pStyle w:val="741"/>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rPr>
      </w:r>
      <w:r/>
    </w:p>
    <w:p>
      <w:pPr>
        <w:pStyle w:val="741"/>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报价明细表”中填写比例数值），依法对该供应商提供的全部产品给予价格评审优惠，即对该供应商提供的全部产品的总报价给予20%的价格扣除，用扣除后的价格参与评审。</w:t>
      </w:r>
      <w:r>
        <w:rPr>
          <w:rFonts w:hint="eastAsia" w:ascii="宋体" w:hAnsi="宋体" w:cs="宋体"/>
        </w:rPr>
      </w:r>
      <w:r/>
    </w:p>
    <w:p>
      <w:pPr>
        <w:pStyle w:val="741"/>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rPr>
      </w:r>
      <w:r/>
    </w:p>
    <w:p>
      <w:pPr>
        <w:pStyle w:val="741"/>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r>
      <w:r/>
    </w:p>
    <w:p>
      <w:pPr>
        <w:pStyle w:val="741"/>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rPr>
      </w:r>
      <w:r/>
    </w:p>
    <w:p>
      <w:pPr>
        <w:pStyle w:val="741"/>
        <w:ind w:firstLine="420"/>
        <w:spacing w:line="312" w:lineRule="auto"/>
        <w:rPr>
          <w:rFonts w:hint="eastAsia" w:ascii="宋体" w:hAnsi="宋体" w:cs="宋体"/>
          <w:bCs/>
        </w:rPr>
      </w:pPr>
      <w:r>
        <w:rPr>
          <w:rFonts w:hint="eastAsia" w:ascii="宋体" w:hAnsi="宋体" w:cs="宋体"/>
          <w:bCs/>
        </w:rPr>
        <w:t xml:space="preserve">（五）异常低价审查</w:t>
      </w:r>
      <w:r>
        <w:rPr>
          <w:rFonts w:hint="eastAsia" w:ascii="宋体" w:hAnsi="宋体" w:cs="宋体"/>
          <w:bCs/>
        </w:rPr>
      </w:r>
      <w:r/>
    </w:p>
    <w:p>
      <w:pPr>
        <w:pStyle w:val="741"/>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评审过程中出现下列情形之一的，评标委员会应当启动异常低价投标审查程序:</w:t>
      </w:r>
      <w:r>
        <w:rPr>
          <w:rFonts w:hint="eastAsia" w:ascii="宋体" w:hAnsi="宋体" w:cs="宋体"/>
          <w:lang w:val="zh-CN"/>
        </w:rPr>
      </w:r>
      <w:r/>
    </w:p>
    <w:p>
      <w:pPr>
        <w:pStyle w:val="741"/>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报价低于全部通过符合性审查</w:t>
      </w:r>
      <w:r>
        <w:rPr>
          <w:rFonts w:hint="eastAsia" w:ascii="宋体" w:hAnsi="宋体" w:cs="宋体"/>
        </w:rPr>
        <w:t xml:space="preserve">投标人</w:t>
      </w:r>
      <w:r>
        <w:rPr>
          <w:rFonts w:hint="eastAsia" w:ascii="宋体" w:hAnsi="宋体" w:cs="宋体"/>
          <w:lang w:val="zh-CN"/>
        </w:rPr>
        <w:t xml:space="preserve">投标（响应）报价平均值50%的，即投标（响应）报价&lt;全部通过符合性审查</w:t>
      </w:r>
      <w:r>
        <w:rPr>
          <w:rFonts w:hint="eastAsia" w:ascii="宋体" w:hAnsi="宋体" w:cs="宋体"/>
        </w:rPr>
        <w:t xml:space="preserve">投标人</w:t>
      </w:r>
      <w:r>
        <w:rPr>
          <w:rFonts w:hint="eastAsia" w:ascii="宋体" w:hAnsi="宋体" w:cs="宋体"/>
          <w:lang w:val="zh-CN"/>
        </w:rPr>
        <w:t xml:space="preserve">投标（响应）报价平均值×50%；</w:t>
      </w:r>
      <w:r>
        <w:rPr>
          <w:rFonts w:hint="eastAsia" w:ascii="宋体" w:hAnsi="宋体" w:cs="宋体"/>
          <w:lang w:val="zh-CN"/>
        </w:rPr>
      </w:r>
      <w:r/>
    </w:p>
    <w:p>
      <w:pPr>
        <w:pStyle w:val="741"/>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报价低于通过符合性审查的次低报价供应商投标（响应）报价50%的，即投标（响应）报价&lt;通过符合性审查的次低报价供应商投标（响应）报价×50%；</w:t>
      </w:r>
      <w:r>
        <w:rPr>
          <w:rFonts w:hint="eastAsia" w:ascii="宋体" w:hAnsi="宋体" w:cs="宋体"/>
          <w:lang w:val="zh-CN"/>
        </w:rPr>
      </w:r>
      <w:r/>
    </w:p>
    <w:p>
      <w:pPr>
        <w:pStyle w:val="741"/>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报价低于采购项目最高限价45%的，即投标（响应）报价&lt;采购项目最高限价×45%；</w:t>
      </w:r>
      <w:r>
        <w:rPr>
          <w:rFonts w:hint="eastAsia" w:ascii="宋体" w:hAnsi="宋体" w:cs="宋体"/>
          <w:lang w:val="zh-CN"/>
        </w:rPr>
      </w:r>
      <w:r/>
    </w:p>
    <w:p>
      <w:pPr>
        <w:pStyle w:val="741"/>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（4）</w:t>
      </w:r>
      <w:r>
        <w:rPr>
          <w:rFonts w:hint="eastAsia" w:ascii="宋体" w:hAnsi="宋体" w:cs="宋体"/>
          <w:lang w:val="zh-CN"/>
        </w:rPr>
        <w:t xml:space="preserve">评审委员会基于专业判断，认为</w:t>
      </w:r>
      <w:r>
        <w:rPr>
          <w:rFonts w:hint="eastAsia" w:ascii="宋体" w:hAnsi="宋体" w:cs="宋体"/>
        </w:rPr>
        <w:t xml:space="preserve">投标人</w:t>
      </w:r>
      <w:r>
        <w:rPr>
          <w:rFonts w:hint="eastAsia" w:ascii="宋体" w:hAnsi="宋体" w:cs="宋体"/>
          <w:lang w:val="zh-CN"/>
        </w:rPr>
        <w:t xml:space="preserve">报价过低，有可能影响产品质量或者不能诚信履约的其他情形。针对异常低价，</w:t>
      </w:r>
      <w:r>
        <w:rPr>
          <w:rFonts w:hint="eastAsia" w:ascii="宋体" w:hAnsi="宋体" w:cs="宋体"/>
        </w:rPr>
        <w:t xml:space="preserve">投标人需</w:t>
      </w:r>
      <w:r>
        <w:rPr>
          <w:rFonts w:hint="eastAsia" w:ascii="宋体" w:hAnsi="宋体" w:cs="宋体"/>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rPr>
          <w:rFonts w:hint="eastAsia" w:ascii="宋体" w:hAnsi="宋体" w:cs="宋体"/>
        </w:rPr>
      </w:r>
      <w:r/>
    </w:p>
    <w:p>
      <w:pPr>
        <w:pStyle w:val="741"/>
        <w:ind w:firstLine="420"/>
        <w:spacing w:line="360" w:lineRule="auto"/>
        <w:rPr>
          <w:rFonts w:ascii="宋体" w:hAnsi="宋体" w:cs="宋体"/>
          <w:bCs/>
        </w:rPr>
        <w:sectPr>
          <w:footerReference w:type="default" r:id="rId16"/>
          <w:footnotePr/>
          <w:endnotePr/>
          <w:type w:val="nextPage"/>
          <w:pgSz w:w="11906" w:h="16838" w:orient="portrait"/>
          <w:pgMar w:top="1253" w:right="1253" w:bottom="1253" w:left="1253" w:header="851" w:footer="992" w:gutter="0"/>
          <w:cols w:num="1" w:sep="0" w:space="1701" w:equalWidth="1"/>
          <w:docGrid w:linePitch="360"/>
        </w:sectPr>
      </w:pPr>
      <w:r>
        <w:rPr>
          <w:rFonts w:ascii="宋体" w:hAnsi="宋体" w:cs="宋体"/>
          <w:bCs/>
        </w:rPr>
      </w:r>
      <w:r/>
    </w:p>
    <w:p>
      <w:pPr>
        <w:pStyle w:val="801"/>
        <w:pageBreakBefore/>
        <w:spacing w:after="319" w:line="360" w:lineRule="auto"/>
        <w:widowControl w:val="off"/>
        <w:rPr>
          <w:rStyle w:val="777"/>
          <w:rFonts w:hint="eastAsia" w:ascii="宋体" w:hAnsi="宋体" w:eastAsia="宋体" w:cs="宋体"/>
          <w:sz w:val="40"/>
          <w:szCs w:val="40"/>
        </w:rPr>
      </w:pPr>
      <w:r/>
      <w:bookmarkStart w:id="193" w:name="_Toc23386"/>
      <w:r/>
      <w:bookmarkStart w:id="194" w:name="_Toc4162"/>
      <w:r/>
      <w:bookmarkStart w:id="195" w:name="_Toc32227"/>
      <w:r/>
      <w:bookmarkStart w:id="196" w:name="_Toc8148"/>
      <w:r/>
      <w:bookmarkStart w:id="197" w:name="_Toc26517"/>
      <w:r/>
      <w:bookmarkStart w:id="198" w:name="_Toc2887"/>
      <w:r/>
      <w:bookmarkStart w:id="199" w:name="_Toc1249"/>
      <w:r/>
      <w:bookmarkStart w:id="200" w:name="_Toc17689"/>
      <w:r/>
      <w:bookmarkStart w:id="201" w:name="_Toc7926"/>
      <w:r/>
      <w:bookmarkStart w:id="202" w:name="_Toc24020"/>
      <w:r/>
      <w:bookmarkStart w:id="203" w:name="_Toc2670"/>
      <w:r/>
      <w:bookmarkStart w:id="204" w:name="_Toc3075"/>
      <w:r/>
      <w:bookmarkStart w:id="205" w:name="_Toc22895"/>
      <w:r>
        <w:rPr>
          <w:rStyle w:val="777"/>
          <w:rFonts w:hint="eastAsia" w:ascii="宋体" w:hAnsi="宋体" w:eastAsia="宋体" w:cs="宋体"/>
          <w:sz w:val="40"/>
          <w:szCs w:val="40"/>
        </w:rPr>
        <w:t xml:space="preserve">第六章  投标文件格式</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Style w:val="777"/>
          <w:rFonts w:hint="eastAsia" w:ascii="宋体" w:hAnsi="宋体" w:eastAsia="宋体" w:cs="宋体"/>
          <w:sz w:val="40"/>
          <w:szCs w:val="40"/>
        </w:rPr>
      </w:r>
      <w:r/>
    </w:p>
    <w:p>
      <w:pPr>
        <w:pStyle w:val="741"/>
        <w:ind w:firstLine="1928"/>
        <w:jc w:val="center"/>
        <w:spacing w:line="360" w:lineRule="auto"/>
        <w:rPr>
          <w:rFonts w:hint="eastAsia" w:ascii="宋体" w:hAnsi="宋体" w:cs="宋体"/>
          <w:b/>
          <w:bCs/>
          <w:sz w:val="96"/>
          <w:szCs w:val="96"/>
        </w:rPr>
      </w:pPr>
      <w:r>
        <w:rPr>
          <w:rFonts w:hint="eastAsia" w:ascii="宋体" w:hAnsi="宋体" w:cs="宋体"/>
          <w:b/>
          <w:bCs/>
          <w:sz w:val="96"/>
          <w:szCs w:val="96"/>
        </w:rPr>
      </w:r>
      <w:r/>
    </w:p>
    <w:p>
      <w:pPr>
        <w:pStyle w:val="741"/>
        <w:ind w:firstLine="1928"/>
        <w:jc w:val="center"/>
        <w:spacing w:line="360" w:lineRule="auto"/>
        <w:rPr>
          <w:rFonts w:hint="eastAsia" w:ascii="宋体" w:hAnsi="宋体" w:cs="宋体"/>
          <w:b/>
          <w:bCs/>
          <w:sz w:val="96"/>
          <w:szCs w:val="96"/>
        </w:rPr>
      </w:pPr>
      <w:r>
        <w:rPr>
          <w:rFonts w:hint="eastAsia" w:ascii="宋体" w:hAnsi="宋体" w:cs="宋体"/>
          <w:b/>
          <w:bCs/>
          <w:sz w:val="96"/>
          <w:szCs w:val="96"/>
        </w:rPr>
      </w:r>
      <w:r/>
    </w:p>
    <w:p>
      <w:pPr>
        <w:pStyle w:val="741"/>
        <w:jc w:val="center"/>
        <w:spacing w:line="360" w:lineRule="auto"/>
        <w:rPr>
          <w:rFonts w:hint="eastAsia" w:ascii="宋体" w:hAnsi="宋体" w:cs="宋体"/>
          <w:b/>
          <w:bCs/>
          <w:sz w:val="96"/>
          <w:szCs w:val="96"/>
        </w:rPr>
      </w:pPr>
      <w:r>
        <w:rPr>
          <w:rFonts w:hint="eastAsia" w:ascii="宋体" w:hAnsi="宋体" w:cs="宋体"/>
          <w:b/>
          <w:bCs/>
          <w:sz w:val="96"/>
          <w:szCs w:val="96"/>
        </w:rPr>
        <w:t xml:space="preserve">投 标 文 件</w:t>
      </w:r>
      <w:r>
        <w:rPr>
          <w:rFonts w:hint="eastAsia" w:ascii="宋体" w:hAnsi="宋体" w:cs="宋体"/>
          <w:b/>
          <w:bCs/>
          <w:sz w:val="96"/>
          <w:szCs w:val="96"/>
        </w:rPr>
      </w:r>
      <w:r/>
    </w:p>
    <w:p>
      <w:pPr>
        <w:pStyle w:val="741"/>
        <w:ind w:firstLine="1446"/>
        <w:spacing w:line="360" w:lineRule="auto"/>
        <w:rPr>
          <w:rFonts w:hint="eastAsia" w:ascii="宋体" w:hAnsi="宋体" w:cs="宋体"/>
          <w:b/>
          <w:bCs/>
          <w:sz w:val="72"/>
          <w:szCs w:val="72"/>
        </w:rPr>
      </w:pPr>
      <w:r>
        <w:rPr>
          <w:rFonts w:hint="eastAsia" w:ascii="宋体" w:hAnsi="宋体" w:cs="宋体"/>
          <w:b/>
          <w:bCs/>
          <w:sz w:val="72"/>
          <w:szCs w:val="72"/>
        </w:rPr>
      </w:r>
      <w:r/>
    </w:p>
    <w:p>
      <w:pPr>
        <w:pStyle w:val="741"/>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1"/>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1"/>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1"/>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1"/>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97"/>
        <w:ind w:firstLine="420"/>
        <w:spacing w:line="360" w:lineRule="auto"/>
        <w:rPr>
          <w:rFonts w:hint="eastAsia" w:ascii="宋体" w:hAnsi="宋体" w:cs="宋体"/>
        </w:rPr>
      </w:pPr>
      <w:r>
        <w:rPr>
          <w:rFonts w:hint="eastAsia" w:ascii="宋体" w:hAnsi="宋体" w:cs="宋体"/>
        </w:rPr>
      </w:r>
      <w:r/>
    </w:p>
    <w:p>
      <w:pPr>
        <w:pStyle w:val="741"/>
        <w:ind w:firstLine="1084"/>
        <w:spacing w:line="360" w:lineRule="auto"/>
        <w:rPr>
          <w:rFonts w:hint="eastAsia" w:ascii="宋体" w:hAnsi="宋体"/>
          <w:b/>
          <w:color w:val="000000"/>
          <w:sz w:val="36"/>
        </w:rPr>
      </w:pPr>
      <w:r>
        <w:rPr>
          <w:rFonts w:hint="eastAsia" w:ascii="宋体" w:hAnsi="宋体"/>
          <w:b/>
          <w:color w:val="000000"/>
          <w:sz w:val="36"/>
        </w:rPr>
        <w:t xml:space="preserve">项 目 名 称：（如有分包号请写明）</w:t>
      </w:r>
      <w:r>
        <w:rPr>
          <w:rFonts w:hint="eastAsia" w:ascii="宋体" w:hAnsi="宋体"/>
          <w:b/>
          <w:color w:val="000000"/>
          <w:sz w:val="36"/>
        </w:rPr>
      </w:r>
      <w:r/>
    </w:p>
    <w:p>
      <w:pPr>
        <w:pStyle w:val="741"/>
        <w:ind w:firstLine="1084"/>
        <w:spacing w:line="360" w:lineRule="auto"/>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741"/>
        <w:spacing w:line="360" w:lineRule="auto"/>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ascii="宋体" w:hAnsi="宋体"/>
          <w:b/>
          <w:color w:val="000000"/>
          <w:sz w:val="36"/>
          <w:u w:val="single"/>
        </w:rPr>
      </w:r>
      <w:r/>
    </w:p>
    <w:p>
      <w:pPr>
        <w:pStyle w:val="741"/>
        <w:spacing w:line="360" w:lineRule="auto"/>
        <w:rPr>
          <w:rFonts w:ascii="宋体" w:hAnsi="宋体"/>
          <w:b/>
          <w:color w:val="000000"/>
          <w:sz w:val="36"/>
          <w:u w:val="single"/>
        </w:rPr>
      </w:pPr>
      <w:r>
        <w:rPr>
          <w:rFonts w:hint="eastAsia" w:ascii="宋体" w:hAnsi="宋体"/>
          <w:b/>
          <w:color w:val="000000"/>
          <w:sz w:val="36"/>
        </w:rPr>
        <w:t xml:space="preserve">      日      期 ：</w:t>
      </w:r>
      <w:r>
        <w:rPr>
          <w:rFonts w:ascii="宋体" w:hAnsi="宋体"/>
          <w:b/>
          <w:color w:val="000000"/>
          <w:sz w:val="36"/>
          <w:u w:val="single"/>
        </w:rPr>
      </w:r>
      <w:r/>
    </w:p>
    <w:p>
      <w:pPr>
        <w:pStyle w:val="741"/>
        <w:jc w:val="center"/>
        <w:spacing w:line="360" w:lineRule="auto"/>
        <w:rPr>
          <w:rFonts w:hint="eastAsia" w:ascii="宋体" w:hAnsi="宋体" w:cs="宋体"/>
          <w:b/>
          <w:bCs/>
          <w:sz w:val="28"/>
          <w:szCs w:val="28"/>
        </w:rPr>
        <w:outlineLvl w:val="0"/>
      </w:pPr>
      <w:r>
        <w:rPr>
          <w:rFonts w:hint="eastAsia" w:ascii="宋体" w:hAnsi="宋体" w:cs="宋体"/>
          <w:b/>
          <w:bCs/>
          <w:sz w:val="36"/>
          <w:szCs w:val="36"/>
          <w:u w:val="single"/>
        </w:rPr>
        <w:br w:type="page" w:clear="all"/>
      </w:r>
      <w:bookmarkStart w:id="206" w:name="_Toc15260"/>
      <w:r/>
      <w:bookmarkStart w:id="207" w:name="_Toc3128"/>
      <w:r/>
      <w:bookmarkStart w:id="208" w:name="_Toc13790"/>
      <w:r/>
      <w:bookmarkStart w:id="209" w:name="_Toc16841"/>
      <w:r/>
      <w:bookmarkStart w:id="210" w:name="_Toc27980"/>
      <w:r/>
      <w:bookmarkStart w:id="211" w:name="_Toc10117"/>
      <w:r/>
      <w:bookmarkStart w:id="212" w:name="_Toc7141"/>
      <w:r/>
      <w:bookmarkStart w:id="213" w:name="_Toc19377"/>
      <w:r/>
      <w:bookmarkStart w:id="214" w:name="_Toc9946"/>
      <w:r/>
      <w:bookmarkStart w:id="215" w:name="_Toc23997"/>
      <w:r/>
      <w:bookmarkStart w:id="216" w:name="_Toc325"/>
      <w:r/>
      <w:bookmarkStart w:id="217" w:name="_Toc9076"/>
      <w:r/>
      <w:bookmarkStart w:id="218" w:name="_Toc10236"/>
      <w:r/>
      <w:bookmarkStart w:id="219" w:name="_Toc24811"/>
      <w:r/>
      <w:bookmarkStart w:id="220" w:name="_Toc624"/>
      <w:r/>
      <w:bookmarkStart w:id="221" w:name="_Toc16181"/>
      <w:r/>
      <w:bookmarkStart w:id="222" w:name="_Toc32113"/>
      <w:r/>
      <w:bookmarkStart w:id="223" w:name="_Toc18257"/>
      <w:r/>
      <w:bookmarkStart w:id="224" w:name="_Toc10180"/>
      <w:r/>
      <w:bookmarkStart w:id="225" w:name="_Toc8825"/>
      <w:r/>
      <w:bookmarkStart w:id="226" w:name="_Toc20614"/>
      <w:r/>
      <w:bookmarkStart w:id="227" w:name="_Toc16802"/>
      <w:r/>
      <w:bookmarkStart w:id="228" w:name="_Toc27729"/>
      <w:r/>
      <w:bookmarkStart w:id="229" w:name="_Toc3439"/>
      <w:r/>
      <w:bookmarkStart w:id="230" w:name="_Toc8204"/>
      <w:r/>
      <w:bookmarkStart w:id="231" w:name="_Toc6344"/>
      <w:r/>
      <w:bookmarkStart w:id="232" w:name="_Toc19645"/>
      <w:r/>
      <w:bookmarkStart w:id="233" w:name="_Toc24255"/>
      <w:r/>
      <w:bookmarkStart w:id="234" w:name="_Toc30261"/>
      <w:r/>
      <w:bookmarkStart w:id="235" w:name="_Toc31709"/>
      <w:r/>
      <w:bookmarkStart w:id="236" w:name="_Toc24970"/>
      <w:r/>
      <w:bookmarkStart w:id="237" w:name="_Toc22845"/>
      <w:r/>
      <w:bookmarkStart w:id="238" w:name="_Toc19311"/>
      <w:r/>
      <w:bookmarkStart w:id="239" w:name="_Toc21981"/>
      <w:r/>
      <w:bookmarkStart w:id="240" w:name="_Toc3515"/>
      <w:r>
        <w:rPr>
          <w:rFonts w:hint="eastAsia" w:ascii="宋体" w:hAnsi="宋体" w:cs="宋体"/>
          <w:b/>
          <w:bCs/>
          <w:sz w:val="36"/>
          <w:szCs w:val="36"/>
        </w:rPr>
        <w:t xml:space="preserve">评分索引表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cs="宋体"/>
          <w:b/>
          <w:bCs/>
          <w:sz w:val="28"/>
          <w:szCs w:val="28"/>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t xml:space="preserve">评分项目</w:t>
            </w: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t xml:space="preserve">在投标文件中的页码位置</w:t>
            </w: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41"/>
              <w:ind w:firstLine="422"/>
              <w:jc w:val="center"/>
              <w:spacing w:line="360" w:lineRule="auto"/>
              <w:rPr>
                <w:rFonts w:hint="eastAsia" w:ascii="宋体" w:hAnsi="宋体" w:cs="宋体"/>
                <w:b/>
                <w:bCs/>
              </w:rPr>
            </w:pPr>
            <w:r>
              <w:rPr>
                <w:rFonts w:hint="eastAsia" w:ascii="宋体" w:hAnsi="宋体" w:cs="宋体"/>
                <w:b/>
                <w:bCs/>
              </w:rPr>
            </w:r>
            <w:r/>
          </w:p>
        </w:tc>
      </w:tr>
    </w:tbl>
    <w:p>
      <w:pPr>
        <w:pStyle w:val="741"/>
        <w:ind w:firstLine="422"/>
        <w:jc w:val="center"/>
        <w:spacing w:line="360" w:lineRule="auto"/>
        <w:rPr>
          <w:rFonts w:hint="eastAsia" w:ascii="宋体" w:hAnsi="宋体" w:cs="宋体"/>
          <w:b/>
          <w:bCs/>
        </w:rPr>
      </w:pPr>
      <w:r>
        <w:rPr>
          <w:rFonts w:hint="eastAsia" w:ascii="宋体" w:hAnsi="宋体" w:cs="宋体"/>
          <w:b/>
          <w:bCs/>
        </w:rPr>
      </w:r>
      <w:r/>
    </w:p>
    <w:p>
      <w:pPr>
        <w:pStyle w:val="741"/>
        <w:ind w:firstLine="420"/>
        <w:jc w:val="center"/>
        <w:spacing w:line="360" w:lineRule="auto"/>
        <w:rPr>
          <w:rFonts w:hint="eastAsia" w:ascii="宋体" w:hAnsi="宋体" w:cs="宋体"/>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rPr>
      </w:r>
      <w:r/>
    </w:p>
    <w:p>
      <w:pPr>
        <w:pStyle w:val="74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741"/>
        <w:jc w:val="center"/>
        <w:spacing w:line="360" w:lineRule="auto"/>
        <w:rPr>
          <w:rFonts w:hint="eastAsia" w:ascii="宋体" w:hAnsi="宋体" w:cs="宋体"/>
          <w:b/>
          <w:bCs/>
          <w:sz w:val="36"/>
          <w:szCs w:val="36"/>
        </w:rPr>
        <w:outlineLvl w:val="0"/>
      </w:pPr>
      <w:r/>
      <w:bookmarkStart w:id="241" w:name="_Toc29317"/>
      <w:r/>
      <w:bookmarkStart w:id="242" w:name="_Toc10553"/>
      <w:r/>
      <w:bookmarkStart w:id="243" w:name="_Toc26191"/>
      <w:r/>
      <w:bookmarkStart w:id="244" w:name="_Toc7293"/>
      <w:r/>
      <w:bookmarkStart w:id="245" w:name="_Toc31637"/>
      <w:r/>
      <w:bookmarkStart w:id="246" w:name="_Toc17040"/>
      <w:r/>
      <w:bookmarkStart w:id="247" w:name="_Toc10455"/>
      <w:r/>
      <w:bookmarkStart w:id="248" w:name="_Toc29234"/>
      <w:r/>
      <w:bookmarkStart w:id="249" w:name="_Toc21645"/>
      <w:r/>
      <w:bookmarkStart w:id="250" w:name="_Toc18332"/>
      <w:r/>
      <w:bookmarkStart w:id="251" w:name="_Toc22991"/>
      <w:r/>
      <w:bookmarkStart w:id="252" w:name="_Toc15426"/>
      <w:r/>
      <w:bookmarkStart w:id="253" w:name="_Toc3120"/>
      <w:r/>
      <w:bookmarkStart w:id="254" w:name="_Toc6765"/>
      <w:r/>
      <w:bookmarkStart w:id="255" w:name="_Toc25654"/>
      <w:r/>
      <w:bookmarkStart w:id="256" w:name="_Toc10910"/>
      <w:r/>
      <w:bookmarkStart w:id="257" w:name="_Toc18766"/>
      <w:r/>
      <w:bookmarkStart w:id="258" w:name="_Toc27079"/>
      <w:r/>
      <w:bookmarkStart w:id="259" w:name="_Toc26768"/>
      <w:r/>
      <w:bookmarkStart w:id="260" w:name="_Toc24244"/>
      <w:r/>
      <w:bookmarkStart w:id="261" w:name="_Toc25607"/>
      <w:r/>
      <w:bookmarkStart w:id="262" w:name="_Toc26540"/>
      <w:r/>
      <w:bookmarkStart w:id="263" w:name="_Toc16"/>
      <w:r/>
      <w:bookmarkStart w:id="264" w:name="_Toc17679"/>
      <w:r/>
      <w:bookmarkStart w:id="265" w:name="_Toc2003"/>
      <w:r/>
      <w:bookmarkStart w:id="266" w:name="_Toc5535"/>
      <w:r/>
      <w:bookmarkStart w:id="267" w:name="_Toc29815"/>
      <w:r/>
      <w:bookmarkStart w:id="268" w:name="_Toc24617"/>
      <w:r/>
      <w:bookmarkStart w:id="269" w:name="_Toc17389"/>
      <w:r/>
      <w:bookmarkStart w:id="270" w:name="_Toc29085"/>
      <w:r/>
      <w:bookmarkStart w:id="271" w:name="_Toc9275"/>
      <w:r/>
      <w:bookmarkStart w:id="272" w:name="_Toc21464"/>
      <w:r/>
      <w:bookmarkStart w:id="273" w:name="_Toc11199"/>
      <w:r/>
      <w:bookmarkStart w:id="274" w:name="_Toc32584"/>
      <w:r/>
      <w:bookmarkStart w:id="275" w:name="_Toc30766"/>
      <w:r/>
      <w:bookmarkStart w:id="276" w:name="_Toc6413"/>
      <w:r>
        <w:rPr>
          <w:rFonts w:hint="eastAsia" w:ascii="宋体" w:hAnsi="宋体" w:cs="宋体"/>
          <w:b/>
          <w:bCs/>
          <w:sz w:val="36"/>
          <w:szCs w:val="36"/>
        </w:rPr>
        <w:t xml:space="preserve">投标文件目录</w:t>
      </w:r>
      <w:r>
        <w:rPr>
          <w:rFonts w:hint="eastAsia" w:ascii="宋体" w:hAnsi="宋体" w:cs="宋体"/>
          <w:b/>
          <w:bCs/>
          <w:sz w:val="36"/>
          <w:szCs w:val="36"/>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一、资格要求的证明文件</w:t>
      </w:r>
      <w:r>
        <w:rPr>
          <w:rFonts w:hint="eastAsia" w:ascii="宋体" w:hAnsi="宋体" w:cs="宋体"/>
          <w:sz w:val="24"/>
          <w:szCs w:val="24"/>
        </w:rPr>
      </w:r>
      <w:r/>
    </w:p>
    <w:p>
      <w:pPr>
        <w:pStyle w:val="741"/>
        <w:ind w:firstLine="560"/>
        <w:spacing w:line="360" w:lineRule="auto"/>
        <w:rPr>
          <w:rFonts w:ascii="宋体" w:hAnsi="宋体" w:cs="宋体"/>
          <w:sz w:val="24"/>
          <w:szCs w:val="24"/>
        </w:rPr>
      </w:pPr>
      <w:r>
        <w:rPr>
          <w:rFonts w:hint="eastAsia" w:ascii="宋体" w:hAnsi="宋体" w:cs="宋体"/>
          <w:sz w:val="24"/>
          <w:szCs w:val="24"/>
        </w:rPr>
        <w:t xml:space="preserve">二、投标函</w:t>
      </w:r>
      <w:r>
        <w:rPr>
          <w:rFonts w:ascii="宋体" w:hAnsi="宋体" w:cs="宋体"/>
          <w:sz w:val="24"/>
          <w:szCs w:val="24"/>
        </w:rPr>
      </w:r>
      <w:r/>
    </w:p>
    <w:p>
      <w:pPr>
        <w:pStyle w:val="741"/>
        <w:ind w:firstLine="560"/>
        <w:spacing w:line="360" w:lineRule="auto"/>
        <w:rPr>
          <w:rFonts w:ascii="宋体" w:hAnsi="宋体" w:cs="宋体"/>
          <w:sz w:val="24"/>
          <w:szCs w:val="24"/>
        </w:rPr>
      </w:pPr>
      <w:r>
        <w:rPr>
          <w:rFonts w:hint="eastAsia" w:ascii="宋体" w:hAnsi="宋体" w:cs="宋体"/>
          <w:sz w:val="24"/>
          <w:szCs w:val="24"/>
        </w:rPr>
        <w:t xml:space="preserve">三、法定代表人授权委托书</w:t>
      </w:r>
      <w:r>
        <w:rPr>
          <w:rFonts w:ascii="宋体" w:hAnsi="宋体" w:cs="宋体"/>
          <w:sz w:val="24"/>
          <w:szCs w:val="24"/>
        </w:rPr>
      </w:r>
      <w:r/>
    </w:p>
    <w:p>
      <w:pPr>
        <w:pStyle w:val="741"/>
        <w:ind w:firstLine="560"/>
        <w:spacing w:line="360" w:lineRule="auto"/>
        <w:rPr>
          <w:rFonts w:ascii="宋体" w:hAnsi="宋体" w:cs="宋体"/>
          <w:sz w:val="24"/>
          <w:szCs w:val="24"/>
        </w:rPr>
      </w:pPr>
      <w:r>
        <w:rPr>
          <w:rFonts w:hint="eastAsia" w:ascii="宋体" w:hAnsi="宋体" w:cs="宋体"/>
          <w:sz w:val="24"/>
          <w:szCs w:val="24"/>
        </w:rPr>
        <w:t xml:space="preserve">四、开标一览表</w:t>
      </w:r>
      <w:r>
        <w:rPr>
          <w:rFonts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五、报价明细表</w:t>
      </w:r>
      <w:r>
        <w:rPr>
          <w:rFonts w:hint="eastAsia"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六、技术要求响应及偏离表</w:t>
      </w:r>
      <w:r>
        <w:rPr>
          <w:rFonts w:hint="eastAsia"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七、商务要求响应及偏离表</w:t>
      </w:r>
      <w:r>
        <w:rPr>
          <w:rFonts w:hint="eastAsia" w:ascii="宋体" w:hAnsi="宋体" w:cs="宋体"/>
          <w:sz w:val="24"/>
          <w:szCs w:val="24"/>
        </w:rPr>
      </w:r>
      <w:r/>
    </w:p>
    <w:p>
      <w:pPr>
        <w:pStyle w:val="741"/>
        <w:ind w:firstLine="560"/>
        <w:spacing w:line="360" w:lineRule="auto"/>
        <w:rPr>
          <w:rFonts w:ascii="宋体" w:hAnsi="宋体" w:cs="宋体"/>
          <w:sz w:val="24"/>
          <w:szCs w:val="24"/>
        </w:rPr>
      </w:pPr>
      <w:r>
        <w:rPr>
          <w:rFonts w:hint="eastAsia" w:ascii="宋体" w:hAnsi="宋体" w:cs="宋体"/>
          <w:sz w:val="24"/>
          <w:szCs w:val="24"/>
        </w:rPr>
        <w:t xml:space="preserve">八、业绩</w:t>
      </w:r>
      <w:r>
        <w:rPr>
          <w:rFonts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九、相关附表格式</w:t>
      </w:r>
      <w:r>
        <w:rPr>
          <w:rFonts w:hint="eastAsia"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附件1具备履行合同所必需的设备和专业技术能力的书面声明</w:t>
      </w:r>
      <w:r>
        <w:rPr>
          <w:rFonts w:hint="eastAsia"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附件2三年内无重大违纪声明</w:t>
      </w:r>
      <w:r>
        <w:rPr>
          <w:rFonts w:hint="eastAsia"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附件3中小企业声明函（如有）</w:t>
      </w:r>
      <w:r>
        <w:rPr>
          <w:rFonts w:hint="eastAsia"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附件4残疾人福利性单位声明函（如有）</w:t>
      </w:r>
      <w:r>
        <w:rPr>
          <w:rFonts w:hint="eastAsia"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十、方案（格式自拟）</w:t>
      </w:r>
      <w:r>
        <w:rPr>
          <w:rFonts w:hint="eastAsia" w:ascii="宋体" w:hAnsi="宋体" w:cs="宋体"/>
          <w:sz w:val="24"/>
          <w:szCs w:val="24"/>
        </w:rPr>
      </w:r>
      <w:r/>
    </w:p>
    <w:p>
      <w:pPr>
        <w:pStyle w:val="741"/>
        <w:ind w:firstLine="560"/>
        <w:spacing w:line="360" w:lineRule="auto"/>
        <w:rPr>
          <w:rFonts w:hint="eastAsia" w:ascii="宋体" w:hAnsi="宋体" w:cs="宋体"/>
          <w:sz w:val="24"/>
          <w:szCs w:val="24"/>
        </w:rPr>
      </w:pPr>
      <w:r>
        <w:rPr>
          <w:rFonts w:hint="eastAsia" w:ascii="宋体" w:hAnsi="宋体" w:cs="宋体"/>
          <w:sz w:val="24"/>
          <w:szCs w:val="24"/>
        </w:rPr>
        <w:t xml:space="preserve">十一、其他（如有）</w:t>
      </w:r>
      <w:r>
        <w:rPr>
          <w:rFonts w:hint="eastAsia" w:ascii="宋体" w:hAnsi="宋体" w:cs="宋体"/>
          <w:sz w:val="24"/>
          <w:szCs w:val="24"/>
        </w:rPr>
      </w:r>
      <w:r/>
    </w:p>
    <w:p>
      <w:pPr>
        <w:pStyle w:val="762"/>
        <w:ind w:firstLine="482"/>
        <w:spacing w:line="360" w:lineRule="auto"/>
        <w:rPr>
          <w:rFonts w:hint="eastAsia"/>
          <w:b/>
          <w:bCs/>
          <w:sz w:val="24"/>
          <w:szCs w:val="24"/>
        </w:rPr>
      </w:pPr>
      <w:r>
        <w:rPr>
          <w:rFonts w:hint="eastAsia"/>
          <w:b/>
          <w:bCs/>
          <w:sz w:val="24"/>
          <w:szCs w:val="24"/>
        </w:rPr>
        <w:t xml:space="preserve">注：如招标文件中提供的投标文件格式与苏采云系统内不一致的，以招标文件内的格式为准。</w:t>
      </w:r>
      <w:r>
        <w:rPr>
          <w:rFonts w:hint="eastAsia"/>
          <w:b/>
          <w:bCs/>
          <w:sz w:val="24"/>
          <w:szCs w:val="24"/>
        </w:rPr>
      </w:r>
      <w:r/>
    </w:p>
    <w:p>
      <w:pPr>
        <w:pStyle w:val="741"/>
        <w:ind w:firstLine="420"/>
        <w:jc w:val="center"/>
        <w:spacing w:line="360" w:lineRule="auto"/>
        <w:rPr>
          <w:rFonts w:hint="eastAsia" w:ascii="宋体" w:hAnsi="宋体" w:cs="宋体"/>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rPr>
      </w:r>
      <w:r/>
    </w:p>
    <w:p>
      <w:pPr>
        <w:pStyle w:val="803"/>
        <w:numPr>
          <w:ilvl w:val="0"/>
          <w:numId w:val="0"/>
        </w:numPr>
        <w:jc w:val="center"/>
        <w:spacing w:line="360" w:lineRule="auto"/>
        <w:tabs>
          <w:tab w:val="left" w:pos="720" w:leader="none"/>
        </w:tabs>
        <w:rPr>
          <w:rFonts w:ascii="宋体" w:hAnsi="宋体" w:cs="宋体"/>
          <w:sz w:val="36"/>
          <w:szCs w:val="36"/>
        </w:rPr>
        <w:sectPr>
          <w:footnotePr/>
          <w:endnotePr/>
          <w:type w:val="nextPage"/>
          <w:pgSz w:w="11906" w:h="16838" w:orient="portrait"/>
          <w:pgMar w:top="1253" w:right="1253" w:bottom="1253" w:left="1253" w:header="851" w:footer="992" w:gutter="0"/>
          <w:cols w:num="1" w:sep="0" w:space="1701" w:equalWidth="1"/>
          <w:docGrid w:linePitch="360"/>
        </w:sectPr>
        <w:outlineLvl w:val="0"/>
      </w:pPr>
      <w:r/>
      <w:bookmarkStart w:id="277" w:name="_Toc27490"/>
      <w:r/>
      <w:bookmarkStart w:id="278" w:name="_Toc26248"/>
      <w:r/>
      <w:bookmarkStart w:id="279" w:name="_Toc13021"/>
      <w:r/>
      <w:bookmarkStart w:id="280" w:name="_Toc5004"/>
      <w:r/>
      <w:bookmarkStart w:id="281" w:name="_Toc21364"/>
      <w:r/>
      <w:bookmarkStart w:id="282" w:name="_Toc8210"/>
      <w:r/>
      <w:bookmarkStart w:id="283" w:name="_Toc21025"/>
      <w:r/>
      <w:bookmarkStart w:id="284" w:name="_Toc24550"/>
      <w:r/>
      <w:bookmarkStart w:id="285" w:name="_Toc28732"/>
      <w:r/>
      <w:bookmarkStart w:id="286" w:name="_Toc7831"/>
      <w:r/>
      <w:bookmarkStart w:id="287" w:name="_Toc28812"/>
      <w:r/>
      <w:bookmarkStart w:id="288" w:name="_Toc914"/>
      <w:r/>
      <w:bookmarkStart w:id="289" w:name="_Toc3946"/>
      <w:r/>
      <w:bookmarkStart w:id="290" w:name="_Toc21846"/>
      <w:r/>
      <w:bookmarkStart w:id="291" w:name="_Toc25168"/>
      <w:r/>
      <w:bookmarkStart w:id="292" w:name="_Toc647"/>
      <w:r/>
      <w:bookmarkStart w:id="293" w:name="_Toc17653"/>
      <w:r/>
      <w:bookmarkStart w:id="294" w:name="_Toc17699"/>
      <w:r/>
      <w:bookmarkStart w:id="295" w:name="_Toc30011"/>
      <w:r/>
      <w:bookmarkStart w:id="296" w:name="_Toc9629"/>
      <w:r/>
      <w:bookmarkStart w:id="297" w:name="_Toc22113"/>
      <w:r/>
      <w:bookmarkStart w:id="298" w:name="_Toc11416"/>
      <w:r/>
      <w:bookmarkStart w:id="299" w:name="_Toc17975"/>
      <w:r/>
      <w:bookmarkStart w:id="300" w:name="_Toc29984"/>
      <w:r/>
      <w:bookmarkStart w:id="301" w:name="_Toc25077"/>
      <w:r/>
      <w:bookmarkStart w:id="302" w:name="_Toc18438"/>
      <w:r/>
      <w:bookmarkStart w:id="303" w:name="_Toc21876"/>
      <w:r/>
      <w:bookmarkStart w:id="304" w:name="_Toc25851"/>
      <w:r/>
      <w:bookmarkStart w:id="305" w:name="_Toc23097"/>
      <w:r/>
      <w:bookmarkStart w:id="306" w:name="_Toc9834"/>
      <w:r/>
      <w:bookmarkStart w:id="307" w:name="_Toc20350"/>
      <w:r/>
      <w:bookmarkStart w:id="308" w:name="_Toc25377"/>
      <w:r/>
      <w:bookmarkStart w:id="309" w:name="_Toc7406"/>
      <w:r/>
      <w:bookmarkStart w:id="310" w:name="_Toc29907"/>
      <w:r/>
      <w:bookmarkStart w:id="311" w:name="_Toc18353"/>
      <w:r/>
      <w:bookmarkStart w:id="312" w:name="_Toc28731"/>
      <w:r>
        <w:rPr>
          <w:rFonts w:hint="eastAsia" w:ascii="宋体" w:hAnsi="宋体" w:cs="宋体"/>
          <w:sz w:val="36"/>
          <w:szCs w:val="36"/>
        </w:rPr>
        <w:t xml:space="preserve">一、资格要求证明文件</w:t>
      </w:r>
      <w:r>
        <w:rPr>
          <w:rFonts w:ascii="宋体" w:hAnsi="宋体" w:cs="宋体"/>
          <w:sz w:val="36"/>
          <w:szCs w:val="36"/>
        </w:rPr>
      </w:r>
      <w:r/>
    </w:p>
    <w:p>
      <w:pPr>
        <w:pStyle w:val="803"/>
        <w:numPr>
          <w:ilvl w:val="0"/>
          <w:numId w:val="0"/>
        </w:numPr>
        <w:jc w:val="center"/>
        <w:spacing w:line="360" w:lineRule="auto"/>
        <w:tabs>
          <w:tab w:val="left" w:pos="720" w:leader="none"/>
        </w:tabs>
        <w:rPr>
          <w:rFonts w:hint="eastAsia" w:ascii="宋体" w:hAnsi="宋体" w:cs="宋体"/>
          <w:sz w:val="36"/>
          <w:szCs w:val="36"/>
        </w:rPr>
        <w:outlineLvl w:val="0"/>
      </w:pPr>
      <w:r>
        <w:rPr>
          <w:rFonts w:hint="eastAsia" w:ascii="宋体" w:hAnsi="宋体" w:cs="宋体"/>
          <w:sz w:val="36"/>
          <w:szCs w:val="36"/>
        </w:rPr>
        <w:t xml:space="preserve">二、投标函</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hint="eastAsia" w:ascii="宋体" w:hAnsi="宋体" w:cs="宋体"/>
          <w:sz w:val="36"/>
          <w:szCs w:val="36"/>
        </w:rPr>
      </w:r>
      <w:r/>
    </w:p>
    <w:p>
      <w:pPr>
        <w:pStyle w:val="799"/>
        <w:ind w:firstLine="0"/>
        <w:spacing w:before="0" w:after="0"/>
        <w:rPr>
          <w:rFonts w:ascii="宋体" w:hAnsi="宋体"/>
          <w:szCs w:val="21"/>
        </w:rPr>
      </w:pPr>
      <w:r>
        <w:rPr>
          <w:rFonts w:hint="eastAsia" w:ascii="宋体" w:hAnsi="宋体"/>
          <w:szCs w:val="21"/>
        </w:rPr>
        <w:t xml:space="preserve">致：南京达琛鑫工程咨询有限公司</w:t>
      </w:r>
      <w:r>
        <w:rPr>
          <w:rFonts w:ascii="宋体" w:hAnsi="宋体"/>
          <w:szCs w:val="21"/>
        </w:rPr>
      </w:r>
      <w:r/>
    </w:p>
    <w:p>
      <w:pPr>
        <w:pStyle w:val="799"/>
        <w:spacing w:before="0" w:after="0"/>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lang w:val="zh-CN"/>
        </w:rPr>
        <w:t xml:space="preserve">（项目编号）</w:t>
      </w:r>
      <w:r>
        <w:rPr>
          <w:rFonts w:hint="eastAsia" w:ascii="宋体" w:hAnsi="宋体"/>
          <w:szCs w:val="21"/>
        </w:rPr>
        <w:t xml:space="preserve">招标文件，正式授权下述签字人</w:t>
      </w:r>
      <w:r>
        <w:rPr>
          <w:rFonts w:hint="eastAsia" w:ascii="宋体" w:hAnsi="宋体"/>
          <w:szCs w:val="21"/>
          <w:u w:val="single"/>
        </w:rPr>
        <w:t xml:space="preserve">     </w:t>
      </w:r>
      <w:r>
        <w:rPr>
          <w:rFonts w:hint="eastAsia" w:ascii="宋体" w:hAnsi="宋体"/>
          <w:szCs w:val="21"/>
        </w:rPr>
        <w:t xml:space="preserve">(姓名)代表我方</w:t>
      </w:r>
      <w:r>
        <w:rPr>
          <w:rFonts w:hint="eastAsia" w:ascii="宋体" w:hAnsi="宋体"/>
          <w:szCs w:val="21"/>
          <w:u w:val="single"/>
        </w:rPr>
        <w:t xml:space="preserve">        </w:t>
      </w:r>
      <w:r>
        <w:rPr>
          <w:rFonts w:hint="eastAsia" w:ascii="宋体" w:hAnsi="宋体"/>
          <w:szCs w:val="21"/>
        </w:rPr>
        <w:t xml:space="preserve">（投标人的名称），全权处理本次项目投标的有关事宜。</w:t>
      </w:r>
      <w:r>
        <w:rPr>
          <w:rFonts w:ascii="宋体" w:hAnsi="宋体"/>
          <w:szCs w:val="21"/>
        </w:rPr>
      </w:r>
      <w:r/>
    </w:p>
    <w:p>
      <w:pPr>
        <w:pStyle w:val="799"/>
        <w:spacing w:before="0" w:after="0"/>
        <w:rPr>
          <w:rFonts w:ascii="宋体" w:hAnsi="宋体"/>
          <w:szCs w:val="21"/>
        </w:rPr>
      </w:pPr>
      <w:r>
        <w:rPr>
          <w:rFonts w:hint="eastAsia" w:ascii="宋体" w:hAnsi="宋体"/>
          <w:szCs w:val="21"/>
        </w:rPr>
        <w:t xml:space="preserve">据此函，签字人兹宣布同意如下：</w:t>
      </w:r>
      <w:r>
        <w:rPr>
          <w:rFonts w:ascii="宋体" w:hAnsi="宋体"/>
          <w:szCs w:val="21"/>
        </w:rPr>
      </w:r>
      <w:r/>
    </w:p>
    <w:p>
      <w:pPr>
        <w:pStyle w:val="799"/>
        <w:spacing w:before="0" w:after="0"/>
        <w:rPr>
          <w:rFonts w:ascii="宋体" w:hAnsi="宋体"/>
          <w:szCs w:val="21"/>
        </w:rPr>
      </w:pPr>
      <w:r>
        <w:rPr>
          <w:rFonts w:hint="eastAsia" w:ascii="宋体" w:hAnsi="宋体"/>
          <w:szCs w:val="21"/>
        </w:rPr>
        <w:t xml:space="preserve">1.按招标文件规定的各项要求，向买方提供所需货物（包含与货物相关的服务）。</w:t>
      </w:r>
      <w:r>
        <w:rPr>
          <w:rFonts w:ascii="宋体" w:hAnsi="宋体"/>
          <w:szCs w:val="21"/>
        </w:rPr>
      </w:r>
      <w:r/>
    </w:p>
    <w:p>
      <w:pPr>
        <w:pStyle w:val="799"/>
        <w:spacing w:before="0" w:after="0"/>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799"/>
        <w:spacing w:before="0" w:after="0"/>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799"/>
        <w:spacing w:before="0" w:after="0"/>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799"/>
        <w:spacing w:before="0" w:after="0"/>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799"/>
        <w:spacing w:before="0" w:after="0"/>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741"/>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rPr>
        <w:t xml:space="preserve">）</w:t>
      </w:r>
      <w:r>
        <w:rPr>
          <w:rFonts w:ascii="宋体" w:hAnsi="宋体"/>
          <w:sz w:val="24"/>
          <w:szCs w:val="24"/>
        </w:rPr>
      </w:r>
      <w:r/>
    </w:p>
    <w:p>
      <w:pPr>
        <w:pStyle w:val="799"/>
        <w:spacing w:before="0" w:after="0"/>
        <w:rPr>
          <w:rFonts w:ascii="宋体" w:hAnsi="宋体"/>
          <w:szCs w:val="21"/>
        </w:rPr>
      </w:pPr>
      <w:r>
        <w:rPr>
          <w:rFonts w:hint="eastAsia" w:ascii="宋体" w:hAnsi="宋体"/>
          <w:szCs w:val="21"/>
        </w:rPr>
        <w:t xml:space="preserve">8.与本投标有关的正式通讯地址为：</w:t>
      </w:r>
      <w:r>
        <w:rPr>
          <w:rFonts w:ascii="宋体" w:hAnsi="宋体"/>
          <w:szCs w:val="21"/>
        </w:rPr>
      </w:r>
      <w:r/>
    </w:p>
    <w:p>
      <w:pPr>
        <w:pStyle w:val="799"/>
        <w:ind w:left="420"/>
        <w:spacing w:before="0" w:after="0"/>
        <w:rPr>
          <w:rFonts w:ascii="宋体" w:hAnsi="宋体"/>
          <w:szCs w:val="21"/>
          <w:u w:val="single"/>
        </w:rPr>
      </w:pPr>
      <w:r>
        <w:rPr>
          <w:rFonts w:hint="eastAsia" w:ascii="宋体" w:hAnsi="宋体"/>
          <w:szCs w:val="21"/>
        </w:rPr>
        <w:t xml:space="preserve">投标人名称：</w:t>
      </w:r>
      <w:r>
        <w:rPr>
          <w:rFonts w:hint="eastAsia" w:ascii="宋体" w:hAnsi="宋体"/>
          <w:szCs w:val="21"/>
          <w:u w:val="single"/>
        </w:rPr>
        <w:t xml:space="preserve">（加盖CA电子公章）     </w:t>
      </w:r>
      <w:r>
        <w:rPr>
          <w:rFonts w:ascii="宋体" w:hAnsi="宋体"/>
          <w:szCs w:val="21"/>
          <w:u w:val="single"/>
        </w:rPr>
      </w:r>
      <w:r/>
    </w:p>
    <w:p>
      <w:pPr>
        <w:pStyle w:val="799"/>
        <w:ind w:left="420"/>
        <w:spacing w:before="0" w:after="0"/>
        <w:rPr>
          <w:rFonts w:ascii="宋体" w:hAnsi="宋体"/>
          <w:szCs w:val="21"/>
          <w:u w:val="single"/>
        </w:rPr>
      </w:pPr>
      <w:r>
        <w:rPr>
          <w:rFonts w:hint="eastAsia" w:ascii="宋体" w:hAnsi="宋体"/>
          <w:szCs w:val="21"/>
        </w:rPr>
        <w:t xml:space="preserve">地      址：</w:t>
      </w:r>
      <w:r>
        <w:rPr>
          <w:rFonts w:ascii="宋体" w:hAnsi="宋体"/>
          <w:szCs w:val="21"/>
          <w:u w:val="single"/>
        </w:rPr>
      </w:r>
      <w:r/>
    </w:p>
    <w:p>
      <w:pPr>
        <w:pStyle w:val="799"/>
        <w:ind w:left="420"/>
        <w:spacing w:before="0" w:after="0"/>
        <w:rPr>
          <w:rFonts w:ascii="宋体" w:hAnsi="宋体"/>
          <w:szCs w:val="21"/>
          <w:u w:val="single"/>
        </w:rPr>
      </w:pPr>
      <w:r>
        <w:rPr>
          <w:rFonts w:hint="eastAsia" w:ascii="宋体" w:hAnsi="宋体"/>
          <w:szCs w:val="21"/>
        </w:rPr>
        <w:t xml:space="preserve">邮      编：</w:t>
      </w:r>
      <w:r>
        <w:rPr>
          <w:rFonts w:ascii="宋体" w:hAnsi="宋体"/>
          <w:szCs w:val="21"/>
          <w:u w:val="single"/>
        </w:rPr>
      </w:r>
      <w:r/>
    </w:p>
    <w:p>
      <w:pPr>
        <w:pStyle w:val="799"/>
        <w:ind w:left="420"/>
        <w:spacing w:before="0" w:after="0"/>
        <w:rPr>
          <w:rFonts w:ascii="宋体" w:hAnsi="宋体"/>
          <w:szCs w:val="21"/>
          <w:u w:val="single"/>
        </w:rPr>
      </w:pPr>
      <w:r>
        <w:rPr>
          <w:rFonts w:hint="eastAsia" w:ascii="宋体" w:hAnsi="宋体"/>
          <w:szCs w:val="21"/>
        </w:rPr>
        <w:t xml:space="preserve">电      话：</w:t>
      </w:r>
      <w:r>
        <w:rPr>
          <w:rFonts w:ascii="宋体" w:hAnsi="宋体"/>
          <w:szCs w:val="21"/>
          <w:u w:val="single"/>
        </w:rPr>
      </w:r>
      <w:r/>
    </w:p>
    <w:p>
      <w:pPr>
        <w:pStyle w:val="799"/>
        <w:ind w:left="420"/>
        <w:spacing w:before="0" w:after="0"/>
        <w:rPr>
          <w:rFonts w:ascii="宋体" w:hAnsi="宋体"/>
          <w:szCs w:val="21"/>
          <w:u w:val="single"/>
        </w:rPr>
      </w:pPr>
      <w:r>
        <w:rPr>
          <w:rFonts w:hint="eastAsia" w:ascii="宋体" w:hAnsi="宋体"/>
          <w:szCs w:val="21"/>
        </w:rPr>
        <w:t xml:space="preserve">传      真：</w:t>
      </w:r>
      <w:r>
        <w:rPr>
          <w:rFonts w:ascii="宋体" w:hAnsi="宋体"/>
          <w:szCs w:val="21"/>
          <w:u w:val="single"/>
        </w:rPr>
      </w:r>
      <w:r/>
    </w:p>
    <w:p>
      <w:pPr>
        <w:pStyle w:val="799"/>
        <w:ind w:left="420"/>
        <w:spacing w:before="0" w:after="0"/>
        <w:rPr>
          <w:rFonts w:ascii="宋体" w:hAnsi="宋体"/>
          <w:szCs w:val="21"/>
          <w:u w:val="single"/>
        </w:rPr>
      </w:pPr>
      <w:r>
        <w:rPr>
          <w:rFonts w:hint="eastAsia" w:ascii="宋体" w:hAnsi="宋体"/>
          <w:szCs w:val="21"/>
        </w:rPr>
        <w:t xml:space="preserve">投标人开户行：</w:t>
      </w:r>
      <w:r>
        <w:rPr>
          <w:rFonts w:ascii="宋体" w:hAnsi="宋体"/>
          <w:szCs w:val="21"/>
          <w:u w:val="single"/>
        </w:rPr>
      </w:r>
      <w:r/>
    </w:p>
    <w:p>
      <w:pPr>
        <w:pStyle w:val="799"/>
        <w:ind w:left="420"/>
        <w:spacing w:before="0" w:after="0"/>
        <w:rPr>
          <w:rFonts w:ascii="宋体" w:hAnsi="宋体"/>
          <w:szCs w:val="21"/>
          <w:u w:val="single"/>
        </w:rPr>
      </w:pPr>
      <w:r>
        <w:rPr>
          <w:rFonts w:hint="eastAsia" w:ascii="宋体" w:hAnsi="宋体"/>
          <w:szCs w:val="21"/>
        </w:rPr>
        <w:t xml:space="preserve">账      号：</w:t>
      </w:r>
      <w:r>
        <w:rPr>
          <w:rFonts w:ascii="宋体" w:hAnsi="宋体"/>
          <w:szCs w:val="21"/>
          <w:u w:val="single"/>
        </w:rPr>
      </w:r>
      <w:r/>
    </w:p>
    <w:p>
      <w:pPr>
        <w:pStyle w:val="799"/>
        <w:ind w:left="420"/>
        <w:spacing w:before="0" w:after="0"/>
        <w:rPr>
          <w:rFonts w:hint="eastAsia" w:ascii="宋体" w:hAnsi="宋体"/>
          <w:szCs w:val="21"/>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szCs w:val="21"/>
        </w:rPr>
        <w:t xml:space="preserve">日      期：年月日</w:t>
      </w:r>
      <w:r>
        <w:rPr>
          <w:rFonts w:hint="eastAsia" w:ascii="宋体" w:hAnsi="宋体"/>
          <w:szCs w:val="21"/>
        </w:rPr>
      </w:r>
      <w:r/>
    </w:p>
    <w:p>
      <w:pPr>
        <w:pStyle w:val="741"/>
        <w:rPr>
          <w:rFonts w:hint="eastAsia"/>
        </w:rPr>
      </w:pPr>
      <w:r>
        <w:rPr>
          <w:rFonts w:hint="eastAsia"/>
        </w:rPr>
      </w:r>
      <w:r/>
    </w:p>
    <w:p>
      <w:pPr>
        <w:pStyle w:val="803"/>
        <w:numPr>
          <w:ilvl w:val="0"/>
          <w:numId w:val="0"/>
        </w:numPr>
        <w:jc w:val="center"/>
        <w:spacing w:line="360" w:lineRule="auto"/>
        <w:tabs>
          <w:tab w:val="left" w:pos="720" w:leader="none"/>
        </w:tabs>
        <w:rPr>
          <w:rFonts w:ascii="宋体" w:hAnsi="宋体" w:cs="宋体"/>
          <w:sz w:val="36"/>
          <w:szCs w:val="36"/>
        </w:rPr>
        <w:outlineLvl w:val="0"/>
      </w:pPr>
      <w:r>
        <w:rPr>
          <w:rFonts w:hint="eastAsia" w:ascii="宋体" w:hAnsi="宋体" w:cs="宋体"/>
          <w:sz w:val="36"/>
          <w:szCs w:val="36"/>
        </w:rPr>
        <w:t xml:space="preserve">三、法定代表人授权委托书</w:t>
      </w:r>
      <w:r>
        <w:rPr>
          <w:rFonts w:ascii="宋体" w:hAnsi="宋体" w:cs="宋体"/>
          <w:sz w:val="36"/>
          <w:szCs w:val="36"/>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 </w:t>
      </w:r>
      <w:r>
        <w:rPr>
          <w:rFonts w:hint="eastAsia" w:ascii="宋体" w:hAnsi="宋体" w:cs="宋体"/>
          <w:sz w:val="24"/>
          <w:szCs w:val="24"/>
          <w:u w:val="single"/>
        </w:rPr>
        <w:t xml:space="preserve">       </w:t>
      </w:r>
      <w:r>
        <w:rPr>
          <w:rFonts w:hint="eastAsia" w:ascii="宋体" w:hAnsi="宋体" w:cs="宋体"/>
          <w:sz w:val="24"/>
          <w:szCs w:val="24"/>
        </w:rPr>
        <w:t xml:space="preserve">（被授权人的姓名）为我方就</w:t>
      </w:r>
      <w:r>
        <w:rPr>
          <w:rFonts w:hint="eastAsia" w:ascii="宋体" w:hAnsi="宋体" w:cs="宋体"/>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rPr>
          <w:rFonts w:ascii="宋体" w:hAnsi="宋体" w:cs="宋体"/>
          <w:sz w:val="24"/>
          <w:szCs w:val="24"/>
        </w:rPr>
      </w:r>
      <w:r/>
    </w:p>
    <w:p>
      <w:pPr>
        <w:pStyle w:val="806"/>
        <w:ind w:firstLine="480"/>
        <w:tabs>
          <w:tab w:val="left" w:pos="360" w:leader="none"/>
        </w:tabs>
        <w:rPr>
          <w:rFonts w:ascii="宋体" w:hAnsi="宋体" w:cs="宋体"/>
        </w:rPr>
      </w:pPr>
      <w:r>
        <w:rPr>
          <w:rFonts w:hint="eastAsia" w:ascii="宋体" w:hAnsi="宋体" w:cs="宋体"/>
        </w:rPr>
        <w:t xml:space="preserve">本授权书于______年____月____日起生效，特此声明。</w:t>
      </w:r>
      <w:r>
        <w:rPr>
          <w:rFonts w:ascii="宋体" w:hAnsi="宋体" w:cs="宋体"/>
        </w:rPr>
      </w:r>
      <w:r/>
    </w:p>
    <w:p>
      <w:pPr>
        <w:pStyle w:val="806"/>
        <w:ind w:firstLine="480"/>
        <w:tabs>
          <w:tab w:val="left" w:pos="360" w:leader="none"/>
        </w:tabs>
        <w:rPr>
          <w:rFonts w:ascii="宋体" w:hAnsi="宋体" w:cs="宋体"/>
          <w:u w:val="single"/>
        </w:rPr>
      </w:pPr>
      <w:r/>
      <w:bookmarkStart w:id="313" w:name="_格式3__银行出具的资信证明"/>
      <w:r/>
      <w:bookmarkEnd w:id="313"/>
      <w:r/>
      <w:bookmarkStart w:id="314" w:name="_Hlt26955070"/>
      <w:r/>
      <w:bookmarkEnd w:id="314"/>
      <w:r/>
      <w:bookmarkStart w:id="315" w:name="_Hlt26671380"/>
      <w:r/>
      <w:bookmarkEnd w:id="315"/>
      <w:r>
        <w:rPr>
          <w:rFonts w:hint="eastAsia" w:ascii="宋体" w:hAnsi="宋体" w:cs="宋体"/>
        </w:rPr>
        <w:t xml:space="preserve">被授权人身份证号码：              </w:t>
      </w:r>
      <w:r>
        <w:rPr>
          <w:rFonts w:hint="eastAsia" w:ascii="宋体" w:hAnsi="宋体" w:cs="宋体"/>
          <w:u w:val="single"/>
        </w:rPr>
        <w:t xml:space="preserve">          </w:t>
      </w:r>
      <w:r>
        <w:rPr>
          <w:rFonts w:ascii="宋体" w:hAnsi="宋体" w:cs="宋体"/>
          <w:u w:val="single"/>
        </w:rPr>
      </w:r>
      <w:r/>
    </w:p>
    <w:p>
      <w:pPr>
        <w:pStyle w:val="806"/>
        <w:ind w:firstLine="480"/>
        <w:tabs>
          <w:tab w:val="left" w:pos="360" w:leader="none"/>
        </w:tabs>
        <w:rPr>
          <w:rFonts w:ascii="宋体" w:hAnsi="宋体" w:cs="宋体"/>
          <w:u w:val="single"/>
        </w:rPr>
      </w:pPr>
      <w:r>
        <w:rPr>
          <w:rFonts w:hint="eastAsia" w:ascii="宋体" w:hAnsi="宋体" w:cs="宋体"/>
        </w:rPr>
        <w:t xml:space="preserve">被授权人联系电话：（手机）</w:t>
      </w:r>
      <w:r>
        <w:rPr>
          <w:rFonts w:ascii="宋体" w:hAnsi="宋体" w:cs="宋体"/>
          <w:u w:val="single"/>
        </w:rPr>
      </w:r>
      <w:r/>
    </w:p>
    <w:p>
      <w:pPr>
        <w:pStyle w:val="806"/>
        <w:ind w:firstLine="480"/>
        <w:tabs>
          <w:tab w:val="left" w:pos="360" w:leader="none"/>
        </w:tabs>
        <w:rPr>
          <w:rFonts w:hint="eastAsia" w:ascii="宋体" w:hAnsi="宋体" w:cs="宋体"/>
        </w:rPr>
      </w:pPr>
      <w:r>
        <w:rPr>
          <w:rFonts w:hint="eastAsia" w:ascii="宋体" w:hAnsi="宋体" w:cs="宋体"/>
        </w:rPr>
        <w:t xml:space="preserve">授权单位名称：</w:t>
      </w:r>
      <w:r>
        <w:rPr>
          <w:rFonts w:hint="eastAsia" w:ascii="宋体" w:hAnsi="宋体" w:cs="宋体"/>
          <w:u w:val="single"/>
        </w:rPr>
        <w:t xml:space="preserve">                 </w:t>
      </w:r>
      <w:r>
        <w:rPr>
          <w:rFonts w:hint="eastAsia" w:ascii="宋体" w:hAnsi="宋体" w:cs="宋体"/>
        </w:rPr>
      </w:r>
      <w:r/>
    </w:p>
    <w:p>
      <w:pPr>
        <w:pStyle w:val="806"/>
        <w:ind w:firstLine="480"/>
        <w:tabs>
          <w:tab w:val="left" w:pos="360" w:leader="none"/>
        </w:tabs>
        <w:rPr>
          <w:rFonts w:ascii="宋体" w:hAnsi="宋体" w:cs="宋体"/>
        </w:rPr>
      </w:pPr>
      <w:r>
        <w:rPr>
          <w:rFonts w:hint="eastAsia" w:ascii="宋体" w:hAnsi="宋体" w:cs="宋体"/>
        </w:rPr>
        <w:t xml:space="preserve">单位地址：</w:t>
      </w:r>
      <w:r>
        <w:rPr>
          <w:rFonts w:hint="eastAsia" w:ascii="宋体" w:hAnsi="宋体" w:cs="宋体"/>
          <w:u w:val="single"/>
        </w:rPr>
        <w:t xml:space="preserve">                     </w:t>
      </w:r>
      <w:r>
        <w:rPr>
          <w:rFonts w:ascii="宋体" w:hAnsi="宋体" w:cs="宋体"/>
        </w:rPr>
      </w:r>
      <w:r/>
    </w:p>
    <w:p>
      <w:pPr>
        <w:pStyle w:val="806"/>
        <w:ind w:firstLine="480"/>
        <w:tabs>
          <w:tab w:val="left" w:pos="360" w:leader="none"/>
        </w:tabs>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ascii="宋体" w:hAnsi="宋体" w:cs="宋体"/>
        </w:rPr>
      </w:r>
      <w:r/>
    </w:p>
    <w:p>
      <w:pPr>
        <w:pStyle w:val="741"/>
        <w:ind w:firstLine="482"/>
        <w:spacing w:line="312" w:lineRule="auto"/>
        <w:rPr>
          <w:rFonts w:hint="eastAsia" w:ascii="宋体" w:hAnsi="宋体" w:cs="宋体"/>
          <w:sz w:val="24"/>
          <w:szCs w:val="24"/>
        </w:rPr>
      </w:pPr>
      <w:r>
        <w:rPr>
          <w:rFonts w:hint="eastAsia" w:ascii="宋体" w:hAnsi="宋体" w:cs="宋体"/>
          <w:sz w:val="24"/>
          <w:szCs w:val="24"/>
        </w:rPr>
        <w:t xml:space="preserve">附：法定代表人及受托人身份证正反面。</w:t>
      </w:r>
      <w:r>
        <w:rPr>
          <w:rFonts w:hint="eastAsia" w:ascii="宋体" w:hAnsi="宋体" w:cs="宋体"/>
          <w:sz w:val="24"/>
          <w:szCs w:val="24"/>
        </w:rPr>
      </w:r>
      <w:r/>
    </w:p>
    <w:p>
      <w:pPr>
        <w:pStyle w:val="806"/>
        <w:ind w:firstLine="480"/>
        <w:tabs>
          <w:tab w:val="left" w:pos="360" w:leader="none"/>
        </w:tabs>
        <w:rPr>
          <w:rFonts w:hint="eastAsia" w:ascii="宋体" w:hAnsi="宋体" w:cs="宋体"/>
        </w:rPr>
      </w:pPr>
      <w:r>
        <w:rPr>
          <w:rFonts w:hint="eastAsia" w:ascii="宋体" w:hAnsi="宋体" w:cs="宋体"/>
        </w:rPr>
      </w:r>
      <w:r/>
    </w:p>
    <w:p>
      <w:pPr>
        <w:pStyle w:val="741"/>
        <w:ind w:firstLine="4560"/>
        <w:rPr>
          <w:rFonts w:hint="eastAsia" w:ascii="宋体" w:hAnsi="宋体" w:cs="宋体"/>
          <w:sz w:val="24"/>
          <w:szCs w:val="24"/>
        </w:rPr>
      </w:pPr>
      <w:r>
        <w:rPr>
          <w:rFonts w:hint="eastAsia" w:ascii="宋体" w:hAnsi="宋体" w:cs="宋体"/>
          <w:sz w:val="24"/>
          <w:szCs w:val="24"/>
        </w:rPr>
        <w:t xml:space="preserve">授权单位</w:t>
      </w:r>
      <w:r>
        <w:rPr>
          <w:rFonts w:hint="eastAsia" w:ascii="宋体" w:hAnsi="宋体" w:cs="宋体"/>
          <w:sz w:val="24"/>
          <w:szCs w:val="24"/>
          <w:u w:val="single"/>
        </w:rPr>
        <w:t xml:space="preserve">（加盖CA电子公章）</w:t>
      </w:r>
      <w:r>
        <w:rPr>
          <w:rFonts w:hint="eastAsia" w:ascii="宋体" w:hAnsi="宋体" w:cs="宋体"/>
          <w:sz w:val="24"/>
          <w:szCs w:val="24"/>
        </w:rPr>
      </w:r>
      <w:r/>
    </w:p>
    <w:p>
      <w:pPr>
        <w:pStyle w:val="741"/>
        <w:ind w:left="4070"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41"/>
        <w:rPr>
          <w:rFonts w:hint="eastAsia" w:ascii="宋体" w:hAnsi="宋体" w:cs="宋体"/>
          <w:sz w:val="24"/>
          <w:szCs w:val="24"/>
        </w:rPr>
      </w:pPr>
      <w:r>
        <w:rPr>
          <w:rFonts w:hint="eastAsia" w:ascii="宋体" w:hAnsi="宋体" w:cs="宋体"/>
          <w:sz w:val="24"/>
          <w:szCs w:val="24"/>
        </w:rPr>
        <w:t xml:space="preserve">                                      法定代表人（签字或签章）</w:t>
      </w:r>
      <w:r>
        <w:rPr>
          <w:rFonts w:hint="eastAsia" w:ascii="宋体" w:hAnsi="宋体" w:cs="宋体"/>
          <w:sz w:val="24"/>
          <w:szCs w:val="24"/>
        </w:rPr>
      </w:r>
      <w:r/>
    </w:p>
    <w:p>
      <w:pPr>
        <w:pStyle w:val="741"/>
        <w:ind w:left="4070"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41"/>
        <w:ind w:left="4070" w:firstLine="480"/>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p>
      <w:pPr>
        <w:pStyle w:val="799"/>
        <w:ind w:left="420"/>
        <w:spacing w:before="0" w:after="0"/>
        <w:rPr>
          <w:rFonts w:hint="eastAsia" w:ascii="宋体" w:hAnsi="宋体"/>
          <w:szCs w:val="21"/>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szCs w:val="21"/>
        </w:rPr>
      </w:r>
      <w:r/>
    </w:p>
    <w:p>
      <w:pPr>
        <w:pStyle w:val="799"/>
        <w:ind w:left="420"/>
        <w:spacing w:before="0" w:after="0"/>
        <w:rPr>
          <w:rFonts w:hint="eastAsia" w:ascii="宋体" w:hAnsi="宋体"/>
          <w:szCs w:val="21"/>
        </w:rPr>
      </w:pPr>
      <w:r>
        <w:rPr>
          <w:rFonts w:hint="eastAsia" w:ascii="宋体" w:hAnsi="宋体"/>
          <w:szCs w:val="21"/>
        </w:rPr>
      </w:r>
      <w:r/>
    </w:p>
    <w:p>
      <w:pPr>
        <w:pStyle w:val="803"/>
        <w:numPr>
          <w:ilvl w:val="0"/>
          <w:numId w:val="0"/>
        </w:numPr>
        <w:jc w:val="center"/>
        <w:spacing w:line="360" w:lineRule="auto"/>
        <w:tabs>
          <w:tab w:val="left" w:pos="720" w:leader="none"/>
        </w:tabs>
        <w:rPr>
          <w:rFonts w:hint="eastAsia" w:ascii="宋体" w:hAnsi="宋体" w:cs="宋体"/>
          <w:sz w:val="36"/>
          <w:szCs w:val="36"/>
        </w:rPr>
        <w:outlineLvl w:val="0"/>
      </w:pPr>
      <w:r/>
      <w:bookmarkStart w:id="316" w:name="_Toc8014"/>
      <w:r/>
      <w:bookmarkStart w:id="317" w:name="_Toc20451"/>
      <w:r/>
      <w:bookmarkStart w:id="318" w:name="_Toc20704"/>
      <w:r/>
      <w:bookmarkStart w:id="319" w:name="_Toc3243"/>
      <w:r/>
      <w:bookmarkStart w:id="320" w:name="_Toc12344"/>
      <w:r/>
      <w:bookmarkStart w:id="321" w:name="_Toc12080"/>
      <w:r/>
      <w:bookmarkStart w:id="322" w:name="_Toc11062"/>
      <w:r/>
      <w:bookmarkStart w:id="323" w:name="_Toc19603"/>
      <w:r/>
      <w:bookmarkStart w:id="324" w:name="_Toc16752"/>
      <w:r/>
      <w:bookmarkStart w:id="325" w:name="_Toc11003"/>
      <w:r/>
      <w:bookmarkStart w:id="326" w:name="_Toc66"/>
      <w:r/>
      <w:bookmarkStart w:id="327" w:name="_Toc29341"/>
      <w:r/>
      <w:bookmarkStart w:id="328" w:name="_Toc19747"/>
      <w:r/>
      <w:bookmarkStart w:id="329" w:name="_Toc7930"/>
      <w:r/>
      <w:bookmarkStart w:id="330" w:name="_Toc6776"/>
      <w:r/>
      <w:bookmarkStart w:id="331" w:name="_Toc25905"/>
      <w:r/>
      <w:bookmarkStart w:id="332" w:name="_Toc22238"/>
      <w:r/>
      <w:bookmarkStart w:id="333" w:name="_Toc31388"/>
      <w:r/>
      <w:bookmarkStart w:id="334" w:name="_Toc23960"/>
      <w:r/>
      <w:bookmarkStart w:id="335" w:name="_Toc30243"/>
      <w:r/>
      <w:bookmarkStart w:id="336" w:name="_Toc5414"/>
      <w:r/>
      <w:bookmarkStart w:id="337" w:name="_Toc30222"/>
      <w:r/>
      <w:bookmarkStart w:id="338" w:name="_Toc10738"/>
      <w:r/>
      <w:bookmarkStart w:id="339" w:name="_Toc26302"/>
      <w:r/>
      <w:bookmarkStart w:id="340" w:name="_Toc26157"/>
      <w:r/>
      <w:bookmarkStart w:id="341" w:name="_Toc21658"/>
      <w:r/>
      <w:bookmarkStart w:id="342" w:name="_Toc31556"/>
      <w:r/>
      <w:bookmarkStart w:id="343" w:name="_Toc30715"/>
      <w:r/>
      <w:bookmarkStart w:id="344" w:name="_Toc1355"/>
      <w:r/>
      <w:bookmarkStart w:id="345" w:name="_Toc22649"/>
      <w:r/>
      <w:bookmarkStart w:id="346" w:name="_Toc14763"/>
      <w:r/>
      <w:bookmarkStart w:id="347" w:name="_Toc10791"/>
      <w:r/>
      <w:bookmarkStart w:id="348" w:name="_Toc12376"/>
      <w:r/>
      <w:bookmarkStart w:id="349" w:name="_Toc17925"/>
      <w:r/>
      <w:bookmarkStart w:id="350" w:name="_Toc22001"/>
      <w:r/>
      <w:bookmarkStart w:id="351" w:name="_Toc13131"/>
      <w:r>
        <w:rPr>
          <w:rFonts w:hint="eastAsia" w:ascii="宋体" w:hAnsi="宋体" w:cs="宋体"/>
          <w:sz w:val="36"/>
          <w:szCs w:val="36"/>
        </w:rPr>
        <w:t xml:space="preserve">四、开标一览表</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sz w:val="36"/>
          <w:szCs w:val="36"/>
        </w:rPr>
      </w:r>
      <w:r/>
    </w:p>
    <w:p>
      <w:pPr>
        <w:pStyle w:val="811"/>
        <w:ind w:firstLine="320"/>
        <w:spacing w:line="360" w:lineRule="auto"/>
        <w:rPr>
          <w:rFonts w:hint="eastAsia" w:ascii="宋体" w:hAnsi="宋体" w:cs="宋体"/>
        </w:rPr>
      </w:pPr>
      <w:r>
        <w:rPr>
          <w:rFonts w:hint="eastAsia" w:ascii="宋体" w:hAnsi="宋体" w:cs="宋体"/>
        </w:rPr>
        <w:t xml:space="preserve">窗体顶端</w:t>
      </w:r>
      <w:r>
        <w:rPr>
          <w:rFonts w:hint="eastAsia" w:ascii="宋体" w:hAnsi="宋体" w:cs="宋体"/>
        </w:rPr>
      </w:r>
      <w:r/>
    </w:p>
    <w:tbl>
      <w:tblPr>
        <w:tblpPr w:horzAnchor="text" w:tblpXSpec="center" w:vertAnchor="text" w:tblpY="1" w:leftFromText="45" w:topFromText="0" w:rightFromText="45" w:bottomFromText="0"/>
        <w:tblW w:w="8361"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tblCellSpacing w:w="0" w:type="dxa"/>
          <w:trHeight w:val="1220"/>
        </w:trPr>
        <w:tc>
          <w:tcPr>
            <w:tcW w:w="1985" w:type="dxa"/>
            <w:vAlign w:val="center"/>
            <w:textDirection w:val="lrTb"/>
            <w:noWrap w:val="false"/>
          </w:tcPr>
          <w:p>
            <w:pPr>
              <w:pStyle w:val="741"/>
              <w:ind w:firstLine="480"/>
              <w:spacing w:line="360" w:lineRule="auto"/>
              <w:rPr>
                <w:sz w:val="24"/>
                <w:szCs w:val="28"/>
              </w:rPr>
              <w:framePr w:vAnchor="margin" w:hAnchor="page" w:xAlign="center"/>
            </w:pPr>
            <w:r>
              <w:rPr>
                <w:rFonts w:hint="eastAsia"/>
                <w:sz w:val="24"/>
                <w:szCs w:val="28"/>
              </w:rPr>
              <w:t xml:space="preserve">项目名称</w:t>
            </w:r>
            <w:r>
              <w:rPr>
                <w:sz w:val="24"/>
                <w:szCs w:val="28"/>
              </w:rPr>
            </w:r>
            <w:r/>
          </w:p>
        </w:tc>
        <w:tc>
          <w:tcPr>
            <w:tcW w:w="6376" w:type="dxa"/>
            <w:vAlign w:val="center"/>
            <w:textDirection w:val="lrTb"/>
            <w:noWrap w:val="false"/>
          </w:tcPr>
          <w:p>
            <w:pPr>
              <w:pStyle w:val="741"/>
              <w:jc w:val="center"/>
              <w:framePr w:vAnchor="margin" w:hAnchor="page" w:xAlign="center"/>
            </w:pPr>
            <w:r/>
            <w:r/>
          </w:p>
        </w:tc>
      </w:tr>
      <w:tr>
        <w:trPr>
          <w:tblCellSpacing w:w="0" w:type="dxa"/>
          <w:trHeight w:val="1066"/>
        </w:trPr>
        <w:tc>
          <w:tcPr>
            <w:tcW w:w="1985" w:type="dxa"/>
            <w:vAlign w:val="center"/>
            <w:textDirection w:val="lrTb"/>
            <w:noWrap w:val="false"/>
          </w:tcPr>
          <w:p>
            <w:pPr>
              <w:pStyle w:val="741"/>
              <w:jc w:val="center"/>
              <w:rPr>
                <w:sz w:val="24"/>
                <w:szCs w:val="28"/>
              </w:rPr>
              <w:framePr w:vAnchor="margin" w:hAnchor="page" w:xAlign="center"/>
            </w:pPr>
            <w:r>
              <w:rPr>
                <w:rFonts w:hint="eastAsia"/>
                <w:sz w:val="24"/>
                <w:szCs w:val="28"/>
              </w:rPr>
              <w:t xml:space="preserve">项目编号</w:t>
            </w:r>
            <w:r>
              <w:rPr>
                <w:sz w:val="24"/>
                <w:szCs w:val="28"/>
              </w:rPr>
            </w:r>
            <w:r/>
          </w:p>
        </w:tc>
        <w:tc>
          <w:tcPr>
            <w:tcW w:w="6376" w:type="dxa"/>
            <w:vAlign w:val="center"/>
            <w:textDirection w:val="lrTb"/>
            <w:noWrap w:val="false"/>
          </w:tcPr>
          <w:p>
            <w:pPr>
              <w:pStyle w:val="741"/>
              <w:jc w:val="center"/>
              <w:framePr w:vAnchor="margin" w:hAnchor="page" w:xAlign="center"/>
            </w:pPr>
            <w:r/>
            <w:r/>
          </w:p>
        </w:tc>
      </w:tr>
      <w:tr>
        <w:trPr>
          <w:tblCellSpacing w:w="0" w:type="dxa"/>
          <w:trHeight w:val="1090"/>
        </w:trPr>
        <w:tc>
          <w:tcPr>
            <w:tcW w:w="1985" w:type="dxa"/>
            <w:vAlign w:val="center"/>
            <w:textDirection w:val="lrTb"/>
            <w:noWrap w:val="false"/>
          </w:tcPr>
          <w:p>
            <w:pPr>
              <w:pStyle w:val="741"/>
              <w:jc w:val="center"/>
              <w:rPr>
                <w:sz w:val="24"/>
                <w:szCs w:val="28"/>
              </w:rPr>
              <w:framePr w:vAnchor="margin" w:hAnchor="page" w:xAlign="center"/>
            </w:pPr>
            <w:r>
              <w:rPr>
                <w:rFonts w:hint="eastAsia"/>
                <w:sz w:val="24"/>
                <w:szCs w:val="28"/>
              </w:rPr>
              <w:t xml:space="preserve">投标总价</w:t>
            </w:r>
            <w:r>
              <w:rPr>
                <w:sz w:val="24"/>
                <w:szCs w:val="28"/>
              </w:rPr>
            </w:r>
            <w:r/>
          </w:p>
          <w:p>
            <w:pPr>
              <w:pStyle w:val="741"/>
              <w:jc w:val="center"/>
              <w:rPr>
                <w:sz w:val="24"/>
                <w:szCs w:val="28"/>
              </w:rPr>
              <w:framePr w:vAnchor="margin" w:hAnchor="page" w:xAlign="center"/>
            </w:pPr>
            <w:r>
              <w:rPr>
                <w:sz w:val="24"/>
                <w:szCs w:val="28"/>
              </w:rPr>
            </w:r>
            <w:r/>
          </w:p>
        </w:tc>
        <w:tc>
          <w:tcPr>
            <w:tcW w:w="6376" w:type="dxa"/>
            <w:vAlign w:val="center"/>
            <w:textDirection w:val="lrTb"/>
            <w:noWrap w:val="false"/>
          </w:tcPr>
          <w:p>
            <w:pPr>
              <w:pStyle w:val="741"/>
              <w:framePr w:vAnchor="margin" w:hAnchor="page" w:xAlign="center"/>
            </w:pPr>
            <w:r/>
            <w:r/>
          </w:p>
          <w:p>
            <w:pPr>
              <w:pStyle w:val="781"/>
              <w:ind w:firstLine="1200"/>
              <w:jc w:val="both"/>
              <w:spacing w:before="63"/>
              <w:framePr w:vAnchor="margin" w:hAnchor="page" w:xAlign="center"/>
            </w:pPr>
            <w:r>
              <w:rPr>
                <w:rFonts w:hint="eastAsia"/>
              </w:rPr>
              <w:t xml:space="preserve">人民币（小写）</w:t>
            </w:r>
            <w:r>
              <w:rPr>
                <w:rFonts w:hint="eastAsia"/>
                <w:u w:val="single"/>
              </w:rPr>
              <w:t xml:space="preserve">            </w:t>
            </w:r>
            <w:r/>
          </w:p>
          <w:p>
            <w:pPr>
              <w:pStyle w:val="781"/>
              <w:ind w:firstLine="1200"/>
              <w:spacing w:before="63"/>
              <w:framePr w:vAnchor="margin" w:hAnchor="page" w:xAlign="center"/>
            </w:pPr>
            <w:r>
              <w:rPr>
                <w:rFonts w:hint="eastAsia"/>
              </w:rPr>
              <w:t xml:space="preserve">人民币 (大写)</w:t>
            </w:r>
            <w:r>
              <w:rPr>
                <w:rFonts w:hint="eastAsia"/>
                <w:u w:val="single"/>
              </w:rPr>
              <w:t xml:space="preserve">            </w:t>
            </w:r>
            <w:r>
              <w:rPr>
                <w:rFonts w:hint="eastAsia"/>
              </w:rPr>
              <w:t xml:space="preserve">           </w:t>
            </w:r>
            <w:r/>
          </w:p>
          <w:p>
            <w:pPr>
              <w:pStyle w:val="741"/>
              <w:framePr w:vAnchor="margin" w:hAnchor="page" w:xAlign="center"/>
            </w:pPr>
            <w:r/>
            <w:r/>
          </w:p>
        </w:tc>
      </w:tr>
      <w:tr>
        <w:trPr>
          <w:tblCellSpacing w:w="0" w:type="dxa"/>
          <w:trHeight w:val="1090"/>
        </w:trPr>
        <w:tc>
          <w:tcPr>
            <w:tcW w:w="1985" w:type="dxa"/>
            <w:vAlign w:val="center"/>
            <w:textDirection w:val="lrTb"/>
            <w:noWrap w:val="false"/>
          </w:tcPr>
          <w:p>
            <w:pPr>
              <w:pStyle w:val="741"/>
              <w:jc w:val="center"/>
              <w:rPr>
                <w:sz w:val="24"/>
                <w:szCs w:val="28"/>
              </w:rPr>
              <w:framePr w:vAnchor="margin" w:hAnchor="page" w:xAlign="center"/>
            </w:pPr>
            <w:r>
              <w:rPr>
                <w:rFonts w:hint="eastAsia"/>
                <w:sz w:val="24"/>
                <w:szCs w:val="28"/>
              </w:rPr>
              <w:t xml:space="preserve">交货期</w:t>
            </w:r>
            <w:r>
              <w:rPr>
                <w:sz w:val="24"/>
                <w:szCs w:val="28"/>
              </w:rPr>
            </w:r>
            <w:r/>
          </w:p>
        </w:tc>
        <w:tc>
          <w:tcPr>
            <w:tcW w:w="6376" w:type="dxa"/>
            <w:vAlign w:val="center"/>
            <w:textDirection w:val="lrTb"/>
            <w:noWrap w:val="false"/>
          </w:tcPr>
          <w:p>
            <w:pPr>
              <w:pStyle w:val="781"/>
              <w:framePr w:vAnchor="margin" w:hAnchor="page" w:xAlign="center"/>
            </w:pPr>
            <w:r>
              <w:rPr>
                <w:rFonts w:hint="eastAsia"/>
              </w:rPr>
              <w:t xml:space="preserve">     </w:t>
            </w:r>
            <w:r>
              <w:rPr>
                <w:rFonts w:hint="eastAsia"/>
                <w:u w:val="single"/>
              </w:rPr>
              <w:t xml:space="preserve">                                </w:t>
            </w:r>
            <w:r>
              <w:rPr>
                <w:rFonts w:hint="eastAsia"/>
              </w:rPr>
              <w:t xml:space="preserve">         </w:t>
            </w:r>
            <w:r/>
          </w:p>
        </w:tc>
      </w:tr>
      <w:tr>
        <w:trPr>
          <w:tblCellSpacing w:w="0" w:type="dxa"/>
          <w:trHeight w:val="1090"/>
        </w:trPr>
        <w:tc>
          <w:tcPr>
            <w:gridSpan w:val="2"/>
            <w:tcW w:w="8361" w:type="dxa"/>
            <w:vAlign w:val="center"/>
            <w:textDirection w:val="lrTb"/>
            <w:noWrap w:val="false"/>
          </w:tcPr>
          <w:p>
            <w:pPr>
              <w:pStyle w:val="741"/>
              <w:jc w:val="left"/>
              <w:rPr>
                <w:rFonts w:hint="eastAsia" w:ascii="宋体" w:hAnsi="宋体" w:cs="宋体"/>
                <w:sz w:val="24"/>
                <w:szCs w:val="24"/>
              </w:rPr>
              <w:framePr w:vAnchor="margin" w:hAnchor="page" w:xAlign="center"/>
            </w:pPr>
            <w:r>
              <w:rPr>
                <w:rFonts w:hint="eastAsia" w:ascii="宋体" w:hAnsi="宋体" w:cs="宋体"/>
                <w:sz w:val="24"/>
                <w:szCs w:val="24"/>
              </w:rPr>
              <w:t xml:space="preserve">是否为小微企业或其他享受政府采购扶持政策的企业: （是</w:t>
            </w:r>
            <w:r>
              <w:rPr>
                <w:rFonts w:ascii="Wingdings" w:hAnsi="Wingdings" w:eastAsia="Wingdings" w:cs="Wingdings"/>
                <w:sz w:val="24"/>
                <w:szCs w:val="24"/>
              </w:rPr>
              <w:t xml:space="preserve">¨</w:t>
            </w:r>
            <w:r>
              <w:rPr>
                <w:rFonts w:hint="eastAsia" w:ascii="宋体" w:hAnsi="宋体" w:cs="宋体"/>
                <w:sz w:val="24"/>
                <w:szCs w:val="24"/>
              </w:rPr>
              <w:t xml:space="preserve">     否</w:t>
            </w:r>
            <w:r>
              <w:rPr>
                <w:rFonts w:ascii="Wingdings" w:hAnsi="Wingdings" w:eastAsia="Wingdings" w:cs="Wingdings"/>
                <w:sz w:val="24"/>
                <w:szCs w:val="24"/>
              </w:rPr>
              <w:t xml:space="preserve">¨</w:t>
            </w:r>
            <w:r>
              <w:rPr>
                <w:rFonts w:hint="eastAsia" w:ascii="宋体" w:hAnsi="宋体" w:cs="宋体"/>
                <w:sz w:val="24"/>
                <w:szCs w:val="24"/>
              </w:rPr>
              <w:t xml:space="preserve">）</w:t>
            </w:r>
            <w:r>
              <w:rPr>
                <w:rFonts w:hint="eastAsia" w:ascii="宋体" w:hAnsi="宋体" w:cs="宋体"/>
                <w:sz w:val="24"/>
                <w:szCs w:val="24"/>
              </w:rPr>
            </w:r>
            <w:r/>
          </w:p>
          <w:p>
            <w:pPr>
              <w:pStyle w:val="781"/>
              <w:rPr>
                <w:rFonts w:hint="eastAsia"/>
              </w:rPr>
              <w:framePr w:vAnchor="margin" w:hAnchor="page" w:xAlign="center"/>
            </w:pPr>
            <w:r>
              <w:rPr>
                <w:rFonts w:hint="eastAsia"/>
              </w:rPr>
              <w:t xml:space="preserve">证明材料在投标文件中的页码：</w:t>
            </w:r>
            <w:r>
              <w:rPr>
                <w:rFonts w:hint="eastAsia"/>
              </w:rPr>
            </w:r>
            <w:r/>
          </w:p>
        </w:tc>
      </w:tr>
    </w:tbl>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81"/>
        <w:spacing w:line="360" w:lineRule="auto"/>
        <w:rPr>
          <w:rFonts w:hint="eastAsia"/>
        </w:rPr>
      </w:pPr>
      <w:r>
        <w:rPr>
          <w:rFonts w:hint="eastAsia"/>
        </w:rPr>
        <w:t xml:space="preserve">    法定代表人或授权代表（签字或签章）： </w:t>
      </w:r>
      <w:r>
        <w:rPr>
          <w:rFonts w:hint="eastAsia"/>
          <w:u w:val="single"/>
        </w:rPr>
        <w:t xml:space="preserve">                 </w:t>
      </w:r>
      <w:r>
        <w:rPr>
          <w:rFonts w:hint="eastAsia"/>
        </w:rPr>
        <w:t xml:space="preserve">                                       </w:t>
      </w:r>
      <w:r>
        <w:rPr>
          <w:rFonts w:hint="eastAsia"/>
        </w:rPr>
      </w:r>
      <w:r/>
    </w:p>
    <w:p>
      <w:pPr>
        <w:pStyle w:val="741"/>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81"/>
        <w:ind w:firstLine="480"/>
        <w:jc w:val="both"/>
        <w:spacing w:before="0" w:beforeAutospacing="0" w:after="0" w:afterAutospacing="0" w:line="360" w:lineRule="auto"/>
        <w:rPr>
          <w:rFonts w:hint="eastAsia"/>
        </w:rPr>
      </w:pPr>
      <w:r>
        <w:rPr>
          <w:rFonts w:hint="eastAsia"/>
        </w:rPr>
      </w:r>
      <w:r/>
    </w:p>
    <w:p>
      <w:pPr>
        <w:pStyle w:val="741"/>
        <w:ind w:firstLine="422"/>
        <w:spacing w:line="360" w:lineRule="auto"/>
        <w:tabs>
          <w:tab w:val="left" w:pos="142" w:leader="none"/>
        </w:tabs>
        <w:rPr>
          <w:rStyle w:val="787"/>
          <w:rFonts w:hint="eastAsia" w:ascii="宋体" w:hAnsi="宋体" w:cs="宋体"/>
        </w:rPr>
      </w:pPr>
      <w:r>
        <w:rPr>
          <w:rStyle w:val="787"/>
          <w:rFonts w:hint="eastAsia" w:ascii="宋体" w:hAnsi="宋体" w:cs="宋体"/>
        </w:rPr>
      </w:r>
      <w:r/>
    </w:p>
    <w:p>
      <w:pPr>
        <w:pStyle w:val="796"/>
        <w:ind w:firstLine="422"/>
        <w:spacing w:line="24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r>
      <w:r/>
    </w:p>
    <w:p>
      <w:pPr>
        <w:pStyle w:val="796"/>
        <w:spacing w:line="240" w:lineRule="auto"/>
        <w:rPr>
          <w:rFonts w:hint="eastAsia" w:ascii="宋体" w:hAnsi="宋体" w:cs="宋体"/>
          <w:szCs w:val="21"/>
        </w:rPr>
      </w:pPr>
      <w:r>
        <w:rPr>
          <w:rFonts w:hint="eastAsia" w:ascii="宋体" w:hAnsi="宋体" w:cs="宋体"/>
          <w:szCs w:val="21"/>
        </w:rPr>
        <w:t xml:space="preserve">1、采用人民币报价。</w:t>
      </w:r>
      <w:r>
        <w:rPr>
          <w:rFonts w:hint="eastAsia" w:ascii="宋体" w:hAnsi="宋体" w:cs="宋体"/>
          <w:szCs w:val="21"/>
        </w:rPr>
      </w:r>
      <w:r/>
    </w:p>
    <w:p>
      <w:pPr>
        <w:pStyle w:val="796"/>
        <w:spacing w:line="240" w:lineRule="auto"/>
        <w:rPr>
          <w:rFonts w:hint="eastAsia" w:ascii="宋体" w:hAnsi="宋体" w:cs="宋体"/>
          <w:szCs w:val="21"/>
        </w:rPr>
      </w:pPr>
      <w:r>
        <w:rPr>
          <w:rFonts w:hint="eastAsia" w:ascii="宋体" w:hAnsi="宋体" w:cs="宋体"/>
          <w:szCs w:val="21"/>
        </w:rPr>
        <w:t xml:space="preserve">2、投标报价应包括招标文件所规定的采购范围的全部内容。</w:t>
      </w:r>
      <w:r>
        <w:rPr>
          <w:rFonts w:hint="eastAsia" w:ascii="宋体" w:hAnsi="宋体" w:cs="宋体"/>
          <w:szCs w:val="21"/>
        </w:rPr>
      </w:r>
      <w:r/>
    </w:p>
    <w:p>
      <w:pPr>
        <w:pStyle w:val="796"/>
        <w:spacing w:line="240" w:lineRule="auto"/>
        <w:rPr>
          <w:rFonts w:hint="eastAsia" w:ascii="宋体" w:hAnsi="宋体" w:cs="宋体"/>
          <w:szCs w:val="21"/>
        </w:rPr>
      </w:pPr>
      <w:r>
        <w:rPr>
          <w:rFonts w:hint="eastAsia" w:ascii="宋体" w:hAnsi="宋体" w:cs="宋体"/>
          <w:szCs w:val="21"/>
        </w:rPr>
        <w:t xml:space="preserve">3、供应商不得实质性改动报价一览表格式及内容。</w:t>
      </w:r>
      <w:r>
        <w:rPr>
          <w:rFonts w:hint="eastAsia" w:ascii="宋体" w:hAnsi="宋体" w:cs="宋体"/>
          <w:szCs w:val="21"/>
        </w:rPr>
      </w:r>
      <w:r/>
    </w:p>
    <w:p>
      <w:pPr>
        <w:pStyle w:val="803"/>
        <w:numPr>
          <w:ilvl w:val="0"/>
          <w:numId w:val="0"/>
        </w:numPr>
        <w:jc w:val="center"/>
        <w:spacing w:line="360" w:lineRule="auto"/>
        <w:tabs>
          <w:tab w:val="left" w:pos="720" w:leader="none"/>
        </w:tabs>
        <w:rPr>
          <w:rFonts w:hint="eastAsia" w:ascii="宋体" w:hAnsi="宋体" w:cs="宋体"/>
          <w:sz w:val="36"/>
          <w:szCs w:val="36"/>
        </w:rPr>
        <w:outlineLvl w:val="0"/>
      </w:pPr>
      <w:r>
        <w:rPr>
          <w:rFonts w:hint="eastAsia" w:ascii="宋体" w:hAnsi="宋体" w:cs="宋体"/>
        </w:rPr>
        <w:br w:type="page" w:clear="all"/>
      </w:r>
      <w:r>
        <w:rPr>
          <w:rFonts w:hint="eastAsia" w:ascii="宋体" w:hAnsi="宋体" w:cs="宋体"/>
          <w:sz w:val="36"/>
          <w:szCs w:val="36"/>
        </w:rPr>
        <w:t xml:space="preserve">五、报价明细表</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sz w:val="36"/>
          <w:szCs w:val="36"/>
        </w:rPr>
      </w:r>
      <w:r/>
    </w:p>
    <w:p>
      <w:pPr>
        <w:pStyle w:val="767"/>
        <w:ind w:firstLine="480"/>
        <w:rPr>
          <w:rFonts w:hint="eastAsia" w:ascii="宋体" w:hAnsi="宋体" w:eastAsia="宋体" w:cs="宋体"/>
          <w:highlight w:val="none"/>
        </w:rPr>
      </w:pPr>
      <w:r>
        <w:rPr>
          <w:rFonts w:hint="eastAsia" w:ascii="宋体" w:hAnsi="宋体" w:eastAsia="宋体" w:cs="宋体"/>
          <w:highlight w:val="none"/>
        </w:rPr>
        <w:t xml:space="preserve">项目名称：</w:t>
      </w:r>
      <w:r>
        <w:rPr>
          <w:rFonts w:hint="eastAsia" w:ascii="宋体" w:hAnsi="宋体" w:eastAsia="宋体" w:cs="宋体"/>
          <w:highlight w:val="none"/>
        </w:rPr>
      </w:r>
      <w:r/>
    </w:p>
    <w:p>
      <w:pPr>
        <w:pStyle w:val="741"/>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项目编号：                                  </w:t>
      </w:r>
      <w:r>
        <w:rPr>
          <w:rFonts w:hint="eastAsia" w:ascii="宋体" w:hAnsi="宋体" w:eastAsia="宋体" w:cs="宋体"/>
          <w:sz w:val="24"/>
          <w:highlight w:val="none"/>
        </w:rPr>
      </w:r>
      <w:r/>
    </w:p>
    <w:p>
      <w:pPr>
        <w:pStyle w:val="741"/>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339"/>
        <w:gridCol w:w="2196"/>
        <w:gridCol w:w="1377"/>
        <w:gridCol w:w="1377"/>
        <w:gridCol w:w="1992"/>
      </w:tblGrid>
      <w:tr>
        <w:trPr>
          <w:cantSplit/>
          <w:trHeight w:val="499"/>
        </w:trPr>
        <w:tc>
          <w:tcPr>
            <w:tcW w:w="724" w:type="dxa"/>
            <w:vAlign w:val="center"/>
            <w:textDirection w:val="lrTb"/>
            <w:noWrap w:val="false"/>
          </w:tcPr>
          <w:p>
            <w:pPr>
              <w:pStyle w:val="741"/>
              <w:jc w:val="center"/>
              <w:spacing w:line="0" w:lineRule="atLeas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339" w:type="dxa"/>
            <w:vAlign w:val="center"/>
            <w:textDirection w:val="lrTb"/>
            <w:noWrap w:val="false"/>
          </w:tcPr>
          <w:p>
            <w:pPr>
              <w:pStyle w:val="741"/>
              <w:jc w:val="center"/>
              <w:spacing w:line="0" w:lineRule="atLeast"/>
              <w:rPr>
                <w:rFonts w:hint="eastAsia" w:ascii="宋体" w:hAnsi="宋体" w:eastAsia="宋体" w:cs="宋体"/>
                <w:sz w:val="24"/>
              </w:rPr>
            </w:pPr>
            <w:r>
              <w:rPr>
                <w:rFonts w:hint="eastAsia" w:ascii="宋体" w:hAnsi="宋体" w:eastAsia="宋体" w:cs="宋体"/>
                <w:sz w:val="24"/>
              </w:rPr>
              <w:t xml:space="preserve">技术（服务）名称</w:t>
            </w:r>
            <w:r>
              <w:rPr>
                <w:rFonts w:hint="eastAsia" w:ascii="宋体" w:hAnsi="宋体" w:eastAsia="宋体" w:cs="宋体"/>
                <w:sz w:val="24"/>
              </w:rPr>
            </w:r>
            <w:r/>
          </w:p>
        </w:tc>
        <w:tc>
          <w:tcPr>
            <w:tcW w:w="2196" w:type="dxa"/>
            <w:vAlign w:val="center"/>
            <w:textDirection w:val="lrTb"/>
            <w:noWrap w:val="false"/>
          </w:tcPr>
          <w:p>
            <w:pPr>
              <w:pStyle w:val="741"/>
              <w:jc w:val="center"/>
              <w:spacing w:line="0" w:lineRule="atLeast"/>
              <w:rPr>
                <w:rFonts w:hint="eastAsia" w:ascii="宋体" w:hAnsi="宋体" w:eastAsia="宋体" w:cs="宋体"/>
                <w:sz w:val="24"/>
              </w:rPr>
            </w:pPr>
            <w:r>
              <w:rPr>
                <w:rFonts w:hint="eastAsia" w:ascii="宋体" w:hAnsi="宋体" w:eastAsia="宋体" w:cs="宋体"/>
                <w:sz w:val="24"/>
              </w:rPr>
              <w:t xml:space="preserve">技术（服务）内容</w:t>
            </w:r>
            <w:r>
              <w:rPr>
                <w:rFonts w:hint="eastAsia" w:ascii="宋体" w:hAnsi="宋体" w:eastAsia="宋体" w:cs="宋体"/>
                <w:sz w:val="24"/>
              </w:rPr>
            </w:r>
            <w:r/>
          </w:p>
        </w:tc>
        <w:tc>
          <w:tcPr>
            <w:tcW w:w="1377" w:type="dxa"/>
            <w:vAlign w:val="center"/>
            <w:textDirection w:val="lrTb"/>
            <w:noWrap w:val="false"/>
          </w:tcPr>
          <w:p>
            <w:pPr>
              <w:pStyle w:val="741"/>
              <w:jc w:val="center"/>
              <w:spacing w:line="0" w:lineRule="atLeast"/>
              <w:rPr>
                <w:rFonts w:hint="eastAsia" w:ascii="宋体" w:hAnsi="宋体" w:eastAsia="宋体" w:cs="宋体"/>
                <w:sz w:val="24"/>
              </w:rPr>
            </w:pPr>
            <w:r>
              <w:rPr>
                <w:rFonts w:hint="eastAsia" w:ascii="宋体" w:hAnsi="宋体" w:eastAsia="宋体" w:cs="宋体"/>
                <w:sz w:val="24"/>
              </w:rPr>
              <w:t xml:space="preserve">数量/单位</w:t>
            </w:r>
            <w:r>
              <w:rPr>
                <w:rFonts w:hint="eastAsia" w:ascii="宋体" w:hAnsi="宋体" w:eastAsia="宋体" w:cs="宋体"/>
                <w:sz w:val="24"/>
              </w:rPr>
            </w:r>
            <w:r/>
          </w:p>
        </w:tc>
        <w:tc>
          <w:tcPr>
            <w:tcW w:w="1377" w:type="dxa"/>
            <w:vAlign w:val="center"/>
            <w:textDirection w:val="lrTb"/>
            <w:noWrap w:val="false"/>
          </w:tcPr>
          <w:p>
            <w:pPr>
              <w:pStyle w:val="741"/>
              <w:jc w:val="center"/>
              <w:spacing w:line="0" w:lineRule="atLeast"/>
              <w:rPr>
                <w:rFonts w:hint="eastAsia" w:ascii="宋体" w:hAnsi="宋体" w:eastAsia="宋体" w:cs="宋体"/>
                <w:sz w:val="24"/>
              </w:rPr>
            </w:pPr>
            <w:r>
              <w:rPr>
                <w:rFonts w:hint="eastAsia" w:ascii="宋体" w:hAnsi="宋体" w:eastAsia="宋体" w:cs="宋体"/>
                <w:sz w:val="24"/>
              </w:rPr>
              <w:t xml:space="preserve">单价（元）</w:t>
            </w:r>
            <w:r>
              <w:rPr>
                <w:rFonts w:hint="eastAsia" w:ascii="宋体" w:hAnsi="宋体" w:eastAsia="宋体" w:cs="宋体"/>
                <w:sz w:val="24"/>
              </w:rPr>
            </w:r>
            <w:r/>
          </w:p>
        </w:tc>
        <w:tc>
          <w:tcPr>
            <w:tcW w:w="1992" w:type="dxa"/>
            <w:vAlign w:val="center"/>
            <w:textDirection w:val="lrTb"/>
            <w:noWrap w:val="false"/>
          </w:tcPr>
          <w:p>
            <w:pPr>
              <w:pStyle w:val="741"/>
              <w:jc w:val="center"/>
              <w:spacing w:line="0" w:lineRule="atLeast"/>
              <w:rPr>
                <w:rFonts w:hint="eastAsia" w:ascii="宋体" w:hAnsi="宋体" w:eastAsia="宋体" w:cs="宋体"/>
                <w:sz w:val="24"/>
              </w:rPr>
            </w:pPr>
            <w:r>
              <w:rPr>
                <w:rFonts w:hint="eastAsia" w:ascii="宋体" w:hAnsi="宋体" w:eastAsia="宋体" w:cs="宋体"/>
                <w:sz w:val="24"/>
              </w:rPr>
              <w:t xml:space="preserve">单项合计价（元）</w:t>
            </w:r>
            <w:r>
              <w:rPr>
                <w:rFonts w:hint="eastAsia" w:ascii="宋体" w:hAnsi="宋体" w:eastAsia="宋体" w:cs="宋体"/>
                <w:sz w:val="24"/>
              </w:rPr>
            </w:r>
            <w:r/>
          </w:p>
        </w:tc>
      </w:tr>
      <w:tr>
        <w:trPr>
          <w:cantSplit/>
          <w:trHeight w:val="499"/>
        </w:trPr>
        <w:tc>
          <w:tcPr>
            <w:tcW w:w="724"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39"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2196"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992"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trHeight w:val="499"/>
        </w:trPr>
        <w:tc>
          <w:tcPr>
            <w:tcW w:w="724"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39"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2196"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992"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trHeight w:val="499"/>
        </w:trPr>
        <w:tc>
          <w:tcPr>
            <w:tcW w:w="724"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39"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2196"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992"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trHeight w:val="499"/>
        </w:trPr>
        <w:tc>
          <w:tcPr>
            <w:tcW w:w="724"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39"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2196"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992"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trHeight w:val="499"/>
        </w:trPr>
        <w:tc>
          <w:tcPr>
            <w:tcW w:w="724"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39"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2196"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377"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c>
          <w:tcPr>
            <w:tcW w:w="1992" w:type="dxa"/>
            <w:vAlign w:val="center"/>
            <w:textDirection w:val="lrTb"/>
            <w:noWrap w:val="false"/>
          </w:tcPr>
          <w:p>
            <w:pPr>
              <w:pStyle w:val="741"/>
              <w:ind w:firstLine="480"/>
              <w:jc w:val="center"/>
              <w:spacing w:line="0" w:lineRule="atLeast"/>
              <w:rPr>
                <w:rFonts w:hint="eastAsia" w:ascii="宋体" w:hAnsi="宋体" w:eastAsia="宋体" w:cs="宋体"/>
                <w:sz w:val="24"/>
              </w:rPr>
            </w:pPr>
            <w:r>
              <w:rPr>
                <w:rFonts w:hint="eastAsia" w:ascii="宋体" w:hAnsi="宋体" w:eastAsia="宋体" w:cs="宋体"/>
                <w:sz w:val="24"/>
              </w:rPr>
            </w:r>
            <w:r/>
          </w:p>
        </w:tc>
      </w:tr>
    </w:tbl>
    <w:p>
      <w:pPr>
        <w:pStyle w:val="741"/>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81"/>
        <w:spacing w:line="360" w:lineRule="auto"/>
        <w:rPr>
          <w:rFonts w:hint="eastAsia"/>
        </w:rPr>
      </w:pPr>
      <w:r>
        <w:rPr>
          <w:rFonts w:hint="eastAsia"/>
        </w:rPr>
        <w:t xml:space="preserve">    法定代表人或授权代表（签字或签章）： </w:t>
      </w:r>
      <w:r>
        <w:rPr>
          <w:rFonts w:hint="eastAsia"/>
          <w:u w:val="single"/>
        </w:rPr>
        <w:t xml:space="preserve">                 </w:t>
      </w:r>
      <w:r>
        <w:rPr>
          <w:rFonts w:hint="eastAsia"/>
        </w:rPr>
        <w:t xml:space="preserve">                                       </w:t>
      </w:r>
      <w:r>
        <w:rPr>
          <w:rFonts w:hint="eastAsia"/>
        </w:rPr>
      </w:r>
      <w:r/>
    </w:p>
    <w:p>
      <w:pPr>
        <w:pStyle w:val="741"/>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41"/>
        <w:ind w:firstLine="480"/>
        <w:spacing w:line="360" w:lineRule="auto"/>
        <w:rPr>
          <w:rFonts w:hint="eastAsia" w:ascii="宋体" w:hAnsi="宋体"/>
          <w:sz w:val="24"/>
          <w:szCs w:val="24"/>
        </w:rPr>
      </w:pP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rPr>
          <w:rFonts w:ascii="宋体" w:hAnsi="宋体"/>
        </w:rPr>
      </w:pPr>
      <w:r>
        <w:rPr>
          <w:rFonts w:hint="eastAsia" w:ascii="宋体" w:hAnsi="宋体"/>
        </w:rPr>
        <w:t xml:space="preserve">备注：</w:t>
      </w:r>
      <w:r>
        <w:rPr>
          <w:rFonts w:ascii="宋体" w:hAnsi="宋体"/>
        </w:rPr>
      </w:r>
      <w:r/>
    </w:p>
    <w:p>
      <w:pPr>
        <w:pStyle w:val="741"/>
        <w:ind w:firstLine="420"/>
        <w:rPr>
          <w:rFonts w:hint="eastAsia" w:ascii="宋体" w:hAnsi="宋体"/>
        </w:rPr>
      </w:pPr>
      <w:r>
        <w:rPr>
          <w:rFonts w:hint="eastAsia" w:ascii="宋体" w:hAnsi="宋体"/>
        </w:rPr>
        <w:t xml:space="preserve">1、此表为表样，行数可自行添加，但表式不变；</w:t>
      </w:r>
      <w:r>
        <w:rPr>
          <w:rFonts w:hint="eastAsia" w:ascii="宋体" w:hAnsi="宋体"/>
        </w:rPr>
      </w:r>
      <w:r/>
    </w:p>
    <w:p>
      <w:pPr>
        <w:pStyle w:val="741"/>
        <w:ind w:firstLine="420"/>
        <w:rPr>
          <w:rFonts w:hint="eastAsia" w:ascii="宋体" w:hAnsi="宋体"/>
        </w:rPr>
      </w:pPr>
      <w:r>
        <w:rPr>
          <w:rFonts w:hint="eastAsia" w:ascii="宋体" w:hAnsi="宋体"/>
        </w:rPr>
        <w:t xml:space="preserve">2、相关食宿、差旅及其他所有费用由投标人自行计算填列；</w:t>
      </w:r>
      <w:r>
        <w:rPr>
          <w:rFonts w:hint="eastAsia" w:ascii="宋体" w:hAnsi="宋体"/>
        </w:rPr>
      </w:r>
      <w:r/>
    </w:p>
    <w:p>
      <w:pPr>
        <w:pStyle w:val="741"/>
        <w:ind w:firstLine="480"/>
        <w:spacing w:line="360" w:lineRule="auto"/>
        <w:rPr>
          <w:rFonts w:hint="eastAsia" w:ascii="宋体" w:hAnsi="宋体" w:cs="宋体"/>
          <w:sz w:val="24"/>
        </w:rPr>
      </w:pPr>
      <w:r>
        <w:rPr>
          <w:rFonts w:hint="eastAsia" w:ascii="宋体" w:hAnsi="宋体" w:cs="宋体"/>
          <w:sz w:val="24"/>
        </w:rPr>
      </w:r>
      <w:r/>
    </w:p>
    <w:p>
      <w:pPr>
        <w:pStyle w:val="803"/>
        <w:numPr>
          <w:ilvl w:val="0"/>
          <w:numId w:val="0"/>
        </w:numPr>
        <w:jc w:val="center"/>
        <w:spacing w:line="360" w:lineRule="auto"/>
        <w:tabs>
          <w:tab w:val="left" w:pos="720" w:leader="none"/>
        </w:tabs>
        <w:rPr>
          <w:rStyle w:val="804"/>
          <w:rFonts w:hint="eastAsia" w:ascii="宋体" w:hAnsi="宋体" w:cs="宋体"/>
        </w:rPr>
        <w:outlineLvl w:val="0"/>
      </w:pPr>
      <w:r>
        <w:rPr>
          <w:rFonts w:hint="eastAsia" w:ascii="宋体" w:hAnsi="宋体" w:cs="宋体"/>
        </w:rPr>
        <w:br w:type="page" w:clear="all"/>
      </w:r>
      <w:bookmarkStart w:id="352" w:name="_Toc29693"/>
      <w:r/>
      <w:bookmarkStart w:id="353" w:name="_Toc16586"/>
      <w:r/>
      <w:bookmarkStart w:id="354" w:name="_Toc18950"/>
      <w:r/>
      <w:bookmarkStart w:id="355" w:name="_Toc25489"/>
      <w:r/>
      <w:bookmarkStart w:id="356" w:name="_Toc9729"/>
      <w:r/>
      <w:bookmarkStart w:id="357" w:name="_Toc21929"/>
      <w:r/>
      <w:bookmarkStart w:id="358" w:name="_Toc18134"/>
      <w:r/>
      <w:bookmarkStart w:id="359" w:name="_Toc20877"/>
      <w:r/>
      <w:bookmarkStart w:id="360" w:name="_Toc29471"/>
      <w:r/>
      <w:bookmarkStart w:id="361" w:name="_Toc22913"/>
      <w:r/>
      <w:bookmarkStart w:id="362" w:name="_Toc4822"/>
      <w:r/>
      <w:bookmarkStart w:id="363" w:name="_Toc3110"/>
      <w:r/>
      <w:bookmarkStart w:id="364" w:name="_Toc11182"/>
      <w:r/>
      <w:bookmarkStart w:id="365" w:name="_Toc20573"/>
      <w:r/>
      <w:bookmarkStart w:id="366" w:name="_Toc31192"/>
      <w:r/>
      <w:bookmarkStart w:id="367" w:name="_Toc27547"/>
      <w:r/>
      <w:bookmarkStart w:id="368" w:name="_Toc29497"/>
      <w:r/>
      <w:bookmarkStart w:id="369" w:name="_Toc31952"/>
      <w:r/>
      <w:bookmarkStart w:id="370" w:name="_Toc29673"/>
      <w:r/>
      <w:bookmarkStart w:id="371" w:name="_Toc14062"/>
      <w:r/>
      <w:bookmarkStart w:id="372" w:name="_Toc7667"/>
      <w:r/>
      <w:bookmarkStart w:id="373" w:name="_Toc27988"/>
      <w:r/>
      <w:bookmarkStart w:id="374" w:name="_Toc1963"/>
      <w:r/>
      <w:bookmarkStart w:id="375" w:name="_Toc26392"/>
      <w:r/>
      <w:bookmarkStart w:id="376" w:name="_Toc9914"/>
      <w:r/>
      <w:bookmarkStart w:id="377" w:name="_Toc24612"/>
      <w:r/>
      <w:bookmarkStart w:id="378" w:name="_Toc4062"/>
      <w:r/>
      <w:bookmarkStart w:id="379" w:name="_Toc28895"/>
      <w:r/>
      <w:bookmarkStart w:id="380" w:name="_Toc9982"/>
      <w:r/>
      <w:bookmarkStart w:id="381" w:name="_Toc15513"/>
      <w:r/>
      <w:bookmarkStart w:id="382" w:name="_Toc545"/>
      <w:r/>
      <w:bookmarkStart w:id="383" w:name="_Toc27979"/>
      <w:r/>
      <w:bookmarkStart w:id="384" w:name="_Toc20857"/>
      <w:r/>
      <w:bookmarkStart w:id="385" w:name="_Toc15911"/>
      <w:r/>
      <w:bookmarkStart w:id="386" w:name="_Toc1201"/>
      <w:r/>
      <w:bookmarkStart w:id="387" w:name="_Toc26098"/>
      <w:r>
        <w:rPr>
          <w:rFonts w:hint="eastAsia" w:ascii="宋体" w:hAnsi="宋体" w:cs="宋体"/>
          <w:sz w:val="36"/>
          <w:szCs w:val="36"/>
        </w:rPr>
        <w:t xml:space="preserve">六、</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sz w:val="36"/>
          <w:szCs w:val="36"/>
        </w:rPr>
        <w:t xml:space="preserve">技术要求响应及偏离表</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Pr>
          <w:rStyle w:val="804"/>
          <w:rFonts w:hint="eastAsia" w:ascii="宋体" w:hAnsi="宋体" w:cs="宋体"/>
        </w:rPr>
      </w:r>
      <w:r/>
    </w:p>
    <w:p>
      <w:pPr>
        <w:pStyle w:val="741"/>
        <w:ind w:firstLine="480"/>
        <w:spacing w:line="360" w:lineRule="auto"/>
        <w:rPr>
          <w:rFonts w:hint="eastAsia" w:ascii="宋体" w:hAnsi="宋体" w:cs="宋体"/>
          <w:sz w:val="24"/>
        </w:rPr>
      </w:pPr>
      <w:r>
        <w:rPr>
          <w:rFonts w:hint="eastAsia" w:ascii="宋体" w:hAnsi="宋体" w:cs="宋体"/>
          <w:sz w:val="24"/>
        </w:rPr>
        <w:t xml:space="preserve">填写说明：本表应包含“第四章　项目需求”中的各项技术</w:t>
      </w:r>
      <w:r>
        <w:rPr>
          <w:rFonts w:hint="eastAsia" w:ascii="宋体" w:hAnsi="宋体" w:cs="宋体"/>
          <w:sz w:val="24"/>
          <w:szCs w:val="24"/>
          <w:lang w:val="en-US" w:eastAsia="zh-CN"/>
        </w:rPr>
        <w:t xml:space="preserve">/服务</w:t>
      </w:r>
      <w:r>
        <w:rPr>
          <w:rFonts w:hint="eastAsia" w:ascii="宋体" w:hAnsi="宋体" w:cs="宋体"/>
          <w:sz w:val="24"/>
        </w:rPr>
        <w:t xml:space="preserve">要求。</w:t>
      </w:r>
      <w:r>
        <w:rPr>
          <w:rFonts w:hint="eastAsia" w:ascii="宋体" w:hAnsi="宋体" w:cs="宋体"/>
          <w:sz w:val="24"/>
        </w:rPr>
      </w:r>
      <w:r/>
    </w:p>
    <w:tbl>
      <w:tblPr>
        <w:tblW w:w="887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369"/>
        <w:gridCol w:w="1020"/>
      </w:tblGrid>
      <w:tr>
        <w:trPr>
          <w:trHeight w:val="643"/>
        </w:trPr>
        <w:tc>
          <w:tcPr>
            <w:tcW w:w="822"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726"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技术</w:t>
            </w:r>
            <w:r>
              <w:rPr>
                <w:rFonts w:hint="eastAsia" w:ascii="宋体" w:hAnsi="宋体" w:cs="宋体"/>
                <w:sz w:val="24"/>
                <w:szCs w:val="24"/>
                <w:lang w:val="en-US" w:eastAsia="zh-CN"/>
              </w:rPr>
              <w:t xml:space="preserve">/服务</w:t>
            </w:r>
            <w:r>
              <w:rPr>
                <w:rFonts w:hint="eastAsia" w:ascii="宋体" w:hAnsi="宋体" w:cs="宋体"/>
                <w:sz w:val="24"/>
                <w:szCs w:val="24"/>
              </w:rPr>
              <w:t xml:space="preserve">要求条目</w:t>
            </w:r>
            <w:r>
              <w:rPr>
                <w:rFonts w:hint="eastAsia" w:ascii="宋体" w:hAnsi="宋体" w:cs="宋体"/>
                <w:sz w:val="24"/>
                <w:szCs w:val="24"/>
              </w:rPr>
            </w:r>
            <w:r/>
          </w:p>
        </w:tc>
        <w:tc>
          <w:tcPr>
            <w:tcW w:w="1778"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招标文件中的</w:t>
            </w:r>
            <w:r>
              <w:rPr>
                <w:rFonts w:hint="eastAsia" w:ascii="宋体" w:hAnsi="宋体" w:cs="宋体"/>
                <w:sz w:val="24"/>
                <w:szCs w:val="24"/>
              </w:rPr>
            </w:r>
            <w:r/>
          </w:p>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技术</w:t>
            </w:r>
            <w:r>
              <w:rPr>
                <w:rFonts w:hint="eastAsia" w:ascii="宋体" w:hAnsi="宋体" w:cs="宋体"/>
                <w:sz w:val="24"/>
                <w:szCs w:val="24"/>
                <w:lang w:val="en-US" w:eastAsia="zh-CN"/>
              </w:rPr>
              <w:t xml:space="preserve">/服务</w:t>
            </w:r>
            <w:r>
              <w:rPr>
                <w:rFonts w:hint="eastAsia" w:ascii="宋体" w:hAnsi="宋体" w:cs="宋体"/>
                <w:sz w:val="24"/>
                <w:szCs w:val="24"/>
              </w:rPr>
              <w:t xml:space="preserve">要求</w:t>
            </w:r>
            <w:r>
              <w:rPr>
                <w:rFonts w:hint="eastAsia" w:ascii="宋体" w:hAnsi="宋体" w:cs="宋体"/>
                <w:sz w:val="24"/>
                <w:szCs w:val="24"/>
              </w:rPr>
            </w:r>
            <w:r/>
          </w:p>
        </w:tc>
        <w:tc>
          <w:tcPr>
            <w:tcW w:w="2163"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rPr>
            </w:r>
            <w:r/>
          </w:p>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的承诺或说明</w:t>
            </w:r>
            <w:r>
              <w:rPr>
                <w:rFonts w:hint="eastAsia" w:ascii="宋体" w:hAnsi="宋体" w:cs="宋体"/>
                <w:sz w:val="24"/>
                <w:szCs w:val="24"/>
              </w:rPr>
            </w:r>
            <w:r/>
          </w:p>
        </w:tc>
        <w:tc>
          <w:tcPr>
            <w:tcW w:w="1369"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偏离情况</w:t>
            </w:r>
            <w:r>
              <w:rPr>
                <w:rFonts w:hint="eastAsia" w:ascii="宋体" w:hAnsi="宋体" w:cs="宋体"/>
                <w:sz w:val="24"/>
                <w:szCs w:val="24"/>
              </w:rPr>
            </w:r>
            <w:r/>
          </w:p>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020"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t xml:space="preserve">页码</w:t>
            </w:r>
            <w:r>
              <w:rPr>
                <w:rFonts w:hint="eastAsia" w:ascii="宋体" w:hAnsi="宋体" w:cs="宋体"/>
                <w:sz w:val="24"/>
                <w:szCs w:val="24"/>
              </w:rPr>
            </w:r>
            <w:r/>
          </w:p>
        </w:tc>
      </w:tr>
      <w:tr>
        <w:trPr>
          <w:trHeight w:val="537"/>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r>
        <w:trPr>
          <w:trHeight w:val="512"/>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r>
        <w:trPr>
          <w:trHeight w:val="541"/>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r>
        <w:trPr>
          <w:trHeight w:val="441"/>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r>
        <w:trPr>
          <w:trHeight w:val="576"/>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r>
        <w:trPr>
          <w:trHeight w:val="401"/>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726"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（本表可根据需要自行添加行）</w:t>
            </w:r>
            <w:r>
              <w:rPr>
                <w:rFonts w:hint="eastAsia" w:ascii="宋体" w:hAnsi="宋体" w:cs="宋体"/>
              </w:rPr>
            </w:r>
            <w:r/>
          </w:p>
        </w:tc>
        <w:tc>
          <w:tcPr>
            <w:tcW w:w="1778"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r>
            <w:r/>
          </w:p>
        </w:tc>
      </w:tr>
    </w:tbl>
    <w:p>
      <w:pPr>
        <w:pStyle w:val="741"/>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81"/>
        <w:ind w:firstLine="480"/>
        <w:spacing w:line="360" w:lineRule="auto"/>
        <w:rPr>
          <w:rFonts w:hint="eastAsia"/>
        </w:rPr>
      </w:pPr>
      <w:r>
        <w:rPr>
          <w:rFonts w:hint="eastAsia"/>
        </w:rPr>
        <w:t xml:space="preserve">法定代表人或授权代表（签字或签章）： </w:t>
      </w:r>
      <w:r>
        <w:rPr>
          <w:rFonts w:hint="eastAsia"/>
          <w:u w:val="single"/>
        </w:rPr>
        <w:t xml:space="preserve">                 </w:t>
      </w:r>
      <w:r>
        <w:rPr>
          <w:rFonts w:hint="eastAsia"/>
        </w:rPr>
        <w:t xml:space="preserve">                                       </w:t>
      </w:r>
      <w:r>
        <w:rPr>
          <w:rFonts w:hint="eastAsia"/>
        </w:rPr>
      </w:r>
      <w:r/>
    </w:p>
    <w:p>
      <w:pPr>
        <w:pStyle w:val="741"/>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41"/>
        <w:spacing w:line="360" w:lineRule="auto"/>
        <w:rPr>
          <w:rFonts w:hint="eastAsia" w:ascii="宋体" w:hAnsi="宋体"/>
          <w:sz w:val="24"/>
          <w:szCs w:val="24"/>
        </w:rPr>
      </w:pPr>
      <w:r>
        <w:rPr>
          <w:rFonts w:hint="eastAsia" w:ascii="宋体" w:hAnsi="宋体"/>
          <w:sz w:val="24"/>
          <w:szCs w:val="24"/>
        </w:rPr>
      </w:r>
      <w:r/>
    </w:p>
    <w:p>
      <w:pPr>
        <w:pStyle w:val="741"/>
        <w:ind w:firstLine="440"/>
        <w:rPr>
          <w:sz w:val="22"/>
          <w:szCs w:val="20"/>
        </w:rPr>
      </w:pPr>
      <w:r>
        <w:rPr>
          <w:rFonts w:hint="eastAsia"/>
          <w:sz w:val="22"/>
          <w:szCs w:val="20"/>
        </w:rPr>
        <w:t xml:space="preserve">填写说明：</w:t>
      </w:r>
      <w:r>
        <w:rPr>
          <w:sz w:val="22"/>
          <w:szCs w:val="20"/>
        </w:rPr>
      </w:r>
      <w:r/>
    </w:p>
    <w:p>
      <w:pPr>
        <w:pStyle w:val="741"/>
        <w:ind w:firstLine="440"/>
        <w:rPr>
          <w:sz w:val="22"/>
          <w:szCs w:val="20"/>
        </w:rPr>
      </w:pPr>
      <w:r>
        <w:rPr>
          <w:rFonts w:hint="eastAsia"/>
          <w:sz w:val="22"/>
          <w:szCs w:val="20"/>
        </w:rPr>
        <w:t xml:space="preserve">1、此表为表样，行数可自行添加，但表式不变。</w:t>
      </w:r>
      <w:r>
        <w:rPr>
          <w:sz w:val="22"/>
          <w:szCs w:val="20"/>
        </w:rPr>
      </w:r>
      <w:r/>
    </w:p>
    <w:p>
      <w:pPr>
        <w:pStyle w:val="741"/>
        <w:ind w:firstLine="440"/>
        <w:rPr>
          <w:sz w:val="22"/>
          <w:szCs w:val="20"/>
        </w:rPr>
      </w:pPr>
      <w:r>
        <w:rPr>
          <w:rFonts w:hint="eastAsia"/>
          <w:sz w:val="22"/>
          <w:szCs w:val="20"/>
        </w:rPr>
        <w:t xml:space="preserve">2、是否偏离用符号“+、-”分别表示正偏离、负偏离。</w:t>
      </w:r>
      <w:r>
        <w:rPr>
          <w:sz w:val="22"/>
          <w:szCs w:val="20"/>
        </w:rPr>
      </w:r>
      <w:r/>
    </w:p>
    <w:p>
      <w:pPr>
        <w:pStyle w:val="741"/>
        <w:ind w:firstLine="440"/>
        <w:rPr>
          <w:sz w:val="22"/>
          <w:szCs w:val="20"/>
        </w:rPr>
      </w:pPr>
      <w:r>
        <w:rPr>
          <w:rFonts w:hint="eastAsia"/>
          <w:sz w:val="22"/>
          <w:szCs w:val="20"/>
        </w:rPr>
        <w:t xml:space="preserve">3、投标人必须仔细阅读本招标文件中所有商务要求，并列入上表。</w:t>
      </w:r>
      <w:r>
        <w:rPr>
          <w:sz w:val="22"/>
          <w:szCs w:val="20"/>
        </w:rPr>
      </w:r>
      <w:r/>
    </w:p>
    <w:p>
      <w:pPr>
        <w:pStyle w:val="741"/>
        <w:ind w:firstLine="440"/>
        <w:rPr>
          <w:sz w:val="22"/>
          <w:szCs w:val="20"/>
        </w:rPr>
      </w:pPr>
      <w:r>
        <w:rPr>
          <w:rFonts w:hint="eastAsia"/>
          <w:sz w:val="22"/>
          <w:szCs w:val="20"/>
        </w:rPr>
        <w:t xml:space="preserve">4、若投标文件中出现与此表表述不一致的，以此表为准。</w:t>
      </w:r>
      <w:r>
        <w:rPr>
          <w:sz w:val="22"/>
          <w:szCs w:val="20"/>
        </w:rPr>
      </w:r>
      <w:r/>
    </w:p>
    <w:p>
      <w:pPr>
        <w:pStyle w:val="741"/>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741"/>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741"/>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803"/>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803"/>
        <w:numPr>
          <w:ilvl w:val="0"/>
          <w:numId w:val="0"/>
        </w:numPr>
        <w:jc w:val="center"/>
        <w:pageBreakBefore/>
        <w:spacing w:line="360" w:lineRule="auto"/>
        <w:widowControl w:val="off"/>
        <w:tabs>
          <w:tab w:val="left" w:pos="720" w:leader="none"/>
        </w:tabs>
        <w:rPr>
          <w:rFonts w:hint="eastAsia" w:ascii="宋体" w:hAnsi="宋体" w:cs="宋体"/>
          <w:sz w:val="36"/>
          <w:szCs w:val="36"/>
        </w:rPr>
        <w:outlineLvl w:val="0"/>
      </w:pPr>
      <w:r/>
      <w:bookmarkStart w:id="388" w:name="_Toc4418"/>
      <w:r/>
      <w:bookmarkStart w:id="389" w:name="_Toc10847"/>
      <w:r/>
      <w:bookmarkStart w:id="390" w:name="_Toc29688"/>
      <w:r/>
      <w:bookmarkStart w:id="391" w:name="_Toc5017"/>
      <w:r/>
      <w:bookmarkStart w:id="392" w:name="_Toc802"/>
      <w:r/>
      <w:bookmarkStart w:id="393" w:name="_Toc29902"/>
      <w:r/>
      <w:bookmarkStart w:id="394" w:name="_Toc27464"/>
      <w:r/>
      <w:bookmarkStart w:id="395" w:name="_Toc12008"/>
      <w:r/>
      <w:bookmarkStart w:id="396" w:name="_Toc19249"/>
      <w:r/>
      <w:bookmarkStart w:id="397" w:name="_Toc22358"/>
      <w:r/>
      <w:bookmarkStart w:id="398" w:name="_Toc1348"/>
      <w:r/>
      <w:bookmarkStart w:id="399" w:name="_Toc1900"/>
      <w:r/>
      <w:bookmarkStart w:id="400" w:name="_Toc17478"/>
      <w:r/>
      <w:bookmarkStart w:id="401" w:name="_Toc26093"/>
      <w:r/>
      <w:bookmarkStart w:id="402" w:name="_Toc24533"/>
      <w:r/>
      <w:bookmarkStart w:id="403" w:name="_Toc16336"/>
      <w:r/>
      <w:bookmarkStart w:id="404" w:name="_Toc6844"/>
      <w:r/>
      <w:bookmarkStart w:id="405" w:name="_Toc10006"/>
      <w:r/>
      <w:bookmarkStart w:id="406" w:name="_Toc14401"/>
      <w:r/>
      <w:bookmarkStart w:id="407" w:name="_Toc26633"/>
      <w:r/>
      <w:bookmarkStart w:id="408" w:name="_Toc18166"/>
      <w:r/>
      <w:bookmarkStart w:id="409" w:name="_Toc16486"/>
      <w:r/>
      <w:bookmarkStart w:id="410" w:name="_Toc25213"/>
      <w:r/>
      <w:bookmarkStart w:id="411" w:name="_Toc12090"/>
      <w:r/>
      <w:bookmarkStart w:id="412" w:name="_Toc24105"/>
      <w:r/>
      <w:bookmarkStart w:id="413" w:name="_Toc20083"/>
      <w:r/>
      <w:bookmarkStart w:id="414" w:name="_Toc26233"/>
      <w:r/>
      <w:bookmarkStart w:id="415" w:name="_Toc336"/>
      <w:r/>
      <w:bookmarkStart w:id="416" w:name="_Toc8869"/>
      <w:r/>
      <w:bookmarkStart w:id="417" w:name="_Toc25502"/>
      <w:r/>
      <w:bookmarkStart w:id="418" w:name="_Toc28385"/>
      <w:r/>
      <w:bookmarkStart w:id="419" w:name="_Toc6813"/>
      <w:r/>
      <w:bookmarkStart w:id="420" w:name="_Toc9191"/>
      <w:r/>
      <w:bookmarkStart w:id="421" w:name="_Toc19798"/>
      <w:r/>
      <w:bookmarkStart w:id="422" w:name="_Toc3857"/>
      <w:r/>
      <w:bookmarkStart w:id="423" w:name="_Toc12902"/>
      <w:r>
        <w:rPr>
          <w:rFonts w:hint="eastAsia" w:ascii="宋体" w:hAnsi="宋体" w:cs="宋体"/>
          <w:sz w:val="36"/>
          <w:szCs w:val="36"/>
        </w:rPr>
        <w:t xml:space="preserve">七、商务</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sz w:val="36"/>
          <w:szCs w:val="36"/>
        </w:rPr>
        <w:t xml:space="preserve">要求响应及偏离表</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sz w:val="36"/>
          <w:szCs w:val="36"/>
        </w:rPr>
      </w:r>
      <w:r/>
    </w:p>
    <w:p>
      <w:pPr>
        <w:pStyle w:val="741"/>
        <w:ind w:firstLine="480"/>
        <w:spacing w:line="360" w:lineRule="auto"/>
        <w:rPr>
          <w:rFonts w:hint="eastAsia" w:ascii="宋体" w:hAnsi="宋体" w:cs="宋体"/>
          <w:sz w:val="24"/>
        </w:rPr>
      </w:pPr>
      <w:r>
        <w:rPr>
          <w:rFonts w:hint="eastAsia" w:ascii="宋体" w:hAnsi="宋体" w:cs="宋体"/>
          <w:sz w:val="24"/>
        </w:rPr>
        <w:t xml:space="preserve">填写说明：本表应包含招标文件中的各项商务类要求。</w:t>
      </w:r>
      <w:r>
        <w:rPr>
          <w:rFonts w:hint="eastAsia" w:ascii="宋体" w:hAnsi="宋体" w:cs="宋体"/>
          <w:sz w:val="24"/>
        </w:rPr>
      </w:r>
      <w:r/>
    </w:p>
    <w:tbl>
      <w:tblPr>
        <w:tblW w:w="88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2033"/>
        <w:gridCol w:w="1784"/>
        <w:gridCol w:w="2483"/>
        <w:gridCol w:w="1842"/>
      </w:tblGrid>
      <w:tr>
        <w:trPr>
          <w:trHeight w:val="643"/>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序号</w:t>
            </w:r>
            <w:r>
              <w:rPr>
                <w:rFonts w:hint="eastAsia" w:ascii="宋体" w:hAnsi="宋体" w:cs="宋体"/>
              </w:rPr>
            </w:r>
            <w:r/>
          </w:p>
        </w:tc>
        <w:tc>
          <w:tcPr>
            <w:tcW w:w="203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商务要求条目</w:t>
            </w:r>
            <w:r>
              <w:rPr>
                <w:rFonts w:hint="eastAsia" w:ascii="宋体" w:hAnsi="宋体" w:cs="宋体"/>
              </w:rPr>
            </w:r>
            <w:r/>
          </w:p>
        </w:tc>
        <w:tc>
          <w:tcPr>
            <w:tcW w:w="1784"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招标文件中的</w:t>
            </w:r>
            <w:r>
              <w:rPr>
                <w:rFonts w:hint="eastAsia" w:ascii="宋体" w:hAnsi="宋体" w:cs="宋体"/>
              </w:rPr>
            </w:r>
            <w:r/>
          </w:p>
          <w:p>
            <w:pPr>
              <w:pStyle w:val="741"/>
              <w:jc w:val="center"/>
              <w:spacing w:line="360" w:lineRule="auto"/>
              <w:rPr>
                <w:rFonts w:hint="eastAsia" w:ascii="宋体" w:hAnsi="宋体" w:cs="宋体"/>
              </w:rPr>
            </w:pPr>
            <w:r>
              <w:rPr>
                <w:rFonts w:hint="eastAsia" w:ascii="宋体" w:hAnsi="宋体" w:cs="宋体"/>
              </w:rPr>
              <w:t xml:space="preserve">商务要求</w:t>
            </w:r>
            <w:r>
              <w:rPr>
                <w:rFonts w:hint="eastAsia" w:ascii="宋体" w:hAnsi="宋体" w:cs="宋体"/>
              </w:rPr>
            </w:r>
            <w:r/>
          </w:p>
        </w:tc>
        <w:tc>
          <w:tcPr>
            <w:tcW w:w="2483"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投标人的承诺或说明</w:t>
            </w:r>
            <w:r>
              <w:rPr>
                <w:rFonts w:hint="eastAsia" w:ascii="宋体" w:hAnsi="宋体" w:cs="宋体"/>
              </w:rPr>
            </w:r>
            <w:r/>
          </w:p>
        </w:tc>
        <w:tc>
          <w:tcPr>
            <w:tcW w:w="184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偏离情况</w:t>
            </w:r>
            <w:r>
              <w:rPr>
                <w:rFonts w:hint="eastAsia" w:ascii="宋体" w:hAnsi="宋体" w:cs="宋体"/>
              </w:rPr>
            </w:r>
            <w:r/>
          </w:p>
          <w:p>
            <w:pPr>
              <w:pStyle w:val="741"/>
              <w:jc w:val="center"/>
              <w:spacing w:line="360" w:lineRule="auto"/>
              <w:rPr>
                <w:rFonts w:hint="eastAsia" w:ascii="宋体" w:hAnsi="宋体" w:cs="宋体"/>
              </w:rPr>
            </w:pPr>
            <w:r>
              <w:rPr>
                <w:rFonts w:hint="eastAsia" w:ascii="宋体" w:hAnsi="宋体" w:cs="宋体"/>
              </w:rPr>
              <w:t xml:space="preserve">（+/-/=）</w:t>
            </w:r>
            <w:r>
              <w:rPr>
                <w:rFonts w:hint="eastAsia" w:ascii="宋体" w:hAnsi="宋体" w:cs="宋体"/>
              </w:rPr>
            </w:r>
            <w:r/>
          </w:p>
        </w:tc>
      </w:tr>
      <w:tr>
        <w:trPr>
          <w:trHeight w:val="593"/>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203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203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203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203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203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203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203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r>
      <w:tr>
        <w:trPr>
          <w:trHeight w:val="461"/>
        </w:trPr>
        <w:tc>
          <w:tcPr>
            <w:tcW w:w="712"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2033" w:type="dxa"/>
            <w:vAlign w:val="center"/>
            <w:textDirection w:val="lrTb"/>
            <w:noWrap w:val="false"/>
          </w:tcPr>
          <w:p>
            <w:pPr>
              <w:pStyle w:val="741"/>
              <w:spacing w:line="360" w:lineRule="auto"/>
              <w:rPr>
                <w:rFonts w:hint="eastAsia" w:ascii="宋体" w:hAnsi="宋体" w:cs="宋体"/>
              </w:rPr>
            </w:pPr>
            <w:r>
              <w:rPr>
                <w:rFonts w:hint="eastAsia" w:ascii="宋体" w:hAnsi="宋体" w:cs="宋体"/>
              </w:rPr>
              <w:t xml:space="preserve">（本表可根据需要自行添加行）</w:t>
            </w:r>
            <w:r>
              <w:rPr>
                <w:rFonts w:hint="eastAsia" w:ascii="宋体" w:hAnsi="宋体" w:cs="宋体"/>
              </w:rPr>
            </w:r>
            <w:r/>
          </w:p>
        </w:tc>
        <w:tc>
          <w:tcPr>
            <w:tcW w:w="1784"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41"/>
              <w:spacing w:line="360" w:lineRule="auto"/>
              <w:rPr>
                <w:rFonts w:hint="eastAsia" w:ascii="宋体" w:hAnsi="宋体" w:cs="宋体"/>
              </w:rPr>
            </w:pPr>
            <w:r>
              <w:rPr>
                <w:rFonts w:hint="eastAsia" w:ascii="宋体" w:hAnsi="宋体" w:cs="宋体"/>
              </w:rPr>
            </w:r>
            <w:r/>
          </w:p>
        </w:tc>
      </w:tr>
    </w:tbl>
    <w:p>
      <w:pPr>
        <w:pStyle w:val="741"/>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81"/>
        <w:ind w:firstLine="480"/>
        <w:spacing w:line="360" w:lineRule="auto"/>
        <w:rPr>
          <w:rFonts w:hint="eastAsia"/>
        </w:rPr>
      </w:pPr>
      <w:r>
        <w:rPr>
          <w:rFonts w:hint="eastAsia"/>
        </w:rPr>
        <w:t xml:space="preserve">法定代表人或授权代表（签字或签章）： </w:t>
      </w:r>
      <w:r>
        <w:rPr>
          <w:rFonts w:hint="eastAsia"/>
          <w:u w:val="single"/>
        </w:rPr>
        <w:t xml:space="preserve">                 </w:t>
      </w:r>
      <w:r>
        <w:rPr>
          <w:rFonts w:hint="eastAsia"/>
        </w:rPr>
        <w:t xml:space="preserve">                                       </w:t>
      </w:r>
      <w:r>
        <w:rPr>
          <w:rFonts w:hint="eastAsia"/>
        </w:rPr>
      </w:r>
      <w:r/>
    </w:p>
    <w:p>
      <w:pPr>
        <w:pStyle w:val="741"/>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41"/>
        <w:ind w:firstLine="480"/>
        <w:spacing w:line="360" w:lineRule="auto"/>
        <w:rPr>
          <w:rFonts w:hint="eastAsia" w:ascii="宋体" w:hAnsi="宋体" w:cs="宋体"/>
          <w:sz w:val="24"/>
        </w:rPr>
      </w:pPr>
      <w:r>
        <w:rPr>
          <w:rFonts w:hint="eastAsia" w:ascii="宋体" w:hAnsi="宋体" w:cs="宋体"/>
          <w:sz w:val="24"/>
        </w:rPr>
      </w:r>
      <w:r/>
    </w:p>
    <w:p>
      <w:pPr>
        <w:pStyle w:val="741"/>
        <w:ind w:firstLine="480"/>
        <w:rPr>
          <w:rFonts w:hint="eastAsia" w:ascii="宋体" w:hAnsi="宋体" w:cs="宋体"/>
          <w:szCs w:val="18"/>
        </w:rPr>
      </w:pPr>
      <w:r>
        <w:rPr>
          <w:rFonts w:hint="eastAsia" w:ascii="宋体" w:hAnsi="宋体" w:cs="宋体"/>
          <w:szCs w:val="18"/>
        </w:rPr>
        <w:t xml:space="preserve">填写说明：</w:t>
      </w:r>
      <w:r>
        <w:rPr>
          <w:rFonts w:hint="eastAsia" w:ascii="宋体" w:hAnsi="宋体" w:cs="宋体"/>
          <w:szCs w:val="18"/>
        </w:rPr>
      </w:r>
      <w:r/>
    </w:p>
    <w:p>
      <w:pPr>
        <w:pStyle w:val="741"/>
        <w:ind w:firstLine="420"/>
        <w:rPr>
          <w:rFonts w:hint="eastAsia" w:ascii="宋体" w:hAnsi="宋体" w:cs="宋体"/>
          <w:szCs w:val="18"/>
        </w:rPr>
      </w:pPr>
      <w:r>
        <w:rPr>
          <w:rFonts w:hint="eastAsia" w:ascii="宋体" w:hAnsi="宋体" w:cs="宋体"/>
          <w:szCs w:val="18"/>
        </w:rPr>
        <w:t xml:space="preserve">①此表为表样，行数可自行添加，但表式不变。</w:t>
      </w:r>
      <w:r>
        <w:rPr>
          <w:rFonts w:hint="eastAsia" w:ascii="宋体" w:hAnsi="宋体" w:cs="宋体"/>
          <w:szCs w:val="18"/>
        </w:rPr>
      </w:r>
      <w:r/>
    </w:p>
    <w:p>
      <w:pPr>
        <w:pStyle w:val="741"/>
        <w:ind w:firstLine="420"/>
        <w:rPr>
          <w:rFonts w:hint="eastAsia" w:ascii="宋体" w:hAnsi="宋体" w:cs="宋体"/>
          <w:szCs w:val="18"/>
        </w:rPr>
      </w:pPr>
      <w:r>
        <w:rPr>
          <w:rFonts w:hint="eastAsia" w:ascii="宋体" w:hAnsi="宋体" w:cs="宋体"/>
          <w:szCs w:val="18"/>
        </w:rPr>
        <w:t xml:space="preserve">②是否偏离用符号“+、-”分别表示正偏离、负偏离。</w:t>
      </w:r>
      <w:r>
        <w:rPr>
          <w:rFonts w:hint="eastAsia" w:ascii="宋体" w:hAnsi="宋体" w:cs="宋体"/>
          <w:szCs w:val="18"/>
        </w:rPr>
      </w:r>
      <w:r/>
    </w:p>
    <w:p>
      <w:pPr>
        <w:pStyle w:val="741"/>
        <w:ind w:firstLine="420"/>
        <w:rPr>
          <w:rFonts w:hint="eastAsia" w:ascii="宋体" w:hAnsi="宋体" w:cs="宋体"/>
          <w:szCs w:val="18"/>
        </w:rPr>
      </w:pPr>
      <w:r>
        <w:rPr>
          <w:rFonts w:hint="eastAsia" w:ascii="宋体" w:hAnsi="宋体" w:cs="宋体"/>
          <w:szCs w:val="18"/>
        </w:rPr>
        <w:t xml:space="preserve">③供应商必须仔细阅读本采购文件中所有商务要求，并列入上表。</w:t>
      </w:r>
      <w:r>
        <w:rPr>
          <w:rFonts w:hint="eastAsia" w:ascii="宋体" w:hAnsi="宋体" w:cs="宋体"/>
          <w:szCs w:val="18"/>
        </w:rPr>
      </w:r>
      <w:r/>
    </w:p>
    <w:p>
      <w:pPr>
        <w:pStyle w:val="741"/>
        <w:ind w:firstLine="420"/>
        <w:rPr>
          <w:rFonts w:hint="eastAsia" w:ascii="宋体" w:hAnsi="宋体" w:cs="宋体"/>
          <w:szCs w:val="18"/>
        </w:rPr>
      </w:pPr>
      <w:r>
        <w:rPr>
          <w:rFonts w:hint="eastAsia" w:ascii="宋体" w:hAnsi="宋体" w:cs="宋体"/>
          <w:szCs w:val="18"/>
        </w:rPr>
        <w:t xml:space="preserve">④若响应文件中出现与此表表述不一致的，以此表为准。</w:t>
      </w:r>
      <w:r>
        <w:rPr>
          <w:rFonts w:hint="eastAsia" w:ascii="宋体" w:hAnsi="宋体" w:cs="宋体"/>
          <w:szCs w:val="18"/>
        </w:rPr>
      </w:r>
      <w:r/>
    </w:p>
    <w:p>
      <w:pPr>
        <w:pStyle w:val="803"/>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803"/>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803"/>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803"/>
        <w:numPr>
          <w:ilvl w:val="0"/>
          <w:numId w:val="0"/>
        </w:numPr>
        <w:jc w:val="center"/>
        <w:pageBreakBefore/>
        <w:spacing w:line="360" w:lineRule="auto"/>
        <w:widowControl w:val="off"/>
        <w:tabs>
          <w:tab w:val="left" w:pos="720" w:leader="none"/>
        </w:tabs>
        <w:rPr>
          <w:rFonts w:hint="eastAsia" w:ascii="宋体" w:hAnsi="宋体" w:cs="宋体"/>
          <w:sz w:val="36"/>
          <w:szCs w:val="36"/>
        </w:rPr>
        <w:outlineLvl w:val="0"/>
      </w:pPr>
      <w:r>
        <w:rPr>
          <w:rFonts w:hint="eastAsia" w:ascii="宋体" w:hAnsi="宋体" w:cs="宋体"/>
          <w:sz w:val="36"/>
          <w:szCs w:val="36"/>
        </w:rPr>
        <w:t xml:space="preserve">八、业绩</w:t>
      </w:r>
      <w:r>
        <w:rPr>
          <w:rFonts w:hint="eastAsia" w:ascii="宋体" w:hAnsi="宋体" w:cs="宋体"/>
          <w:sz w:val="36"/>
          <w:szCs w:val="36"/>
        </w:rPr>
      </w:r>
      <w:r/>
    </w:p>
    <w:p>
      <w:pPr>
        <w:pStyle w:val="803"/>
        <w:numPr>
          <w:ilvl w:val="0"/>
          <w:numId w:val="0"/>
        </w:numPr>
        <w:jc w:val="center"/>
        <w:pageBreakBefore/>
        <w:spacing w:line="360" w:lineRule="auto"/>
        <w:widowControl w:val="off"/>
        <w:tabs>
          <w:tab w:val="left" w:pos="720" w:leader="none"/>
        </w:tabs>
        <w:rPr>
          <w:rFonts w:ascii="宋体" w:hAnsi="宋体" w:cs="宋体"/>
          <w:sz w:val="36"/>
          <w:szCs w:val="36"/>
        </w:rPr>
        <w:outlineLvl w:val="0"/>
      </w:pPr>
      <w:r/>
      <w:bookmarkStart w:id="424" w:name="_Toc24887"/>
      <w:r/>
      <w:bookmarkStart w:id="425" w:name="_Toc7411"/>
      <w:r/>
      <w:bookmarkStart w:id="426" w:name="_Toc28066"/>
      <w:r/>
      <w:bookmarkStart w:id="427" w:name="_Toc9860"/>
      <w:r/>
      <w:bookmarkStart w:id="428" w:name="_Toc27454"/>
      <w:r/>
      <w:bookmarkStart w:id="429" w:name="_Toc2210"/>
      <w:r/>
      <w:bookmarkStart w:id="430" w:name="_Toc17712"/>
      <w:r/>
      <w:bookmarkStart w:id="431" w:name="_Toc25385"/>
      <w:r/>
      <w:bookmarkStart w:id="432" w:name="_Toc24832"/>
      <w:r/>
      <w:bookmarkStart w:id="433" w:name="_Toc3763"/>
      <w:r/>
      <w:bookmarkStart w:id="434" w:name="_Toc6320"/>
      <w:r/>
      <w:bookmarkStart w:id="435" w:name="_Toc10267"/>
      <w:r/>
      <w:bookmarkStart w:id="436" w:name="_Toc29624"/>
      <w:r/>
      <w:bookmarkStart w:id="437" w:name="_Toc10064"/>
      <w:r/>
      <w:bookmarkStart w:id="438" w:name="_Toc17585"/>
      <w:r/>
      <w:bookmarkStart w:id="439" w:name="_Toc2998"/>
      <w:r/>
      <w:bookmarkStart w:id="440" w:name="_Toc859"/>
      <w:r/>
      <w:bookmarkStart w:id="441" w:name="_Toc19834"/>
      <w:r/>
      <w:bookmarkStart w:id="442" w:name="_Toc16934"/>
      <w:r/>
      <w:bookmarkStart w:id="443" w:name="_Toc5516"/>
      <w:r/>
      <w:bookmarkStart w:id="444" w:name="_Toc896"/>
      <w:r/>
      <w:bookmarkStart w:id="445" w:name="_Toc1071"/>
      <w:r/>
      <w:bookmarkStart w:id="446" w:name="_Toc23548"/>
      <w:r/>
      <w:bookmarkStart w:id="447" w:name="_Toc21462"/>
      <w:r/>
      <w:bookmarkStart w:id="448" w:name="_Toc12487"/>
      <w:r/>
      <w:bookmarkStart w:id="449" w:name="_Toc1350"/>
      <w:r/>
      <w:bookmarkStart w:id="450" w:name="_Toc6497"/>
      <w:r/>
      <w:bookmarkStart w:id="451" w:name="_Toc8414"/>
      <w:r/>
      <w:bookmarkStart w:id="452" w:name="_Toc7071"/>
      <w:r/>
      <w:bookmarkStart w:id="453" w:name="_Toc20036"/>
      <w:r/>
      <w:bookmarkStart w:id="454" w:name="_Toc9828"/>
      <w:r/>
      <w:bookmarkStart w:id="455" w:name="_Toc428"/>
      <w:r/>
      <w:bookmarkStart w:id="456" w:name="_Toc19723"/>
      <w:r/>
      <w:bookmarkStart w:id="457" w:name="_Toc697"/>
      <w:r/>
      <w:bookmarkStart w:id="458" w:name="_Toc216"/>
      <w:r/>
      <w:bookmarkStart w:id="459" w:name="_Toc10999"/>
      <w:r>
        <w:rPr>
          <w:rFonts w:hint="eastAsia" w:ascii="宋体" w:hAnsi="宋体" w:cs="宋体"/>
          <w:sz w:val="36"/>
          <w:szCs w:val="36"/>
        </w:rPr>
        <w:t xml:space="preserve">九、相关附件格式</w:t>
      </w:r>
      <w:r>
        <w:rPr>
          <w:rFonts w:ascii="宋体" w:hAnsi="宋体" w:cs="宋体"/>
          <w:sz w:val="36"/>
          <w:szCs w:val="36"/>
        </w:rPr>
      </w:r>
      <w:r/>
    </w:p>
    <w:p>
      <w:pPr>
        <w:pStyle w:val="803"/>
        <w:numPr>
          <w:ilvl w:val="0"/>
          <w:numId w:val="0"/>
        </w:numPr>
        <w:jc w:val="center"/>
        <w:spacing w:line="360" w:lineRule="auto"/>
        <w:tabs>
          <w:tab w:val="left" w:pos="720" w:leader="none"/>
        </w:tabs>
        <w:rPr>
          <w:rFonts w:hint="eastAsia" w:ascii="宋体" w:hAnsi="宋体" w:cs="宋体"/>
          <w:sz w:val="30"/>
          <w:szCs w:val="30"/>
        </w:rPr>
        <w:outlineLvl w:val="0"/>
      </w:pPr>
      <w:r>
        <w:rPr>
          <w:rFonts w:hint="eastAsia" w:ascii="宋体" w:hAnsi="宋体" w:cs="宋体"/>
          <w:sz w:val="30"/>
          <w:szCs w:val="30"/>
        </w:rPr>
        <w:t xml:space="preserve">附 件1：具备履行合同所必需的设备和专业技术能力的书面声明</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cs="宋体"/>
          <w:sz w:val="30"/>
          <w:szCs w:val="30"/>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81"/>
        <w:ind w:firstLine="3840"/>
        <w:spacing w:line="360" w:lineRule="auto"/>
        <w:rPr>
          <w:rFonts w:hint="eastAsia"/>
        </w:rPr>
      </w:pPr>
      <w:r>
        <w:rPr>
          <w:rFonts w:hint="eastAsia"/>
        </w:rPr>
        <w:t xml:space="preserve">法定代表人或授权代表（签字或签章）：                                     </w:t>
      </w:r>
      <w:r>
        <w:rPr>
          <w:rFonts w:hint="eastAsia"/>
        </w:rPr>
      </w:r>
      <w:r/>
    </w:p>
    <w:p>
      <w:pPr>
        <w:pStyle w:val="741"/>
        <w:ind w:firstLine="384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41"/>
        <w:ind w:firstLine="4560"/>
        <w:spacing w:line="360" w:lineRule="auto"/>
        <w:rPr>
          <w:rFonts w:hint="eastAsia" w:ascii="宋体" w:hAnsi="宋体" w:cs="宋体"/>
          <w:sz w:val="24"/>
          <w:szCs w:val="24"/>
        </w:rPr>
      </w:pPr>
      <w:r>
        <w:rPr>
          <w:rFonts w:hint="eastAsia" w:ascii="宋体" w:hAnsi="宋体" w:cs="宋体"/>
          <w:sz w:val="24"/>
          <w:szCs w:val="24"/>
        </w:rPr>
      </w:r>
      <w:r/>
    </w:p>
    <w:p>
      <w:pPr>
        <w:pStyle w:val="813"/>
        <w:ind w:firstLine="480"/>
        <w:spacing w:line="360" w:lineRule="auto"/>
        <w:rPr>
          <w:rFonts w:ascii="宋体" w:hAnsi="宋体" w:cs="宋体"/>
        </w:rPr>
      </w:pPr>
      <w:r>
        <w:rPr>
          <w:rFonts w:hint="eastAsia" w:ascii="宋体" w:hAnsi="宋体" w:cs="宋体"/>
        </w:rPr>
        <w:br w:type="page" w:clear="all"/>
      </w:r>
      <w:r>
        <w:rPr>
          <w:rFonts w:ascii="宋体" w:hAnsi="宋体" w:cs="宋体"/>
        </w:rPr>
      </w:r>
      <w:r/>
    </w:p>
    <w:p>
      <w:pPr>
        <w:pStyle w:val="803"/>
        <w:numPr>
          <w:ilvl w:val="0"/>
          <w:numId w:val="0"/>
        </w:numPr>
        <w:jc w:val="center"/>
        <w:spacing w:line="360" w:lineRule="auto"/>
        <w:tabs>
          <w:tab w:val="left" w:pos="720" w:leader="none"/>
        </w:tabs>
        <w:rPr>
          <w:rFonts w:hint="eastAsia" w:ascii="宋体" w:hAnsi="宋体" w:cs="宋体"/>
          <w:sz w:val="30"/>
          <w:szCs w:val="30"/>
        </w:rPr>
        <w:outlineLvl w:val="0"/>
      </w:pPr>
      <w:r/>
      <w:bookmarkStart w:id="460" w:name="_Toc14059"/>
      <w:r/>
      <w:bookmarkStart w:id="461" w:name="_Toc31354"/>
      <w:r/>
      <w:bookmarkStart w:id="462" w:name="_Toc2543"/>
      <w:r/>
      <w:bookmarkStart w:id="463" w:name="_Toc3796"/>
      <w:r/>
      <w:bookmarkStart w:id="464" w:name="_Toc4778"/>
      <w:r/>
      <w:bookmarkStart w:id="465" w:name="_Toc14403"/>
      <w:r/>
      <w:bookmarkStart w:id="466" w:name="_Toc26796"/>
      <w:r/>
      <w:bookmarkStart w:id="467" w:name="_Toc4019"/>
      <w:r/>
      <w:bookmarkStart w:id="468" w:name="_Toc13789"/>
      <w:r/>
      <w:bookmarkStart w:id="469" w:name="_Toc1616"/>
      <w:r/>
      <w:bookmarkStart w:id="470" w:name="_Toc28065"/>
      <w:r/>
      <w:bookmarkStart w:id="471" w:name="_Toc5409"/>
      <w:r/>
      <w:bookmarkStart w:id="472" w:name="_Toc31415"/>
      <w:r/>
      <w:bookmarkStart w:id="473" w:name="_Toc1962"/>
      <w:r/>
      <w:bookmarkStart w:id="474" w:name="_Toc31892"/>
      <w:r/>
      <w:bookmarkStart w:id="475" w:name="_Toc24111"/>
      <w:r/>
      <w:bookmarkStart w:id="476" w:name="_Toc1294"/>
      <w:r/>
      <w:bookmarkStart w:id="477" w:name="_Toc4689"/>
      <w:r/>
      <w:bookmarkStart w:id="478" w:name="_Toc4958"/>
      <w:r/>
      <w:bookmarkStart w:id="479" w:name="_Toc20444"/>
      <w:r/>
      <w:bookmarkStart w:id="480" w:name="_Toc28993"/>
      <w:r/>
      <w:bookmarkStart w:id="481" w:name="_Toc22543"/>
      <w:r/>
      <w:bookmarkStart w:id="482" w:name="_Toc17875"/>
      <w:r/>
      <w:bookmarkStart w:id="483" w:name="_Toc19363"/>
      <w:r/>
      <w:bookmarkStart w:id="484" w:name="_Toc15316"/>
      <w:r/>
      <w:bookmarkStart w:id="485" w:name="_Toc20744"/>
      <w:r/>
      <w:bookmarkStart w:id="486" w:name="_Toc21695"/>
      <w:r/>
      <w:bookmarkStart w:id="487" w:name="_Toc4267"/>
      <w:r/>
      <w:bookmarkStart w:id="488" w:name="_Toc7800"/>
      <w:r/>
      <w:bookmarkStart w:id="489" w:name="_Toc5789"/>
      <w:r/>
      <w:bookmarkStart w:id="490" w:name="_Toc6571"/>
      <w:r/>
      <w:bookmarkStart w:id="491" w:name="_Toc17634"/>
      <w:r/>
      <w:bookmarkStart w:id="492" w:name="_Toc6360"/>
      <w:r/>
      <w:bookmarkStart w:id="493" w:name="_Toc14231"/>
      <w:r/>
      <w:bookmarkStart w:id="494" w:name="_Toc17259"/>
      <w:r/>
      <w:bookmarkStart w:id="495" w:name="_Toc3898"/>
      <w:r>
        <w:rPr>
          <w:rFonts w:hint="eastAsia" w:ascii="宋体" w:hAnsi="宋体" w:cs="宋体"/>
          <w:sz w:val="30"/>
          <w:szCs w:val="30"/>
        </w:rPr>
        <w:t xml:space="preserve">附 件2：三年内无重大违纪声明</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Pr>
          <w:rFonts w:hint="eastAsia" w:ascii="宋体" w:hAnsi="宋体" w:cs="宋体"/>
          <w:sz w:val="30"/>
          <w:szCs w:val="30"/>
        </w:rPr>
      </w:r>
      <w:r/>
    </w:p>
    <w:p>
      <w:pPr>
        <w:pStyle w:val="741"/>
        <w:ind w:firstLine="723"/>
        <w:jc w:val="center"/>
        <w:spacing w:line="360" w:lineRule="auto"/>
        <w:rPr>
          <w:rFonts w:hint="eastAsia" w:ascii="宋体" w:hAnsi="宋体" w:cs="宋体"/>
          <w:sz w:val="36"/>
          <w:szCs w:val="36"/>
        </w:rPr>
      </w:pPr>
      <w:r>
        <w:rPr>
          <w:rFonts w:hint="eastAsia" w:ascii="宋体" w:hAnsi="宋体" w:cs="宋体"/>
          <w:b/>
          <w:bCs/>
          <w:sz w:val="36"/>
          <w:szCs w:val="36"/>
        </w:rPr>
        <w:t xml:space="preserve">声  明</w:t>
      </w:r>
      <w:r>
        <w:rPr>
          <w:rFonts w:hint="eastAsia" w:ascii="宋体" w:hAnsi="宋体" w:cs="宋体"/>
          <w:sz w:val="36"/>
          <w:szCs w:val="36"/>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81"/>
        <w:ind w:firstLine="3840"/>
        <w:spacing w:line="360" w:lineRule="auto"/>
        <w:rPr>
          <w:rFonts w:hint="eastAsia"/>
        </w:rPr>
      </w:pPr>
      <w:r>
        <w:rPr>
          <w:rFonts w:hint="eastAsia"/>
        </w:rPr>
        <w:t xml:space="preserve">法定代表人或授权代表（签字或签章）：                                     </w:t>
      </w:r>
      <w:r>
        <w:rPr>
          <w:rFonts w:hint="eastAsia"/>
        </w:rPr>
      </w:r>
      <w:r/>
    </w:p>
    <w:p>
      <w:pPr>
        <w:pStyle w:val="741"/>
        <w:ind w:firstLine="384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41"/>
        <w:ind w:firstLine="482"/>
        <w:jc w:val="center"/>
        <w:spacing w:line="360" w:lineRule="auto"/>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r>
      <w:r/>
    </w:p>
    <w:p>
      <w:pPr>
        <w:pStyle w:val="803"/>
        <w:numPr>
          <w:ilvl w:val="0"/>
          <w:numId w:val="0"/>
        </w:numPr>
        <w:jc w:val="center"/>
        <w:spacing w:line="360" w:lineRule="auto"/>
        <w:tabs>
          <w:tab w:val="left" w:pos="720" w:leader="none"/>
        </w:tabs>
        <w:rPr>
          <w:rFonts w:hint="eastAsia" w:ascii="宋体" w:hAnsi="宋体" w:cs="宋体"/>
          <w:sz w:val="30"/>
          <w:szCs w:val="30"/>
        </w:rPr>
        <w:outlineLvl w:val="0"/>
      </w:pPr>
      <w:r/>
      <w:bookmarkStart w:id="496" w:name="_Toc18727"/>
      <w:r/>
      <w:bookmarkStart w:id="497" w:name="_Toc21338"/>
      <w:r/>
      <w:bookmarkStart w:id="498" w:name="_Toc15931"/>
      <w:r/>
      <w:bookmarkStart w:id="499" w:name="_Toc11892"/>
      <w:r/>
      <w:bookmarkStart w:id="500" w:name="_Toc9855"/>
      <w:r/>
      <w:bookmarkStart w:id="501" w:name="_Toc30532"/>
      <w:r/>
      <w:bookmarkStart w:id="502" w:name="_Toc14919"/>
      <w:r/>
      <w:bookmarkStart w:id="503" w:name="_Toc23126"/>
      <w:r/>
      <w:bookmarkStart w:id="504" w:name="_Toc12330"/>
      <w:r/>
      <w:bookmarkStart w:id="505" w:name="_Toc21493"/>
      <w:r/>
      <w:bookmarkStart w:id="506" w:name="_Toc20895"/>
      <w:r/>
      <w:bookmarkStart w:id="507" w:name="_Toc2104"/>
      <w:r/>
      <w:bookmarkStart w:id="508" w:name="_Toc8265"/>
      <w:r/>
      <w:bookmarkStart w:id="509" w:name="_Toc16581"/>
      <w:r/>
      <w:bookmarkStart w:id="510" w:name="_Toc20281"/>
      <w:r/>
      <w:bookmarkStart w:id="511" w:name="_Toc2648"/>
      <w:r/>
      <w:bookmarkStart w:id="512" w:name="_Toc27523"/>
      <w:r/>
      <w:bookmarkStart w:id="513" w:name="_Toc28834"/>
      <w:r/>
      <w:bookmarkStart w:id="514" w:name="_Toc26111"/>
      <w:r/>
      <w:bookmarkStart w:id="515" w:name="_Toc10970"/>
      <w:r/>
      <w:bookmarkStart w:id="516" w:name="_Toc29799"/>
      <w:r/>
      <w:bookmarkStart w:id="517" w:name="_Toc6616"/>
      <w:r/>
      <w:bookmarkStart w:id="518" w:name="_Toc13921"/>
      <w:r/>
      <w:bookmarkStart w:id="519" w:name="_Toc28563"/>
      <w:r/>
      <w:bookmarkStart w:id="520" w:name="_Toc21805"/>
      <w:r/>
      <w:bookmarkStart w:id="521" w:name="_Toc2342"/>
      <w:r/>
      <w:bookmarkStart w:id="522" w:name="_Toc23201"/>
      <w:r/>
      <w:bookmarkStart w:id="523" w:name="_Toc30303"/>
      <w:r/>
      <w:bookmarkStart w:id="524" w:name="_Toc15616"/>
      <w:r/>
      <w:bookmarkStart w:id="525" w:name="_Toc31864"/>
      <w:r/>
      <w:bookmarkStart w:id="526" w:name="_Toc27992"/>
      <w:r/>
      <w:bookmarkStart w:id="527" w:name="_Toc25733"/>
      <w:r/>
      <w:bookmarkStart w:id="528" w:name="_Toc29270"/>
      <w:r/>
      <w:bookmarkStart w:id="529" w:name="_Toc11119"/>
      <w:r/>
      <w:bookmarkStart w:id="530" w:name="_Toc21176"/>
      <w:r/>
      <w:bookmarkStart w:id="531" w:name="_Toc30918"/>
      <w:r>
        <w:rPr>
          <w:rFonts w:hint="eastAsia" w:ascii="宋体" w:hAnsi="宋体" w:cs="宋体"/>
          <w:sz w:val="30"/>
          <w:szCs w:val="30"/>
        </w:rPr>
        <w:t xml:space="preserve">附 件3：中小企业声明函格式</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sz w:val="30"/>
          <w:szCs w:val="30"/>
        </w:rPr>
        <w:t xml:space="preserve">（</w:t>
      </w:r>
      <w:r>
        <w:rPr>
          <w:rFonts w:hint="eastAsia" w:ascii="宋体" w:hAnsi="宋体" w:cs="宋体"/>
        </w:rPr>
        <w:t xml:space="preserve">如有</w:t>
      </w:r>
      <w:r>
        <w:rPr>
          <w:rFonts w:hint="eastAsia" w:ascii="宋体" w:hAnsi="宋体" w:cs="宋体"/>
          <w:sz w:val="30"/>
          <w:szCs w:val="30"/>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cs="宋体"/>
          <w:sz w:val="30"/>
          <w:szCs w:val="30"/>
        </w:rPr>
      </w:r>
      <w:r/>
    </w:p>
    <w:p>
      <w:pPr>
        <w:pStyle w:val="741"/>
        <w:ind w:firstLine="240"/>
        <w:jc w:val="center"/>
        <w:spacing w:line="360" w:lineRule="auto"/>
        <w:rPr>
          <w:rFonts w:hint="eastAsia" w:ascii="宋体" w:hAnsi="宋体" w:cs="宋体"/>
          <w:sz w:val="24"/>
          <w:szCs w:val="24"/>
        </w:rPr>
      </w:pPr>
      <w:r>
        <w:rPr>
          <w:rFonts w:hint="eastAsia" w:ascii="宋体" w:hAnsi="宋体" w:cs="宋体"/>
          <w:sz w:val="24"/>
          <w:szCs w:val="24"/>
        </w:rPr>
        <w:t xml:space="preserve">中小企业声明函（货物）</w:t>
      </w:r>
      <w:r>
        <w:rPr>
          <w:rFonts w:hint="eastAsia" w:ascii="宋体" w:hAnsi="宋体" w:cs="宋体"/>
          <w:sz w:val="24"/>
          <w:szCs w:val="24"/>
        </w:rPr>
      </w:r>
      <w:r/>
    </w:p>
    <w:p>
      <w:pPr>
        <w:pStyle w:val="741"/>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本公司（联合体）郑重声明，根据《政府采购促进中小企业发展管理办法》(财库[2020]46号)的规定，本公司（联合体）参加（公司名称 ）组织的 （项目名称）的采购活动，</w:t>
      </w:r>
      <w:r>
        <w:rPr>
          <w:rFonts w:hint="eastAsia" w:ascii="宋体" w:hAnsi="宋体"/>
          <w:sz w:val="24"/>
          <w:szCs w:val="24"/>
        </w:rPr>
        <w:t xml:space="preserve">提供的货物</w:t>
      </w:r>
      <w:r>
        <w:rPr>
          <w:rFonts w:hint="eastAsia" w:ascii="宋体" w:hAnsi="宋体" w:cs="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sz w:val="24"/>
          <w:szCs w:val="24"/>
        </w:rPr>
      </w:r>
      <w:r/>
    </w:p>
    <w:p>
      <w:pPr>
        <w:pStyle w:val="741"/>
        <w:ind w:firstLine="360"/>
        <w:spacing w:line="360" w:lineRule="auto"/>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属于行业</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rPr>
          <w:rFonts w:ascii="宋体" w:hAnsi="宋体" w:cs="宋体"/>
          <w:i/>
          <w:sz w:val="24"/>
          <w:szCs w:val="24"/>
          <w:u w:val="single"/>
        </w:rPr>
      </w:r>
      <w:r/>
    </w:p>
    <w:p>
      <w:pPr>
        <w:pStyle w:val="741"/>
        <w:ind w:firstLine="360"/>
        <w:spacing w:line="360" w:lineRule="auto"/>
        <w:rPr>
          <w:rFonts w:ascii="宋体" w:hAnsi="宋体" w:cs="宋体"/>
          <w:i/>
          <w:sz w:val="24"/>
          <w:szCs w:val="24"/>
          <w:u w:val="single"/>
        </w:rPr>
      </w:pPr>
      <w:r>
        <w:rPr>
          <w:rFonts w:hint="eastAsia" w:ascii="宋体" w:hAnsi="宋体" w:cs="宋体"/>
          <w:sz w:val="24"/>
          <w:szCs w:val="24"/>
        </w:rPr>
        <w:t xml:space="preserve">2.（标的名称）</w:t>
      </w:r>
      <w:r>
        <w:rPr>
          <w:rFonts w:hint="eastAsia" w:ascii="宋体" w:hAnsi="宋体" w:cs="宋体"/>
          <w:i/>
          <w:sz w:val="24"/>
          <w:szCs w:val="24"/>
        </w:rPr>
        <w:t xml:space="preserve">，</w:t>
      </w:r>
      <w:r>
        <w:rPr>
          <w:rFonts w:hint="eastAsia" w:ascii="宋体" w:hAnsi="宋体" w:cs="宋体"/>
          <w:sz w:val="24"/>
          <w:szCs w:val="24"/>
        </w:rPr>
        <w:t xml:space="preserve">属于行业(采购文件中明确的所属行业）；承接企业为（企业名称），从业人员人，营业收入为万元，资产总额为万元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rPr>
          <w:rFonts w:ascii="宋体" w:hAnsi="宋体" w:cs="宋体"/>
          <w:i/>
          <w:sz w:val="24"/>
          <w:szCs w:val="24"/>
          <w:u w:val="single"/>
        </w:rPr>
      </w:r>
      <w:r/>
    </w:p>
    <w:p>
      <w:pPr>
        <w:pStyle w:val="741"/>
        <w:ind w:firstLine="36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741"/>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741"/>
        <w:ind w:firstLine="36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741"/>
        <w:ind w:firstLine="360"/>
        <w:spacing w:line="360" w:lineRule="auto"/>
        <w:rPr>
          <w:rFonts w:ascii="宋体" w:hAnsi="宋体" w:cs="宋体"/>
          <w:sz w:val="24"/>
          <w:szCs w:val="24"/>
        </w:rPr>
      </w:pPr>
      <w:r>
        <w:rPr>
          <w:rFonts w:ascii="宋体" w:hAnsi="宋体" w:cs="宋体"/>
          <w:sz w:val="24"/>
          <w:szCs w:val="24"/>
        </w:rPr>
      </w:r>
      <w:r/>
    </w:p>
    <w:p>
      <w:pPr>
        <w:pStyle w:val="741"/>
        <w:ind w:right="720"/>
        <w:spacing w:line="360" w:lineRule="auto"/>
        <w:rPr>
          <w:rFonts w:ascii="宋体" w:hAnsi="宋体" w:cs="宋体"/>
          <w:sz w:val="24"/>
          <w:szCs w:val="24"/>
        </w:rPr>
      </w:pPr>
      <w:r>
        <w:rPr>
          <w:rFonts w:ascii="宋体" w:hAnsi="宋体" w:cs="宋体"/>
          <w:sz w:val="24"/>
          <w:szCs w:val="24"/>
        </w:rPr>
      </w:r>
      <w:r/>
    </w:p>
    <w:p>
      <w:pPr>
        <w:pStyle w:val="741"/>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rPr>
          <w:rFonts w:ascii="宋体" w:hAnsi="宋体" w:cs="宋体"/>
          <w:sz w:val="24"/>
          <w:szCs w:val="24"/>
        </w:rPr>
      </w:r>
      <w:r/>
    </w:p>
    <w:p>
      <w:pPr>
        <w:pStyle w:val="741"/>
        <w:ind w:firstLine="5822"/>
        <w:spacing w:line="360" w:lineRule="auto"/>
        <w:rPr>
          <w:rFonts w:hint="eastAsia" w:ascii="宋体" w:hAnsi="宋体" w:cs="宋体"/>
          <w:sz w:val="24"/>
          <w:szCs w:val="24"/>
        </w:rPr>
      </w:pPr>
      <w:r>
        <w:rPr>
          <w:rFonts w:hint="eastAsia" w:ascii="宋体" w:hAnsi="宋体" w:cs="宋体"/>
          <w:color w:val="000000"/>
          <w:sz w:val="24"/>
          <w:szCs w:val="24"/>
        </w:rPr>
        <w:t xml:space="preserve">日  期：年___月___日</w:t>
      </w:r>
      <w:r>
        <w:rPr>
          <w:rFonts w:hint="eastAsia" w:ascii="宋体" w:hAnsi="宋体" w:cs="宋体"/>
          <w:sz w:val="24"/>
          <w:szCs w:val="24"/>
        </w:rPr>
      </w:r>
      <w:r/>
    </w:p>
    <w:p>
      <w:pPr>
        <w:pStyle w:val="741"/>
        <w:ind w:firstLine="480"/>
        <w:rPr>
          <w:rFonts w:hint="eastAsia" w:ascii="宋体" w:hAnsi="宋体" w:cs="宋体"/>
          <w:sz w:val="24"/>
          <w:szCs w:val="24"/>
        </w:rPr>
      </w:pPr>
      <w:r>
        <w:rPr>
          <w:rFonts w:hint="eastAsia" w:ascii="宋体" w:hAnsi="宋体" w:cs="宋体"/>
          <w:sz w:val="24"/>
          <w:szCs w:val="24"/>
        </w:rPr>
        <w:t xml:space="preserve">说明：</w:t>
      </w:r>
      <w:r>
        <w:rPr>
          <w:rFonts w:hint="eastAsia" w:ascii="宋体" w:hAnsi="宋体" w:cs="宋体"/>
          <w:sz w:val="24"/>
          <w:szCs w:val="24"/>
        </w:rPr>
      </w:r>
      <w:r/>
    </w:p>
    <w:p>
      <w:pPr>
        <w:pStyle w:val="741"/>
        <w:ind w:firstLine="480"/>
        <w:rPr>
          <w:rFonts w:hint="eastAsia" w:ascii="宋体" w:hAnsi="宋体" w:cs="宋体"/>
          <w:sz w:val="24"/>
          <w:szCs w:val="24"/>
        </w:rPr>
      </w:pPr>
      <w:r>
        <w:rPr>
          <w:rFonts w:hint="eastAsia" w:ascii="宋体" w:hAnsi="宋体" w:cs="宋体"/>
          <w:sz w:val="24"/>
          <w:szCs w:val="24"/>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sz w:val="24"/>
          <w:szCs w:val="24"/>
        </w:rPr>
      </w:r>
      <w:r/>
    </w:p>
    <w:p>
      <w:pPr>
        <w:pStyle w:val="741"/>
        <w:ind w:firstLine="360"/>
        <w:rPr>
          <w:rFonts w:hint="eastAsia" w:ascii="宋体" w:hAnsi="宋体" w:cs="宋体"/>
          <w:sz w:val="24"/>
          <w:szCs w:val="24"/>
        </w:rPr>
      </w:pPr>
      <w:r>
        <w:rPr>
          <w:rFonts w:hint="eastAsia" w:ascii="宋体" w:hAnsi="宋体" w:cs="宋体"/>
          <w:sz w:val="24"/>
          <w:szCs w:val="24"/>
        </w:rPr>
        <w:t xml:space="preserve">2、从业人员、营业收入、资产总额填报上一年度数据，无上一年度数据的新成立企业可不填报。</w:t>
      </w:r>
      <w:r>
        <w:rPr>
          <w:rFonts w:hint="eastAsia" w:ascii="宋体" w:hAnsi="宋体" w:cs="宋体"/>
          <w:sz w:val="24"/>
          <w:szCs w:val="24"/>
        </w:rPr>
      </w:r>
      <w:r/>
    </w:p>
    <w:p>
      <w:pPr>
        <w:pStyle w:val="741"/>
        <w:ind w:firstLine="360"/>
        <w:rPr>
          <w:rFonts w:hint="eastAsia" w:ascii="宋体" w:hAnsi="宋体" w:cs="宋体"/>
          <w:sz w:val="24"/>
          <w:szCs w:val="24"/>
        </w:rPr>
      </w:pPr>
      <w:r>
        <w:rPr>
          <w:rFonts w:hint="eastAsia" w:ascii="宋体" w:hAnsi="宋体" w:cs="宋体"/>
          <w:sz w:val="24"/>
          <w:szCs w:val="24"/>
        </w:rPr>
        <w:t xml:space="preserve">3、投标人如不提供此声明函，不得参加专门面向中小企业采购项目或者不得享受小微企业价格扣除政策。此声明函将随成交结果同时公告，接受社会监督。</w:t>
      </w:r>
      <w:r>
        <w:rPr>
          <w:rFonts w:hint="eastAsia" w:ascii="宋体" w:hAnsi="宋体" w:cs="宋体"/>
          <w:sz w:val="24"/>
          <w:szCs w:val="24"/>
        </w:rPr>
      </w:r>
      <w:r/>
    </w:p>
    <w:p>
      <w:pPr>
        <w:pStyle w:val="741"/>
        <w:ind w:firstLine="360"/>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货物采购项目中，货物的制造商应当为中小企业，不对其中涉及的服务的承接商、工程的承建商作出要求。</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r>
      <w:r/>
    </w:p>
    <w:p>
      <w:pPr>
        <w:pStyle w:val="794"/>
        <w:ind w:firstLine="480"/>
        <w:spacing w:line="360" w:lineRule="auto"/>
        <w:rPr>
          <w:rFonts w:hint="eastAsia" w:ascii="宋体" w:hAnsi="宋体" w:cs="宋体"/>
          <w:sz w:val="24"/>
          <w:szCs w:val="24"/>
        </w:rPr>
      </w:pPr>
      <w:r>
        <w:rPr>
          <w:rFonts w:hint="eastAsia" w:ascii="宋体" w:hAnsi="宋体" w:cs="宋体"/>
          <w:sz w:val="24"/>
          <w:szCs w:val="24"/>
        </w:rPr>
      </w:r>
      <w:r/>
    </w:p>
    <w:p>
      <w:pPr>
        <w:pStyle w:val="803"/>
        <w:numPr>
          <w:ilvl w:val="0"/>
          <w:numId w:val="0"/>
        </w:numPr>
        <w:jc w:val="center"/>
        <w:spacing w:line="360" w:lineRule="auto"/>
        <w:tabs>
          <w:tab w:val="left" w:pos="720" w:leader="none"/>
        </w:tabs>
        <w:rPr>
          <w:rFonts w:hint="eastAsia" w:ascii="宋体" w:hAnsi="宋体" w:cs="宋体"/>
          <w:sz w:val="30"/>
          <w:szCs w:val="30"/>
        </w:rPr>
        <w:outlineLvl w:val="0"/>
      </w:pPr>
      <w:r/>
      <w:bookmarkStart w:id="532" w:name="_Toc17717"/>
      <w:r/>
      <w:bookmarkStart w:id="533" w:name="_Toc20532"/>
      <w:r/>
      <w:bookmarkStart w:id="534" w:name="_Toc14872"/>
      <w:r/>
      <w:bookmarkStart w:id="535" w:name="_Toc15374"/>
      <w:r/>
      <w:bookmarkStart w:id="536" w:name="_Toc27726"/>
      <w:r/>
      <w:bookmarkStart w:id="537" w:name="_Toc21769"/>
      <w:r/>
      <w:bookmarkStart w:id="538" w:name="_Toc28553"/>
      <w:r/>
      <w:bookmarkStart w:id="539" w:name="_Toc2222"/>
      <w:r/>
      <w:bookmarkStart w:id="540" w:name="_Toc12001"/>
      <w:r/>
      <w:bookmarkStart w:id="541" w:name="_Toc26175"/>
      <w:r/>
      <w:bookmarkStart w:id="542" w:name="_Toc15139"/>
      <w:r/>
      <w:bookmarkStart w:id="543" w:name="_Toc31326"/>
      <w:r/>
      <w:bookmarkStart w:id="544" w:name="_Toc22636"/>
      <w:r/>
      <w:bookmarkStart w:id="545" w:name="_Toc31779"/>
      <w:r/>
      <w:bookmarkStart w:id="546" w:name="_Toc17032"/>
      <w:r/>
      <w:bookmarkStart w:id="547" w:name="_Toc16905"/>
      <w:r/>
      <w:bookmarkStart w:id="548" w:name="_Toc19516"/>
      <w:r/>
      <w:bookmarkStart w:id="549" w:name="_Toc28904"/>
      <w:r/>
      <w:bookmarkStart w:id="550" w:name="_Toc11291"/>
      <w:r/>
      <w:bookmarkStart w:id="551" w:name="_Toc22893"/>
      <w:r/>
      <w:bookmarkStart w:id="552" w:name="_Toc21307"/>
      <w:r/>
      <w:bookmarkStart w:id="553" w:name="_Toc1390"/>
      <w:r/>
      <w:bookmarkStart w:id="554" w:name="_Toc30909"/>
      <w:r/>
      <w:bookmarkStart w:id="555" w:name="_Toc12490"/>
      <w:r/>
      <w:bookmarkStart w:id="556" w:name="_Toc9866"/>
      <w:r/>
      <w:bookmarkStart w:id="557" w:name="_Toc1562"/>
      <w:r/>
      <w:bookmarkStart w:id="558" w:name="_Toc25047"/>
      <w:r/>
      <w:bookmarkStart w:id="559" w:name="_Toc5682"/>
      <w:r/>
      <w:bookmarkStart w:id="560" w:name="_Toc16265"/>
      <w:r/>
      <w:bookmarkStart w:id="561" w:name="_Toc3205"/>
      <w:r/>
      <w:bookmarkStart w:id="562" w:name="_Toc12150"/>
      <w:r/>
      <w:bookmarkStart w:id="563" w:name="_Toc10368"/>
      <w:r/>
      <w:bookmarkStart w:id="564" w:name="_Toc27138"/>
      <w:r/>
      <w:bookmarkStart w:id="565" w:name="_Toc5439"/>
      <w:r/>
      <w:bookmarkStart w:id="566" w:name="_Toc31390"/>
      <w:r/>
      <w:bookmarkStart w:id="567" w:name="_Toc21070"/>
      <w:r>
        <w:rPr>
          <w:rFonts w:hint="eastAsia" w:ascii="宋体" w:hAnsi="宋体" w:cs="宋体"/>
          <w:sz w:val="30"/>
          <w:szCs w:val="30"/>
        </w:rPr>
        <w:t xml:space="preserve">附 件4：残疾人福利性单位声明函</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Pr>
          <w:rFonts w:hint="eastAsia" w:ascii="宋体" w:hAnsi="宋体" w:cs="宋体"/>
          <w:sz w:val="30"/>
          <w:szCs w:val="30"/>
        </w:rPr>
      </w:r>
      <w:r/>
    </w:p>
    <w:p>
      <w:pPr>
        <w:pStyle w:val="741"/>
        <w:ind w:firstLine="624"/>
        <w:spacing w:line="360" w:lineRule="auto"/>
        <w:rPr>
          <w:rFonts w:hint="eastAsia" w:ascii="宋体" w:hAnsi="宋体" w:cs="宋体"/>
          <w:spacing w:val="6"/>
          <w:sz w:val="30"/>
          <w:szCs w:val="30"/>
        </w:rPr>
      </w:pPr>
      <w:r>
        <w:rPr>
          <w:rFonts w:hint="eastAsia" w:ascii="宋体" w:hAnsi="宋体" w:cs="宋体"/>
          <w:spacing w:val="6"/>
          <w:sz w:val="30"/>
          <w:szCs w:val="30"/>
          <w:lang w:bidi="ar"/>
        </w:rPr>
        <w:t xml:space="preserve"> </w:t>
      </w:r>
      <w:r>
        <w:rPr>
          <w:rFonts w:hint="eastAsia" w:ascii="宋体" w:hAnsi="宋体" w:cs="宋体"/>
          <w:spacing w:val="6"/>
          <w:sz w:val="30"/>
          <w:szCs w:val="30"/>
        </w:rPr>
      </w:r>
      <w:r/>
    </w:p>
    <w:p>
      <w:pPr>
        <w:pStyle w:val="741"/>
        <w:ind w:firstLine="480"/>
        <w:spacing w:line="360" w:lineRule="auto"/>
        <w:rPr>
          <w:rFonts w:hint="eastAsia"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lang w:bidi="ar"/>
        </w:rPr>
        <w:t xml:space="preserve"> </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lang w:bidi="ar"/>
        </w:rPr>
        <w:t xml:space="preserve">（备注：1、供应商如不提供此声明函，价格将不做相应扣除。2、中标供应商为残疾人福利单位的，此声明函将随中标结果同时公告，接受社会监督）</w:t>
      </w:r>
      <w:r>
        <w:rPr>
          <w:rFonts w:hint="eastAsia" w:ascii="宋体" w:hAnsi="宋体" w:cs="宋体"/>
          <w:sz w:val="24"/>
          <w:szCs w:val="24"/>
        </w:rPr>
      </w:r>
      <w:r/>
    </w:p>
    <w:p>
      <w:pPr>
        <w:pStyle w:val="741"/>
        <w:ind w:firstLine="624"/>
        <w:spacing w:line="360" w:lineRule="auto"/>
        <w:rPr>
          <w:rFonts w:hint="eastAsia" w:ascii="宋体" w:hAnsi="宋体" w:cs="宋体"/>
          <w:spacing w:val="6"/>
          <w:sz w:val="30"/>
          <w:szCs w:val="30"/>
        </w:rPr>
      </w:pPr>
      <w:r>
        <w:rPr>
          <w:rFonts w:hint="eastAsia" w:ascii="宋体" w:hAnsi="宋体" w:cs="宋体"/>
          <w:spacing w:val="6"/>
          <w:sz w:val="30"/>
          <w:szCs w:val="30"/>
          <w:lang w:bidi="ar"/>
        </w:rPr>
        <w:t xml:space="preserve"> </w:t>
      </w:r>
      <w:r>
        <w:rPr>
          <w:rFonts w:hint="eastAsia" w:ascii="宋体" w:hAnsi="宋体" w:cs="宋体"/>
          <w:spacing w:val="6"/>
          <w:sz w:val="30"/>
          <w:szCs w:val="30"/>
        </w:rPr>
      </w:r>
      <w:r/>
    </w:p>
    <w:p>
      <w:pPr>
        <w:pStyle w:val="741"/>
        <w:ind w:right="180" w:firstLine="360"/>
        <w:jc w:val="right"/>
        <w:spacing w:line="360" w:lineRule="auto"/>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 xml:space="preserve">企业名称：（加盖CA电子公章）</w:t>
      </w:r>
      <w:r>
        <w:rPr>
          <w:rFonts w:ascii="宋体" w:hAnsi="宋体" w:cs="宋体"/>
          <w:sz w:val="24"/>
          <w:szCs w:val="24"/>
        </w:rPr>
      </w:r>
      <w:r/>
    </w:p>
    <w:p>
      <w:pPr>
        <w:pStyle w:val="741"/>
        <w:ind w:firstLine="5822"/>
        <w:spacing w:line="360" w:lineRule="auto"/>
        <w:rPr>
          <w:rFonts w:hint="eastAsia" w:ascii="宋体" w:hAnsi="宋体" w:cs="宋体"/>
          <w:sz w:val="24"/>
          <w:szCs w:val="24"/>
        </w:rPr>
      </w:pPr>
      <w:r>
        <w:rPr>
          <w:rFonts w:hint="eastAsia" w:ascii="宋体" w:hAnsi="宋体" w:cs="宋体"/>
          <w:color w:val="000000"/>
          <w:sz w:val="24"/>
          <w:szCs w:val="24"/>
        </w:rPr>
        <w:t xml:space="preserve">日  期：年___月___日</w:t>
      </w:r>
      <w:r>
        <w:rPr>
          <w:rFonts w:hint="eastAsia" w:ascii="宋体" w:hAnsi="宋体" w:cs="宋体"/>
          <w:sz w:val="24"/>
          <w:szCs w:val="24"/>
        </w:rPr>
      </w:r>
      <w:r/>
    </w:p>
    <w:p>
      <w:pPr>
        <w:pStyle w:val="741"/>
        <w:ind w:right="1560" w:firstLine="480"/>
        <w:jc w:val="center"/>
        <w:spacing w:line="360" w:lineRule="auto"/>
        <w:rPr>
          <w:rFonts w:hint="eastAsia" w:ascii="宋体" w:hAnsi="宋体" w:cs="宋体"/>
          <w:sz w:val="24"/>
          <w:szCs w:val="24"/>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sz w:val="24"/>
          <w:szCs w:val="24"/>
        </w:rPr>
      </w:r>
      <w:r/>
    </w:p>
    <w:p>
      <w:pPr>
        <w:pStyle w:val="803"/>
        <w:numPr>
          <w:ilvl w:val="0"/>
          <w:numId w:val="0"/>
        </w:numPr>
        <w:jc w:val="center"/>
        <w:spacing w:line="360" w:lineRule="auto"/>
        <w:tabs>
          <w:tab w:val="left" w:pos="720" w:leader="none"/>
        </w:tabs>
        <w:rPr>
          <w:rFonts w:hint="eastAsia" w:ascii="宋体" w:hAnsi="宋体" w:cs="宋体"/>
          <w:sz w:val="36"/>
          <w:szCs w:val="36"/>
        </w:rPr>
        <w:outlineLvl w:val="0"/>
      </w:pPr>
      <w:r>
        <w:rPr>
          <w:rFonts w:hint="eastAsia" w:ascii="宋体" w:hAnsi="宋体" w:cs="宋体"/>
          <w:sz w:val="36"/>
          <w:szCs w:val="36"/>
        </w:rPr>
        <w:t xml:space="preserve">十、方案（格式自拟）</w:t>
      </w:r>
      <w:r>
        <w:rPr>
          <w:rFonts w:hint="eastAsia" w:ascii="宋体" w:hAnsi="宋体" w:cs="宋体"/>
          <w:sz w:val="36"/>
          <w:szCs w:val="36"/>
        </w:rPr>
      </w:r>
      <w:r/>
    </w:p>
    <w:p>
      <w:pPr>
        <w:pStyle w:val="803"/>
        <w:numPr>
          <w:ilvl w:val="0"/>
          <w:numId w:val="0"/>
        </w:numPr>
        <w:jc w:val="center"/>
        <w:spacing w:line="360" w:lineRule="auto"/>
        <w:tabs>
          <w:tab w:val="left" w:pos="720" w:leader="none"/>
        </w:tabs>
        <w:rPr>
          <w:rFonts w:ascii="宋体" w:hAnsi="宋体" w:cs="宋体"/>
          <w:sz w:val="24"/>
          <w:szCs w:val="24"/>
          <w:lang w:bidi="ar"/>
        </w:rPr>
        <w:outlineLvl w:val="0"/>
      </w:pPr>
      <w:r>
        <w:rPr>
          <w:rFonts w:hint="eastAsia" w:ascii="宋体" w:hAnsi="宋体" w:cs="宋体"/>
          <w:sz w:val="36"/>
          <w:szCs w:val="36"/>
        </w:rPr>
        <w:br w:type="page" w:clear="all"/>
      </w:r>
      <w:r>
        <w:rPr>
          <w:rFonts w:hint="eastAsia" w:ascii="宋体" w:hAnsi="宋体" w:cs="宋体"/>
          <w:sz w:val="36"/>
          <w:szCs w:val="36"/>
        </w:rPr>
        <w:t xml:space="preserve">十一、其它</w:t>
      </w:r>
      <w:r>
        <w:rPr>
          <w:rFonts w:ascii="宋体" w:hAnsi="宋体" w:cs="宋体"/>
          <w:sz w:val="24"/>
          <w:szCs w:val="24"/>
          <w:lang w:bidi="ar"/>
        </w:rPr>
      </w:r>
      <w:r/>
    </w:p>
    <w:p>
      <w:pPr>
        <w:pStyle w:val="741"/>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741"/>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741"/>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741"/>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sectPr>
      <w:footnotePr/>
      <w:endnotePr/>
      <w:type w:val="nextPage"/>
      <w:pgSz w:w="11906" w:h="16838" w:orient="portrait"/>
      <w:pgMar w:top="1253" w:right="1253" w:bottom="1253" w:left="125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仿宋">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43534" cy="196850"/>
                      </a:xfrm>
                      <a:prstGeom prst="rect">
                        <a:avLst/>
                      </a:prstGeom>
                      <a:noFill/>
                      <a:ln>
                        <a:noFill/>
                      </a:ln>
                    </wps:spPr>
                    <wps:txbx>
                      <w:txbxContent>
                        <w:p>
                          <w:pPr>
                            <w:pStyle w:val="771"/>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7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771"/>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74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43535" cy="1968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43534" cy="196850"/>
                      </a:xfrm>
                      <a:prstGeom prst="rect">
                        <a:avLst/>
                      </a:prstGeom>
                      <a:noFill/>
                      <a:ln>
                        <a:noFill/>
                      </a:ln>
                    </wps:spPr>
                    <wps:txbx>
                      <w:txbxContent>
                        <w:p>
                          <w:pPr>
                            <w:pStyle w:val="771"/>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7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771"/>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7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JSZC-320000-DCXG-G2026-0005</w:t>
    </w:r>
    <w:r>
      <w:rPr>
        <w:rFonts w:hint="eastAsia" w:ascii="宋体" w:hAnsi="宋体" w:cs="宋体"/>
      </w:rPr>
      <w:t xml:space="preserve">                           南京达琛鑫工程咨询有限公司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pStyle w:val="741"/>
        <w:ind w:left="2525" w:hanging="425"/>
        <w:tabs>
          <w:tab w:val="num" w:pos="420" w:leader="none"/>
        </w:tabs>
      </w:pPr>
      <w:rPr>
        <w:rFonts w:hint="eastAsia" w:ascii="宋体" w:hAnsi="宋体" w:eastAsia="宋体" w:cs="Tahoma"/>
      </w:rPr>
    </w:lvl>
    <w:lvl w:ilvl="1">
      <w:start w:val="1"/>
      <w:numFmt w:val="decimal"/>
      <w:isLgl w:val="false"/>
      <w:suff w:val="tab"/>
      <w:lvlText w:val="%2."/>
      <w:lvlJc w:val="left"/>
      <w:pPr>
        <w:pStyle w:val="741"/>
        <w:ind w:left="987" w:hanging="567"/>
        <w:tabs>
          <w:tab w:val="num" w:pos="420" w:leader="none"/>
        </w:tabs>
      </w:pPr>
      <w:rPr>
        <w:rFonts w:ascii="宋体" w:hAnsi="宋体" w:eastAsia="宋体" w:cs="Tahoma"/>
        <w:sz w:val="30"/>
        <w:szCs w:val="30"/>
      </w:rPr>
    </w:lvl>
    <w:lvl w:ilvl="2">
      <w:start w:val="1"/>
      <w:numFmt w:val="decimal"/>
      <w:isLgl w:val="false"/>
      <w:suff w:val="tab"/>
      <w:lvlText w:val="%2.%3."/>
      <w:lvlJc w:val="left"/>
      <w:pPr>
        <w:pStyle w:val="741"/>
        <w:ind w:left="709" w:hanging="709"/>
        <w:tabs>
          <w:tab w:val="num" w:pos="420" w:leader="none"/>
        </w:tabs>
      </w:pPr>
      <w:rPr>
        <w:rFonts w:hint="eastAsia" w:ascii="宋体" w:hAnsi="宋体" w:eastAsia="宋体" w:cs="Tahoma"/>
      </w:rPr>
    </w:lvl>
    <w:lvl w:ilvl="3">
      <w:start w:val="1"/>
      <w:numFmt w:val="decimal"/>
      <w:isLgl w:val="false"/>
      <w:suff w:val="tab"/>
      <w:lvlText w:val="%2.%3.%4."/>
      <w:lvlJc w:val="left"/>
      <w:pPr>
        <w:pStyle w:val="741"/>
        <w:ind w:left="850" w:hanging="850"/>
      </w:pPr>
      <w:rPr>
        <w:rFonts w:hint="eastAsia" w:ascii="宋体" w:hAnsi="宋体" w:eastAsia="宋体" w:cs="Tahoma"/>
      </w:rPr>
    </w:lvl>
    <w:lvl w:ilvl="4">
      <w:start w:val="1"/>
      <w:numFmt w:val="decimal"/>
      <w:isLgl w:val="false"/>
      <w:suff w:val="tab"/>
      <w:lvlText w:val="%2.%3.%4.%5."/>
      <w:lvlJc w:val="left"/>
      <w:pPr>
        <w:pStyle w:val="741"/>
        <w:ind w:left="991" w:hanging="991"/>
      </w:pPr>
      <w:rPr>
        <w:rFonts w:hint="eastAsia" w:ascii="宋体" w:hAnsi="宋体" w:eastAsia="宋体" w:cs="Tahoma"/>
      </w:rPr>
    </w:lvl>
    <w:lvl w:ilvl="5">
      <w:start w:val="1"/>
      <w:numFmt w:val="decimal"/>
      <w:pStyle w:val="747"/>
      <w:isLgl w:val="false"/>
      <w:suff w:val="tab"/>
      <w:lvlText w:val="%2.%3.%4.%5.%6."/>
      <w:lvlJc w:val="left"/>
      <w:pPr>
        <w:pStyle w:val="741"/>
        <w:ind w:left="1134" w:hanging="1134"/>
      </w:pPr>
      <w:rPr>
        <w:rFonts w:hint="eastAsia" w:ascii="宋体" w:hAnsi="宋体" w:eastAsia="宋体" w:cs="Tahoma"/>
      </w:rPr>
    </w:lvl>
    <w:lvl w:ilvl="6">
      <w:start w:val="1"/>
      <w:numFmt w:val="decimal"/>
      <w:isLgl w:val="false"/>
      <w:suff w:val="tab"/>
      <w:lvlText w:val="%2.%3.%4.%5.%6.%7."/>
      <w:lvlJc w:val="left"/>
      <w:pPr>
        <w:pStyle w:val="741"/>
        <w:ind w:left="1275" w:hanging="1275"/>
      </w:pPr>
      <w:rPr>
        <w:rFonts w:hint="eastAsia" w:ascii="宋体" w:hAnsi="宋体" w:eastAsia="宋体" w:cs="Tahoma"/>
      </w:rPr>
    </w:lvl>
    <w:lvl w:ilvl="7">
      <w:start w:val="1"/>
      <w:numFmt w:val="decimal"/>
      <w:isLgl w:val="false"/>
      <w:suff w:val="tab"/>
      <w:lvlText w:val="%2.%3.%4.%5.%6.%7.%8."/>
      <w:lvlJc w:val="left"/>
      <w:pPr>
        <w:pStyle w:val="741"/>
        <w:ind w:left="1418" w:hanging="1418"/>
      </w:pPr>
      <w:rPr>
        <w:rFonts w:hint="eastAsia" w:ascii="宋体" w:hAnsi="宋体" w:eastAsia="宋体" w:cs="Tahoma"/>
      </w:rPr>
    </w:lvl>
    <w:lvl w:ilvl="8">
      <w:start w:val="1"/>
      <w:numFmt w:val="decimal"/>
      <w:isLgl w:val="false"/>
      <w:suff w:val="tab"/>
      <w:lvlText w:val="%2.%3.%4.%5.%6.%7.%8.%9."/>
      <w:lvlJc w:val="left"/>
      <w:pPr>
        <w:pStyle w:val="741"/>
        <w:ind w:left="1558" w:hanging="1558"/>
      </w:pPr>
      <w:rPr>
        <w:rFonts w:hint="eastAsia" w:ascii="宋体" w:hAnsi="宋体" w:eastAsia="宋体" w:cs="Tahoma"/>
      </w:rPr>
    </w:lvl>
  </w:abstractNum>
  <w:abstractNum w:abstractNumId="1">
    <w:multiLevelType w:val="hybridMultilevel"/>
    <w:lvl w:ilvl="0">
      <w:start w:val="1"/>
      <w:numFmt w:val="decimal"/>
      <w:pStyle w:val="742"/>
      <w:isLgl w:val="false"/>
      <w:suff w:val="nothing"/>
      <w:lvlText w:val="第 %1 部分 "/>
      <w:lvlJc w:val="left"/>
      <w:pPr>
        <w:pStyle w:val="741"/>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743"/>
      <w:isLgl w:val="false"/>
      <w:suff w:val="nothing"/>
      <w:lvlText w:val="%1.%2 "/>
      <w:lvlJc w:val="left"/>
      <w:pPr>
        <w:pStyle w:val="741"/>
      </w:pPr>
      <w:rPr>
        <w:rFonts w:hint="eastAsia"/>
      </w:rPr>
    </w:lvl>
    <w:lvl w:ilvl="2">
      <w:start w:val="1"/>
      <w:numFmt w:val="decimal"/>
      <w:pStyle w:val="744"/>
      <w:isLgl w:val="false"/>
      <w:suff w:val="nothing"/>
      <w:lvlText w:val=""/>
      <w:lvlJc w:val="left"/>
      <w:pPr>
        <w:pStyle w:val="741"/>
      </w:pPr>
      <w:rPr>
        <w:rFonts w:hint="eastAsia" w:ascii="Arial Unicode MS" w:hAnsi="Arial Unicode MS" w:eastAsia="Arial Unicode MS"/>
        <w:sz w:val="24"/>
        <w:szCs w:val="24"/>
      </w:rPr>
    </w:lvl>
    <w:lvl w:ilvl="3">
      <w:start w:val="1"/>
      <w:numFmt w:val="decimal"/>
      <w:isLgl w:val="false"/>
      <w:suff w:val="nothing"/>
      <w:lvlText w:val=""/>
      <w:lvlJc w:val="left"/>
      <w:pPr>
        <w:pStyle w:val="741"/>
      </w:pPr>
      <w:rPr>
        <w:rFonts w:hint="eastAsia"/>
      </w:rPr>
    </w:lvl>
    <w:lvl w:ilvl="4">
      <w:start w:val="1"/>
      <w:numFmt w:val="decimal"/>
      <w:isLgl w:val="false"/>
      <w:suff w:val="nothing"/>
      <w:lvlText w:val="%1.%2.%3.%4.%5 "/>
      <w:lvlJc w:val="left"/>
      <w:pPr>
        <w:pStyle w:val="741"/>
      </w:pPr>
      <w:rPr>
        <w:rFonts w:hint="eastAsia"/>
        <w:sz w:val="28"/>
        <w:szCs w:val="28"/>
      </w:rPr>
    </w:lvl>
    <w:lvl w:ilvl="5">
      <w:start w:val="1"/>
      <w:numFmt w:val="decimal"/>
      <w:isLgl w:val="false"/>
      <w:suff w:val="nothing"/>
      <w:lvlText w:val=""/>
      <w:lvlJc w:val="left"/>
      <w:pPr>
        <w:pStyle w:val="741"/>
      </w:pPr>
      <w:rPr>
        <w:rFonts w:hint="eastAsia"/>
      </w:rPr>
    </w:lvl>
    <w:lvl w:ilvl="6">
      <w:start w:val="1"/>
      <w:numFmt w:val="decimal"/>
      <w:isLgl w:val="false"/>
      <w:suff w:val="nothing"/>
      <w:lvlText w:val=""/>
      <w:lvlJc w:val="left"/>
      <w:pPr>
        <w:pStyle w:val="741"/>
      </w:pPr>
      <w:rPr>
        <w:rFonts w:hint="eastAsia"/>
      </w:rPr>
    </w:lvl>
    <w:lvl w:ilvl="7">
      <w:start w:val="1"/>
      <w:numFmt w:val="decimal"/>
      <w:isLgl w:val="false"/>
      <w:suff w:val="nothing"/>
      <w:lvlText w:val=""/>
      <w:lvlJc w:val="left"/>
      <w:pPr>
        <w:pStyle w:val="741"/>
      </w:pPr>
      <w:rPr>
        <w:rFonts w:hint="eastAsia"/>
      </w:rPr>
    </w:lvl>
    <w:lvl w:ilvl="8">
      <w:start w:val="1"/>
      <w:numFmt w:val="decimal"/>
      <w:isLgl w:val="false"/>
      <w:suff w:val="nothing"/>
      <w:lvlText w:val=""/>
      <w:lvlJc w:val="left"/>
      <w:pPr>
        <w:pStyle w:val="741"/>
      </w:pPr>
      <w:rPr>
        <w:rFonts w:hint="eastAsia"/>
      </w:rPr>
    </w:lvl>
  </w:abstractNum>
  <w:abstractNum w:abstractNumId="2">
    <w:multiLevelType w:val="hybridMultilevel"/>
    <w:lvl w:ilvl="0">
      <w:start w:val="1"/>
      <w:numFmt w:val="japaneseCounting"/>
      <w:pStyle w:val="803"/>
      <w:isLgl w:val="false"/>
      <w:suff w:val="tab"/>
      <w:lvlText w:val="%1、"/>
      <w:lvlJc w:val="left"/>
      <w:pPr>
        <w:pStyle w:val="741"/>
        <w:ind w:left="720" w:hanging="720"/>
        <w:tabs>
          <w:tab w:val="num" w:pos="720" w:leader="none"/>
        </w:tabs>
      </w:pPr>
      <w:rPr>
        <w:rFonts w:hint="eastAsia"/>
      </w:rPr>
    </w:lvl>
    <w:lvl w:ilvl="1">
      <w:start w:val="1"/>
      <w:numFmt w:val="chineseCountingThousand"/>
      <w:isLgl w:val="false"/>
      <w:suff w:val="tab"/>
      <w:lvlText w:val="（%2）"/>
      <w:lvlJc w:val="left"/>
      <w:pPr>
        <w:pStyle w:val="741"/>
        <w:ind w:left="780" w:hanging="780"/>
        <w:tabs>
          <w:tab w:val="num" w:pos="780" w:leader="none"/>
        </w:tabs>
      </w:pPr>
      <w:rPr>
        <w:rFonts w:hint="eastAsia"/>
      </w:rPr>
    </w:lvl>
    <w:lvl w:ilvl="2">
      <w:start w:val="1"/>
      <w:numFmt w:val="lowerRoman"/>
      <w:isLgl w:val="false"/>
      <w:suff w:val="tab"/>
      <w:lvlText w:val="%3."/>
      <w:lvlJc w:val="right"/>
      <w:pPr>
        <w:pStyle w:val="741"/>
        <w:ind w:left="1260" w:hanging="420"/>
        <w:tabs>
          <w:tab w:val="num" w:pos="1260" w:leader="none"/>
        </w:tabs>
      </w:pPr>
      <w:rPr>
        <w:rFonts w:hint="eastAsia"/>
      </w:rPr>
    </w:lvl>
    <w:lvl w:ilvl="3">
      <w:start w:val="1"/>
      <w:numFmt w:val="decimal"/>
      <w:isLgl w:val="false"/>
      <w:suff w:val="tab"/>
      <w:lvlText w:val="%4."/>
      <w:lvlJc w:val="left"/>
      <w:pPr>
        <w:pStyle w:val="741"/>
        <w:ind w:left="1680" w:hanging="420"/>
        <w:tabs>
          <w:tab w:val="num" w:pos="1680" w:leader="none"/>
        </w:tabs>
      </w:pPr>
      <w:rPr>
        <w:rFonts w:hint="eastAsia"/>
      </w:rPr>
    </w:lvl>
    <w:lvl w:ilvl="4">
      <w:start w:val="1"/>
      <w:numFmt w:val="lowerLetter"/>
      <w:isLgl w:val="false"/>
      <w:suff w:val="tab"/>
      <w:lvlText w:val="%5)"/>
      <w:lvlJc w:val="left"/>
      <w:pPr>
        <w:pStyle w:val="741"/>
        <w:ind w:left="2100" w:hanging="420"/>
        <w:tabs>
          <w:tab w:val="num" w:pos="2100" w:leader="none"/>
        </w:tabs>
      </w:pPr>
      <w:rPr>
        <w:rFonts w:hint="eastAsia"/>
      </w:rPr>
    </w:lvl>
    <w:lvl w:ilvl="5">
      <w:start w:val="1"/>
      <w:numFmt w:val="lowerRoman"/>
      <w:isLgl w:val="false"/>
      <w:suff w:val="tab"/>
      <w:lvlText w:val="%6."/>
      <w:lvlJc w:val="right"/>
      <w:pPr>
        <w:pStyle w:val="741"/>
        <w:ind w:left="2520" w:hanging="420"/>
        <w:tabs>
          <w:tab w:val="num" w:pos="2520" w:leader="none"/>
        </w:tabs>
      </w:pPr>
      <w:rPr>
        <w:rFonts w:hint="eastAsia"/>
      </w:rPr>
    </w:lvl>
    <w:lvl w:ilvl="6">
      <w:start w:val="1"/>
      <w:numFmt w:val="decimal"/>
      <w:isLgl w:val="false"/>
      <w:suff w:val="tab"/>
      <w:lvlText w:val="%7."/>
      <w:lvlJc w:val="left"/>
      <w:pPr>
        <w:pStyle w:val="741"/>
        <w:ind w:left="2940" w:hanging="420"/>
        <w:tabs>
          <w:tab w:val="num" w:pos="2940" w:leader="none"/>
        </w:tabs>
      </w:pPr>
      <w:rPr>
        <w:rFonts w:hint="eastAsia"/>
      </w:rPr>
    </w:lvl>
    <w:lvl w:ilvl="7">
      <w:start w:val="1"/>
      <w:numFmt w:val="lowerLetter"/>
      <w:isLgl w:val="false"/>
      <w:suff w:val="tab"/>
      <w:lvlText w:val="%8)"/>
      <w:lvlJc w:val="left"/>
      <w:pPr>
        <w:pStyle w:val="741"/>
        <w:ind w:left="3360" w:hanging="420"/>
        <w:tabs>
          <w:tab w:val="num" w:pos="3360" w:leader="none"/>
        </w:tabs>
      </w:pPr>
      <w:rPr>
        <w:rFonts w:hint="eastAsia"/>
      </w:rPr>
    </w:lvl>
    <w:lvl w:ilvl="8">
      <w:start w:val="1"/>
      <w:numFmt w:val="lowerRoman"/>
      <w:isLgl w:val="false"/>
      <w:suff w:val="tab"/>
      <w:lvlText w:val="%9."/>
      <w:lvlJc w:val="right"/>
      <w:pPr>
        <w:pStyle w:val="741"/>
        <w:ind w:left="3780" w:hanging="420"/>
        <w:tabs>
          <w:tab w:val="num" w:pos="3780"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1"/>
    <w:next w:val="7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1"/>
    <w:next w:val="7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1"/>
    <w:next w:val="7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1"/>
    <w:next w:val="7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1"/>
    <w:next w:val="7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1"/>
    <w:next w:val="7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1"/>
    <w:next w:val="7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1"/>
    <w:next w:val="7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1"/>
    <w:next w:val="7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1"/>
    <w:next w:val="7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1"/>
    <w:next w:val="7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1"/>
    <w:next w:val="741"/>
    <w:link w:val="38"/>
    <w:uiPriority w:val="29"/>
    <w:qFormat/>
    <w:pPr>
      <w:ind w:left="720" w:right="720"/>
    </w:pPr>
    <w:rPr>
      <w:i/>
    </w:rPr>
  </w:style>
  <w:style w:type="character" w:styleId="38">
    <w:name w:val="Quote Char"/>
    <w:link w:val="37"/>
    <w:uiPriority w:val="29"/>
    <w:rPr>
      <w:i/>
    </w:rPr>
  </w:style>
  <w:style w:type="paragraph" w:styleId="39">
    <w:name w:val="Intense Quote"/>
    <w:basedOn w:val="741"/>
    <w:next w:val="7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1"/>
    <w:next w:val="7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1"/>
    <w:next w:val="741"/>
    <w:uiPriority w:val="39"/>
    <w:unhideWhenUsed/>
    <w:pPr>
      <w:ind w:left="0" w:right="0" w:firstLine="0"/>
      <w:spacing w:after="57"/>
    </w:pPr>
  </w:style>
  <w:style w:type="paragraph" w:styleId="181">
    <w:name w:val="toc 2"/>
    <w:basedOn w:val="741"/>
    <w:next w:val="741"/>
    <w:uiPriority w:val="39"/>
    <w:unhideWhenUsed/>
    <w:pPr>
      <w:ind w:left="283" w:right="0" w:firstLine="0"/>
      <w:spacing w:after="57"/>
    </w:pPr>
  </w:style>
  <w:style w:type="paragraph" w:styleId="182">
    <w:name w:val="toc 3"/>
    <w:basedOn w:val="741"/>
    <w:next w:val="741"/>
    <w:uiPriority w:val="39"/>
    <w:unhideWhenUsed/>
    <w:pPr>
      <w:ind w:left="567" w:right="0" w:firstLine="0"/>
      <w:spacing w:after="57"/>
    </w:pPr>
  </w:style>
  <w:style w:type="paragraph" w:styleId="183">
    <w:name w:val="toc 4"/>
    <w:basedOn w:val="741"/>
    <w:next w:val="741"/>
    <w:uiPriority w:val="39"/>
    <w:unhideWhenUsed/>
    <w:pPr>
      <w:ind w:left="850" w:right="0" w:firstLine="0"/>
      <w:spacing w:after="57"/>
    </w:pPr>
  </w:style>
  <w:style w:type="paragraph" w:styleId="184">
    <w:name w:val="toc 5"/>
    <w:basedOn w:val="741"/>
    <w:next w:val="741"/>
    <w:uiPriority w:val="39"/>
    <w:unhideWhenUsed/>
    <w:pPr>
      <w:ind w:left="1134" w:right="0" w:firstLine="0"/>
      <w:spacing w:after="57"/>
    </w:pPr>
  </w:style>
  <w:style w:type="paragraph" w:styleId="185">
    <w:name w:val="toc 6"/>
    <w:basedOn w:val="741"/>
    <w:next w:val="741"/>
    <w:uiPriority w:val="39"/>
    <w:unhideWhenUsed/>
    <w:pPr>
      <w:ind w:left="1417" w:right="0" w:firstLine="0"/>
      <w:spacing w:after="57"/>
    </w:pPr>
  </w:style>
  <w:style w:type="paragraph" w:styleId="186">
    <w:name w:val="toc 7"/>
    <w:basedOn w:val="741"/>
    <w:next w:val="741"/>
    <w:uiPriority w:val="39"/>
    <w:unhideWhenUsed/>
    <w:pPr>
      <w:ind w:left="1701" w:right="0" w:firstLine="0"/>
      <w:spacing w:after="57"/>
    </w:pPr>
  </w:style>
  <w:style w:type="paragraph" w:styleId="187">
    <w:name w:val="toc 8"/>
    <w:basedOn w:val="741"/>
    <w:next w:val="741"/>
    <w:uiPriority w:val="39"/>
    <w:unhideWhenUsed/>
    <w:pPr>
      <w:ind w:left="1984" w:right="0" w:firstLine="0"/>
      <w:spacing w:after="57"/>
    </w:pPr>
  </w:style>
  <w:style w:type="paragraph" w:styleId="188">
    <w:name w:val="toc 9"/>
    <w:basedOn w:val="741"/>
    <w:next w:val="7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1"/>
    <w:next w:val="741"/>
    <w:uiPriority w:val="99"/>
    <w:unhideWhenUsed/>
    <w:pPr>
      <w:spacing w:after="0" w:afterAutospacing="0"/>
    </w:pPr>
  </w:style>
  <w:style w:type="paragraph" w:styleId="741" w:default="1">
    <w:name w:val="Normal"/>
    <w:next w:val="747"/>
    <w:link w:val="741"/>
    <w:qFormat/>
    <w:pPr>
      <w:jc w:val="both"/>
      <w:widowControl w:val="off"/>
    </w:pPr>
    <w:rPr>
      <w:rFonts w:ascii="Calibri" w:hAnsi="Calibri" w:cs="Calibri"/>
      <w:sz w:val="21"/>
      <w:szCs w:val="21"/>
      <w:lang w:val="en-US" w:eastAsia="zh-CN" w:bidi="ar-SA"/>
    </w:rPr>
  </w:style>
  <w:style w:type="paragraph" w:styleId="742">
    <w:name w:val="标题 1"/>
    <w:basedOn w:val="741"/>
    <w:next w:val="741"/>
    <w:link w:val="750"/>
    <w:uiPriority w:val="99"/>
    <w:qFormat/>
    <w:pPr>
      <w:numPr>
        <w:ilvl w:val="0"/>
        <w:numId w:val="2"/>
      </w:numPr>
      <w:ind w:firstLine="200"/>
      <w:jc w:val="center"/>
      <w:keepNext/>
      <w:spacing w:line="360" w:lineRule="auto"/>
      <w:outlineLvl w:val="0"/>
    </w:pPr>
    <w:rPr>
      <w:rFonts w:ascii="楷体_GB2312" w:eastAsia="楷体_GB2312" w:cs="楷体_GB2312"/>
      <w:sz w:val="28"/>
      <w:szCs w:val="28"/>
    </w:rPr>
  </w:style>
  <w:style w:type="paragraph" w:styleId="743">
    <w:name w:val="标题 2"/>
    <w:basedOn w:val="741"/>
    <w:next w:val="741"/>
    <w:link w:val="751"/>
    <w:uiPriority w:val="99"/>
    <w:qFormat/>
    <w:pPr>
      <w:numPr>
        <w:ilvl w:val="1"/>
        <w:numId w:val="2"/>
      </w:numPr>
      <w:jc w:val="center"/>
      <w:keepLines/>
      <w:keepNext/>
      <w:spacing w:before="260" w:after="260" w:line="415" w:lineRule="auto"/>
      <w:outlineLvl w:val="1"/>
    </w:pPr>
    <w:rPr>
      <w:rFonts w:ascii="Arial" w:hAnsi="Arial" w:eastAsia="楷体" w:cs="Arial"/>
      <w:b/>
      <w:bCs/>
      <w:sz w:val="72"/>
      <w:szCs w:val="44"/>
    </w:rPr>
  </w:style>
  <w:style w:type="paragraph" w:styleId="744">
    <w:name w:val="标题 3"/>
    <w:basedOn w:val="741"/>
    <w:next w:val="741"/>
    <w:link w:val="752"/>
    <w:uiPriority w:val="99"/>
    <w:qFormat/>
    <w:pPr>
      <w:numPr>
        <w:ilvl w:val="2"/>
        <w:numId w:val="2"/>
      </w:numPr>
      <w:keepLines/>
      <w:keepNext/>
      <w:spacing w:before="260" w:after="260" w:line="415" w:lineRule="auto"/>
      <w:outlineLvl w:val="2"/>
    </w:pPr>
    <w:rPr>
      <w:b/>
      <w:bCs/>
      <w:sz w:val="32"/>
      <w:szCs w:val="32"/>
    </w:rPr>
  </w:style>
  <w:style w:type="paragraph" w:styleId="745">
    <w:name w:val="标题 4"/>
    <w:basedOn w:val="741"/>
    <w:next w:val="741"/>
    <w:link w:val="753"/>
    <w:uiPriority w:val="99"/>
    <w:qFormat/>
    <w:pPr>
      <w:keepLines/>
      <w:keepNext/>
      <w:spacing w:before="280" w:after="290" w:line="376" w:lineRule="auto"/>
      <w:outlineLvl w:val="3"/>
    </w:pPr>
    <w:rPr>
      <w:rFonts w:ascii="Calibri Light" w:hAnsi="Calibri Light" w:cs="Calibri Light"/>
      <w:b/>
      <w:bCs/>
      <w:sz w:val="28"/>
      <w:szCs w:val="28"/>
    </w:rPr>
  </w:style>
  <w:style w:type="paragraph" w:styleId="746">
    <w:name w:val="标题 5"/>
    <w:basedOn w:val="741"/>
    <w:next w:val="741"/>
    <w:link w:val="754"/>
    <w:qFormat/>
    <w:pPr>
      <w:keepLines/>
      <w:keepNext/>
      <w:spacing w:before="280" w:after="290" w:line="376" w:lineRule="auto"/>
      <w:outlineLvl w:val="4"/>
    </w:pPr>
    <w:rPr>
      <w:b/>
      <w:bCs/>
      <w:sz w:val="28"/>
      <w:szCs w:val="28"/>
    </w:rPr>
  </w:style>
  <w:style w:type="paragraph" w:styleId="747">
    <w:name w:val="标题 6"/>
    <w:basedOn w:val="741"/>
    <w:next w:val="741"/>
    <w:link w:val="741"/>
    <w:qFormat/>
    <w:pPr>
      <w:numPr>
        <w:ilvl w:val="5"/>
        <w:numId w:val="1"/>
      </w:numPr>
      <w:keepLines/>
      <w:keepNext/>
      <w:spacing w:before="240" w:after="64" w:line="317" w:lineRule="auto"/>
      <w:outlineLvl w:val="5"/>
    </w:pPr>
    <w:rPr>
      <w:rFonts w:ascii="Arial" w:hAnsi="Arial" w:eastAsia="黑体"/>
      <w:b/>
      <w:sz w:val="24"/>
    </w:rPr>
  </w:style>
  <w:style w:type="character" w:styleId="748">
    <w:name w:val="默认段落字体"/>
    <w:next w:val="748"/>
    <w:link w:val="741"/>
    <w:uiPriority w:val="1"/>
    <w:unhideWhenUsed/>
    <w:qFormat/>
  </w:style>
  <w:style w:type="table" w:styleId="749">
    <w:name w:val="普通表格"/>
    <w:next w:val="749"/>
    <w:link w:val="741"/>
    <w:uiPriority w:val="99"/>
    <w:unhideWhenUsed/>
    <w:qFormat/>
    <w:tblPr/>
  </w:style>
  <w:style w:type="character" w:styleId="750">
    <w:name w:val="标题 1 字符"/>
    <w:next w:val="750"/>
    <w:link w:val="742"/>
    <w:uiPriority w:val="9"/>
    <w:qFormat/>
    <w:rPr>
      <w:rFonts w:ascii="Calibri" w:hAnsi="Calibri" w:cs="Calibri"/>
      <w:b/>
      <w:bCs/>
      <w:sz w:val="44"/>
      <w:szCs w:val="44"/>
    </w:rPr>
  </w:style>
  <w:style w:type="character" w:styleId="751">
    <w:name w:val="标题 2 字符"/>
    <w:next w:val="751"/>
    <w:link w:val="743"/>
    <w:uiPriority w:val="9"/>
    <w:qFormat/>
    <w:rPr>
      <w:rFonts w:ascii="Arial" w:hAnsi="Arial" w:eastAsia="楷体" w:cs="Times New Roman"/>
      <w:b/>
      <w:bCs/>
      <w:sz w:val="72"/>
      <w:szCs w:val="32"/>
    </w:rPr>
  </w:style>
  <w:style w:type="character" w:styleId="752">
    <w:name w:val="标题 3 字符"/>
    <w:next w:val="752"/>
    <w:link w:val="744"/>
    <w:qFormat/>
    <w:rPr>
      <w:b/>
      <w:bCs/>
      <w:sz w:val="32"/>
      <w:szCs w:val="32"/>
    </w:rPr>
  </w:style>
  <w:style w:type="character" w:styleId="753">
    <w:name w:val="标题 4 字符"/>
    <w:next w:val="753"/>
    <w:link w:val="745"/>
    <w:uiPriority w:val="9"/>
    <w:qFormat/>
    <w:rPr>
      <w:rFonts w:ascii="Cambria" w:hAnsi="Cambria" w:eastAsia="宋体" w:cs="Times New Roman"/>
      <w:b/>
      <w:bCs/>
      <w:sz w:val="28"/>
      <w:szCs w:val="28"/>
    </w:rPr>
  </w:style>
  <w:style w:type="character" w:styleId="754">
    <w:name w:val="标题 5 字符"/>
    <w:next w:val="754"/>
    <w:link w:val="746"/>
    <w:qFormat/>
    <w:rPr>
      <w:rFonts w:ascii="Calibri" w:hAnsi="Calibri" w:cs="Calibri"/>
      <w:b/>
      <w:bCs/>
      <w:sz w:val="28"/>
      <w:szCs w:val="28"/>
    </w:rPr>
  </w:style>
  <w:style w:type="paragraph" w:styleId="755">
    <w:name w:val="目录 7"/>
    <w:basedOn w:val="741"/>
    <w:next w:val="741"/>
    <w:link w:val="741"/>
    <w:uiPriority w:val="39"/>
    <w:unhideWhenUsed/>
    <w:qFormat/>
    <w:pPr>
      <w:ind w:left="1701"/>
      <w:spacing w:after="57"/>
    </w:pPr>
  </w:style>
  <w:style w:type="paragraph" w:styleId="756">
    <w:name w:val="正文缩进"/>
    <w:basedOn w:val="741"/>
    <w:next w:val="741"/>
    <w:link w:val="741"/>
    <w:qFormat/>
    <w:pPr>
      <w:ind w:firstLine="420"/>
      <w:spacing w:line="360" w:lineRule="auto"/>
    </w:pPr>
    <w:rPr>
      <w:rFonts w:ascii="Times New Roman" w:hAnsi="Times New Roman" w:cs="Times New Roman"/>
      <w:sz w:val="24"/>
      <w:szCs w:val="24"/>
    </w:rPr>
  </w:style>
  <w:style w:type="paragraph" w:styleId="757">
    <w:name w:val="批注文字"/>
    <w:basedOn w:val="741"/>
    <w:next w:val="757"/>
    <w:link w:val="758"/>
    <w:unhideWhenUsed/>
    <w:qFormat/>
    <w:pPr>
      <w:jc w:val="left"/>
    </w:pPr>
  </w:style>
  <w:style w:type="character" w:styleId="758">
    <w:name w:val="批注文字 字符"/>
    <w:next w:val="758"/>
    <w:link w:val="757"/>
    <w:qFormat/>
    <w:rPr>
      <w:rFonts w:ascii="Calibri" w:hAnsi="Calibri" w:cs="Calibri"/>
      <w:sz w:val="21"/>
      <w:szCs w:val="21"/>
    </w:rPr>
  </w:style>
  <w:style w:type="paragraph" w:styleId="759">
    <w:name w:val="正文文本"/>
    <w:basedOn w:val="741"/>
    <w:next w:val="761"/>
    <w:link w:val="760"/>
    <w:uiPriority w:val="99"/>
    <w:qFormat/>
    <w:pPr>
      <w:ind w:firstLine="200"/>
      <w:spacing w:line="360" w:lineRule="auto"/>
    </w:pPr>
    <w:rPr>
      <w:rFonts w:ascii="楷体_GB2312" w:hAnsi="Arial" w:eastAsia="楷体_GB2312" w:cs="楷体_GB2312"/>
      <w:sz w:val="28"/>
      <w:szCs w:val="28"/>
    </w:rPr>
  </w:style>
  <w:style w:type="character" w:styleId="760">
    <w:name w:val="正文文本 字符"/>
    <w:next w:val="760"/>
    <w:link w:val="759"/>
    <w:uiPriority w:val="99"/>
    <w:qFormat/>
    <w:rPr>
      <w:rFonts w:ascii="Calibri" w:hAnsi="Calibri" w:cs="Calibri"/>
      <w:szCs w:val="21"/>
    </w:rPr>
  </w:style>
  <w:style w:type="paragraph" w:styleId="761">
    <w:name w:val="Default"/>
    <w:next w:val="761"/>
    <w:link w:val="741"/>
    <w:uiPriority w:val="99"/>
    <w:qFormat/>
    <w:pPr>
      <w:widowControl w:val="off"/>
    </w:pPr>
    <w:rPr>
      <w:rFonts w:ascii="仿宋" w:hAnsi="仿宋" w:eastAsia="仿宋" w:cs="仿宋"/>
      <w:color w:val="000000"/>
      <w:sz w:val="24"/>
      <w:szCs w:val="24"/>
      <w:lang w:val="en-US" w:eastAsia="zh-CN" w:bidi="ar-SA"/>
    </w:rPr>
  </w:style>
  <w:style w:type="paragraph" w:styleId="762">
    <w:name w:val="正文文本缩进"/>
    <w:basedOn w:val="741"/>
    <w:next w:val="763"/>
    <w:link w:val="741"/>
    <w:uiPriority w:val="99"/>
    <w:qFormat/>
    <w:pPr>
      <w:ind w:firstLine="403"/>
      <w:spacing w:line="440" w:lineRule="exact"/>
    </w:pPr>
    <w:rPr>
      <w:rFonts w:ascii="宋体" w:hAnsi="宋体" w:cs="宋体"/>
    </w:rPr>
  </w:style>
  <w:style w:type="paragraph" w:styleId="763">
    <w:name w:val="寄信人地址"/>
    <w:basedOn w:val="741"/>
    <w:next w:val="755"/>
    <w:link w:val="741"/>
    <w:qFormat/>
    <w:rPr>
      <w:rFonts w:ascii="Arial" w:hAnsi="Arial"/>
    </w:rPr>
  </w:style>
  <w:style w:type="paragraph" w:styleId="764">
    <w:name w:val="索引 4"/>
    <w:basedOn w:val="741"/>
    <w:next w:val="741"/>
    <w:link w:val="741"/>
    <w:uiPriority w:val="99"/>
    <w:qFormat/>
    <w:pPr>
      <w:ind w:left="600"/>
    </w:pPr>
    <w:rPr>
      <w:rFonts w:ascii="Verdana" w:hAnsi="Verdana"/>
      <w:szCs w:val="20"/>
    </w:rPr>
  </w:style>
  <w:style w:type="paragraph" w:styleId="765">
    <w:name w:val="纯文本"/>
    <w:basedOn w:val="741"/>
    <w:next w:val="756"/>
    <w:link w:val="766"/>
    <w:uiPriority w:val="99"/>
    <w:qFormat/>
    <w:pPr>
      <w:ind w:firstLine="200"/>
      <w:spacing w:line="360" w:lineRule="auto"/>
    </w:pPr>
    <w:rPr>
      <w:rFonts w:ascii="宋体" w:hAnsi="Courier New" w:cs="宋体"/>
      <w:sz w:val="24"/>
      <w:szCs w:val="24"/>
    </w:rPr>
  </w:style>
  <w:style w:type="character" w:styleId="766">
    <w:name w:val="纯文本 字符"/>
    <w:next w:val="766"/>
    <w:link w:val="765"/>
    <w:uiPriority w:val="99"/>
    <w:qFormat/>
    <w:rPr>
      <w:rFonts w:ascii="宋体" w:hAnsi="Courier New" w:cs="Courier New"/>
      <w:szCs w:val="21"/>
    </w:rPr>
  </w:style>
  <w:style w:type="paragraph" w:styleId="767">
    <w:name w:val="日期"/>
    <w:basedOn w:val="741"/>
    <w:next w:val="741"/>
    <w:link w:val="768"/>
    <w:uiPriority w:val="99"/>
    <w:qFormat/>
    <w:pPr>
      <w:ind w:firstLine="200"/>
      <w:spacing w:line="360" w:lineRule="auto"/>
    </w:pPr>
    <w:rPr>
      <w:rFonts w:ascii="Times New Roman" w:hAnsi="Times New Roman" w:cs="Times New Roman"/>
      <w:sz w:val="24"/>
      <w:szCs w:val="24"/>
    </w:rPr>
  </w:style>
  <w:style w:type="character" w:styleId="768">
    <w:name w:val="日期 字符"/>
    <w:next w:val="768"/>
    <w:link w:val="767"/>
    <w:uiPriority w:val="99"/>
    <w:qFormat/>
    <w:rPr>
      <w:rFonts w:ascii="Calibri" w:hAnsi="Calibri" w:cs="Calibri"/>
      <w:szCs w:val="21"/>
    </w:rPr>
  </w:style>
  <w:style w:type="paragraph" w:styleId="769">
    <w:name w:val="批注框文本"/>
    <w:basedOn w:val="741"/>
    <w:next w:val="769"/>
    <w:link w:val="770"/>
    <w:qFormat/>
    <w:rPr>
      <w:sz w:val="18"/>
      <w:szCs w:val="18"/>
    </w:rPr>
  </w:style>
  <w:style w:type="character" w:styleId="770">
    <w:name w:val="批注框文本 字符"/>
    <w:next w:val="770"/>
    <w:link w:val="769"/>
    <w:qFormat/>
    <w:rPr>
      <w:rFonts w:ascii="Calibri" w:hAnsi="Calibri" w:cs="Calibri"/>
      <w:sz w:val="18"/>
      <w:szCs w:val="18"/>
    </w:rPr>
  </w:style>
  <w:style w:type="paragraph" w:styleId="771">
    <w:name w:val="页脚"/>
    <w:basedOn w:val="741"/>
    <w:next w:val="771"/>
    <w:link w:val="772"/>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772">
    <w:name w:val="页脚 字符"/>
    <w:next w:val="772"/>
    <w:link w:val="771"/>
    <w:uiPriority w:val="99"/>
    <w:qFormat/>
    <w:rPr>
      <w:rFonts w:ascii="Calibri" w:hAnsi="Calibri" w:cs="Calibri"/>
      <w:sz w:val="18"/>
      <w:szCs w:val="18"/>
    </w:rPr>
  </w:style>
  <w:style w:type="paragraph" w:styleId="773">
    <w:name w:val="页眉"/>
    <w:basedOn w:val="741"/>
    <w:next w:val="741"/>
    <w:link w:val="774"/>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774">
    <w:name w:val="页眉 字符"/>
    <w:next w:val="774"/>
    <w:link w:val="773"/>
    <w:uiPriority w:val="99"/>
    <w:qFormat/>
    <w:rPr>
      <w:rFonts w:ascii="Calibri" w:hAnsi="Calibri" w:cs="Calibri"/>
      <w:sz w:val="18"/>
      <w:szCs w:val="18"/>
    </w:rPr>
  </w:style>
  <w:style w:type="paragraph" w:styleId="775">
    <w:name w:val="目录 1"/>
    <w:basedOn w:val="741"/>
    <w:next w:val="741"/>
    <w:link w:val="741"/>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776">
    <w:name w:val="副标题"/>
    <w:basedOn w:val="741"/>
    <w:next w:val="741"/>
    <w:link w:val="777"/>
    <w:qFormat/>
    <w:pPr>
      <w:jc w:val="center"/>
      <w:spacing w:before="240" w:after="60" w:line="312" w:lineRule="auto"/>
      <w:outlineLvl w:val="1"/>
    </w:pPr>
    <w:rPr>
      <w:rFonts w:ascii="Cambria" w:hAnsi="Cambria" w:cs="Times New Roman"/>
      <w:b/>
      <w:bCs/>
      <w:sz w:val="32"/>
      <w:szCs w:val="32"/>
    </w:rPr>
  </w:style>
  <w:style w:type="character" w:styleId="777">
    <w:name w:val="副标题 字符"/>
    <w:next w:val="777"/>
    <w:link w:val="776"/>
    <w:qFormat/>
    <w:rPr>
      <w:rFonts w:ascii="Cambria" w:hAnsi="Cambria" w:cs="Times New Roman"/>
      <w:b/>
      <w:bCs/>
      <w:sz w:val="32"/>
      <w:szCs w:val="32"/>
    </w:rPr>
  </w:style>
  <w:style w:type="paragraph" w:styleId="778">
    <w:name w:val="目录 2"/>
    <w:basedOn w:val="741"/>
    <w:next w:val="741"/>
    <w:link w:val="741"/>
    <w:uiPriority w:val="39"/>
    <w:qFormat/>
    <w:pPr>
      <w:ind w:left="420"/>
    </w:pPr>
  </w:style>
  <w:style w:type="paragraph" w:styleId="779">
    <w:name w:val="正文文本 2"/>
    <w:basedOn w:val="741"/>
    <w:next w:val="779"/>
    <w:link w:val="741"/>
    <w:uiPriority w:val="99"/>
    <w:unhideWhenUsed/>
    <w:qFormat/>
    <w:pPr>
      <w:spacing w:after="120" w:line="480" w:lineRule="auto"/>
    </w:pPr>
  </w:style>
  <w:style w:type="paragraph" w:styleId="780">
    <w:name w:val="HTML 预设格式"/>
    <w:basedOn w:val="741"/>
    <w:next w:val="780"/>
    <w:link w:val="741"/>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781">
    <w:name w:val="普通(网站)"/>
    <w:basedOn w:val="741"/>
    <w:next w:val="781"/>
    <w:link w:val="741"/>
    <w:qFormat/>
    <w:pPr>
      <w:jc w:val="left"/>
      <w:spacing w:before="100" w:beforeAutospacing="1" w:after="100" w:afterAutospacing="1"/>
      <w:widowControl/>
    </w:pPr>
    <w:rPr>
      <w:rFonts w:ascii="宋体" w:hAnsi="宋体" w:cs="宋体"/>
      <w:sz w:val="24"/>
      <w:szCs w:val="24"/>
    </w:rPr>
  </w:style>
  <w:style w:type="paragraph" w:styleId="782">
    <w:name w:val="批注主题"/>
    <w:basedOn w:val="757"/>
    <w:next w:val="757"/>
    <w:link w:val="783"/>
    <w:unhideWhenUsed/>
    <w:qFormat/>
    <w:rPr>
      <w:b/>
      <w:bCs/>
    </w:rPr>
  </w:style>
  <w:style w:type="character" w:styleId="783">
    <w:name w:val="批注主题 字符"/>
    <w:next w:val="783"/>
    <w:link w:val="782"/>
    <w:semiHidden/>
    <w:qFormat/>
    <w:rPr>
      <w:rFonts w:ascii="Calibri" w:hAnsi="Calibri" w:cs="Calibri"/>
      <w:b/>
      <w:bCs/>
      <w:sz w:val="21"/>
      <w:szCs w:val="21"/>
    </w:rPr>
  </w:style>
  <w:style w:type="paragraph" w:styleId="784">
    <w:name w:val="正文首行缩进"/>
    <w:basedOn w:val="759"/>
    <w:next w:val="741"/>
    <w:link w:val="741"/>
    <w:unhideWhenUsed/>
    <w:qFormat/>
    <w:pPr>
      <w:ind w:firstLine="420"/>
    </w:pPr>
    <w:rPr>
      <w:rFonts w:ascii="Calibri" w:hAnsi="Calibri" w:eastAsia="宋体"/>
      <w:sz w:val="28"/>
      <w:szCs w:val="28"/>
    </w:rPr>
  </w:style>
  <w:style w:type="paragraph" w:styleId="785">
    <w:name w:val="正文首行缩进 2"/>
    <w:basedOn w:val="762"/>
    <w:next w:val="741"/>
    <w:link w:val="741"/>
    <w:uiPriority w:val="99"/>
    <w:qFormat/>
    <w:pPr>
      <w:ind w:firstLine="420"/>
    </w:pPr>
  </w:style>
  <w:style w:type="table" w:styleId="786">
    <w:name w:val="网格型"/>
    <w:basedOn w:val="749"/>
    <w:next w:val="786"/>
    <w:link w:val="741"/>
    <w:uiPriority w:val="99"/>
    <w:qFormat/>
    <w:pPr>
      <w:jc w:val="both"/>
      <w:widowControl w:val="off"/>
    </w:pPr>
    <w:tblPr/>
  </w:style>
  <w:style w:type="character" w:styleId="787">
    <w:name w:val="要点"/>
    <w:next w:val="787"/>
    <w:link w:val="741"/>
    <w:uiPriority w:val="99"/>
    <w:qFormat/>
    <w:rPr>
      <w:b/>
      <w:bCs/>
    </w:rPr>
  </w:style>
  <w:style w:type="character" w:styleId="788">
    <w:name w:val="页码"/>
    <w:next w:val="788"/>
    <w:link w:val="741"/>
    <w:uiPriority w:val="99"/>
    <w:qFormat/>
    <w:rPr>
      <w:rFonts w:ascii="Times New Roman" w:hAnsi="Times New Roman" w:eastAsia="宋体" w:cs="Times New Roman"/>
    </w:rPr>
  </w:style>
  <w:style w:type="character" w:styleId="789">
    <w:name w:val="强调"/>
    <w:next w:val="789"/>
    <w:link w:val="741"/>
    <w:qFormat/>
    <w:rPr>
      <w:i/>
    </w:rPr>
  </w:style>
  <w:style w:type="character" w:styleId="790">
    <w:name w:val="超链接"/>
    <w:next w:val="790"/>
    <w:link w:val="741"/>
    <w:uiPriority w:val="99"/>
    <w:qFormat/>
    <w:rPr>
      <w:color w:val="0000ff"/>
      <w:u w:val="single"/>
    </w:rPr>
  </w:style>
  <w:style w:type="character" w:styleId="791">
    <w:name w:val="HTML 代码"/>
    <w:next w:val="791"/>
    <w:link w:val="741"/>
    <w:qFormat/>
    <w:rPr>
      <w:rFonts w:ascii="Courier New" w:hAnsi="Courier New"/>
      <w:sz w:val="20"/>
    </w:rPr>
  </w:style>
  <w:style w:type="character" w:styleId="792">
    <w:name w:val="批注引用"/>
    <w:next w:val="792"/>
    <w:link w:val="741"/>
    <w:qFormat/>
    <w:rPr>
      <w:sz w:val="21"/>
      <w:szCs w:val="21"/>
    </w:rPr>
  </w:style>
  <w:style w:type="character" w:styleId="793">
    <w:name w:val="默认段落字体1"/>
    <w:next w:val="793"/>
    <w:link w:val="741"/>
    <w:uiPriority w:val="1"/>
    <w:unhideWhenUsed/>
    <w:qFormat/>
  </w:style>
  <w:style w:type="paragraph" w:styleId="794">
    <w:name w:val="列表段落"/>
    <w:basedOn w:val="741"/>
    <w:next w:val="794"/>
    <w:link w:val="741"/>
    <w:uiPriority w:val="34"/>
    <w:qFormat/>
    <w:pPr>
      <w:ind w:firstLine="420"/>
    </w:pPr>
  </w:style>
  <w:style w:type="paragraph" w:styleId="795">
    <w:name w:val="_Style 1"/>
    <w:basedOn w:val="741"/>
    <w:next w:val="795"/>
    <w:link w:val="741"/>
    <w:qFormat/>
    <w:pPr>
      <w:ind w:firstLine="420"/>
    </w:pPr>
    <w:rPr>
      <w:sz w:val="20"/>
    </w:rPr>
  </w:style>
  <w:style w:type="paragraph" w:styleId="796">
    <w:name w:val="DAS正文"/>
    <w:next w:val="796"/>
    <w:link w:val="741"/>
    <w:qFormat/>
    <w:pPr>
      <w:ind w:right="181" w:firstLine="480"/>
      <w:jc w:val="both"/>
      <w:spacing w:line="360" w:lineRule="auto"/>
      <w:widowControl w:val="off"/>
    </w:pPr>
    <w:rPr>
      <w:rFonts w:ascii="Verdana" w:hAnsi="Verdana"/>
      <w:sz w:val="21"/>
      <w:szCs w:val="24"/>
      <w:lang w:val="en-US" w:eastAsia="zh-CN" w:bidi="ar-SA"/>
    </w:rPr>
  </w:style>
  <w:style w:type="paragraph" w:styleId="797">
    <w:name w:val="报告正文"/>
    <w:basedOn w:val="741"/>
    <w:next w:val="797"/>
    <w:link w:val="741"/>
    <w:qFormat/>
    <w:pPr>
      <w:ind w:firstLine="560"/>
    </w:pPr>
    <w:rPr>
      <w:szCs w:val="20"/>
      <w:lang w:val="zh-CN"/>
    </w:rPr>
  </w:style>
  <w:style w:type="character" w:styleId="798">
    <w:name w:val="标题 3 Char"/>
    <w:next w:val="798"/>
    <w:link w:val="741"/>
    <w:uiPriority w:val="9"/>
    <w:qFormat/>
    <w:rPr>
      <w:rFonts w:ascii="Calibri" w:hAnsi="Calibri" w:cs="Calibri"/>
      <w:b/>
      <w:bCs/>
      <w:sz w:val="32"/>
      <w:szCs w:val="32"/>
    </w:rPr>
  </w:style>
  <w:style w:type="paragraph" w:styleId="799">
    <w:name w:val="普通正文"/>
    <w:basedOn w:val="741"/>
    <w:next w:val="799"/>
    <w:link w:val="800"/>
    <w:uiPriority w:val="99"/>
    <w:qFormat/>
    <w:pPr>
      <w:ind w:firstLine="480"/>
      <w:jc w:val="left"/>
      <w:spacing w:before="120" w:after="120" w:line="360" w:lineRule="auto"/>
    </w:pPr>
    <w:rPr>
      <w:rFonts w:ascii="Arial" w:hAnsi="Arial" w:cs="Arial"/>
      <w:sz w:val="24"/>
      <w:szCs w:val="24"/>
    </w:rPr>
  </w:style>
  <w:style w:type="character" w:styleId="800">
    <w:name w:val="普通正文 Char"/>
    <w:next w:val="800"/>
    <w:link w:val="799"/>
    <w:uiPriority w:val="99"/>
    <w:qFormat/>
    <w:rPr>
      <w:rFonts w:ascii="Arial" w:hAnsi="Arial" w:cs="Arial"/>
      <w:sz w:val="24"/>
      <w:szCs w:val="24"/>
    </w:rPr>
  </w:style>
  <w:style w:type="paragraph" w:styleId="801">
    <w:name w:val="一级目录"/>
    <w:next w:val="741"/>
    <w:link w:val="802"/>
    <w:uiPriority w:val="99"/>
    <w:qFormat/>
    <w:pPr>
      <w:jc w:val="center"/>
      <w:outlineLvl w:val="0"/>
    </w:pPr>
    <w:rPr>
      <w:rFonts w:ascii="黑体" w:eastAsia="黑体"/>
      <w:b/>
      <w:bCs/>
      <w:sz w:val="44"/>
      <w:szCs w:val="44"/>
      <w:lang w:val="en-US" w:eastAsia="zh-CN" w:bidi="ar-SA"/>
    </w:rPr>
  </w:style>
  <w:style w:type="character" w:styleId="802">
    <w:name w:val="一级目录 Char"/>
    <w:next w:val="802"/>
    <w:link w:val="801"/>
    <w:uiPriority w:val="99"/>
    <w:qFormat/>
    <w:rPr>
      <w:rFonts w:ascii="黑体" w:eastAsia="黑体"/>
      <w:b/>
      <w:bCs/>
      <w:sz w:val="44"/>
      <w:szCs w:val="44"/>
      <w:lang w:val="en-US" w:eastAsia="zh-CN" w:bidi="ar-SA"/>
    </w:rPr>
  </w:style>
  <w:style w:type="paragraph" w:styleId="803">
    <w:name w:val="二级目录"/>
    <w:next w:val="741"/>
    <w:link w:val="804"/>
    <w:uiPriority w:val="99"/>
    <w:qFormat/>
    <w:pPr>
      <w:numPr>
        <w:ilvl w:val="0"/>
        <w:numId w:val="3"/>
      </w:numPr>
      <w:tabs>
        <w:tab w:val="left" w:pos="720" w:leader="none"/>
      </w:tabs>
      <w:outlineLvl w:val="1"/>
    </w:pPr>
    <w:rPr>
      <w:rFonts w:ascii="Calibri" w:hAnsi="Calibri"/>
      <w:b/>
      <w:bCs/>
      <w:sz w:val="28"/>
      <w:szCs w:val="28"/>
      <w:lang w:val="en-US" w:eastAsia="zh-CN" w:bidi="ar-SA"/>
    </w:rPr>
  </w:style>
  <w:style w:type="character" w:styleId="804">
    <w:name w:val="二级目录 Char"/>
    <w:next w:val="804"/>
    <w:link w:val="803"/>
    <w:uiPriority w:val="99"/>
    <w:qFormat/>
    <w:rPr>
      <w:rFonts w:ascii="Calibri" w:hAnsi="Calibri"/>
      <w:b/>
      <w:bCs/>
      <w:sz w:val="28"/>
      <w:szCs w:val="28"/>
      <w:lang w:val="en-US" w:eastAsia="zh-CN" w:bidi="ar-SA"/>
    </w:rPr>
  </w:style>
  <w:style w:type="paragraph" w:styleId="805">
    <w:name w:val="列出段落1"/>
    <w:basedOn w:val="741"/>
    <w:next w:val="805"/>
    <w:link w:val="741"/>
    <w:uiPriority w:val="99"/>
    <w:qFormat/>
    <w:pPr>
      <w:ind w:firstLine="420"/>
    </w:pPr>
  </w:style>
  <w:style w:type="paragraph" w:styleId="806">
    <w:name w:val="Char"/>
    <w:basedOn w:val="741"/>
    <w:next w:val="806"/>
    <w:link w:val="741"/>
    <w:uiPriority w:val="99"/>
    <w:qFormat/>
    <w:pPr>
      <w:ind w:firstLine="200"/>
      <w:spacing w:line="360" w:lineRule="auto"/>
      <w:tabs>
        <w:tab w:val="left" w:pos="360" w:leader="none"/>
      </w:tabs>
    </w:pPr>
    <w:rPr>
      <w:rFonts w:ascii="Times New Roman" w:hAnsi="Times New Roman" w:cs="Times New Roman"/>
      <w:sz w:val="24"/>
      <w:szCs w:val="24"/>
    </w:rPr>
  </w:style>
  <w:style w:type="paragraph" w:styleId="807">
    <w:name w:val="☆ 正文"/>
    <w:basedOn w:val="741"/>
    <w:next w:val="807"/>
    <w:link w:val="741"/>
    <w:uiPriority w:val="99"/>
    <w:qFormat/>
  </w:style>
  <w:style w:type="paragraph" w:styleId="808">
    <w:name w:val="p0"/>
    <w:basedOn w:val="741"/>
    <w:next w:val="808"/>
    <w:link w:val="741"/>
    <w:uiPriority w:val="99"/>
    <w:qFormat/>
    <w:pPr>
      <w:widowControl/>
    </w:pPr>
    <w:rPr>
      <w:rFonts w:ascii="Times New Roman" w:hAnsi="Times New Roman" w:cs="Times New Roman"/>
    </w:rPr>
  </w:style>
  <w:style w:type="paragraph" w:styleId="809">
    <w:name w:val="_Style 5"/>
    <w:basedOn w:val="741"/>
    <w:next w:val="741"/>
    <w:link w:val="741"/>
    <w:uiPriority w:val="99"/>
    <w:qFormat/>
    <w:pPr>
      <w:jc w:val="center"/>
      <w:widowControl/>
      <w:pBdr>
        <w:bottom w:val="single" w:color="000000" w:sz="6" w:space="1"/>
      </w:pBdr>
    </w:pPr>
    <w:rPr>
      <w:rFonts w:ascii="Arial" w:hAnsi="Arial" w:cs="Arial"/>
      <w:vanish/>
      <w:sz w:val="16"/>
      <w:szCs w:val="16"/>
    </w:rPr>
  </w:style>
  <w:style w:type="paragraph" w:styleId="810">
    <w:name w:val="_Style 8"/>
    <w:basedOn w:val="741"/>
    <w:next w:val="741"/>
    <w:link w:val="741"/>
    <w:uiPriority w:val="99"/>
    <w:qFormat/>
    <w:pPr>
      <w:jc w:val="center"/>
      <w:widowControl/>
      <w:pBdr>
        <w:top w:val="single" w:color="000000" w:sz="6" w:space="1"/>
      </w:pBdr>
    </w:pPr>
    <w:rPr>
      <w:rFonts w:ascii="Arial" w:hAnsi="Arial" w:cs="Arial"/>
      <w:vanish/>
      <w:sz w:val="16"/>
      <w:szCs w:val="16"/>
    </w:rPr>
  </w:style>
  <w:style w:type="paragraph" w:styleId="811">
    <w:name w:val="_Style 3"/>
    <w:basedOn w:val="741"/>
    <w:next w:val="811"/>
    <w:link w:val="741"/>
    <w:uiPriority w:val="99"/>
    <w:qFormat/>
    <w:pPr>
      <w:jc w:val="center"/>
      <w:widowControl/>
      <w:pBdr>
        <w:bottom w:val="single" w:color="000000" w:sz="6" w:space="1"/>
      </w:pBdr>
    </w:pPr>
    <w:rPr>
      <w:rFonts w:ascii="Arial" w:hAnsi="Arial" w:cs="Arial"/>
      <w:vanish/>
      <w:sz w:val="16"/>
      <w:szCs w:val="16"/>
    </w:rPr>
  </w:style>
  <w:style w:type="paragraph" w:styleId="812">
    <w:name w:val="正文1"/>
    <w:next w:val="812"/>
    <w:link w:val="741"/>
    <w:uiPriority w:val="99"/>
    <w:qFormat/>
    <w:rPr>
      <w:rFonts w:ascii="Calibri" w:hAnsi="Calibri" w:cs="Calibri"/>
      <w:sz w:val="24"/>
      <w:szCs w:val="24"/>
      <w:lang w:val="en-US" w:eastAsia="zh-CN" w:bidi="ar-SA"/>
    </w:rPr>
  </w:style>
  <w:style w:type="paragraph" w:styleId="813">
    <w:name w:val="Char1"/>
    <w:basedOn w:val="741"/>
    <w:next w:val="813"/>
    <w:link w:val="741"/>
    <w:uiPriority w:val="99"/>
    <w:qFormat/>
    <w:rPr>
      <w:rFonts w:ascii="Tahoma" w:hAnsi="Tahoma" w:cs="Tahoma"/>
      <w:sz w:val="24"/>
      <w:szCs w:val="24"/>
    </w:rPr>
  </w:style>
  <w:style w:type="character" w:styleId="814">
    <w:name w:val="项目编号A Char Char"/>
    <w:next w:val="814"/>
    <w:link w:val="815"/>
    <w:qFormat/>
    <w:rPr>
      <w:rFonts w:ascii="Arial" w:hAnsi="Arial"/>
      <w:sz w:val="24"/>
      <w:szCs w:val="24"/>
    </w:rPr>
  </w:style>
  <w:style w:type="paragraph" w:styleId="815">
    <w:name w:val="项目编号A"/>
    <w:basedOn w:val="741"/>
    <w:next w:val="815"/>
    <w:link w:val="814"/>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816">
    <w:name w:val="方案文档 Char Char"/>
    <w:next w:val="816"/>
    <w:link w:val="817"/>
    <w:qFormat/>
    <w:rPr>
      <w:rFonts w:ascii="Arial" w:hAnsi="Arial"/>
      <w:color w:val="ff00ff"/>
      <w:sz w:val="24"/>
      <w:lang w:val="zh-CN"/>
    </w:rPr>
  </w:style>
  <w:style w:type="paragraph" w:styleId="817">
    <w:name w:val="方案文档"/>
    <w:basedOn w:val="741"/>
    <w:next w:val="817"/>
    <w:link w:val="816"/>
    <w:qFormat/>
    <w:pPr>
      <w:ind w:right="32"/>
      <w:spacing w:before="120" w:after="120" w:line="360" w:lineRule="auto"/>
    </w:pPr>
    <w:rPr>
      <w:rFonts w:ascii="Arial" w:hAnsi="Arial" w:cs="Times New Roman"/>
      <w:color w:val="ff00ff"/>
      <w:sz w:val="24"/>
      <w:szCs w:val="20"/>
      <w:lang w:val="zh-CN"/>
    </w:rPr>
  </w:style>
  <w:style w:type="paragraph" w:styleId="818">
    <w:name w:val="列出段落2"/>
    <w:basedOn w:val="741"/>
    <w:next w:val="818"/>
    <w:link w:val="741"/>
    <w:uiPriority w:val="34"/>
    <w:qFormat/>
    <w:pPr>
      <w:ind w:firstLine="420"/>
    </w:pPr>
  </w:style>
  <w:style w:type="paragraph" w:styleId="819">
    <w:name w:val="列出段落3"/>
    <w:basedOn w:val="741"/>
    <w:next w:val="819"/>
    <w:link w:val="741"/>
    <w:uiPriority w:val="34"/>
    <w:qFormat/>
    <w:pPr>
      <w:ind w:left="720"/>
      <w:jc w:val="left"/>
      <w:widowControl/>
    </w:pPr>
    <w:rPr>
      <w:sz w:val="24"/>
      <w:szCs w:val="24"/>
      <w:lang w:eastAsia="en-US" w:bidi="en-US"/>
    </w:rPr>
  </w:style>
  <w:style w:type="character" w:styleId="820">
    <w:name w:val="font71"/>
    <w:next w:val="820"/>
    <w:link w:val="741"/>
    <w:qFormat/>
    <w:rPr>
      <w:rFonts w:hint="eastAsia" w:ascii="微软雅黑" w:hAnsi="微软雅黑" w:eastAsia="微软雅黑" w:cs="微软雅黑"/>
      <w:color w:val="ff0000"/>
      <w:sz w:val="28"/>
      <w:szCs w:val="28"/>
      <w:u w:val="none"/>
    </w:rPr>
  </w:style>
  <w:style w:type="character" w:styleId="821">
    <w:name w:val="font11"/>
    <w:next w:val="821"/>
    <w:link w:val="741"/>
    <w:qFormat/>
    <w:rPr>
      <w:rFonts w:hint="eastAsia" w:ascii="微软雅黑" w:hAnsi="微软雅黑" w:eastAsia="微软雅黑" w:cs="微软雅黑"/>
      <w:color w:val="000000"/>
      <w:sz w:val="28"/>
      <w:szCs w:val="28"/>
      <w:u w:val="none"/>
    </w:rPr>
  </w:style>
  <w:style w:type="paragraph" w:styleId="822">
    <w:name w:val="_Style 2"/>
    <w:basedOn w:val="741"/>
    <w:next w:val="822"/>
    <w:link w:val="741"/>
    <w:uiPriority w:val="34"/>
    <w:qFormat/>
    <w:pPr>
      <w:contextualSpacing/>
      <w:ind w:left="720"/>
      <w:jc w:val="left"/>
      <w:widowControl/>
    </w:pPr>
    <w:rPr>
      <w:sz w:val="24"/>
      <w:szCs w:val="24"/>
      <w:lang w:eastAsia="en-US" w:bidi="en-US"/>
    </w:rPr>
  </w:style>
  <w:style w:type="character" w:styleId="823">
    <w:name w:val="font61"/>
    <w:next w:val="823"/>
    <w:link w:val="741"/>
    <w:qFormat/>
    <w:rPr>
      <w:rFonts w:hint="eastAsia" w:ascii="宋体" w:hAnsi="宋体" w:eastAsia="宋体" w:cs="宋体"/>
      <w:color w:val="000000"/>
      <w:sz w:val="17"/>
      <w:szCs w:val="17"/>
      <w:u w:val="none"/>
    </w:rPr>
  </w:style>
  <w:style w:type="character" w:styleId="824">
    <w:name w:val="font81"/>
    <w:next w:val="824"/>
    <w:link w:val="741"/>
    <w:qFormat/>
    <w:rPr>
      <w:rFonts w:hint="eastAsia" w:ascii="宋体" w:hAnsi="宋体" w:eastAsia="宋体" w:cs="宋体"/>
      <w:color w:val="000000"/>
      <w:sz w:val="17"/>
      <w:szCs w:val="17"/>
      <w:u w:val="none"/>
    </w:rPr>
  </w:style>
  <w:style w:type="paragraph" w:styleId="825">
    <w:name w:val="表中文字"/>
    <w:basedOn w:val="741"/>
    <w:next w:val="825"/>
    <w:link w:val="741"/>
    <w:qFormat/>
    <w:rPr>
      <w:rFonts w:ascii="Times New Roman" w:hAnsi="Times New Roman" w:cs="Times New Roman"/>
      <w:sz w:val="24"/>
      <w:szCs w:val="24"/>
    </w:rPr>
  </w:style>
  <w:style w:type="paragraph" w:styleId="826">
    <w:name w:val="标准文本"/>
    <w:basedOn w:val="741"/>
    <w:next w:val="826"/>
    <w:link w:val="741"/>
    <w:qFormat/>
    <w:pPr>
      <w:ind w:firstLine="480"/>
      <w:spacing w:line="360" w:lineRule="auto"/>
    </w:pPr>
    <w:rPr>
      <w:rFonts w:cs="宋体"/>
      <w:sz w:val="24"/>
      <w:szCs w:val="20"/>
    </w:rPr>
  </w:style>
  <w:style w:type="paragraph" w:styleId="827">
    <w:name w:val="标准文件_标准正文"/>
    <w:basedOn w:val="741"/>
    <w:next w:val="827"/>
    <w:link w:val="741"/>
    <w:uiPriority w:val="99"/>
    <w:qFormat/>
    <w:pPr>
      <w:ind w:firstLine="560"/>
      <w:jc w:val="left"/>
      <w:spacing w:line="300" w:lineRule="auto"/>
      <w:widowControl/>
    </w:pPr>
    <w:rPr>
      <w:rFonts w:ascii="宋体" w:hAnsi="宋体"/>
      <w:bCs/>
      <w:color w:val="000000"/>
      <w:sz w:val="28"/>
      <w:szCs w:val="28"/>
    </w:rPr>
  </w:style>
  <w:style w:type="character" w:styleId="828">
    <w:name w:val="15"/>
    <w:next w:val="828"/>
    <w:link w:val="741"/>
    <w:qFormat/>
    <w:rPr>
      <w:rFonts w:ascii="Times New Roman" w:hAnsi="Times New Roman" w:cs="Times New Roman"/>
    </w:rPr>
  </w:style>
  <w:style w:type="paragraph" w:styleId="829">
    <w:name w:val="WPSOffice手动目录 1"/>
    <w:next w:val="829"/>
    <w:link w:val="741"/>
    <w:qFormat/>
    <w:rPr>
      <w:lang w:val="en-US" w:eastAsia="zh-CN" w:bidi="ar-SA"/>
    </w:rPr>
  </w:style>
  <w:style w:type="paragraph" w:styleId="830">
    <w:name w:val="表内文字"/>
    <w:basedOn w:val="741"/>
    <w:next w:val="830"/>
    <w:link w:val="741"/>
    <w:uiPriority w:val="99"/>
    <w:qFormat/>
    <w:rPr>
      <w:rFonts w:ascii="仿宋_GB2312"/>
    </w:rPr>
  </w:style>
  <w:style w:type="paragraph" w:styleId="831">
    <w:name w:val="修订1"/>
    <w:next w:val="831"/>
    <w:link w:val="741"/>
    <w:uiPriority w:val="99"/>
    <w:unhideWhenUsed/>
    <w:qFormat/>
    <w:rPr>
      <w:rFonts w:ascii="Calibri" w:hAnsi="Calibri" w:cs="Calibri"/>
      <w:sz w:val="21"/>
      <w:szCs w:val="21"/>
      <w:lang w:val="en-US" w:eastAsia="zh-CN" w:bidi="ar-SA"/>
    </w:rPr>
  </w:style>
  <w:style w:type="paragraph" w:styleId="832">
    <w:name w:val="样式 样式 首行缩进:  2 字符 + 行距: 1.5 倍行距"/>
    <w:basedOn w:val="741"/>
    <w:next w:val="832"/>
    <w:link w:val="741"/>
    <w:qFormat/>
    <w:pPr>
      <w:ind w:firstLine="470"/>
      <w:spacing w:line="360" w:lineRule="auto"/>
    </w:pPr>
    <w:rPr>
      <w:rFonts w:eastAsia="Calibri" w:cs="宋体"/>
      <w:sz w:val="24"/>
      <w:szCs w:val="20"/>
      <w:lang w:val="zh-CN"/>
    </w:rPr>
  </w:style>
  <w:style w:type="paragraph" w:styleId="833">
    <w:name w:val="招标"/>
    <w:basedOn w:val="741"/>
    <w:next w:val="833"/>
    <w:link w:val="741"/>
    <w:qFormat/>
    <w:pPr>
      <w:ind w:firstLine="420"/>
      <w:jc w:val="left"/>
      <w:spacing w:line="400" w:lineRule="exact"/>
    </w:pPr>
    <w:rPr>
      <w:rFonts w:ascii="宋体" w:hAnsi="宋体"/>
    </w:rPr>
  </w:style>
  <w:style w:type="paragraph" w:styleId="834">
    <w:name w:val="修订"/>
    <w:next w:val="834"/>
    <w:link w:val="741"/>
    <w:uiPriority w:val="99"/>
    <w:unhideWhenUsed/>
    <w:rPr>
      <w:rFonts w:ascii="Calibri" w:hAnsi="Calibri" w:cs="Calibri"/>
      <w:sz w:val="21"/>
      <w:szCs w:val="21"/>
      <w:lang w:val="en-US" w:eastAsia="zh-CN" w:bidi="ar-SA"/>
    </w:rPr>
  </w:style>
  <w:style w:type="paragraph" w:styleId="835">
    <w:name w:val="首行缩进"/>
    <w:basedOn w:val="741"/>
    <w:next w:val="835"/>
    <w:link w:val="741"/>
    <w:qFormat/>
    <w:pPr>
      <w:ind w:firstLine="480"/>
    </w:pPr>
    <w:rPr>
      <w:rFonts w:cs="宋体"/>
      <w:sz w:val="20"/>
      <w:szCs w:val="20"/>
    </w:rPr>
  </w:style>
  <w:style w:type="table" w:styleId="836">
    <w:name w:val="Table Normal"/>
    <w:next w:val="836"/>
    <w:link w:val="741"/>
    <w:uiPriority w:val="2"/>
    <w:qFormat/>
    <w:rPr>
      <w:lang w:val="en-US" w:eastAsia="zh-CN" w:bidi="ar-SA"/>
    </w:rPr>
    <w:tblPr/>
  </w:style>
  <w:style w:type="paragraph" w:styleId="837">
    <w:name w:val="Table Text"/>
    <w:basedOn w:val="741"/>
    <w:next w:val="837"/>
    <w:link w:val="741"/>
    <w:semiHidden/>
    <w:qFormat/>
    <w:rPr>
      <w:rFonts w:ascii="宋体" w:hAnsi="宋体" w:cs="宋体"/>
      <w:lang w:eastAsia="en-US"/>
    </w:rPr>
  </w:style>
  <w:style w:type="paragraph" w:styleId="838">
    <w:name w:val="纯文本1"/>
    <w:basedOn w:val="741"/>
    <w:next w:val="838"/>
    <w:link w:val="741"/>
    <w:qFormat/>
    <w:rPr>
      <w:rFonts w:ascii="宋体" w:hAnsi="Courier New"/>
      <w:sz w:val="20"/>
      <w:szCs w:val="21"/>
    </w:rPr>
  </w:style>
  <w:style w:type="paragraph" w:styleId="839">
    <w:name w:val="普通(网站)1"/>
    <w:basedOn w:val="741"/>
    <w:next w:val="839"/>
    <w:link w:val="741"/>
    <w:uiPriority w:val="99"/>
    <w:unhideWhenUsed/>
    <w:qFormat/>
    <w:pPr>
      <w:spacing w:before="100" w:beforeAutospacing="1" w:after="100" w:afterAutospacing="1"/>
      <w:widowControl/>
    </w:pPr>
    <w:rPr>
      <w:sz w:val="24"/>
      <w:szCs w:val="24"/>
    </w:rPr>
  </w:style>
  <w:style w:type="character" w:styleId="840">
    <w:name w:val="要点1"/>
    <w:next w:val="840"/>
    <w:link w:val="741"/>
    <w:uiPriority w:val="22"/>
    <w:qFormat/>
    <w:rPr>
      <w:rFonts w:ascii="Calibri" w:hAnsi="Calibri" w:cs="Calibri"/>
      <w:sz w:val="21"/>
      <w:szCs w:val="21"/>
      <w:lang w:val="en-US" w:eastAsia="zh-CN" w:bidi="ar-SA"/>
    </w:rPr>
  </w:style>
  <w:style w:type="character" w:styleId="841">
    <w:name w:val="强调1"/>
    <w:next w:val="841"/>
    <w:link w:val="741"/>
    <w:uiPriority w:val="20"/>
    <w:qFormat/>
    <w:rPr>
      <w:i/>
    </w:rPr>
  </w:style>
  <w:style w:type="paragraph" w:styleId="842">
    <w:name w:val="页脚1"/>
    <w:basedOn w:val="741"/>
    <w:next w:val="842"/>
    <w:link w:val="741"/>
    <w:uiPriority w:val="99"/>
    <w:qFormat/>
    <w:pPr>
      <w:jc w:val="left"/>
      <w:tabs>
        <w:tab w:val="center" w:pos="4153" w:leader="none"/>
        <w:tab w:val="right" w:pos="8306" w:leader="none"/>
      </w:tabs>
    </w:pPr>
    <w:rPr>
      <w:sz w:val="18"/>
    </w:rPr>
  </w:style>
  <w:style w:type="table" w:styleId="843">
    <w:name w:val="table"/>
    <w:basedOn w:val="749"/>
    <w:next w:val="843"/>
    <w:link w:val="741"/>
    <w:qFormat/>
    <w:tblPr/>
  </w:style>
  <w:style w:type="paragraph" w:styleId="844">
    <w:name w:val="正文文本1"/>
    <w:basedOn w:val="741"/>
    <w:next w:val="741"/>
    <w:link w:val="741"/>
    <w:uiPriority w:val="1"/>
    <w:qFormat/>
    <w:rPr>
      <w:sz w:val="21"/>
      <w:szCs w:val="21"/>
    </w:rPr>
  </w:style>
  <w:style w:type="paragraph" w:styleId="845">
    <w:name w:val="标题 31"/>
    <w:basedOn w:val="741"/>
    <w:next w:val="846"/>
    <w:link w:val="741"/>
    <w:qFormat/>
    <w:pPr>
      <w:keepLines/>
      <w:keepNext/>
      <w:spacing w:before="260" w:after="260" w:line="416" w:lineRule="auto"/>
      <w:outlineLvl w:val="2"/>
    </w:pPr>
    <w:rPr>
      <w:b/>
      <w:bCs/>
      <w:sz w:val="32"/>
      <w:szCs w:val="32"/>
    </w:rPr>
  </w:style>
  <w:style w:type="paragraph" w:styleId="846">
    <w:name w:val="正文缩进1"/>
    <w:basedOn w:val="741"/>
    <w:next w:val="846"/>
    <w:link w:val="741"/>
    <w:qFormat/>
    <w:pPr>
      <w:ind w:firstLine="420"/>
    </w:pPr>
    <w:rPr>
      <w:sz w:val="20"/>
      <w:szCs w:val="21"/>
    </w:rPr>
  </w:style>
  <w:style w:type="paragraph" w:styleId="847">
    <w:name w:val="标题 41"/>
    <w:basedOn w:val="741"/>
    <w:next w:val="741"/>
    <w:link w:val="741"/>
    <w:qFormat/>
    <w:pPr>
      <w:keepLines/>
      <w:keepNext/>
      <w:spacing w:before="280" w:after="290" w:line="376" w:lineRule="auto"/>
      <w:outlineLvl w:val="3"/>
    </w:pPr>
    <w:rPr>
      <w:rFonts w:ascii="Arial" w:hAnsi="Arial" w:eastAsia="黑体"/>
      <w:b/>
      <w:bCs/>
      <w:sz w:val="28"/>
      <w:szCs w:val="28"/>
    </w:rPr>
  </w:style>
  <w:style w:type="paragraph" w:styleId="848">
    <w:name w:val="普通(网站)11"/>
    <w:basedOn w:val="741"/>
    <w:next w:val="848"/>
    <w:link w:val="741"/>
    <w:qFormat/>
    <w:pPr>
      <w:jc w:val="left"/>
      <w:spacing w:before="100" w:beforeAutospacing="1" w:after="100" w:afterAutospacing="1"/>
    </w:pPr>
    <w:rPr>
      <w:sz w:val="24"/>
    </w:rPr>
  </w:style>
  <w:style w:type="paragraph" w:styleId="849">
    <w:name w:val="正文首行缩进1"/>
    <w:basedOn w:val="844"/>
    <w:next w:val="849"/>
    <w:link w:val="741"/>
    <w:qFormat/>
    <w:pPr>
      <w:ind w:firstLine="420"/>
      <w:spacing w:line="360" w:lineRule="auto"/>
    </w:pPr>
    <w:rPr>
      <w:rFonts w:ascii="Times New Roman" w:hAnsi="Times New Roman"/>
      <w:szCs w:val="21"/>
    </w:rPr>
  </w:style>
  <w:style w:type="paragraph" w:styleId="850">
    <w:name w:val="_Style 36"/>
    <w:basedOn w:val="741"/>
    <w:next w:val="794"/>
    <w:link w:val="741"/>
    <w:uiPriority w:val="34"/>
    <w:qFormat/>
    <w:pPr>
      <w:ind w:firstLine="420"/>
    </w:pPr>
    <w:rPr>
      <w:szCs w:val="24"/>
    </w:rPr>
  </w:style>
  <w:style w:type="character" w:styleId="16862" w:default="1">
    <w:name w:val="Default Paragraph Font"/>
    <w:uiPriority w:val="1"/>
    <w:semiHidden/>
    <w:unhideWhenUsed/>
  </w:style>
  <w:style w:type="numbering" w:styleId="16863" w:default="1">
    <w:name w:val="No List"/>
    <w:uiPriority w:val="99"/>
    <w:semiHidden/>
    <w:unhideWhenUsed/>
  </w:style>
  <w:style w:type="table" w:styleId="168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周燮</cp:lastModifiedBy>
  <cp:revision>4</cp:revision>
  <dcterms:created xsi:type="dcterms:W3CDTF">2026-04-19T13:02:00Z</dcterms:created>
  <dcterms:modified xsi:type="dcterms:W3CDTF">2026-05-07T08:06:56Z</dcterms:modified>
</cp:coreProperties>
</file>