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highlight w:val="none"/>
        </w:rPr>
      </w:pPr>
      <w:r>
        <w:rPr>
          <w:rFonts w:ascii="Arial" w:hAnsi="Arial" w:eastAsia="黑体"/>
          <w:b/>
          <w:bCs/>
          <w:color w:val="000000"/>
          <w:sz w:val="84"/>
          <w:szCs w:val="24"/>
          <w:highlight w:val="none"/>
        </w:rPr>
      </w:r>
      <w:r/>
    </w:p>
    <w:p>
      <w:pPr>
        <w:ind w:firstLine="1205"/>
        <w:spacing w:line="360" w:lineRule="auto"/>
        <w:rPr>
          <w:rFonts w:eastAsia="黑体"/>
          <w:b/>
          <w:bCs/>
          <w:sz w:val="84"/>
          <w:highlight w:val="none"/>
        </w:rPr>
      </w:pPr>
      <w:r>
        <w:rPr>
          <w:rFonts w:hint="eastAsia" w:eastAsia="黑体"/>
          <w:b/>
          <w:bCs/>
          <w:sz w:val="84"/>
          <w:highlight w:val="none"/>
        </w:rPr>
        <w:t xml:space="preserve">  招　标　文　件</w:t>
      </w:r>
      <w:r/>
    </w:p>
    <w:p>
      <w:pPr>
        <w:ind w:firstLine="1205"/>
        <w:spacing w:line="360" w:lineRule="auto"/>
        <w:rPr>
          <w:rFonts w:ascii="Arial" w:hAnsi="Arial" w:eastAsia="仿宋" w:cs="Arial"/>
          <w:b/>
          <w:color w:val="000000"/>
          <w:sz w:val="30"/>
          <w:szCs w:val="30"/>
          <w:highlight w:val="none"/>
        </w:rPr>
      </w:pPr>
      <w:r>
        <w:rPr>
          <w:rFonts w:ascii="Arial" w:hAnsi="Arial" w:eastAsia="仿宋" w:cs="Arial"/>
          <w:b/>
          <w:color w:val="000000"/>
          <w:sz w:val="30"/>
          <w:szCs w:val="30"/>
          <w:highlight w:val="none"/>
        </w:rPr>
      </w:r>
      <w:r/>
    </w:p>
    <w:p>
      <w:pPr>
        <w:ind w:firstLine="1205"/>
        <w:spacing w:line="360" w:lineRule="auto"/>
        <w:rPr>
          <w:rFonts w:ascii="Arial" w:hAnsi="Arial" w:eastAsia="仿宋" w:cs="Arial"/>
          <w:b/>
          <w:color w:val="000000"/>
          <w:sz w:val="30"/>
          <w:szCs w:val="30"/>
          <w:highlight w:val="none"/>
        </w:rPr>
      </w:pPr>
      <w:r>
        <w:rPr>
          <w:rFonts w:ascii="Arial" w:hAnsi="Arial" w:eastAsia="仿宋" w:cs="Arial"/>
          <w:b/>
          <w:color w:val="000000"/>
          <w:sz w:val="30"/>
          <w:szCs w:val="30"/>
          <w:highlight w:val="none"/>
        </w:rPr>
      </w:r>
      <w:r/>
    </w:p>
    <w:p>
      <w:pPr>
        <w:ind w:firstLine="1205"/>
        <w:spacing w:line="360" w:lineRule="auto"/>
        <w:rPr>
          <w:rFonts w:ascii="Arial" w:hAnsi="Arial" w:eastAsia="仿宋" w:cs="Arial"/>
          <w:b/>
          <w:color w:val="000000"/>
          <w:sz w:val="30"/>
          <w:szCs w:val="30"/>
          <w:highlight w:val="none"/>
        </w:rPr>
      </w:pPr>
      <w:r>
        <w:rPr>
          <w:rFonts w:ascii="Arial" w:hAnsi="Arial" w:eastAsia="仿宋" w:cs="Arial"/>
          <w:b/>
          <w:color w:val="000000"/>
          <w:sz w:val="30"/>
          <w:szCs w:val="30"/>
          <w:highlight w:val="none"/>
        </w:rPr>
      </w:r>
      <w:r/>
    </w:p>
    <w:p>
      <w:pPr>
        <w:ind w:firstLine="0"/>
        <w:jc w:val="center"/>
        <w:keepLines w:val="0"/>
        <w:keepNext w:val="0"/>
        <w:pageBreakBefore w:val="0"/>
        <w:spacing w:line="360" w:lineRule="auto"/>
        <w:widowControl w:val="off"/>
        <w:rPr>
          <w:rFonts w:hint="eastAsia" w:ascii="宋体" w:hAnsi="宋体" w:cs="宋体"/>
          <w:b/>
          <w:color w:val="000000"/>
          <w:sz w:val="30"/>
          <w:szCs w:val="30"/>
          <w:highlight w:val="none"/>
          <w:u w:val="single"/>
          <w:lang w:eastAsia="zh-CN"/>
        </w:rPr>
      </w:pPr>
      <w:r>
        <w:rPr>
          <w:rFonts w:hint="eastAsia" w:ascii="宋体" w:hAnsi="宋体" w:cs="宋体"/>
          <w:b/>
          <w:color w:val="000000"/>
          <w:sz w:val="30"/>
          <w:szCs w:val="30"/>
          <w:highlight w:val="none"/>
        </w:rPr>
        <w:t xml:space="preserve">项目名称：</w:t>
      </w:r>
      <w:r>
        <w:rPr>
          <w:rFonts w:hint="eastAsia" w:ascii="宋体" w:hAnsi="宋体" w:cs="宋体"/>
          <w:b/>
          <w:color w:val="000000"/>
          <w:sz w:val="30"/>
          <w:szCs w:val="30"/>
          <w:highlight w:val="none"/>
          <w:u w:val="single"/>
          <w:lang w:eastAsia="zh-CN"/>
        </w:rPr>
        <w:t xml:space="preserve">江苏省社会主义学院教育发展中心</w:t>
      </w:r>
      <w:r/>
    </w:p>
    <w:p>
      <w:pPr>
        <w:ind w:firstLine="0"/>
        <w:jc w:val="center"/>
        <w:keepLines w:val="0"/>
        <w:keepNext w:val="0"/>
        <w:pageBreakBefore w:val="0"/>
        <w:spacing w:line="360" w:lineRule="auto"/>
        <w:widowControl w:val="off"/>
        <w:rPr>
          <w:rFonts w:ascii="Arial" w:hAnsi="Arial" w:eastAsia="仿宋" w:cs="Arial"/>
          <w:b/>
          <w:color w:val="000000"/>
          <w:sz w:val="30"/>
          <w:szCs w:val="30"/>
          <w:highlight w:val="none"/>
          <w:u w:val="single"/>
        </w:rPr>
      </w:pPr>
      <w:r>
        <w:rPr>
          <w:rFonts w:hint="eastAsia" w:ascii="宋体" w:hAnsi="宋体" w:cs="宋体"/>
          <w:b/>
          <w:color w:val="000000"/>
          <w:sz w:val="30"/>
          <w:szCs w:val="30"/>
          <w:highlight w:val="none"/>
          <w:u w:val="single"/>
          <w:lang w:eastAsia="zh-CN"/>
        </w:rPr>
        <w:t xml:space="preserve">主副食品采购及配送服务</w:t>
      </w:r>
      <w:r/>
    </w:p>
    <w:p>
      <w:pPr>
        <w:ind w:firstLine="1506"/>
        <w:jc w:val="both"/>
        <w:keepLines w:val="0"/>
        <w:keepNext w:val="0"/>
        <w:pageBreakBefore w:val="0"/>
        <w:spacing w:line="360" w:lineRule="auto"/>
        <w:widowControl w:val="off"/>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项目编号</w:t>
      </w:r>
      <w:r>
        <w:rPr>
          <w:rFonts w:ascii="宋体" w:hAnsi="宋体" w:cs="宋体"/>
          <w:b/>
          <w:color w:val="000000"/>
          <w:sz w:val="30"/>
          <w:szCs w:val="30"/>
          <w:highlight w:val="none"/>
        </w:rPr>
        <w:t xml:space="preserve">：</w:t>
      </w:r>
      <w:r>
        <w:rPr>
          <w:rFonts w:hint="eastAsia" w:ascii="宋体" w:hAnsi="宋体" w:cs="宋体"/>
          <w:b/>
          <w:color w:val="000000"/>
          <w:sz w:val="30"/>
          <w:szCs w:val="30"/>
          <w:highlight w:val="none"/>
          <w:u w:val="single"/>
          <w:lang w:val="en-US" w:eastAsia="zh-CN"/>
        </w:rPr>
        <w:t xml:space="preserve">JSZC-320000-ZCZB-G2026-0004</w:t>
      </w:r>
      <w:r/>
    </w:p>
    <w:p>
      <w:pPr>
        <w:ind w:firstLine="602"/>
        <w:spacing w:line="360" w:lineRule="auto"/>
        <w:rPr>
          <w:rFonts w:ascii="宋体" w:hAnsi="宋体" w:cs="宋体"/>
          <w:b/>
          <w:color w:val="000000"/>
          <w:sz w:val="30"/>
          <w:szCs w:val="30"/>
          <w:highlight w:val="none"/>
        </w:rPr>
      </w:pPr>
      <w:r>
        <w:rPr>
          <w:rFonts w:ascii="宋体" w:hAnsi="宋体" w:cs="宋体"/>
          <w:b/>
          <w:color w:val="000000"/>
          <w:sz w:val="30"/>
          <w:szCs w:val="30"/>
          <w:highlight w:val="none"/>
        </w:rPr>
      </w:r>
      <w:r/>
    </w:p>
    <w:p>
      <w:pPr>
        <w:jc w:val="center"/>
        <w:spacing w:line="360" w:lineRule="auto"/>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w:t>
      </w:r>
      <w:r>
        <w:rPr>
          <w:rFonts w:hint="eastAsia" w:ascii="宋体" w:hAnsi="宋体" w:cs="宋体"/>
          <w:b/>
          <w:color w:val="000000"/>
          <w:sz w:val="30"/>
          <w:szCs w:val="30"/>
          <w:highlight w:val="none"/>
          <w:lang w:val="en-US" w:eastAsia="zh-CN"/>
        </w:rPr>
        <w:t xml:space="preserve">服务</w:t>
      </w:r>
      <w:r>
        <w:rPr>
          <w:rFonts w:hint="eastAsia"/>
          <w:b/>
          <w:sz w:val="30"/>
          <w:szCs w:val="30"/>
          <w:highlight w:val="none"/>
        </w:rPr>
        <w:t xml:space="preserve">类项目</w:t>
      </w:r>
      <w:r>
        <w:rPr>
          <w:rFonts w:hint="eastAsia" w:ascii="宋体" w:hAnsi="宋体" w:cs="宋体"/>
          <w:b/>
          <w:color w:val="000000"/>
          <w:sz w:val="30"/>
          <w:szCs w:val="30"/>
          <w:highlight w:val="none"/>
        </w:rPr>
        <w:t xml:space="preserve">，非专门面向中小企业）</w:t>
      </w:r>
      <w:r/>
    </w:p>
    <w:p>
      <w:pPr>
        <w:jc w:val="center"/>
        <w:spacing w:line="360" w:lineRule="auto"/>
        <w:rPr>
          <w:b/>
          <w:sz w:val="30"/>
          <w:szCs w:val="30"/>
          <w:highlight w:val="none"/>
        </w:rPr>
      </w:pPr>
      <w:r>
        <w:rPr>
          <w:b/>
          <w:sz w:val="30"/>
          <w:szCs w:val="30"/>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260"/>
        <w:ind w:firstLine="0"/>
        <w:jc w:val="center"/>
        <w:spacing w:before="63" w:line="240" w:lineRule="auto"/>
        <w:rPr>
          <w:rFonts w:hint="eastAsia" w:ascii="宋体" w:hAnsi="宋体" w:cs="宋体" w:eastAsiaTheme="minorEastAsia"/>
          <w:b/>
          <w:bCs/>
          <w:sz w:val="32"/>
          <w:szCs w:val="32"/>
          <w:highlight w:val="none"/>
          <w:lang w:eastAsia="zh-CN"/>
        </w:rPr>
      </w:pPr>
      <w:r>
        <w:rPr>
          <w:rFonts w:hint="eastAsia" w:ascii="宋体" w:hAnsi="宋体" w:cs="宋体"/>
          <w:b/>
          <w:bCs/>
          <w:sz w:val="32"/>
          <w:szCs w:val="32"/>
          <w:highlight w:val="none"/>
        </w:rPr>
        <w:t xml:space="preserve">采 购 人：</w:t>
      </w:r>
      <w:r>
        <w:rPr>
          <w:rFonts w:hint="eastAsia" w:ascii="宋体" w:hAnsi="宋体" w:cs="宋体"/>
          <w:b/>
          <w:bCs/>
          <w:sz w:val="32"/>
          <w:szCs w:val="32"/>
          <w:highlight w:val="none"/>
          <w:lang w:eastAsia="zh-CN"/>
        </w:rPr>
        <w:t xml:space="preserve">江苏省社会主义学院教育发展中心</w:t>
      </w:r>
      <w:r/>
    </w:p>
    <w:p>
      <w:pPr>
        <w:pStyle w:val="1260"/>
        <w:ind w:firstLine="1606"/>
        <w:spacing w:before="63" w:line="240" w:lineRule="auto"/>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lang w:val="en-US" w:eastAsia="zh-CN"/>
        </w:rPr>
        <w:t xml:space="preserve">代理机构</w:t>
      </w:r>
      <w:r>
        <w:rPr>
          <w:rFonts w:hint="eastAsia" w:ascii="宋体" w:hAnsi="宋体" w:cs="宋体"/>
          <w:b/>
          <w:bCs/>
          <w:sz w:val="32"/>
          <w:szCs w:val="32"/>
          <w:highlight w:val="none"/>
        </w:rPr>
        <w:t xml:space="preserve">：</w:t>
      </w:r>
      <w:r>
        <w:rPr>
          <w:rFonts w:hint="eastAsia" w:ascii="宋体" w:hAnsi="宋体" w:cs="宋体"/>
          <w:b/>
          <w:bCs/>
          <w:sz w:val="32"/>
          <w:szCs w:val="32"/>
          <w:highlight w:val="none"/>
          <w:lang w:eastAsia="zh-CN"/>
        </w:rPr>
        <w:t xml:space="preserve">江苏臻采招标代理有限公司</w:t>
      </w:r>
      <w:r/>
    </w:p>
    <w:p>
      <w:pPr>
        <w:pStyle w:val="1260"/>
        <w:ind w:firstLine="0"/>
        <w:jc w:val="center"/>
        <w:spacing w:before="63" w:line="240" w:lineRule="auto"/>
        <w:rPr>
          <w:rFonts w:hint="eastAsia" w:ascii="宋体" w:hAnsi="宋体" w:cs="宋体"/>
          <w:b/>
          <w:bCs/>
          <w:sz w:val="32"/>
          <w:szCs w:val="32"/>
          <w:highlight w:val="none"/>
        </w:rPr>
        <w:sectPr>
          <w:headerReference w:type="default" r:id="rId9"/>
          <w:headerReference w:type="first" r:id="rId10"/>
          <w:footerReference w:type="default" r:id="rId14"/>
          <w:footnotePr/>
          <w:endnotePr/>
          <w:type w:val="nextPage"/>
          <w:pgSz w:w="11906" w:h="16838" w:orient="portrait"/>
          <w:pgMar w:top="1418" w:right="1361" w:bottom="1418" w:left="1365" w:header="851" w:footer="907" w:gutter="0"/>
          <w:cols w:num="1" w:sep="0" w:space="1701" w:equalWidth="1"/>
          <w:docGrid w:linePitch="360"/>
        </w:sectPr>
      </w:pPr>
      <w:r>
        <w:rPr>
          <w:rFonts w:hint="eastAsia" w:ascii="宋体" w:hAnsi="宋体" w:cs="宋体"/>
          <w:b/>
          <w:bCs/>
          <w:sz w:val="32"/>
          <w:szCs w:val="32"/>
          <w:highlight w:val="none"/>
        </w:rPr>
        <w:t xml:space="preserve">二 ○ 二 </w:t>
      </w:r>
      <w:r>
        <w:rPr>
          <w:rFonts w:hint="eastAsia" w:ascii="宋体" w:hAnsi="宋体" w:cs="宋体"/>
          <w:b/>
          <w:bCs/>
          <w:sz w:val="32"/>
          <w:szCs w:val="32"/>
          <w:highlight w:val="none"/>
          <w:lang w:val="en-US" w:eastAsia="zh-CN"/>
        </w:rPr>
        <w:t xml:space="preserve">六</w:t>
      </w:r>
      <w:r>
        <w:rPr>
          <w:rFonts w:hint="eastAsia" w:ascii="宋体" w:hAnsi="宋体" w:cs="宋体"/>
          <w:b/>
          <w:bCs/>
          <w:sz w:val="32"/>
          <w:szCs w:val="32"/>
          <w:highlight w:val="none"/>
        </w:rPr>
        <w:t xml:space="preserve"> 年 </w:t>
      </w:r>
      <w:r>
        <w:rPr>
          <w:rFonts w:hint="eastAsia" w:ascii="宋体" w:hAnsi="宋体" w:cs="宋体"/>
          <w:b/>
          <w:bCs/>
          <w:sz w:val="32"/>
          <w:szCs w:val="32"/>
          <w:highlight w:val="none"/>
          <w:lang w:val="en-US" w:eastAsia="zh-CN"/>
        </w:rPr>
        <w:t xml:space="preserve">五 </w:t>
      </w:r>
      <w:r>
        <w:rPr>
          <w:rFonts w:hint="eastAsia" w:ascii="宋体" w:hAnsi="宋体" w:cs="宋体"/>
          <w:b/>
          <w:bCs/>
          <w:sz w:val="32"/>
          <w:szCs w:val="32"/>
          <w:highlight w:val="none"/>
        </w:rPr>
        <w:t xml:space="preserve">月</w:t>
      </w:r>
      <w:r/>
    </w:p>
    <w:p>
      <w:pPr>
        <w:pStyle w:val="1260"/>
        <w:ind w:firstLine="0"/>
        <w:jc w:val="center"/>
        <w:spacing w:before="63" w:line="240" w:lineRule="auto"/>
        <w:rPr>
          <w:rFonts w:hint="eastAsia" w:ascii="宋体" w:hAnsi="宋体" w:cs="宋体"/>
          <w:b/>
          <w:bCs/>
          <w:sz w:val="32"/>
          <w:szCs w:val="32"/>
          <w:highlight w:val="none"/>
        </w:rPr>
      </w:pPr>
      <w:r>
        <w:rPr>
          <w:rFonts w:hint="eastAsia" w:ascii="宋体" w:hAnsi="宋体" w:cs="宋体"/>
          <w:b/>
          <w:bCs/>
          <w:sz w:val="32"/>
          <w:szCs w:val="32"/>
          <w:highlight w:val="none"/>
        </w:rPr>
      </w:r>
      <w:r/>
    </w:p>
    <w:sdt>
      <w:sdtPr>
        <w15:appearance w15:val="boundingBox"/>
        <w15:color w:val="dbdbdb"/>
        <w:id w:val="147480263"/>
        <w:docPartObj>
          <w:docPartGallery w:val="Table of Contents"/>
          <w:docPartUnique w:val="true"/>
        </w:docPartObj>
        <w:rPr>
          <w:rFonts w:hint="default" w:ascii="宋体" w:hAnsi="宋体" w:eastAsia="宋体" w:cs="Times New Roman"/>
          <w:b/>
          <w:bCs/>
          <w:sz w:val="40"/>
          <w:szCs w:val="44"/>
          <w:highlight w:val="none"/>
          <w:lang w:val="en-US" w:eastAsia="zh-CN" w:bidi="ar-SA"/>
        </w:rPr>
      </w:sdtPr>
      <w:sdtContent>
        <w:p>
          <w:pPr>
            <w:ind w:left="0" w:right="0" w:firstLine="0"/>
            <w:jc w:val="center"/>
            <w:spacing w:before="0" w:after="0" w:line="360" w:lineRule="auto"/>
            <w:rPr>
              <w:b/>
              <w:bCs/>
              <w:sz w:val="40"/>
              <w:szCs w:val="44"/>
              <w:highlight w:val="none"/>
            </w:rPr>
          </w:pPr>
          <w:r>
            <w:rPr>
              <w:rFonts w:ascii="宋体" w:hAnsi="宋体" w:eastAsia="宋体"/>
              <w:b/>
              <w:bCs/>
              <w:sz w:val="40"/>
              <w:szCs w:val="44"/>
              <w:highlight w:val="none"/>
            </w:rPr>
            <w:t xml:space="preserve">目</w:t>
          </w:r>
          <w:r>
            <w:rPr>
              <w:rFonts w:hint="eastAsia" w:ascii="宋体" w:hAnsi="宋体"/>
              <w:b/>
              <w:bCs/>
              <w:sz w:val="40"/>
              <w:szCs w:val="44"/>
              <w:highlight w:val="none"/>
              <w:lang w:val="en-US" w:eastAsia="zh-CN"/>
            </w:rPr>
            <w:t xml:space="preserve">  </w:t>
          </w:r>
          <w:r>
            <w:rPr>
              <w:rFonts w:ascii="宋体" w:hAnsi="宋体" w:eastAsia="宋体"/>
              <w:b/>
              <w:bCs/>
              <w:sz w:val="40"/>
              <w:szCs w:val="44"/>
              <w:highlight w:val="none"/>
            </w:rPr>
            <w:t xml:space="preserve">录</w:t>
          </w:r>
          <w:r/>
        </w:p>
        <w:p>
          <w:pPr>
            <w:pStyle w:val="932"/>
            <w:tabs>
              <w:tab w:val="right" w:pos="9180" w:leader="dot"/>
            </w:tabs>
            <w:rPr>
              <w:highlight w:val="none"/>
            </w:rPr>
          </w:pPr>
          <w:r>
            <w:rPr>
              <w:rFonts w:hint="eastAsia" w:ascii="Times New Roman" w:hAnsi="Times New Roman"/>
              <w:b/>
              <w:bCs/>
              <w:sz w:val="32"/>
              <w:highlight w:val="none"/>
            </w:rPr>
            <w:fldChar w:fldCharType="begin"/>
          </w:r>
          <w:r>
            <w:rPr>
              <w:rFonts w:hint="eastAsia" w:ascii="Times New Roman" w:hAnsi="Times New Roman"/>
              <w:b/>
              <w:bCs/>
              <w:sz w:val="32"/>
              <w:highlight w:val="none"/>
            </w:rPr>
            <w:instrText xml:space="preserve">TOC \o "1-1" \h \u </w:instrText>
          </w:r>
          <w:r>
            <w:rPr>
              <w:rFonts w:hint="eastAsia" w:ascii="Times New Roman" w:hAnsi="Times New Roman"/>
              <w:b/>
              <w:bCs/>
              <w:sz w:val="32"/>
              <w:highlight w:val="none"/>
            </w:rPr>
            <w:fldChar w:fldCharType="separate"/>
          </w:r>
          <w:r>
            <w:rPr>
              <w:rFonts w:hint="eastAsia" w:ascii="Times New Roman" w:hAnsi="Times New Roman"/>
              <w:bCs/>
              <w:highlight w:val="none"/>
            </w:rPr>
            <w:fldChar w:fldCharType="begin"/>
          </w:r>
          <w:r>
            <w:rPr>
              <w:rFonts w:hint="eastAsia" w:ascii="Times New Roman" w:hAnsi="Times New Roman"/>
              <w:bCs/>
              <w:highlight w:val="none"/>
            </w:rPr>
            <w:instrText xml:space="preserve"> HYPERLINK \l _Toc32362 </w:instrText>
          </w:r>
          <w:r>
            <w:rPr>
              <w:rFonts w:hint="eastAsia" w:ascii="Times New Roman" w:hAnsi="Times New Roman"/>
              <w:bCs/>
              <w:highlight w:val="none"/>
            </w:rPr>
            <w:fldChar w:fldCharType="separate"/>
          </w:r>
          <w:r>
            <w:rPr>
              <w:rFonts w:hint="eastAsia" w:ascii="黑体" w:hAnsi="黑体" w:eastAsia="黑体" w:cs="黑体"/>
              <w:szCs w:val="44"/>
              <w:highlight w:val="none"/>
            </w:rPr>
            <w:t xml:space="preserve">第一章  投标邀请</w:t>
          </w:r>
          <w:r>
            <w:rPr>
              <w:highlight w:val="none"/>
            </w:rPr>
            <w:tab/>
          </w:r>
          <w:r>
            <w:rPr>
              <w:highlight w:val="none"/>
            </w:rPr>
            <w:fldChar w:fldCharType="begin"/>
          </w:r>
          <w:r>
            <w:rPr>
              <w:highlight w:val="none"/>
            </w:rPr>
            <w:instrText xml:space="preserve"> PAGEREF _Toc32362 \h </w:instrText>
          </w:r>
          <w:r>
            <w:rPr>
              <w:highlight w:val="none"/>
            </w:rPr>
            <w:fldChar w:fldCharType="separate"/>
          </w:r>
          <w:r>
            <w:rPr>
              <w:highlight w:val="none"/>
            </w:rPr>
            <w:t xml:space="preserve">1</w:t>
          </w:r>
          <w:r>
            <w:rPr>
              <w:highlight w:val="none"/>
            </w:rPr>
            <w:fldChar w:fldCharType="end"/>
          </w:r>
          <w:r>
            <w:rPr>
              <w:rFonts w:hint="eastAsia" w:ascii="Times New Roman" w:hAnsi="Times New Roman"/>
              <w:bCs/>
              <w:highlight w:val="none"/>
            </w:rPr>
            <w:fldChar w:fldCharType="end"/>
          </w:r>
          <w:r/>
        </w:p>
        <w:p>
          <w:pPr>
            <w:pStyle w:val="932"/>
            <w:tabs>
              <w:tab w:val="right" w:pos="9180" w:leader="dot"/>
            </w:tabs>
            <w:rPr>
              <w:highlight w:val="none"/>
            </w:rPr>
          </w:pPr>
          <w:r>
            <w:rPr>
              <w:rFonts w:hint="eastAsia" w:ascii="Times New Roman" w:hAnsi="Times New Roman"/>
              <w:bCs/>
              <w:highlight w:val="none"/>
            </w:rPr>
            <w:fldChar w:fldCharType="begin"/>
          </w:r>
          <w:r>
            <w:rPr>
              <w:rFonts w:hint="eastAsia" w:ascii="Times New Roman" w:hAnsi="Times New Roman"/>
              <w:bCs/>
              <w:highlight w:val="none"/>
            </w:rPr>
            <w:instrText xml:space="preserve"> HYPERLINK \l _Toc18777 </w:instrText>
          </w:r>
          <w:r>
            <w:rPr>
              <w:rFonts w:hint="eastAsia" w:ascii="Times New Roman" w:hAnsi="Times New Roman"/>
              <w:bCs/>
              <w:highlight w:val="none"/>
            </w:rPr>
            <w:fldChar w:fldCharType="separate"/>
          </w:r>
          <w:r>
            <w:rPr>
              <w:rFonts w:hint="eastAsia" w:ascii="黑体" w:hAnsi="黑体" w:eastAsia="黑体" w:cs="黑体"/>
              <w:szCs w:val="44"/>
              <w:highlight w:val="none"/>
            </w:rPr>
            <w:t xml:space="preserve">第二章  投标人须知</w:t>
          </w:r>
          <w:r>
            <w:rPr>
              <w:highlight w:val="none"/>
            </w:rPr>
            <w:tab/>
          </w:r>
          <w:r>
            <w:rPr>
              <w:highlight w:val="none"/>
            </w:rPr>
            <w:fldChar w:fldCharType="begin"/>
          </w:r>
          <w:r>
            <w:rPr>
              <w:highlight w:val="none"/>
            </w:rPr>
            <w:instrText xml:space="preserve"> PAGEREF _Toc18777 \h </w:instrText>
          </w:r>
          <w:r>
            <w:rPr>
              <w:highlight w:val="none"/>
            </w:rPr>
            <w:fldChar w:fldCharType="separate"/>
          </w:r>
          <w:r>
            <w:rPr>
              <w:highlight w:val="none"/>
            </w:rPr>
            <w:t xml:space="preserve">6</w:t>
          </w:r>
          <w:r>
            <w:rPr>
              <w:highlight w:val="none"/>
            </w:rPr>
            <w:fldChar w:fldCharType="end"/>
          </w:r>
          <w:r>
            <w:rPr>
              <w:rFonts w:hint="eastAsia" w:ascii="Times New Roman" w:hAnsi="Times New Roman"/>
              <w:bCs/>
              <w:highlight w:val="none"/>
            </w:rPr>
            <w:fldChar w:fldCharType="end"/>
          </w:r>
          <w:r/>
        </w:p>
        <w:p>
          <w:pPr>
            <w:pStyle w:val="932"/>
            <w:tabs>
              <w:tab w:val="right" w:pos="9180" w:leader="dot"/>
            </w:tabs>
            <w:rPr>
              <w:highlight w:val="none"/>
            </w:rPr>
          </w:pPr>
          <w:r>
            <w:rPr>
              <w:rFonts w:hint="eastAsia" w:ascii="Times New Roman" w:hAnsi="Times New Roman"/>
              <w:bCs/>
              <w:highlight w:val="none"/>
            </w:rPr>
            <w:fldChar w:fldCharType="begin"/>
          </w:r>
          <w:r>
            <w:rPr>
              <w:rFonts w:hint="eastAsia" w:ascii="Times New Roman" w:hAnsi="Times New Roman"/>
              <w:bCs/>
              <w:highlight w:val="none"/>
            </w:rPr>
            <w:instrText xml:space="preserve"> HYPERLINK \l _Toc8998 </w:instrText>
          </w:r>
          <w:r>
            <w:rPr>
              <w:rFonts w:hint="eastAsia" w:ascii="Times New Roman" w:hAnsi="Times New Roman"/>
              <w:bCs/>
              <w:highlight w:val="none"/>
            </w:rPr>
            <w:fldChar w:fldCharType="separate"/>
          </w:r>
          <w:r>
            <w:rPr>
              <w:rFonts w:hint="eastAsia" w:ascii="黑体" w:hAnsi="黑体" w:eastAsia="黑体" w:cs="黑体"/>
              <w:szCs w:val="44"/>
              <w:highlight w:val="none"/>
              <w:lang w:val="en-US" w:eastAsia="zh-CN"/>
            </w:rPr>
            <w:t xml:space="preserve">第三章  合同文本</w:t>
          </w:r>
          <w:r>
            <w:rPr>
              <w:highlight w:val="none"/>
            </w:rPr>
            <w:tab/>
          </w:r>
          <w:r>
            <w:rPr>
              <w:highlight w:val="none"/>
            </w:rPr>
            <w:fldChar w:fldCharType="begin"/>
          </w:r>
          <w:r>
            <w:rPr>
              <w:highlight w:val="none"/>
            </w:rPr>
            <w:instrText xml:space="preserve"> PAGEREF _Toc8998 \h </w:instrText>
          </w:r>
          <w:r>
            <w:rPr>
              <w:highlight w:val="none"/>
            </w:rPr>
            <w:fldChar w:fldCharType="separate"/>
          </w:r>
          <w:r>
            <w:rPr>
              <w:highlight w:val="none"/>
            </w:rPr>
            <w:t xml:space="preserve">17</w:t>
          </w:r>
          <w:r>
            <w:rPr>
              <w:highlight w:val="none"/>
            </w:rPr>
            <w:fldChar w:fldCharType="end"/>
          </w:r>
          <w:r>
            <w:rPr>
              <w:rFonts w:hint="eastAsia" w:ascii="Times New Roman" w:hAnsi="Times New Roman"/>
              <w:bCs/>
              <w:highlight w:val="none"/>
            </w:rPr>
            <w:fldChar w:fldCharType="end"/>
          </w:r>
          <w:r/>
        </w:p>
        <w:p>
          <w:pPr>
            <w:pStyle w:val="932"/>
            <w:tabs>
              <w:tab w:val="right" w:pos="9180" w:leader="dot"/>
            </w:tabs>
            <w:rPr>
              <w:highlight w:val="none"/>
            </w:rPr>
          </w:pPr>
          <w:r>
            <w:rPr>
              <w:rFonts w:hint="eastAsia" w:ascii="Times New Roman" w:hAnsi="Times New Roman"/>
              <w:bCs/>
              <w:highlight w:val="none"/>
            </w:rPr>
            <w:fldChar w:fldCharType="begin"/>
          </w:r>
          <w:r>
            <w:rPr>
              <w:rFonts w:hint="eastAsia" w:ascii="Times New Roman" w:hAnsi="Times New Roman"/>
              <w:bCs/>
              <w:highlight w:val="none"/>
            </w:rPr>
            <w:instrText xml:space="preserve"> HYPERLINK \l _Toc22624 </w:instrText>
          </w:r>
          <w:r>
            <w:rPr>
              <w:rFonts w:hint="eastAsia" w:ascii="Times New Roman" w:hAnsi="Times New Roman"/>
              <w:bCs/>
              <w:highlight w:val="none"/>
            </w:rPr>
            <w:fldChar w:fldCharType="separate"/>
          </w:r>
          <w:r>
            <w:rPr>
              <w:rFonts w:hint="eastAsia" w:ascii="黑体" w:hAnsi="黑体" w:eastAsia="黑体" w:cs="黑体"/>
              <w:szCs w:val="44"/>
              <w:highlight w:val="none"/>
              <w:lang w:val="en-US" w:eastAsia="zh-CN"/>
            </w:rPr>
            <w:t xml:space="preserve">第四章  采购需求</w:t>
          </w:r>
          <w:r>
            <w:rPr>
              <w:highlight w:val="none"/>
            </w:rPr>
            <w:tab/>
          </w:r>
          <w:r>
            <w:rPr>
              <w:highlight w:val="none"/>
            </w:rPr>
            <w:fldChar w:fldCharType="begin"/>
          </w:r>
          <w:r>
            <w:rPr>
              <w:highlight w:val="none"/>
            </w:rPr>
            <w:instrText xml:space="preserve"> PAGEREF _Toc22624 \h </w:instrText>
          </w:r>
          <w:r>
            <w:rPr>
              <w:highlight w:val="none"/>
            </w:rPr>
            <w:fldChar w:fldCharType="separate"/>
          </w:r>
          <w:r>
            <w:rPr>
              <w:highlight w:val="none"/>
            </w:rPr>
            <w:t xml:space="preserve">21</w:t>
          </w:r>
          <w:r>
            <w:rPr>
              <w:highlight w:val="none"/>
            </w:rPr>
            <w:fldChar w:fldCharType="end"/>
          </w:r>
          <w:r>
            <w:rPr>
              <w:rFonts w:hint="eastAsia" w:ascii="Times New Roman" w:hAnsi="Times New Roman"/>
              <w:bCs/>
              <w:highlight w:val="none"/>
            </w:rPr>
            <w:fldChar w:fldCharType="end"/>
          </w:r>
          <w:r/>
        </w:p>
        <w:p>
          <w:pPr>
            <w:pStyle w:val="932"/>
            <w:tabs>
              <w:tab w:val="right" w:pos="9180" w:leader="dot"/>
            </w:tabs>
            <w:rPr>
              <w:highlight w:val="none"/>
            </w:rPr>
          </w:pPr>
          <w:r>
            <w:rPr>
              <w:rFonts w:hint="eastAsia" w:ascii="Times New Roman" w:hAnsi="Times New Roman"/>
              <w:bCs/>
              <w:highlight w:val="none"/>
            </w:rPr>
            <w:fldChar w:fldCharType="begin"/>
          </w:r>
          <w:r>
            <w:rPr>
              <w:rFonts w:hint="eastAsia" w:ascii="Times New Roman" w:hAnsi="Times New Roman"/>
              <w:bCs/>
              <w:highlight w:val="none"/>
            </w:rPr>
            <w:instrText xml:space="preserve"> HYPERLINK \l _Toc22908 </w:instrText>
          </w:r>
          <w:r>
            <w:rPr>
              <w:rFonts w:hint="eastAsia" w:ascii="Times New Roman" w:hAnsi="Times New Roman"/>
              <w:bCs/>
              <w:highlight w:val="none"/>
            </w:rPr>
            <w:fldChar w:fldCharType="separate"/>
          </w:r>
          <w:r>
            <w:rPr>
              <w:rFonts w:hint="eastAsia" w:ascii="黑体" w:hAnsi="黑体" w:eastAsia="黑体" w:cs="黑体"/>
              <w:szCs w:val="44"/>
              <w:highlight w:val="none"/>
              <w:lang w:val="en-US" w:eastAsia="zh-CN" w:bidi="ar-SA"/>
            </w:rPr>
            <w:t xml:space="preserve">第五章  评标方法与评标标准</w:t>
          </w:r>
          <w:r>
            <w:rPr>
              <w:highlight w:val="none"/>
            </w:rPr>
            <w:tab/>
          </w:r>
          <w:r>
            <w:rPr>
              <w:highlight w:val="none"/>
            </w:rPr>
            <w:fldChar w:fldCharType="begin"/>
          </w:r>
          <w:r>
            <w:rPr>
              <w:highlight w:val="none"/>
            </w:rPr>
            <w:instrText xml:space="preserve"> PAGEREF _Toc22908 \h </w:instrText>
          </w:r>
          <w:r>
            <w:rPr>
              <w:highlight w:val="none"/>
            </w:rPr>
            <w:fldChar w:fldCharType="separate"/>
          </w:r>
          <w:r>
            <w:rPr>
              <w:highlight w:val="none"/>
            </w:rPr>
            <w:t xml:space="preserve">28</w:t>
          </w:r>
          <w:r>
            <w:rPr>
              <w:highlight w:val="none"/>
            </w:rPr>
            <w:fldChar w:fldCharType="end"/>
          </w:r>
          <w:r>
            <w:rPr>
              <w:rFonts w:hint="eastAsia" w:ascii="Times New Roman" w:hAnsi="Times New Roman"/>
              <w:bCs/>
              <w:highlight w:val="none"/>
            </w:rPr>
            <w:fldChar w:fldCharType="end"/>
          </w:r>
          <w:r/>
        </w:p>
        <w:p>
          <w:pPr>
            <w:pStyle w:val="932"/>
            <w:tabs>
              <w:tab w:val="right" w:pos="9180" w:leader="dot"/>
            </w:tabs>
            <w:rPr>
              <w:highlight w:val="none"/>
            </w:rPr>
          </w:pPr>
          <w:r>
            <w:rPr>
              <w:rFonts w:hint="eastAsia" w:ascii="Times New Roman" w:hAnsi="Times New Roman"/>
              <w:bCs/>
              <w:highlight w:val="none"/>
            </w:rPr>
            <w:fldChar w:fldCharType="begin"/>
          </w:r>
          <w:r>
            <w:rPr>
              <w:rFonts w:hint="eastAsia" w:ascii="Times New Roman" w:hAnsi="Times New Roman"/>
              <w:bCs/>
              <w:highlight w:val="none"/>
            </w:rPr>
            <w:instrText xml:space="preserve"> HYPERLINK \l _Toc31167 </w:instrText>
          </w:r>
          <w:r>
            <w:rPr>
              <w:rFonts w:hint="eastAsia" w:ascii="Times New Roman" w:hAnsi="Times New Roman"/>
              <w:bCs/>
              <w:highlight w:val="none"/>
            </w:rPr>
            <w:fldChar w:fldCharType="separate"/>
          </w:r>
          <w:r>
            <w:rPr>
              <w:rFonts w:hint="eastAsia" w:ascii="黑体" w:hAnsi="黑体" w:eastAsia="黑体" w:cs="黑体"/>
              <w:szCs w:val="44"/>
              <w:highlight w:val="none"/>
            </w:rPr>
            <w:t xml:space="preserve">第六章  投标文件格式</w:t>
          </w:r>
          <w:r>
            <w:rPr>
              <w:highlight w:val="none"/>
            </w:rPr>
            <w:tab/>
          </w:r>
          <w:r>
            <w:rPr>
              <w:highlight w:val="none"/>
            </w:rPr>
            <w:fldChar w:fldCharType="begin"/>
          </w:r>
          <w:r>
            <w:rPr>
              <w:highlight w:val="none"/>
            </w:rPr>
            <w:instrText xml:space="preserve"> PAGEREF _Toc31167 \h </w:instrText>
          </w:r>
          <w:r>
            <w:rPr>
              <w:highlight w:val="none"/>
            </w:rPr>
            <w:fldChar w:fldCharType="separate"/>
          </w:r>
          <w:r>
            <w:rPr>
              <w:highlight w:val="none"/>
            </w:rPr>
            <w:t xml:space="preserve">34</w:t>
          </w:r>
          <w:r>
            <w:rPr>
              <w:highlight w:val="none"/>
            </w:rPr>
            <w:fldChar w:fldCharType="end"/>
          </w:r>
          <w:r>
            <w:rPr>
              <w:rFonts w:hint="eastAsia" w:ascii="Times New Roman" w:hAnsi="Times New Roman"/>
              <w:bCs/>
              <w:highlight w:val="none"/>
            </w:rPr>
            <w:fldChar w:fldCharType="end"/>
          </w:r>
          <w:r/>
        </w:p>
        <w:p>
          <w:pPr>
            <w:pStyle w:val="1260"/>
            <w:ind w:firstLine="0"/>
            <w:jc w:val="center"/>
            <w:spacing w:line="360" w:lineRule="auto"/>
            <w:rPr>
              <w:rFonts w:hint="eastAsia" w:ascii="Times New Roman" w:hAnsi="Times New Roman"/>
              <w:b/>
              <w:bCs/>
              <w:sz w:val="32"/>
              <w:highlight w:val="none"/>
            </w:rPr>
          </w:pPr>
          <w:r>
            <w:rPr>
              <w:rFonts w:hint="eastAsia" w:ascii="Times New Roman" w:hAnsi="Times New Roman"/>
              <w:bCs/>
              <w:highlight w:val="none"/>
            </w:rPr>
            <w:fldChar w:fldCharType="end"/>
          </w:r>
          <w:r/>
        </w:p>
      </w:sdtContent>
    </w:sdt>
    <w:p>
      <w:pPr>
        <w:shd w:val="nil"/>
        <w:rPr>
          <w:rFonts w:hint="eastAsia" w:ascii="黑体" w:hAnsi="黑体" w:eastAsia="黑体" w:cs="黑体"/>
          <w:color w:val="000000"/>
          <w:sz w:val="44"/>
          <w:szCs w:val="44"/>
          <w:highlight w:val="none"/>
        </w:rPr>
      </w:pPr>
      <w:r>
        <w:rPr>
          <w:highlight w:val="none"/>
        </w:rPr>
        <w:br w:type="page" w:clear="all"/>
      </w:r>
      <w:r>
        <w:rPr>
          <w:highlight w:val="none"/>
        </w:rPr>
      </w:r>
    </w:p>
    <w:p>
      <w:pPr>
        <w:pStyle w:val="907"/>
        <w:jc w:val="center"/>
        <w:spacing w:line="360" w:lineRule="auto"/>
        <w:rPr>
          <w:highlight w:val="none"/>
        </w:rPr>
      </w:pPr>
      <w:r/>
      <w:bookmarkStart w:id="0" w:name="_Toc120614210"/>
      <w:r/>
      <w:bookmarkStart w:id="1" w:name="_Toc32362"/>
      <w:r/>
      <w:bookmarkStart w:id="2" w:name="_Toc523127445"/>
      <w:r/>
      <w:bookmarkStart w:id="3" w:name="_Toc513029200"/>
      <w:r/>
      <w:bookmarkStart w:id="4" w:name="_Toc20823272"/>
      <w:r/>
      <w:bookmarkStart w:id="5" w:name="_Toc16938516"/>
      <w:r/>
      <w:bookmarkStart w:id="6" w:name="_Toc479757206"/>
      <w:r>
        <w:rPr>
          <w:rFonts w:hint="eastAsia" w:ascii="黑体" w:hAnsi="黑体" w:eastAsia="黑体" w:cs="黑体"/>
          <w:sz w:val="44"/>
          <w:szCs w:val="44"/>
          <w:highlight w:val="none"/>
        </w:rPr>
        <w:t xml:space="preserve">第一章  </w:t>
      </w:r>
      <w:bookmarkEnd w:id="0"/>
      <w:r>
        <w:rPr>
          <w:rFonts w:hint="eastAsia" w:ascii="黑体" w:hAnsi="黑体" w:eastAsia="黑体" w:cs="黑体"/>
          <w:sz w:val="44"/>
          <w:szCs w:val="44"/>
          <w:highlight w:val="none"/>
        </w:rPr>
        <w:t xml:space="preserve">投标邀请</w:t>
      </w:r>
      <w:bookmarkEnd w:id="1"/>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受</w:t>
      </w:r>
      <w:r>
        <w:rPr>
          <w:rFonts w:hint="eastAsia" w:ascii="宋体" w:hAnsi="宋体" w:cs="Times New Roman"/>
          <w:sz w:val="24"/>
          <w:szCs w:val="24"/>
          <w:highlight w:val="none"/>
          <w:lang w:eastAsia="zh-CN"/>
        </w:rPr>
        <w:t xml:space="preserve">江苏省社会主义学院教育发展中心</w:t>
      </w:r>
      <w:r>
        <w:rPr>
          <w:rFonts w:hint="eastAsia" w:ascii="宋体" w:hAnsi="宋体"/>
          <w:sz w:val="24"/>
          <w:szCs w:val="24"/>
          <w:highlight w:val="none"/>
        </w:rPr>
        <w:t xml:space="preserve">的委托，</w:t>
      </w:r>
      <w:r>
        <w:rPr>
          <w:rFonts w:hint="eastAsia" w:ascii="宋体" w:hAnsi="宋体"/>
          <w:sz w:val="24"/>
          <w:szCs w:val="24"/>
          <w:highlight w:val="none"/>
          <w:lang w:val="en-US" w:eastAsia="zh-CN"/>
        </w:rPr>
        <w:t xml:space="preserve">江苏臻采招标代理有限公司</w:t>
      </w:r>
      <w:r>
        <w:rPr>
          <w:rFonts w:hint="eastAsia" w:ascii="宋体" w:hAnsi="宋体"/>
          <w:sz w:val="24"/>
          <w:szCs w:val="24"/>
          <w:highlight w:val="none"/>
        </w:rPr>
        <w:t xml:space="preserve">就</w:t>
      </w:r>
      <w:r>
        <w:rPr>
          <w:rFonts w:hint="eastAsia" w:ascii="宋体" w:hAnsi="宋体" w:cs="Times New Roman"/>
          <w:sz w:val="24"/>
          <w:szCs w:val="24"/>
          <w:highlight w:val="none"/>
          <w:lang w:eastAsia="zh-CN"/>
        </w:rPr>
        <w:t xml:space="preserve">江苏省社会主义学院教育发展中心主副食品采购及配送服务</w:t>
      </w:r>
      <w:r>
        <w:rPr>
          <w:rFonts w:hint="eastAsia" w:ascii="宋体" w:hAnsi="宋体" w:eastAsia="宋体" w:cs="Times New Roman"/>
          <w:sz w:val="24"/>
          <w:szCs w:val="24"/>
          <w:highlight w:val="none"/>
        </w:rPr>
        <w:t xml:space="preserve">项目</w:t>
      </w:r>
      <w:r>
        <w:rPr>
          <w:rFonts w:hint="eastAsia" w:ascii="宋体" w:hAnsi="宋体"/>
          <w:sz w:val="24"/>
          <w:szCs w:val="24"/>
          <w:highlight w:val="none"/>
        </w:rPr>
        <w:t xml:space="preserve">进行公开招标采购，欢迎符合条件的供应商投标。</w:t>
      </w:r>
      <w:r/>
    </w:p>
    <w:p>
      <w:pPr>
        <w:ind w:left="0" w:firstLine="0"/>
        <w:spacing w:line="360" w:lineRule="auto"/>
        <w:rPr>
          <w:rFonts w:ascii="宋体" w:hAnsi="宋体" w:cs="宋体"/>
          <w:sz w:val="24"/>
          <w:szCs w:val="24"/>
          <w:highlight w:val="none"/>
        </w:rPr>
        <w:pBdr>
          <w:top w:val="single" w:color="auto" w:sz="4" w:space="1"/>
          <w:left w:val="single" w:color="auto" w:sz="4" w:space="0"/>
          <w:bottom w:val="single" w:color="auto" w:sz="4" w:space="1"/>
          <w:right w:val="single" w:color="auto" w:sz="4" w:space="4"/>
        </w:pBdr>
      </w:pPr>
      <w:r>
        <w:rPr>
          <w:rFonts w:hint="eastAsia" w:ascii="宋体" w:hAnsi="宋体" w:cs="宋体"/>
          <w:b/>
          <w:bCs/>
          <w:sz w:val="24"/>
          <w:szCs w:val="24"/>
          <w:highlight w:val="none"/>
        </w:rPr>
        <w:t xml:space="preserve">项目概况</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u w:val="single"/>
          <w:lang w:eastAsia="zh-CN"/>
        </w:rPr>
        <w:t xml:space="preserve">江苏省社会主义学院教育发展中心主副食品采购及配送服务</w:t>
      </w:r>
      <w:r>
        <w:rPr>
          <w:rFonts w:hint="eastAsia" w:ascii="宋体" w:hAnsi="宋体" w:cs="宋体"/>
          <w:sz w:val="24"/>
          <w:szCs w:val="24"/>
          <w:highlight w:val="none"/>
        </w:rPr>
        <w:t xml:space="preserve">招标项目的潜在投标人应在</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苏采云</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系统内下载</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投标人必须在苏采云系统中获取采购文件，方能参与政府采购项目</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获取招标文件</w:t>
      </w:r>
      <w:r>
        <w:rPr>
          <w:rFonts w:hint="eastAsia" w:ascii="宋体" w:hAnsi="宋体" w:cs="宋体"/>
          <w:sz w:val="24"/>
          <w:szCs w:val="24"/>
          <w:highlight w:val="none"/>
        </w:rPr>
        <w:t xml:space="preserve">，并于</w:t>
      </w:r>
      <w:r>
        <w:rPr>
          <w:rFonts w:hint="eastAsia" w:ascii="宋体" w:hAnsi="宋体" w:cs="宋体"/>
          <w:sz w:val="24"/>
          <w:szCs w:val="24"/>
          <w:highlight w:val="none"/>
          <w:lang w:eastAsia="zh-CN"/>
        </w:rPr>
        <w:t xml:space="preserve">202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eastAsia="zh-CN"/>
        </w:rPr>
        <w:t xml:space="preserve">年</w:t>
      </w:r>
      <w:r>
        <w:rPr>
          <w:rFonts w:hint="eastAsia" w:ascii="宋体" w:hAnsi="宋体" w:cs="宋体"/>
          <w:sz w:val="24"/>
          <w:szCs w:val="24"/>
          <w:highlight w:val="none"/>
          <w:lang w:val="en-US" w:eastAsia="zh-CN"/>
        </w:rPr>
        <w:t xml:space="preserve">05月29日14:00</w:t>
      </w:r>
      <w:r>
        <w:rPr>
          <w:rFonts w:hint="eastAsia" w:ascii="宋体" w:hAnsi="宋体" w:cs="宋体"/>
          <w:sz w:val="24"/>
          <w:szCs w:val="24"/>
          <w:highlight w:val="none"/>
        </w:rPr>
        <w:t xml:space="preserve">（北京时间）前</w:t>
      </w:r>
      <w:r>
        <w:rPr>
          <w:rFonts w:hint="eastAsia" w:ascii="宋体" w:hAnsi="宋体" w:cs="宋体"/>
          <w:sz w:val="24"/>
          <w:szCs w:val="24"/>
          <w:highlight w:val="none"/>
          <w:lang w:val="en-US" w:eastAsia="zh-CN"/>
        </w:rPr>
        <w:t xml:space="preserve">上传</w:t>
      </w:r>
      <w:r>
        <w:rPr>
          <w:rFonts w:hint="eastAsia" w:ascii="宋体" w:hAnsi="宋体" w:cs="宋体"/>
          <w:sz w:val="24"/>
          <w:szCs w:val="24"/>
          <w:highlight w:val="none"/>
        </w:rPr>
        <w:t xml:space="preserve">投标文件。</w:t>
      </w:r>
      <w:r/>
    </w:p>
    <w:p>
      <w:pPr>
        <w:pStyle w:val="985"/>
        <w:numPr>
          <w:ilvl w:val="0"/>
          <w:numId w:val="0"/>
        </w:numPr>
        <w:ind w:left="840" w:hanging="42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bidi="ar-SA"/>
        </w:rPr>
        <w:t xml:space="preserve">一、</w:t>
      </w:r>
      <w:r>
        <w:rPr>
          <w:rFonts w:hint="eastAsia" w:ascii="宋体" w:hAnsi="宋体" w:eastAsia="宋体" w:cs="宋体"/>
          <w:b/>
          <w:bCs/>
          <w:sz w:val="24"/>
          <w:szCs w:val="24"/>
          <w:highlight w:val="none"/>
        </w:rPr>
        <w:t xml:space="preserve">项目基本概况</w:t>
      </w:r>
      <w:r/>
    </w:p>
    <w:p>
      <w:pPr>
        <w:pStyle w:val="985"/>
        <w:numPr>
          <w:ilvl w:val="0"/>
          <w:numId w:val="0"/>
        </w:numPr>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1.项目编号：JSZC-320000-ZCZB-G2026-0004</w:t>
      </w:r>
      <w:r/>
    </w:p>
    <w:p>
      <w:pPr>
        <w:pStyle w:val="985"/>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2.项目名称：</w:t>
      </w:r>
      <w:r>
        <w:rPr>
          <w:rFonts w:hint="eastAsia" w:ascii="宋体" w:hAnsi="宋体" w:cs="宋体"/>
          <w:sz w:val="24"/>
          <w:szCs w:val="24"/>
          <w:highlight w:val="none"/>
          <w:lang w:eastAsia="zh-CN"/>
        </w:rPr>
        <w:t xml:space="preserve">江苏省社会主义学院教育发展中心主副食品采购及配送服务</w:t>
      </w:r>
      <w:r/>
    </w:p>
    <w:p>
      <w:pPr>
        <w:pStyle w:val="985"/>
        <w:numPr>
          <w:ilvl w:val="0"/>
          <w:numId w:val="0"/>
        </w:numPr>
        <w:ind w:left="0" w:firstLine="480"/>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3.预算总金额：人民币</w:t>
      </w:r>
      <w:r>
        <w:rPr>
          <w:rFonts w:hint="eastAsia" w:ascii="宋体" w:hAnsi="宋体" w:cs="宋体"/>
          <w:sz w:val="24"/>
          <w:szCs w:val="24"/>
          <w:highlight w:val="none"/>
          <w:lang w:val="en-US" w:eastAsia="zh-CN"/>
        </w:rPr>
        <w:t xml:space="preserve">2259.6</w:t>
      </w:r>
      <w:r>
        <w:rPr>
          <w:rFonts w:hint="eastAsia" w:ascii="宋体" w:hAnsi="宋体" w:eastAsia="宋体" w:cs="宋体"/>
          <w:sz w:val="24"/>
          <w:szCs w:val="24"/>
          <w:highlight w:val="none"/>
          <w:lang w:eastAsia="zh-CN"/>
        </w:rPr>
        <w:t xml:space="preserve">万元</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三年</w:t>
      </w:r>
      <w:r>
        <w:rPr>
          <w:rFonts w:hint="eastAsia" w:ascii="宋体" w:hAnsi="宋体" w:cs="宋体"/>
          <w:sz w:val="24"/>
          <w:szCs w:val="24"/>
          <w:highlight w:val="none"/>
          <w:lang w:eastAsia="zh-CN"/>
        </w:rPr>
        <w:t xml:space="preserve">）</w:t>
      </w:r>
      <w:r/>
    </w:p>
    <w:p>
      <w:pPr>
        <w:pStyle w:val="985"/>
        <w:numPr>
          <w:ilvl w:val="0"/>
          <w:numId w:val="0"/>
        </w:numPr>
        <w:ind w:left="0" w:firstLine="480"/>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4.最高总限价：人民币</w:t>
      </w:r>
      <w:r>
        <w:rPr>
          <w:rFonts w:hint="eastAsia" w:ascii="宋体" w:hAnsi="宋体" w:cs="宋体"/>
          <w:sz w:val="24"/>
          <w:szCs w:val="24"/>
          <w:highlight w:val="none"/>
          <w:lang w:val="en-US" w:eastAsia="zh-CN"/>
        </w:rPr>
        <w:t xml:space="preserve">2259.6</w:t>
      </w:r>
      <w:r>
        <w:rPr>
          <w:rFonts w:hint="eastAsia" w:ascii="宋体" w:hAnsi="宋体" w:eastAsia="宋体" w:cs="宋体"/>
          <w:sz w:val="24"/>
          <w:szCs w:val="24"/>
          <w:highlight w:val="none"/>
          <w:lang w:eastAsia="zh-CN"/>
        </w:rPr>
        <w:t xml:space="preserve">万元</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三年</w:t>
      </w:r>
      <w:r>
        <w:rPr>
          <w:rFonts w:hint="eastAsia" w:ascii="宋体" w:hAnsi="宋体" w:cs="宋体"/>
          <w:sz w:val="24"/>
          <w:szCs w:val="24"/>
          <w:highlight w:val="none"/>
          <w:lang w:eastAsia="zh-CN"/>
        </w:rPr>
        <w:t xml:space="preserve">）</w:t>
      </w:r>
      <w:r/>
    </w:p>
    <w:p>
      <w:pPr>
        <w:pStyle w:val="985"/>
        <w:numPr>
          <w:ilvl w:val="0"/>
          <w:numId w:val="0"/>
        </w:numPr>
        <w:ind w:left="0" w:firstLine="480"/>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（分包一）</w:t>
      </w:r>
      <w:r>
        <w:rPr>
          <w:rFonts w:hint="eastAsia" w:ascii="宋体" w:hAnsi="宋体" w:cs="宋体"/>
          <w:sz w:val="24"/>
          <w:szCs w:val="24"/>
          <w:highlight w:val="none"/>
          <w:lang w:val="en-US" w:eastAsia="zh-CN"/>
        </w:rPr>
        <w:t xml:space="preserve">主副食品家禽蛋类、牛羊肉类</w:t>
      </w:r>
      <w:r/>
    </w:p>
    <w:p>
      <w:pPr>
        <w:pStyle w:val="985"/>
        <w:numPr>
          <w:ilvl w:val="0"/>
          <w:numId w:val="0"/>
        </w:numPr>
        <w:ind w:left="0" w:firstLine="96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预算金额：人民币</w:t>
      </w:r>
      <w:r>
        <w:rPr>
          <w:rFonts w:hint="eastAsia" w:ascii="宋体" w:hAnsi="宋体" w:cs="宋体"/>
          <w:sz w:val="24"/>
          <w:szCs w:val="24"/>
          <w:highlight w:val="none"/>
          <w:lang w:val="en-US" w:eastAsia="zh-CN"/>
        </w:rPr>
        <w:t xml:space="preserve">336</w:t>
      </w:r>
      <w:r>
        <w:rPr>
          <w:rFonts w:hint="eastAsia" w:ascii="宋体" w:hAnsi="宋体" w:eastAsia="宋体" w:cs="宋体"/>
          <w:sz w:val="24"/>
          <w:szCs w:val="24"/>
          <w:highlight w:val="none"/>
          <w:lang w:eastAsia="zh-CN"/>
        </w:rPr>
        <w:t xml:space="preserve">万</w:t>
      </w:r>
      <w:r>
        <w:rPr>
          <w:rFonts w:hint="eastAsia" w:ascii="宋体" w:hAnsi="宋体" w:cs="宋体"/>
          <w:sz w:val="24"/>
          <w:szCs w:val="24"/>
          <w:highlight w:val="none"/>
          <w:lang w:val="en-US" w:eastAsia="zh-CN"/>
        </w:rPr>
        <w:t xml:space="preserve">元</w:t>
      </w:r>
      <w:r>
        <w:rPr>
          <w:rFonts w:hint="eastAsia" w:ascii="宋体" w:hAnsi="宋体" w:eastAsia="宋体" w:cs="宋体"/>
          <w:sz w:val="24"/>
          <w:szCs w:val="24"/>
          <w:highlight w:val="none"/>
          <w:lang w:eastAsia="zh-CN"/>
        </w:rPr>
        <w:t xml:space="preserve">（三年）</w:t>
      </w:r>
      <w:r/>
    </w:p>
    <w:p>
      <w:pPr>
        <w:pStyle w:val="985"/>
        <w:numPr>
          <w:ilvl w:val="0"/>
          <w:numId w:val="0"/>
        </w:numPr>
        <w:ind w:left="0" w:firstLine="96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最高限价：人民币</w:t>
      </w:r>
      <w:r>
        <w:rPr>
          <w:rFonts w:hint="eastAsia" w:ascii="宋体" w:hAnsi="宋体" w:cs="宋体"/>
          <w:sz w:val="24"/>
          <w:szCs w:val="24"/>
          <w:highlight w:val="none"/>
          <w:lang w:val="en-US" w:eastAsia="zh-CN"/>
        </w:rPr>
        <w:t xml:space="preserve">336</w:t>
      </w:r>
      <w:r>
        <w:rPr>
          <w:rFonts w:hint="eastAsia" w:ascii="宋体" w:hAnsi="宋体" w:eastAsia="宋体" w:cs="宋体"/>
          <w:sz w:val="24"/>
          <w:szCs w:val="24"/>
          <w:highlight w:val="none"/>
          <w:lang w:eastAsia="zh-CN"/>
        </w:rPr>
        <w:t xml:space="preserve">万元 （三年）</w:t>
      </w:r>
      <w:r/>
    </w:p>
    <w:p>
      <w:pPr>
        <w:pStyle w:val="985"/>
        <w:numPr>
          <w:ilvl w:val="0"/>
          <w:numId w:val="0"/>
        </w:numPr>
        <w:ind w:left="0" w:firstLine="960"/>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选取家数</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1家</w:t>
      </w:r>
      <w:r/>
    </w:p>
    <w:p>
      <w:pPr>
        <w:pStyle w:val="985"/>
        <w:numPr>
          <w:ilvl w:val="0"/>
          <w:numId w:val="0"/>
        </w:numPr>
        <w:ind w:left="0" w:firstLine="480"/>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（分包二）</w:t>
      </w:r>
      <w:r>
        <w:rPr>
          <w:rFonts w:hint="eastAsia" w:ascii="宋体" w:hAnsi="宋体" w:cs="宋体"/>
          <w:sz w:val="24"/>
          <w:szCs w:val="24"/>
          <w:highlight w:val="none"/>
          <w:lang w:val="en-US" w:eastAsia="zh-CN"/>
        </w:rPr>
        <w:t xml:space="preserve">主副食品粮油干调类</w:t>
      </w:r>
      <w:r/>
    </w:p>
    <w:p>
      <w:pPr>
        <w:pStyle w:val="985"/>
        <w:numPr>
          <w:ilvl w:val="0"/>
          <w:numId w:val="0"/>
        </w:numPr>
        <w:ind w:left="0" w:firstLine="96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预算金额：人民币</w:t>
      </w:r>
      <w:r>
        <w:rPr>
          <w:rFonts w:hint="eastAsia" w:ascii="宋体" w:hAnsi="宋体" w:cs="宋体"/>
          <w:sz w:val="24"/>
          <w:szCs w:val="24"/>
          <w:highlight w:val="none"/>
          <w:lang w:val="en-US" w:eastAsia="zh-CN"/>
        </w:rPr>
        <w:t xml:space="preserve">495.6</w:t>
      </w:r>
      <w:r>
        <w:rPr>
          <w:rFonts w:hint="eastAsia" w:ascii="宋体" w:hAnsi="宋体" w:eastAsia="宋体" w:cs="宋体"/>
          <w:sz w:val="24"/>
          <w:szCs w:val="24"/>
          <w:highlight w:val="none"/>
          <w:lang w:eastAsia="zh-CN"/>
        </w:rPr>
        <w:t xml:space="preserve">万元（三年）</w:t>
      </w:r>
      <w:r/>
    </w:p>
    <w:p>
      <w:pPr>
        <w:pStyle w:val="985"/>
        <w:numPr>
          <w:ilvl w:val="0"/>
          <w:numId w:val="0"/>
        </w:numPr>
        <w:ind w:left="0" w:firstLine="96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最高限价：人民币</w:t>
      </w:r>
      <w:r>
        <w:rPr>
          <w:rFonts w:hint="eastAsia" w:ascii="宋体" w:hAnsi="宋体" w:cs="宋体"/>
          <w:sz w:val="24"/>
          <w:szCs w:val="24"/>
          <w:highlight w:val="none"/>
          <w:lang w:val="en-US" w:eastAsia="zh-CN"/>
        </w:rPr>
        <w:t xml:space="preserve">495.6</w:t>
      </w:r>
      <w:r>
        <w:rPr>
          <w:rFonts w:hint="eastAsia" w:ascii="宋体" w:hAnsi="宋体" w:eastAsia="宋体" w:cs="宋体"/>
          <w:sz w:val="24"/>
          <w:szCs w:val="24"/>
          <w:highlight w:val="none"/>
          <w:lang w:eastAsia="zh-CN"/>
        </w:rPr>
        <w:t xml:space="preserve">万元（三年）</w:t>
      </w:r>
      <w:r/>
    </w:p>
    <w:p>
      <w:pPr>
        <w:pStyle w:val="985"/>
        <w:numPr>
          <w:ilvl w:val="0"/>
          <w:numId w:val="0"/>
        </w:numPr>
        <w:ind w:left="0" w:firstLine="96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选取家数：1家</w:t>
      </w:r>
      <w:r/>
    </w:p>
    <w:p>
      <w:pPr>
        <w:pStyle w:val="985"/>
        <w:numPr>
          <w:ilvl w:val="0"/>
          <w:numId w:val="0"/>
        </w:numPr>
        <w:ind w:left="0" w:firstLine="480"/>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（分包三）</w:t>
      </w:r>
      <w:r>
        <w:rPr>
          <w:rFonts w:hint="eastAsia" w:ascii="宋体" w:hAnsi="宋体" w:cs="宋体"/>
          <w:sz w:val="24"/>
          <w:szCs w:val="24"/>
          <w:highlight w:val="none"/>
          <w:lang w:eastAsia="zh-CN"/>
        </w:rPr>
        <w:t xml:space="preserve">主副食品蔬菜生鲜类</w:t>
      </w:r>
      <w:r/>
    </w:p>
    <w:p>
      <w:pPr>
        <w:pStyle w:val="985"/>
        <w:numPr>
          <w:ilvl w:val="0"/>
          <w:numId w:val="0"/>
        </w:numPr>
        <w:ind w:left="0" w:firstLine="96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预算金额：人民币</w:t>
      </w:r>
      <w:r>
        <w:rPr>
          <w:rFonts w:hint="eastAsia" w:ascii="宋体" w:hAnsi="宋体" w:cs="宋体"/>
          <w:sz w:val="24"/>
          <w:szCs w:val="24"/>
          <w:highlight w:val="none"/>
          <w:lang w:val="en-US" w:eastAsia="zh-CN"/>
        </w:rPr>
        <w:t xml:space="preserve">394.8</w:t>
      </w:r>
      <w:r>
        <w:rPr>
          <w:rFonts w:hint="eastAsia" w:ascii="宋体" w:hAnsi="宋体" w:eastAsia="宋体" w:cs="宋体"/>
          <w:sz w:val="24"/>
          <w:szCs w:val="24"/>
          <w:highlight w:val="none"/>
          <w:lang w:eastAsia="zh-CN"/>
        </w:rPr>
        <w:t xml:space="preserve">万元（三年）</w:t>
      </w:r>
      <w:r/>
    </w:p>
    <w:p>
      <w:pPr>
        <w:pStyle w:val="985"/>
        <w:numPr>
          <w:ilvl w:val="0"/>
          <w:numId w:val="0"/>
        </w:numPr>
        <w:ind w:left="0" w:firstLine="96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最高限价：人民币</w:t>
      </w:r>
      <w:r>
        <w:rPr>
          <w:rFonts w:hint="eastAsia" w:ascii="宋体" w:hAnsi="宋体" w:cs="宋体"/>
          <w:sz w:val="24"/>
          <w:szCs w:val="24"/>
          <w:highlight w:val="none"/>
          <w:lang w:val="en-US" w:eastAsia="zh-CN"/>
        </w:rPr>
        <w:t xml:space="preserve">394.8</w:t>
      </w:r>
      <w:r>
        <w:rPr>
          <w:rFonts w:hint="eastAsia" w:ascii="宋体" w:hAnsi="宋体" w:eastAsia="宋体" w:cs="宋体"/>
          <w:sz w:val="24"/>
          <w:szCs w:val="24"/>
          <w:highlight w:val="none"/>
          <w:lang w:eastAsia="zh-CN"/>
        </w:rPr>
        <w:t xml:space="preserve">万元（三年）</w:t>
      </w:r>
      <w:r/>
    </w:p>
    <w:p>
      <w:pPr>
        <w:pStyle w:val="985"/>
        <w:numPr>
          <w:ilvl w:val="0"/>
          <w:numId w:val="0"/>
        </w:numPr>
        <w:ind w:left="0" w:firstLine="96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选取家数：1家</w:t>
      </w:r>
      <w:r/>
    </w:p>
    <w:p>
      <w:pPr>
        <w:pStyle w:val="985"/>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（分包四）</w:t>
      </w:r>
      <w:r>
        <w:rPr>
          <w:rFonts w:hint="eastAsia" w:ascii="宋体" w:hAnsi="宋体" w:cs="宋体"/>
          <w:sz w:val="24"/>
          <w:szCs w:val="24"/>
          <w:highlight w:val="none"/>
          <w:lang w:val="en-US" w:eastAsia="zh-CN"/>
        </w:rPr>
        <w:t xml:space="preserve">主副食品水产类</w:t>
      </w:r>
      <w:r/>
    </w:p>
    <w:p>
      <w:pPr>
        <w:pStyle w:val="985"/>
        <w:numPr>
          <w:ilvl w:val="0"/>
          <w:numId w:val="0"/>
        </w:numPr>
        <w:ind w:left="0" w:firstLine="96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预算金额：人民币</w:t>
      </w:r>
      <w:r>
        <w:rPr>
          <w:rFonts w:hint="eastAsia" w:ascii="宋体" w:hAnsi="宋体" w:cs="宋体"/>
          <w:sz w:val="24"/>
          <w:szCs w:val="24"/>
          <w:highlight w:val="none"/>
          <w:lang w:val="en-US" w:eastAsia="zh-CN"/>
        </w:rPr>
        <w:t xml:space="preserve">852.6</w:t>
      </w:r>
      <w:r>
        <w:rPr>
          <w:rFonts w:hint="eastAsia" w:ascii="宋体" w:hAnsi="宋体" w:eastAsia="宋体" w:cs="宋体"/>
          <w:sz w:val="24"/>
          <w:szCs w:val="24"/>
          <w:highlight w:val="none"/>
          <w:lang w:eastAsia="zh-CN"/>
        </w:rPr>
        <w:t xml:space="preserve">万元（三年）</w:t>
      </w:r>
      <w:r/>
    </w:p>
    <w:p>
      <w:pPr>
        <w:pStyle w:val="985"/>
        <w:numPr>
          <w:ilvl w:val="0"/>
          <w:numId w:val="0"/>
        </w:numPr>
        <w:ind w:left="0" w:firstLine="96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最高限价：人民币</w:t>
      </w:r>
      <w:r>
        <w:rPr>
          <w:rFonts w:hint="eastAsia" w:ascii="宋体" w:hAnsi="宋体" w:cs="宋体"/>
          <w:sz w:val="24"/>
          <w:szCs w:val="24"/>
          <w:highlight w:val="none"/>
          <w:lang w:val="en-US" w:eastAsia="zh-CN"/>
        </w:rPr>
        <w:t xml:space="preserve">852.6</w:t>
      </w:r>
      <w:r>
        <w:rPr>
          <w:rFonts w:hint="eastAsia" w:ascii="宋体" w:hAnsi="宋体" w:eastAsia="宋体" w:cs="宋体"/>
          <w:sz w:val="24"/>
          <w:szCs w:val="24"/>
          <w:highlight w:val="none"/>
          <w:lang w:eastAsia="zh-CN"/>
        </w:rPr>
        <w:t xml:space="preserve">万元（三年）</w:t>
      </w:r>
      <w:r/>
    </w:p>
    <w:p>
      <w:pPr>
        <w:pStyle w:val="985"/>
        <w:numPr>
          <w:ilvl w:val="0"/>
          <w:numId w:val="0"/>
        </w:numPr>
        <w:ind w:left="0" w:firstLine="96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选取家数：1家</w:t>
      </w:r>
      <w:r/>
    </w:p>
    <w:p>
      <w:pPr>
        <w:pStyle w:val="985"/>
        <w:numPr>
          <w:ilvl w:val="0"/>
          <w:numId w:val="0"/>
        </w:numPr>
        <w:ind w:left="0" w:firstLine="480"/>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（分包五）</w:t>
      </w:r>
      <w:r>
        <w:rPr>
          <w:rFonts w:hint="eastAsia" w:ascii="宋体" w:hAnsi="宋体" w:cs="宋体"/>
          <w:sz w:val="24"/>
          <w:szCs w:val="24"/>
          <w:highlight w:val="none"/>
          <w:lang w:val="en-US" w:eastAsia="zh-CN"/>
        </w:rPr>
        <w:t xml:space="preserve">主副食品猪肉类</w:t>
      </w:r>
      <w:r/>
    </w:p>
    <w:p>
      <w:pPr>
        <w:pStyle w:val="985"/>
        <w:numPr>
          <w:ilvl w:val="0"/>
          <w:numId w:val="0"/>
        </w:numPr>
        <w:ind w:left="0" w:firstLine="96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预算金额：人民币</w:t>
      </w:r>
      <w:r>
        <w:rPr>
          <w:rFonts w:hint="eastAsia" w:ascii="宋体" w:hAnsi="宋体" w:cs="宋体"/>
          <w:sz w:val="24"/>
          <w:szCs w:val="24"/>
          <w:highlight w:val="none"/>
          <w:lang w:val="en-US" w:eastAsia="zh-CN"/>
        </w:rPr>
        <w:t xml:space="preserve">180.6</w:t>
      </w:r>
      <w:r>
        <w:rPr>
          <w:rFonts w:hint="eastAsia" w:ascii="宋体" w:hAnsi="宋体" w:eastAsia="宋体" w:cs="宋体"/>
          <w:sz w:val="24"/>
          <w:szCs w:val="24"/>
          <w:highlight w:val="none"/>
          <w:lang w:eastAsia="zh-CN"/>
        </w:rPr>
        <w:t xml:space="preserve">万元（三年）</w:t>
      </w:r>
      <w:r/>
    </w:p>
    <w:p>
      <w:pPr>
        <w:pStyle w:val="985"/>
        <w:numPr>
          <w:ilvl w:val="0"/>
          <w:numId w:val="0"/>
        </w:numPr>
        <w:ind w:left="0" w:firstLine="96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最高限价：人民币</w:t>
      </w:r>
      <w:r>
        <w:rPr>
          <w:rFonts w:hint="eastAsia" w:ascii="宋体" w:hAnsi="宋体" w:cs="宋体"/>
          <w:sz w:val="24"/>
          <w:szCs w:val="24"/>
          <w:highlight w:val="none"/>
          <w:lang w:val="en-US" w:eastAsia="zh-CN"/>
        </w:rPr>
        <w:t xml:space="preserve">180.6</w:t>
      </w:r>
      <w:r>
        <w:rPr>
          <w:rFonts w:hint="eastAsia" w:ascii="宋体" w:hAnsi="宋体" w:eastAsia="宋体" w:cs="宋体"/>
          <w:sz w:val="24"/>
          <w:szCs w:val="24"/>
          <w:highlight w:val="none"/>
          <w:lang w:eastAsia="zh-CN"/>
        </w:rPr>
        <w:t xml:space="preserve">万元（三年）</w:t>
      </w:r>
      <w:r/>
    </w:p>
    <w:p>
      <w:pPr>
        <w:pStyle w:val="985"/>
        <w:numPr>
          <w:ilvl w:val="0"/>
          <w:numId w:val="0"/>
        </w:numPr>
        <w:ind w:left="0" w:firstLine="96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选取家数：1家</w:t>
      </w:r>
      <w:r/>
    </w:p>
    <w:p>
      <w:pPr>
        <w:pStyle w:val="985"/>
        <w:numPr>
          <w:ilvl w:val="0"/>
          <w:numId w:val="0"/>
        </w:numPr>
        <w:ind w:left="0" w:firstLine="480"/>
        <w:keepLines w:val="0"/>
        <w:keepNext w:val="0"/>
        <w:pageBreakBefore w:val="0"/>
        <w:spacing w:line="360" w:lineRule="auto"/>
        <w:widowControl w:val="off"/>
        <w:rPr>
          <w:rFonts w:hint="eastAsia" w:ascii="宋体" w:hAnsi="宋体" w:eastAsia="宋体" w:cs="宋体"/>
          <w:b w:val="0"/>
          <w:bCs w:val="0"/>
          <w:i w:val="0"/>
          <w:iCs w:val="0"/>
          <w:sz w:val="24"/>
          <w:szCs w:val="24"/>
          <w:highlight w:val="none"/>
          <w:u w:val="none"/>
          <w:lang w:eastAsia="zh-CN"/>
        </w:rPr>
      </w:pPr>
      <w:r>
        <w:rPr>
          <w:rFonts w:hint="eastAsia" w:ascii="宋体" w:hAnsi="宋体" w:eastAsia="宋体" w:cs="宋体"/>
          <w:b w:val="0"/>
          <w:bCs w:val="0"/>
          <w:i w:val="0"/>
          <w:iCs w:val="0"/>
          <w:sz w:val="24"/>
          <w:szCs w:val="24"/>
          <w:highlight w:val="none"/>
          <w:u w:val="none"/>
          <w:lang w:eastAsia="zh-CN"/>
        </w:rPr>
        <w:t xml:space="preserve">各投标人可以参与一个或多个分包。若各投标单位同时参与多个分包，投标文件需分别分开制作</w:t>
      </w:r>
      <w:r>
        <w:rPr>
          <w:rFonts w:hint="eastAsia" w:ascii="宋体" w:hAnsi="宋体" w:cs="宋体"/>
          <w:b w:val="0"/>
          <w:bCs w:val="0"/>
          <w:i w:val="0"/>
          <w:iCs w:val="0"/>
          <w:sz w:val="24"/>
          <w:szCs w:val="24"/>
          <w:highlight w:val="none"/>
          <w:u w:val="none"/>
          <w:lang w:eastAsia="zh-CN"/>
        </w:rPr>
        <w:t xml:space="preserve">，</w:t>
      </w:r>
      <w:r>
        <w:rPr>
          <w:rFonts w:hint="eastAsia" w:ascii="宋体" w:hAnsi="宋体" w:eastAsia="宋体" w:cs="宋体"/>
          <w:b w:val="0"/>
          <w:bCs w:val="0"/>
          <w:i w:val="0"/>
          <w:iCs w:val="0"/>
          <w:sz w:val="24"/>
          <w:szCs w:val="24"/>
          <w:highlight w:val="none"/>
          <w:u w:val="none"/>
          <w:lang w:eastAsia="zh-CN"/>
        </w:rPr>
        <w:t xml:space="preserve">本项目兼投兼中。</w:t>
      </w:r>
      <w:r/>
    </w:p>
    <w:p>
      <w:pPr>
        <w:pStyle w:val="985"/>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项目需求（简介）：江苏省社会主义学院教育发展中心拟采购2026-202</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lang w:eastAsia="zh-CN"/>
        </w:rPr>
        <w:t xml:space="preserve">年度主副食品采购及配送等相关服务，</w:t>
      </w:r>
      <w:r>
        <w:rPr>
          <w:rFonts w:hint="eastAsia" w:ascii="宋体" w:hAnsi="宋体" w:eastAsia="宋体" w:cs="宋体"/>
          <w:sz w:val="24"/>
          <w:szCs w:val="24"/>
          <w:highlight w:val="none"/>
          <w:lang w:val="en-US" w:eastAsia="zh-CN"/>
        </w:rPr>
        <w:t xml:space="preserve">详见项目需求。</w:t>
      </w:r>
      <w:r/>
    </w:p>
    <w:p>
      <w:pPr>
        <w:pStyle w:val="985"/>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服务期：</w:t>
      </w:r>
      <w:r>
        <w:rPr>
          <w:rFonts w:hint="eastAsia" w:ascii="宋体" w:hAnsi="宋体" w:cs="宋体"/>
          <w:sz w:val="24"/>
          <w:szCs w:val="24"/>
          <w:highlight w:val="none"/>
          <w:lang w:val="en-US" w:eastAsia="zh-CN"/>
        </w:rPr>
        <w:t xml:space="preserve">2026年6月至2029年6月，</w:t>
      </w:r>
      <w:r>
        <w:rPr>
          <w:rFonts w:hint="eastAsia" w:ascii="宋体" w:hAnsi="宋体" w:eastAsia="宋体" w:cs="宋体"/>
          <w:sz w:val="24"/>
          <w:szCs w:val="24"/>
          <w:highlight w:val="none"/>
          <w:lang w:eastAsia="zh-CN"/>
        </w:rPr>
        <w:t xml:space="preserve">本项目服务期三年，合同一年一签，考核合格后续签下一年合同。</w:t>
      </w:r>
      <w:r/>
    </w:p>
    <w:p>
      <w:pPr>
        <w:pStyle w:val="985"/>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.本项目（是/否）接受联合体：</w:t>
      </w:r>
      <w:r>
        <w:rPr>
          <w:rFonts w:hint="eastAsia" w:ascii="宋体" w:hAnsi="宋体" w:eastAsia="宋体" w:cs="宋体"/>
          <w:b/>
          <w:bCs/>
          <w:sz w:val="24"/>
          <w:szCs w:val="24"/>
          <w:highlight w:val="none"/>
          <w:lang w:eastAsia="zh-CN"/>
        </w:rPr>
        <w:t xml:space="preserve">不接受联合体</w:t>
      </w:r>
      <w:r>
        <w:rPr>
          <w:rFonts w:hint="eastAsia" w:ascii="宋体" w:hAnsi="宋体" w:eastAsia="宋体" w:cs="宋体"/>
          <w:sz w:val="24"/>
          <w:szCs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二、申请人的资格要求</w:t>
      </w:r>
      <w:r>
        <w:rPr>
          <w:rFonts w:hint="eastAsia" w:ascii="宋体" w:hAnsi="宋体" w:eastAsia="宋体" w:cs="宋体"/>
          <w:b/>
          <w:bCs/>
          <w:sz w:val="24"/>
          <w:szCs w:val="24"/>
          <w:highlight w:val="none"/>
        </w:rPr>
        <w:tab/>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（一）满足《中华人民共和国政府采购法》第二十二条规定；</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1.具有独立承担民事责任的能力（提供法人或者其他组织的营业执照复印件并加盖公章，或者自然人的身份证明）；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2.具有良好的商业信誉和健全的财务会计制度（提供2024</w:t>
      </w:r>
      <w:r>
        <w:rPr>
          <w:rFonts w:hint="eastAsia" w:ascii="宋体" w:hAnsi="宋体" w:cs="宋体"/>
          <w:sz w:val="24"/>
          <w:szCs w:val="24"/>
          <w:highlight w:val="none"/>
          <w:lang w:val="en-US" w:eastAsia="zh-CN"/>
        </w:rPr>
        <w:t xml:space="preserve">或2025</w:t>
      </w:r>
      <w:r>
        <w:rPr>
          <w:rFonts w:hint="eastAsia" w:ascii="宋体" w:hAnsi="宋体" w:eastAsia="宋体" w:cs="宋体"/>
          <w:sz w:val="24"/>
          <w:szCs w:val="24"/>
          <w:highlight w:val="none"/>
        </w:rPr>
        <w:t xml:space="preserve">年度的财务报告或银行出具的企业资信证明，法人或者其他组织成立未满一年的可提供近半年内任一月的资产负债和利润表）；</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3.具有履行合同所必需的设备和专业技术能力（根据项目需求提供履行合同所必需的设备和专业技术能力的证明材料或声明函）；</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4.有依法缴纳税收和社会保障资金的良好记录（提供参加本次采购活动前依法缴纳税收及社会保险的凭据。依法免缴、迟缴的应提供相应文件证明）；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5.参加本次采购活动前3年内在经营活动中没有重大违法记录（提供参加本次采购活动前3年内在经营活动中没有重大违法记录的书面声明）；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6.法律、行政法规规定的其他条件。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落实政府采购政策需满足的资格要求：本项目不专门面向中小企业采购，执行价格扣除优惠政策，投标人为小微企业的，报价给予10%的扣除。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p>
    <w:p>
      <w:pPr>
        <w:ind w:firstLine="480"/>
        <w:keepLines w:val="0"/>
        <w:keepNext w:val="0"/>
        <w:pageBreakBefore w:val="0"/>
        <w:spacing w:line="360" w:lineRule="auto"/>
        <w:widowControl w:val="off"/>
        <w:rPr>
          <w:rFonts w:hint="eastAsia" w:ascii="宋体" w:hAnsi="宋体" w:eastAsia="宋体" w:cs="宋体"/>
          <w:b/>
          <w:sz w:val="24"/>
          <w:szCs w:val="24"/>
          <w:highlight w:val="none"/>
          <w:u w:val="single"/>
        </w:rPr>
      </w:pPr>
      <w:r>
        <w:rPr>
          <w:rFonts w:hint="eastAsia" w:ascii="宋体" w:hAnsi="宋体" w:eastAsia="宋体" w:cs="宋体"/>
          <w:sz w:val="24"/>
          <w:szCs w:val="24"/>
          <w:highlight w:val="none"/>
        </w:rPr>
        <w:t xml:space="preserve">本项目采购标的对应的中小企业划分标准所属行业为</w:t>
      </w:r>
      <w:r>
        <w:rPr>
          <w:rFonts w:hint="eastAsia" w:ascii="宋体" w:hAnsi="宋体" w:eastAsia="宋体" w:cs="宋体"/>
          <w:sz w:val="24"/>
          <w:szCs w:val="24"/>
          <w:highlight w:val="none"/>
          <w:u w:val="single"/>
        </w:rPr>
        <w:t xml:space="preserve">：</w:t>
      </w:r>
      <w:r>
        <w:rPr>
          <w:rFonts w:hint="eastAsia" w:ascii="宋体" w:hAnsi="宋体" w:cs="宋体"/>
          <w:sz w:val="24"/>
          <w:szCs w:val="24"/>
          <w:highlight w:val="none"/>
          <w:u w:val="single"/>
          <w:lang w:val="en-US" w:eastAsia="zh-CN"/>
        </w:rPr>
        <w:t xml:space="preserve">批发和零售业</w:t>
      </w:r>
      <w:r>
        <w:rPr>
          <w:rFonts w:hint="eastAsia" w:ascii="宋体" w:hAnsi="宋体" w:eastAsia="宋体" w:cs="宋体"/>
          <w:sz w:val="24"/>
          <w:szCs w:val="24"/>
          <w:highlight w:val="none"/>
          <w:u w:val="single"/>
        </w:rPr>
        <w:t xml:space="preserve">。</w:t>
      </w:r>
      <w:r/>
    </w:p>
    <w:p>
      <w:pPr>
        <w:numPr>
          <w:ilvl w:val="0"/>
          <w:numId w:val="4"/>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特定</w:t>
      </w:r>
      <w:r>
        <w:rPr>
          <w:rFonts w:hint="eastAsia" w:ascii="宋体" w:hAnsi="宋体" w:eastAsia="宋体" w:cs="宋体"/>
          <w:sz w:val="24"/>
          <w:szCs w:val="24"/>
          <w:highlight w:val="none"/>
        </w:rPr>
        <w:t xml:space="preserve">资格要求：</w:t>
      </w:r>
      <w:r/>
    </w:p>
    <w:p>
      <w:pPr>
        <w:numPr>
          <w:ilvl w:val="0"/>
          <w:numId w:val="0"/>
        </w:numPr>
        <w:ind w:firstLine="482"/>
        <w:keepLines w:val="0"/>
        <w:keepNext w:val="0"/>
        <w:pageBreakBefore w:val="0"/>
        <w:spacing w:line="360" w:lineRule="auto"/>
        <w:widowControl w:val="off"/>
        <w:rPr>
          <w:rFonts w:hint="eastAsia" w:ascii="宋体" w:hAnsi="宋体" w:cs="Times New Roman"/>
          <w:b/>
          <w:bCs/>
          <w:i/>
          <w:iCs/>
          <w:sz w:val="24"/>
          <w:szCs w:val="24"/>
          <w:highlight w:val="none"/>
          <w:u w:val="single"/>
          <w:lang w:eastAsia="zh-CN"/>
        </w:rPr>
      </w:pPr>
      <w:r>
        <w:rPr>
          <w:rFonts w:hint="eastAsia" w:ascii="宋体" w:hAnsi="宋体" w:cs="Times New Roman"/>
          <w:b/>
          <w:bCs/>
          <w:i/>
          <w:iCs/>
          <w:sz w:val="24"/>
          <w:szCs w:val="24"/>
          <w:highlight w:val="none"/>
          <w:u w:val="single"/>
          <w:lang w:eastAsia="zh-CN"/>
        </w:rPr>
        <w:t xml:space="preserve">分包1、分包2、</w:t>
      </w:r>
      <w:r>
        <w:rPr>
          <w:rFonts w:hint="eastAsia" w:ascii="宋体" w:hAnsi="宋体" w:cs="Times New Roman"/>
          <w:b/>
          <w:bCs/>
          <w:i/>
          <w:iCs/>
          <w:sz w:val="24"/>
          <w:szCs w:val="24"/>
          <w:highlight w:val="none"/>
          <w:u w:val="single"/>
          <w:lang w:val="en-US" w:eastAsia="zh-CN"/>
        </w:rPr>
        <w:t xml:space="preserve">分包4、</w:t>
      </w:r>
      <w:r>
        <w:rPr>
          <w:rFonts w:hint="eastAsia" w:ascii="宋体" w:hAnsi="宋体" w:cs="Times New Roman"/>
          <w:b/>
          <w:bCs/>
          <w:i/>
          <w:iCs/>
          <w:sz w:val="24"/>
          <w:szCs w:val="24"/>
          <w:highlight w:val="none"/>
          <w:u w:val="single"/>
          <w:lang w:eastAsia="zh-CN"/>
        </w:rPr>
        <w:t xml:space="preserve">分包</w:t>
      </w:r>
      <w:r>
        <w:rPr>
          <w:rFonts w:hint="eastAsia" w:ascii="宋体" w:hAnsi="宋体" w:cs="Times New Roman"/>
          <w:b/>
          <w:bCs/>
          <w:i/>
          <w:iCs/>
          <w:sz w:val="24"/>
          <w:szCs w:val="24"/>
          <w:highlight w:val="none"/>
          <w:u w:val="single"/>
          <w:lang w:val="en-US" w:eastAsia="zh-CN"/>
        </w:rPr>
        <w:t xml:space="preserve">5</w:t>
      </w:r>
      <w:r>
        <w:rPr>
          <w:rFonts w:hint="eastAsia" w:ascii="宋体" w:hAnsi="宋体" w:cs="Times New Roman"/>
          <w:b/>
          <w:bCs/>
          <w:i/>
          <w:iCs/>
          <w:sz w:val="24"/>
          <w:szCs w:val="24"/>
          <w:highlight w:val="none"/>
          <w:u w:val="single"/>
          <w:lang w:eastAsia="zh-CN"/>
        </w:rPr>
        <w:t xml:space="preserve">：投标人具有有效期内的《食品生产许可证》或《食品经营许可证》（销售预包装食品可提供预包装食品备案证明）（投标人提供相关证明材料复印件加盖公章）。</w:t>
      </w:r>
      <w:r/>
    </w:p>
    <w:p>
      <w:pPr>
        <w:ind w:firstLine="482"/>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Times New Roman"/>
          <w:b/>
          <w:bCs/>
          <w:i/>
          <w:iCs/>
          <w:sz w:val="24"/>
          <w:szCs w:val="24"/>
          <w:highlight w:val="none"/>
          <w:u w:val="single"/>
          <w:lang w:eastAsia="zh-CN"/>
        </w:rPr>
        <w:t xml:space="preserve">分包3：无。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（四）拒绝下述投标人参加本次招标活动：</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1.投标人单位负责人为同一人或者存在直接控股、管理关系的不同投标人，不得参加同一合同项下的政府采购活动。</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2.凡为采购项目提供整体设计、规范编制或者项目管理、监理、检测等服务的投标人，不得再参加该采购项目的其他采购活动。</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3.投标人在投标截止日前被“信用中国”网站（www.creditchina.gov.cn）、“中国政府采购网”(www.ccgp.gov.cn)列入失信被执行人、重大税收违法案件当事人名单、政府招标严重违法失信行为记录名单</w:t>
      </w:r>
      <w:r>
        <w:rPr>
          <w:rFonts w:hint="eastAsia" w:ascii="宋体" w:hAnsi="宋体" w:eastAsia="宋体" w:cs="宋体"/>
          <w:bCs/>
          <w:sz w:val="24"/>
          <w:szCs w:val="24"/>
          <w:highlight w:val="none"/>
          <w:lang w:bidi="ar"/>
        </w:rPr>
        <w:t xml:space="preserve">的投标人</w:t>
      </w:r>
      <w:r>
        <w:rPr>
          <w:rFonts w:hint="eastAsia" w:ascii="宋体" w:hAnsi="宋体" w:eastAsia="宋体" w:cs="宋体"/>
          <w:sz w:val="24"/>
          <w:szCs w:val="24"/>
          <w:highlight w:val="none"/>
        </w:rPr>
        <w:t xml:space="preserve">。（须提供网页截图）</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三、获取招标文件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时间：自</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文件公告发布之日起5个工作日 </w:t>
      </w:r>
      <w:r/>
    </w:p>
    <w:p>
      <w:pPr>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地点：江苏政府采购网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方式：在苏采云电子交易平台http://jszfcg.jscz.gov.cn/jszc/login首页点击供应商→使用CA锁登录系统(新用户需进行“平台用户注册”)→“项目参与”进行</w:t>
      </w:r>
      <w:r>
        <w:rPr>
          <w:rFonts w:hint="eastAsia" w:ascii="宋体" w:hAnsi="宋体" w:eastAsia="宋体" w:cs="宋体"/>
          <w:sz w:val="24"/>
          <w:szCs w:val="24"/>
          <w:highlight w:val="none"/>
          <w:lang w:val="en-US" w:eastAsia="zh-CN"/>
        </w:rPr>
        <w:t xml:space="preserve">登记</w:t>
      </w:r>
      <w:r>
        <w:rPr>
          <w:rFonts w:hint="eastAsia" w:ascii="宋体" w:hAnsi="宋体" w:eastAsia="宋体" w:cs="宋体"/>
          <w:sz w:val="24"/>
          <w:szCs w:val="24"/>
          <w:highlight w:val="none"/>
        </w:rPr>
        <w:t xml:space="preserve">，在“可参与项目”中选择“我要参与”，参与成功后到“已参与项目”界面中找到该项目下载电子</w:t>
      </w:r>
      <w:r>
        <w:rPr>
          <w:rFonts w:hint="eastAsia" w:ascii="宋体" w:hAnsi="宋体" w:eastAsia="宋体" w:cs="宋体"/>
          <w:sz w:val="24"/>
          <w:szCs w:val="24"/>
          <w:highlight w:val="none"/>
          <w:lang w:val="en-US" w:eastAsia="zh-CN"/>
        </w:rPr>
        <w:t xml:space="preserve">文件</w:t>
      </w:r>
      <w:r>
        <w:rPr>
          <w:rFonts w:hint="eastAsia" w:ascii="宋体" w:hAnsi="宋体" w:eastAsia="宋体" w:cs="宋体"/>
          <w:sz w:val="24"/>
          <w:szCs w:val="24"/>
          <w:highlight w:val="none"/>
        </w:rPr>
        <w:t xml:space="preserve">并进行操作。</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售价：</w:t>
      </w:r>
      <w:r>
        <w:rPr>
          <w:rFonts w:hint="eastAsia" w:ascii="宋体" w:hAnsi="宋体" w:cs="宋体"/>
          <w:sz w:val="24"/>
          <w:szCs w:val="24"/>
          <w:highlight w:val="none"/>
          <w:lang w:val="en-US" w:eastAsia="zh-CN"/>
        </w:rPr>
        <w:t xml:space="preserve">500</w:t>
      </w:r>
      <w:r>
        <w:rPr>
          <w:rFonts w:hint="eastAsia" w:ascii="宋体" w:hAnsi="宋体" w:eastAsia="宋体" w:cs="宋体"/>
          <w:sz w:val="24"/>
          <w:szCs w:val="24"/>
          <w:highlight w:val="none"/>
          <w:lang w:val="en-US" w:eastAsia="zh-CN"/>
        </w:rPr>
        <w:t xml:space="preserve">.00</w:t>
      </w:r>
      <w:r>
        <w:rPr>
          <w:rFonts w:hint="eastAsia" w:ascii="宋体" w:hAnsi="宋体" w:eastAsia="宋体" w:cs="宋体"/>
          <w:sz w:val="24"/>
          <w:szCs w:val="24"/>
          <w:highlight w:val="none"/>
        </w:rPr>
        <w:t xml:space="preserve">元</w:t>
      </w:r>
      <w:r>
        <w:rPr>
          <w:rFonts w:hint="eastAsia" w:ascii="宋体" w:hAnsi="宋体" w:cs="宋体"/>
          <w:sz w:val="24"/>
          <w:szCs w:val="24"/>
          <w:highlight w:val="none"/>
          <w:lang w:val="en-US" w:eastAsia="zh-CN"/>
        </w:rPr>
        <w:t xml:space="preserve">/分包</w:t>
      </w:r>
      <w:r>
        <w:rPr>
          <w:rFonts w:hint="eastAsia" w:ascii="宋体" w:hAnsi="宋体" w:eastAsia="宋体" w:cs="宋体"/>
          <w:sz w:val="24"/>
          <w:szCs w:val="24"/>
          <w:highlight w:val="none"/>
          <w:lang w:val="en-US" w:eastAsia="zh-CN"/>
        </w:rPr>
        <w:t xml:space="preserve">(支付方式详见附件“采购文件登记表”）。</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四、提交投标文件截止时间和地点</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截止时间：202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05</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29 </w:t>
      </w: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0 （北京时间）</w:t>
      </w:r>
      <w:r>
        <w:rPr>
          <w:rFonts w:hint="eastAsia" w:ascii="宋体" w:hAnsi="宋体" w:eastAsia="宋体" w:cs="宋体"/>
          <w:sz w:val="24"/>
          <w:szCs w:val="24"/>
          <w:highlight w:val="none"/>
          <w:lang w:eastAsia="zh-CN"/>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地点：江苏省政府采购交易系统（以下简称“苏采云系统”）网上开标大厅</w:t>
      </w:r>
      <w:r>
        <w:rPr>
          <w:rFonts w:hint="eastAsia" w:ascii="宋体" w:hAnsi="宋体" w:eastAsia="宋体" w:cs="宋体"/>
          <w:sz w:val="24"/>
          <w:szCs w:val="24"/>
          <w:highlight w:val="none"/>
          <w:lang w:eastAsia="zh-CN"/>
        </w:rPr>
        <w:t xml:space="preserve">。</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五、公告期限</w:t>
      </w:r>
      <w:r/>
    </w:p>
    <w:p>
      <w:pPr>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本次公开招标公告期限为</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个工作日。</w:t>
      </w:r>
      <w:r/>
    </w:p>
    <w:p>
      <w:pPr>
        <w:pStyle w:val="985"/>
        <w:numPr>
          <w:ilvl w:val="0"/>
          <w:numId w:val="0"/>
        </w:numPr>
        <w:ind w:left="840" w:hanging="42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bidi="ar-SA"/>
        </w:rPr>
        <w:t xml:space="preserve">六、</w:t>
      </w:r>
      <w:r>
        <w:rPr>
          <w:rFonts w:hint="eastAsia" w:ascii="宋体" w:hAnsi="宋体" w:eastAsia="宋体" w:cs="宋体"/>
          <w:b/>
          <w:bCs/>
          <w:sz w:val="24"/>
          <w:szCs w:val="24"/>
          <w:highlight w:val="none"/>
        </w:rPr>
        <w:t xml:space="preserve">开启</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1.时间：202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05</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29</w:t>
      </w:r>
      <w:r>
        <w:rPr>
          <w:rFonts w:hint="eastAsia" w:ascii="宋体" w:hAnsi="宋体" w:eastAsia="宋体" w:cs="宋体"/>
          <w:sz w:val="24"/>
          <w:szCs w:val="24"/>
          <w:highlight w:val="none"/>
        </w:rPr>
        <w:t xml:space="preserve">日下午14：00。</w:t>
      </w:r>
      <w:r/>
    </w:p>
    <w:p>
      <w:pPr>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2.地点：南京市</w:t>
      </w:r>
      <w:r>
        <w:rPr>
          <w:rFonts w:hint="eastAsia" w:ascii="宋体" w:hAnsi="宋体" w:cs="宋体"/>
          <w:sz w:val="24"/>
          <w:szCs w:val="24"/>
          <w:highlight w:val="none"/>
          <w:lang w:val="en-US" w:eastAsia="zh-CN"/>
        </w:rPr>
        <w:t xml:space="preserve">秦淮区蓝旗街6号秦淮硅巷柳树湾科技园</w:t>
      </w:r>
      <w:r>
        <w:rPr>
          <w:rFonts w:hint="eastAsia" w:ascii="宋体" w:hAnsi="宋体" w:eastAsia="宋体" w:cs="宋体"/>
          <w:sz w:val="24"/>
          <w:szCs w:val="24"/>
          <w:highlight w:val="none"/>
        </w:rPr>
        <w:t xml:space="preserve">15号楼4楼会议室。</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七、其他补充事宜</w:t>
      </w:r>
      <w:r/>
    </w:p>
    <w:p>
      <w:pPr>
        <w:ind w:firstLine="480"/>
        <w:spacing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1.招标代理编号：</w:t>
      </w:r>
      <w:r>
        <w:rPr>
          <w:rFonts w:hint="eastAsia" w:ascii="宋体" w:hAnsi="宋体" w:cs="宋体"/>
          <w:sz w:val="24"/>
          <w:szCs w:val="24"/>
          <w:highlight w:val="none"/>
          <w:lang w:eastAsia="zh-CN"/>
        </w:rPr>
        <w:t xml:space="preserve">JSZC-202603310606</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.本次采购不收取</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保证金。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.现场勘察及答疑：采购人不组织集中考察或答疑，供应商如果对采购需求有疑问请咨询采购单位联系人。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根据《南京市政府采购供应商信用管理工作暂行办法》（宁财规[2018]10号）有关规定，凡在南京地区参加政府采购活动的供应商，应当事先登陆“信用南京”（www.njcredit.gov.cn）或“南京公共采购信息网”（https://njgc.jfh.com/）主页“南京市政府采购供应商诚信档案”栏目进行注册登记。由于特殊原因未及时注册的供应商可先行获取</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文件，但必须在提交投标（响应）文件截止日前办理登记注册手续。</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供应商申请网上注册的，应当按以下程序进行：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（1）登陆“信用南京”或“南京公共采购信息网”网站，点击“南京市政府采购供应商诚信档案”图标，在弹出的用户登录界面，点击“新用户注册”；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南京市政府采购供应商诚信档案管理系统客服电话：025-52718366；供应商可就用户注册与打印“南京市政府采购供应商信用记录表”等事宜进行咨询。</w:t>
      </w:r>
      <w:r/>
    </w:p>
    <w:p>
      <w:pPr>
        <w:ind w:left="0" w:firstLine="420"/>
        <w:keepLines w:val="0"/>
        <w:keepNext w:val="0"/>
        <w:pageBreakBefore w:val="0"/>
        <w:spacing w:beforeAutospacing="0" w:afterAutospacing="0" w:line="360" w:lineRule="auto"/>
        <w:tabs>
          <w:tab w:val="left" w:pos="90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系统南京地区客服热线：025-83633744、025-83633743</w:t>
      </w:r>
      <w:r>
        <w:rPr>
          <w:rFonts w:hint="eastAsia" w:ascii="宋体" w:hAnsi="宋体" w:eastAsia="宋体" w:cs="宋体"/>
          <w:sz w:val="24"/>
          <w:szCs w:val="24"/>
          <w:highlight w:val="none"/>
          <w:lang w:eastAsia="zh-CN"/>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.有关本次采购的事项若存在变动或修改，请及时关注“江苏政府采购网”（www.ccgp-jiangsu.gov.cn）更正公告。</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八、凡对本次采购提出询问，请按以下方式联系。</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1.采购人信息</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单位名称：江苏省社会主义学院教育发展中心</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单位地址：南京市苜蓿园大街51号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联系人：傅老师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联系电话：025-842873452</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代理机构</w:t>
      </w:r>
      <w:r>
        <w:rPr>
          <w:rFonts w:hint="eastAsia" w:ascii="宋体" w:hAnsi="宋体" w:eastAsia="宋体" w:cs="宋体"/>
          <w:sz w:val="24"/>
          <w:szCs w:val="24"/>
          <w:highlight w:val="none"/>
        </w:rPr>
        <w:t xml:space="preserve">信息</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单位名称：</w:t>
      </w:r>
      <w:r>
        <w:rPr>
          <w:rFonts w:hint="eastAsia" w:ascii="宋体" w:hAnsi="宋体" w:cs="宋体"/>
          <w:sz w:val="24"/>
          <w:szCs w:val="24"/>
          <w:highlight w:val="none"/>
          <w:lang w:eastAsia="zh-CN"/>
        </w:rPr>
        <w:t xml:space="preserve">江苏臻采招标代理有限公司</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单位地址：南京市</w:t>
      </w:r>
      <w:r>
        <w:rPr>
          <w:rFonts w:hint="eastAsia" w:ascii="宋体" w:hAnsi="宋体" w:cs="宋体"/>
          <w:sz w:val="24"/>
          <w:szCs w:val="24"/>
          <w:highlight w:val="none"/>
          <w:lang w:val="en-US" w:eastAsia="zh-CN"/>
        </w:rPr>
        <w:t xml:space="preserve">秦淮区蓝旗街6号秦淮硅巷柳树湾科技园</w:t>
      </w:r>
      <w:r>
        <w:rPr>
          <w:rFonts w:hint="eastAsia" w:ascii="宋体" w:hAnsi="宋体" w:eastAsia="宋体" w:cs="宋体"/>
          <w:sz w:val="24"/>
          <w:szCs w:val="24"/>
          <w:highlight w:val="none"/>
        </w:rPr>
        <w:t xml:space="preserve">15号楼4楼</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联系人：</w:t>
      </w:r>
      <w:r>
        <w:rPr>
          <w:rFonts w:hint="eastAsia" w:ascii="宋体" w:hAnsi="宋体" w:cs="宋体"/>
          <w:sz w:val="24"/>
          <w:szCs w:val="24"/>
          <w:highlight w:val="none"/>
          <w:lang w:eastAsia="zh-CN"/>
        </w:rPr>
        <w:t xml:space="preserve">周工</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联系电话：025-</w:t>
      </w:r>
      <w:r>
        <w:rPr>
          <w:rFonts w:hint="eastAsia" w:ascii="宋体" w:hAnsi="宋体" w:cs="宋体"/>
          <w:sz w:val="24"/>
          <w:szCs w:val="24"/>
          <w:highlight w:val="none"/>
          <w:lang w:val="en-US" w:eastAsia="zh-CN"/>
        </w:rPr>
        <w:t xml:space="preserve">85382797</w:t>
      </w:r>
      <w:r>
        <w:rPr>
          <w:rFonts w:hint="eastAsia" w:ascii="宋体" w:hAnsi="宋体" w:cs="宋体"/>
          <w:sz w:val="24"/>
          <w:szCs w:val="24"/>
          <w:highlight w:val="none"/>
          <w:lang w:eastAsia="zh-CN"/>
        </w:rPr>
        <w:t xml:space="preserve">转8006</w:t>
      </w:r>
      <w:r/>
    </w:p>
    <w:p>
      <w:pPr>
        <w:pStyle w:val="982"/>
        <w:spacing w:line="360" w:lineRule="auto"/>
        <w:rPr>
          <w:highlight w:val="none"/>
        </w:rPr>
      </w:pPr>
      <w:r>
        <w:rPr>
          <w:highlight w:val="none"/>
        </w:rPr>
      </w:r>
      <w:r/>
    </w:p>
    <w:p>
      <w:pPr>
        <w:pStyle w:val="982"/>
        <w:spacing w:line="360" w:lineRule="auto"/>
        <w:rPr>
          <w:highlight w:val="none"/>
        </w:rPr>
      </w:pPr>
      <w:r>
        <w:rPr>
          <w:highlight w:val="none"/>
        </w:rPr>
      </w:r>
      <w:r/>
    </w:p>
    <w:p>
      <w:pPr>
        <w:spacing w:line="360" w:lineRule="auto"/>
        <w:rPr>
          <w:highlight w:val="none"/>
        </w:rPr>
      </w:pPr>
      <w:r>
        <w:rPr>
          <w:highlight w:val="none"/>
        </w:rPr>
      </w:r>
      <w:r/>
    </w:p>
    <w:p>
      <w:pPr>
        <w:pStyle w:val="982"/>
        <w:spacing w:line="360" w:lineRule="auto"/>
        <w:rPr>
          <w:highlight w:val="none"/>
        </w:rPr>
      </w:pPr>
      <w:r>
        <w:rPr>
          <w:highlight w:val="none"/>
        </w:rPr>
      </w:r>
      <w:r/>
    </w:p>
    <w:p>
      <w:pPr>
        <w:spacing w:line="360" w:lineRule="auto"/>
        <w:rPr>
          <w:highlight w:val="none"/>
        </w:rPr>
      </w:pPr>
      <w:r>
        <w:rPr>
          <w:highlight w:val="none"/>
        </w:rPr>
      </w:r>
      <w:r/>
    </w:p>
    <w:p>
      <w:pPr>
        <w:pStyle w:val="907"/>
        <w:jc w:val="center"/>
        <w:spacing w:line="360" w:lineRule="auto"/>
        <w:rPr>
          <w:rFonts w:hint="eastAsia" w:ascii="黑体" w:hAnsi="黑体" w:eastAsia="黑体" w:cs="黑体"/>
          <w:sz w:val="44"/>
          <w:szCs w:val="44"/>
          <w:highlight w:val="none"/>
        </w:rPr>
        <w:sectPr>
          <w:headerReference w:type="first" r:id="rId11"/>
          <w:footerReference w:type="default" r:id="rId15"/>
          <w:footerReference w:type="first" r:id="rId16"/>
          <w:footnotePr/>
          <w:endnotePr/>
          <w:type w:val="nextPage"/>
          <w:pgSz w:w="11906" w:h="16838" w:orient="portrait"/>
          <w:pgMar w:top="1418" w:right="1361" w:bottom="1418" w:left="1365" w:header="851" w:footer="907" w:gutter="0"/>
          <w:pgNumType w:start="1"/>
          <w:cols w:num="1" w:sep="0" w:space="1701" w:equalWidth="1"/>
          <w:docGrid w:linePitch="360"/>
          <w:titlePg/>
        </w:sectPr>
      </w:pPr>
      <w:r/>
      <w:bookmarkStart w:id="7" w:name="_Toc120614211"/>
      <w:r/>
      <w:bookmarkStart w:id="8" w:name="_Toc18777"/>
      <w:r/>
      <w:r/>
    </w:p>
    <w:p>
      <w:pPr>
        <w:pStyle w:val="907"/>
        <w:jc w:val="center"/>
        <w:spacing w:line="360" w:lineRule="auto"/>
        <w:rPr>
          <w:rFonts w:hint="eastAsia" w:ascii="黑体" w:hAnsi="黑体" w:eastAsia="黑体" w:cs="黑体"/>
          <w:sz w:val="44"/>
          <w:szCs w:val="44"/>
          <w:highlight w:val="none"/>
        </w:rPr>
      </w:pPr>
      <w:r>
        <w:rPr>
          <w:rFonts w:hint="eastAsia" w:ascii="黑体" w:hAnsi="黑体" w:eastAsia="黑体" w:cs="黑体"/>
          <w:sz w:val="44"/>
          <w:szCs w:val="44"/>
          <w:highlight w:val="none"/>
        </w:rPr>
        <w:t xml:space="preserve">第二章  </w:t>
      </w:r>
      <w:bookmarkEnd w:id="2"/>
      <w:r/>
      <w:bookmarkEnd w:id="3"/>
      <w:r/>
      <w:bookmarkEnd w:id="4"/>
      <w:r/>
      <w:bookmarkEnd w:id="5"/>
      <w:r/>
      <w:bookmarkEnd w:id="6"/>
      <w:r/>
      <w:bookmarkEnd w:id="7"/>
      <w:r/>
      <w:bookmarkStart w:id="9" w:name="_Toc120614213"/>
      <w:r/>
      <w:bookmarkStart w:id="10" w:name="_Toc16938518"/>
      <w:r/>
      <w:bookmarkStart w:id="11" w:name="_Toc513029202"/>
      <w:r/>
      <w:bookmarkStart w:id="12" w:name="_Toc20823274"/>
      <w:r>
        <w:rPr>
          <w:rFonts w:hint="eastAsia" w:ascii="黑体" w:hAnsi="黑体" w:eastAsia="黑体" w:cs="黑体"/>
          <w:sz w:val="44"/>
          <w:szCs w:val="44"/>
          <w:highlight w:val="none"/>
        </w:rPr>
        <w:t xml:space="preserve">投标人须知</w:t>
      </w:r>
      <w:bookmarkEnd w:id="8"/>
      <w:r/>
      <w:bookmarkEnd w:id="9"/>
      <w:r/>
      <w:bookmarkEnd w:id="10"/>
      <w:r/>
      <w:bookmarkEnd w:id="11"/>
      <w:r/>
      <w:bookmarkEnd w:id="12"/>
      <w:r/>
      <w:r/>
    </w:p>
    <w:p>
      <w:pPr>
        <w:pStyle w:val="1186"/>
        <w:ind w:firstLine="482"/>
        <w:spacing w:before="145" w:after="145" w:line="360" w:lineRule="auto"/>
        <w:rPr>
          <w:highlight w:val="none"/>
        </w:rPr>
      </w:pPr>
      <w:r/>
      <w:bookmarkStart w:id="13" w:name="_Toc16938519"/>
      <w:r/>
      <w:bookmarkStart w:id="14" w:name="_Toc120614214"/>
      <w:r/>
      <w:bookmarkStart w:id="15" w:name="_Toc20823275"/>
      <w:r/>
      <w:bookmarkStart w:id="16" w:name="_Toc513029203"/>
      <w:r/>
      <w:bookmarkStart w:id="17" w:name="_Toc20823314"/>
      <w:r/>
      <w:bookmarkStart w:id="18" w:name="_Toc16938558"/>
      <w:r/>
      <w:bookmarkStart w:id="19" w:name="_Toc120614221"/>
      <w:r/>
      <w:bookmarkStart w:id="20" w:name="_Toc513029242"/>
      <w:r/>
      <w:bookmarkStart w:id="21" w:name="_Toc479757207"/>
      <w:r>
        <w:rPr>
          <w:rFonts w:hint="eastAsia"/>
          <w:highlight w:val="none"/>
        </w:rPr>
        <w:t xml:space="preserve">一、总则</w:t>
      </w:r>
      <w:bookmarkEnd w:id="13"/>
      <w:r/>
      <w:bookmarkEnd w:id="14"/>
      <w:r/>
      <w:bookmarkEnd w:id="15"/>
      <w:r/>
      <w:bookmarkEnd w:id="16"/>
      <w:r/>
      <w:r/>
    </w:p>
    <w:p>
      <w:pPr>
        <w:pStyle w:val="1188"/>
        <w:ind w:firstLine="420"/>
        <w:spacing w:before="0" w:after="0" w:line="360" w:lineRule="auto"/>
        <w:rPr>
          <w:rFonts w:ascii="黑体" w:hAnsi="黑体" w:cs="黑体"/>
          <w:b w:val="0"/>
          <w:bCs w:val="0"/>
          <w:highlight w:val="none"/>
        </w:rPr>
      </w:pPr>
      <w:r/>
      <w:bookmarkStart w:id="22" w:name="_Hlt16619475"/>
      <w:r/>
      <w:bookmarkEnd w:id="22"/>
      <w:r/>
      <w:bookmarkStart w:id="23" w:name="_Toc458694821"/>
      <w:r/>
      <w:bookmarkStart w:id="24" w:name="_Toc16938520"/>
      <w:r/>
      <w:bookmarkStart w:id="25" w:name="_Toc513029204"/>
      <w:r/>
      <w:bookmarkStart w:id="26" w:name="_Toc20823276"/>
      <w:r>
        <w:rPr>
          <w:rFonts w:hint="eastAsia" w:ascii="黑体" w:hAnsi="黑体" w:cs="黑体"/>
          <w:b w:val="0"/>
          <w:bCs w:val="0"/>
          <w:highlight w:val="none"/>
        </w:rPr>
        <w:t xml:space="preserve">1</w:t>
      </w:r>
      <w:bookmarkEnd w:id="23"/>
      <w:r>
        <w:rPr>
          <w:rFonts w:hint="eastAsia" w:ascii="黑体" w:hAnsi="黑体" w:cs="黑体"/>
          <w:b w:val="0"/>
          <w:bCs w:val="0"/>
          <w:highlight w:val="none"/>
        </w:rPr>
        <w:t xml:space="preserve">、招标方式</w:t>
      </w:r>
      <w:bookmarkEnd w:id="24"/>
      <w:r/>
      <w:bookmarkEnd w:id="25"/>
      <w:r/>
      <w:bookmarkEnd w:id="26"/>
      <w:r/>
      <w:r/>
    </w:p>
    <w:p>
      <w:pPr>
        <w:ind w:firstLine="420"/>
        <w:spacing w:line="360" w:lineRule="auto"/>
        <w:rPr>
          <w:rFonts w:ascii="宋体" w:hAnsi="宋体"/>
          <w:sz w:val="24"/>
          <w:highlight w:val="none"/>
        </w:rPr>
      </w:pPr>
      <w:r>
        <w:rPr>
          <w:rFonts w:hint="eastAsia" w:ascii="宋体" w:hAnsi="宋体"/>
          <w:sz w:val="24"/>
          <w:highlight w:val="none"/>
        </w:rPr>
        <w:t xml:space="preserve">1.1 本次招标采取公开招标方式，本招标文件仅适用于招标公告中所述项目。</w:t>
      </w:r>
      <w:r/>
    </w:p>
    <w:p>
      <w:pPr>
        <w:pStyle w:val="1188"/>
        <w:ind w:firstLine="420"/>
        <w:spacing w:before="0" w:after="0" w:line="360" w:lineRule="auto"/>
        <w:rPr>
          <w:rFonts w:ascii="黑体" w:hAnsi="黑体" w:cs="黑体"/>
          <w:b w:val="0"/>
          <w:bCs w:val="0"/>
          <w:highlight w:val="none"/>
        </w:rPr>
      </w:pPr>
      <w:r/>
      <w:bookmarkStart w:id="27" w:name="_Toc20823277"/>
      <w:r/>
      <w:bookmarkStart w:id="28" w:name="_Toc16938521"/>
      <w:r/>
      <w:bookmarkStart w:id="29" w:name="_Toc513029205"/>
      <w:r>
        <w:rPr>
          <w:rFonts w:hint="eastAsia" w:ascii="黑体" w:hAnsi="黑体" w:cs="黑体"/>
          <w:b w:val="0"/>
          <w:bCs w:val="0"/>
          <w:highlight w:val="none"/>
        </w:rPr>
        <w:t xml:space="preserve">2、合格的投标人</w:t>
      </w:r>
      <w:bookmarkEnd w:id="27"/>
      <w:r/>
      <w:bookmarkEnd w:id="28"/>
      <w:r/>
      <w:bookmarkEnd w:id="29"/>
      <w:r/>
      <w:r/>
    </w:p>
    <w:p>
      <w:pPr>
        <w:ind w:firstLine="420"/>
        <w:spacing w:line="360" w:lineRule="auto"/>
        <w:rPr>
          <w:rFonts w:ascii="宋体" w:hAnsi="宋体"/>
          <w:sz w:val="24"/>
          <w:highlight w:val="none"/>
        </w:rPr>
      </w:pPr>
      <w:r>
        <w:rPr>
          <w:rFonts w:hint="eastAsia" w:ascii="宋体" w:hAnsi="宋体"/>
          <w:sz w:val="24"/>
          <w:highlight w:val="none"/>
        </w:rPr>
        <w:t xml:space="preserve">2.1 满足招标公告对</w:t>
      </w:r>
      <w:r>
        <w:rPr>
          <w:rFonts w:hint="eastAsia" w:ascii="宋体" w:hAnsi="宋体"/>
          <w:sz w:val="24"/>
          <w:highlight w:val="none"/>
          <w:lang w:val="en-US" w:eastAsia="zh-CN"/>
        </w:rPr>
        <w:t xml:space="preserve">投标人</w:t>
      </w:r>
      <w:r>
        <w:rPr>
          <w:rFonts w:hint="eastAsia" w:ascii="宋体" w:hAnsi="宋体"/>
          <w:sz w:val="24"/>
          <w:highlight w:val="none"/>
        </w:rPr>
        <w:t xml:space="preserve">的资格要求的规定。</w:t>
      </w:r>
      <w:r/>
    </w:p>
    <w:p>
      <w:pPr>
        <w:ind w:firstLine="420"/>
        <w:spacing w:line="360" w:lineRule="auto"/>
        <w:rPr>
          <w:rFonts w:ascii="宋体" w:hAnsi="宋体"/>
          <w:sz w:val="24"/>
          <w:highlight w:val="none"/>
        </w:rPr>
      </w:pPr>
      <w:r>
        <w:rPr>
          <w:rFonts w:hint="eastAsia" w:ascii="宋体" w:hAnsi="宋体"/>
          <w:sz w:val="24"/>
          <w:highlight w:val="none"/>
        </w:rPr>
        <w:t xml:space="preserve">2.2 满足本文件规定的实质性要求和条件。</w:t>
      </w:r>
      <w:r/>
    </w:p>
    <w:p>
      <w:pPr>
        <w:pStyle w:val="1188"/>
        <w:ind w:firstLine="420"/>
        <w:spacing w:before="0" w:after="0" w:line="360" w:lineRule="auto"/>
        <w:rPr>
          <w:rFonts w:ascii="黑体" w:hAnsi="黑体" w:cs="黑体"/>
          <w:b w:val="0"/>
          <w:bCs w:val="0"/>
          <w:highlight w:val="none"/>
        </w:rPr>
      </w:pPr>
      <w:r/>
      <w:bookmarkStart w:id="30" w:name="_Toc513029206"/>
      <w:r/>
      <w:bookmarkStart w:id="31" w:name="_Toc16938522"/>
      <w:r/>
      <w:bookmarkStart w:id="32" w:name="_Toc20823278"/>
      <w:r>
        <w:rPr>
          <w:rFonts w:hint="eastAsia" w:ascii="黑体" w:hAnsi="黑体" w:cs="黑体"/>
          <w:b w:val="0"/>
          <w:bCs w:val="0"/>
          <w:highlight w:val="none"/>
        </w:rPr>
        <w:t xml:space="preserve">3、适用法律</w:t>
      </w:r>
      <w:bookmarkEnd w:id="30"/>
      <w:r/>
      <w:bookmarkEnd w:id="31"/>
      <w:r/>
      <w:bookmarkEnd w:id="32"/>
      <w:r/>
      <w:r/>
    </w:p>
    <w:p>
      <w:pPr>
        <w:ind w:firstLine="420"/>
        <w:spacing w:line="360" w:lineRule="auto"/>
        <w:rPr>
          <w:rFonts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p>
    <w:p>
      <w:pPr>
        <w:pStyle w:val="1188"/>
        <w:ind w:firstLine="420"/>
        <w:spacing w:before="0" w:after="0" w:line="360" w:lineRule="auto"/>
        <w:rPr>
          <w:rFonts w:ascii="黑体" w:hAnsi="黑体" w:cs="黑体"/>
          <w:b w:val="0"/>
          <w:bCs w:val="0"/>
          <w:highlight w:val="none"/>
        </w:rPr>
      </w:pPr>
      <w:r/>
      <w:bookmarkStart w:id="33" w:name="_Toc16938523"/>
      <w:r/>
      <w:bookmarkStart w:id="34" w:name="_Toc513029207"/>
      <w:r/>
      <w:bookmarkStart w:id="35" w:name="_Toc20823279"/>
      <w:r/>
      <w:bookmarkStart w:id="36" w:name="_Toc462564067"/>
      <w:r>
        <w:rPr>
          <w:rFonts w:hint="eastAsia" w:ascii="黑体" w:hAnsi="黑体" w:cs="黑体"/>
          <w:b w:val="0"/>
          <w:bCs w:val="0"/>
          <w:highlight w:val="none"/>
        </w:rPr>
        <w:t xml:space="preserve">4、投标费用</w:t>
      </w:r>
      <w:bookmarkEnd w:id="33"/>
      <w:r/>
      <w:bookmarkEnd w:id="34"/>
      <w:r/>
      <w:bookmarkEnd w:id="35"/>
      <w:r/>
      <w:bookmarkEnd w:id="36"/>
      <w:r/>
      <w:r/>
    </w:p>
    <w:p>
      <w:pPr>
        <w:ind w:firstLine="420"/>
        <w:spacing w:line="360" w:lineRule="auto"/>
        <w:rPr>
          <w:rFonts w:ascii="宋体" w:hAnsi="宋体"/>
          <w:sz w:val="24"/>
          <w:highlight w:val="none"/>
        </w:rPr>
      </w:pPr>
      <w:r>
        <w:rPr>
          <w:rFonts w:hint="eastAsia" w:ascii="宋体" w:hAnsi="宋体"/>
          <w:sz w:val="24"/>
          <w:highlight w:val="none"/>
        </w:rPr>
        <w:t xml:space="preserve">4.1 投标人应自行承担所有与参加投标有关的费用，无论投标过程中的做法和结果如何，</w:t>
      </w:r>
      <w:r>
        <w:rPr>
          <w:rFonts w:hint="eastAsia" w:ascii="宋体" w:hAnsi="宋体"/>
          <w:sz w:val="24"/>
          <w:highlight w:val="none"/>
          <w:lang w:eastAsia="zh-CN"/>
        </w:rPr>
        <w:t xml:space="preserve">江苏臻采招标代理有限公司</w:t>
      </w:r>
      <w:r>
        <w:rPr>
          <w:rFonts w:hint="eastAsia" w:ascii="宋体" w:hAnsi="宋体"/>
          <w:sz w:val="24"/>
          <w:highlight w:val="none"/>
        </w:rPr>
        <w:t xml:space="preserve">（以下简称</w:t>
      </w:r>
      <w:r>
        <w:rPr>
          <w:rFonts w:hint="eastAsia" w:ascii="宋体" w:hAnsi="宋体"/>
          <w:sz w:val="24"/>
          <w:highlight w:val="none"/>
          <w:lang w:eastAsia="zh-CN"/>
        </w:rPr>
        <w:t xml:space="preserve">代理机构</w:t>
      </w:r>
      <w:r>
        <w:rPr>
          <w:rFonts w:hint="eastAsia" w:ascii="宋体" w:hAnsi="宋体"/>
          <w:sz w:val="24"/>
          <w:highlight w:val="none"/>
        </w:rPr>
        <w:t xml:space="preserve">）在任何情况下均无义务和责任承担这些费用。</w:t>
      </w:r>
      <w:r/>
    </w:p>
    <w:p>
      <w:pPr>
        <w:ind w:firstLine="420"/>
        <w:spacing w:line="360" w:lineRule="auto"/>
        <w:rPr>
          <w:rFonts w:hint="eastAsia" w:ascii="宋体" w:hAnsi="宋体" w:eastAsia="宋体"/>
          <w:sz w:val="24"/>
          <w:highlight w:val="none"/>
          <w:lang w:eastAsia="zh-CN"/>
        </w:rPr>
      </w:pPr>
      <w:r>
        <w:rPr>
          <w:rFonts w:hint="eastAsia" w:ascii="宋体" w:hAnsi="宋体"/>
          <w:sz w:val="24"/>
          <w:highlight w:val="none"/>
        </w:rPr>
        <w:t xml:space="preserve">4.2 </w:t>
      </w:r>
      <w:r>
        <w:rPr>
          <w:rFonts w:hint="eastAsia" w:ascii="宋体" w:hAnsi="宋体"/>
          <w:sz w:val="24"/>
          <w:highlight w:val="none"/>
          <w:lang w:eastAsia="zh-CN"/>
        </w:rPr>
        <w:t xml:space="preserve">本次采购代理服务费的收取按《招标代理服务收费管理暂行办法》（计价格[2002]1980号）文件规定的32%收费标准向成交供应商收取服务费，如单个项目代理费用低于2000元的按2000元收取。（如遇特殊项目，双方共同协商确定），成交供应商领取《成交通知书》时向招标代理机构缴纳费用。根据财库〔2018〕2号《政府招标代理机构管理暂行办法》第十五条之规定，成交供应商凭《成交通知书》与采购人签订合同。</w:t>
      </w:r>
      <w:r/>
    </w:p>
    <w:p>
      <w:pPr>
        <w:pStyle w:val="1188"/>
        <w:ind w:firstLine="420"/>
        <w:spacing w:before="0" w:after="0" w:line="360" w:lineRule="auto"/>
        <w:rPr>
          <w:rFonts w:ascii="黑体" w:hAnsi="黑体" w:cs="黑体"/>
          <w:b w:val="0"/>
          <w:bCs w:val="0"/>
          <w:highlight w:val="none"/>
        </w:rPr>
      </w:pPr>
      <w:r>
        <w:rPr>
          <w:rFonts w:hint="eastAsia" w:ascii="黑体" w:hAnsi="黑体" w:cs="黑体"/>
          <w:b w:val="0"/>
          <w:bCs w:val="0"/>
          <w:highlight w:val="none"/>
        </w:rPr>
        <w:t xml:space="preserve">5、招标文件的约束力</w:t>
      </w:r>
      <w:r/>
    </w:p>
    <w:p>
      <w:pPr>
        <w:ind w:firstLine="420"/>
        <w:spacing w:line="360" w:lineRule="auto"/>
        <w:rPr>
          <w:rFonts w:ascii="宋体" w:hAnsi="宋体"/>
          <w:sz w:val="24"/>
          <w:highlight w:val="none"/>
        </w:rPr>
      </w:pPr>
      <w:r>
        <w:rPr>
          <w:rFonts w:hint="eastAsia" w:ascii="宋体" w:hAnsi="宋体"/>
          <w:sz w:val="24"/>
          <w:highlight w:val="none"/>
        </w:rPr>
        <w:t xml:space="preserve">5.1 投标人一旦参加本项目采购活动，即被认为接受了本招标文件的规定和约束。</w:t>
      </w:r>
      <w:r/>
    </w:p>
    <w:p>
      <w:pPr>
        <w:pStyle w:val="1186"/>
        <w:ind w:firstLine="482"/>
        <w:spacing w:before="145" w:after="145" w:line="360" w:lineRule="auto"/>
        <w:rPr>
          <w:highlight w:val="none"/>
        </w:rPr>
      </w:pPr>
      <w:r/>
      <w:bookmarkStart w:id="37" w:name="_Toc513029209"/>
      <w:r/>
      <w:bookmarkStart w:id="38" w:name="_Toc120614215"/>
      <w:r/>
      <w:bookmarkStart w:id="39" w:name="_Toc16938525"/>
      <w:r/>
      <w:bookmarkStart w:id="40" w:name="_Toc20823281"/>
      <w:r>
        <w:rPr>
          <w:rFonts w:hint="eastAsia"/>
          <w:highlight w:val="none"/>
        </w:rPr>
        <w:t xml:space="preserve">二、招标文件</w:t>
      </w:r>
      <w:bookmarkEnd w:id="37"/>
      <w:r/>
      <w:bookmarkEnd w:id="38"/>
      <w:r/>
      <w:bookmarkEnd w:id="39"/>
      <w:r/>
      <w:bookmarkEnd w:id="40"/>
      <w:r/>
      <w:r/>
    </w:p>
    <w:p>
      <w:pPr>
        <w:pStyle w:val="1188"/>
        <w:ind w:firstLine="420"/>
        <w:spacing w:before="0" w:after="0" w:line="360" w:lineRule="auto"/>
        <w:rPr>
          <w:rFonts w:ascii="黑体" w:hAnsi="黑体" w:cs="黑体"/>
          <w:b w:val="0"/>
          <w:bCs w:val="0"/>
          <w:highlight w:val="none"/>
        </w:rPr>
      </w:pPr>
      <w:r/>
      <w:bookmarkStart w:id="41" w:name="_Toc20823282"/>
      <w:r/>
      <w:bookmarkStart w:id="42" w:name="_Toc16938526"/>
      <w:r/>
      <w:bookmarkStart w:id="43" w:name="_Toc513029210"/>
      <w:r>
        <w:rPr>
          <w:rFonts w:hint="eastAsia" w:ascii="黑体" w:hAnsi="黑体" w:cs="黑体"/>
          <w:b w:val="0"/>
          <w:bCs w:val="0"/>
          <w:highlight w:val="none"/>
        </w:rPr>
        <w:t xml:space="preserve">6、招标文件构成</w:t>
      </w:r>
      <w:bookmarkEnd w:id="41"/>
      <w:r/>
      <w:bookmarkEnd w:id="42"/>
      <w:r/>
      <w:bookmarkEnd w:id="43"/>
      <w:r/>
      <w:r/>
    </w:p>
    <w:p>
      <w:pPr>
        <w:ind w:firstLine="420"/>
        <w:spacing w:line="360" w:lineRule="auto"/>
        <w:rPr>
          <w:rFonts w:ascii="宋体" w:hAnsi="宋体"/>
          <w:sz w:val="24"/>
          <w:highlight w:val="none"/>
        </w:rPr>
      </w:pPr>
      <w:r>
        <w:rPr>
          <w:rFonts w:hint="eastAsia" w:ascii="宋体" w:hAnsi="宋体"/>
          <w:sz w:val="24"/>
          <w:highlight w:val="none"/>
        </w:rPr>
        <w:t xml:space="preserve">6.1 招标文件由以下部分组成：</w:t>
      </w:r>
      <w:r/>
    </w:p>
    <w:p>
      <w:pPr>
        <w:ind w:firstLine="420"/>
        <w:spacing w:line="360" w:lineRule="auto"/>
        <w:rPr>
          <w:rFonts w:ascii="宋体" w:hAnsi="宋体"/>
          <w:sz w:val="24"/>
          <w:highlight w:val="none"/>
        </w:rPr>
      </w:pPr>
      <w:r>
        <w:rPr>
          <w:rFonts w:hint="eastAsia" w:ascii="宋体" w:hAnsi="宋体"/>
          <w:sz w:val="24"/>
          <w:highlight w:val="none"/>
        </w:rPr>
        <w:t xml:space="preserve">（1）投标邀请</w:t>
      </w:r>
      <w:r/>
    </w:p>
    <w:p>
      <w:pPr>
        <w:ind w:firstLine="420"/>
        <w:spacing w:line="360" w:lineRule="auto"/>
        <w:rPr>
          <w:rFonts w:ascii="宋体" w:hAnsi="宋体"/>
          <w:sz w:val="24"/>
          <w:highlight w:val="none"/>
        </w:rPr>
      </w:pPr>
      <w:r>
        <w:rPr>
          <w:rFonts w:hint="eastAsia" w:ascii="宋体" w:hAnsi="宋体"/>
          <w:sz w:val="24"/>
          <w:highlight w:val="none"/>
        </w:rPr>
        <w:t xml:space="preserve">（2）投标人须知</w:t>
      </w:r>
      <w:r/>
    </w:p>
    <w:p>
      <w:pPr>
        <w:ind w:firstLine="420"/>
        <w:spacing w:line="360" w:lineRule="auto"/>
        <w:rPr>
          <w:rFonts w:ascii="宋体" w:hAnsi="宋体"/>
          <w:sz w:val="24"/>
          <w:highlight w:val="none"/>
        </w:rPr>
      </w:pPr>
      <w:r>
        <w:rPr>
          <w:rFonts w:hint="eastAsia" w:ascii="宋体" w:hAnsi="宋体"/>
          <w:sz w:val="24"/>
          <w:highlight w:val="none"/>
        </w:rPr>
        <w:t xml:space="preserve">（3）合同文本</w:t>
      </w:r>
      <w:r/>
    </w:p>
    <w:p>
      <w:pPr>
        <w:ind w:firstLine="420"/>
        <w:spacing w:line="360" w:lineRule="auto"/>
        <w:rPr>
          <w:rFonts w:ascii="宋体" w:hAnsi="宋体"/>
          <w:sz w:val="24"/>
          <w:highlight w:val="none"/>
        </w:rPr>
      </w:pPr>
      <w:r>
        <w:rPr>
          <w:rFonts w:hint="eastAsia" w:ascii="宋体" w:hAnsi="宋体"/>
          <w:sz w:val="24"/>
          <w:highlight w:val="none"/>
        </w:rPr>
        <w:t xml:space="preserve">（4）采购需求</w:t>
      </w:r>
      <w:r/>
    </w:p>
    <w:p>
      <w:pPr>
        <w:ind w:firstLine="420"/>
        <w:spacing w:line="360" w:lineRule="auto"/>
        <w:rPr>
          <w:rFonts w:ascii="宋体" w:hAnsi="宋体"/>
          <w:sz w:val="24"/>
          <w:highlight w:val="none"/>
        </w:rPr>
      </w:pPr>
      <w:r>
        <w:rPr>
          <w:rFonts w:hint="eastAsia" w:ascii="宋体" w:hAnsi="宋体"/>
          <w:sz w:val="24"/>
          <w:highlight w:val="none"/>
        </w:rPr>
        <w:t xml:space="preserve">（5）评标方法与评标标准</w:t>
      </w:r>
      <w:r/>
    </w:p>
    <w:p>
      <w:pPr>
        <w:ind w:firstLine="420"/>
        <w:spacing w:line="360" w:lineRule="auto"/>
        <w:rPr>
          <w:rFonts w:ascii="宋体" w:hAnsi="宋体"/>
          <w:sz w:val="24"/>
          <w:highlight w:val="none"/>
        </w:rPr>
      </w:pPr>
      <w:r>
        <w:rPr>
          <w:rFonts w:hint="eastAsia" w:ascii="宋体" w:hAnsi="宋体"/>
          <w:sz w:val="24"/>
          <w:highlight w:val="none"/>
        </w:rPr>
        <w:t xml:space="preserve">（6）投标文件格式</w:t>
      </w:r>
      <w:r/>
    </w:p>
    <w:p>
      <w:pPr>
        <w:ind w:firstLine="420"/>
        <w:spacing w:line="360" w:lineRule="auto"/>
        <w:rPr>
          <w:rFonts w:ascii="宋体" w:hAnsi="宋体"/>
          <w:sz w:val="24"/>
          <w:highlight w:val="none"/>
        </w:rPr>
      </w:pPr>
      <w:r>
        <w:rPr>
          <w:rFonts w:hint="eastAsia" w:ascii="宋体" w:hAnsi="宋体"/>
          <w:sz w:val="24"/>
          <w:highlight w:val="none"/>
        </w:rPr>
        <w:t xml:space="preserve">投标人应仔细检查招标文件是否齐全，如有缺漏请立即与</w:t>
      </w:r>
      <w:r>
        <w:rPr>
          <w:rFonts w:hint="eastAsia" w:ascii="宋体" w:hAnsi="宋体"/>
          <w:sz w:val="24"/>
          <w:highlight w:val="none"/>
          <w:lang w:eastAsia="zh-CN"/>
        </w:rPr>
        <w:t xml:space="preserve">代理机构</w:t>
      </w:r>
      <w:r>
        <w:rPr>
          <w:rFonts w:hint="eastAsia" w:ascii="宋体" w:hAnsi="宋体"/>
          <w:sz w:val="24"/>
          <w:highlight w:val="none"/>
        </w:rPr>
        <w:t xml:space="preserve">联系解决。</w:t>
      </w:r>
      <w:r/>
    </w:p>
    <w:p>
      <w:pPr>
        <w:ind w:firstLine="420"/>
        <w:spacing w:line="360" w:lineRule="auto"/>
        <w:rPr>
          <w:rFonts w:ascii="宋体" w:hAnsi="宋体"/>
          <w:sz w:val="24"/>
          <w:highlight w:val="none"/>
        </w:rPr>
      </w:pPr>
      <w:r>
        <w:rPr>
          <w:rFonts w:hint="eastAsia" w:ascii="宋体" w:hAnsi="宋体"/>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88"/>
        <w:ind w:firstLine="420"/>
        <w:spacing w:before="0" w:after="0" w:line="360" w:lineRule="auto"/>
        <w:rPr>
          <w:rFonts w:ascii="黑体" w:hAnsi="黑体" w:cs="黑体"/>
          <w:b w:val="0"/>
          <w:bCs w:val="0"/>
          <w:highlight w:val="none"/>
        </w:rPr>
      </w:pPr>
      <w:r/>
      <w:bookmarkStart w:id="44" w:name="_Toc20823283"/>
      <w:r/>
      <w:bookmarkStart w:id="45" w:name="_Toc462564070"/>
      <w:r/>
      <w:bookmarkStart w:id="46" w:name="_Toc513029211"/>
      <w:r/>
      <w:bookmarkStart w:id="47" w:name="_Toc16938527"/>
      <w:r>
        <w:rPr>
          <w:rFonts w:hint="eastAsia" w:ascii="黑体" w:hAnsi="黑体" w:cs="黑体"/>
          <w:b w:val="0"/>
          <w:bCs w:val="0"/>
          <w:highlight w:val="none"/>
        </w:rPr>
        <w:t xml:space="preserve">7、招标文件的澄清</w:t>
      </w:r>
      <w:bookmarkEnd w:id="44"/>
      <w:r/>
      <w:bookmarkEnd w:id="45"/>
      <w:r/>
      <w:bookmarkEnd w:id="46"/>
      <w:r/>
      <w:bookmarkEnd w:id="47"/>
      <w:r/>
      <w:r/>
    </w:p>
    <w:p>
      <w:pPr>
        <w:ind w:firstLine="420"/>
        <w:spacing w:line="360" w:lineRule="auto"/>
        <w:rPr>
          <w:rFonts w:ascii="宋体" w:hAnsi="宋体"/>
          <w:sz w:val="24"/>
          <w:highlight w:val="none"/>
        </w:rPr>
      </w:pPr>
      <w:r>
        <w:rPr>
          <w:rFonts w:hint="eastAsia" w:ascii="宋体" w:hAnsi="宋体"/>
          <w:sz w:val="24"/>
          <w:highlight w:val="none"/>
        </w:rPr>
        <w:t xml:space="preserve">7.1 任何要求对招标文件进行澄清的投标人，应在投标截止期十日前按招标公告中的通讯地址，以书面形式通知</w:t>
      </w:r>
      <w:r>
        <w:rPr>
          <w:rFonts w:hint="eastAsia" w:ascii="宋体" w:hAnsi="宋体"/>
          <w:sz w:val="24"/>
          <w:highlight w:val="none"/>
          <w:lang w:eastAsia="zh-CN"/>
        </w:rPr>
        <w:t xml:space="preserve">代理机构</w:t>
      </w:r>
      <w:r>
        <w:rPr>
          <w:rFonts w:hint="eastAsia" w:ascii="宋体" w:hAnsi="宋体"/>
          <w:sz w:val="24"/>
          <w:highlight w:val="none"/>
        </w:rPr>
        <w:t xml:space="preserve">。</w:t>
      </w:r>
      <w:r/>
    </w:p>
    <w:p>
      <w:pPr>
        <w:pStyle w:val="1188"/>
        <w:ind w:firstLine="420"/>
        <w:spacing w:before="0" w:after="0" w:line="360" w:lineRule="auto"/>
        <w:rPr>
          <w:rFonts w:ascii="黑体" w:hAnsi="黑体" w:cs="黑体"/>
          <w:b w:val="0"/>
          <w:bCs w:val="0"/>
          <w:highlight w:val="none"/>
        </w:rPr>
      </w:pPr>
      <w:r/>
      <w:bookmarkStart w:id="48" w:name="_Toc513029212"/>
      <w:r/>
      <w:bookmarkStart w:id="49" w:name="_Toc20823284"/>
      <w:r/>
      <w:bookmarkStart w:id="50" w:name="_Toc16938528"/>
      <w:r/>
      <w:bookmarkStart w:id="51" w:name="_Toc462564071"/>
      <w:r>
        <w:rPr>
          <w:rFonts w:hint="eastAsia" w:ascii="黑体" w:hAnsi="黑体" w:cs="黑体"/>
          <w:b w:val="0"/>
          <w:bCs w:val="0"/>
          <w:highlight w:val="none"/>
        </w:rPr>
        <w:t xml:space="preserve">8、招标文件的修改</w:t>
      </w:r>
      <w:bookmarkEnd w:id="48"/>
      <w:r/>
      <w:bookmarkEnd w:id="49"/>
      <w:r/>
      <w:bookmarkEnd w:id="50"/>
      <w:r/>
      <w:bookmarkEnd w:id="51"/>
      <w:r/>
      <w:r/>
    </w:p>
    <w:p>
      <w:pPr>
        <w:ind w:firstLine="420"/>
        <w:spacing w:line="360" w:lineRule="auto"/>
        <w:rPr>
          <w:rFonts w:ascii="宋体" w:hAnsi="宋体"/>
          <w:sz w:val="24"/>
          <w:highlight w:val="none"/>
        </w:rPr>
      </w:pPr>
      <w:r>
        <w:rPr>
          <w:rFonts w:hint="eastAsia" w:ascii="宋体" w:hAnsi="宋体"/>
          <w:sz w:val="24"/>
          <w:highlight w:val="none"/>
        </w:rPr>
        <w:t xml:space="preserve">8.1 在投标截止时间前，</w:t>
      </w:r>
      <w:r>
        <w:rPr>
          <w:rFonts w:hint="eastAsia" w:ascii="宋体" w:hAnsi="宋体"/>
          <w:sz w:val="24"/>
          <w:highlight w:val="none"/>
          <w:lang w:eastAsia="zh-CN"/>
        </w:rPr>
        <w:t xml:space="preserve">代理机构</w:t>
      </w:r>
      <w:r>
        <w:rPr>
          <w:rFonts w:hint="eastAsia" w:ascii="宋体" w:hAnsi="宋体"/>
          <w:sz w:val="24"/>
          <w:highlight w:val="none"/>
        </w:rPr>
        <w:t xml:space="preserve">可以对招标文件进行修改。招标文件的修改将在原公告媒体发布更正公告，更正内容将作为招标文件的组成部分，并对投标人具有约束力。</w:t>
      </w:r>
      <w:r/>
    </w:p>
    <w:p>
      <w:pPr>
        <w:ind w:firstLine="420"/>
        <w:spacing w:line="360" w:lineRule="auto"/>
        <w:rPr>
          <w:rFonts w:ascii="宋体" w:hAnsi="宋体"/>
          <w:sz w:val="24"/>
          <w:highlight w:val="none"/>
        </w:rPr>
      </w:pPr>
      <w:r>
        <w:rPr>
          <w:rFonts w:hint="eastAsia" w:ascii="宋体" w:hAnsi="宋体"/>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rPr>
          <w:rFonts w:ascii="宋体" w:hAnsi="宋体"/>
          <w:sz w:val="24"/>
          <w:highlight w:val="none"/>
        </w:rPr>
      </w:pPr>
      <w:r>
        <w:rPr>
          <w:rFonts w:hint="eastAsia" w:ascii="宋体" w:hAnsi="宋体"/>
          <w:sz w:val="24"/>
          <w:highlight w:val="none"/>
        </w:rPr>
        <w:t xml:space="preserve">8.3 </w:t>
      </w:r>
      <w:r>
        <w:rPr>
          <w:rFonts w:hint="eastAsia" w:ascii="宋体" w:hAnsi="宋体"/>
          <w:sz w:val="24"/>
          <w:highlight w:val="none"/>
          <w:lang w:eastAsia="zh-CN"/>
        </w:rPr>
        <w:t xml:space="preserve">代理机构</w:t>
      </w:r>
      <w:r>
        <w:rPr>
          <w:rFonts w:hint="eastAsia" w:ascii="宋体" w:hAnsi="宋体"/>
          <w:sz w:val="24"/>
          <w:highlight w:val="none"/>
        </w:rPr>
        <w:t xml:space="preserve">有权按照法定的要求推迟投标截止日期和开标日期，并在原公告媒体发布更正公告。</w:t>
      </w:r>
      <w:r/>
    </w:p>
    <w:p>
      <w:pPr>
        <w:pStyle w:val="1186"/>
        <w:ind w:firstLine="482"/>
        <w:spacing w:before="145" w:after="145" w:line="360" w:lineRule="auto"/>
        <w:rPr>
          <w:highlight w:val="none"/>
        </w:rPr>
      </w:pPr>
      <w:r/>
      <w:bookmarkStart w:id="52" w:name="_Toc462564072"/>
      <w:r/>
      <w:bookmarkStart w:id="53" w:name="_Toc120614216"/>
      <w:r/>
      <w:bookmarkStart w:id="54" w:name="_Toc513029213"/>
      <w:r/>
      <w:bookmarkStart w:id="55" w:name="_Toc20823285"/>
      <w:r/>
      <w:bookmarkStart w:id="56" w:name="_Toc16938529"/>
      <w:r>
        <w:rPr>
          <w:rFonts w:hint="eastAsia"/>
          <w:highlight w:val="none"/>
        </w:rPr>
        <w:t xml:space="preserve">三、投标文件的编制</w:t>
      </w:r>
      <w:bookmarkEnd w:id="52"/>
      <w:r/>
      <w:bookmarkEnd w:id="53"/>
      <w:r/>
      <w:bookmarkEnd w:id="54"/>
      <w:r/>
      <w:bookmarkEnd w:id="55"/>
      <w:r/>
      <w:bookmarkEnd w:id="56"/>
      <w:r/>
      <w:r/>
    </w:p>
    <w:p>
      <w:pPr>
        <w:pStyle w:val="1188"/>
        <w:ind w:firstLine="420"/>
        <w:spacing w:before="0" w:after="0" w:line="360" w:lineRule="auto"/>
        <w:rPr>
          <w:rFonts w:ascii="黑体" w:hAnsi="黑体" w:cs="黑体"/>
          <w:b w:val="0"/>
          <w:bCs w:val="0"/>
          <w:highlight w:val="none"/>
        </w:rPr>
      </w:pPr>
      <w:r/>
      <w:bookmarkStart w:id="57" w:name="_Toc513029214"/>
      <w:r/>
      <w:bookmarkStart w:id="58" w:name="_Toc20823286"/>
      <w:r/>
      <w:bookmarkStart w:id="59" w:name="_Toc16938530"/>
      <w:r/>
      <w:bookmarkStart w:id="60" w:name="_Toc462564073"/>
      <w:r>
        <w:rPr>
          <w:rFonts w:hint="eastAsia" w:ascii="黑体" w:hAnsi="黑体" w:cs="黑体"/>
          <w:b w:val="0"/>
          <w:bCs w:val="0"/>
          <w:highlight w:val="none"/>
        </w:rPr>
        <w:t xml:space="preserve">9、投标文件的语言及度量衡单位</w:t>
      </w:r>
      <w:bookmarkEnd w:id="57"/>
      <w:r/>
      <w:bookmarkEnd w:id="58"/>
      <w:r/>
      <w:bookmarkEnd w:id="59"/>
      <w:r/>
      <w:bookmarkEnd w:id="60"/>
      <w:r/>
      <w:r/>
    </w:p>
    <w:p>
      <w:pPr>
        <w:ind w:firstLine="420"/>
        <w:spacing w:line="360" w:lineRule="auto"/>
        <w:rPr>
          <w:rFonts w:ascii="宋体" w:hAnsi="宋体"/>
          <w:sz w:val="24"/>
          <w:highlight w:val="none"/>
        </w:rPr>
      </w:pPr>
      <w:r>
        <w:rPr>
          <w:rFonts w:hint="eastAsia" w:ascii="宋体" w:hAnsi="宋体"/>
          <w:sz w:val="24"/>
          <w:highlight w:val="none"/>
        </w:rPr>
        <w:t xml:space="preserve">9.1 投标人提交的投标文件以及投标人与</w:t>
      </w:r>
      <w:r>
        <w:rPr>
          <w:rFonts w:hint="eastAsia" w:ascii="宋体" w:hAnsi="宋体"/>
          <w:sz w:val="24"/>
          <w:highlight w:val="none"/>
          <w:lang w:eastAsia="zh-CN"/>
        </w:rPr>
        <w:t xml:space="preserve">代理机构</w:t>
      </w:r>
      <w:r>
        <w:rPr>
          <w:rFonts w:hint="eastAsia" w:ascii="宋体" w:hAnsi="宋体"/>
          <w:sz w:val="24"/>
          <w:highlight w:val="none"/>
        </w:rPr>
        <w:t xml:space="preserve">就有关投标的所有来往通知、函件和文件均应使用简体中文。</w:t>
      </w:r>
      <w:r/>
    </w:p>
    <w:p>
      <w:pPr>
        <w:ind w:firstLine="420"/>
        <w:spacing w:line="360" w:lineRule="auto"/>
        <w:rPr>
          <w:rFonts w:ascii="宋体" w:hAnsi="宋体"/>
          <w:sz w:val="24"/>
          <w:highlight w:val="none"/>
        </w:rPr>
      </w:pPr>
      <w:r>
        <w:rPr>
          <w:rFonts w:hint="eastAsia" w:ascii="宋体" w:hAnsi="宋体"/>
          <w:sz w:val="24"/>
          <w:highlight w:val="none"/>
        </w:rPr>
        <w:t xml:space="preserve">9.2 除技术性能另有规定外，投标文件所使用的度量衡单位，均须采用国家法定计量单位。</w:t>
      </w:r>
      <w:r/>
    </w:p>
    <w:p>
      <w:pPr>
        <w:pStyle w:val="1188"/>
        <w:ind w:firstLine="420"/>
        <w:spacing w:before="0" w:after="0" w:line="360" w:lineRule="auto"/>
        <w:rPr>
          <w:rFonts w:ascii="黑体" w:hAnsi="黑体" w:cs="黑体"/>
          <w:b w:val="0"/>
          <w:bCs w:val="0"/>
          <w:highlight w:val="none"/>
        </w:rPr>
      </w:pPr>
      <w:r/>
      <w:bookmarkStart w:id="61" w:name="_Toc16938531"/>
      <w:r/>
      <w:bookmarkStart w:id="62" w:name="_Toc20823287"/>
      <w:r/>
      <w:bookmarkStart w:id="63" w:name="_Toc462564074"/>
      <w:r/>
      <w:bookmarkStart w:id="64" w:name="_Toc513029215"/>
      <w:r>
        <w:rPr>
          <w:rFonts w:hint="eastAsia" w:ascii="黑体" w:hAnsi="黑体" w:cs="黑体"/>
          <w:b w:val="0"/>
          <w:bCs w:val="0"/>
          <w:highlight w:val="none"/>
        </w:rPr>
        <w:t xml:space="preserve">10、投标文件构成</w:t>
      </w:r>
      <w:bookmarkEnd w:id="61"/>
      <w:r/>
      <w:bookmarkEnd w:id="62"/>
      <w:r/>
      <w:bookmarkEnd w:id="63"/>
      <w:r/>
      <w:bookmarkEnd w:id="64"/>
      <w:r/>
      <w:r/>
    </w:p>
    <w:p>
      <w:pPr>
        <w:ind w:firstLine="420"/>
        <w:spacing w:line="360" w:lineRule="auto"/>
        <w:rPr>
          <w:rFonts w:ascii="宋体" w:hAnsi="宋体"/>
          <w:sz w:val="24"/>
          <w:highlight w:val="none"/>
        </w:rPr>
      </w:pPr>
      <w:r>
        <w:rPr>
          <w:rFonts w:hint="eastAsia" w:ascii="宋体" w:hAnsi="宋体"/>
          <w:sz w:val="24"/>
          <w:highlight w:val="none"/>
        </w:rPr>
        <w:t xml:space="preserve">10.1 投标人编写的投标文件应包括资格证明文件、符合性证明文件、投标报价</w:t>
      </w:r>
      <w:r>
        <w:rPr>
          <w:rFonts w:hint="eastAsia" w:ascii="宋体" w:hAnsi="宋体"/>
          <w:sz w:val="24"/>
          <w:highlight w:val="none"/>
          <w:lang w:val="en-US" w:eastAsia="zh-CN"/>
        </w:rPr>
        <w:t xml:space="preserve">明细</w:t>
      </w:r>
      <w:r>
        <w:rPr>
          <w:rFonts w:hint="eastAsia" w:ascii="宋体" w:hAnsi="宋体"/>
          <w:sz w:val="24"/>
          <w:highlight w:val="none"/>
        </w:rPr>
        <w:t xml:space="preserve">表、响应及偏离表、其他证明文件、投标函、开标一览表等部分。</w:t>
      </w:r>
      <w:r/>
    </w:p>
    <w:p>
      <w:pPr>
        <w:ind w:firstLine="420"/>
        <w:spacing w:line="360" w:lineRule="auto"/>
        <w:rPr>
          <w:rFonts w:ascii="宋体" w:hAnsi="宋体"/>
          <w:sz w:val="24"/>
          <w:highlight w:val="none"/>
        </w:rPr>
      </w:pPr>
      <w:r>
        <w:rPr>
          <w:rFonts w:hint="eastAsia" w:ascii="宋体" w:hAnsi="宋体"/>
          <w:sz w:val="24"/>
          <w:highlight w:val="none"/>
        </w:rPr>
        <w:t xml:space="preserve">10.2 如标书制作工具中格式和内容与“江苏政府采购网”发布的招标文件不一致，</w:t>
      </w:r>
      <w:r>
        <w:rPr>
          <w:rFonts w:hint="eastAsia" w:ascii="宋体" w:hAnsi="宋体"/>
          <w:b/>
          <w:bCs/>
          <w:sz w:val="24"/>
          <w:highlight w:val="none"/>
          <w:u w:val="single"/>
        </w:rPr>
        <w:t xml:space="preserve">以</w:t>
      </w:r>
      <w:r>
        <w:rPr>
          <w:rFonts w:hint="eastAsia" w:ascii="宋体" w:hAnsi="宋体"/>
          <w:b/>
          <w:bCs/>
          <w:sz w:val="24"/>
          <w:highlight w:val="none"/>
          <w:u w:val="single"/>
          <w:lang w:val="en-US" w:eastAsia="zh-CN"/>
        </w:rPr>
        <w:t xml:space="preserve">招标文件内的格式</w:t>
      </w:r>
      <w:r>
        <w:rPr>
          <w:rFonts w:hint="eastAsia" w:ascii="宋体" w:hAnsi="宋体"/>
          <w:b/>
          <w:bCs/>
          <w:sz w:val="24"/>
          <w:highlight w:val="none"/>
          <w:u w:val="single"/>
        </w:rPr>
        <w:t xml:space="preserve">为准。</w:t>
      </w:r>
      <w:r/>
    </w:p>
    <w:p>
      <w:pPr>
        <w:pStyle w:val="1188"/>
        <w:ind w:firstLine="420"/>
        <w:spacing w:before="0" w:after="0" w:line="360" w:lineRule="auto"/>
        <w:rPr>
          <w:rFonts w:ascii="黑体" w:hAnsi="黑体" w:cs="黑体"/>
          <w:b w:val="0"/>
          <w:bCs w:val="0"/>
          <w:highlight w:val="none"/>
        </w:rPr>
      </w:pPr>
      <w:r/>
      <w:bookmarkStart w:id="65" w:name="_Hlt26954838"/>
      <w:r/>
      <w:bookmarkEnd w:id="65"/>
      <w:r/>
      <w:bookmarkStart w:id="66" w:name="_Hlt26668975"/>
      <w:r/>
      <w:bookmarkEnd w:id="66"/>
      <w:r/>
      <w:bookmarkStart w:id="67" w:name="_Hlt26670360"/>
      <w:r/>
      <w:bookmarkEnd w:id="67"/>
      <w:r/>
      <w:bookmarkStart w:id="68" w:name="_Toc14577357"/>
      <w:r/>
      <w:bookmarkStart w:id="69" w:name="_Toc49090509"/>
      <w:r/>
      <w:bookmarkStart w:id="70" w:name="_Toc49090507"/>
      <w:r/>
      <w:bookmarkStart w:id="71" w:name="_Toc513029219"/>
      <w:r/>
      <w:bookmarkStart w:id="72" w:name="_Toc14577354"/>
      <w:r/>
      <w:bookmarkStart w:id="73" w:name="_Toc513029216"/>
      <w:r>
        <w:rPr>
          <w:rFonts w:hint="eastAsia" w:ascii="黑体" w:hAnsi="黑体" w:cs="黑体"/>
          <w:b w:val="0"/>
          <w:bCs w:val="0"/>
          <w:highlight w:val="none"/>
        </w:rPr>
        <w:t xml:space="preserve">11、证明投标人及投标标的符合招标文件规定的文件</w:t>
      </w:r>
      <w:bookmarkEnd w:id="68"/>
      <w:r/>
      <w:bookmarkEnd w:id="69"/>
      <w:r/>
      <w:bookmarkEnd w:id="70"/>
      <w:r/>
      <w:bookmarkEnd w:id="71"/>
      <w:r/>
      <w:bookmarkEnd w:id="72"/>
      <w:r/>
      <w:bookmarkEnd w:id="73"/>
      <w:r/>
      <w:r/>
    </w:p>
    <w:p>
      <w:pPr>
        <w:ind w:firstLine="420"/>
        <w:spacing w:line="360" w:lineRule="auto"/>
        <w:rPr>
          <w:rFonts w:ascii="宋体" w:hAnsi="宋体"/>
          <w:sz w:val="24"/>
          <w:highlight w:val="none"/>
        </w:rPr>
      </w:pPr>
      <w:r/>
      <w:bookmarkStart w:id="74" w:name="_Toc14577355"/>
      <w:r/>
      <w:bookmarkStart w:id="75" w:name="_Toc49090508"/>
      <w:r>
        <w:rPr>
          <w:rFonts w:hint="eastAsia" w:ascii="宋体" w:hAnsi="宋体"/>
          <w:sz w:val="24"/>
          <w:highlight w:val="none"/>
        </w:rPr>
        <w:t xml:space="preserve">11.1 投标人应按照法律、法规、规章和规范性文件以及招标文件要求提交证明文件，证明其及投标标的符合招标文件规定。</w:t>
      </w:r>
      <w:r/>
    </w:p>
    <w:p>
      <w:pPr>
        <w:ind w:firstLine="420"/>
        <w:spacing w:line="360" w:lineRule="auto"/>
        <w:rPr>
          <w:rFonts w:ascii="宋体" w:hAnsi="宋体"/>
          <w:sz w:val="24"/>
          <w:highlight w:val="none"/>
        </w:rPr>
      </w:pPr>
      <w:r>
        <w:rPr>
          <w:rFonts w:hint="eastAsia" w:ascii="宋体" w:hAnsi="宋体"/>
          <w:sz w:val="24"/>
          <w:highlight w:val="none"/>
        </w:rPr>
        <w:t xml:space="preserve">11.2 招标文件对证明文件无明确形式要求的，证明文件可以以文字资料、图纸和数据等形式提交。</w:t>
      </w:r>
      <w:r/>
    </w:p>
    <w:p>
      <w:pPr>
        <w:pStyle w:val="1188"/>
        <w:ind w:firstLine="420"/>
        <w:spacing w:before="0" w:after="0" w:line="360" w:lineRule="auto"/>
        <w:rPr>
          <w:rFonts w:ascii="黑体" w:hAnsi="黑体" w:cs="黑体"/>
          <w:b w:val="0"/>
          <w:bCs w:val="0"/>
          <w:highlight w:val="none"/>
        </w:rPr>
      </w:pPr>
      <w:r>
        <w:rPr>
          <w:rFonts w:hint="eastAsia" w:ascii="黑体" w:hAnsi="黑体" w:cs="黑体"/>
          <w:b w:val="0"/>
          <w:bCs w:val="0"/>
          <w:highlight w:val="none"/>
        </w:rPr>
        <w:t xml:space="preserve">12、投标报价</w:t>
      </w:r>
      <w:bookmarkEnd w:id="74"/>
      <w:r/>
      <w:bookmarkStart w:id="76" w:name="_Hlt26670373"/>
      <w:r/>
      <w:bookmarkEnd w:id="76"/>
      <w:r>
        <w:rPr>
          <w:rFonts w:hint="eastAsia" w:ascii="黑体" w:hAnsi="黑体" w:cs="黑体"/>
          <w:b w:val="0"/>
          <w:bCs w:val="0"/>
          <w:highlight w:val="none"/>
          <w:lang w:val="en-US" w:eastAsia="zh-CN"/>
        </w:rPr>
        <w:t xml:space="preserve">明细</w:t>
      </w:r>
      <w:r>
        <w:rPr>
          <w:rFonts w:hint="eastAsia" w:ascii="黑体" w:hAnsi="黑体" w:cs="黑体"/>
          <w:b w:val="0"/>
          <w:bCs w:val="0"/>
          <w:highlight w:val="none"/>
        </w:rPr>
        <w:t xml:space="preserve">表</w:t>
      </w:r>
      <w:bookmarkEnd w:id="75"/>
      <w:r/>
      <w:r/>
    </w:p>
    <w:p>
      <w:pPr>
        <w:ind w:firstLine="420"/>
        <w:spacing w:line="360" w:lineRule="auto"/>
        <w:rPr>
          <w:rFonts w:ascii="宋体" w:hAnsi="宋体"/>
          <w:sz w:val="24"/>
          <w:highlight w:val="none"/>
        </w:rPr>
      </w:pPr>
      <w:r>
        <w:rPr>
          <w:rFonts w:hint="eastAsia" w:ascii="宋体" w:hAnsi="宋体"/>
          <w:sz w:val="24"/>
          <w:highlight w:val="none"/>
        </w:rPr>
        <w:t xml:space="preserve">12.1 投</w:t>
      </w:r>
      <w:bookmarkStart w:id="77" w:name="_Hlt26954840"/>
      <w:r/>
      <w:bookmarkEnd w:id="77"/>
      <w:r>
        <w:rPr>
          <w:rFonts w:hint="eastAsia" w:ascii="宋体" w:hAnsi="宋体"/>
          <w:sz w:val="24"/>
          <w:highlight w:val="none"/>
        </w:rPr>
        <w:t xml:space="preserve">标人应按照招标文件规定格式填报投标报价</w:t>
      </w:r>
      <w:r>
        <w:rPr>
          <w:rFonts w:hint="eastAsia" w:ascii="宋体" w:hAnsi="宋体"/>
          <w:sz w:val="24"/>
          <w:highlight w:val="none"/>
          <w:lang w:val="en-US" w:eastAsia="zh-CN"/>
        </w:rPr>
        <w:t xml:space="preserve">明细</w:t>
      </w:r>
      <w:r>
        <w:rPr>
          <w:rFonts w:hint="eastAsia" w:ascii="宋体" w:hAnsi="宋体"/>
          <w:sz w:val="24"/>
          <w:highlight w:val="none"/>
        </w:rPr>
        <w:t xml:space="preserve">表</w:t>
      </w:r>
      <w:bookmarkStart w:id="78" w:name="_Hlt26670399"/>
      <w:r/>
      <w:bookmarkEnd w:id="78"/>
      <w:r>
        <w:rPr>
          <w:rFonts w:hint="eastAsia" w:ascii="宋体" w:hAnsi="宋体"/>
          <w:sz w:val="24"/>
          <w:highlight w:val="none"/>
        </w:rPr>
        <w:t xml:space="preserve">。</w:t>
      </w:r>
      <w:r/>
    </w:p>
    <w:p>
      <w:pPr>
        <w:ind w:firstLine="420"/>
        <w:spacing w:line="360" w:lineRule="auto"/>
        <w:rPr>
          <w:rFonts w:ascii="宋体" w:hAnsi="宋体"/>
          <w:sz w:val="24"/>
          <w:highlight w:val="none"/>
        </w:rPr>
      </w:pPr>
      <w:r>
        <w:rPr>
          <w:rFonts w:hint="eastAsia" w:ascii="宋体" w:hAnsi="宋体"/>
          <w:sz w:val="24"/>
          <w:highlight w:val="none"/>
        </w:rPr>
        <w:t xml:space="preserve">12.2 投标货币。投标文件中的单价和总价无特殊规定的采用人民币报价，以元为单位标注。招标文件中另有规定的按规定执行。</w:t>
      </w:r>
      <w:r/>
    </w:p>
    <w:p>
      <w:pPr>
        <w:pStyle w:val="1188"/>
        <w:ind w:firstLine="420"/>
        <w:spacing w:before="0" w:after="0" w:line="360" w:lineRule="auto"/>
        <w:rPr>
          <w:rFonts w:ascii="黑体" w:hAnsi="黑体" w:cs="黑体"/>
          <w:b w:val="0"/>
          <w:bCs w:val="0"/>
          <w:highlight w:val="none"/>
        </w:rPr>
      </w:pPr>
      <w:r/>
      <w:bookmarkStart w:id="79" w:name="_Hlt26954731"/>
      <w:r/>
      <w:bookmarkEnd w:id="79"/>
      <w:r/>
      <w:bookmarkStart w:id="80" w:name="_Hlt26954846"/>
      <w:r/>
      <w:bookmarkEnd w:id="80"/>
      <w:r/>
      <w:bookmarkStart w:id="81" w:name="_Hlt26670482"/>
      <w:r/>
      <w:bookmarkEnd w:id="81"/>
      <w:r/>
      <w:bookmarkStart w:id="82" w:name="_Hlt26954844"/>
      <w:r/>
      <w:bookmarkEnd w:id="82"/>
      <w:r/>
      <w:bookmarkStart w:id="83" w:name="_Hlt26954848"/>
      <w:r/>
      <w:bookmarkEnd w:id="83"/>
      <w:r/>
      <w:bookmarkStart w:id="84" w:name="_Hlt26670486"/>
      <w:r/>
      <w:bookmarkEnd w:id="84"/>
      <w:r/>
      <w:bookmarkStart w:id="85" w:name="_Hlt26668983"/>
      <w:r/>
      <w:bookmarkEnd w:id="85"/>
      <w:r/>
      <w:bookmarkStart w:id="86" w:name="_Hlt26670425"/>
      <w:r/>
      <w:bookmarkEnd w:id="86"/>
      <w:r/>
      <w:bookmarkStart w:id="87" w:name="_Hlt26670403"/>
      <w:r/>
      <w:bookmarkEnd w:id="87"/>
      <w:r/>
      <w:bookmarkStart w:id="88" w:name="_Hlt26954842"/>
      <w:r/>
      <w:bookmarkEnd w:id="88"/>
      <w:r>
        <w:rPr>
          <w:rFonts w:hint="eastAsia" w:ascii="黑体" w:hAnsi="黑体" w:cs="黑体"/>
          <w:b w:val="0"/>
          <w:bCs w:val="0"/>
          <w:highlight w:val="none"/>
        </w:rPr>
        <w:t xml:space="preserve">13、响应及偏离表</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13.1 投标人需对招标文件中的</w:t>
      </w:r>
      <w:r>
        <w:rPr>
          <w:rFonts w:hint="eastAsia" w:ascii="宋体" w:hAnsi="宋体"/>
          <w:sz w:val="24"/>
          <w:highlight w:val="none"/>
          <w:lang w:val="en-US" w:eastAsia="zh-CN"/>
        </w:rPr>
        <w:t xml:space="preserve">服务</w:t>
      </w:r>
      <w:r>
        <w:rPr>
          <w:rFonts w:hint="eastAsia" w:ascii="宋体" w:hAnsi="宋体"/>
          <w:sz w:val="24"/>
          <w:highlight w:val="none"/>
          <w:lang w:val="zh-CN"/>
        </w:rPr>
        <w:t xml:space="preserve">要求与商务要求逐项作出响应或偏离说明。</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13.2 投标人可以在投标文件中提供认为需要的其他技术文件或说明。</w:t>
      </w:r>
      <w:r/>
    </w:p>
    <w:p>
      <w:pPr>
        <w:pStyle w:val="1188"/>
        <w:ind w:firstLine="420"/>
        <w:spacing w:before="0" w:after="0" w:line="360" w:lineRule="auto"/>
        <w:rPr>
          <w:rFonts w:ascii="黑体" w:hAnsi="黑体" w:cs="黑体"/>
          <w:b w:val="0"/>
          <w:bCs w:val="0"/>
          <w:highlight w:val="none"/>
        </w:rPr>
      </w:pPr>
      <w:r/>
      <w:bookmarkStart w:id="89" w:name="_Toc14577359"/>
      <w:r/>
      <w:bookmarkStart w:id="90" w:name="_Toc49090510"/>
      <w:r>
        <w:rPr>
          <w:rFonts w:hint="eastAsia" w:ascii="黑体" w:hAnsi="黑体" w:cs="黑体"/>
          <w:b w:val="0"/>
          <w:bCs w:val="0"/>
          <w:highlight w:val="none"/>
        </w:rPr>
        <w:t xml:space="preserve">14、投标函和开标一览表</w:t>
      </w:r>
      <w:bookmarkEnd w:id="89"/>
      <w:r/>
      <w:bookmarkEnd w:id="90"/>
      <w:r/>
      <w:r/>
    </w:p>
    <w:p>
      <w:pPr>
        <w:ind w:firstLine="420"/>
        <w:spacing w:line="360" w:lineRule="auto"/>
        <w:rPr>
          <w:rFonts w:ascii="宋体" w:hAnsi="宋体"/>
          <w:color w:val="000000"/>
          <w:sz w:val="24"/>
          <w:highlight w:val="none"/>
          <w:lang w:val="zh-CN"/>
        </w:rPr>
      </w:pPr>
      <w:r/>
      <w:bookmarkStart w:id="91" w:name="_Hlt26954734"/>
      <w:r/>
      <w:bookmarkEnd w:id="91"/>
      <w:r/>
      <w:bookmarkStart w:id="92" w:name="_Hlt26954850"/>
      <w:r/>
      <w:bookmarkEnd w:id="92"/>
      <w:r/>
      <w:bookmarkStart w:id="93" w:name="_Hlt26670489"/>
      <w:r/>
      <w:bookmarkEnd w:id="93"/>
      <w:r/>
      <w:bookmarkStart w:id="94" w:name="_Toc14577360"/>
      <w:r/>
      <w:bookmarkStart w:id="95" w:name="_Toc49090511"/>
      <w:r>
        <w:rPr>
          <w:rFonts w:hint="eastAsia" w:ascii="宋体" w:hAnsi="宋体"/>
          <w:color w:val="000000"/>
          <w:sz w:val="24"/>
          <w:highlight w:val="none"/>
          <w:lang w:val="zh-CN"/>
        </w:rPr>
        <w:t xml:space="preserve">14.1 投标人应按照招标文件提供的格式完整、正确填写投标函、开标一览表，所投核心产品品牌缺项的将视为无效投标。</w:t>
      </w:r>
      <w:r/>
    </w:p>
    <w:p>
      <w:pPr>
        <w:ind w:firstLine="420"/>
        <w:spacing w:line="360" w:lineRule="auto"/>
        <w:rPr>
          <w:rFonts w:ascii="宋体" w:hAnsi="宋体"/>
          <w:color w:val="000000"/>
          <w:sz w:val="24"/>
          <w:highlight w:val="none"/>
          <w:lang w:val="zh-CN"/>
        </w:rPr>
      </w:pPr>
      <w:r>
        <w:rPr>
          <w:rFonts w:hint="eastAsia" w:ascii="宋体" w:hAnsi="宋体"/>
          <w:color w:val="000000"/>
          <w:sz w:val="24"/>
          <w:highlight w:val="none"/>
          <w:lang w:val="zh-CN"/>
        </w:rPr>
        <w:t xml:space="preserve">14.2 对于采用货币报价的项目，开标一览表中的投标总报价应与投标报价</w:t>
      </w:r>
      <w:r>
        <w:rPr>
          <w:rFonts w:hint="eastAsia" w:ascii="宋体" w:hAnsi="宋体"/>
          <w:color w:val="000000"/>
          <w:sz w:val="24"/>
          <w:highlight w:val="none"/>
          <w:lang w:val="en-US" w:eastAsia="zh-CN"/>
        </w:rPr>
        <w:t xml:space="preserve">明细</w:t>
      </w:r>
      <w:r>
        <w:rPr>
          <w:rFonts w:hint="eastAsia" w:ascii="宋体" w:hAnsi="宋体"/>
          <w:color w:val="000000"/>
          <w:sz w:val="24"/>
          <w:highlight w:val="none"/>
          <w:lang w:val="zh-CN"/>
        </w:rPr>
        <w:t xml:space="preserve">表中的投标总报价一致，如不一致，不作为无效投标处理，但评标时按开标一览表中价格为准。</w:t>
      </w:r>
      <w:r/>
    </w:p>
    <w:p>
      <w:pPr>
        <w:pStyle w:val="1188"/>
        <w:ind w:firstLine="420"/>
        <w:spacing w:before="0" w:after="0" w:line="360" w:lineRule="auto"/>
        <w:rPr>
          <w:rFonts w:ascii="黑体" w:hAnsi="黑体" w:cs="黑体"/>
          <w:b w:val="0"/>
          <w:bCs w:val="0"/>
          <w:highlight w:val="none"/>
        </w:rPr>
      </w:pPr>
      <w:r>
        <w:rPr>
          <w:rFonts w:hint="eastAsia" w:ascii="黑体" w:hAnsi="黑体" w:cs="黑体"/>
          <w:b w:val="0"/>
          <w:bCs w:val="0"/>
          <w:highlight w:val="none"/>
        </w:rPr>
        <w:t xml:space="preserve">15、投标有效期</w:t>
      </w:r>
      <w:bookmarkEnd w:id="94"/>
      <w:r/>
      <w:bookmarkEnd w:id="95"/>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15.1 投标有效期为开标之日后</w:t>
      </w:r>
      <w:r>
        <w:rPr>
          <w:rFonts w:hint="eastAsia" w:ascii="宋体" w:hAnsi="宋体"/>
          <w:sz w:val="24"/>
          <w:highlight w:val="none"/>
          <w:lang w:val="en-US" w:eastAsia="zh-CN"/>
        </w:rPr>
        <w:t xml:space="preserve">九十</w:t>
      </w:r>
      <w:r>
        <w:rPr>
          <w:rFonts w:hint="eastAsia" w:ascii="宋体" w:hAnsi="宋体"/>
          <w:sz w:val="24"/>
          <w:highlight w:val="none"/>
          <w:lang w:val="zh-CN"/>
        </w:rPr>
        <w:t xml:space="preserve">天。投标有效期比规定短的将被视为未实质性响应招标文件而予以拒绝。</w:t>
      </w:r>
      <w:r/>
    </w:p>
    <w:p>
      <w:pPr>
        <w:pStyle w:val="1188"/>
        <w:ind w:firstLine="420"/>
        <w:spacing w:before="0" w:after="0" w:line="360" w:lineRule="auto"/>
        <w:rPr>
          <w:rFonts w:ascii="黑体" w:hAnsi="黑体" w:cs="黑体"/>
          <w:b w:val="0"/>
          <w:bCs w:val="0"/>
          <w:highlight w:val="none"/>
        </w:rPr>
      </w:pPr>
      <w:r>
        <w:rPr>
          <w:rFonts w:hint="eastAsia" w:ascii="黑体" w:hAnsi="黑体" w:cs="黑体"/>
          <w:b w:val="0"/>
          <w:bCs w:val="0"/>
          <w:highlight w:val="none"/>
        </w:rPr>
        <w:t xml:space="preserve">16、投标有效期的延长</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p>
    <w:p>
      <w:pPr>
        <w:pStyle w:val="1186"/>
        <w:ind w:firstLine="482"/>
        <w:spacing w:before="145" w:after="145" w:line="360" w:lineRule="auto"/>
        <w:rPr>
          <w:highlight w:val="none"/>
        </w:rPr>
      </w:pPr>
      <w:r/>
      <w:bookmarkStart w:id="96" w:name="_Hlt26954852"/>
      <w:r/>
      <w:bookmarkEnd w:id="96"/>
      <w:r/>
      <w:bookmarkStart w:id="97" w:name="_Hlt26954739"/>
      <w:r/>
      <w:bookmarkEnd w:id="97"/>
      <w:r/>
      <w:bookmarkStart w:id="98" w:name="_Toc20823296"/>
      <w:r/>
      <w:bookmarkStart w:id="99" w:name="_Toc120614217"/>
      <w:r/>
      <w:bookmarkStart w:id="100" w:name="_Toc16938540"/>
      <w:r/>
      <w:bookmarkStart w:id="101" w:name="_Toc513029224"/>
      <w:r>
        <w:rPr>
          <w:rFonts w:hint="eastAsia"/>
          <w:highlight w:val="none"/>
        </w:rPr>
        <w:t xml:space="preserve">四、投标文件的递交</w:t>
      </w:r>
      <w:bookmarkEnd w:id="98"/>
      <w:r/>
      <w:bookmarkEnd w:id="99"/>
      <w:r/>
      <w:bookmarkEnd w:id="100"/>
      <w:r/>
      <w:bookmarkEnd w:id="101"/>
      <w:r/>
      <w:r/>
    </w:p>
    <w:p>
      <w:pPr>
        <w:pStyle w:val="1188"/>
        <w:ind w:firstLine="420"/>
        <w:spacing w:before="0" w:after="0" w:line="360" w:lineRule="auto"/>
        <w:rPr>
          <w:rFonts w:ascii="黑体" w:hAnsi="黑体" w:cs="黑体"/>
          <w:b w:val="0"/>
          <w:bCs w:val="0"/>
          <w:highlight w:val="none"/>
        </w:rPr>
      </w:pPr>
      <w:r/>
      <w:bookmarkStart w:id="102" w:name="_Toc513029225"/>
      <w:r/>
      <w:bookmarkStart w:id="103" w:name="_Toc20823297"/>
      <w:r/>
      <w:bookmarkStart w:id="104" w:name="_Toc462564084"/>
      <w:r/>
      <w:bookmarkStart w:id="105" w:name="_Toc16938541"/>
      <w:r>
        <w:rPr>
          <w:rFonts w:hint="eastAsia" w:ascii="黑体" w:hAnsi="黑体" w:cs="黑体"/>
          <w:b w:val="0"/>
          <w:bCs w:val="0"/>
          <w:highlight w:val="none"/>
        </w:rPr>
        <w:t xml:space="preserve">17、投标文件</w:t>
      </w:r>
      <w:bookmarkEnd w:id="102"/>
      <w:r/>
      <w:bookmarkEnd w:id="103"/>
      <w:r/>
      <w:bookmarkEnd w:id="104"/>
      <w:r/>
      <w:bookmarkEnd w:id="105"/>
      <w:r>
        <w:rPr>
          <w:rFonts w:hint="eastAsia" w:ascii="黑体" w:hAnsi="黑体" w:cs="黑体"/>
          <w:b w:val="0"/>
          <w:bCs w:val="0"/>
          <w:highlight w:val="none"/>
        </w:rPr>
        <w:t xml:space="preserve">的递交</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17.1 电子投标文件的递交</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投标人应当按照《操作手册》规定，在投标截止时间前制作并上传电子投标文件。</w:t>
      </w:r>
      <w:bookmarkStart w:id="106" w:name="_Toc20823298"/>
      <w:r/>
      <w:bookmarkStart w:id="107" w:name="_Toc16938542"/>
      <w:r/>
      <w:bookmarkStart w:id="108" w:name="_Toc513029226"/>
      <w:r/>
      <w:r/>
    </w:p>
    <w:p>
      <w:pPr>
        <w:pStyle w:val="1188"/>
        <w:ind w:firstLine="420"/>
        <w:spacing w:before="0" w:after="0" w:line="360" w:lineRule="auto"/>
        <w:rPr>
          <w:rFonts w:ascii="黑体" w:hAnsi="黑体" w:cs="黑体"/>
          <w:b w:val="0"/>
          <w:bCs w:val="0"/>
          <w:highlight w:val="none"/>
        </w:rPr>
      </w:pPr>
      <w:r>
        <w:rPr>
          <w:rFonts w:hint="eastAsia" w:ascii="黑体" w:hAnsi="黑体" w:cs="黑体"/>
          <w:b w:val="0"/>
          <w:bCs w:val="0"/>
          <w:highlight w:val="none"/>
        </w:rPr>
        <w:t xml:space="preserve">18、投标截止</w:t>
      </w:r>
      <w:bookmarkEnd w:id="106"/>
      <w:r/>
      <w:bookmarkEnd w:id="107"/>
      <w:r/>
      <w:bookmarkEnd w:id="108"/>
      <w:r>
        <w:rPr>
          <w:rFonts w:hint="eastAsia" w:ascii="黑体" w:hAnsi="黑体" w:cs="黑体"/>
          <w:b w:val="0"/>
          <w:bCs w:val="0"/>
          <w:highlight w:val="none"/>
        </w:rPr>
        <w:t xml:space="preserve">时间</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18.1 投标人上传电子投标文件的时间不得迟于招标公告中规定的投标截止时间。</w:t>
      </w:r>
      <w:r/>
    </w:p>
    <w:p>
      <w:pPr>
        <w:ind w:firstLine="420"/>
        <w:spacing w:line="360" w:lineRule="auto"/>
        <w:rPr>
          <w:highlight w:val="none"/>
          <w:lang w:val="zh-CN"/>
        </w:rPr>
      </w:pPr>
      <w:r>
        <w:rPr>
          <w:rFonts w:hint="eastAsia" w:ascii="宋体" w:hAnsi="宋体"/>
          <w:sz w:val="24"/>
          <w:highlight w:val="none"/>
          <w:lang w:val="zh-CN"/>
        </w:rPr>
        <w:t xml:space="preserve">投标人应充分考虑到网络环境、网络带宽等风险因素，如因投标人自身原因造成的电子投标文件上传不成功的，按照本招标文件“第二章第26.1.2条规定”做无效投标处理。</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18.2 代理机构可以按照规定，通过修改招标文件酌情延长投标截止时间，在此情况下，投标人的所有权利和义务以及投标人受制的截止时间均应以延长后新的截止时间为准。</w:t>
      </w:r>
      <w:r/>
    </w:p>
    <w:p>
      <w:pPr>
        <w:pStyle w:val="1188"/>
        <w:ind w:firstLine="420"/>
        <w:spacing w:before="0" w:after="0" w:line="360" w:lineRule="auto"/>
        <w:rPr>
          <w:rFonts w:ascii="黑体" w:hAnsi="黑体" w:cs="黑体"/>
          <w:b w:val="0"/>
          <w:bCs w:val="0"/>
          <w:highlight w:val="none"/>
        </w:rPr>
      </w:pPr>
      <w:r/>
      <w:bookmarkStart w:id="109" w:name="_Toc513029227"/>
      <w:r/>
      <w:bookmarkStart w:id="110" w:name="_Toc20823299"/>
      <w:r/>
      <w:bookmarkStart w:id="111" w:name="_Toc16938543"/>
      <w:r>
        <w:rPr>
          <w:rFonts w:hint="eastAsia" w:ascii="黑体" w:hAnsi="黑体" w:cs="黑体"/>
          <w:b w:val="0"/>
          <w:bCs w:val="0"/>
          <w:highlight w:val="none"/>
        </w:rPr>
        <w:t xml:space="preserve">19、投标文件</w:t>
      </w:r>
      <w:bookmarkEnd w:id="109"/>
      <w:r/>
      <w:bookmarkEnd w:id="110"/>
      <w:r/>
      <w:bookmarkEnd w:id="111"/>
      <w:r>
        <w:rPr>
          <w:rFonts w:hint="eastAsia" w:ascii="黑体" w:hAnsi="黑体" w:cs="黑体"/>
          <w:b w:val="0"/>
          <w:bCs w:val="0"/>
          <w:highlight w:val="none"/>
        </w:rPr>
        <w:t xml:space="preserve">的拒收</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19.1代理机构拒绝接收投标截止时间后上传的任何投标文件。</w:t>
      </w:r>
      <w:r/>
    </w:p>
    <w:p>
      <w:pPr>
        <w:pStyle w:val="1188"/>
        <w:ind w:firstLine="420"/>
        <w:spacing w:before="0" w:after="0" w:line="360" w:lineRule="auto"/>
        <w:rPr>
          <w:rFonts w:ascii="黑体" w:hAnsi="黑体" w:cs="黑体"/>
          <w:b w:val="0"/>
          <w:bCs w:val="0"/>
          <w:highlight w:val="none"/>
        </w:rPr>
      </w:pPr>
      <w:r/>
      <w:bookmarkStart w:id="112" w:name="_Toc513029228"/>
      <w:r/>
      <w:bookmarkStart w:id="113" w:name="_Toc20823300"/>
      <w:r/>
      <w:bookmarkStart w:id="114" w:name="_Toc16938544"/>
      <w:r>
        <w:rPr>
          <w:rFonts w:hint="eastAsia" w:ascii="黑体" w:hAnsi="黑体" w:cs="黑体"/>
          <w:b w:val="0"/>
          <w:bCs w:val="0"/>
          <w:highlight w:val="none"/>
        </w:rPr>
        <w:t xml:space="preserve">20、投标文件的撤回和修改</w:t>
      </w:r>
      <w:bookmarkEnd w:id="112"/>
      <w:r/>
      <w:bookmarkEnd w:id="113"/>
      <w:r/>
      <w:bookmarkEnd w:id="114"/>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20.1 投标文件的撤回</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21.1.1电子投标文件的撤回</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投标人可在投标截止时间前，撤回其电子投标文件，具体操作方法见《操作手册》。</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21.1.2投标人撤回电子投标文件，则认为其不再参与本项目投标活动。</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20.2 投标文件的修改</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20.2.1投标人可在投标截止时间前，对其电子投标文件进行修改，具体操作方法见《操作手册》。</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20.2.2在投标截止时间之后，投标人不得对其电子投标文件作任何修改。</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20.3 在投标截止时间至招标文件中规定的投标有效期满之间的这段时间内，投标人不得撤回其投标。</w:t>
      </w:r>
      <w:bookmarkStart w:id="115" w:name="_Toc20823301"/>
      <w:r/>
      <w:bookmarkStart w:id="116" w:name="_Toc513029229"/>
      <w:r/>
      <w:bookmarkStart w:id="117" w:name="_Toc16938545"/>
      <w:r/>
      <w:bookmarkStart w:id="118" w:name="_Toc120614218"/>
      <w:r/>
      <w:r/>
    </w:p>
    <w:p>
      <w:pPr>
        <w:pStyle w:val="1186"/>
        <w:ind w:firstLine="482"/>
        <w:spacing w:before="145" w:after="145" w:line="360" w:lineRule="auto"/>
        <w:rPr>
          <w:highlight w:val="none"/>
        </w:rPr>
      </w:pPr>
      <w:r>
        <w:rPr>
          <w:rFonts w:hint="eastAsia"/>
          <w:highlight w:val="none"/>
        </w:rPr>
        <w:t xml:space="preserve">五、开标与评标</w:t>
      </w:r>
      <w:bookmarkEnd w:id="115"/>
      <w:r/>
      <w:bookmarkEnd w:id="116"/>
      <w:r/>
      <w:bookmarkEnd w:id="117"/>
      <w:r/>
      <w:bookmarkEnd w:id="118"/>
      <w:r/>
      <w:r/>
    </w:p>
    <w:p>
      <w:pPr>
        <w:pStyle w:val="1188"/>
        <w:ind w:firstLine="420"/>
        <w:spacing w:before="0" w:after="0" w:line="360" w:lineRule="auto"/>
        <w:rPr>
          <w:rFonts w:ascii="黑体" w:hAnsi="黑体" w:cs="黑体"/>
          <w:b w:val="0"/>
          <w:bCs w:val="0"/>
          <w:highlight w:val="none"/>
        </w:rPr>
      </w:pPr>
      <w:r/>
      <w:bookmarkStart w:id="119" w:name="_Toc16938546"/>
      <w:r/>
      <w:bookmarkStart w:id="120" w:name="_Toc20823302"/>
      <w:r/>
      <w:bookmarkStart w:id="121" w:name="_Toc513029230"/>
      <w:r>
        <w:rPr>
          <w:rFonts w:hint="eastAsia" w:ascii="黑体" w:hAnsi="黑体" w:cs="黑体"/>
          <w:b w:val="0"/>
          <w:bCs w:val="0"/>
          <w:highlight w:val="none"/>
        </w:rPr>
        <w:t xml:space="preserve">21、开标</w:t>
      </w:r>
      <w:bookmarkEnd w:id="119"/>
      <w:r/>
      <w:bookmarkEnd w:id="120"/>
      <w:r/>
      <w:bookmarkEnd w:id="121"/>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21.1 代理机构将在招标公告中规定的时间和地点组织公开开标。投标人应当按照《操作手册》规定，参加开标活动并在苏采云系统规定的时间内对投标文件进行解密。</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21.2开标仪式由代理机构组织。苏采云系统将自动对项目进行开标，并公布各投标人名称和投标价格。</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21.3投标人在开标过程中涉及到的投标文件解密、开标结果确认等工作，应按照《操作手册》规定执行。</w:t>
      </w:r>
      <w:r/>
    </w:p>
    <w:p>
      <w:pPr>
        <w:ind w:firstLine="482"/>
        <w:keepLines w:val="0"/>
        <w:keepNext w:val="0"/>
        <w:pageBreakBefore w:val="0"/>
        <w:spacing w:line="360" w:lineRule="auto"/>
        <w:widowControl w:val="off"/>
        <w:rPr>
          <w:rFonts w:ascii="仿宋" w:hAnsi="仿宋" w:eastAsia="仿宋" w:cs="仿宋"/>
          <w:b/>
          <w:bCs/>
          <w:color w:val="auto"/>
          <w:highlight w:val="none"/>
        </w:rPr>
      </w:pPr>
      <w:r>
        <w:rPr>
          <w:rFonts w:hint="eastAsia" w:ascii="宋体" w:hAnsi="宋体"/>
          <w:sz w:val="24"/>
          <w:highlight w:val="none"/>
          <w:lang w:val="zh-CN"/>
        </w:rPr>
        <w:t xml:space="preserve">21.4投标人如果对开标过程和开标记录有疑义，应当根据《操作手册》规定提出，如苏采云系统中《开标记录表》公布后5分钟内未提出的，视同认可</w:t>
      </w:r>
      <w:r>
        <w:rPr>
          <w:rFonts w:hint="eastAsia" w:ascii="宋体" w:hAnsi="宋体" w:eastAsia="宋体" w:cs="Times New Roman"/>
          <w:sz w:val="24"/>
          <w:highlight w:val="none"/>
          <w:lang w:val="zh-CN"/>
        </w:rPr>
        <w:t xml:space="preserve">开标结果。</w:t>
      </w:r>
      <w:r>
        <w:rPr>
          <w:rFonts w:hint="eastAsia" w:ascii="宋体" w:hAnsi="宋体" w:eastAsia="宋体" w:cs="Times New Roman"/>
          <w:sz w:val="24"/>
          <w:highlight w:val="none"/>
          <w:lang w:val="zh-CN" w:eastAsia="zh-CN"/>
        </w:rPr>
        <w:t xml:space="preserve">投标人</w:t>
      </w:r>
      <w:r>
        <w:rPr>
          <w:rFonts w:hint="eastAsia" w:ascii="宋体" w:hAnsi="宋体" w:eastAsia="宋体" w:cs="Times New Roman"/>
          <w:sz w:val="24"/>
          <w:highlight w:val="none"/>
          <w:lang w:val="zh-CN"/>
        </w:rPr>
        <w:t xml:space="preserve">在开、评标全过程中应保持通讯畅通，及时登录苏采云系统查阅、答复相关信息，并安排专人与采购代理机构联系。</w:t>
      </w:r>
      <w:r/>
    </w:p>
    <w:p>
      <w:pPr>
        <w:pStyle w:val="1188"/>
        <w:ind w:firstLine="420"/>
        <w:spacing w:before="0" w:after="0" w:line="360" w:lineRule="auto"/>
        <w:rPr>
          <w:rFonts w:ascii="黑体" w:hAnsi="黑体" w:cs="黑体"/>
          <w:b w:val="0"/>
          <w:bCs w:val="0"/>
          <w:highlight w:val="none"/>
        </w:rPr>
      </w:pPr>
      <w:r/>
      <w:bookmarkStart w:id="122" w:name="_Toc16938547"/>
      <w:r/>
      <w:bookmarkStart w:id="123" w:name="_Toc513029231"/>
      <w:r/>
      <w:bookmarkStart w:id="124" w:name="_Toc20823303"/>
      <w:r>
        <w:rPr>
          <w:rFonts w:hint="eastAsia" w:ascii="黑体" w:hAnsi="黑体" w:cs="黑体"/>
          <w:b w:val="0"/>
          <w:bCs w:val="0"/>
          <w:highlight w:val="none"/>
        </w:rPr>
        <w:t xml:space="preserve">22、评标</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22.1 代理机构将组织评标委员会（以下简称评委会）进行评标。</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22.2 评委会由采购人代表和有关技术、经济等方面的专家组成，且人员构成符合政府采购有关规定。</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22.3评委会独立工作，负责评审所有投标文件并</w:t>
      </w:r>
      <w:r>
        <w:rPr>
          <w:rFonts w:hint="eastAsia" w:ascii="宋体" w:hAnsi="宋体"/>
          <w:sz w:val="24"/>
          <w:highlight w:val="none"/>
        </w:rPr>
        <w:t xml:space="preserve">推荐</w:t>
      </w:r>
      <w:r>
        <w:rPr>
          <w:rFonts w:hint="eastAsia" w:ascii="宋体" w:hAnsi="宋体"/>
          <w:sz w:val="24"/>
          <w:highlight w:val="none"/>
          <w:lang w:val="zh-CN"/>
        </w:rPr>
        <w:t xml:space="preserve">中标侯选人，</w:t>
      </w:r>
      <w:r>
        <w:rPr>
          <w:rFonts w:hint="eastAsia" w:ascii="宋体" w:hAnsi="宋体"/>
          <w:sz w:val="24"/>
          <w:highlight w:val="none"/>
        </w:rPr>
        <w:t xml:space="preserve">或根据采购人委托直接确定中标人</w:t>
      </w:r>
      <w:r>
        <w:rPr>
          <w:rFonts w:hint="eastAsia" w:ascii="宋体" w:hAnsi="宋体"/>
          <w:sz w:val="24"/>
          <w:highlight w:val="none"/>
          <w:lang w:val="zh-CN"/>
        </w:rPr>
        <w:t xml:space="preserve">。</w:t>
      </w:r>
      <w:r/>
    </w:p>
    <w:p>
      <w:pPr>
        <w:pStyle w:val="1188"/>
        <w:ind w:firstLine="420"/>
        <w:spacing w:before="0" w:after="0" w:line="360" w:lineRule="auto"/>
        <w:rPr>
          <w:rFonts w:ascii="黑体" w:hAnsi="黑体" w:cs="黑体"/>
          <w:b w:val="0"/>
          <w:bCs w:val="0"/>
          <w:highlight w:val="none"/>
        </w:rPr>
      </w:pPr>
      <w:r>
        <w:rPr>
          <w:rFonts w:hint="eastAsia" w:ascii="黑体" w:hAnsi="黑体" w:cs="黑体"/>
          <w:b w:val="0"/>
          <w:bCs w:val="0"/>
          <w:highlight w:val="none"/>
        </w:rPr>
        <w:t xml:space="preserve">23、评标过程的保密与公正</w:t>
      </w:r>
      <w:bookmarkEnd w:id="122"/>
      <w:r/>
      <w:bookmarkEnd w:id="123"/>
      <w:r/>
      <w:bookmarkEnd w:id="124"/>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23.1凡是与审查、澄清、评价和比较投标的有关资料以及授标建议等，采购人、评委、代理机构均不得向投标人或与评标无关的其他人员透露。</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23.2在评标过程中，投标人不得以任何行为影响评标过程，否则其投标文件将被作为无效投标文件。</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23.3 代理机构和评委会不向未中标的投标人解释未中标原因，也不公布评标过程中的相关细节。</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23.4 采用综合评分法的项目，未中标的投标人可于中标结果公告期限届满之日起通过苏采云系统查看自己的评审得分及排序情况。</w:t>
      </w:r>
      <w:r/>
    </w:p>
    <w:p>
      <w:pPr>
        <w:pStyle w:val="1188"/>
        <w:ind w:firstLine="420"/>
        <w:spacing w:before="0" w:after="0" w:line="360" w:lineRule="auto"/>
        <w:rPr>
          <w:rFonts w:ascii="黑体" w:hAnsi="黑体" w:cs="黑体"/>
          <w:b w:val="0"/>
          <w:bCs w:val="0"/>
          <w:highlight w:val="none"/>
        </w:rPr>
      </w:pPr>
      <w:r/>
      <w:bookmarkStart w:id="125" w:name="_Toc16938548"/>
      <w:r/>
      <w:bookmarkStart w:id="126" w:name="_Toc513029232"/>
      <w:r/>
      <w:bookmarkStart w:id="127" w:name="_Toc20823304"/>
      <w:r>
        <w:rPr>
          <w:rFonts w:hint="eastAsia" w:ascii="黑体" w:hAnsi="黑体" w:cs="黑体"/>
          <w:b w:val="0"/>
          <w:bCs w:val="0"/>
          <w:highlight w:val="none"/>
        </w:rPr>
        <w:t xml:space="preserve">24、投标文件的澄清</w:t>
      </w:r>
      <w:bookmarkEnd w:id="125"/>
      <w:r/>
      <w:bookmarkEnd w:id="126"/>
      <w:r/>
      <w:bookmarkEnd w:id="127"/>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24.1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委会并非对每个投标人都做澄清要求。</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24.3 接到评委会澄清、说明和补正要求的投标人如未按规定做出澄清、说明和补正，其风险由投标人自行承担。</w:t>
      </w:r>
      <w:r/>
    </w:p>
    <w:p>
      <w:pPr>
        <w:pStyle w:val="1188"/>
        <w:ind w:firstLine="420"/>
        <w:spacing w:before="0" w:after="0" w:line="360" w:lineRule="auto"/>
        <w:rPr>
          <w:rFonts w:ascii="黑体" w:hAnsi="黑体" w:cs="黑体"/>
          <w:b w:val="0"/>
          <w:bCs w:val="0"/>
          <w:highlight w:val="none"/>
        </w:rPr>
      </w:pPr>
      <w:r/>
      <w:bookmarkStart w:id="128" w:name="_Toc20823305"/>
      <w:r/>
      <w:bookmarkStart w:id="129" w:name="_Toc513029233"/>
      <w:r/>
      <w:bookmarkStart w:id="130" w:name="_Toc16938549"/>
      <w:r>
        <w:rPr>
          <w:rFonts w:hint="eastAsia" w:ascii="黑体" w:hAnsi="黑体" w:cs="黑体"/>
          <w:b w:val="0"/>
          <w:bCs w:val="0"/>
          <w:highlight w:val="none"/>
        </w:rPr>
        <w:t xml:space="preserve">25、对投标文件的初审</w:t>
      </w:r>
      <w:bookmarkEnd w:id="128"/>
      <w:r/>
      <w:bookmarkEnd w:id="129"/>
      <w:r/>
      <w:bookmarkEnd w:id="130"/>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25.1投标文件初审分为资格审查和符合性审查。</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25.1.1资格审查：依据法律法规和招标文件的规定，由采购人对投标文件中的资格证明文件进行审查。资格审查的结论，采购人以书面形式向评委会进行反馈。</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采购人在进行资格性审查的同时，将在“信用中国”网站（www.creditchina.gov.cn）查询投标人的信用记录，以确定投标人是否具备投标资格，查询结果留存并归档。</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25.1.2符合性审查：依据招标文件的规定，由评委会从投标文件的有效性、完整性和对招标文件的响应程度进行审查，以确定是否对招标文件的实质性要求作出响应。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25.1.3未通过资格审查或符合性审查的投标人，代理机构将在苏采云系统中告知</w:t>
      </w:r>
      <w:r>
        <w:rPr>
          <w:rFonts w:hint="eastAsia" w:ascii="宋体" w:hAnsi="宋体"/>
          <w:sz w:val="24"/>
          <w:highlight w:val="none"/>
        </w:rPr>
        <w:t xml:space="preserve">具体</w:t>
      </w:r>
      <w:r>
        <w:rPr>
          <w:rFonts w:hint="eastAsia" w:ascii="宋体" w:hAnsi="宋体"/>
          <w:sz w:val="24"/>
          <w:highlight w:val="none"/>
          <w:lang w:val="zh-CN"/>
        </w:rPr>
        <w:t xml:space="preserve">原因，评标结束后，代理机构将不再告知未通过资格审查和符合性审查的原因。</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25.2在详细评</w:t>
      </w:r>
      <w:r>
        <w:rPr>
          <w:rFonts w:hint="eastAsia" w:ascii="宋体" w:hAnsi="宋体"/>
          <w:sz w:val="24"/>
          <w:highlight w:val="none"/>
        </w:rPr>
        <w:t xml:space="preserve">审</w:t>
      </w:r>
      <w:r>
        <w:rPr>
          <w:rFonts w:hint="eastAsia" w:ascii="宋体" w:hAnsi="宋体"/>
          <w:sz w:val="24"/>
          <w:highlight w:val="none"/>
          <w:lang w:val="zh-CN"/>
        </w:rPr>
        <w:t xml:space="preserve">之前，评委会将首先审查每份投标文件是否实质性响应了招标文件的要求。实质性响应的投标文件应该是与招标文件要求的全部条款、条件和规格相符，没有重大偏离或保留的文件。</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sz w:val="24"/>
          <w:highlight w:val="none"/>
        </w:rPr>
        <w:t xml:space="preserve">采购人</w:t>
      </w:r>
      <w:r>
        <w:rPr>
          <w:rFonts w:hint="eastAsia" w:ascii="宋体" w:hAnsi="宋体"/>
          <w:sz w:val="24"/>
          <w:highlight w:val="none"/>
          <w:lang w:val="zh-CN"/>
        </w:rPr>
        <w:t xml:space="preserve">和代理机构的权利或投标人的义务，纠正这些偏离或保留将会对其他实质性响应要求的投标人产生不公正的影响。重大偏离的认定需经过评委会以少数服从多数的原则作出结论。评委决定投标文件的响应性只根据投标文件本身的内容，而不寻求外部的证据。</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25.4评委会将对确定为实质性响应的投标进行进一步审核，确定其是否有计算上或累加上的算术错误，修正错误的原则如下：</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（1）投标文件中开标一览表内容与投标文件中相应内容不一致的，以开标一览表为准。</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（2）大写金额和小写金额不一致的，以大写金额为准。</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（3）单价金额小数点或者百分比有明显错位的，以开标一览表的总价为准，并修改单价。</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（4）总价金额与按单价汇总金额不一致的，以单价金额计算结果为准。</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同时出现两种以上错误的，按照前款规定的顺序修正。</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360" w:lineRule="auto"/>
        <w:rPr>
          <w:rFonts w:ascii="宋体" w:hAnsi="宋体"/>
          <w:sz w:val="24"/>
          <w:highlight w:val="none"/>
          <w:lang w:val="zh-CN"/>
        </w:rPr>
      </w:pPr>
      <w:r/>
      <w:bookmarkStart w:id="131" w:name="_Toc513029234"/>
      <w:r/>
      <w:bookmarkStart w:id="132" w:name="_Toc16938550"/>
      <w:r/>
      <w:bookmarkStart w:id="133" w:name="_Toc20823306"/>
      <w:r>
        <w:rPr>
          <w:rFonts w:hint="eastAsia" w:ascii="宋体" w:hAnsi="宋体"/>
          <w:sz w:val="24"/>
          <w:highlight w:val="none"/>
          <w:lang w:val="zh-CN"/>
        </w:rPr>
        <w:t xml:space="preserve">25.6投标人在开、评标全过程中应保持通讯畅通，及时登录苏采云系统查阅、答复相关信息，并安排专人与代理机构及评委会联系。</w:t>
      </w:r>
      <w:r/>
    </w:p>
    <w:p>
      <w:pPr>
        <w:pStyle w:val="1188"/>
        <w:ind w:firstLine="420"/>
        <w:spacing w:before="0" w:after="0" w:line="360" w:lineRule="auto"/>
        <w:rPr>
          <w:rFonts w:ascii="黑体" w:hAnsi="黑体" w:cs="黑体"/>
          <w:b w:val="0"/>
          <w:bCs w:val="0"/>
          <w:highlight w:val="none"/>
        </w:rPr>
      </w:pPr>
      <w:r>
        <w:rPr>
          <w:rFonts w:hint="eastAsia" w:ascii="黑体" w:hAnsi="黑体" w:cs="黑体"/>
          <w:b w:val="0"/>
          <w:bCs w:val="0"/>
          <w:highlight w:val="none"/>
        </w:rPr>
        <w:t xml:space="preserve">26、</w:t>
      </w:r>
      <w:bookmarkEnd w:id="131"/>
      <w:r/>
      <w:bookmarkEnd w:id="132"/>
      <w:r/>
      <w:bookmarkEnd w:id="133"/>
      <w:r>
        <w:rPr>
          <w:rFonts w:hint="eastAsia" w:ascii="黑体" w:hAnsi="黑体" w:cs="黑体"/>
          <w:b w:val="0"/>
          <w:bCs w:val="0"/>
          <w:highlight w:val="none"/>
        </w:rPr>
        <w:t xml:space="preserve">无效投标条款和废标条款</w:t>
      </w:r>
      <w:r/>
    </w:p>
    <w:p>
      <w:pPr>
        <w:ind w:firstLine="420"/>
        <w:spacing w:line="360" w:lineRule="auto"/>
        <w:rPr>
          <w:rFonts w:ascii="宋体" w:hAnsi="宋体"/>
          <w:sz w:val="24"/>
          <w:highlight w:val="none"/>
          <w:lang w:val="zh-CN"/>
        </w:rPr>
      </w:pPr>
      <w:r/>
      <w:bookmarkStart w:id="134" w:name="_Toc20823307"/>
      <w:r/>
      <w:bookmarkStart w:id="135" w:name="_Toc513029235"/>
      <w:r/>
      <w:bookmarkStart w:id="136" w:name="_Toc16938551"/>
      <w:r>
        <w:rPr>
          <w:rFonts w:hint="eastAsia" w:ascii="宋体" w:hAnsi="宋体"/>
          <w:sz w:val="24"/>
          <w:highlight w:val="none"/>
          <w:lang w:val="zh-CN"/>
        </w:rPr>
        <w:t xml:space="preserve">26.1无效投标条款</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26.1.1投标人在苏采云系统规定的时间内未成功解密电子投标文件的。</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26.1.2投标人未按照招标文件要求上传电子投标文件的。</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26.1.3同一投标人提交两个（含两个）以上不同的投标报价的。</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26.1.4投标人不具备招标文件中规定资格要求的。</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26.1.5投标人的报价超过了采购预算或最高限价的。</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26.1.6未通过符合性审查的。</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26.1.7不符合招标文件中规定的实质性要求和条件的（</w:t>
      </w:r>
      <w:r>
        <w:rPr>
          <w:rFonts w:hint="eastAsia" w:ascii="宋体" w:hAnsi="宋体"/>
          <w:i/>
          <w:iCs/>
          <w:sz w:val="24"/>
          <w:highlight w:val="none"/>
          <w:u w:val="single"/>
          <w:lang w:val="zh-CN"/>
        </w:rPr>
        <w:t xml:space="preserve">本招标文件中斜体且有下划线部分，</w:t>
      </w:r>
      <w:r>
        <w:rPr>
          <w:rFonts w:hint="eastAsia" w:ascii="宋体" w:hAnsi="宋体"/>
          <w:sz w:val="24"/>
          <w:highlight w:val="none"/>
          <w:lang w:val="zh-CN"/>
        </w:rPr>
        <w:t xml:space="preserve">或者打“</w:t>
      </w:r>
      <w:r>
        <w:rPr>
          <w:rFonts w:hint="eastAsia" w:ascii="宋体" w:hAnsi="宋体"/>
          <w:sz w:val="24"/>
          <w:highlight w:val="none"/>
        </w:rPr>
        <w:t xml:space="preserve">★</w:t>
      </w:r>
      <w:r>
        <w:rPr>
          <w:rFonts w:hint="eastAsia" w:ascii="宋体" w:hAnsi="宋体"/>
          <w:sz w:val="24"/>
          <w:highlight w:val="none"/>
          <w:lang w:val="zh-CN"/>
        </w:rPr>
        <w:t xml:space="preserve">”内容为实质性要求和条件）。</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26.1.9投标文件含有采购人不能接受的附加条件的。</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26.1.10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26.1.11</w:t>
      </w:r>
      <w:r>
        <w:rPr>
          <w:rFonts w:hint="eastAsia" w:ascii="宋体" w:hAnsi="宋体"/>
          <w:sz w:val="24"/>
          <w:szCs w:val="21"/>
          <w:highlight w:val="none"/>
        </w:rPr>
        <w:t xml:space="preserve">本项目采购产品被财政部、国家发改委、生态环境部等列入“节能产品品目清单”强制采购范围，而投标人提供的产品不在强制采购范围内的。（产品如属于政府强制采购节能产品品目清单范围内，投标文件中必须提供国家确定的认证机构出具的、处于有效期之内的该节能产品认证证书图片）</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26.1.1</w:t>
      </w:r>
      <w:r>
        <w:rPr>
          <w:rFonts w:hint="eastAsia" w:ascii="宋体" w:hAnsi="宋体"/>
          <w:sz w:val="24"/>
          <w:highlight w:val="none"/>
        </w:rPr>
        <w:t xml:space="preserve">2</w:t>
      </w:r>
      <w:r>
        <w:rPr>
          <w:rFonts w:hint="eastAsia" w:ascii="宋体" w:hAnsi="宋体"/>
          <w:sz w:val="24"/>
          <w:highlight w:val="none"/>
          <w:lang w:val="zh-CN"/>
        </w:rPr>
        <w:t xml:space="preserve">投标文件未按照招标文件要求加盖CA电子公章的。</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26.1.1</w:t>
      </w:r>
      <w:r>
        <w:rPr>
          <w:rFonts w:hint="eastAsia" w:ascii="宋体" w:hAnsi="宋体"/>
          <w:sz w:val="24"/>
          <w:highlight w:val="none"/>
        </w:rPr>
        <w:t xml:space="preserve">3</w:t>
      </w:r>
      <w:r>
        <w:rPr>
          <w:rFonts w:hint="eastAsia" w:ascii="宋体" w:hAnsi="宋体"/>
          <w:sz w:val="24"/>
          <w:highlight w:val="none"/>
          <w:lang w:val="zh-CN"/>
        </w:rPr>
        <w:t xml:space="preserve">其他法律、法规及本招标文件规定的属无效投标的情形。</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26.2废标条款</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26.2.1符合专业条件的供应商或者对招标文件作实质响应的供应商不足三家的。</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26.2.2出现影响采购公正的违法、违规行为的。</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26.2.3因重大变故，采购任务取消的。</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26.2.4评委会认定招标文件存在歧义、重大缺陷导致评审工作无法进行。</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26.2.5因苏采云系统故障原因造成开标不成功的。</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26.3 投标截止时间后参加投标的供应商不足三家的处理</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26.3.1如出现投标截止时间后参加投标的供应商或者在评标期间对招标文件做出实质响应的供应商不足三家情况，按政府采购相关规定执行。</w:t>
      </w:r>
      <w:r/>
    </w:p>
    <w:p>
      <w:pPr>
        <w:pStyle w:val="1186"/>
        <w:ind w:firstLine="482"/>
        <w:spacing w:before="145" w:after="145" w:line="360" w:lineRule="auto"/>
        <w:rPr>
          <w:highlight w:val="none"/>
        </w:rPr>
      </w:pPr>
      <w:r/>
      <w:bookmarkStart w:id="137" w:name="_Toc120614219"/>
      <w:r>
        <w:rPr>
          <w:rFonts w:hint="eastAsia"/>
          <w:highlight w:val="none"/>
        </w:rPr>
        <w:t xml:space="preserve">六、</w:t>
      </w:r>
      <w:bookmarkEnd w:id="134"/>
      <w:r/>
      <w:bookmarkEnd w:id="135"/>
      <w:r/>
      <w:bookmarkEnd w:id="136"/>
      <w:r>
        <w:rPr>
          <w:rFonts w:hint="eastAsia"/>
          <w:highlight w:val="none"/>
        </w:rPr>
        <w:t xml:space="preserve">定标</w:t>
      </w:r>
      <w:bookmarkEnd w:id="137"/>
      <w:r/>
      <w:r/>
    </w:p>
    <w:p>
      <w:pPr>
        <w:pStyle w:val="1188"/>
        <w:ind w:firstLine="420"/>
        <w:spacing w:before="0" w:after="0" w:line="360" w:lineRule="auto"/>
        <w:rPr>
          <w:rFonts w:ascii="黑体" w:hAnsi="黑体" w:cs="黑体"/>
          <w:b w:val="0"/>
          <w:bCs w:val="0"/>
          <w:highlight w:val="none"/>
        </w:rPr>
      </w:pPr>
      <w:r/>
      <w:bookmarkStart w:id="138" w:name="_Toc513029238"/>
      <w:r/>
      <w:bookmarkStart w:id="139" w:name="_Toc20823310"/>
      <w:r/>
      <w:bookmarkStart w:id="140" w:name="_Toc16938554"/>
      <w:r>
        <w:rPr>
          <w:rFonts w:hint="eastAsia" w:ascii="黑体" w:hAnsi="黑体" w:cs="黑体"/>
          <w:b w:val="0"/>
          <w:bCs w:val="0"/>
          <w:highlight w:val="none"/>
        </w:rPr>
        <w:t xml:space="preserve">27、</w:t>
      </w:r>
      <w:bookmarkEnd w:id="138"/>
      <w:r>
        <w:rPr>
          <w:rFonts w:hint="eastAsia" w:ascii="黑体" w:hAnsi="黑体" w:cs="黑体"/>
          <w:b w:val="0"/>
          <w:bCs w:val="0"/>
          <w:highlight w:val="none"/>
        </w:rPr>
        <w:t xml:space="preserve">确定</w:t>
      </w:r>
      <w:bookmarkEnd w:id="139"/>
      <w:r/>
      <w:bookmarkEnd w:id="140"/>
      <w:r>
        <w:rPr>
          <w:rFonts w:hint="eastAsia" w:ascii="黑体" w:hAnsi="黑体" w:cs="黑体"/>
          <w:b w:val="0"/>
          <w:bCs w:val="0"/>
          <w:highlight w:val="none"/>
        </w:rPr>
        <w:t xml:space="preserve">中标单位</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27.1中标候选人的选取原则和数量见招标文件第五章规定。 </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27.2 按以下第（1）种方式确定中标人</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（1）评委会直接确定排名第一的中标候选人为中标人；</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（2）采购人在评委会推荐的中标候选人中按顺序确定中标人。</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按第二种方式确定中标人的，代理机构自评审结束之日起两个工作日内将评审报告送交采购人，采购人自收到评审报告之日起五个工作日内在评审报告推荐的中标候选人中按顺序确定中标人。</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27.3 代理机构将在“江苏政府采购网”发布中标公告，公告期限为1个工作日。</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27.4若有充分证据证明，中标人出现下列情况之一的，一经查实，将被取消中标资格：</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27.4.1提供虚假材料谋取中标的。</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27.4.2向采购人、代理机构行贿或者提供其他不正当利益的。</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27.4.3属于本文件规定的无效条件，但在评标过程中又未被评委会发现的。</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27.4.4与采购人或者其他供应商恶意串通的。</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27.4.5采取不正当手段诋毁、排挤其他供应商的。</w:t>
      </w:r>
      <w:r/>
    </w:p>
    <w:p>
      <w:pPr>
        <w:ind w:firstLine="420"/>
        <w:spacing w:line="360" w:lineRule="auto"/>
        <w:rPr>
          <w:rFonts w:ascii="宋体" w:hAnsi="宋体"/>
          <w:sz w:val="24"/>
          <w:highlight w:val="none"/>
          <w:lang w:val="zh-CN"/>
        </w:rPr>
      </w:pPr>
      <w:r/>
      <w:bookmarkStart w:id="141" w:name="_Toc200451960"/>
      <w:r>
        <w:rPr>
          <w:rFonts w:hint="eastAsia" w:ascii="宋体" w:hAnsi="宋体"/>
          <w:sz w:val="24"/>
          <w:highlight w:val="none"/>
          <w:lang w:val="zh-CN"/>
        </w:rPr>
        <w:t xml:space="preserve">27.5有下列情形之一的，视为投标人串通投标，投标无效：</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27.5.1不同投标人的投标文件由同一单位或者个人编制。</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27.5.2不同投标人委托同一单位或者个人办理投标事宜。</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27.5.3不同投标人的投标文件载明的项目管理成员或者联系人员为同一人。</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27.5.4不同投标人的投标文件异常一致或者投标报价呈规律性差异。</w:t>
      </w:r>
      <w:r/>
    </w:p>
    <w:p>
      <w:pPr>
        <w:pStyle w:val="1188"/>
        <w:ind w:firstLine="420"/>
        <w:spacing w:before="0" w:after="0" w:line="360" w:lineRule="auto"/>
        <w:rPr>
          <w:rFonts w:ascii="黑体" w:hAnsi="黑体" w:cs="黑体"/>
          <w:b w:val="0"/>
          <w:bCs w:val="0"/>
          <w:highlight w:val="none"/>
        </w:rPr>
      </w:pPr>
      <w:r>
        <w:rPr>
          <w:rFonts w:hint="eastAsia" w:ascii="黑体" w:hAnsi="黑体" w:cs="黑体"/>
          <w:b w:val="0"/>
          <w:bCs w:val="0"/>
          <w:highlight w:val="none"/>
        </w:rPr>
        <w:t xml:space="preserve">28、质疑处理</w:t>
      </w:r>
      <w:bookmarkEnd w:id="141"/>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28.1 提出质疑的供应商应当是参与所质疑项目采购活动的供应商。潜在供应商依法获取其可质疑的采购文件的，可以对采购文件提出质疑。</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28.2.1对可以质疑的采购文件提出质疑的，为收到采购文件之日或者采购文件公告期限届满之日。</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28.2.2对采购过程提出质疑的，为各采购程序环节结束之日。</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28.2.3对中标或者成交结果提出质疑的，为中标或者成交结果公告期限届满之日。</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360" w:lineRule="auto"/>
        <w:rPr>
          <w:rFonts w:ascii="宋体" w:hAnsi="宋体"/>
          <w:sz w:val="24"/>
          <w:highlight w:val="none"/>
        </w:rPr>
      </w:pPr>
      <w:r>
        <w:rPr>
          <w:rFonts w:hint="eastAsia" w:ascii="宋体" w:hAnsi="宋体"/>
          <w:sz w:val="24"/>
          <w:highlight w:val="none"/>
          <w:lang w:val="zh-CN"/>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代理机构和采购人只接收以纸质原件形式送达的质疑,建议供应商尽量通过邮寄方式提交质疑（代理机构和采购人不接受未填写快递运单的快件）。</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28.5 以下情形的质疑不予受理：</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28.5.1内容不符合《政府采购质疑和投诉办法》第十二条规定的质疑。</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28.5.2超出政府采购法定期限的质疑。</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28.5.3以传真、电子邮件等方式递交的非原件形式的质疑。</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28.5.4未参加投标活动的供应商或在投标活动中自身权益未受到损害的供应商所提出的质疑。</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28.5.5供应商组成联合体参加投标，联合体中任何一方或多方未按要求签字、盖章、加盖公章的质疑。</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28.6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1188"/>
        <w:ind w:firstLine="420"/>
        <w:spacing w:before="0" w:after="0" w:line="360" w:lineRule="auto"/>
        <w:rPr>
          <w:rFonts w:ascii="黑体" w:hAnsi="黑体" w:cs="黑体"/>
          <w:b w:val="0"/>
          <w:bCs w:val="0"/>
          <w:highlight w:val="none"/>
        </w:rPr>
      </w:pPr>
      <w:r>
        <w:rPr>
          <w:rFonts w:hint="eastAsia" w:ascii="黑体" w:hAnsi="黑体" w:cs="黑体"/>
          <w:b w:val="0"/>
          <w:bCs w:val="0"/>
          <w:highlight w:val="none"/>
        </w:rPr>
        <w:t xml:space="preserve">29、中标通知书</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29.l 中标结果确定后，代理机构将向中标人发出中标通知书。请中标人在中标结果公告届满之日起三十日内,使用CA数字证书登录苏采云系统及时下载中标通知书。因系统存储空间有限，自中标结果公告届满之日起三十日后，苏采云系统不再保证提供下载中标通知书服务，因未及时下载而造成的不利后果由中标人自行承担。</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29.2中标通知书将是合同的一个组成部分。对采购人和中标人均具有法律效力。中标通知书发出后，采购人改变中标结果的，或者中标人放弃中标项目的，应当依法承担法律责任。</w:t>
      </w:r>
      <w:r/>
    </w:p>
    <w:p>
      <w:pPr>
        <w:pStyle w:val="1186"/>
        <w:ind w:firstLine="482"/>
        <w:spacing w:before="145" w:after="145" w:line="360" w:lineRule="auto"/>
        <w:rPr>
          <w:highlight w:val="none"/>
        </w:rPr>
      </w:pPr>
      <w:r/>
      <w:bookmarkStart w:id="142" w:name="_Toc20823308"/>
      <w:r/>
      <w:bookmarkStart w:id="143" w:name="_Toc513029236"/>
      <w:r/>
      <w:bookmarkStart w:id="144" w:name="_Toc120614220"/>
      <w:r/>
      <w:bookmarkStart w:id="145" w:name="_Toc16938552"/>
      <w:r>
        <w:rPr>
          <w:rFonts w:hint="eastAsia"/>
          <w:highlight w:val="none"/>
        </w:rPr>
        <w:t xml:space="preserve">七、授予合同</w:t>
      </w:r>
      <w:bookmarkEnd w:id="142"/>
      <w:r/>
      <w:bookmarkEnd w:id="143"/>
      <w:r/>
      <w:bookmarkEnd w:id="144"/>
      <w:r/>
      <w:bookmarkEnd w:id="145"/>
      <w:r/>
      <w:r/>
    </w:p>
    <w:p>
      <w:pPr>
        <w:pStyle w:val="1188"/>
        <w:ind w:firstLine="420"/>
        <w:spacing w:before="0" w:after="0" w:line="360" w:lineRule="auto"/>
        <w:rPr>
          <w:rFonts w:ascii="黑体" w:hAnsi="黑体" w:cs="黑体"/>
          <w:b w:val="0"/>
          <w:bCs w:val="0"/>
          <w:highlight w:val="none"/>
        </w:rPr>
      </w:pPr>
      <w:r/>
      <w:bookmarkStart w:id="146" w:name="_Toc20823309"/>
      <w:r/>
      <w:bookmarkStart w:id="147" w:name="_Toc513029237"/>
      <w:r/>
      <w:bookmarkStart w:id="148" w:name="_Toc16938553"/>
      <w:r>
        <w:rPr>
          <w:rFonts w:hint="eastAsia" w:ascii="黑体" w:hAnsi="黑体" w:cs="黑体"/>
          <w:b w:val="0"/>
          <w:bCs w:val="0"/>
          <w:highlight w:val="none"/>
        </w:rPr>
        <w:t xml:space="preserve">30、签订合同</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30.l中标人应当在中标通知书发出之日起三十日内，按照招标文件确定的事项与采购人签订政府采购合同。</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30.2 招标文件、中标人的投标文件及招标过程中有关澄清、承诺文件均应作为合同附件。</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1188"/>
        <w:ind w:firstLine="420"/>
        <w:spacing w:before="0" w:after="0" w:line="360" w:lineRule="auto"/>
        <w:rPr>
          <w:rFonts w:ascii="黑体" w:hAnsi="黑体" w:cs="黑体"/>
          <w:b w:val="0"/>
          <w:bCs w:val="0"/>
          <w:highlight w:val="none"/>
        </w:rPr>
      </w:pPr>
      <w:r>
        <w:rPr>
          <w:rFonts w:hint="eastAsia" w:ascii="黑体" w:hAnsi="黑体" w:cs="黑体"/>
          <w:b w:val="0"/>
          <w:bCs w:val="0"/>
          <w:highlight w:val="none"/>
        </w:rPr>
        <w:t xml:space="preserve">31、服务（包含与服务相关的货物）的追加</w:t>
      </w:r>
      <w:r/>
    </w:p>
    <w:p>
      <w:pPr>
        <w:ind w:firstLine="420"/>
        <w:spacing w:line="360" w:lineRule="auto"/>
        <w:rPr>
          <w:rFonts w:ascii="宋体" w:hAnsi="宋体"/>
          <w:sz w:val="24"/>
          <w:highlight w:val="none"/>
          <w:lang w:val="zh-CN"/>
        </w:rPr>
      </w:pPr>
      <w:r>
        <w:rPr>
          <w:rFonts w:hint="eastAsia" w:ascii="宋体" w:hAnsi="宋体"/>
          <w:sz w:val="24"/>
          <w:highlight w:val="none"/>
          <w:lang w:val="zh-CN"/>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46"/>
      <w:r/>
      <w:bookmarkEnd w:id="147"/>
      <w:r/>
      <w:bookmarkEnd w:id="148"/>
      <w:r/>
      <w:r/>
    </w:p>
    <w:p>
      <w:pPr>
        <w:pStyle w:val="1188"/>
        <w:ind w:firstLine="420"/>
        <w:spacing w:before="0" w:after="0" w:line="360" w:lineRule="auto"/>
        <w:rPr>
          <w:rFonts w:ascii="黑体" w:hAnsi="黑体" w:cs="黑体"/>
          <w:b w:val="0"/>
          <w:bCs w:val="0"/>
          <w:highlight w:val="none"/>
        </w:rPr>
      </w:pPr>
      <w:r>
        <w:rPr>
          <w:rFonts w:hint="eastAsia" w:ascii="黑体" w:hAnsi="黑体" w:cs="黑体"/>
          <w:b w:val="0"/>
          <w:bCs w:val="0"/>
          <w:highlight w:val="none"/>
        </w:rPr>
        <w:t xml:space="preserve">32、政府采购履约资金扶持政策</w:t>
      </w:r>
      <w:r/>
    </w:p>
    <w:p>
      <w:pPr>
        <w:ind w:firstLine="420"/>
        <w:spacing w:line="360" w:lineRule="auto"/>
        <w:rPr>
          <w:rFonts w:hint="eastAsia" w:ascii="宋体" w:hAnsi="宋体"/>
          <w:sz w:val="24"/>
          <w:highlight w:val="none"/>
          <w:lang w:val="zh-CN"/>
        </w:rPr>
        <w:sectPr>
          <w:footnotePr/>
          <w:endnotePr/>
          <w:type w:val="nextPage"/>
          <w:pgSz w:w="11906" w:h="16838" w:orient="portrait"/>
          <w:pgMar w:top="1418" w:right="1361" w:bottom="1418" w:left="1365" w:header="851" w:footer="907" w:gutter="0"/>
          <w:pgNumType w:start="1"/>
          <w:cols w:num="1" w:sep="0" w:space="1701" w:equalWidth="1"/>
          <w:docGrid w:linePitch="360"/>
          <w:titlePg/>
        </w:sectPr>
      </w:pPr>
      <w:r>
        <w:rPr>
          <w:rFonts w:hint="eastAsia" w:ascii="宋体" w:hAnsi="宋体"/>
          <w:sz w:val="24"/>
          <w:highlight w:val="none"/>
        </w:rPr>
        <w:t xml:space="preserve">32.1 </w:t>
      </w:r>
      <w:r>
        <w:rPr>
          <w:rFonts w:hint="eastAsia" w:ascii="宋体" w:hAnsi="宋体"/>
          <w:sz w:val="24"/>
          <w:highlight w:val="none"/>
          <w:lang w:val="zh-CN"/>
        </w:rPr>
        <w:t xml:space="preserve">中标人可</w:t>
      </w:r>
      <w:r>
        <w:rPr>
          <w:rFonts w:hint="eastAsia" w:ascii="宋体" w:hAnsi="宋体"/>
          <w:sz w:val="24"/>
          <w:highlight w:val="none"/>
        </w:rPr>
        <w:t xml:space="preserve">通过</w:t>
      </w:r>
      <w:r>
        <w:rPr>
          <w:rFonts w:hint="eastAsia" w:ascii="宋体" w:hAnsi="宋体"/>
          <w:sz w:val="24"/>
          <w:highlight w:val="none"/>
          <w:lang w:val="zh-CN"/>
        </w:rPr>
        <w:t xml:space="preserve">南京市公共资源交易中心网站“小企业融资平台”，凭政府采购合同</w:t>
      </w:r>
      <w:r>
        <w:rPr>
          <w:rFonts w:hint="eastAsia" w:ascii="宋体" w:hAnsi="宋体"/>
          <w:sz w:val="24"/>
          <w:highlight w:val="none"/>
        </w:rPr>
        <w:t xml:space="preserve">选择相应的金融机构</w:t>
      </w:r>
      <w:r>
        <w:rPr>
          <w:rFonts w:hint="eastAsia" w:ascii="宋体" w:hAnsi="宋体"/>
          <w:sz w:val="24"/>
          <w:highlight w:val="none"/>
          <w:lang w:val="zh-CN"/>
        </w:rPr>
        <w:t xml:space="preserve">办理融资贷款。</w:t>
      </w:r>
      <w:r/>
    </w:p>
    <w:p>
      <w:pPr>
        <w:pStyle w:val="907"/>
        <w:jc w:val="center"/>
        <w:spacing w:line="360" w:lineRule="auto"/>
        <w:rPr>
          <w:rFonts w:hint="eastAsia" w:eastAsia="宋体"/>
          <w:highlight w:val="none"/>
          <w:lang w:eastAsia="zh-CN"/>
        </w:rPr>
      </w:pPr>
      <w:r/>
      <w:bookmarkStart w:id="149" w:name="_Toc8998"/>
      <w:r>
        <w:rPr>
          <w:rFonts w:hint="eastAsia" w:ascii="黑体" w:hAnsi="黑体" w:eastAsia="黑体" w:cs="黑体"/>
          <w:sz w:val="44"/>
          <w:szCs w:val="44"/>
          <w:highlight w:val="none"/>
          <w:lang w:val="en-US" w:eastAsia="zh-CN"/>
        </w:rPr>
        <w:t xml:space="preserve">第三章  合同</w:t>
      </w:r>
      <w:bookmarkEnd w:id="17"/>
      <w:r/>
      <w:bookmarkEnd w:id="18"/>
      <w:r/>
      <w:bookmarkEnd w:id="19"/>
      <w:r/>
      <w:bookmarkEnd w:id="20"/>
      <w:r/>
      <w:bookmarkEnd w:id="21"/>
      <w:r>
        <w:rPr>
          <w:rFonts w:hint="eastAsia" w:ascii="黑体" w:hAnsi="黑体" w:eastAsia="黑体" w:cs="黑体"/>
          <w:sz w:val="44"/>
          <w:szCs w:val="44"/>
          <w:highlight w:val="none"/>
          <w:lang w:val="en-US" w:eastAsia="zh-CN"/>
        </w:rPr>
        <w:t xml:space="preserve">文本</w:t>
      </w:r>
      <w:bookmarkEnd w:id="149"/>
      <w:r/>
      <w:bookmarkStart w:id="150" w:name="_Hlt16619350"/>
      <w:r/>
      <w:bookmarkStart w:id="151" w:name="_Toc20823346"/>
      <w:r/>
      <w:bookmarkStart w:id="152" w:name="_Toc120614244"/>
      <w:r/>
      <w:bookmarkStart w:id="153" w:name="_Toc16938590"/>
      <w:r/>
      <w:bookmarkStart w:id="154" w:name="_Toc479757211"/>
      <w:r/>
      <w:bookmarkStart w:id="155" w:name="_Toc462564139"/>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购买合同</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甲方： </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法定代表人：</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地址</w:t>
      </w:r>
      <w:r>
        <w:rPr>
          <w:rFonts w:hint="eastAsia" w:ascii="宋体" w:hAnsi="宋体" w:eastAsia="宋体" w:cs="宋体"/>
          <w:sz w:val="24"/>
          <w:szCs w:val="24"/>
          <w:highlight w:val="none"/>
          <w:lang w:eastAsia="zh-CN"/>
        </w:rPr>
        <w:t xml:space="preserve">：</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联系方式：</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乙方： </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法定代表人：</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地址</w:t>
      </w:r>
      <w:r>
        <w:rPr>
          <w:rFonts w:hint="eastAsia" w:ascii="宋体" w:hAnsi="宋体" w:eastAsia="宋体" w:cs="宋体"/>
          <w:sz w:val="24"/>
          <w:szCs w:val="24"/>
          <w:highlight w:val="none"/>
          <w:lang w:eastAsia="zh-CN"/>
        </w:rPr>
        <w:t xml:space="preserve">：</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联系方式：</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根据《中华人民共和国民法典》、《中华人民共和国食品安全法》等的相关规定，经双方友好协商和试用合作，在平等、自愿、公正的基础上，甲方通过公开招标确定乙方为甲方主副食品原料定点采购与配送供应商。现就双方合作具体事宜达成以下协议：</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第一条  甲方时间及就餐人数情况</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 供餐时间：每日早餐、中餐和晚餐</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 就餐人数：根据实际需求</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第二条  供应品种</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根据公开招标结果，乙方向甲方提供标段    所确定的原料品种。</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第三条  合同期限</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本合同期限为一年。自    年   月  日起至    年   月  日止。合同期内费率不做调整。</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第四条  合同保证金</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乙方须在中标后7日内以履约保函的形式向采购人缴纳履约保证金人民币</w:t>
      </w:r>
      <w:r>
        <w:rPr>
          <w:rFonts w:hint="eastAsia" w:ascii="宋体" w:hAnsi="宋体" w:cs="宋体"/>
          <w:sz w:val="24"/>
          <w:szCs w:val="24"/>
          <w:highlight w:val="none"/>
          <w:lang w:val="en-US" w:eastAsia="zh-CN"/>
        </w:rPr>
        <w:t xml:space="preserve">10000</w:t>
      </w:r>
      <w:r>
        <w:rPr>
          <w:rFonts w:hint="eastAsia" w:ascii="宋体" w:hAnsi="宋体" w:eastAsia="宋体" w:cs="宋体"/>
          <w:sz w:val="24"/>
          <w:szCs w:val="24"/>
          <w:highlight w:val="none"/>
          <w:lang w:val="en-US" w:eastAsia="zh-CN"/>
        </w:rPr>
        <w:t xml:space="preserve">元/分包作为合同生效前提。</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第五条  甲方的权利和义务</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1.甲方指定负责人与乙方做工作对接。如更换负责人应及时通知乙方。</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2.有权监督、验收乙方所配送的一切产品的品种、规格、数量、质量与卫生状况等。</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甲方有权将不合格（如规格不符、货物表面明显存在瑕疵、过期等）的产品退还乙方，并要求乙方在甲方规定的时间内按甲方要求重新换货；如因产品不合格，由甲方自行解决的，由此产生的一切费用由乙方承担，给甲方造成损失的，甲方有权要求乙方赔偿。</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4.甲方每日编制餐厅所需的产品采购与配送需求计划，详细注明品种、规格、数量、质量与卫生要求及加工需求，于当日1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：00或21:00前书面向乙方提供当天或次日需求计划。</w:t>
      </w:r>
      <w:r>
        <w:rPr>
          <w:rFonts w:hint="eastAsia" w:ascii="宋体" w:hAnsi="宋体" w:eastAsia="宋体" w:cs="宋体"/>
          <w:sz w:val="24"/>
          <w:szCs w:val="24"/>
          <w:highlight w:val="none"/>
          <w:lang w:val="en-US" w:eastAsia="zh-CN"/>
        </w:rPr>
        <w:t xml:space="preserve">原则上，甲方每日发送两次需求，</w:t>
      </w:r>
      <w:r>
        <w:rPr>
          <w:rFonts w:hint="eastAsia" w:ascii="宋体" w:hAnsi="宋体" w:eastAsia="宋体" w:cs="宋体"/>
          <w:sz w:val="24"/>
          <w:szCs w:val="24"/>
          <w:highlight w:val="none"/>
          <w:lang w:eastAsia="zh-CN"/>
        </w:rPr>
        <w:t xml:space="preserve">临时所需产品，提前于使用时间2小时前向乙方提供需求计划。</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5.甲方每月积极配合乙方完成对帐工作。</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6.甲方每</w:t>
      </w:r>
      <w:r>
        <w:rPr>
          <w:rFonts w:hint="eastAsia" w:ascii="宋体" w:hAnsi="宋体" w:eastAsia="宋体" w:cs="宋体"/>
          <w:sz w:val="24"/>
          <w:szCs w:val="24"/>
          <w:highlight w:val="none"/>
          <w:lang w:val="en-US" w:eastAsia="zh-CN"/>
        </w:rPr>
        <w:t xml:space="preserve">月进行两次询价，以</w:t>
      </w:r>
      <w:r>
        <w:rPr>
          <w:rFonts w:hint="eastAsia" w:ascii="宋体" w:hAnsi="宋体" w:eastAsia="宋体" w:cs="宋体"/>
          <w:sz w:val="24"/>
          <w:szCs w:val="24"/>
          <w:highlight w:val="none"/>
          <w:lang w:eastAsia="zh-CN"/>
        </w:rPr>
        <w:t xml:space="preserve">    菜场同种产品平均价格作为</w:t>
      </w:r>
      <w:r>
        <w:rPr>
          <w:rFonts w:hint="eastAsia" w:ascii="宋体" w:hAnsi="宋体" w:eastAsia="宋体" w:cs="宋体"/>
          <w:sz w:val="24"/>
          <w:szCs w:val="24"/>
          <w:highlight w:val="none"/>
          <w:lang w:val="en-US" w:eastAsia="zh-CN"/>
        </w:rPr>
        <w:t xml:space="preserve">结算</w:t>
      </w:r>
      <w:r>
        <w:rPr>
          <w:rFonts w:hint="eastAsia" w:ascii="宋体" w:hAnsi="宋体" w:eastAsia="宋体" w:cs="宋体"/>
          <w:sz w:val="24"/>
          <w:szCs w:val="24"/>
          <w:highlight w:val="none"/>
          <w:lang w:eastAsia="zh-CN"/>
        </w:rPr>
        <w:t xml:space="preserve">基准价格以及中标人所承诺的</w:t>
      </w:r>
      <w:r>
        <w:rPr>
          <w:rFonts w:hint="eastAsia" w:ascii="宋体" w:hAnsi="宋体" w:eastAsia="宋体" w:cs="宋体"/>
          <w:sz w:val="24"/>
          <w:szCs w:val="24"/>
          <w:highlight w:val="none"/>
          <w:lang w:val="en-US" w:eastAsia="zh-CN"/>
        </w:rPr>
        <w:t xml:space="preserve">费率</w:t>
      </w:r>
      <w:r>
        <w:rPr>
          <w:rFonts w:hint="eastAsia" w:ascii="宋体" w:hAnsi="宋体" w:eastAsia="宋体" w:cs="宋体"/>
          <w:sz w:val="24"/>
          <w:szCs w:val="24"/>
          <w:highlight w:val="none"/>
          <w:lang w:eastAsia="zh-CN"/>
        </w:rPr>
        <w:t xml:space="preserve">确定供货品种、数量及价格。</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7.甲方有权审核乙方所配送的主副食品原料的当日零售价</w:t>
      </w:r>
      <w:r>
        <w:rPr>
          <w:rFonts w:hint="eastAsia" w:ascii="宋体" w:hAnsi="宋体" w:eastAsia="宋体" w:cs="宋体"/>
          <w:sz w:val="24"/>
          <w:szCs w:val="24"/>
          <w:highlight w:val="none"/>
          <w:lang w:val="en-US" w:eastAsia="zh-CN"/>
        </w:rPr>
        <w:t xml:space="preserve">与</w:t>
      </w:r>
      <w:r>
        <w:rPr>
          <w:rFonts w:hint="eastAsia" w:ascii="宋体" w:hAnsi="宋体" w:eastAsia="宋体" w:cs="宋体"/>
          <w:sz w:val="24"/>
          <w:szCs w:val="24"/>
          <w:highlight w:val="none"/>
          <w:lang w:eastAsia="zh-CN"/>
        </w:rPr>
        <w:t xml:space="preserve">“南京市发展和改革委员会-政务公开-价格信息https://fgw.nanjing.gov.cn/njsfzhggwyh/?id=xxgk_383”公布的“南京市部分农贸市场主副食品”最近一期的价格（网址未公布的产品价格综合考量尚书巷、紫金城农贸市场及众彩实时询价情况作为其食材基准单价（双方友好协商））</w:t>
      </w:r>
      <w:r>
        <w:rPr>
          <w:rFonts w:hint="eastAsia" w:ascii="宋体" w:hAnsi="宋体" w:eastAsia="宋体" w:cs="宋体"/>
          <w:sz w:val="24"/>
          <w:szCs w:val="24"/>
          <w:highlight w:val="none"/>
          <w:lang w:val="en-US" w:eastAsia="zh-CN"/>
        </w:rPr>
        <w:t xml:space="preserve">是否存在差异，</w:t>
      </w:r>
      <w:r>
        <w:rPr>
          <w:rFonts w:hint="eastAsia" w:ascii="宋体" w:hAnsi="宋体" w:eastAsia="宋体" w:cs="宋体"/>
          <w:sz w:val="24"/>
          <w:szCs w:val="24"/>
          <w:highlight w:val="none"/>
          <w:lang w:eastAsia="zh-CN"/>
        </w:rPr>
        <w:t xml:space="preserve">如差异超过10%，甲方有权调整结算价格。</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.甲方有权要求乙方提供质检部门对产品质量进行检测的检测报告。</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eastAsia="zh-CN"/>
        </w:rPr>
        <w:t xml:space="preserve">．甲方有权对乙方出现的产品质量、延时送货等问题给予处罚，并要求其承担违约责任。</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．根据合同约定按时向乙方支付货款。</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第六条  乙方的权利与义务</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乙方指定负责人与甲方做工作对接。如更换负责人应及时通知甲方。</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必须保证所有配送的产品新鲜、优质、量足，不得出现腐烂、变质、造假、以次充好、缺斤短两、与订单要求不符等情况。预包装的食用油、米面、调味品等应优先选用优质品牌产品，并在报价中详细注明品牌、规格等信息。</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2.及时提供相关产品合格检测证明，肉、禽类检测证明必须随货提供。</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3.必须按照甲方提供的采购与配送需求计划，于每月10日-15日，向甲方报价（不作为最终结算价格，只作为双方议价时参考）。</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4.每</w:t>
      </w:r>
      <w:r>
        <w:rPr>
          <w:rFonts w:hint="eastAsia" w:ascii="宋体" w:hAnsi="宋体" w:eastAsia="宋体" w:cs="宋体"/>
          <w:sz w:val="24"/>
          <w:szCs w:val="24"/>
          <w:highlight w:val="none"/>
          <w:lang w:val="en-US" w:eastAsia="zh-CN"/>
        </w:rPr>
        <w:t xml:space="preserve">日7：40</w:t>
      </w:r>
      <w:r>
        <w:rPr>
          <w:rFonts w:hint="eastAsia" w:ascii="宋体" w:hAnsi="宋体" w:eastAsia="宋体" w:cs="宋体"/>
          <w:sz w:val="24"/>
          <w:szCs w:val="24"/>
          <w:highlight w:val="none"/>
          <w:lang w:eastAsia="zh-CN"/>
        </w:rPr>
        <w:t xml:space="preserve">前</w:t>
      </w:r>
      <w:r>
        <w:rPr>
          <w:rFonts w:hint="eastAsia" w:ascii="宋体" w:hAnsi="宋体" w:eastAsia="宋体" w:cs="宋体"/>
          <w:sz w:val="24"/>
          <w:szCs w:val="24"/>
          <w:highlight w:val="none"/>
          <w:lang w:val="en-US" w:eastAsia="zh-CN"/>
        </w:rPr>
        <w:t xml:space="preserve">及16：00前</w:t>
      </w:r>
      <w:r>
        <w:rPr>
          <w:rFonts w:hint="eastAsia" w:ascii="宋体" w:hAnsi="宋体" w:eastAsia="宋体" w:cs="宋体"/>
          <w:sz w:val="24"/>
          <w:szCs w:val="24"/>
          <w:highlight w:val="none"/>
          <w:lang w:eastAsia="zh-CN"/>
        </w:rPr>
        <w:t xml:space="preserve">，按甲方要求将所采购的产种配送到甲方指定地点。甲方临时所需产品，须在指定时间前配送到甲方指定地点。</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5.不得擅自改变甲方所报计划产品中的品种、规格等，各类产品的品种与单价半月为准，特殊情况如需更改，需经双方认可。</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6.乙方送货人员与车辆必须严格遵守甲方管理规定。</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7.乙方负责安排相对固定的工作人员，按照甲方要求，在甲方定点进行水产、肉禽类的现场加工，加工后的产品须满足甲方的质量要求。工作人员须持有效健康证明上岗。</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8.每天及时填报货品价格，每月积极配合甲方完成对帐工作。</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9.乙方有权要求甲方按时结帐。</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第七条 结算方式</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1.结算价格：根据甲方调研的市场价格，每半月确定一次价格（春节所在月份以当月询定价结果作为结算费率），主副食品原料报价=同期同类产品    市场零售价格*费率。</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付款方式：甲乙双方每月上旬对上月主副食品原料采购与配送费用进行对帐，品种、价格以确认单为准，数量、质量以过磅验收结果为准。无误后，甲方凭乙方开具的增值税专用发票（提供货物名称和发票相对应的名称），在</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个月后的10个工作日内付清相应款项。</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如甲方超过约定支付最晚时间期限后仍未付清乙方费用，甲方应向乙方支付所欠金额的3%作为滞纳金，并且乙方有权停止对甲方提供服务，同时可通过法律途径追讨甲方所欠的费用。</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第八条 特别约定</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1.乙方的报价已包含了为甲方配送主副食品原料和定点加工服务的成本费、人工费、运输费及税金等一切费用。</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2.对于不在南京官方报价范围内的产品，甲方每周对乙方的报价通过市场询价方式进行核实，甲方若发现乙方有违反合同有关条款向甲方报价，发现一次</w:t>
      </w:r>
      <w:r>
        <w:rPr>
          <w:rFonts w:hint="eastAsia" w:ascii="宋体" w:hAnsi="宋体" w:cs="宋体"/>
          <w:sz w:val="24"/>
          <w:szCs w:val="24"/>
          <w:highlight w:val="none"/>
          <w:lang w:val="en-US" w:eastAsia="zh-CN"/>
        </w:rPr>
        <w:t xml:space="preserve">提醒并责令整改</w:t>
      </w:r>
      <w:r>
        <w:rPr>
          <w:rFonts w:hint="eastAsia" w:ascii="宋体" w:hAnsi="宋体" w:eastAsia="宋体" w:cs="宋体"/>
          <w:sz w:val="24"/>
          <w:szCs w:val="24"/>
          <w:highlight w:val="none"/>
          <w:lang w:eastAsia="zh-CN"/>
        </w:rPr>
        <w:t xml:space="preserve">，发现两次</w:t>
      </w:r>
      <w:r>
        <w:rPr>
          <w:rFonts w:hint="eastAsia" w:ascii="宋体" w:hAnsi="宋体" w:cs="宋体"/>
          <w:sz w:val="24"/>
          <w:szCs w:val="24"/>
          <w:highlight w:val="none"/>
          <w:lang w:val="en-US" w:eastAsia="zh-CN"/>
        </w:rPr>
        <w:t xml:space="preserve">予以警告，发现三次</w:t>
      </w:r>
      <w:r>
        <w:rPr>
          <w:rFonts w:hint="eastAsia" w:ascii="宋体" w:hAnsi="宋体" w:eastAsia="宋体" w:cs="宋体"/>
          <w:sz w:val="24"/>
          <w:szCs w:val="24"/>
          <w:highlight w:val="none"/>
          <w:lang w:eastAsia="zh-CN"/>
        </w:rPr>
        <w:t xml:space="preserve">甲方有权单方解除合同并扣除全部履约保证金。</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3.如因乙方采购与配送的产品导致甲方发生人员食物中毒事故，乙方必须承担全部责任，如因此给甲方造成损失或甲方因此承担责任的，甲方有权向乙方追偿全部损失，必要时，甲方可追究乙方法律责任。</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如因乙方采购与配送的产品导致甲方发生人员食物中毒事故，乙方必须承担全部责任，如因此给甲方造成损失或附加责任，乙方需全额向甲方赔偿，必要时，甲方可追究乙方法律责任。同时一次性扣除乙方合同履约保证金并终止合同。</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5.甲方所需主副食品原料数量以市斤计量，并以甲方称重为准，单一品种数量差距以2%为限度，否则甲方退回乙方或要求补送。</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6.双方不得随意更改最终定价与计划内容，如需更改须经双方协商解决。</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7.乙方必须按照甲方要求，确保临时供应所需主副食品原料的采购、配送和加工。</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第九条 违约责任</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1.如果乙方不能按照招标文件及合同条款履行，如产品质量经双方确认的第三方单位检测未能达到质量要求，每次向</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lang w:eastAsia="zh-CN"/>
        </w:rPr>
        <w:t xml:space="preserve">缴处罚金1000元，出现三次的，甲方有权单方解除合同并扣除全部履约保证金；如在双方约定的时间内无故延时送货的，每次向乙方缴处罚金1000元，出现三次以上的，甲方有权单方解除合同并扣除全部履约保证金；如延时送货造成甲方重大损失或造成甲方经营无法正常提供造成恶劣影响的，一次性扣除合同履约保证金，同时甲方有权单方解除合同。</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2.如果乙方违反本合同第五条第3款约定的，每次向乙方缴处罚金1000元，出现三次的，甲方有权单方解除合同并扣除全部履约保证金。</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3.如果乙方违反本合同第六条第2款约定的，每次向乙方缴处罚金1000元，违反三次的，甲方有权单方解除合同并扣除全部履约保证金。</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4.甲方对乙方违反招标文件规定及合同其他约定的，有权单方解除合同并扣除全部履约保证金。</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第十条  其他事项</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1.合同期满，本合同自然终止。</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2.甲方对乙方合作期间的报价加价率、质量不合格退货次数、配送延误次数进行统计，作为合同执行和续签的重要参考条件。</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3.甲乙双方在履行合同过程中发生争议，应协商解决，协商不成，任何一方有权向甲方所在地人民法院提起诉讼。</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4.本合同将于签订之日起，同时乙方已交纳合同履约金后生效。</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5.本合同一式四份，甲乙双方各执两份。</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甲方：                          乙方：</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法人代表或负责人：            法人代表或负责人：</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日期：                          日期：</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《*******合同》补充协议（合同附件）</w:t>
      </w:r>
      <w:r/>
    </w:p>
    <w:p>
      <w:pPr>
        <w:pStyle w:val="1213"/>
        <w:jc w:val="left"/>
        <w:spacing w:before="120"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如遇招标文件及合同未约定事项，双方可友好协商签订补充协议。</w:t>
      </w:r>
      <w:r/>
    </w:p>
    <w:p>
      <w:pPr>
        <w:pStyle w:val="907"/>
        <w:numPr>
          <w:ilvl w:val="0"/>
          <w:numId w:val="5"/>
        </w:numPr>
        <w:jc w:val="center"/>
        <w:spacing w:line="360" w:lineRule="auto"/>
        <w:rPr>
          <w:rStyle w:val="1033"/>
          <w:rFonts w:hint="eastAsia" w:ascii="黑体" w:hAnsi="黑体" w:eastAsia="黑体" w:cs="黑体"/>
          <w:sz w:val="44"/>
          <w:szCs w:val="44"/>
          <w:highlight w:val="none"/>
          <w:lang w:val="en-US" w:eastAsia="zh-CN"/>
        </w:rPr>
      </w:pPr>
      <w:r>
        <w:rPr>
          <w:rFonts w:ascii="黑体" w:hAnsi="Courier New" w:eastAsia="黑体" w:cs="Courier New"/>
          <w:bCs/>
          <w:color w:val="000000"/>
          <w:sz w:val="44"/>
          <w:szCs w:val="21"/>
          <w:highlight w:val="none"/>
        </w:rPr>
        <w:br w:type="page" w:clear="all"/>
      </w:r>
      <w:bookmarkEnd w:id="150"/>
      <w:r/>
      <w:bookmarkStart w:id="156" w:name="_Toc22624"/>
      <w:r>
        <w:rPr>
          <w:rStyle w:val="1033"/>
          <w:rFonts w:hint="eastAsia" w:ascii="黑体" w:hAnsi="黑体" w:eastAsia="黑体" w:cs="黑体"/>
          <w:sz w:val="44"/>
          <w:szCs w:val="44"/>
          <w:highlight w:val="none"/>
          <w:lang w:val="en-US" w:eastAsia="zh-CN"/>
        </w:rPr>
        <w:t xml:space="preserve"> 采购需求</w:t>
      </w:r>
      <w:bookmarkEnd w:id="151"/>
      <w:r/>
      <w:bookmarkEnd w:id="152"/>
      <w:r/>
      <w:bookmarkEnd w:id="153"/>
      <w:r/>
      <w:bookmarkEnd w:id="156"/>
      <w:r/>
      <w:r/>
    </w:p>
    <w:p>
      <w:pPr>
        <w:spacing w:line="360" w:lineRule="auto"/>
        <w:rPr>
          <w:rFonts w:hint="default" w:ascii="宋体" w:hAnsi="宋体" w:cs="宋体"/>
          <w:b/>
          <w:bCs/>
          <w:sz w:val="24"/>
          <w:szCs w:val="24"/>
          <w:highlight w:val="none"/>
          <w:lang w:val="en-US" w:eastAsia="zh-CN"/>
        </w:rPr>
      </w:pPr>
      <w:r/>
      <w:bookmarkStart w:id="157" w:name="_Toc26554093"/>
      <w:r/>
      <w:bookmarkStart w:id="158" w:name="_Toc49090575"/>
      <w:r/>
      <w:bookmarkStart w:id="159" w:name="_Toc120614281"/>
      <w:r>
        <w:rPr>
          <w:rFonts w:hint="eastAsia" w:ascii="宋体" w:hAnsi="宋体" w:cs="宋体"/>
          <w:b/>
          <w:bCs/>
          <w:sz w:val="24"/>
          <w:szCs w:val="24"/>
          <w:highlight w:val="none"/>
          <w:lang w:val="en-US" w:eastAsia="zh-CN"/>
        </w:rPr>
        <w:t xml:space="preserve">一、采购清单</w:t>
      </w:r>
      <w:r/>
    </w:p>
    <w:p>
      <w:pPr>
        <w:numPr>
          <w:ilvl w:val="0"/>
          <w:numId w:val="0"/>
        </w:numPr>
        <w:ind w:firstLine="480"/>
        <w:spacing w:line="360" w:lineRule="auto"/>
        <w:rPr>
          <w:rFonts w:hint="eastAsia" w:ascii="宋体" w:hAnsi="宋体"/>
          <w:sz w:val="24"/>
          <w:highlight w:val="none"/>
          <w:lang w:val="zh-CN"/>
        </w:rPr>
      </w:pPr>
      <w:r>
        <w:rPr>
          <w:rFonts w:hint="eastAsia" w:ascii="宋体" w:hAnsi="宋体"/>
          <w:sz w:val="24"/>
          <w:highlight w:val="none"/>
          <w:lang w:val="zh-CN"/>
        </w:rPr>
        <w:t xml:space="preserve">详见附件：主副食品等采购清单。</w:t>
      </w:r>
      <w:r/>
    </w:p>
    <w:p>
      <w:pPr>
        <w:numPr>
          <w:ilvl w:val="0"/>
          <w:numId w:val="0"/>
        </w:numPr>
        <w:ind w:firstLine="480"/>
        <w:spacing w:line="360" w:lineRule="auto"/>
        <w:rPr>
          <w:rFonts w:hint="eastAsia" w:ascii="宋体" w:hAnsi="宋体"/>
          <w:sz w:val="24"/>
          <w:highlight w:val="none"/>
          <w:lang w:val="zh-CN"/>
        </w:rPr>
      </w:pPr>
      <w:r>
        <w:rPr>
          <w:rFonts w:hint="eastAsia" w:ascii="宋体" w:hAnsi="宋体"/>
          <w:sz w:val="24"/>
          <w:highlight w:val="none"/>
          <w:lang w:val="zh-CN"/>
        </w:rPr>
        <w:t xml:space="preserve">（1）采购清单仅供参考，</w:t>
      </w:r>
      <w:r>
        <w:rPr>
          <w:rFonts w:hint="eastAsia" w:ascii="宋体" w:hAnsi="宋体"/>
          <w:sz w:val="24"/>
          <w:highlight w:val="none"/>
          <w:lang w:val="en-US" w:eastAsia="zh-CN"/>
        </w:rPr>
        <w:t xml:space="preserve">采购人</w:t>
      </w:r>
      <w:r>
        <w:rPr>
          <w:rFonts w:hint="eastAsia" w:ascii="宋体" w:hAnsi="宋体"/>
          <w:sz w:val="24"/>
          <w:highlight w:val="none"/>
          <w:lang w:val="zh-CN"/>
        </w:rPr>
        <w:t xml:space="preserve">有权在合同履约过程中根据日常经营中实际需要适当增加或删减品种，</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不得变更中标费率，否则招标人有权解除合同并追究相关损失。</w:t>
      </w:r>
      <w:r/>
    </w:p>
    <w:p>
      <w:pPr>
        <w:numPr>
          <w:ilvl w:val="0"/>
          <w:numId w:val="6"/>
        </w:numPr>
        <w:ind w:firstLine="480"/>
        <w:spacing w:line="360" w:lineRule="auto"/>
        <w:rPr>
          <w:rFonts w:hint="eastAsia" w:ascii="宋体" w:hAnsi="宋体"/>
          <w:sz w:val="24"/>
          <w:highlight w:val="none"/>
          <w:lang w:val="zh-CN"/>
        </w:rPr>
      </w:pPr>
      <w:r>
        <w:rPr>
          <w:rFonts w:hint="eastAsia" w:ascii="宋体" w:hAnsi="宋体"/>
          <w:sz w:val="24"/>
          <w:highlight w:val="none"/>
          <w:lang w:val="zh-CN"/>
        </w:rPr>
        <w:t xml:space="preserve">采购</w:t>
      </w:r>
      <w:r>
        <w:rPr>
          <w:rFonts w:hint="eastAsia" w:ascii="宋体" w:hAnsi="宋体"/>
          <w:sz w:val="24"/>
          <w:highlight w:val="none"/>
          <w:lang w:val="en-US" w:eastAsia="zh-CN"/>
        </w:rPr>
        <w:t xml:space="preserve">预算</w:t>
      </w:r>
      <w:r>
        <w:rPr>
          <w:rFonts w:hint="eastAsia" w:ascii="宋体" w:hAnsi="宋体"/>
          <w:sz w:val="24"/>
          <w:highlight w:val="none"/>
          <w:lang w:val="zh-CN"/>
        </w:rPr>
        <w:t xml:space="preserve">仅</w:t>
      </w:r>
      <w:r>
        <w:rPr>
          <w:rFonts w:hint="eastAsia" w:ascii="宋体" w:hAnsi="宋体"/>
          <w:sz w:val="24"/>
          <w:highlight w:val="none"/>
          <w:lang w:val="en-US" w:eastAsia="zh-CN"/>
        </w:rPr>
        <w:t xml:space="preserve">作投标人</w:t>
      </w:r>
      <w:r>
        <w:rPr>
          <w:rFonts w:hint="eastAsia" w:ascii="宋体" w:hAnsi="宋体"/>
          <w:sz w:val="24"/>
          <w:highlight w:val="none"/>
          <w:lang w:val="zh-CN"/>
        </w:rPr>
        <w:t xml:space="preserve">投标报价参考，不作为实际合同金额执行，具体费用按招标文件及合同结算条款据实结算。</w:t>
      </w:r>
      <w:r/>
    </w:p>
    <w:p>
      <w:pPr>
        <w:numPr>
          <w:ilvl w:val="0"/>
          <w:numId w:val="0"/>
        </w:numPr>
        <w:spacing w:line="360" w:lineRule="auto"/>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二、采购标准</w:t>
      </w:r>
      <w:r/>
    </w:p>
    <w:p>
      <w:pPr>
        <w:ind w:firstLine="482"/>
        <w:keepLines w:val="0"/>
        <w:keepNext w:val="0"/>
        <w:pageBreakBefore w:val="0"/>
        <w:spacing w:line="360" w:lineRule="auto"/>
        <w:widowControl w:val="off"/>
        <w:rPr>
          <w:rFonts w:hint="eastAsia" w:ascii="宋体" w:hAnsi="宋体"/>
          <w:b/>
          <w:bCs/>
          <w:sz w:val="24"/>
          <w:highlight w:val="none"/>
          <w:lang w:val="en-US" w:eastAsia="zh-CN"/>
        </w:rPr>
      </w:pPr>
      <w:r>
        <w:rPr>
          <w:rFonts w:hint="eastAsia" w:ascii="宋体" w:hAnsi="宋体"/>
          <w:b/>
          <w:bCs/>
          <w:sz w:val="24"/>
          <w:highlight w:val="none"/>
          <w:lang w:val="en-US" w:eastAsia="zh-CN"/>
        </w:rPr>
        <w:t xml:space="preserve">分包1：主副食品家禽蛋类、牛羊肉类清单</w:t>
      </w:r>
      <w:r/>
    </w:p>
    <w:p>
      <w:pPr>
        <w:numPr>
          <w:ilvl w:val="0"/>
          <w:numId w:val="7"/>
        </w:num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产品外包装上明确标注产品名称、规格、生产日期、保质期、生产厂家、生产地点等，拥有“SC”食品质量安全认证，切实符合《食品安全法》的要求；</w:t>
      </w:r>
      <w:r/>
    </w:p>
    <w:p>
      <w:pPr>
        <w:numPr>
          <w:ilvl w:val="0"/>
          <w:numId w:val="7"/>
        </w:num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家禽类：符合国家标准 GB 2707-2016。新鲜优质，非冷冻，由取得国家定点屠宰许可的屠宰场提供，并提供《动物防疫条件合格证》或《动物检疫合格证明》；</w:t>
      </w:r>
      <w:r/>
    </w:p>
    <w:p>
      <w:pPr>
        <w:numPr>
          <w:ilvl w:val="0"/>
          <w:numId w:val="7"/>
        </w:num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牛羊肉类：新鲜优质净肉，不带碎骨和大量肥肉，肉色鲜艳，无病变，必须由取得国家定点屠宰许可的屠宰场提供，并提供《动物防疫条件合格证》或《动物检疫合格证明》；</w:t>
      </w:r>
      <w:r/>
    </w:p>
    <w:p>
      <w:pPr>
        <w:numPr>
          <w:ilvl w:val="0"/>
          <w:numId w:val="7"/>
        </w:num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蛋类：符合GB 2749-2015标准，日期新鲜、无明显污秽附着，无破裂、色斑，提供检疫证书；</w:t>
      </w:r>
      <w:r/>
    </w:p>
    <w:p>
      <w:pPr>
        <w:numPr>
          <w:ilvl w:val="0"/>
          <w:numId w:val="7"/>
        </w:num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退货依据：与验收标准不符，有异味或注水情况。病死或死因不明的畜禽及其制品、不新鲜、无来源证明等情况；</w:t>
      </w:r>
      <w:r/>
    </w:p>
    <w:p>
      <w:pPr>
        <w:numPr>
          <w:ilvl w:val="0"/>
          <w:numId w:val="7"/>
        </w:num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提供相关食品合格证及检验证明。</w:t>
      </w:r>
      <w:r/>
    </w:p>
    <w:p>
      <w:pPr>
        <w:ind w:firstLine="482"/>
        <w:keepLines w:val="0"/>
        <w:keepNext w:val="0"/>
        <w:pageBreakBefore w:val="0"/>
        <w:spacing w:line="360" w:lineRule="auto"/>
        <w:widowControl w:val="off"/>
        <w:rPr>
          <w:rFonts w:hint="default" w:ascii="宋体" w:hAnsi="宋体"/>
          <w:b/>
          <w:bCs/>
          <w:sz w:val="24"/>
          <w:highlight w:val="none"/>
          <w:lang w:val="en-US" w:eastAsia="zh-CN"/>
        </w:rPr>
      </w:pPr>
      <w:r>
        <w:rPr>
          <w:rFonts w:hint="eastAsia" w:ascii="宋体" w:hAnsi="宋体"/>
          <w:b/>
          <w:bCs/>
          <w:sz w:val="24"/>
          <w:highlight w:val="none"/>
          <w:lang w:val="en-US" w:eastAsia="zh-CN"/>
        </w:rPr>
        <w:t xml:space="preserve">分包2：主副食品粮油干调类</w:t>
      </w:r>
      <w:r/>
    </w:p>
    <w:p>
      <w:pPr>
        <w:numPr>
          <w:ilvl w:val="0"/>
          <w:numId w:val="8"/>
        </w:num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产品必须符合GB/T1354-2018、GB/T1355-2021、GB/T1535-2017、GB/T 1536-2021标准，拥有“SC”食品质量安全认证，符合《食品安全法》要求，外包装上明确标注生产日期、规格、产地；</w:t>
      </w:r>
      <w:r/>
    </w:p>
    <w:p>
      <w:pPr>
        <w:numPr>
          <w:ilvl w:val="0"/>
          <w:numId w:val="8"/>
        </w:num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干调类：品牌厂家生产、保质期内，包装完好；</w:t>
      </w:r>
      <w:r/>
    </w:p>
    <w:p>
      <w:pPr>
        <w:numPr>
          <w:ilvl w:val="0"/>
          <w:numId w:val="8"/>
        </w:num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剩余保质期高于规定保质期50%；</w:t>
      </w:r>
      <w:r/>
    </w:p>
    <w:p>
      <w:pPr>
        <w:numPr>
          <w:ilvl w:val="0"/>
          <w:numId w:val="8"/>
        </w:num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退货依据：与验收标准不符，有异味、杂质或变质情况；超过或剩余保质期不足50%，有变质、变色、鼓包等情况；</w:t>
      </w:r>
      <w:r/>
    </w:p>
    <w:p>
      <w:pPr>
        <w:numPr>
          <w:ilvl w:val="0"/>
          <w:numId w:val="8"/>
        </w:num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提供相关食品合格证及检验证明。</w:t>
      </w:r>
      <w:r/>
    </w:p>
    <w:p>
      <w:pPr>
        <w:ind w:firstLine="482"/>
        <w:keepLines w:val="0"/>
        <w:keepNext w:val="0"/>
        <w:pageBreakBefore w:val="0"/>
        <w:spacing w:line="360" w:lineRule="auto"/>
        <w:widowControl w:val="off"/>
        <w:rPr>
          <w:rFonts w:hint="default" w:ascii="宋体" w:hAnsi="宋体"/>
          <w:b/>
          <w:bCs/>
          <w:sz w:val="24"/>
          <w:highlight w:val="none"/>
          <w:lang w:val="en-US" w:eastAsia="zh-CN"/>
        </w:rPr>
      </w:pPr>
      <w:r>
        <w:rPr>
          <w:rFonts w:hint="eastAsia" w:ascii="宋体" w:hAnsi="宋体"/>
          <w:b/>
          <w:bCs/>
          <w:sz w:val="24"/>
          <w:highlight w:val="none"/>
          <w:lang w:val="en-US" w:eastAsia="zh-CN"/>
        </w:rPr>
        <w:t xml:space="preserve">分包3：主副食品蔬菜生鲜类</w:t>
      </w:r>
      <w:r/>
    </w:p>
    <w:p>
      <w:p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（1）符合《食品中农药最大残留限量》国家标准 GB 2763-2021；</w:t>
      </w:r>
      <w:r/>
    </w:p>
    <w:p>
      <w:p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（1）叶菜类：叶肥鲜嫩、无病虫害，无散黄叶，不出苔。大白菜、包菜要求包心紧实；</w:t>
      </w:r>
      <w:r/>
    </w:p>
    <w:p>
      <w:p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（3）根、茎菜类：个大、形正，表面光滑、无叉，质脆嫩，不伤、不裂、不烂；</w:t>
      </w:r>
      <w:r/>
    </w:p>
    <w:p>
      <w:p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（4）果菜类：个大均匀，果形周正、肥嫩，无畸形、无虫害，不伤，不烂；</w:t>
      </w:r>
      <w:r/>
    </w:p>
    <w:p>
      <w:p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（5）花菜类：花球鲜嫩，紧实肥大，不烂，无虫害；</w:t>
      </w:r>
      <w:r/>
    </w:p>
    <w:p>
      <w:p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（6）食用菌类：色泽鲜艳，无霉烂，无异味；</w:t>
      </w:r>
      <w:r/>
    </w:p>
    <w:p>
      <w:p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（7）鲜花类：花型完整、花色纯正、无畸形，茎干长度达标、无腐烂；基部切口新鲜洁白。叶片翠绿有光泽、无黄叶、无脱水萎蔫。花瓣紧实有弹性、无失水、无异味、无霉变；</w:t>
      </w:r>
      <w:r/>
    </w:p>
    <w:p>
      <w:p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（8）其他类：无异味，无变质，无杂质；</w:t>
      </w:r>
      <w:r/>
    </w:p>
    <w:p>
      <w:p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（9）所有配送生鲜蔬菜计价重量均为净重，即不含包装箱、筐等重量；</w:t>
      </w:r>
      <w:r/>
    </w:p>
    <w:p>
      <w:p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（10）无浸水现象（水发产品除外）；</w:t>
      </w:r>
      <w:r/>
    </w:p>
    <w:p>
      <w:p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（11）退货依据：与验收标准不符，腐烂变质或有异常气味。枯叶、黄叶、烧心焦边、畸形、空瘪等品质不佳、不宜食用部分超过5%等情况；</w:t>
      </w:r>
      <w:r/>
    </w:p>
    <w:p>
      <w:pPr>
        <w:ind w:firstLine="480"/>
        <w:keepLines w:val="0"/>
        <w:keepNext w:val="0"/>
        <w:pageBreakBefore w:val="0"/>
        <w:spacing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w:t>
      </w:r>
      <w:r>
        <w:rPr>
          <w:rFonts w:hint="eastAsia" w:ascii="宋体" w:hAnsi="宋体"/>
          <w:sz w:val="24"/>
          <w:highlight w:val="none"/>
          <w:lang w:val="en-US" w:eastAsia="zh-CN"/>
        </w:rPr>
        <w:t xml:space="preserve">12</w:t>
      </w:r>
      <w:r>
        <w:rPr>
          <w:rFonts w:hint="default" w:ascii="宋体" w:hAnsi="宋体"/>
          <w:sz w:val="24"/>
          <w:highlight w:val="none"/>
          <w:lang w:val="en-US" w:eastAsia="zh-CN"/>
        </w:rPr>
        <w:t xml:space="preserve">）提供相关食品合格证</w:t>
      </w:r>
      <w:r>
        <w:rPr>
          <w:rFonts w:hint="eastAsia" w:ascii="宋体" w:hAnsi="宋体"/>
          <w:sz w:val="24"/>
          <w:highlight w:val="none"/>
          <w:lang w:val="en-US" w:eastAsia="zh-CN"/>
        </w:rPr>
        <w:t xml:space="preserve">或</w:t>
      </w:r>
      <w:r>
        <w:rPr>
          <w:rFonts w:hint="default" w:ascii="宋体" w:hAnsi="宋体"/>
          <w:sz w:val="24"/>
          <w:highlight w:val="none"/>
          <w:lang w:val="en-US" w:eastAsia="zh-CN"/>
        </w:rPr>
        <w:t xml:space="preserve">检验证明</w:t>
      </w:r>
      <w:r>
        <w:rPr>
          <w:rFonts w:hint="eastAsia" w:ascii="宋体" w:hAnsi="宋体"/>
          <w:sz w:val="24"/>
          <w:highlight w:val="none"/>
          <w:lang w:val="en-US" w:eastAsia="zh-CN"/>
        </w:rPr>
        <w:t xml:space="preserve">。</w:t>
      </w:r>
      <w:r/>
    </w:p>
    <w:p>
      <w:pPr>
        <w:ind w:firstLine="482"/>
        <w:keepLines w:val="0"/>
        <w:keepNext w:val="0"/>
        <w:pageBreakBefore w:val="0"/>
        <w:spacing w:line="360" w:lineRule="auto"/>
        <w:widowControl w:val="off"/>
        <w:rPr>
          <w:rFonts w:hint="eastAsia" w:ascii="宋体" w:hAnsi="宋体"/>
          <w:b/>
          <w:bCs/>
          <w:sz w:val="24"/>
          <w:highlight w:val="none"/>
          <w:lang w:val="en-US" w:eastAsia="zh-CN"/>
        </w:rPr>
      </w:pPr>
      <w:r>
        <w:rPr>
          <w:rFonts w:hint="eastAsia" w:ascii="宋体" w:hAnsi="宋体"/>
          <w:b/>
          <w:bCs/>
          <w:sz w:val="24"/>
          <w:highlight w:val="none"/>
          <w:lang w:val="en-US" w:eastAsia="zh-CN"/>
        </w:rPr>
        <w:t xml:space="preserve">分包4：主副食品水产类</w:t>
      </w:r>
      <w:r/>
    </w:p>
    <w:p>
      <w:pPr>
        <w:numPr>
          <w:ilvl w:val="0"/>
          <w:numId w:val="9"/>
        </w:num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产品必须符合国家标准鲜、冻动物性水产品GB 2733-2015，外包装上明确标注产品名称、规格、生产日期、保质期、生产厂家、生产地点等，拥有“SC”食品质量安全认证，符合《食品安全法》要求；</w:t>
      </w:r>
      <w:r/>
    </w:p>
    <w:p>
      <w:pPr>
        <w:numPr>
          <w:ilvl w:val="0"/>
          <w:numId w:val="9"/>
        </w:num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供应商必须提供至少1名专业人员驻店负责活鲜产品的养活、宰杀和粗加工等工作。由此产生的相关费用供应商自理。驻店工作人员服从采购人管理(穿着，按时上下班等)，保持卫生包干区清洁干净；</w:t>
      </w:r>
      <w:r/>
    </w:p>
    <w:p>
      <w:pPr>
        <w:numPr>
          <w:ilvl w:val="0"/>
          <w:numId w:val="9"/>
        </w:num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服务期内所有养鱼相关设备设施由供应商自行负责维修保养；</w:t>
      </w:r>
      <w:r/>
    </w:p>
    <w:p>
      <w:pPr>
        <w:numPr>
          <w:ilvl w:val="0"/>
          <w:numId w:val="9"/>
        </w:num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供应商及时送货及时增补(a:水产投标人每天必须按时按量，分上午和下午两批次送货，确保鱼虾的鲜活性。b:如遇客情临时变化较大，须根据采购人需求随时补送食材，确保顾客正常消费，不影响采购人正常运营，补送水产品到达时间控制在30分钟内，因超时或不送造成的损失，供应商须一律承担，并追究给招标人造成的损失) ；</w:t>
      </w:r>
      <w:r/>
    </w:p>
    <w:p>
      <w:pPr>
        <w:numPr>
          <w:ilvl w:val="0"/>
          <w:numId w:val="9"/>
        </w:num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鲜活鱼类:眼球突出紧张，角膜透明坚强有弹性，骨肉密接、鳃鲜红色，色泽鲜艳，表皮呈原有色泽，有亮泽，黏液多，体形完整，肌肉柔软而光泽；</w:t>
      </w:r>
      <w:r/>
    </w:p>
    <w:p>
      <w:pPr>
        <w:numPr>
          <w:ilvl w:val="0"/>
          <w:numId w:val="9"/>
        </w:num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贝类:新鲜无泥沙杂质，肉质饱满、个体鲜活受刺激时贝壳紧闭，两贝壳相碰时发出实响；</w:t>
      </w:r>
      <w:r/>
    </w:p>
    <w:p>
      <w:pPr>
        <w:numPr>
          <w:ilvl w:val="0"/>
          <w:numId w:val="9"/>
        </w:num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虾类:外壳有光泽、半透明，肉质紧密、有弹性，甲壳紧密裹着虾体，色泽、气味正常，活虾受刺激时具有明显弹跳反应；</w:t>
      </w:r>
      <w:r/>
    </w:p>
    <w:p>
      <w:pPr>
        <w:numPr>
          <w:ilvl w:val="0"/>
          <w:numId w:val="9"/>
        </w:num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退货依据：腐败变质包括发臭、发粘、颜色异常等，有明显哈喇味，有泥沙、塑料、金属碎片等，注水增重等情况；</w:t>
      </w:r>
      <w:r/>
    </w:p>
    <w:p>
      <w:pPr>
        <w:numPr>
          <w:ilvl w:val="0"/>
          <w:numId w:val="9"/>
        </w:num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提供相关食品合格证及检验证明。</w:t>
      </w:r>
      <w:r/>
    </w:p>
    <w:p>
      <w:pPr>
        <w:ind w:firstLine="482"/>
        <w:keepLines w:val="0"/>
        <w:keepNext w:val="0"/>
        <w:pageBreakBefore w:val="0"/>
        <w:spacing w:line="360" w:lineRule="auto"/>
        <w:widowControl w:val="off"/>
        <w:rPr>
          <w:rFonts w:hint="default" w:ascii="宋体" w:hAnsi="宋体"/>
          <w:b/>
          <w:bCs/>
          <w:sz w:val="24"/>
          <w:highlight w:val="none"/>
          <w:lang w:val="en-US" w:eastAsia="zh-CN"/>
        </w:rPr>
      </w:pPr>
      <w:r>
        <w:rPr>
          <w:rFonts w:hint="eastAsia" w:ascii="宋体" w:hAnsi="宋体"/>
          <w:b/>
          <w:bCs/>
          <w:sz w:val="24"/>
          <w:highlight w:val="none"/>
          <w:lang w:val="en-US" w:eastAsia="zh-CN"/>
        </w:rPr>
        <w:t xml:space="preserve">分包5：主副食品猪肉类</w:t>
      </w:r>
      <w:r/>
    </w:p>
    <w:p>
      <w:pPr>
        <w:numPr>
          <w:ilvl w:val="0"/>
          <w:numId w:val="10"/>
        </w:num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必须符合国家标准GB/T9959.1-2019、GB/T 17238-2022，具有产品的有效动物检疫合格证明，每批次随货同行，切实符合《食品安全法》和《动物检疫法》等要求；</w:t>
      </w:r>
      <w:r/>
    </w:p>
    <w:p>
      <w:pPr>
        <w:numPr>
          <w:ilvl w:val="0"/>
          <w:numId w:val="10"/>
        </w:num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新鲜优质，不带碎骨，肉色鲜艳，无病变。由取得国家定点屠宰许可的屠宰场提供，并提供《动物防疫条件合格证》或《动物检疫合格证明》；</w:t>
      </w:r>
      <w:r/>
    </w:p>
    <w:p>
      <w:pPr>
        <w:numPr>
          <w:ilvl w:val="0"/>
          <w:numId w:val="10"/>
        </w:num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退货依据：与验收标准不符，有异味或注水情况，病死或死因不明、不新鲜、无来源证明；</w:t>
      </w:r>
      <w:r/>
    </w:p>
    <w:p>
      <w:pPr>
        <w:numPr>
          <w:ilvl w:val="0"/>
          <w:numId w:val="10"/>
        </w:num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提供相关食品合格证及检验证明。</w:t>
      </w:r>
      <w:r/>
    </w:p>
    <w:p>
      <w:pPr>
        <w:numPr>
          <w:ilvl w:val="0"/>
          <w:numId w:val="0"/>
        </w:numPr>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r>
      <w:r/>
    </w:p>
    <w:p>
      <w:pPr>
        <w:numPr>
          <w:ilvl w:val="0"/>
          <w:numId w:val="0"/>
        </w:numPr>
        <w:spacing w:line="360" w:lineRule="auto"/>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三、配送及验收要求</w:t>
      </w:r>
      <w:r/>
    </w:p>
    <w:p>
      <w:pPr>
        <w:numPr>
          <w:ilvl w:val="0"/>
          <w:numId w:val="11"/>
        </w:numPr>
        <w:ind w:firstLine="480"/>
        <w:keepLines w:val="0"/>
        <w:keepNext w:val="0"/>
        <w:pageBreakBefore w:val="0"/>
        <w:spacing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制定计划:</w:t>
      </w:r>
      <w:r>
        <w:rPr>
          <w:rFonts w:hint="eastAsia" w:ascii="宋体" w:hAnsi="宋体"/>
          <w:sz w:val="24"/>
          <w:highlight w:val="none"/>
          <w:lang w:val="en-US" w:eastAsia="zh-CN"/>
        </w:rPr>
        <w:t xml:space="preserve">采购人</w:t>
      </w:r>
      <w:r>
        <w:rPr>
          <w:rFonts w:hint="default" w:ascii="宋体" w:hAnsi="宋体"/>
          <w:sz w:val="24"/>
          <w:highlight w:val="none"/>
          <w:lang w:val="en-US" w:eastAsia="zh-CN"/>
        </w:rPr>
        <w:t xml:space="preserve">每日编制餐厅所需的产品采购与配送需求计划，详细注明品种、规格、数量、质量与卫生要求及加工需求，于当日14：00或21:00前书面向</w:t>
      </w:r>
      <w:r>
        <w:rPr>
          <w:rFonts w:hint="eastAsia" w:ascii="宋体" w:hAnsi="宋体"/>
          <w:sz w:val="24"/>
          <w:highlight w:val="none"/>
          <w:lang w:val="en-US" w:eastAsia="zh-CN"/>
        </w:rPr>
        <w:t xml:space="preserve">供应商</w:t>
      </w:r>
      <w:r>
        <w:rPr>
          <w:rFonts w:hint="default" w:ascii="宋体" w:hAnsi="宋体"/>
          <w:sz w:val="24"/>
          <w:highlight w:val="none"/>
          <w:lang w:val="en-US" w:eastAsia="zh-CN"/>
        </w:rPr>
        <w:t xml:space="preserve">提供当天或次日需求计划。临时所需产品，提前于使用时间2小时前向</w:t>
      </w:r>
      <w:r>
        <w:rPr>
          <w:rFonts w:hint="eastAsia" w:ascii="宋体" w:hAnsi="宋体"/>
          <w:sz w:val="24"/>
          <w:highlight w:val="none"/>
          <w:lang w:val="en-US" w:eastAsia="zh-CN"/>
        </w:rPr>
        <w:t xml:space="preserve">供应商</w:t>
      </w:r>
      <w:r>
        <w:rPr>
          <w:rFonts w:hint="default" w:ascii="宋体" w:hAnsi="宋体"/>
          <w:sz w:val="24"/>
          <w:highlight w:val="none"/>
          <w:lang w:val="en-US" w:eastAsia="zh-CN"/>
        </w:rPr>
        <w:t xml:space="preserve">提供需求计划。</w:t>
      </w:r>
      <w:r/>
    </w:p>
    <w:p>
      <w:pPr>
        <w:numPr>
          <w:ilvl w:val="0"/>
          <w:numId w:val="11"/>
        </w:numPr>
        <w:ind w:firstLine="480"/>
        <w:keepLines w:val="0"/>
        <w:keepNext w:val="0"/>
        <w:pageBreakBefore w:val="0"/>
        <w:spacing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筹措物资:</w:t>
      </w:r>
      <w:r>
        <w:rPr>
          <w:rFonts w:hint="eastAsia" w:ascii="宋体" w:hAnsi="宋体"/>
          <w:sz w:val="24"/>
          <w:highlight w:val="none"/>
          <w:lang w:val="en-US" w:eastAsia="zh-CN"/>
        </w:rPr>
        <w:t xml:space="preserve">供应商</w:t>
      </w:r>
      <w:r>
        <w:rPr>
          <w:rFonts w:hint="default" w:ascii="宋体" w:hAnsi="宋体"/>
          <w:sz w:val="24"/>
          <w:highlight w:val="none"/>
          <w:lang w:val="en-US" w:eastAsia="zh-CN"/>
        </w:rPr>
        <w:t xml:space="preserve">根据采购人的采购计划单组织食品筹措、加工、生产</w:t>
      </w:r>
      <w:r>
        <w:rPr>
          <w:rFonts w:hint="eastAsia" w:ascii="宋体" w:hAnsi="宋体"/>
          <w:sz w:val="24"/>
          <w:highlight w:val="none"/>
          <w:lang w:val="en-US" w:eastAsia="zh-CN"/>
        </w:rPr>
        <w:t xml:space="preserve">，</w:t>
      </w:r>
      <w:r>
        <w:rPr>
          <w:rFonts w:hint="default" w:ascii="宋体" w:hAnsi="宋体"/>
          <w:sz w:val="24"/>
          <w:highlight w:val="none"/>
          <w:lang w:val="en-US" w:eastAsia="zh-CN"/>
        </w:rPr>
        <w:t xml:space="preserve">按规定的品名、数量、质量要求进行供应。特殊情况需要更换食品供应品种时，须</w:t>
      </w:r>
      <w:r>
        <w:rPr>
          <w:rFonts w:hint="eastAsia" w:ascii="宋体" w:hAnsi="宋体"/>
          <w:sz w:val="24"/>
          <w:highlight w:val="none"/>
          <w:lang w:val="en-US" w:eastAsia="zh-CN"/>
        </w:rPr>
        <w:t xml:space="preserve">报</w:t>
      </w:r>
      <w:r>
        <w:rPr>
          <w:rFonts w:hint="default" w:ascii="宋体" w:hAnsi="宋体"/>
          <w:sz w:val="24"/>
          <w:highlight w:val="none"/>
          <w:lang w:val="en-US" w:eastAsia="zh-CN"/>
        </w:rPr>
        <w:t xml:space="preserve">采购人同意后实施</w:t>
      </w:r>
      <w:r>
        <w:rPr>
          <w:rFonts w:hint="eastAsia" w:ascii="宋体" w:hAnsi="宋体"/>
          <w:sz w:val="24"/>
          <w:highlight w:val="none"/>
          <w:lang w:val="en-US" w:eastAsia="zh-CN"/>
        </w:rPr>
        <w:t xml:space="preserve">；</w:t>
      </w:r>
      <w:r/>
    </w:p>
    <w:p>
      <w:pPr>
        <w:numPr>
          <w:ilvl w:val="0"/>
          <w:numId w:val="11"/>
        </w:numPr>
        <w:ind w:firstLine="480"/>
        <w:keepLines w:val="0"/>
        <w:keepNext w:val="0"/>
        <w:pageBreakBefore w:val="0"/>
        <w:spacing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除每日上午、下午两次供货时间外，供应商须保证</w:t>
      </w:r>
      <w:r>
        <w:rPr>
          <w:rFonts w:hint="eastAsia" w:ascii="宋体" w:hAnsi="宋体"/>
          <w:sz w:val="24"/>
          <w:highlight w:val="none"/>
          <w:lang w:val="en-US" w:eastAsia="zh-CN"/>
        </w:rPr>
        <w:t xml:space="preserve">随时响应</w:t>
      </w:r>
      <w:r>
        <w:rPr>
          <w:rFonts w:hint="default" w:ascii="宋体" w:hAnsi="宋体"/>
          <w:sz w:val="24"/>
          <w:highlight w:val="none"/>
          <w:lang w:val="en-US" w:eastAsia="zh-CN"/>
        </w:rPr>
        <w:t xml:space="preserve">，接到电话通知后</w:t>
      </w:r>
      <w:r>
        <w:rPr>
          <w:rFonts w:hint="eastAsia" w:ascii="宋体" w:hAnsi="宋体"/>
          <w:sz w:val="24"/>
          <w:highlight w:val="none"/>
          <w:lang w:val="en-US" w:eastAsia="zh-CN"/>
        </w:rPr>
        <w:t xml:space="preserve">2小时内送到</w:t>
      </w:r>
      <w:r>
        <w:rPr>
          <w:rFonts w:hint="default" w:ascii="宋体" w:hAnsi="宋体"/>
          <w:sz w:val="24"/>
          <w:highlight w:val="none"/>
          <w:lang w:val="en-US" w:eastAsia="zh-CN"/>
        </w:rPr>
        <w:t xml:space="preserve">，</w:t>
      </w:r>
      <w:r>
        <w:rPr>
          <w:rFonts w:hint="eastAsia" w:ascii="宋体" w:hAnsi="宋体"/>
          <w:sz w:val="24"/>
          <w:highlight w:val="none"/>
          <w:lang w:val="en-US" w:eastAsia="zh-CN"/>
        </w:rPr>
        <w:t xml:space="preserve">避免</w:t>
      </w:r>
      <w:r>
        <w:rPr>
          <w:rFonts w:hint="default" w:ascii="宋体" w:hAnsi="宋体"/>
          <w:sz w:val="24"/>
          <w:highlight w:val="none"/>
          <w:lang w:val="en-US" w:eastAsia="zh-CN"/>
        </w:rPr>
        <w:t xml:space="preserve">影响采购人正常经营；</w:t>
      </w:r>
      <w:r/>
    </w:p>
    <w:p>
      <w:pPr>
        <w:numPr>
          <w:ilvl w:val="0"/>
          <w:numId w:val="11"/>
        </w:numPr>
        <w:ind w:firstLine="480"/>
        <w:keepLines w:val="0"/>
        <w:keepNext w:val="0"/>
        <w:pageBreakBefore w:val="0"/>
        <w:spacing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如采购人需更新菜谱，供应商须按厨房开出的原料单等要求在市场寻找并提供新食材</w:t>
      </w:r>
      <w:r>
        <w:rPr>
          <w:rFonts w:hint="eastAsia" w:ascii="宋体" w:hAnsi="宋体"/>
          <w:sz w:val="24"/>
          <w:highlight w:val="none"/>
          <w:lang w:val="en-US" w:eastAsia="zh-CN"/>
        </w:rPr>
        <w:t xml:space="preserve">；</w:t>
      </w:r>
      <w:r/>
    </w:p>
    <w:p>
      <w:pPr>
        <w:numPr>
          <w:ilvl w:val="0"/>
          <w:numId w:val="11"/>
        </w:num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供应商将食材送至采购人指定地点后，由采购人指定相关人员对其品种、数量、质量进行逐项验收，若发现与采购人要求不符的情况，采购人有权要求供应商重新配送并承担由此带来的损失；</w:t>
      </w:r>
      <w:r/>
    </w:p>
    <w:p>
      <w:pPr>
        <w:numPr>
          <w:ilvl w:val="0"/>
          <w:numId w:val="11"/>
        </w:num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双方对配送的食材质量或价格存在争议时，由采购人检验或双方共同考察市场，协商解决；经协商仍不能达成一致意见时，由南京市物价局、食品药品监督管理局等有关部门进行检验和裁决，如食材价格不合理或质量不合格，由供应商承担检验、仲裁费用以及相关经济损失。</w:t>
      </w:r>
      <w:r/>
    </w:p>
    <w:p>
      <w:pPr>
        <w:numPr>
          <w:ilvl w:val="0"/>
          <w:numId w:val="0"/>
        </w:numPr>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r>
      <w:r/>
    </w:p>
    <w:p>
      <w:pPr>
        <w:numPr>
          <w:ilvl w:val="0"/>
          <w:numId w:val="0"/>
        </w:numPr>
        <w:keepLines w:val="0"/>
        <w:keepNext w:val="0"/>
        <w:pageBreakBefore w:val="0"/>
        <w:spacing w:line="360" w:lineRule="auto"/>
        <w:widowControl w:val="off"/>
        <w:rPr>
          <w:rFonts w:hint="eastAsia" w:ascii="宋体" w:hAnsi="宋体"/>
          <w:b/>
          <w:bCs/>
          <w:sz w:val="24"/>
          <w:highlight w:val="none"/>
          <w:lang w:val="en-US" w:eastAsia="zh-CN"/>
        </w:rPr>
      </w:pPr>
      <w:r>
        <w:rPr>
          <w:rFonts w:hint="eastAsia" w:ascii="宋体" w:hAnsi="宋体"/>
          <w:b/>
          <w:bCs/>
          <w:sz w:val="24"/>
          <w:highlight w:val="none"/>
          <w:lang w:val="en-US" w:eastAsia="zh-CN"/>
        </w:rPr>
        <w:t xml:space="preserve">四、包装要求</w:t>
      </w:r>
      <w:r/>
    </w:p>
    <w:p>
      <w:pPr>
        <w:numPr>
          <w:ilvl w:val="0"/>
          <w:numId w:val="0"/>
        </w:num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包装容器(框、箱、袋)要求清洁、干燥、牢固、透气，无污染、无异味、无霉变现象。中标人所供的副食品包装应规范、卫生、整齐、美观;肉类要进行分割，外包透明薄膜，外包装用纸箱包装;冻类等用保鲜袋进行冷冻封装;鱼类、主副食品水产类用网袋装好，放置有加氧机的清水中，保持鲜活;干货、调料、水果类用纸箱包装;蔬菜瓜类用塑料筐盛装。</w:t>
      </w:r>
      <w:r/>
    </w:p>
    <w:p>
      <w:pPr>
        <w:numPr>
          <w:ilvl w:val="0"/>
          <w:numId w:val="0"/>
        </w:num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2、每件包装必须按《农产品包装和标识管理办法》贴标签，标明产地、品种净含量、生产单位及地址和采收日期。</w:t>
      </w:r>
      <w:r/>
    </w:p>
    <w:p>
      <w:pPr>
        <w:numPr>
          <w:ilvl w:val="0"/>
          <w:numId w:val="0"/>
        </w:numPr>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r>
      <w:r/>
    </w:p>
    <w:p>
      <w:pPr>
        <w:numPr>
          <w:ilvl w:val="0"/>
          <w:numId w:val="0"/>
        </w:numPr>
        <w:keepLines w:val="0"/>
        <w:keepNext w:val="0"/>
        <w:pageBreakBefore w:val="0"/>
        <w:spacing w:line="360" w:lineRule="auto"/>
        <w:widowControl w:val="off"/>
        <w:rPr>
          <w:rFonts w:hint="eastAsia" w:ascii="宋体" w:hAnsi="宋体"/>
          <w:b/>
          <w:bCs/>
          <w:sz w:val="24"/>
          <w:highlight w:val="none"/>
          <w:lang w:val="en-US" w:eastAsia="zh-CN"/>
        </w:rPr>
      </w:pPr>
      <w:r>
        <w:rPr>
          <w:rFonts w:hint="eastAsia" w:ascii="宋体" w:hAnsi="宋体"/>
          <w:b/>
          <w:bCs/>
          <w:sz w:val="24"/>
          <w:highlight w:val="none"/>
          <w:lang w:val="en-US" w:eastAsia="zh-CN"/>
        </w:rPr>
        <w:t xml:space="preserve">五、违约处罚</w:t>
      </w:r>
      <w:r/>
    </w:p>
    <w:p>
      <w:pPr>
        <w:numPr>
          <w:ilvl w:val="0"/>
          <w:numId w:val="0"/>
        </w:numPr>
        <w:ind w:firstLine="480"/>
        <w:keepLines w:val="0"/>
        <w:keepNext w:val="0"/>
        <w:pageBreakBefore w:val="0"/>
        <w:spacing w:line="360" w:lineRule="auto"/>
        <w:widowControl w:val="off"/>
        <w:rPr>
          <w:rFonts w:hint="default" w:ascii="宋体" w:hAnsi="宋体"/>
          <w:sz w:val="24"/>
          <w:highlight w:val="none"/>
          <w:lang w:val="en-US" w:eastAsia="zh-CN"/>
        </w:rPr>
      </w:pPr>
      <w:r>
        <w:rPr>
          <w:rFonts w:hint="eastAsia" w:ascii="宋体" w:hAnsi="宋体"/>
          <w:sz w:val="24"/>
          <w:highlight w:val="none"/>
          <w:lang w:val="en-US" w:eastAsia="zh-CN"/>
        </w:rPr>
        <w:t xml:space="preserve">详见第三章合同部分</w:t>
      </w:r>
      <w:r/>
    </w:p>
    <w:p>
      <w:pPr>
        <w:numPr>
          <w:ilvl w:val="0"/>
          <w:numId w:val="0"/>
        </w:numPr>
        <w:ind w:firstLine="48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r>
      <w:r/>
    </w:p>
    <w:p>
      <w:pPr>
        <w:numPr>
          <w:ilvl w:val="0"/>
          <w:numId w:val="0"/>
        </w:numPr>
        <w:spacing w:line="360" w:lineRule="auto"/>
        <w:rPr>
          <w:rFonts w:hint="default"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六</w:t>
      </w:r>
      <w:r>
        <w:rPr>
          <w:rFonts w:hint="default" w:ascii="宋体" w:hAnsi="宋体" w:cs="宋体"/>
          <w:b/>
          <w:bCs/>
          <w:sz w:val="24"/>
          <w:szCs w:val="24"/>
          <w:highlight w:val="none"/>
          <w:lang w:val="en-US" w:eastAsia="zh-CN"/>
        </w:rPr>
        <w:t xml:space="preserve">、商务要求</w:t>
      </w:r>
      <w:r/>
    </w:p>
    <w:p>
      <w:pPr>
        <w:numPr>
          <w:ilvl w:val="0"/>
          <w:numId w:val="0"/>
        </w:numPr>
        <w:ind w:firstLine="480"/>
        <w:keepLines w:val="0"/>
        <w:keepNext w:val="0"/>
        <w:pageBreakBefore w:val="0"/>
        <w:spacing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1、服务期限：</w:t>
      </w:r>
      <w:r>
        <w:rPr>
          <w:rFonts w:hint="eastAsia" w:ascii="宋体" w:hAnsi="宋体"/>
          <w:sz w:val="24"/>
          <w:highlight w:val="none"/>
          <w:lang w:val="en-US" w:eastAsia="zh-CN"/>
        </w:rPr>
        <w:t xml:space="preserve">2026年6月至2029年6月，</w:t>
      </w:r>
      <w:r>
        <w:rPr>
          <w:rFonts w:hint="default" w:ascii="宋体" w:hAnsi="宋体"/>
          <w:sz w:val="24"/>
          <w:highlight w:val="none"/>
          <w:lang w:val="en-US" w:eastAsia="zh-CN"/>
        </w:rPr>
        <w:t xml:space="preserve">本项目服务期三年，合同一年一签，考核合格后续签下一年合同。</w:t>
      </w:r>
      <w:r/>
    </w:p>
    <w:p>
      <w:pPr>
        <w:numPr>
          <w:ilvl w:val="0"/>
          <w:numId w:val="0"/>
        </w:numPr>
        <w:ind w:firstLine="480"/>
        <w:keepLines w:val="0"/>
        <w:keepNext w:val="0"/>
        <w:pageBreakBefore w:val="0"/>
        <w:spacing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2、服务地点：</w:t>
      </w:r>
      <w:r>
        <w:rPr>
          <w:rFonts w:hint="eastAsia" w:ascii="宋体" w:hAnsi="宋体"/>
          <w:sz w:val="24"/>
          <w:highlight w:val="none"/>
          <w:lang w:val="en-US" w:eastAsia="zh-CN"/>
        </w:rPr>
        <w:t xml:space="preserve">采购人指定地点</w:t>
      </w:r>
      <w:r/>
    </w:p>
    <w:p>
      <w:pPr>
        <w:numPr>
          <w:ilvl w:val="0"/>
          <w:numId w:val="0"/>
        </w:numPr>
        <w:ind w:firstLine="480"/>
        <w:keepLines w:val="0"/>
        <w:keepNext w:val="0"/>
        <w:pageBreakBefore w:val="0"/>
        <w:spacing w:line="360" w:lineRule="auto"/>
        <w:widowControl w:val="off"/>
        <w:rPr>
          <w:rFonts w:hint="default" w:ascii="宋体" w:hAnsi="宋体"/>
          <w:sz w:val="24"/>
          <w:highlight w:val="none"/>
          <w:lang w:val="en-US" w:eastAsia="zh-CN"/>
        </w:rPr>
      </w:pPr>
      <w:r>
        <w:rPr>
          <w:rFonts w:hint="eastAsia" w:ascii="宋体" w:hAnsi="宋体"/>
          <w:sz w:val="24"/>
          <w:highlight w:val="none"/>
          <w:lang w:val="en-US" w:eastAsia="zh-CN"/>
        </w:rPr>
        <w:t xml:space="preserve">3</w:t>
      </w:r>
      <w:r>
        <w:rPr>
          <w:rFonts w:hint="default" w:ascii="宋体" w:hAnsi="宋体"/>
          <w:sz w:val="24"/>
          <w:highlight w:val="none"/>
          <w:lang w:val="en-US" w:eastAsia="zh-CN"/>
        </w:rPr>
        <w:t xml:space="preserve">、供应商报价：按固定费率形式报出投标报价；投标人的投标报价应以“南京市发展和改革委员会-政务公开-价格信息https://fgw.nanjing.gov.cn/njsfzhggwyh/?id=xxgk_383”公布的“南京市部分农贸市场主副食品”最近一期的价格为其基准单价；网址未公布的产品价格</w:t>
      </w:r>
      <w:r>
        <w:rPr>
          <w:rFonts w:hint="eastAsia" w:ascii="宋体" w:hAnsi="宋体"/>
          <w:sz w:val="24"/>
          <w:highlight w:val="none"/>
          <w:lang w:val="en-US" w:eastAsia="zh-CN"/>
        </w:rPr>
        <w:t xml:space="preserve">综合考量</w:t>
      </w:r>
      <w:r>
        <w:rPr>
          <w:rFonts w:hint="default" w:ascii="宋体" w:hAnsi="宋体"/>
          <w:sz w:val="24"/>
          <w:highlight w:val="none"/>
          <w:lang w:val="en-US" w:eastAsia="zh-CN"/>
        </w:rPr>
        <w:t xml:space="preserve">尚书巷</w:t>
      </w:r>
      <w:r>
        <w:rPr>
          <w:rFonts w:hint="eastAsia" w:ascii="宋体" w:hAnsi="宋体"/>
          <w:sz w:val="24"/>
          <w:highlight w:val="none"/>
          <w:lang w:val="en-US" w:eastAsia="zh-CN"/>
        </w:rPr>
        <w:t xml:space="preserve">、</w:t>
      </w:r>
      <w:r>
        <w:rPr>
          <w:rFonts w:hint="default" w:ascii="宋体" w:hAnsi="宋体"/>
          <w:sz w:val="24"/>
          <w:highlight w:val="none"/>
          <w:lang w:val="en-US" w:eastAsia="zh-CN"/>
        </w:rPr>
        <w:t xml:space="preserve">紫金城农贸市场</w:t>
      </w:r>
      <w:r>
        <w:rPr>
          <w:rFonts w:hint="eastAsia" w:ascii="宋体" w:hAnsi="宋体"/>
          <w:sz w:val="24"/>
          <w:highlight w:val="none"/>
          <w:lang w:val="en-US" w:eastAsia="zh-CN"/>
        </w:rPr>
        <w:t xml:space="preserve">及众彩实时询价情况</w:t>
      </w:r>
      <w:r>
        <w:rPr>
          <w:rFonts w:hint="default" w:ascii="宋体" w:hAnsi="宋体"/>
          <w:sz w:val="24"/>
          <w:highlight w:val="none"/>
          <w:lang w:val="en-US" w:eastAsia="zh-CN"/>
        </w:rPr>
        <w:t xml:space="preserve">作为其食材基准单价</w:t>
      </w:r>
      <w:r>
        <w:rPr>
          <w:rFonts w:hint="eastAsia" w:ascii="宋体" w:hAnsi="宋体"/>
          <w:sz w:val="24"/>
          <w:highlight w:val="none"/>
          <w:lang w:val="en-US" w:eastAsia="zh-CN"/>
        </w:rPr>
        <w:t xml:space="preserve">（双方友好协商）。</w:t>
      </w:r>
      <w:r>
        <w:rPr>
          <w:rFonts w:hint="default" w:ascii="宋体" w:hAnsi="宋体"/>
          <w:sz w:val="24"/>
          <w:highlight w:val="none"/>
          <w:lang w:val="en-US" w:eastAsia="zh-CN"/>
        </w:rPr>
        <w:t xml:space="preserve">其费用应包括但不限于：直接成本（食品成本、服务人员工资、配送费等）、间接成本（公司管理人员工资、行政办公费、管理、业务培训费等）、利润、风险等为完成本工作所需的全部费用。投标报价为投标人在投标文件中提出的各项支付金额的总和，投标报价还应充分考虑招标文件、合同中的一切费用与价格。</w:t>
      </w:r>
      <w:r>
        <w:rPr>
          <w:rFonts w:hint="eastAsia" w:ascii="宋体" w:hAnsi="宋体"/>
          <w:b/>
          <w:bCs/>
          <w:sz w:val="24"/>
          <w:highlight w:val="none"/>
          <w:lang w:val="en-US" w:eastAsia="zh-CN"/>
        </w:rPr>
        <w:t xml:space="preserve">（优惠率=1-费率）</w:t>
      </w:r>
      <w:r/>
    </w:p>
    <w:p>
      <w:pPr>
        <w:numPr>
          <w:ilvl w:val="0"/>
          <w:numId w:val="0"/>
        </w:numPr>
        <w:ind w:left="239" w:firstLine="240"/>
        <w:keepLines w:val="0"/>
        <w:keepNext w:val="0"/>
        <w:pageBreakBefore w:val="0"/>
        <w:spacing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4、履约保证金：供应商须在中标后7日内以履约保函的形式向采购人缴纳履约保证金</w:t>
      </w:r>
      <w:r>
        <w:rPr>
          <w:rFonts w:hint="eastAsia" w:ascii="宋体" w:hAnsi="宋体"/>
          <w:sz w:val="24"/>
          <w:highlight w:val="none"/>
          <w:u w:val="none"/>
          <w:lang w:val="en-US" w:eastAsia="zh-CN"/>
        </w:rPr>
        <w:t xml:space="preserve">人民币</w:t>
      </w:r>
      <w:r>
        <w:rPr>
          <w:rFonts w:hint="eastAsia" w:ascii="宋体" w:hAnsi="宋体"/>
          <w:sz w:val="24"/>
          <w:highlight w:val="none"/>
          <w:u w:val="single"/>
          <w:lang w:val="en-US" w:eastAsia="zh-CN"/>
        </w:rPr>
        <w:t xml:space="preserve">10000</w:t>
      </w:r>
      <w:r>
        <w:rPr>
          <w:rFonts w:hint="eastAsia" w:ascii="宋体" w:hAnsi="宋体"/>
          <w:sz w:val="24"/>
          <w:highlight w:val="none"/>
          <w:u w:val="none"/>
          <w:lang w:val="en-US" w:eastAsia="zh-CN"/>
        </w:rPr>
        <w:t xml:space="preserve">元/分包</w:t>
      </w:r>
      <w:r>
        <w:rPr>
          <w:rFonts w:hint="eastAsia" w:ascii="宋体" w:hAnsi="宋体"/>
          <w:sz w:val="24"/>
          <w:highlight w:val="none"/>
          <w:lang w:val="en-US" w:eastAsia="zh-CN"/>
        </w:rPr>
        <w:t xml:space="preserve">作为合同生效前提。</w:t>
      </w:r>
      <w:r/>
    </w:p>
    <w:p>
      <w:pPr>
        <w:numPr>
          <w:ilvl w:val="0"/>
          <w:numId w:val="0"/>
        </w:numPr>
        <w:ind w:firstLine="480"/>
        <w:keepLines w:val="0"/>
        <w:keepNext w:val="0"/>
        <w:pageBreakBefore w:val="0"/>
        <w:spacing w:line="360" w:lineRule="auto"/>
        <w:widowControl w:val="off"/>
        <w:rPr>
          <w:rFonts w:hint="default" w:ascii="宋体" w:hAnsi="宋体"/>
          <w:sz w:val="24"/>
          <w:highlight w:val="none"/>
          <w:lang w:val="en-US" w:eastAsia="zh-CN"/>
        </w:rPr>
      </w:pPr>
      <w:r>
        <w:rPr>
          <w:rFonts w:hint="eastAsia" w:ascii="宋体" w:hAnsi="宋体"/>
          <w:sz w:val="24"/>
          <w:highlight w:val="none"/>
          <w:lang w:val="en-US" w:eastAsia="zh-CN"/>
        </w:rPr>
        <w:t xml:space="preserve">5</w:t>
      </w:r>
      <w:r>
        <w:rPr>
          <w:rFonts w:hint="default" w:ascii="宋体" w:hAnsi="宋体"/>
          <w:sz w:val="24"/>
          <w:highlight w:val="none"/>
          <w:lang w:val="en-US" w:eastAsia="zh-CN"/>
        </w:rPr>
        <w:t xml:space="preserve">、付款方式：双方每月上旬对上月主副食品原料采购与配送费用进行对帐，品种、价格以确认单为准，数量、质量以过磅验收结果为准。凭服务方开具的增值税专用发票（提供货物名称和发票相对应的名称），在</w:t>
      </w:r>
      <w:r>
        <w:rPr>
          <w:rFonts w:hint="eastAsia" w:ascii="宋体" w:hAnsi="宋体"/>
          <w:sz w:val="24"/>
          <w:highlight w:val="none"/>
          <w:lang w:val="en-US" w:eastAsia="zh-CN"/>
        </w:rPr>
        <w:t xml:space="preserve">2</w:t>
      </w:r>
      <w:r>
        <w:rPr>
          <w:rFonts w:hint="default" w:ascii="宋体" w:hAnsi="宋体"/>
          <w:sz w:val="24"/>
          <w:highlight w:val="none"/>
          <w:lang w:val="en-US" w:eastAsia="zh-CN"/>
        </w:rPr>
        <w:t xml:space="preserve">个月后的10个工作日内一次性付清相应款项，如遇公休节假日向后顺延。</w:t>
      </w:r>
      <w:r/>
    </w:p>
    <w:p>
      <w:pPr>
        <w:numPr>
          <w:ilvl w:val="0"/>
          <w:numId w:val="0"/>
        </w:numPr>
        <w:ind w:firstLine="480"/>
        <w:keepLines w:val="0"/>
        <w:keepNext w:val="0"/>
        <w:pageBreakBefore w:val="0"/>
        <w:spacing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r>
      <w:r/>
    </w:p>
    <w:p>
      <w:pPr>
        <w:numPr>
          <w:ilvl w:val="0"/>
          <w:numId w:val="0"/>
        </w:numPr>
        <w:spacing w:line="360" w:lineRule="auto"/>
        <w:rPr>
          <w:rFonts w:hint="default" w:ascii="宋体" w:hAnsi="宋体" w:eastAsia="宋体" w:cs="宋体"/>
          <w:b/>
          <w:sz w:val="24"/>
          <w:szCs w:val="24"/>
          <w:highlight w:val="none"/>
        </w:rPr>
      </w:pPr>
      <w:r>
        <w:rPr>
          <w:rFonts w:hint="eastAsia" w:ascii="宋体" w:hAnsi="宋体" w:cs="宋体"/>
          <w:b/>
          <w:sz w:val="24"/>
          <w:szCs w:val="24"/>
          <w:highlight w:val="none"/>
          <w:lang w:val="en-US" w:eastAsia="zh-CN"/>
        </w:rPr>
        <w:t xml:space="preserve">七</w:t>
      </w:r>
      <w:r>
        <w:rPr>
          <w:rFonts w:hint="default" w:ascii="宋体" w:hAnsi="宋体" w:eastAsia="宋体" w:cs="宋体"/>
          <w:b/>
          <w:sz w:val="24"/>
          <w:szCs w:val="24"/>
          <w:highlight w:val="none"/>
        </w:rPr>
        <w:t xml:space="preserve">、其他要求：</w:t>
      </w:r>
      <w:r/>
    </w:p>
    <w:p>
      <w:pPr>
        <w:numPr>
          <w:ilvl w:val="0"/>
          <w:numId w:val="0"/>
        </w:numPr>
        <w:ind w:firstLine="480"/>
        <w:spacing w:line="360" w:lineRule="auto"/>
        <w:rPr>
          <w:rFonts w:hint="default" w:ascii="宋体" w:hAnsi="宋体" w:eastAsia="宋体"/>
          <w:sz w:val="24"/>
          <w:szCs w:val="22"/>
          <w:highlight w:val="none"/>
        </w:rPr>
      </w:pPr>
      <w:r>
        <w:rPr>
          <w:rFonts w:hint="default" w:ascii="宋体" w:hAnsi="宋体" w:eastAsia="宋体"/>
          <w:sz w:val="24"/>
          <w:szCs w:val="22"/>
          <w:highlight w:val="none"/>
        </w:rPr>
        <w:t xml:space="preserve">1、配送管理方案</w:t>
      </w:r>
      <w:r/>
    </w:p>
    <w:p>
      <w:pPr>
        <w:numPr>
          <w:ilvl w:val="0"/>
          <w:numId w:val="0"/>
        </w:numPr>
        <w:ind w:firstLine="480"/>
        <w:spacing w:line="360" w:lineRule="auto"/>
        <w:rPr>
          <w:rFonts w:hint="default" w:ascii="宋体" w:hAnsi="宋体" w:eastAsia="宋体"/>
          <w:sz w:val="24"/>
          <w:szCs w:val="22"/>
          <w:highlight w:val="none"/>
        </w:rPr>
      </w:pPr>
      <w:r>
        <w:rPr>
          <w:rFonts w:hint="default" w:ascii="宋体" w:hAnsi="宋体" w:eastAsia="宋体"/>
          <w:sz w:val="24"/>
          <w:szCs w:val="22"/>
          <w:highlight w:val="none"/>
        </w:rPr>
        <w:t xml:space="preserve">供应商需提供配送管理方案。包括但不限于</w:t>
      </w:r>
      <w:r>
        <w:rPr>
          <w:rFonts w:hint="default" w:ascii="宋体" w:hAnsi="宋体" w:eastAsia="宋体" w:cs="宋体"/>
          <w:sz w:val="24"/>
          <w:szCs w:val="24"/>
          <w:highlight w:val="none"/>
          <w:lang w:bidi="ar"/>
        </w:rPr>
        <w:t xml:space="preserve">服务流程、订单处理和分拣、运输及装卸标准、配送路线和人员安排、配送过程中安全保障措施、</w:t>
      </w:r>
      <w:r>
        <w:rPr>
          <w:rFonts w:hint="default" w:ascii="宋体" w:hAnsi="宋体" w:eastAsia="宋体"/>
          <w:sz w:val="24"/>
          <w:szCs w:val="22"/>
          <w:highlight w:val="none"/>
        </w:rPr>
        <w:t xml:space="preserve">配送过程中应急处理方案等。要求方案细化全面，</w:t>
      </w:r>
      <w:r>
        <w:rPr>
          <w:rFonts w:hint="default" w:ascii="宋体" w:hAnsi="宋体" w:eastAsia="宋体" w:cs="宋体"/>
          <w:sz w:val="24"/>
          <w:szCs w:val="24"/>
          <w:highlight w:val="none"/>
          <w:lang w:bidi="ar"/>
        </w:rPr>
        <w:t xml:space="preserve">流程设置合理、订单处理和分拣高效、运输及装卸标准规范、配送路线和人员安排科学、配送过程中安全保障措施严谨、</w:t>
      </w:r>
      <w:r>
        <w:rPr>
          <w:rFonts w:hint="default" w:ascii="宋体" w:hAnsi="宋体" w:eastAsia="宋体"/>
          <w:sz w:val="24"/>
          <w:szCs w:val="22"/>
          <w:highlight w:val="none"/>
        </w:rPr>
        <w:t xml:space="preserve">配送过程中应急处理方案齐全。</w:t>
      </w:r>
      <w:r/>
    </w:p>
    <w:p>
      <w:pPr>
        <w:numPr>
          <w:ilvl w:val="0"/>
          <w:numId w:val="0"/>
        </w:numPr>
        <w:ind w:firstLine="480"/>
        <w:spacing w:line="360" w:lineRule="auto"/>
        <w:rPr>
          <w:rFonts w:hint="default" w:ascii="宋体" w:hAnsi="宋体" w:eastAsia="宋体"/>
          <w:sz w:val="24"/>
          <w:szCs w:val="22"/>
          <w:highlight w:val="none"/>
        </w:rPr>
      </w:pPr>
      <w:r>
        <w:rPr>
          <w:rFonts w:hint="default" w:ascii="宋体" w:hAnsi="宋体" w:eastAsia="宋体"/>
          <w:sz w:val="24"/>
          <w:szCs w:val="22"/>
          <w:highlight w:val="none"/>
        </w:rPr>
        <w:t xml:space="preserve">2、食材退换货方案</w:t>
      </w:r>
      <w:r/>
    </w:p>
    <w:p>
      <w:pPr>
        <w:numPr>
          <w:ilvl w:val="0"/>
          <w:numId w:val="0"/>
        </w:numPr>
        <w:ind w:firstLine="480"/>
        <w:spacing w:line="360" w:lineRule="auto"/>
        <w:rPr>
          <w:rFonts w:hint="default" w:ascii="宋体" w:hAnsi="宋体" w:eastAsia="宋体"/>
          <w:sz w:val="24"/>
          <w:szCs w:val="22"/>
          <w:highlight w:val="none"/>
        </w:rPr>
      </w:pPr>
      <w:r>
        <w:rPr>
          <w:rFonts w:hint="default" w:ascii="宋体" w:hAnsi="宋体" w:eastAsia="宋体" w:cs="宋体"/>
          <w:sz w:val="24"/>
          <w:szCs w:val="24"/>
          <w:highlight w:val="none"/>
        </w:rPr>
        <w:t xml:space="preserve">供应商提供食材退换货方案。包括但不限于全覆盖退换触发条件、时效要求、操作流程、问题处置、责任划分、售后对接、整改预防、赔付机制等；要求方案细化全面，实际可操作、权责清晰。</w:t>
      </w:r>
      <w:r/>
    </w:p>
    <w:p>
      <w:pPr>
        <w:numPr>
          <w:ilvl w:val="0"/>
          <w:numId w:val="0"/>
        </w:numPr>
        <w:ind w:firstLine="480"/>
        <w:spacing w:line="360" w:lineRule="auto"/>
        <w:rPr>
          <w:rFonts w:hint="default" w:ascii="宋体" w:hAnsi="宋体" w:eastAsia="宋体"/>
          <w:sz w:val="24"/>
          <w:szCs w:val="22"/>
          <w:highlight w:val="none"/>
        </w:rPr>
      </w:pPr>
      <w:r>
        <w:rPr>
          <w:rFonts w:hint="default" w:ascii="宋体" w:hAnsi="宋体" w:eastAsia="宋体"/>
          <w:sz w:val="24"/>
          <w:szCs w:val="22"/>
          <w:highlight w:val="none"/>
        </w:rPr>
        <w:t xml:space="preserve">3、食材安全事故处置方案</w:t>
      </w:r>
      <w:r/>
    </w:p>
    <w:p>
      <w:pPr>
        <w:numPr>
          <w:ilvl w:val="0"/>
          <w:numId w:val="0"/>
        </w:numPr>
        <w:ind w:firstLine="480"/>
        <w:spacing w:line="360" w:lineRule="auto"/>
        <w:rPr>
          <w:rFonts w:hint="default" w:ascii="宋体" w:hAnsi="宋体" w:eastAsia="宋体"/>
          <w:sz w:val="24"/>
          <w:szCs w:val="22"/>
          <w:highlight w:val="none"/>
        </w:rPr>
      </w:pPr>
      <w:r>
        <w:rPr>
          <w:rFonts w:hint="default" w:ascii="宋体" w:hAnsi="宋体" w:eastAsia="宋体"/>
          <w:sz w:val="24"/>
          <w:szCs w:val="22"/>
          <w:highlight w:val="none"/>
        </w:rPr>
        <w:t xml:space="preserve">供应商提供食材安全事故处置方案。包括但不限于事故处置团队与分工、应急响应与处置流程、善后措施置与总结改进等。要求方案细化全面、团队与分工划分合理、流程完善、善后措施到位、改进目标明确。</w:t>
      </w:r>
      <w:r/>
    </w:p>
    <w:p>
      <w:pPr>
        <w:numPr>
          <w:ilvl w:val="0"/>
          <w:numId w:val="0"/>
        </w:numPr>
        <w:ind w:firstLine="482"/>
        <w:spacing w:line="360" w:lineRule="auto"/>
        <w:rPr>
          <w:rFonts w:hint="default" w:ascii="宋体" w:hAnsi="宋体" w:eastAsia="宋体"/>
          <w:b/>
          <w:i/>
          <w:sz w:val="24"/>
          <w:szCs w:val="22"/>
          <w:highlight w:val="none"/>
          <w:u w:val="single"/>
        </w:rPr>
      </w:pPr>
      <w:r>
        <w:rPr>
          <w:rFonts w:hint="default" w:ascii="宋体" w:hAnsi="宋体" w:eastAsia="宋体"/>
          <w:b/>
          <w:i/>
          <w:sz w:val="24"/>
          <w:szCs w:val="22"/>
          <w:highlight w:val="none"/>
        </w:rPr>
        <w:t xml:space="preserve">4、</w:t>
      </w:r>
      <w:r>
        <w:rPr>
          <w:rFonts w:hint="default" w:ascii="宋体" w:hAnsi="宋体" w:eastAsia="宋体"/>
          <w:b/>
          <w:i/>
          <w:sz w:val="24"/>
          <w:szCs w:val="22"/>
          <w:highlight w:val="none"/>
          <w:u w:val="single"/>
        </w:rPr>
        <w:t xml:space="preserve">所有投标人提供的报价、承诺事项及重要证明文件均须加盖公司公章。</w:t>
      </w:r>
      <w:r/>
    </w:p>
    <w:p>
      <w:pPr>
        <w:numPr>
          <w:ilvl w:val="0"/>
          <w:numId w:val="0"/>
        </w:numPr>
        <w:ind w:firstLine="482"/>
        <w:jc w:val="left"/>
        <w:spacing w:before="0" w:after="0" w:line="360" w:lineRule="auto"/>
        <w:rPr>
          <w:rFonts w:hint="eastAsia" w:ascii="黑体" w:eastAsia="黑体"/>
          <w:color w:val="000000"/>
          <w:sz w:val="44"/>
          <w:szCs w:val="44"/>
          <w:highlight w:val="none"/>
        </w:rPr>
      </w:pPr>
      <w:r>
        <w:rPr>
          <w:rFonts w:hint="default" w:ascii="宋体" w:hAnsi="宋体" w:eastAsia="宋体"/>
          <w:b/>
          <w:i/>
          <w:sz w:val="24"/>
          <w:szCs w:val="22"/>
          <w:highlight w:val="none"/>
        </w:rPr>
        <w:t xml:space="preserve">5、</w:t>
      </w:r>
      <w:r>
        <w:rPr>
          <w:rFonts w:hint="default" w:ascii="宋体" w:hAnsi="宋体" w:eastAsia="宋体"/>
          <w:b/>
          <w:i/>
          <w:sz w:val="24"/>
          <w:szCs w:val="22"/>
          <w:highlight w:val="none"/>
          <w:u w:val="single"/>
        </w:rPr>
        <w:t xml:space="preserve">考核表模板</w:t>
      </w:r>
      <w:r/>
    </w:p>
    <w:tbl>
      <w:tblPr>
        <w:tblStyle w:val="917"/>
        <w:tblW w:w="9093" w:type="dxa"/>
        <w:tblInd w:w="20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1160"/>
        <w:gridCol w:w="1175"/>
        <w:gridCol w:w="820"/>
        <w:gridCol w:w="5057"/>
        <w:gridCol w:w="881"/>
      </w:tblGrid>
      <w:tr>
        <w:trPr>
          <w:trHeight w:val="391"/>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60" w:type="dxa"/>
            <w:vAlign w:val="center"/>
            <w:textDirection w:val="lrTb"/>
            <w:noWrap w:val="false"/>
          </w:tcPr>
          <w:p>
            <w:pPr>
              <w:ind w:left="0" w:right="0"/>
              <w:jc w:val="center"/>
              <w:keepLines w:val="0"/>
              <w:keepNext w:val="0"/>
              <w:spacing w:before="0" w:beforeAutospacing="0" w:after="0" w:afterAutospacing="0"/>
              <w:widowControl/>
              <w:rPr>
                <w:rFonts w:hint="default" w:ascii="宋体" w:eastAsia="宋体"/>
                <w:b w:val="0"/>
                <w:color w:val="000000"/>
                <w:sz w:val="20"/>
                <w:szCs w:val="20"/>
                <w:highlight w:val="none"/>
              </w:rPr>
              <w:suppressLineNumbers w:val="0"/>
            </w:pPr>
            <w:r>
              <w:rPr>
                <w:rFonts w:hint="default" w:ascii="宋体" w:eastAsia="宋体"/>
                <w:b w:val="0"/>
                <w:color w:val="000000"/>
                <w:sz w:val="20"/>
                <w:szCs w:val="20"/>
                <w:highlight w:val="none"/>
              </w:rPr>
              <w:t xml:space="preserve">评分项</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75" w:type="dxa"/>
            <w:vAlign w:val="center"/>
            <w:textDirection w:val="lrTb"/>
            <w:noWrap w:val="false"/>
          </w:tcPr>
          <w:p>
            <w:pPr>
              <w:ind w:left="0" w:right="0"/>
              <w:jc w:val="center"/>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指标</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20" w:type="dxa"/>
            <w:vAlign w:val="center"/>
            <w:textDirection w:val="lrTb"/>
            <w:noWrap w:val="false"/>
          </w:tcPr>
          <w:p>
            <w:pPr>
              <w:ind w:left="0" w:right="0"/>
              <w:jc w:val="center"/>
              <w:keepLines w:val="0"/>
              <w:keepNext w:val="0"/>
              <w:spacing w:before="0" w:beforeAutospacing="0" w:after="0" w:afterAutospacing="0"/>
              <w:widowControl/>
              <w:rPr>
                <w:rFonts w:hint="default" w:ascii="宋体" w:eastAsia="宋体"/>
                <w:b w:val="0"/>
                <w:color w:val="000000"/>
                <w:sz w:val="20"/>
                <w:szCs w:val="20"/>
                <w:highlight w:val="none"/>
              </w:rPr>
              <w:suppressLineNumbers w:val="0"/>
            </w:pPr>
            <w:r>
              <w:rPr>
                <w:rFonts w:hint="default" w:ascii="宋体" w:eastAsia="宋体"/>
                <w:b w:val="0"/>
                <w:color w:val="000000"/>
                <w:sz w:val="20"/>
                <w:szCs w:val="20"/>
                <w:highlight w:val="none"/>
              </w:rPr>
              <w:t xml:space="preserve">分值</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057" w:type="dxa"/>
            <w:vAlign w:val="center"/>
            <w:textDirection w:val="lrTb"/>
            <w:noWrap w:val="false"/>
          </w:tcPr>
          <w:p>
            <w:pPr>
              <w:ind w:left="0" w:right="0"/>
              <w:jc w:val="center"/>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评分标准</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81" w:type="dxa"/>
            <w:vAlign w:val="center"/>
            <w:textDirection w:val="lrTb"/>
            <w:noWrap w:val="false"/>
          </w:tcPr>
          <w:p>
            <w:pPr>
              <w:ind w:left="0" w:right="0"/>
              <w:jc w:val="center"/>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得分</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6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食材质量（42分）</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75" w:type="dxa"/>
            <w:vAlign w:val="center"/>
            <w:textDirection w:val="lrTb"/>
            <w:noWrap w:val="false"/>
          </w:tcPr>
          <w:p>
            <w:pPr>
              <w:ind w:left="0" w:right="0"/>
              <w:jc w:val="center"/>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食材新鲜度</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20" w:type="dxa"/>
            <w:vAlign w:val="center"/>
            <w:textDirection w:val="lrTb"/>
            <w:noWrap w:val="false"/>
          </w:tcPr>
          <w:p>
            <w:pPr>
              <w:ind w:left="0" w:right="0"/>
              <w:jc w:val="center"/>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12分</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057" w:type="dxa"/>
            <w:vAlign w:val="center"/>
            <w:textDirection w:val="lrTb"/>
            <w:noWrap w:val="false"/>
          </w:tcPr>
          <w:p>
            <w:pPr>
              <w:ind w:left="0" w:right="0"/>
              <w:jc w:val="left"/>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食材质量符合招标文件、投标文件及合同约定要求；每出现1次不新鲜情况扣4分，扣完为止。</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81" w:type="dxa"/>
            <w:vAlign w:val="center"/>
            <w:textDirection w:val="lrTb"/>
            <w:noWrap w:val="false"/>
          </w:tcPr>
          <w:p>
            <w:pPr>
              <w:ind w:left="0" w:right="0"/>
              <w:jc w:val="left"/>
              <w:keepLines w:val="0"/>
              <w:keepNext w:val="0"/>
              <w:spacing w:before="0" w:beforeAutospacing="0" w:after="0" w:afterAutospacing="0"/>
              <w:widowControl/>
              <w:rPr>
                <w:rFonts w:hint="eastAsia"/>
                <w:b w:val="0"/>
                <w:color w:val="000000"/>
                <w:sz w:val="20"/>
                <w:szCs w:val="20"/>
                <w:highlight w:val="none"/>
              </w:rPr>
              <w:suppressLineNumbers w:val="0"/>
            </w:pPr>
            <w:r>
              <w:rPr>
                <w:rFonts w:hint="eastAsia"/>
                <w:b w:val="0"/>
                <w:color w:val="000000"/>
                <w:sz w:val="20"/>
                <w:szCs w:val="20"/>
                <w:highlight w:val="none"/>
              </w:rPr>
            </w:r>
            <w:r/>
          </w:p>
        </w:tc>
      </w:tr>
      <w:tr>
        <w:trPr>
          <w:trHeight w:val="896"/>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60" w:type="dxa"/>
            <w:vAlign w:val="center"/>
            <w:vMerge w:val="continue"/>
            <w:textDirection w:val="lrTb"/>
            <w:noWrap w:val="false"/>
          </w:tcPr>
          <w:p>
            <w:pPr>
              <w:ind w:left="0" w:right="0"/>
              <w:jc w:val="center"/>
              <w:keepLines w:val="0"/>
              <w:keepNext w:val="0"/>
              <w:spacing w:before="0" w:beforeAutospacing="0" w:after="0" w:afterAutospacing="0"/>
              <w:rPr>
                <w:rFonts w:hint="default" w:ascii="宋体" w:eastAsia="宋体"/>
                <w:b w:val="0"/>
                <w:color w:val="000000"/>
                <w:sz w:val="20"/>
                <w:szCs w:val="20"/>
                <w:highlight w:val="none"/>
              </w:rPr>
              <w:suppressLineNumbers w:val="0"/>
            </w:pPr>
            <w:r>
              <w:rPr>
                <w:rFonts w:hint="default" w:ascii="宋体" w:eastAsia="宋体"/>
                <w:b w:val="0"/>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75" w:type="dxa"/>
            <w:vAlign w:val="center"/>
            <w:textDirection w:val="lrTb"/>
            <w:noWrap w:val="false"/>
          </w:tcPr>
          <w:p>
            <w:pPr>
              <w:ind w:left="0" w:right="0"/>
              <w:jc w:val="center"/>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食材合规性</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20" w:type="dxa"/>
            <w:vAlign w:val="center"/>
            <w:textDirection w:val="lrTb"/>
            <w:noWrap w:val="false"/>
          </w:tcPr>
          <w:p>
            <w:pPr>
              <w:ind w:left="0" w:right="0"/>
              <w:jc w:val="center"/>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12分</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057" w:type="dxa"/>
            <w:vAlign w:val="center"/>
            <w:textDirection w:val="lrTb"/>
            <w:noWrap w:val="false"/>
          </w:tcPr>
          <w:p>
            <w:pPr>
              <w:ind w:left="0" w:right="0"/>
              <w:jc w:val="left"/>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食材具备检验检疫证明、合格证等相关证明符合招标文件、投标文件及合同约定要求；每缺少1项资质扣4分，出现1次不合格食材扣6分，扣完为止。</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81" w:type="dxa"/>
            <w:vAlign w:val="center"/>
            <w:textDirection w:val="lrTb"/>
            <w:noWrap w:val="false"/>
          </w:tcPr>
          <w:p>
            <w:pPr>
              <w:ind w:left="0" w:right="0"/>
              <w:jc w:val="left"/>
              <w:keepLines w:val="0"/>
              <w:keepNext w:val="0"/>
              <w:spacing w:before="0" w:beforeAutospacing="0" w:after="0" w:afterAutospacing="0"/>
              <w:widowControl/>
              <w:rPr>
                <w:rFonts w:hint="eastAsia"/>
                <w:b w:val="0"/>
                <w:color w:val="000000"/>
                <w:sz w:val="20"/>
                <w:szCs w:val="20"/>
                <w:highlight w:val="none"/>
              </w:rPr>
              <w:suppressLineNumbers w:val="0"/>
            </w:pPr>
            <w:r>
              <w:rPr>
                <w:rFonts w:hint="eastAsia"/>
                <w:b w:val="0"/>
                <w:color w:val="000000"/>
                <w:sz w:val="20"/>
                <w:szCs w:val="20"/>
                <w:highlight w:val="none"/>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60" w:type="dxa"/>
            <w:vAlign w:val="center"/>
            <w:vMerge w:val="continue"/>
            <w:textDirection w:val="lrTb"/>
            <w:noWrap w:val="false"/>
          </w:tcPr>
          <w:p>
            <w:pPr>
              <w:ind w:left="0" w:right="0"/>
              <w:jc w:val="center"/>
              <w:keepLines w:val="0"/>
              <w:keepNext w:val="0"/>
              <w:spacing w:before="0" w:beforeAutospacing="0" w:after="0" w:afterAutospacing="0"/>
              <w:rPr>
                <w:rFonts w:hint="default" w:ascii="宋体" w:eastAsia="宋体"/>
                <w:b w:val="0"/>
                <w:color w:val="000000"/>
                <w:sz w:val="20"/>
                <w:szCs w:val="20"/>
                <w:highlight w:val="none"/>
              </w:rPr>
              <w:suppressLineNumbers w:val="0"/>
            </w:pPr>
            <w:r>
              <w:rPr>
                <w:rFonts w:hint="default" w:ascii="宋体" w:eastAsia="宋体"/>
                <w:b w:val="0"/>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75" w:type="dxa"/>
            <w:vAlign w:val="center"/>
            <w:textDirection w:val="lrTb"/>
            <w:noWrap w:val="false"/>
          </w:tcPr>
          <w:p>
            <w:pPr>
              <w:ind w:left="0" w:right="0"/>
              <w:jc w:val="center"/>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食材规格</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20" w:type="dxa"/>
            <w:vAlign w:val="center"/>
            <w:textDirection w:val="lrTb"/>
            <w:noWrap w:val="false"/>
          </w:tcPr>
          <w:p>
            <w:pPr>
              <w:ind w:left="0" w:right="0"/>
              <w:jc w:val="center"/>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12分</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057" w:type="dxa"/>
            <w:vAlign w:val="center"/>
            <w:textDirection w:val="lrTb"/>
            <w:noWrap w:val="false"/>
          </w:tcPr>
          <w:p>
            <w:pPr>
              <w:ind w:left="0" w:right="0"/>
              <w:jc w:val="left"/>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食材规格、品种、数量与采购订单一致，无缺斤短两、以次充好；规格不符每次扣2分，缺斤短两每次扣3分，扣完为止。</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81" w:type="dxa"/>
            <w:vAlign w:val="center"/>
            <w:textDirection w:val="lrTb"/>
            <w:noWrap w:val="false"/>
          </w:tcPr>
          <w:p>
            <w:pPr>
              <w:ind w:left="0" w:right="0"/>
              <w:jc w:val="left"/>
              <w:keepLines w:val="0"/>
              <w:keepNext w:val="0"/>
              <w:spacing w:before="0" w:beforeAutospacing="0" w:after="0" w:afterAutospacing="0"/>
              <w:widowControl/>
              <w:rPr>
                <w:rFonts w:hint="eastAsia"/>
                <w:b w:val="0"/>
                <w:color w:val="000000"/>
                <w:sz w:val="20"/>
                <w:szCs w:val="20"/>
                <w:highlight w:val="none"/>
              </w:rPr>
              <w:suppressLineNumbers w:val="0"/>
            </w:pPr>
            <w:r>
              <w:rPr>
                <w:rFonts w:hint="eastAsia"/>
                <w:b w:val="0"/>
                <w:color w:val="000000"/>
                <w:sz w:val="20"/>
                <w:szCs w:val="20"/>
                <w:highlight w:val="none"/>
              </w:rPr>
            </w:r>
            <w:r/>
          </w:p>
        </w:tc>
      </w:tr>
      <w:tr>
        <w:trPr>
          <w:trHeight w:val="390"/>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60" w:type="dxa"/>
            <w:vAlign w:val="center"/>
            <w:vMerge w:val="continue"/>
            <w:textDirection w:val="lrTb"/>
            <w:noWrap w:val="false"/>
          </w:tcPr>
          <w:p>
            <w:pPr>
              <w:ind w:left="0" w:right="0"/>
              <w:jc w:val="center"/>
              <w:keepLines w:val="0"/>
              <w:keepNext w:val="0"/>
              <w:spacing w:before="0" w:beforeAutospacing="0" w:after="0" w:afterAutospacing="0"/>
              <w:rPr>
                <w:rFonts w:hint="default" w:ascii="宋体" w:eastAsia="宋体"/>
                <w:b w:val="0"/>
                <w:color w:val="000000"/>
                <w:sz w:val="20"/>
                <w:szCs w:val="20"/>
                <w:highlight w:val="none"/>
              </w:rPr>
              <w:suppressLineNumbers w:val="0"/>
            </w:pPr>
            <w:r>
              <w:rPr>
                <w:rFonts w:hint="default" w:ascii="宋体" w:eastAsia="宋体"/>
                <w:b w:val="0"/>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75" w:type="dxa"/>
            <w:vAlign w:val="center"/>
            <w:textDirection w:val="lrTb"/>
            <w:noWrap w:val="false"/>
          </w:tcPr>
          <w:p>
            <w:pPr>
              <w:ind w:left="0" w:right="0"/>
              <w:jc w:val="center"/>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食材储存</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20" w:type="dxa"/>
            <w:vAlign w:val="center"/>
            <w:textDirection w:val="lrTb"/>
            <w:noWrap w:val="false"/>
          </w:tcPr>
          <w:p>
            <w:pPr>
              <w:ind w:left="0" w:right="0"/>
              <w:jc w:val="center"/>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6分</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057" w:type="dxa"/>
            <w:vAlign w:val="center"/>
            <w:textDirection w:val="lrTb"/>
            <w:noWrap w:val="false"/>
          </w:tcPr>
          <w:p>
            <w:pPr>
              <w:ind w:left="0" w:right="0"/>
              <w:jc w:val="left"/>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需冷藏/冷冻食材采用专用设备储存，温度达标，无二次污染；储存不当每次扣3分，扣完为止。</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81" w:type="dxa"/>
            <w:vAlign w:val="center"/>
            <w:textDirection w:val="lrTb"/>
            <w:noWrap w:val="false"/>
          </w:tcPr>
          <w:p>
            <w:pPr>
              <w:ind w:left="0" w:right="0"/>
              <w:jc w:val="left"/>
              <w:keepLines w:val="0"/>
              <w:keepNext w:val="0"/>
              <w:spacing w:before="0" w:beforeAutospacing="0" w:after="0" w:afterAutospacing="0"/>
              <w:widowControl/>
              <w:rPr>
                <w:rFonts w:hint="eastAsia"/>
                <w:b w:val="0"/>
                <w:color w:val="000000"/>
                <w:sz w:val="20"/>
                <w:szCs w:val="20"/>
                <w:highlight w:val="none"/>
              </w:rPr>
              <w:suppressLineNumbers w:val="0"/>
            </w:pPr>
            <w:r>
              <w:rPr>
                <w:rFonts w:hint="eastAsia"/>
                <w:b w:val="0"/>
                <w:color w:val="000000"/>
                <w:sz w:val="20"/>
                <w:szCs w:val="20"/>
                <w:highlight w:val="none"/>
              </w:rPr>
            </w:r>
            <w:r/>
          </w:p>
        </w:tc>
      </w:tr>
      <w:tr>
        <w:trPr>
          <w:trHeight w:val="456"/>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6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配送服务（26分）</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75" w:type="dxa"/>
            <w:vAlign w:val="center"/>
            <w:textDirection w:val="lrTb"/>
            <w:noWrap w:val="false"/>
          </w:tcPr>
          <w:p>
            <w:pPr>
              <w:ind w:left="0" w:right="0"/>
              <w:jc w:val="center"/>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配送时效</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20" w:type="dxa"/>
            <w:vAlign w:val="center"/>
            <w:textDirection w:val="lrTb"/>
            <w:noWrap w:val="false"/>
          </w:tcPr>
          <w:p>
            <w:pPr>
              <w:ind w:left="0" w:right="0"/>
              <w:jc w:val="center"/>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10分</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057" w:type="dxa"/>
            <w:vAlign w:val="center"/>
            <w:textDirection w:val="lrTb"/>
            <w:noWrap w:val="false"/>
          </w:tcPr>
          <w:p>
            <w:pPr>
              <w:ind w:left="0" w:right="0"/>
              <w:jc w:val="left"/>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按约定时间送达，每次迟到30分钟内扣5分，迟到30分钟以上扣10分，扣完为止。</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81" w:type="dxa"/>
            <w:vAlign w:val="center"/>
            <w:textDirection w:val="lrTb"/>
            <w:noWrap w:val="false"/>
          </w:tcPr>
          <w:p>
            <w:pPr>
              <w:ind w:left="0" w:right="0"/>
              <w:jc w:val="left"/>
              <w:keepLines w:val="0"/>
              <w:keepNext w:val="0"/>
              <w:spacing w:before="0" w:beforeAutospacing="0" w:after="0" w:afterAutospacing="0"/>
              <w:widowControl/>
              <w:rPr>
                <w:rFonts w:hint="eastAsia"/>
                <w:b w:val="0"/>
                <w:color w:val="000000"/>
                <w:sz w:val="20"/>
                <w:szCs w:val="20"/>
                <w:highlight w:val="none"/>
              </w:rPr>
              <w:suppressLineNumbers w:val="0"/>
            </w:pPr>
            <w:r>
              <w:rPr>
                <w:rFonts w:hint="eastAsia"/>
                <w:b w:val="0"/>
                <w:color w:val="000000"/>
                <w:sz w:val="20"/>
                <w:szCs w:val="20"/>
                <w:highlight w:val="none"/>
              </w:rPr>
            </w:r>
            <w:r/>
          </w:p>
        </w:tc>
      </w:tr>
      <w:tr>
        <w:trPr>
          <w:trHeight w:val="390"/>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60" w:type="dxa"/>
            <w:vAlign w:val="center"/>
            <w:vMerge w:val="continue"/>
            <w:textDirection w:val="lrTb"/>
            <w:noWrap w:val="false"/>
          </w:tcPr>
          <w:p>
            <w:pPr>
              <w:ind w:left="0" w:right="0"/>
              <w:jc w:val="center"/>
              <w:keepLines w:val="0"/>
              <w:keepNext w:val="0"/>
              <w:spacing w:before="0" w:beforeAutospacing="0" w:after="0" w:afterAutospacing="0"/>
              <w:rPr>
                <w:rFonts w:hint="default" w:ascii="宋体" w:eastAsia="宋体"/>
                <w:b w:val="0"/>
                <w:color w:val="000000"/>
                <w:sz w:val="20"/>
                <w:szCs w:val="20"/>
                <w:highlight w:val="none"/>
              </w:rPr>
              <w:suppressLineNumbers w:val="0"/>
            </w:pPr>
            <w:r>
              <w:rPr>
                <w:rFonts w:hint="default" w:ascii="宋体" w:eastAsia="宋体"/>
                <w:b w:val="0"/>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75" w:type="dxa"/>
            <w:vAlign w:val="center"/>
            <w:textDirection w:val="lrTb"/>
            <w:noWrap w:val="false"/>
          </w:tcPr>
          <w:p>
            <w:pPr>
              <w:ind w:left="0" w:right="0"/>
              <w:jc w:val="center"/>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配送完整性</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20" w:type="dxa"/>
            <w:vAlign w:val="center"/>
            <w:textDirection w:val="lrTb"/>
            <w:noWrap w:val="false"/>
          </w:tcPr>
          <w:p>
            <w:pPr>
              <w:ind w:left="0" w:right="0"/>
              <w:jc w:val="center"/>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8分</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057" w:type="dxa"/>
            <w:vAlign w:val="center"/>
            <w:textDirection w:val="lrTb"/>
            <w:noWrap w:val="false"/>
          </w:tcPr>
          <w:p>
            <w:pPr>
              <w:ind w:left="0" w:right="0"/>
              <w:jc w:val="left"/>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配送食材无破损、无遗漏；每破损1件扣3分，遗漏1项扣2分，扣完为止。</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81" w:type="dxa"/>
            <w:vAlign w:val="center"/>
            <w:textDirection w:val="lrTb"/>
            <w:noWrap w:val="false"/>
          </w:tcPr>
          <w:p>
            <w:pPr>
              <w:ind w:left="0" w:right="0"/>
              <w:jc w:val="left"/>
              <w:keepLines w:val="0"/>
              <w:keepNext w:val="0"/>
              <w:spacing w:before="0" w:beforeAutospacing="0" w:after="0" w:afterAutospacing="0"/>
              <w:widowControl/>
              <w:rPr>
                <w:rFonts w:hint="eastAsia"/>
                <w:b w:val="0"/>
                <w:color w:val="000000"/>
                <w:sz w:val="20"/>
                <w:szCs w:val="20"/>
                <w:highlight w:val="none"/>
              </w:rPr>
              <w:suppressLineNumbers w:val="0"/>
            </w:pPr>
            <w:r>
              <w:rPr>
                <w:rFonts w:hint="eastAsia"/>
                <w:b w:val="0"/>
                <w:color w:val="000000"/>
                <w:sz w:val="20"/>
                <w:szCs w:val="20"/>
                <w:highlight w:val="none"/>
              </w:rPr>
            </w:r>
            <w:r/>
          </w:p>
        </w:tc>
      </w:tr>
      <w:tr>
        <w:trPr>
          <w:trHeight w:val="354"/>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60" w:type="dxa"/>
            <w:vAlign w:val="center"/>
            <w:vMerge w:val="continue"/>
            <w:textDirection w:val="lrTb"/>
            <w:noWrap w:val="false"/>
          </w:tcPr>
          <w:p>
            <w:pPr>
              <w:ind w:left="0" w:right="0"/>
              <w:jc w:val="center"/>
              <w:keepLines w:val="0"/>
              <w:keepNext w:val="0"/>
              <w:spacing w:before="0" w:beforeAutospacing="0" w:after="0" w:afterAutospacing="0"/>
              <w:rPr>
                <w:rFonts w:hint="default" w:ascii="宋体" w:eastAsia="宋体"/>
                <w:b w:val="0"/>
                <w:color w:val="000000"/>
                <w:sz w:val="20"/>
                <w:szCs w:val="20"/>
                <w:highlight w:val="none"/>
              </w:rPr>
              <w:suppressLineNumbers w:val="0"/>
            </w:pPr>
            <w:r>
              <w:rPr>
                <w:rFonts w:hint="default" w:ascii="宋体" w:eastAsia="宋体"/>
                <w:b w:val="0"/>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75" w:type="dxa"/>
            <w:vAlign w:val="center"/>
            <w:textDirection w:val="lrTb"/>
            <w:noWrap w:val="false"/>
          </w:tcPr>
          <w:p>
            <w:pPr>
              <w:ind w:left="0" w:right="0"/>
              <w:jc w:val="center"/>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配送人员服务</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20" w:type="dxa"/>
            <w:vAlign w:val="center"/>
            <w:textDirection w:val="lrTb"/>
            <w:noWrap w:val="false"/>
          </w:tcPr>
          <w:p>
            <w:pPr>
              <w:ind w:left="0" w:right="0"/>
              <w:jc w:val="center"/>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8分</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057" w:type="dxa"/>
            <w:vAlign w:val="center"/>
            <w:textDirection w:val="lrTb"/>
            <w:noWrap w:val="false"/>
          </w:tcPr>
          <w:p>
            <w:pPr>
              <w:ind w:left="0" w:right="0"/>
              <w:jc w:val="left"/>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配送人员着装规范、态度礼貌，主动配合验收，无推诿、争执行为；服务不佳每次扣2分，发生争执扣8分，扣完为止。</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81" w:type="dxa"/>
            <w:vAlign w:val="center"/>
            <w:textDirection w:val="lrTb"/>
            <w:noWrap w:val="false"/>
          </w:tcPr>
          <w:p>
            <w:pPr>
              <w:ind w:left="0" w:right="0"/>
              <w:jc w:val="left"/>
              <w:keepLines w:val="0"/>
              <w:keepNext w:val="0"/>
              <w:spacing w:before="0" w:beforeAutospacing="0" w:after="0" w:afterAutospacing="0"/>
              <w:widowControl/>
              <w:rPr>
                <w:rFonts w:hint="eastAsia"/>
                <w:b w:val="0"/>
                <w:color w:val="000000"/>
                <w:sz w:val="20"/>
                <w:szCs w:val="20"/>
                <w:highlight w:val="none"/>
              </w:rPr>
              <w:suppressLineNumbers w:val="0"/>
            </w:pPr>
            <w:r>
              <w:rPr>
                <w:rFonts w:hint="eastAsia"/>
                <w:b w:val="0"/>
                <w:color w:val="000000"/>
                <w:sz w:val="20"/>
                <w:szCs w:val="20"/>
                <w:highlight w:val="none"/>
              </w:rPr>
            </w:r>
            <w:r/>
          </w:p>
        </w:tc>
      </w:tr>
      <w:tr>
        <w:trPr>
          <w:trHeight w:val="390"/>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6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采购管理（20分）</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75" w:type="dxa"/>
            <w:vAlign w:val="center"/>
            <w:textDirection w:val="lrTb"/>
            <w:noWrap w:val="false"/>
          </w:tcPr>
          <w:p>
            <w:pPr>
              <w:ind w:left="0" w:right="0"/>
              <w:jc w:val="center"/>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报价</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20" w:type="dxa"/>
            <w:vAlign w:val="center"/>
            <w:textDirection w:val="lrTb"/>
            <w:noWrap w:val="false"/>
          </w:tcPr>
          <w:p>
            <w:pPr>
              <w:ind w:left="0" w:right="0"/>
              <w:jc w:val="center"/>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8分</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057" w:type="dxa"/>
            <w:vAlign w:val="center"/>
            <w:textDirection w:val="lrTb"/>
            <w:noWrap w:val="false"/>
          </w:tcPr>
          <w:p>
            <w:pPr>
              <w:ind w:left="0" w:right="0"/>
              <w:jc w:val="left"/>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食材</w:t>
            </w:r>
            <w:r>
              <w:rPr>
                <w:rFonts w:hint="default" w:ascii="宋体" w:hAnsi="宋体" w:eastAsia="宋体" w:cs="宋体"/>
                <w:b w:val="0"/>
                <w:color w:val="000000"/>
                <w:sz w:val="21"/>
                <w:szCs w:val="21"/>
                <w:highlight w:val="none"/>
              </w:rPr>
              <w:t xml:space="preserve">报价与投标费率计算后的价格一致，符合</w:t>
            </w:r>
            <w:r>
              <w:rPr>
                <w:rFonts w:hint="default" w:ascii="宋体" w:hAnsi="宋体" w:eastAsia="宋体" w:cs="宋体"/>
                <w:b w:val="0"/>
                <w:color w:val="000000"/>
                <w:sz w:val="20"/>
                <w:szCs w:val="20"/>
                <w:highlight w:val="none"/>
                <w:lang w:bidi="ar"/>
              </w:rPr>
              <w:t xml:space="preserve">招标文件、投标文件及合同约定要求</w:t>
            </w:r>
            <w:r>
              <w:rPr>
                <w:rFonts w:hint="default" w:ascii="宋体" w:hAnsi="宋体" w:eastAsia="宋体" w:cs="宋体"/>
                <w:b w:val="0"/>
                <w:color w:val="000000"/>
                <w:sz w:val="21"/>
                <w:szCs w:val="21"/>
                <w:highlight w:val="none"/>
              </w:rPr>
              <w:t xml:space="preserve">，</w:t>
            </w:r>
            <w:r>
              <w:rPr>
                <w:rFonts w:hint="default" w:ascii="宋体" w:hAnsi="宋体" w:eastAsia="宋体" w:cs="宋体"/>
                <w:b w:val="0"/>
                <w:color w:val="000000"/>
                <w:sz w:val="20"/>
                <w:szCs w:val="20"/>
                <w:highlight w:val="none"/>
                <w:lang w:bidi="ar"/>
              </w:rPr>
              <w:t xml:space="preserve">误差每次扣4分，扣完为止。</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81" w:type="dxa"/>
            <w:vAlign w:val="center"/>
            <w:textDirection w:val="lrTb"/>
            <w:noWrap w:val="false"/>
          </w:tcPr>
          <w:p>
            <w:pPr>
              <w:ind w:left="0" w:right="0"/>
              <w:jc w:val="left"/>
              <w:keepLines w:val="0"/>
              <w:keepNext w:val="0"/>
              <w:spacing w:before="0" w:beforeAutospacing="0" w:after="0" w:afterAutospacing="0"/>
              <w:widowControl/>
              <w:rPr>
                <w:rFonts w:hint="eastAsia"/>
                <w:b w:val="0"/>
                <w:color w:val="000000"/>
                <w:sz w:val="20"/>
                <w:szCs w:val="20"/>
                <w:highlight w:val="none"/>
              </w:rPr>
              <w:suppressLineNumbers w:val="0"/>
            </w:pPr>
            <w:r>
              <w:rPr>
                <w:rFonts w:hint="eastAsia"/>
                <w:b w:val="0"/>
                <w:color w:val="000000"/>
                <w:sz w:val="20"/>
                <w:szCs w:val="20"/>
                <w:highlight w:val="none"/>
              </w:rPr>
            </w:r>
            <w:r/>
          </w:p>
        </w:tc>
      </w:tr>
      <w:tr>
        <w:trPr>
          <w:trHeight w:val="390"/>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60" w:type="dxa"/>
            <w:vAlign w:val="center"/>
            <w:vMerge w:val="continue"/>
            <w:textDirection w:val="lrTb"/>
            <w:noWrap w:val="false"/>
          </w:tcPr>
          <w:p>
            <w:pPr>
              <w:ind w:left="0" w:right="0"/>
              <w:jc w:val="center"/>
              <w:keepLines w:val="0"/>
              <w:keepNext w:val="0"/>
              <w:spacing w:before="0" w:beforeAutospacing="0" w:after="0" w:afterAutospacing="0"/>
              <w:rPr>
                <w:rFonts w:hint="default" w:ascii="宋体" w:eastAsia="宋体"/>
                <w:b w:val="0"/>
                <w:color w:val="000000"/>
                <w:sz w:val="20"/>
                <w:szCs w:val="20"/>
                <w:highlight w:val="none"/>
              </w:rPr>
              <w:suppressLineNumbers w:val="0"/>
            </w:pPr>
            <w:r>
              <w:rPr>
                <w:rFonts w:hint="default" w:ascii="宋体" w:eastAsia="宋体"/>
                <w:b w:val="0"/>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75" w:type="dxa"/>
            <w:vAlign w:val="center"/>
            <w:textDirection w:val="lrTb"/>
            <w:noWrap w:val="false"/>
          </w:tcPr>
          <w:p>
            <w:pPr>
              <w:ind w:left="0" w:right="0"/>
              <w:jc w:val="center"/>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订单响应</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20" w:type="dxa"/>
            <w:vAlign w:val="center"/>
            <w:textDirection w:val="lrTb"/>
            <w:noWrap w:val="false"/>
          </w:tcPr>
          <w:p>
            <w:pPr>
              <w:ind w:left="0" w:right="0"/>
              <w:jc w:val="center"/>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6分</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057" w:type="dxa"/>
            <w:vAlign w:val="center"/>
            <w:textDirection w:val="lrTb"/>
            <w:noWrap w:val="false"/>
          </w:tcPr>
          <w:p>
            <w:pPr>
              <w:ind w:left="0" w:right="0"/>
              <w:jc w:val="left"/>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接到采购订单后，30分钟内确认，遇采购方临时增减食材种类、数量和特殊食材要求及时反馈采购可行性；未按时确认每次扣2分，未反馈可行性导致延误扣3分，扣完为止。</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81" w:type="dxa"/>
            <w:vAlign w:val="center"/>
            <w:textDirection w:val="lrTb"/>
            <w:noWrap w:val="false"/>
          </w:tcPr>
          <w:p>
            <w:pPr>
              <w:ind w:left="0" w:right="0"/>
              <w:jc w:val="left"/>
              <w:keepLines w:val="0"/>
              <w:keepNext w:val="0"/>
              <w:spacing w:before="0" w:beforeAutospacing="0" w:after="0" w:afterAutospacing="0"/>
              <w:widowControl/>
              <w:rPr>
                <w:rFonts w:hint="eastAsia"/>
                <w:b w:val="0"/>
                <w:color w:val="000000"/>
                <w:sz w:val="20"/>
                <w:szCs w:val="20"/>
                <w:highlight w:val="none"/>
              </w:rPr>
              <w:suppressLineNumbers w:val="0"/>
            </w:pPr>
            <w:r>
              <w:rPr>
                <w:rFonts w:hint="eastAsia"/>
                <w:b w:val="0"/>
                <w:color w:val="000000"/>
                <w:sz w:val="20"/>
                <w:szCs w:val="20"/>
                <w:highlight w:val="none"/>
              </w:rPr>
            </w:r>
            <w:r/>
          </w:p>
        </w:tc>
      </w:tr>
      <w:tr>
        <w:trPr>
          <w:trHeight w:val="390"/>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60" w:type="dxa"/>
            <w:vAlign w:val="center"/>
            <w:vMerge w:val="continue"/>
            <w:textDirection w:val="lrTb"/>
            <w:noWrap w:val="false"/>
          </w:tcPr>
          <w:p>
            <w:pPr>
              <w:ind w:left="0" w:right="0"/>
              <w:jc w:val="center"/>
              <w:keepLines w:val="0"/>
              <w:keepNext w:val="0"/>
              <w:spacing w:before="0" w:beforeAutospacing="0" w:after="0" w:afterAutospacing="0"/>
              <w:rPr>
                <w:rFonts w:hint="default" w:ascii="宋体" w:eastAsia="宋体"/>
                <w:b w:val="0"/>
                <w:color w:val="000000"/>
                <w:sz w:val="20"/>
                <w:szCs w:val="20"/>
                <w:highlight w:val="none"/>
              </w:rPr>
              <w:suppressLineNumbers w:val="0"/>
            </w:pPr>
            <w:r>
              <w:rPr>
                <w:rFonts w:hint="default" w:ascii="宋体" w:eastAsia="宋体"/>
                <w:b w:val="0"/>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75" w:type="dxa"/>
            <w:vAlign w:val="center"/>
            <w:textDirection w:val="lrTb"/>
            <w:noWrap w:val="false"/>
          </w:tcPr>
          <w:p>
            <w:pPr>
              <w:ind w:left="0" w:right="0"/>
              <w:jc w:val="center"/>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异常处理</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20" w:type="dxa"/>
            <w:vAlign w:val="center"/>
            <w:textDirection w:val="lrTb"/>
            <w:noWrap w:val="false"/>
          </w:tcPr>
          <w:p>
            <w:pPr>
              <w:ind w:left="0" w:right="0"/>
              <w:jc w:val="center"/>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6分</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057" w:type="dxa"/>
            <w:vAlign w:val="center"/>
            <w:textDirection w:val="lrTb"/>
            <w:noWrap w:val="false"/>
          </w:tcPr>
          <w:p>
            <w:pPr>
              <w:ind w:left="0" w:right="0"/>
              <w:jc w:val="left"/>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食材质量、配送等出现异常时，1小时内响应，及时处理并给出解决方案，无拖延、敷衍；未及时响应扣3分，处理不当扣3分，扣完为止。</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81" w:type="dxa"/>
            <w:vAlign w:val="center"/>
            <w:textDirection w:val="lrTb"/>
            <w:noWrap w:val="false"/>
          </w:tcPr>
          <w:p>
            <w:pPr>
              <w:ind w:left="0" w:right="0"/>
              <w:jc w:val="left"/>
              <w:keepLines w:val="0"/>
              <w:keepNext w:val="0"/>
              <w:spacing w:before="0" w:beforeAutospacing="0" w:after="0" w:afterAutospacing="0"/>
              <w:widowControl/>
              <w:rPr>
                <w:rFonts w:hint="eastAsia"/>
                <w:b w:val="0"/>
                <w:color w:val="000000"/>
                <w:sz w:val="20"/>
                <w:szCs w:val="20"/>
                <w:highlight w:val="none"/>
              </w:rPr>
              <w:suppressLineNumbers w:val="0"/>
            </w:pPr>
            <w:r>
              <w:rPr>
                <w:rFonts w:hint="eastAsia"/>
                <w:b w:val="0"/>
                <w:color w:val="000000"/>
                <w:sz w:val="20"/>
                <w:szCs w:val="20"/>
                <w:highlight w:val="none"/>
              </w:rPr>
            </w:r>
            <w:r/>
          </w:p>
        </w:tc>
      </w:tr>
      <w:tr>
        <w:trPr>
          <w:trHeight w:val="390"/>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6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合作配合（12分）</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75" w:type="dxa"/>
            <w:vAlign w:val="center"/>
            <w:textDirection w:val="lrTb"/>
            <w:noWrap w:val="false"/>
          </w:tcPr>
          <w:p>
            <w:pPr>
              <w:ind w:left="0" w:right="0"/>
              <w:jc w:val="center"/>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资料提供</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20" w:type="dxa"/>
            <w:vAlign w:val="center"/>
            <w:textDirection w:val="lrTb"/>
            <w:noWrap w:val="false"/>
          </w:tcPr>
          <w:p>
            <w:pPr>
              <w:ind w:left="0" w:right="0"/>
              <w:jc w:val="center"/>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6分</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057" w:type="dxa"/>
            <w:vAlign w:val="center"/>
            <w:textDirection w:val="lrTb"/>
            <w:noWrap w:val="false"/>
          </w:tcPr>
          <w:p>
            <w:pPr>
              <w:ind w:left="0" w:right="0"/>
              <w:jc w:val="left"/>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及时提供食材资质、检验报告等相关资料，无拖延、遗漏；每拖延或遗漏1次扣3分，扣完为止。</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81" w:type="dxa"/>
            <w:vAlign w:val="center"/>
            <w:textDirection w:val="lrTb"/>
            <w:noWrap w:val="false"/>
          </w:tcPr>
          <w:p>
            <w:pPr>
              <w:ind w:left="0" w:right="0"/>
              <w:jc w:val="left"/>
              <w:keepLines w:val="0"/>
              <w:keepNext w:val="0"/>
              <w:spacing w:before="0" w:beforeAutospacing="0" w:after="0" w:afterAutospacing="0"/>
              <w:widowControl/>
              <w:rPr>
                <w:rFonts w:hint="eastAsia"/>
                <w:b w:val="0"/>
                <w:color w:val="000000"/>
                <w:sz w:val="20"/>
                <w:szCs w:val="20"/>
                <w:highlight w:val="none"/>
              </w:rPr>
              <w:suppressLineNumbers w:val="0"/>
            </w:pPr>
            <w:r>
              <w:rPr>
                <w:rFonts w:hint="eastAsia"/>
                <w:b w:val="0"/>
                <w:color w:val="000000"/>
                <w:sz w:val="20"/>
                <w:szCs w:val="20"/>
                <w:highlight w:val="none"/>
              </w:rPr>
            </w:r>
            <w:r/>
          </w:p>
        </w:tc>
      </w:tr>
      <w:tr>
        <w:trPr>
          <w:trHeight w:val="390"/>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60" w:type="dxa"/>
            <w:vAlign w:val="center"/>
            <w:vMerge w:val="continue"/>
            <w:textDirection w:val="lrTb"/>
            <w:noWrap w:val="false"/>
          </w:tcPr>
          <w:p>
            <w:pPr>
              <w:ind w:left="0" w:right="0"/>
              <w:jc w:val="left"/>
              <w:keepLines w:val="0"/>
              <w:keepNext w:val="0"/>
              <w:spacing w:before="0" w:beforeAutospacing="0" w:after="0" w:afterAutospacing="0"/>
              <w:rPr>
                <w:rFonts w:hint="default" w:ascii="宋体" w:eastAsia="宋体"/>
                <w:b w:val="0"/>
                <w:color w:val="000000"/>
                <w:sz w:val="20"/>
                <w:szCs w:val="20"/>
                <w:highlight w:val="none"/>
              </w:rPr>
              <w:suppressLineNumbers w:val="0"/>
            </w:pPr>
            <w:r>
              <w:rPr>
                <w:rFonts w:hint="default" w:ascii="宋体" w:eastAsia="宋体"/>
                <w:b w:val="0"/>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75" w:type="dxa"/>
            <w:vAlign w:val="center"/>
            <w:textDirection w:val="lrTb"/>
            <w:noWrap w:val="false"/>
          </w:tcPr>
          <w:p>
            <w:pPr>
              <w:ind w:left="0" w:right="0"/>
              <w:jc w:val="center"/>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整改配合</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20" w:type="dxa"/>
            <w:vAlign w:val="center"/>
            <w:textDirection w:val="lrTb"/>
            <w:noWrap w:val="false"/>
          </w:tcPr>
          <w:p>
            <w:pPr>
              <w:ind w:left="0" w:right="0"/>
              <w:jc w:val="center"/>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6分</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057" w:type="dxa"/>
            <w:vAlign w:val="center"/>
            <w:textDirection w:val="lrTb"/>
            <w:noWrap w:val="false"/>
          </w:tcPr>
          <w:p>
            <w:pPr>
              <w:ind w:left="0" w:right="0"/>
              <w:jc w:val="left"/>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针对考核中发现的问题，及时整改，反馈整改结果，无拒不整改、敷衍整改；未整改或整改不到位每次扣3分，扣完为止。</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81" w:type="dxa"/>
            <w:vAlign w:val="center"/>
            <w:textDirection w:val="lrTb"/>
            <w:noWrap w:val="false"/>
          </w:tcPr>
          <w:p>
            <w:pPr>
              <w:ind w:left="0" w:right="0"/>
              <w:jc w:val="left"/>
              <w:keepLines w:val="0"/>
              <w:keepNext w:val="0"/>
              <w:spacing w:before="0" w:beforeAutospacing="0" w:after="0" w:afterAutospacing="0"/>
              <w:widowControl/>
              <w:rPr>
                <w:rFonts w:hint="eastAsia"/>
                <w:b w:val="0"/>
                <w:color w:val="000000"/>
                <w:sz w:val="20"/>
                <w:szCs w:val="20"/>
                <w:highlight w:val="none"/>
              </w:rPr>
              <w:suppressLineNumbers w:val="0"/>
            </w:pPr>
            <w:r>
              <w:rPr>
                <w:rFonts w:hint="eastAsia"/>
                <w:b w:val="0"/>
                <w:color w:val="000000"/>
                <w:sz w:val="20"/>
                <w:szCs w:val="20"/>
                <w:highlight w:val="none"/>
              </w:rPr>
            </w:r>
            <w:r/>
          </w:p>
        </w:tc>
      </w:tr>
      <w:tr>
        <w:trPr>
          <w:trHeight w:val="390"/>
        </w:trPr>
        <w:tc>
          <w:tcPr>
            <w:gridSpan w:val="4"/>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212" w:type="dxa"/>
            <w:vAlign w:val="center"/>
            <w:textDirection w:val="lrTb"/>
            <w:noWrap w:val="false"/>
          </w:tcPr>
          <w:p>
            <w:pPr>
              <w:ind w:left="0" w:right="0"/>
              <w:jc w:val="center"/>
              <w:keepLines w:val="0"/>
              <w:keepNext w:val="0"/>
              <w:spacing w:before="0" w:beforeAutospacing="0" w:after="0" w:afterAutospacing="0"/>
              <w:widowControl/>
              <w:rPr>
                <w:rFonts w:hint="eastAsia"/>
                <w:b w:val="0"/>
                <w:color w:val="000000"/>
                <w:sz w:val="20"/>
                <w:szCs w:val="20"/>
                <w:highlight w:val="none"/>
              </w:rPr>
              <w:suppressLineNumbers w:val="0"/>
            </w:pPr>
            <w:r>
              <w:rPr>
                <w:rFonts w:hint="default" w:ascii="宋体" w:hAnsi="宋体" w:eastAsia="宋体" w:cs="宋体"/>
                <w:b w:val="0"/>
                <w:color w:val="000000"/>
                <w:sz w:val="20"/>
                <w:szCs w:val="20"/>
                <w:highlight w:val="none"/>
                <w:lang w:bidi="ar"/>
              </w:rPr>
              <w:t xml:space="preserve">总分</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81" w:type="dxa"/>
            <w:vAlign w:val="center"/>
            <w:textDirection w:val="lrTb"/>
            <w:noWrap w:val="false"/>
          </w:tcPr>
          <w:p>
            <w:pPr>
              <w:ind w:left="0" w:right="0"/>
              <w:jc w:val="left"/>
              <w:keepLines w:val="0"/>
              <w:keepNext w:val="0"/>
              <w:spacing w:before="0" w:beforeAutospacing="0" w:after="0" w:afterAutospacing="0"/>
              <w:widowControl/>
              <w:rPr>
                <w:rFonts w:hint="eastAsia"/>
                <w:b w:val="0"/>
                <w:color w:val="000000"/>
                <w:sz w:val="20"/>
                <w:szCs w:val="20"/>
                <w:highlight w:val="none"/>
              </w:rPr>
              <w:suppressLineNumbers w:val="0"/>
            </w:pPr>
            <w:r>
              <w:rPr>
                <w:rFonts w:hint="eastAsia"/>
                <w:b w:val="0"/>
                <w:color w:val="000000"/>
                <w:sz w:val="20"/>
                <w:szCs w:val="20"/>
                <w:highlight w:val="none"/>
              </w:rPr>
            </w:r>
            <w:r/>
          </w:p>
        </w:tc>
      </w:tr>
    </w:tbl>
    <w:p>
      <w:pPr>
        <w:jc w:val="left"/>
        <w:widowControl/>
        <w:rPr>
          <w:rFonts w:hint="default" w:ascii="宋体" w:hAnsi="宋体" w:eastAsia="宋体" w:cs="宋体"/>
          <w:sz w:val="24"/>
          <w:szCs w:val="24"/>
          <w:highlight w:val="none"/>
          <w:lang w:bidi="ar"/>
        </w:rPr>
      </w:pPr>
      <w:r>
        <w:rPr>
          <w:rFonts w:hint="default" w:ascii="宋体" w:hAnsi="宋体" w:eastAsia="宋体" w:cs="宋体"/>
          <w:sz w:val="24"/>
          <w:szCs w:val="24"/>
          <w:highlight w:val="none"/>
          <w:lang w:bidi="ar"/>
        </w:rPr>
      </w:r>
      <w:r/>
    </w:p>
    <w:p>
      <w:pPr>
        <w:jc w:val="left"/>
        <w:widowControl/>
        <w:rPr>
          <w:rFonts w:hint="eastAsia"/>
          <w:sz w:val="21"/>
          <w:szCs w:val="22"/>
          <w:highlight w:val="none"/>
          <w:u w:val="single"/>
        </w:rPr>
      </w:pPr>
      <w:r>
        <w:rPr>
          <w:rFonts w:hint="default" w:ascii="宋体" w:hAnsi="宋体" w:eastAsia="宋体" w:cs="宋体"/>
          <w:sz w:val="24"/>
          <w:szCs w:val="24"/>
          <w:highlight w:val="none"/>
          <w:lang w:bidi="ar"/>
        </w:rPr>
        <w:t xml:space="preserve">整改要求：</w:t>
      </w:r>
      <w:r>
        <w:rPr>
          <w:rFonts w:hint="default" w:ascii="宋体" w:hAnsi="宋体" w:eastAsia="宋体" w:cs="宋体"/>
          <w:sz w:val="24"/>
          <w:szCs w:val="24"/>
          <w:highlight w:val="none"/>
          <w:u w:val="single"/>
          <w:lang w:bidi="ar"/>
        </w:rPr>
        <w:t xml:space="preserve">                                                                </w:t>
      </w:r>
      <w:r/>
    </w:p>
    <w:p>
      <w:pPr>
        <w:jc w:val="left"/>
        <w:widowControl/>
        <w:rPr>
          <w:rFonts w:hint="default" w:ascii="宋体" w:hAnsi="宋体" w:eastAsia="宋体" w:cs="宋体"/>
          <w:sz w:val="24"/>
          <w:szCs w:val="24"/>
          <w:highlight w:val="none"/>
          <w:lang w:bidi="ar"/>
        </w:rPr>
      </w:pPr>
      <w:r>
        <w:rPr>
          <w:rFonts w:hint="default" w:ascii="宋体" w:hAnsi="宋体" w:eastAsia="宋体" w:cs="宋体"/>
          <w:sz w:val="24"/>
          <w:szCs w:val="24"/>
          <w:highlight w:val="none"/>
          <w:lang w:bidi="ar"/>
        </w:rPr>
        <w:t xml:space="preserve">考核人签字：</w:t>
      </w:r>
      <w:r>
        <w:rPr>
          <w:rFonts w:hint="default" w:ascii="宋体" w:hAnsi="宋体" w:eastAsia="宋体" w:cs="宋体"/>
          <w:sz w:val="24"/>
          <w:szCs w:val="24"/>
          <w:highlight w:val="none"/>
          <w:u w:val="single"/>
          <w:lang w:bidi="ar"/>
        </w:rPr>
        <w:t xml:space="preserve">               </w:t>
      </w:r>
      <w:r>
        <w:rPr>
          <w:rFonts w:hint="default" w:ascii="宋体" w:hAnsi="宋体" w:eastAsia="宋体" w:cs="宋体"/>
          <w:sz w:val="24"/>
          <w:szCs w:val="24"/>
          <w:highlight w:val="none"/>
          <w:lang w:bidi="ar"/>
        </w:rPr>
        <w:t xml:space="preserve">  日期：</w:t>
      </w:r>
      <w:r>
        <w:rPr>
          <w:rFonts w:hint="default" w:ascii="宋体" w:hAnsi="宋体" w:eastAsia="宋体" w:cs="宋体"/>
          <w:sz w:val="24"/>
          <w:szCs w:val="24"/>
          <w:highlight w:val="none"/>
          <w:u w:val="single"/>
          <w:lang w:bidi="ar"/>
        </w:rPr>
        <w:t xml:space="preserve">  </w:t>
      </w:r>
      <w:r>
        <w:rPr>
          <w:rFonts w:hint="eastAsia" w:ascii="宋体" w:hAnsi="宋体" w:cs="宋体"/>
          <w:sz w:val="24"/>
          <w:szCs w:val="24"/>
          <w:highlight w:val="none"/>
          <w:u w:val="single"/>
          <w:lang w:val="en-US" w:eastAsia="zh-CN" w:bidi="ar"/>
        </w:rPr>
        <w:t xml:space="preserve">  </w:t>
      </w:r>
      <w:r>
        <w:rPr>
          <w:rFonts w:hint="default" w:ascii="宋体" w:hAnsi="宋体" w:eastAsia="宋体" w:cs="宋体"/>
          <w:sz w:val="24"/>
          <w:szCs w:val="24"/>
          <w:highlight w:val="none"/>
          <w:u w:val="single"/>
          <w:lang w:bidi="ar"/>
        </w:rPr>
        <w:t xml:space="preserve">          </w:t>
      </w:r>
      <w:r/>
    </w:p>
    <w:p>
      <w:pPr>
        <w:jc w:val="left"/>
        <w:widowControl/>
        <w:rPr>
          <w:rFonts w:hint="eastAsia"/>
          <w:sz w:val="21"/>
          <w:szCs w:val="22"/>
          <w:highlight w:val="none"/>
        </w:rPr>
      </w:pPr>
      <w:r>
        <w:rPr>
          <w:rFonts w:hint="default" w:ascii="宋体" w:hAnsi="宋体" w:eastAsia="宋体" w:cs="宋体"/>
          <w:sz w:val="24"/>
          <w:szCs w:val="24"/>
          <w:highlight w:val="none"/>
          <w:lang w:bidi="ar"/>
        </w:rPr>
        <w:t xml:space="preserve">被考核人签字：</w:t>
      </w:r>
      <w:r>
        <w:rPr>
          <w:rFonts w:hint="default" w:ascii="宋体" w:hAnsi="宋体" w:eastAsia="宋体" w:cs="宋体"/>
          <w:sz w:val="24"/>
          <w:szCs w:val="24"/>
          <w:highlight w:val="none"/>
          <w:u w:val="single"/>
          <w:lang w:bidi="ar"/>
        </w:rPr>
        <w:t xml:space="preserve">               </w:t>
      </w:r>
      <w:r>
        <w:rPr>
          <w:rFonts w:hint="eastAsia" w:ascii="宋体" w:hAnsi="宋体" w:cs="宋体"/>
          <w:sz w:val="24"/>
          <w:szCs w:val="24"/>
          <w:highlight w:val="none"/>
          <w:u w:val="single"/>
          <w:lang w:val="en-US" w:eastAsia="zh-CN" w:bidi="ar"/>
        </w:rPr>
        <w:t xml:space="preserve"> </w:t>
      </w:r>
      <w:r>
        <w:rPr>
          <w:rFonts w:hint="default" w:ascii="宋体" w:hAnsi="宋体" w:eastAsia="宋体" w:cs="宋体"/>
          <w:sz w:val="24"/>
          <w:szCs w:val="24"/>
          <w:highlight w:val="none"/>
          <w:u w:val="single"/>
          <w:lang w:bidi="ar"/>
        </w:rPr>
        <w:t xml:space="preserve">  </w:t>
      </w:r>
      <w:r>
        <w:rPr>
          <w:rFonts w:hint="default" w:ascii="宋体" w:hAnsi="宋体" w:eastAsia="宋体" w:cs="宋体"/>
          <w:sz w:val="24"/>
          <w:szCs w:val="24"/>
          <w:highlight w:val="none"/>
          <w:lang w:bidi="ar"/>
        </w:rPr>
        <w:t xml:space="preserve"> 日期：</w:t>
      </w:r>
      <w:r>
        <w:rPr>
          <w:rFonts w:hint="default" w:ascii="宋体" w:hAnsi="宋体" w:eastAsia="宋体" w:cs="宋体"/>
          <w:sz w:val="24"/>
          <w:szCs w:val="24"/>
          <w:highlight w:val="none"/>
          <w:u w:val="single"/>
          <w:lang w:bidi="ar"/>
        </w:rPr>
        <w:t xml:space="preserve">         </w:t>
      </w:r>
      <w:r>
        <w:rPr>
          <w:rFonts w:hint="eastAsia" w:ascii="宋体" w:hAnsi="宋体" w:cs="宋体"/>
          <w:sz w:val="24"/>
          <w:szCs w:val="24"/>
          <w:highlight w:val="none"/>
          <w:u w:val="single"/>
          <w:lang w:val="en-US" w:eastAsia="zh-CN" w:bidi="ar"/>
        </w:rPr>
        <w:t xml:space="preserve">  </w:t>
      </w:r>
      <w:r>
        <w:rPr>
          <w:rFonts w:hint="default" w:ascii="宋体" w:hAnsi="宋体" w:eastAsia="宋体" w:cs="宋体"/>
          <w:sz w:val="24"/>
          <w:szCs w:val="24"/>
          <w:highlight w:val="none"/>
          <w:u w:val="single"/>
          <w:lang w:bidi="ar"/>
        </w:rPr>
        <w:t xml:space="preserve">    </w:t>
      </w:r>
      <w:r/>
    </w:p>
    <w:p>
      <w:pPr>
        <w:jc w:val="both"/>
        <w:spacing w:before="120" w:after="120" w:line="360" w:lineRule="auto"/>
        <w:rPr>
          <w:rFonts w:hint="eastAsia" w:ascii="黑体" w:eastAsia="黑体"/>
          <w:color w:val="000000"/>
          <w:sz w:val="44"/>
          <w:szCs w:val="44"/>
          <w:highlight w:val="none"/>
        </w:rPr>
        <w:sectPr>
          <w:headerReference w:type="default" r:id="rId12"/>
          <w:headerReference w:type="first" r:id="rId13"/>
          <w:footerReference w:type="default" r:id="rId17"/>
          <w:footerReference w:type="first" r:id="rId18"/>
          <w:footnotePr/>
          <w:endnotePr/>
          <w:type w:val="nextPage"/>
          <w:pgSz w:w="11906" w:h="16838" w:orient="portrait"/>
          <w:pgMar w:top="1417" w:right="1361" w:bottom="1417" w:left="1366" w:header="851" w:footer="907" w:gutter="0"/>
          <w:cols w:num="1" w:sep="0" w:space="0" w:equalWidth="1"/>
          <w:docGrid w:linePitch="360"/>
          <w:titlePg/>
        </w:sectPr>
      </w:pPr>
      <w:r>
        <w:rPr>
          <w:rFonts w:hint="eastAsia" w:ascii="黑体" w:eastAsia="黑体"/>
          <w:color w:val="000000"/>
          <w:sz w:val="44"/>
          <w:szCs w:val="44"/>
          <w:highlight w:val="none"/>
        </w:rPr>
      </w:r>
      <w:r/>
    </w:p>
    <w:p>
      <w:pPr>
        <w:pStyle w:val="907"/>
        <w:jc w:val="center"/>
        <w:spacing w:line="360" w:lineRule="auto"/>
        <w:rPr>
          <w:rStyle w:val="1033"/>
          <w:rFonts w:hint="eastAsia" w:ascii="黑体" w:hAnsi="黑体" w:eastAsia="黑体" w:cs="黑体"/>
          <w:sz w:val="44"/>
          <w:szCs w:val="44"/>
          <w:highlight w:val="none"/>
          <w:lang w:val="en-US" w:eastAsia="zh-CN" w:bidi="ar-SA"/>
        </w:rPr>
      </w:pPr>
      <w:r/>
      <w:bookmarkStart w:id="160" w:name="_Toc22908"/>
      <w:r>
        <w:rPr>
          <w:rStyle w:val="1033"/>
          <w:rFonts w:hint="eastAsia" w:ascii="黑体" w:hAnsi="黑体" w:eastAsia="黑体" w:cs="黑体"/>
          <w:sz w:val="44"/>
          <w:szCs w:val="44"/>
          <w:highlight w:val="none"/>
          <w:lang w:val="en-US" w:eastAsia="zh-CN" w:bidi="ar-SA"/>
        </w:rPr>
        <w:t xml:space="preserve">第五章  评标方法与评标标准</w:t>
      </w:r>
      <w:bookmarkEnd w:id="160"/>
      <w:r/>
      <w:r/>
    </w:p>
    <w:p>
      <w:pP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一、评标方法</w:t>
      </w:r>
      <w:r/>
    </w:p>
    <w:p>
      <w:pPr>
        <w:ind w:firstLine="480"/>
        <w:spacing w:line="360" w:lineRule="auto"/>
        <w:rPr>
          <w:rFonts w:hint="eastAsia"/>
          <w:highlight w:val="none"/>
        </w:rPr>
      </w:pPr>
      <w:r>
        <w:rPr>
          <w:rFonts w:hint="eastAsia" w:ascii="宋体" w:hAnsi="宋体" w:eastAsia="宋体" w:cs="宋体"/>
          <w:sz w:val="24"/>
          <w:szCs w:val="24"/>
          <w:highlight w:val="none"/>
        </w:rPr>
        <w:t xml:space="preserve">评委会将对确定为实质性响应招标文件要求的投标文件进行评</w:t>
      </w:r>
      <w:r>
        <w:rPr>
          <w:rFonts w:hint="eastAsia" w:ascii="宋体" w:hAnsi="宋体" w:cs="宋体"/>
          <w:sz w:val="24"/>
          <w:szCs w:val="24"/>
          <w:highlight w:val="none"/>
          <w:lang w:val="en-US" w:eastAsia="zh-CN"/>
        </w:rPr>
        <w:t xml:space="preserve">审</w:t>
      </w:r>
      <w:r>
        <w:rPr>
          <w:rFonts w:hint="eastAsia" w:ascii="宋体" w:hAnsi="宋体" w:eastAsia="宋体" w:cs="宋体"/>
          <w:sz w:val="24"/>
          <w:szCs w:val="24"/>
          <w:highlight w:val="none"/>
        </w:rPr>
        <w:t xml:space="preserve">，评审采用综合评分法。评标结果按评审后得分由高到低顺序排列。得分相同的，按投标报价由低到高顺序排列。得分且投标报价均相同的按照</w:t>
      </w:r>
      <w:r>
        <w:rPr>
          <w:rFonts w:hint="eastAsia" w:ascii="宋体" w:hAnsi="宋体" w:cs="宋体"/>
          <w:sz w:val="24"/>
          <w:szCs w:val="24"/>
          <w:highlight w:val="none"/>
          <w:lang w:val="en-US" w:eastAsia="zh-CN"/>
        </w:rPr>
        <w:t xml:space="preserve">产品质量</w:t>
      </w:r>
      <w:r>
        <w:rPr>
          <w:rFonts w:hint="eastAsia" w:ascii="宋体" w:hAnsi="宋体" w:eastAsia="宋体" w:cs="宋体"/>
          <w:sz w:val="24"/>
          <w:szCs w:val="24"/>
          <w:highlight w:val="none"/>
        </w:rPr>
        <w:t xml:space="preserve">优劣顺序排列。投标文件满足招标文件全部实质性要求，且按照评审因素的量化指标评审得分由高到低按顺序推荐三名中标候选人，</w:t>
      </w:r>
      <w:r>
        <w:rPr>
          <w:rFonts w:hint="eastAsia" w:ascii="宋体" w:hAnsi="宋体"/>
          <w:sz w:val="24"/>
          <w:highlight w:val="none"/>
          <w:lang w:val="zh-CN"/>
        </w:rPr>
        <w:t xml:space="preserve">评委会直接确定排名第一的中标候选人为中标人</w:t>
      </w:r>
      <w:r>
        <w:rPr>
          <w:rFonts w:hint="eastAsia" w:ascii="宋体" w:hAnsi="宋体" w:eastAsia="宋体" w:cs="宋体"/>
          <w:sz w:val="24"/>
          <w:szCs w:val="24"/>
          <w:highlight w:val="none"/>
        </w:rPr>
        <w:t xml:space="preserve">。具体打分办法如下：</w:t>
      </w:r>
      <w:r/>
    </w:p>
    <w:p>
      <w:pPr>
        <w:numPr>
          <w:ilvl w:val="0"/>
          <w:numId w:val="12"/>
        </w:num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评标标准</w:t>
      </w:r>
      <w:r/>
    </w:p>
    <w:tbl>
      <w:tblPr>
        <w:tblStyle w:val="9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6936"/>
        <w:gridCol w:w="840"/>
      </w:tblGrid>
      <w:tr>
        <w:trPr>
          <w:jc w:val="center"/>
          <w:trHeight w:val="558"/>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100" w:beforeAutospacing="1" w:after="0" w:afterAutospacing="0"/>
              <w:widowControl/>
              <w:rPr>
                <w:rFonts w:hint="default" w:ascii="宋体" w:hAnsi="宋体" w:eastAsia="宋体" w:cs="宋体"/>
                <w:b/>
                <w:sz w:val="24"/>
                <w:szCs w:val="24"/>
                <w:highlight w:val="none"/>
              </w:rPr>
              <w:suppressLineNumbers w:val="0"/>
            </w:pPr>
            <w:r>
              <w:rPr>
                <w:rFonts w:hint="default" w:ascii="宋体" w:hAnsi="宋体" w:eastAsia="宋体" w:cs="宋体"/>
                <w:b/>
                <w:sz w:val="24"/>
                <w:szCs w:val="24"/>
                <w:highlight w:val="none"/>
                <w:lang w:bidi="ar"/>
              </w:rPr>
              <w:t xml:space="preserve">评审因素</w:t>
            </w:r>
            <w:r/>
          </w:p>
        </w:tc>
        <w:tc>
          <w:tcPr>
            <w:tcBorders>
              <w:top w:val="single" w:color="auto" w:sz="4" w:space="0"/>
              <w:left w:val="single" w:color="auto" w:sz="4" w:space="0"/>
              <w:bottom w:val="single" w:color="auto" w:sz="4" w:space="0"/>
              <w:right w:val="single" w:color="auto" w:sz="4" w:space="0"/>
            </w:tcBorders>
            <w:tcW w:w="6936" w:type="dxa"/>
            <w:vAlign w:val="center"/>
            <w:textDirection w:val="lrTb"/>
            <w:noWrap w:val="false"/>
          </w:tcPr>
          <w:p>
            <w:pPr>
              <w:ind w:left="0" w:right="0"/>
              <w:jc w:val="center"/>
              <w:keepLines w:val="0"/>
              <w:keepNext w:val="0"/>
              <w:spacing w:before="100" w:beforeAutospacing="1" w:after="0" w:afterAutospacing="0"/>
              <w:widowControl/>
              <w:rPr>
                <w:rFonts w:hint="default" w:ascii="宋体" w:hAnsi="宋体" w:eastAsia="宋体" w:cs="宋体"/>
                <w:b/>
                <w:sz w:val="24"/>
                <w:szCs w:val="24"/>
                <w:highlight w:val="none"/>
              </w:rPr>
              <w:suppressLineNumbers w:val="0"/>
            </w:pPr>
            <w:r>
              <w:rPr>
                <w:rFonts w:hint="default" w:ascii="宋体" w:hAnsi="宋体" w:eastAsia="宋体" w:cs="宋体"/>
                <w:b/>
                <w:sz w:val="24"/>
                <w:szCs w:val="24"/>
                <w:highlight w:val="none"/>
                <w:lang w:bidi="ar"/>
              </w:rPr>
              <w:t xml:space="preserve">评分标准</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right="0"/>
              <w:jc w:val="center"/>
              <w:keepLines w:val="0"/>
              <w:keepNext w:val="0"/>
              <w:spacing w:before="100" w:beforeAutospacing="1" w:after="0" w:afterAutospacing="0"/>
              <w:widowControl/>
              <w:rPr>
                <w:rFonts w:hint="default" w:ascii="宋体" w:hAnsi="宋体" w:eastAsia="宋体" w:cs="宋体"/>
                <w:b/>
                <w:sz w:val="24"/>
                <w:szCs w:val="24"/>
                <w:highlight w:val="none"/>
              </w:rPr>
              <w:suppressLineNumbers w:val="0"/>
            </w:pPr>
            <w:r>
              <w:rPr>
                <w:rFonts w:hint="default" w:ascii="宋体" w:hAnsi="宋体" w:eastAsia="宋体" w:cs="宋体"/>
                <w:b/>
                <w:sz w:val="24"/>
                <w:szCs w:val="24"/>
                <w:highlight w:val="none"/>
                <w:lang w:bidi="ar"/>
              </w:rPr>
              <w:t xml:space="preserve">分值</w:t>
            </w:r>
            <w:r/>
          </w:p>
        </w:tc>
      </w:tr>
      <w:tr>
        <w:trPr>
          <w:jc w:val="center"/>
          <w:trHeight w:val="1166"/>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100" w:beforeAutospacing="1" w:after="0" w:afterAutospacing="0"/>
              <w:widowControl/>
              <w:rPr>
                <w:rFonts w:hint="default" w:ascii="宋体" w:hAnsi="宋体" w:eastAsia="宋体" w:cs="宋体"/>
                <w:b/>
                <w:sz w:val="24"/>
                <w:szCs w:val="24"/>
                <w:highlight w:val="none"/>
              </w:rPr>
              <w:suppressLineNumbers w:val="0"/>
            </w:pPr>
            <w:r>
              <w:rPr>
                <w:rFonts w:hint="default" w:ascii="宋体" w:hAnsi="宋体" w:eastAsia="宋体" w:cs="宋体"/>
                <w:b/>
                <w:sz w:val="24"/>
                <w:szCs w:val="24"/>
                <w:highlight w:val="none"/>
                <w:lang w:bidi="ar"/>
              </w:rPr>
              <w:t xml:space="preserve">价格分（费率报价）</w:t>
            </w:r>
            <w:r/>
          </w:p>
        </w:tc>
        <w:tc>
          <w:tcPr>
            <w:tcBorders>
              <w:top w:val="single" w:color="auto" w:sz="4" w:space="0"/>
              <w:left w:val="single" w:color="auto" w:sz="4" w:space="0"/>
              <w:bottom w:val="single" w:color="auto" w:sz="4" w:space="0"/>
              <w:right w:val="single" w:color="auto" w:sz="4" w:space="0"/>
            </w:tcBorders>
            <w:tcW w:w="6936" w:type="dxa"/>
            <w:vAlign w:val="center"/>
            <w:textDirection w:val="lrTb"/>
            <w:noWrap w:val="false"/>
          </w:tcPr>
          <w:p>
            <w:pPr>
              <w:pStyle w:val="940"/>
              <w:ind w:left="0" w:right="0"/>
              <w:jc w:val="both"/>
              <w:keepLines w:val="0"/>
              <w:keepNext w:val="0"/>
              <w:spacing w:before="0" w:beforeAutospacing="0" w:after="0" w:afterAutospacing="0"/>
              <w:widowControl/>
              <w:rPr>
                <w:rFonts w:hint="default" w:ascii="宋体" w:hAnsi="宋体" w:eastAsia="宋体" w:cs="宋体"/>
                <w:sz w:val="24"/>
                <w:szCs w:val="24"/>
                <w:highlight w:val="none"/>
                <w:lang w:bidi="ar"/>
              </w:rPr>
              <w:suppressLineNumbers w:val="0"/>
            </w:pPr>
            <w:r>
              <w:rPr>
                <w:rFonts w:hint="default" w:ascii="宋体" w:hAnsi="宋体" w:eastAsia="宋体" w:cs="宋体"/>
                <w:sz w:val="24"/>
                <w:szCs w:val="24"/>
                <w:highlight w:val="none"/>
                <w:lang w:bidi="ar"/>
              </w:rPr>
              <w:t xml:space="preserve">以有效的最小费率为基准价，基准价得满分，其他供应商报价得分=基准价/其他供应商报价费率*30（小数点保留两位）。</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right="0"/>
              <w:jc w:val="center"/>
              <w:keepLines w:val="0"/>
              <w:keepNext w:val="0"/>
              <w:spacing w:before="100" w:beforeAutospacing="1"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30分</w:t>
            </w:r>
            <w:r/>
          </w:p>
        </w:tc>
      </w:tr>
      <w:tr>
        <w:trPr>
          <w:jc w:val="center"/>
          <w:trHeight w:val="1852"/>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100" w:beforeAutospacing="1" w:after="0" w:afterAutospacing="0"/>
              <w:widowControl/>
              <w:rPr>
                <w:rFonts w:hint="default" w:ascii="宋体" w:hAnsi="宋体" w:eastAsia="宋体" w:cs="宋体"/>
                <w:b/>
                <w:sz w:val="24"/>
                <w:szCs w:val="24"/>
                <w:highlight w:val="none"/>
              </w:rPr>
              <w:suppressLineNumbers w:val="0"/>
            </w:pPr>
            <w:r>
              <w:rPr>
                <w:rFonts w:hint="default" w:ascii="宋体" w:hAnsi="宋体" w:eastAsia="宋体" w:cs="宋体"/>
                <w:b/>
                <w:sz w:val="24"/>
                <w:szCs w:val="24"/>
                <w:highlight w:val="none"/>
                <w:lang w:bidi="ar"/>
              </w:rPr>
              <w:t xml:space="preserve">产品质量</w:t>
            </w:r>
            <w:r/>
          </w:p>
        </w:tc>
        <w:tc>
          <w:tcPr>
            <w:tcBorders>
              <w:top w:val="single" w:color="auto" w:sz="4" w:space="0"/>
              <w:left w:val="single" w:color="auto" w:sz="4" w:space="0"/>
              <w:bottom w:val="single" w:color="auto" w:sz="4" w:space="0"/>
              <w:right w:val="single" w:color="auto" w:sz="4" w:space="0"/>
            </w:tcBorders>
            <w:tcW w:w="6936" w:type="dxa"/>
            <w:vAlign w:val="center"/>
            <w:textDirection w:val="lrTb"/>
            <w:noWrap w:val="false"/>
          </w:tcPr>
          <w:p>
            <w:pPr>
              <w:pStyle w:val="940"/>
              <w:ind w:left="0" w:right="0"/>
              <w:jc w:val="both"/>
              <w:keepLines w:val="0"/>
              <w:keepNext w:val="0"/>
              <w:spacing w:before="0" w:beforeAutospacing="0" w:after="0" w:afterAutospacing="0"/>
              <w:widowControl/>
              <w:rPr>
                <w:rFonts w:hint="default" w:ascii="宋体" w:hAnsi="宋体" w:eastAsia="宋体" w:cs="宋体"/>
                <w:sz w:val="24"/>
                <w:szCs w:val="24"/>
                <w:highlight w:val="none"/>
                <w:lang w:bidi="ar"/>
              </w:rPr>
              <w:suppressLineNumbers w:val="0"/>
            </w:pPr>
            <w:r>
              <w:rPr>
                <w:rFonts w:hint="default" w:ascii="宋体" w:hAnsi="宋体" w:eastAsia="宋体" w:cs="宋体"/>
                <w:sz w:val="24"/>
                <w:szCs w:val="24"/>
                <w:highlight w:val="none"/>
                <w:lang w:bidi="ar"/>
              </w:rPr>
              <w:t xml:space="preserve">投标人提供2026年有效的产品检（验）测报告或证明（第三方检（验）测机构出具的），检（验）测报告或证明品项必须与本采购包投标标的物相符合且检（验）测结果合格，送检单位为供应商或其所投产品厂家。每提供一份得2分，最多得6分。</w:t>
            </w:r>
            <w:r/>
          </w:p>
          <w:p>
            <w:pPr>
              <w:pStyle w:val="940"/>
              <w:ind w:left="0" w:right="0"/>
              <w:jc w:val="both"/>
              <w:keepLines w:val="0"/>
              <w:keepNext w:val="0"/>
              <w:spacing w:before="0" w:beforeAutospacing="0" w:after="0" w:afterAutospacing="0"/>
              <w:widowControl/>
              <w:rPr>
                <w:rFonts w:hint="default" w:ascii="宋体" w:hAnsi="宋体" w:eastAsia="宋体" w:cs="宋体"/>
                <w:sz w:val="24"/>
                <w:szCs w:val="24"/>
                <w:highlight w:val="none"/>
                <w:lang w:bidi="ar"/>
              </w:rPr>
              <w:suppressLineNumbers w:val="0"/>
            </w:pPr>
            <w:r>
              <w:rPr>
                <w:rFonts w:hint="default" w:ascii="宋体" w:hAnsi="宋体" w:eastAsia="宋体" w:cs="宋体"/>
                <w:b/>
                <w:sz w:val="24"/>
                <w:szCs w:val="24"/>
                <w:highlight w:val="none"/>
                <w:lang w:bidi="ar"/>
              </w:rPr>
              <w:t xml:space="preserve">（提供有效检（验）测报告或证明加盖投标单位公章）</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right="0"/>
              <w:jc w:val="center"/>
              <w:keepLines w:val="0"/>
              <w:keepNext w:val="0"/>
              <w:spacing w:before="100" w:beforeAutospacing="1"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6分</w:t>
            </w:r>
            <w:r/>
          </w:p>
        </w:tc>
      </w:tr>
      <w:tr>
        <w:trPr>
          <w:jc w:val="center"/>
          <w:trHeight w:val="580"/>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100" w:beforeAutospacing="1" w:after="0" w:afterAutospacing="0"/>
              <w:widowControl/>
              <w:rPr>
                <w:rFonts w:hint="default" w:ascii="宋体" w:hAnsi="宋体" w:eastAsia="宋体" w:cs="宋体"/>
                <w:b/>
                <w:sz w:val="24"/>
                <w:szCs w:val="24"/>
                <w:highlight w:val="none"/>
              </w:rPr>
              <w:suppressLineNumbers w:val="0"/>
            </w:pPr>
            <w:r>
              <w:rPr>
                <w:rFonts w:hint="default" w:ascii="宋体" w:hAnsi="宋体" w:eastAsia="宋体" w:cs="宋体"/>
                <w:b/>
                <w:sz w:val="24"/>
                <w:szCs w:val="24"/>
                <w:highlight w:val="none"/>
                <w:lang w:bidi="ar"/>
              </w:rPr>
              <w:t xml:space="preserve">企业业绩及满意度证明</w:t>
            </w:r>
            <w:r/>
          </w:p>
        </w:tc>
        <w:tc>
          <w:tcPr>
            <w:tcBorders>
              <w:top w:val="single" w:color="auto" w:sz="4" w:space="0"/>
              <w:left w:val="single" w:color="auto" w:sz="4" w:space="0"/>
              <w:bottom w:val="single" w:color="auto" w:sz="4" w:space="0"/>
              <w:right w:val="single" w:color="auto" w:sz="4" w:space="0"/>
            </w:tcBorders>
            <w:tcW w:w="6936" w:type="dxa"/>
            <w:vAlign w:val="center"/>
            <w:textDirection w:val="lrTb"/>
            <w:noWrap w:val="false"/>
          </w:tcPr>
          <w:p>
            <w:pPr>
              <w:numPr>
                <w:ilvl w:val="0"/>
                <w:numId w:val="13"/>
              </w:numPr>
              <w:ind w:left="0" w:right="0"/>
              <w:jc w:val="left"/>
              <w:keepLines w:val="0"/>
              <w:keepNext w:val="0"/>
              <w:spacing w:before="0" w:beforeAutospacing="0" w:after="0" w:afterAutospacing="0"/>
              <w:widowControl/>
              <w:rPr>
                <w:rFonts w:hint="default" w:ascii="宋体" w:hAnsi="宋体" w:eastAsia="宋体" w:cs="宋体"/>
                <w:sz w:val="24"/>
                <w:szCs w:val="24"/>
                <w:highlight w:val="none"/>
                <w:lang w:bidi="ar"/>
              </w:rPr>
              <w:suppressLineNumbers w:val="0"/>
            </w:pPr>
            <w:r>
              <w:rPr>
                <w:rFonts w:hint="default" w:ascii="宋体" w:hAnsi="宋体" w:eastAsia="宋体" w:cs="宋体"/>
                <w:sz w:val="24"/>
                <w:szCs w:val="24"/>
                <w:highlight w:val="none"/>
                <w:lang w:bidi="ar"/>
              </w:rPr>
              <w:t xml:space="preserve">投标人自2023年01月01日（含）以来，具有同类业绩的每提供一个得2分，最高可得8分。（以合同签订时间为准，需提供合同复印件，提供的合同须体现相关内容，未提供或不符合要求不得分，</w:t>
            </w:r>
            <w:r>
              <w:rPr>
                <w:rFonts w:hint="default" w:ascii="宋体" w:hAnsi="宋体" w:eastAsia="宋体" w:cs="宋体"/>
                <w:b/>
                <w:sz w:val="24"/>
                <w:szCs w:val="24"/>
                <w:highlight w:val="none"/>
                <w:lang w:bidi="ar"/>
              </w:rPr>
              <w:t xml:space="preserve">同一单位业绩不重复计分</w:t>
            </w:r>
            <w:r>
              <w:rPr>
                <w:rFonts w:hint="default" w:ascii="宋体" w:hAnsi="宋体" w:eastAsia="宋体" w:cs="宋体"/>
                <w:sz w:val="24"/>
                <w:szCs w:val="24"/>
                <w:highlight w:val="none"/>
                <w:lang w:bidi="ar"/>
              </w:rPr>
              <w:t xml:space="preserve">）。</w:t>
            </w:r>
            <w:r/>
          </w:p>
          <w:p>
            <w:pPr>
              <w:numPr>
                <w:ilvl w:val="0"/>
                <w:numId w:val="0"/>
              </w:numPr>
              <w:ind w:left="0" w:right="0"/>
              <w:jc w:val="left"/>
              <w:keepLines w:val="0"/>
              <w:keepNext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2、投标人提供自2023年01月01日（含）以来，以上同类项目业绩使用单位或业主主要使用部门满意度评价为优秀或非常满意或打分9</w:t>
            </w:r>
            <w:r>
              <w:rPr>
                <w:rFonts w:hint="eastAsia" w:ascii="宋体" w:hAnsi="宋体" w:cs="宋体"/>
                <w:sz w:val="24"/>
                <w:szCs w:val="24"/>
                <w:highlight w:val="none"/>
                <w:lang w:val="en-US" w:eastAsia="zh-CN" w:bidi="ar"/>
              </w:rPr>
              <w:t xml:space="preserve">0</w:t>
            </w:r>
            <w:r>
              <w:rPr>
                <w:rFonts w:hint="default" w:ascii="宋体" w:hAnsi="宋体" w:eastAsia="宋体" w:cs="宋体"/>
                <w:sz w:val="24"/>
                <w:szCs w:val="24"/>
                <w:highlight w:val="none"/>
                <w:lang w:bidi="ar"/>
              </w:rPr>
              <w:t xml:space="preserve">分及以上的评价意见证明，每提供一份得1分，最高得4分。</w:t>
            </w:r>
            <w:r/>
          </w:p>
          <w:p>
            <w:pPr>
              <w:ind w:left="0" w:right="0"/>
              <w:jc w:val="left"/>
              <w:keepLines w:val="0"/>
              <w:keepNext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（提供使用单位或业主主要使用部门评价为优秀或非常满意或打分95分及以上的评价意见证明复印件并加盖投标单位公章，证明材料内须有业主公章或业主主要使用部门章，未提供或未按要求提供不得分，</w:t>
            </w:r>
            <w:r>
              <w:rPr>
                <w:rFonts w:hint="default" w:ascii="宋体" w:hAnsi="宋体" w:eastAsia="宋体" w:cs="宋体"/>
                <w:b/>
                <w:sz w:val="24"/>
                <w:szCs w:val="24"/>
                <w:highlight w:val="none"/>
                <w:lang w:bidi="ar"/>
              </w:rPr>
              <w:t xml:space="preserve">同一单位只计一次</w:t>
            </w:r>
            <w:r>
              <w:rPr>
                <w:rFonts w:hint="default" w:ascii="宋体" w:hAnsi="宋体" w:eastAsia="宋体" w:cs="宋体"/>
                <w:sz w:val="24"/>
                <w:szCs w:val="24"/>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right="0"/>
              <w:jc w:val="center"/>
              <w:keepLines w:val="0"/>
              <w:keepNext w:val="0"/>
              <w:spacing w:before="100" w:beforeAutospacing="1"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12分</w:t>
            </w:r>
            <w:r/>
          </w:p>
        </w:tc>
      </w:tr>
      <w:tr>
        <w:trPr>
          <w:jc w:val="center"/>
          <w:trHeight w:val="4176"/>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100" w:beforeAutospacing="1" w:after="0" w:afterAutospacing="0"/>
              <w:widowControl/>
              <w:rPr>
                <w:rFonts w:hint="default" w:ascii="宋体" w:hAnsi="宋体" w:eastAsia="宋体" w:cs="宋体"/>
                <w:b/>
                <w:sz w:val="24"/>
                <w:szCs w:val="24"/>
                <w:highlight w:val="none"/>
              </w:rPr>
              <w:suppressLineNumbers w:val="0"/>
            </w:pPr>
            <w:r>
              <w:rPr>
                <w:rFonts w:hint="default" w:ascii="宋体" w:hAnsi="宋体" w:eastAsia="宋体" w:cs="宋体"/>
                <w:b/>
                <w:sz w:val="24"/>
                <w:szCs w:val="24"/>
                <w:highlight w:val="none"/>
                <w:lang w:bidi="ar"/>
              </w:rPr>
              <w:t xml:space="preserve">仓储能力</w:t>
            </w:r>
            <w:r/>
          </w:p>
        </w:tc>
        <w:tc>
          <w:tcPr>
            <w:tcBorders>
              <w:top w:val="single" w:color="auto" w:sz="4" w:space="0"/>
              <w:left w:val="single" w:color="auto" w:sz="4" w:space="0"/>
              <w:bottom w:val="single" w:color="auto" w:sz="4" w:space="0"/>
              <w:right w:val="single" w:color="auto" w:sz="4" w:space="0"/>
            </w:tcBorders>
            <w:tcW w:w="693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4"/>
                <w:szCs w:val="24"/>
                <w:highlight w:val="none"/>
                <w:lang w:eastAsia="zh-CN" w:bidi="ar"/>
              </w:rPr>
              <w:suppressLineNumbers w:val="0"/>
            </w:pPr>
            <w:r>
              <w:rPr>
                <w:rFonts w:hint="default" w:ascii="宋体" w:hAnsi="宋体" w:eastAsia="宋体" w:cs="宋体"/>
                <w:sz w:val="24"/>
                <w:szCs w:val="24"/>
                <w:highlight w:val="none"/>
                <w:lang w:bidi="ar"/>
              </w:rPr>
              <w:t xml:space="preserve">投标人有固定的仓储场所，能够满足食材存放、分拣等工作需要</w:t>
            </w:r>
            <w:r>
              <w:rPr>
                <w:rFonts w:hint="eastAsia" w:ascii="宋体" w:hAnsi="宋体" w:cs="宋体"/>
                <w:sz w:val="24"/>
                <w:szCs w:val="24"/>
                <w:highlight w:val="none"/>
                <w:lang w:eastAsia="zh-CN" w:bidi="ar"/>
              </w:rPr>
              <w:t xml:space="preserve">：</w:t>
            </w:r>
            <w:r/>
          </w:p>
          <w:p>
            <w:pPr>
              <w:ind w:left="0" w:right="0"/>
              <w:jc w:val="left"/>
              <w:keepLines w:val="0"/>
              <w:keepNext w:val="0"/>
              <w:spacing w:before="0" w:beforeAutospacing="0" w:after="0" w:afterAutospacing="0"/>
              <w:widowControl/>
              <w:rPr>
                <w:rFonts w:hint="default" w:ascii="宋体" w:hAnsi="宋体" w:eastAsia="宋体" w:cs="宋体"/>
                <w:sz w:val="24"/>
                <w:szCs w:val="24"/>
                <w:highlight w:val="none"/>
                <w:lang w:bidi="ar"/>
              </w:rPr>
              <w:suppressLineNumbers w:val="0"/>
            </w:pPr>
            <w:r>
              <w:rPr>
                <w:rFonts w:hint="default" w:ascii="宋体" w:hAnsi="宋体" w:eastAsia="宋体" w:cs="宋体"/>
                <w:sz w:val="24"/>
                <w:szCs w:val="24"/>
                <w:highlight w:val="none"/>
                <w:lang w:bidi="ar"/>
              </w:rPr>
              <w:t xml:space="preserve">面积100平方米（含）</w:t>
            </w:r>
            <w:r>
              <w:rPr>
                <w:rFonts w:hint="eastAsia" w:ascii="宋体" w:hAnsi="宋体" w:cs="宋体"/>
                <w:sz w:val="24"/>
                <w:szCs w:val="24"/>
                <w:highlight w:val="none"/>
                <w:lang w:val="en-US" w:eastAsia="zh-CN" w:bidi="ar"/>
              </w:rPr>
              <w:t xml:space="preserve">以上</w:t>
            </w:r>
            <w:r>
              <w:rPr>
                <w:rFonts w:hint="default" w:ascii="宋体" w:hAnsi="宋体" w:eastAsia="宋体" w:cs="宋体"/>
                <w:sz w:val="24"/>
                <w:szCs w:val="24"/>
                <w:highlight w:val="none"/>
                <w:lang w:bidi="ar"/>
              </w:rPr>
              <w:t xml:space="preserve">得3分；</w:t>
            </w:r>
            <w:r/>
          </w:p>
          <w:p>
            <w:pPr>
              <w:ind w:left="0" w:right="0"/>
              <w:jc w:val="left"/>
              <w:keepLines w:val="0"/>
              <w:keepNext w:val="0"/>
              <w:spacing w:before="0" w:beforeAutospacing="0" w:after="0" w:afterAutospacing="0"/>
              <w:widowControl/>
              <w:rPr>
                <w:rFonts w:hint="default" w:ascii="宋体" w:hAnsi="宋体" w:eastAsia="宋体" w:cs="宋体"/>
                <w:sz w:val="24"/>
                <w:szCs w:val="24"/>
                <w:highlight w:val="none"/>
                <w:lang w:bidi="ar"/>
              </w:rPr>
              <w:suppressLineNumbers w:val="0"/>
            </w:pPr>
            <w:r>
              <w:rPr>
                <w:rFonts w:hint="default" w:ascii="宋体" w:hAnsi="宋体" w:eastAsia="宋体" w:cs="宋体"/>
                <w:sz w:val="24"/>
                <w:szCs w:val="24"/>
                <w:highlight w:val="none"/>
                <w:lang w:bidi="ar"/>
              </w:rPr>
              <w:t xml:space="preserve">面积50平方米（含）-100平方米（不含）得2分；</w:t>
            </w:r>
            <w:r/>
          </w:p>
          <w:p>
            <w:pPr>
              <w:ind w:left="0" w:right="0"/>
              <w:jc w:val="left"/>
              <w:keepLines w:val="0"/>
              <w:keepNext w:val="0"/>
              <w:spacing w:before="0" w:beforeAutospacing="0" w:after="0" w:afterAutospacing="0"/>
              <w:widowControl/>
              <w:rPr>
                <w:rFonts w:hint="default" w:ascii="宋体" w:hAnsi="宋体" w:eastAsia="宋体" w:cs="宋体"/>
                <w:sz w:val="24"/>
                <w:szCs w:val="24"/>
                <w:highlight w:val="none"/>
                <w:lang w:bidi="ar"/>
              </w:rPr>
              <w:suppressLineNumbers w:val="0"/>
            </w:pPr>
            <w:r>
              <w:rPr>
                <w:rFonts w:hint="default" w:ascii="宋体" w:hAnsi="宋体" w:eastAsia="宋体" w:cs="宋体"/>
                <w:sz w:val="24"/>
                <w:szCs w:val="24"/>
                <w:highlight w:val="none"/>
                <w:lang w:bidi="ar"/>
              </w:rPr>
              <w:t xml:space="preserve">面积50平方米（不含）以下得1分；</w:t>
            </w:r>
            <w:r/>
          </w:p>
          <w:p>
            <w:pPr>
              <w:ind w:left="0" w:right="0"/>
              <w:jc w:val="left"/>
              <w:keepLines w:val="0"/>
              <w:keepNext w:val="0"/>
              <w:spacing w:before="0" w:beforeAutospacing="0" w:after="0" w:afterAutospacing="0"/>
              <w:widowControl/>
              <w:rPr>
                <w:rFonts w:hint="default" w:ascii="宋体" w:hAnsi="宋体" w:eastAsia="宋体" w:cs="宋体"/>
                <w:sz w:val="24"/>
                <w:szCs w:val="24"/>
                <w:highlight w:val="none"/>
                <w:lang w:bidi="ar"/>
              </w:rPr>
              <w:suppressLineNumbers w:val="0"/>
            </w:pPr>
            <w:r>
              <w:rPr>
                <w:rFonts w:hint="default" w:ascii="宋体" w:hAnsi="宋体" w:eastAsia="宋体" w:cs="宋体"/>
                <w:sz w:val="24"/>
                <w:szCs w:val="24"/>
                <w:highlight w:val="none"/>
                <w:lang w:bidi="ar"/>
              </w:rPr>
            </w:r>
            <w:r/>
          </w:p>
          <w:p>
            <w:pPr>
              <w:ind w:left="0" w:right="0"/>
              <w:jc w:val="left"/>
              <w:keepLines w:val="0"/>
              <w:keepNext w:val="0"/>
              <w:spacing w:before="0" w:beforeAutospacing="0" w:after="0" w:afterAutospacing="0"/>
              <w:widowControl/>
              <w:rPr>
                <w:rFonts w:hint="default" w:ascii="宋体" w:hAnsi="宋体" w:eastAsia="宋体" w:cs="宋体"/>
                <w:sz w:val="24"/>
                <w:szCs w:val="24"/>
                <w:highlight w:val="none"/>
                <w:lang w:bidi="ar"/>
              </w:rPr>
              <w:suppressLineNumbers w:val="0"/>
            </w:pPr>
            <w:r>
              <w:rPr>
                <w:rFonts w:hint="default" w:ascii="宋体" w:hAnsi="宋体" w:eastAsia="宋体" w:cs="宋体"/>
                <w:sz w:val="24"/>
                <w:szCs w:val="24"/>
                <w:highlight w:val="none"/>
                <w:lang w:bidi="ar"/>
              </w:rPr>
              <w:t xml:space="preserve">须提供以下任意一条的证明材料：</w:t>
            </w:r>
            <w:r/>
          </w:p>
          <w:p>
            <w:pPr>
              <w:ind w:left="0" w:right="0"/>
              <w:jc w:val="left"/>
              <w:keepLines w:val="0"/>
              <w:keepNext w:val="0"/>
              <w:spacing w:before="0" w:beforeAutospacing="0" w:after="0" w:afterAutospacing="0"/>
              <w:widowControl/>
              <w:rPr>
                <w:rFonts w:hint="default" w:ascii="宋体" w:hAnsi="宋体" w:eastAsia="宋体" w:cs="宋体"/>
                <w:sz w:val="24"/>
                <w:szCs w:val="24"/>
                <w:highlight w:val="none"/>
                <w:lang w:bidi="ar"/>
              </w:rPr>
              <w:suppressLineNumbers w:val="0"/>
            </w:pPr>
            <w:r>
              <w:rPr>
                <w:rFonts w:hint="default" w:ascii="宋体" w:hAnsi="宋体" w:eastAsia="宋体" w:cs="宋体"/>
                <w:sz w:val="24"/>
                <w:szCs w:val="24"/>
                <w:highlight w:val="none"/>
                <w:lang w:bidi="ar"/>
              </w:rPr>
              <w:t xml:space="preserve">1.如为自有产权的须提供自有产权证明复印件及仓储场所现场照片加盖投标单位公章；</w:t>
            </w:r>
            <w:r/>
          </w:p>
          <w:p>
            <w:pPr>
              <w:ind w:left="0" w:right="0"/>
              <w:jc w:val="left"/>
              <w:keepLines w:val="0"/>
              <w:keepNext w:val="0"/>
              <w:spacing w:before="0" w:beforeAutospacing="0" w:after="0" w:afterAutospacing="0"/>
              <w:widowControl/>
              <w:rPr>
                <w:rFonts w:hint="default" w:ascii="宋体" w:hAnsi="宋体" w:eastAsia="宋体" w:cs="宋体"/>
                <w:sz w:val="24"/>
                <w:szCs w:val="24"/>
                <w:highlight w:val="none"/>
                <w:lang w:bidi="ar"/>
              </w:rPr>
              <w:suppressLineNumbers w:val="0"/>
            </w:pPr>
            <w:r>
              <w:rPr>
                <w:rFonts w:hint="default" w:ascii="宋体" w:hAnsi="宋体" w:eastAsia="宋体" w:cs="宋体"/>
                <w:sz w:val="24"/>
                <w:szCs w:val="24"/>
                <w:highlight w:val="none"/>
                <w:lang w:bidi="ar"/>
              </w:rPr>
              <w:t xml:space="preserve">2.如为租赁的，</w:t>
            </w:r>
            <w:r>
              <w:rPr>
                <w:rFonts w:hint="default" w:ascii="宋体" w:hAnsi="宋体" w:eastAsia="宋体" w:cs="宋体"/>
                <w:b/>
                <w:sz w:val="24"/>
                <w:szCs w:val="24"/>
                <w:highlight w:val="none"/>
                <w:lang w:bidi="ar"/>
              </w:rPr>
              <w:t xml:space="preserve">须提供租赁期内任意一次付款发票</w:t>
            </w:r>
            <w:r>
              <w:rPr>
                <w:rFonts w:hint="default" w:ascii="宋体" w:hAnsi="宋体" w:eastAsia="宋体" w:cs="宋体"/>
                <w:sz w:val="24"/>
                <w:szCs w:val="24"/>
                <w:highlight w:val="none"/>
                <w:lang w:bidi="ar"/>
              </w:rPr>
              <w:t xml:space="preserve">或汇款凭证、租赁合同证明复印件以及仓储场所现场照片加盖投标单位公章；合同须在有效期内，租赁期限不得短于2027年6月，如无法覆盖本项目周期（三年）的，还须提供到期续签的承诺书加盖投标单位公章，格式自拟。</w:t>
            </w:r>
            <w:r/>
          </w:p>
          <w:p>
            <w:pPr>
              <w:ind w:left="0" w:right="0"/>
              <w:jc w:val="left"/>
              <w:keepLines w:val="0"/>
              <w:keepNext w:val="0"/>
              <w:spacing w:before="0" w:beforeAutospacing="0" w:after="0" w:afterAutospacing="0"/>
              <w:widowControl/>
              <w:rPr>
                <w:rFonts w:hint="default" w:ascii="宋体" w:hAnsi="宋体" w:eastAsia="宋体" w:cs="宋体"/>
                <w:sz w:val="24"/>
                <w:szCs w:val="24"/>
                <w:highlight w:val="none"/>
                <w:lang w:bidi="ar"/>
              </w:rPr>
              <w:suppressLineNumbers w:val="0"/>
            </w:pPr>
            <w:r>
              <w:rPr>
                <w:rFonts w:hint="default" w:ascii="宋体" w:hAnsi="宋体" w:eastAsia="宋体" w:cs="宋体"/>
                <w:sz w:val="24"/>
                <w:szCs w:val="24"/>
                <w:highlight w:val="none"/>
                <w:lang w:bidi="ar"/>
              </w:rPr>
            </w:r>
            <w:r/>
          </w:p>
          <w:p>
            <w:pPr>
              <w:ind w:left="0" w:right="0"/>
              <w:jc w:val="left"/>
              <w:keepLines w:val="0"/>
              <w:keepNext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未提交或漏提交证明材料或者专家无法认定的不得分。</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right="0"/>
              <w:jc w:val="center"/>
              <w:keepLines w:val="0"/>
              <w:keepNext w:val="0"/>
              <w:spacing w:before="100" w:beforeAutospacing="1"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3分</w:t>
            </w:r>
            <w:r/>
          </w:p>
        </w:tc>
      </w:tr>
      <w:tr>
        <w:trPr>
          <w:jc w:val="center"/>
          <w:trHeight w:val="5284"/>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100" w:beforeAutospacing="1" w:after="0" w:afterAutospacing="0"/>
              <w:widowControl/>
              <w:rPr>
                <w:rFonts w:hint="default" w:ascii="宋体" w:hAnsi="宋体" w:eastAsia="宋体" w:cs="宋体"/>
                <w:b/>
                <w:sz w:val="24"/>
                <w:szCs w:val="24"/>
                <w:highlight w:val="none"/>
              </w:rPr>
              <w:suppressLineNumbers w:val="0"/>
            </w:pPr>
            <w:r>
              <w:rPr>
                <w:rFonts w:hint="default" w:ascii="宋体" w:hAnsi="宋体" w:eastAsia="宋体" w:cs="宋体"/>
                <w:b/>
                <w:sz w:val="24"/>
                <w:szCs w:val="24"/>
                <w:highlight w:val="none"/>
                <w:lang w:bidi="ar"/>
              </w:rPr>
              <w:t xml:space="preserve">配送车辆</w:t>
            </w:r>
            <w:r/>
          </w:p>
        </w:tc>
        <w:tc>
          <w:tcPr>
            <w:tcBorders>
              <w:top w:val="single" w:color="auto" w:sz="4" w:space="0"/>
              <w:left w:val="single" w:color="auto" w:sz="4" w:space="0"/>
              <w:bottom w:val="single" w:color="auto" w:sz="4" w:space="0"/>
              <w:right w:val="single" w:color="auto" w:sz="4" w:space="0"/>
            </w:tcBorders>
            <w:tcW w:w="693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4"/>
                <w:szCs w:val="24"/>
                <w:highlight w:val="none"/>
                <w:lang w:bidi="ar"/>
              </w:rPr>
              <w:suppressLineNumbers w:val="0"/>
            </w:pPr>
            <w:r>
              <w:rPr>
                <w:rFonts w:hint="default" w:ascii="宋体" w:hAnsi="宋体" w:eastAsia="宋体" w:cs="宋体"/>
                <w:sz w:val="24"/>
                <w:szCs w:val="24"/>
                <w:highlight w:val="none"/>
                <w:lang w:bidi="ar"/>
              </w:rPr>
              <w:t xml:space="preserve">投标人提供拟投入本项目配送服务的厢式车辆，每提供一辆得2分，最高得4分。</w:t>
            </w:r>
            <w:r/>
          </w:p>
          <w:p>
            <w:pPr>
              <w:ind w:left="0" w:right="0"/>
              <w:jc w:val="left"/>
              <w:keepLines w:val="0"/>
              <w:keepNext w:val="0"/>
              <w:spacing w:before="0" w:beforeAutospacing="0" w:after="0" w:afterAutospacing="0"/>
              <w:widowControl/>
              <w:rPr>
                <w:rFonts w:hint="default" w:ascii="宋体" w:hAnsi="宋体" w:eastAsia="宋体" w:cs="宋体"/>
                <w:sz w:val="24"/>
                <w:szCs w:val="24"/>
                <w:highlight w:val="none"/>
                <w:lang w:bidi="ar"/>
              </w:rPr>
              <w:suppressLineNumbers w:val="0"/>
            </w:pPr>
            <w:r>
              <w:rPr>
                <w:rFonts w:hint="default" w:ascii="宋体" w:hAnsi="宋体" w:eastAsia="宋体" w:cs="宋体"/>
                <w:sz w:val="24"/>
                <w:szCs w:val="24"/>
                <w:highlight w:val="none"/>
                <w:lang w:bidi="ar"/>
              </w:rPr>
            </w:r>
            <w:r/>
          </w:p>
          <w:p>
            <w:pPr>
              <w:pStyle w:val="940"/>
              <w:ind w:left="0" w:right="0"/>
              <w:keepLines w:val="0"/>
              <w:keepNext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须提供证明材料，未提供或未按要求提供不得分：</w:t>
            </w:r>
            <w:r/>
          </w:p>
          <w:p>
            <w:pPr>
              <w:pStyle w:val="940"/>
              <w:ind w:left="0" w:right="0"/>
              <w:keepLines w:val="0"/>
              <w:keepNext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注：1.若为自有车辆须提供有效期内的车辆行驶证复印件（行驶证登记的所有人须为投标人或法人（含自然人））或购车发票复印件（购买方须为投标人）及车辆整体、车牌信息完整清晰照片加盖投标单位公章；</w:t>
            </w:r>
            <w:r/>
          </w:p>
          <w:p>
            <w:pPr>
              <w:pStyle w:val="940"/>
              <w:ind w:left="0" w:right="0"/>
              <w:keepLines w:val="0"/>
              <w:keepNext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2.若为租赁车辆须提供租赁合同复印件（须包含租赁车辆车牌号，承租方须为投标人）、</w:t>
            </w:r>
            <w:r>
              <w:rPr>
                <w:rFonts w:hint="default" w:ascii="宋体" w:hAnsi="宋体" w:eastAsia="宋体" w:cs="宋体"/>
                <w:b/>
                <w:sz w:val="24"/>
                <w:szCs w:val="24"/>
                <w:highlight w:val="none"/>
                <w:lang w:bidi="ar"/>
              </w:rPr>
              <w:t xml:space="preserve">租赁期内任意一次付款发票，</w:t>
            </w:r>
            <w:r>
              <w:rPr>
                <w:rFonts w:hint="default" w:ascii="宋体" w:hAnsi="宋体" w:eastAsia="宋体" w:cs="宋体"/>
                <w:sz w:val="24"/>
                <w:szCs w:val="24"/>
                <w:highlight w:val="none"/>
                <w:lang w:bidi="ar"/>
              </w:rPr>
              <w:t xml:space="preserve">加盖投标单位公章，合同需在有效期内，租赁期限不得短于2027年6月，如无法覆盖本项目周期（三年）的，还须提供到期续签的承诺书加盖投标单位公章，格式自拟，未提供或未按要求提供不得分。</w:t>
            </w:r>
            <w:r/>
          </w:p>
          <w:p>
            <w:pPr>
              <w:ind w:left="0" w:right="0"/>
              <w:jc w:val="left"/>
              <w:keepLines w:val="0"/>
              <w:keepNext w:val="0"/>
              <w:spacing w:before="0" w:beforeAutospacing="0" w:after="0" w:afterAutospacing="0"/>
              <w:widowControl/>
              <w:rPr>
                <w:rFonts w:hint="default" w:ascii="宋体" w:hAnsi="宋体" w:eastAsia="宋体" w:cs="宋体"/>
                <w:sz w:val="24"/>
                <w:szCs w:val="24"/>
                <w:highlight w:val="none"/>
                <w:lang w:bidi="ar"/>
              </w:rPr>
              <w:suppressLineNumbers w:val="0"/>
            </w:pPr>
            <w:r>
              <w:rPr>
                <w:rFonts w:hint="default" w:ascii="宋体" w:hAnsi="宋体" w:eastAsia="宋体" w:cs="宋体"/>
                <w:sz w:val="24"/>
                <w:szCs w:val="24"/>
                <w:highlight w:val="none"/>
                <w:lang w:bidi="ar"/>
              </w:rPr>
              <w:t xml:space="preserve">3.投标人须承诺本项得分的车辆与中标后实际配送车辆一致，提供承诺书（格式自拟）原件加盖投标人公章。</w:t>
            </w:r>
            <w:r/>
          </w:p>
          <w:p>
            <w:pPr>
              <w:ind w:left="0" w:right="0"/>
              <w:jc w:val="left"/>
              <w:keepLines w:val="0"/>
              <w:keepNext w:val="0"/>
              <w:spacing w:before="0" w:beforeAutospacing="0" w:after="0" w:afterAutospacing="0"/>
              <w:widowControl/>
              <w:rPr>
                <w:rFonts w:hint="default" w:ascii="宋体" w:hAnsi="宋体" w:eastAsia="宋体" w:cs="宋体"/>
                <w:sz w:val="24"/>
                <w:szCs w:val="24"/>
                <w:highlight w:val="none"/>
                <w:lang w:bidi="ar"/>
              </w:rPr>
              <w:suppressLineNumbers w:val="0"/>
            </w:pPr>
            <w:r>
              <w:rPr>
                <w:rFonts w:hint="default" w:ascii="宋体" w:hAnsi="宋体" w:eastAsia="宋体" w:cs="宋体"/>
                <w:sz w:val="24"/>
                <w:szCs w:val="24"/>
                <w:highlight w:val="none"/>
                <w:lang w:bidi="ar"/>
              </w:rPr>
            </w:r>
            <w:r/>
          </w:p>
          <w:p>
            <w:pPr>
              <w:ind w:left="0" w:right="0"/>
              <w:jc w:val="left"/>
              <w:keepLines w:val="0"/>
              <w:keepNext w:val="0"/>
              <w:spacing w:before="0" w:beforeAutospacing="0" w:after="0" w:afterAutospacing="0"/>
              <w:widowControl/>
              <w:rPr>
                <w:rFonts w:hint="default" w:ascii="宋体" w:hAnsi="宋体" w:eastAsia="宋体" w:cs="宋体"/>
                <w:sz w:val="24"/>
                <w:szCs w:val="24"/>
                <w:highlight w:val="none"/>
                <w:lang w:bidi="ar"/>
              </w:rPr>
              <w:suppressLineNumbers w:val="0"/>
            </w:pPr>
            <w:r>
              <w:rPr>
                <w:rFonts w:hint="default" w:ascii="宋体" w:hAnsi="宋体" w:eastAsia="宋体" w:cs="宋体"/>
                <w:sz w:val="24"/>
                <w:szCs w:val="24"/>
                <w:highlight w:val="none"/>
                <w:lang w:bidi="ar"/>
              </w:rPr>
              <w:t xml:space="preserve">未提交或漏提交证明材料或者专家无法认定的不得分。</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right="0"/>
              <w:jc w:val="center"/>
              <w:keepLines w:val="0"/>
              <w:keepNext w:val="0"/>
              <w:spacing w:before="100" w:beforeAutospacing="1"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4分</w:t>
            </w:r>
            <w:r/>
          </w:p>
        </w:tc>
      </w:tr>
      <w:tr>
        <w:trPr>
          <w:jc w:val="center"/>
          <w:trHeight w:val="2696"/>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100" w:beforeAutospacing="1" w:after="0" w:afterAutospacing="0"/>
              <w:widowControl/>
              <w:rPr>
                <w:rFonts w:hint="default" w:ascii="宋体" w:hAnsi="宋体" w:eastAsia="宋体" w:cs="宋体"/>
                <w:b/>
                <w:sz w:val="24"/>
                <w:szCs w:val="24"/>
                <w:highlight w:val="none"/>
              </w:rPr>
              <w:suppressLineNumbers w:val="0"/>
            </w:pPr>
            <w:r>
              <w:rPr>
                <w:rFonts w:hint="default" w:ascii="宋体" w:hAnsi="宋体" w:eastAsia="宋体" w:cs="宋体"/>
                <w:b/>
                <w:sz w:val="24"/>
                <w:szCs w:val="24"/>
                <w:highlight w:val="none"/>
                <w:lang w:bidi="ar"/>
              </w:rPr>
              <w:t xml:space="preserve">项目团队</w:t>
            </w:r>
            <w:r/>
          </w:p>
        </w:tc>
        <w:tc>
          <w:tcPr>
            <w:tcBorders>
              <w:top w:val="single" w:color="auto" w:sz="4" w:space="0"/>
              <w:left w:val="single" w:color="auto" w:sz="4" w:space="0"/>
              <w:bottom w:val="single" w:color="auto" w:sz="4" w:space="0"/>
              <w:right w:val="single" w:color="auto" w:sz="4" w:space="0"/>
            </w:tcBorders>
            <w:tcW w:w="693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4"/>
                <w:szCs w:val="24"/>
                <w:highlight w:val="none"/>
                <w:lang w:bidi="ar"/>
              </w:rPr>
              <w:suppressLineNumbers w:val="0"/>
            </w:pPr>
            <w:r>
              <w:rPr>
                <w:rFonts w:hint="default" w:ascii="宋体" w:hAnsi="宋体" w:eastAsia="宋体" w:cs="宋体"/>
                <w:sz w:val="24"/>
                <w:szCs w:val="24"/>
                <w:highlight w:val="none"/>
                <w:lang w:bidi="ar"/>
              </w:rPr>
              <w:t xml:space="preserve">本项目需明确拟投入的团队成员（项目负责人外）不少于4人</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val="en-US" w:eastAsia="zh-CN" w:bidi="ar"/>
              </w:rPr>
              <w:t xml:space="preserve">分包四不少于5人</w:t>
            </w:r>
            <w:r>
              <w:rPr>
                <w:rFonts w:hint="eastAsia" w:ascii="宋体" w:hAnsi="宋体" w:cs="宋体"/>
                <w:sz w:val="24"/>
                <w:szCs w:val="24"/>
                <w:highlight w:val="none"/>
                <w:lang w:eastAsia="zh-CN" w:bidi="ar"/>
              </w:rPr>
              <w:t xml:space="preserve">）</w:t>
            </w:r>
            <w:r>
              <w:rPr>
                <w:rFonts w:hint="default" w:ascii="宋体" w:hAnsi="宋体" w:eastAsia="宋体" w:cs="宋体"/>
                <w:sz w:val="24"/>
                <w:szCs w:val="24"/>
                <w:highlight w:val="none"/>
                <w:lang w:bidi="ar"/>
              </w:rPr>
              <w:t xml:space="preserve">，至少包含食品检验员、食品安全管理员、采购员、配送员（分包四需额外明确驻店人员），配备不全不得分。</w:t>
            </w:r>
            <w:r/>
          </w:p>
          <w:p>
            <w:pPr>
              <w:ind w:left="0" w:right="0"/>
              <w:jc w:val="left"/>
              <w:keepLines w:val="0"/>
              <w:keepNext w:val="0"/>
              <w:spacing w:before="0" w:beforeAutospacing="0" w:after="0" w:afterAutospacing="0"/>
              <w:widowControl/>
              <w:rPr>
                <w:rFonts w:hint="default" w:ascii="宋体" w:hAnsi="宋体" w:eastAsia="宋体" w:cs="宋体"/>
                <w:sz w:val="24"/>
                <w:szCs w:val="24"/>
                <w:highlight w:val="none"/>
                <w:lang w:bidi="ar"/>
              </w:rPr>
              <w:suppressLineNumbers w:val="0"/>
            </w:pPr>
            <w:r>
              <w:rPr>
                <w:rFonts w:hint="default" w:ascii="宋体" w:hAnsi="宋体" w:eastAsia="宋体" w:cs="宋体"/>
                <w:sz w:val="24"/>
                <w:szCs w:val="24"/>
                <w:highlight w:val="none"/>
                <w:lang w:bidi="ar"/>
              </w:rPr>
            </w:r>
            <w:r/>
          </w:p>
          <w:p>
            <w:pPr>
              <w:ind w:left="0" w:right="0"/>
              <w:jc w:val="left"/>
              <w:keepLines w:val="0"/>
              <w:keepNext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投标人需提供人员配置名单，项目负责人及团队成员须是投标人的正式员工，投标人须提供有效期内的健康证、劳动合同、开标前六个月内任一月份的社会保险证明。满足上述要求，并提供相关证明材料复印件，提供不全不得分。本项得4分。</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right="0"/>
              <w:jc w:val="center"/>
              <w:keepLines w:val="0"/>
              <w:keepNext w:val="0"/>
              <w:spacing w:before="100" w:beforeAutospacing="1"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4分</w:t>
            </w:r>
            <w:r/>
          </w:p>
        </w:tc>
      </w:tr>
      <w:tr>
        <w:trPr>
          <w:jc w:val="center"/>
          <w:trHeight w:val="3395"/>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100" w:beforeAutospacing="1" w:after="0" w:afterAutospacing="0"/>
              <w:widowControl/>
              <w:rPr>
                <w:rFonts w:hint="default" w:ascii="宋体" w:hAnsi="宋体" w:eastAsia="宋体" w:cs="宋体"/>
                <w:b/>
                <w:sz w:val="24"/>
                <w:szCs w:val="24"/>
                <w:highlight w:val="none"/>
              </w:rPr>
              <w:suppressLineNumbers w:val="0"/>
            </w:pPr>
            <w:r>
              <w:rPr>
                <w:rFonts w:hint="default" w:ascii="宋体" w:hAnsi="宋体" w:eastAsia="宋体" w:cs="宋体"/>
                <w:b/>
                <w:sz w:val="24"/>
                <w:szCs w:val="24"/>
                <w:highlight w:val="none"/>
                <w:lang w:bidi="ar"/>
              </w:rPr>
              <w:t xml:space="preserve">服务承诺</w:t>
            </w:r>
            <w:r/>
          </w:p>
        </w:tc>
        <w:tc>
          <w:tcPr>
            <w:tcBorders>
              <w:top w:val="single" w:color="auto" w:sz="4" w:space="0"/>
              <w:left w:val="single" w:color="auto" w:sz="4" w:space="0"/>
              <w:bottom w:val="single" w:color="auto" w:sz="4" w:space="0"/>
              <w:right w:val="single" w:color="auto" w:sz="4" w:space="0"/>
            </w:tcBorders>
            <w:tcW w:w="6936" w:type="dxa"/>
            <w:vAlign w:val="center"/>
            <w:textDirection w:val="lrTb"/>
            <w:noWrap w:val="false"/>
          </w:tcPr>
          <w:p>
            <w:pPr>
              <w:pStyle w:val="925"/>
              <w:ind w:left="0" w:right="0"/>
              <w:jc w:val="both"/>
              <w:keepLines w:val="0"/>
              <w:keepNext w:val="0"/>
              <w:spacing w:before="0" w:beforeAutospacing="0" w:after="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rPr>
              <w:t xml:space="preserve">1.投标人承诺价格骤涨时保证先供货再协商调价且保证满足采购人实际订货数量质量的得3分；</w:t>
            </w:r>
            <w:r/>
          </w:p>
          <w:p>
            <w:pPr>
              <w:ind w:left="0" w:right="0"/>
              <w:keepLines w:val="0"/>
              <w:keepNext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2.供应商承诺在履行本项目的全部过程中，因存在质量问题或因质量原因发生的食品安全事故，生产企业主要负责人和相关主管人员必须到现场协商处理，做好善后工作的计2分；</w:t>
            </w:r>
            <w:r/>
          </w:p>
          <w:p>
            <w:pPr>
              <w:pStyle w:val="925"/>
              <w:ind w:left="0" w:right="0"/>
              <w:jc w:val="both"/>
              <w:keepLines w:val="0"/>
              <w:keepNext w:val="0"/>
              <w:spacing w:before="0" w:beforeAutospacing="0" w:after="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rPr>
              <w:t xml:space="preserve">3.供应商承诺在履行本项目的全部过程中，凡出现因质量或配送运输引发的安全事故，投标方将承担全部法律责任和赔偿所有经济损失的计2分。</w:t>
            </w:r>
            <w:r/>
          </w:p>
          <w:p>
            <w:pPr>
              <w:ind w:left="0" w:right="0"/>
              <w:jc w:val="left"/>
              <w:keepLines w:val="0"/>
              <w:keepNext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注：提供承诺书加盖投标单位公章，格式自拟，未提供或不符合要求不得分。</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right="0"/>
              <w:jc w:val="center"/>
              <w:keepLines w:val="0"/>
              <w:keepNext w:val="0"/>
              <w:spacing w:before="100" w:beforeAutospacing="1"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7分</w:t>
            </w:r>
            <w:r/>
          </w:p>
        </w:tc>
      </w:tr>
      <w:tr>
        <w:trPr>
          <w:jc w:val="center"/>
          <w:trHeight w:val="2961"/>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100" w:beforeAutospacing="1" w:after="0" w:afterAutospacing="0"/>
              <w:widowControl/>
              <w:rPr>
                <w:rFonts w:hint="default" w:ascii="宋体" w:hAnsi="宋体" w:eastAsia="宋体" w:cs="宋体"/>
                <w:b/>
                <w:sz w:val="24"/>
                <w:szCs w:val="24"/>
                <w:highlight w:val="none"/>
              </w:rPr>
              <w:suppressLineNumbers w:val="0"/>
            </w:pPr>
            <w:r>
              <w:rPr>
                <w:rFonts w:hint="default" w:ascii="宋体" w:hAnsi="宋体" w:eastAsia="宋体" w:cs="宋体"/>
                <w:b/>
                <w:sz w:val="24"/>
                <w:szCs w:val="24"/>
                <w:highlight w:val="none"/>
                <w:lang w:bidi="ar"/>
              </w:rPr>
              <w:t xml:space="preserve">应急承诺</w:t>
            </w:r>
            <w:r/>
          </w:p>
        </w:tc>
        <w:tc>
          <w:tcPr>
            <w:tcBorders>
              <w:top w:val="single" w:color="auto" w:sz="4" w:space="0"/>
              <w:left w:val="single" w:color="auto" w:sz="4" w:space="0"/>
              <w:bottom w:val="single" w:color="auto" w:sz="4" w:space="0"/>
              <w:right w:val="single" w:color="auto" w:sz="4" w:space="0"/>
            </w:tcBorders>
            <w:tcW w:w="6936"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4"/>
                <w:szCs w:val="24"/>
                <w:highlight w:val="none"/>
                <w:lang w:bidi="ar"/>
              </w:rPr>
              <w:suppressLineNumbers w:val="0"/>
            </w:pPr>
            <w:r>
              <w:rPr>
                <w:rFonts w:hint="default" w:ascii="宋体" w:hAnsi="宋体" w:eastAsia="宋体" w:cs="宋体"/>
                <w:sz w:val="24"/>
                <w:szCs w:val="24"/>
                <w:highlight w:val="none"/>
                <w:lang w:bidi="ar"/>
              </w:rPr>
              <w:t xml:space="preserve">如遇采购人临时调换货物或者增加需求，投标人需在承诺的时间内保质保量完成配送；</w:t>
            </w:r>
            <w:r/>
          </w:p>
          <w:p>
            <w:pPr>
              <w:ind w:left="0" w:right="0"/>
              <w:keepLines w:val="0"/>
              <w:keepNext w:val="0"/>
              <w:spacing w:before="0" w:beforeAutospacing="0" w:after="0" w:afterAutospacing="0"/>
              <w:widowControl/>
              <w:rPr>
                <w:rFonts w:hint="default" w:ascii="宋体" w:hAnsi="宋体" w:eastAsia="宋体" w:cs="宋体"/>
                <w:sz w:val="24"/>
                <w:szCs w:val="24"/>
                <w:highlight w:val="none"/>
                <w:lang w:bidi="ar"/>
              </w:rPr>
              <w:suppressLineNumbers w:val="0"/>
            </w:pPr>
            <w:r>
              <w:rPr>
                <w:rFonts w:hint="default" w:ascii="宋体" w:hAnsi="宋体" w:eastAsia="宋体" w:cs="宋体"/>
                <w:sz w:val="24"/>
                <w:szCs w:val="24"/>
                <w:highlight w:val="none"/>
                <w:lang w:bidi="ar"/>
              </w:rPr>
            </w:r>
            <w:r/>
          </w:p>
          <w:p>
            <w:pPr>
              <w:ind w:left="0" w:right="0"/>
              <w:keepLines w:val="0"/>
              <w:keepNext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30分钟（含）内送达得6分；</w:t>
            </w:r>
            <w:r/>
          </w:p>
          <w:p>
            <w:pPr>
              <w:ind w:left="0" w:right="0"/>
              <w:keepLines w:val="0"/>
              <w:keepNext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30分钟（不含）至60分钟内（含）送达得3分；</w:t>
            </w:r>
            <w:r/>
          </w:p>
          <w:p>
            <w:pPr>
              <w:ind w:left="0" w:right="0"/>
              <w:keepLines w:val="0"/>
              <w:keepNext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60分钟（不含）以上的不得分。如果有额外收取配送费的此项不得分。</w:t>
            </w:r>
            <w:r/>
          </w:p>
          <w:p>
            <w:pPr>
              <w:ind w:left="0" w:right="0"/>
              <w:jc w:val="left"/>
              <w:keepLines w:val="0"/>
              <w:keepNext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注：提供本项承诺书加盖投标单位公章，格式自拟，未提供或不符要求不得分。</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right="0"/>
              <w:jc w:val="center"/>
              <w:keepLines w:val="0"/>
              <w:keepNext w:val="0"/>
              <w:spacing w:before="100" w:beforeAutospacing="1"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6分</w:t>
            </w:r>
            <w:r/>
          </w:p>
        </w:tc>
      </w:tr>
      <w:tr>
        <w:trPr>
          <w:jc w:val="center"/>
          <w:trHeight w:val="2821"/>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100" w:beforeAutospacing="1" w:after="0" w:afterAutospacing="0"/>
              <w:widowControl/>
              <w:rPr>
                <w:rFonts w:hint="default" w:ascii="宋体" w:hAnsi="宋体" w:eastAsia="宋体" w:cs="宋体"/>
                <w:b/>
                <w:sz w:val="24"/>
                <w:szCs w:val="24"/>
                <w:highlight w:val="none"/>
                <w:shd w:val="clear" w:color="auto" w:fill="f2ba02"/>
              </w:rPr>
              <w:suppressLineNumbers w:val="0"/>
            </w:pPr>
            <w:r>
              <w:rPr>
                <w:rFonts w:hint="default" w:ascii="宋体" w:hAnsi="宋体" w:eastAsia="宋体" w:cs="宋体"/>
                <w:b/>
                <w:sz w:val="24"/>
                <w:szCs w:val="24"/>
                <w:highlight w:val="none"/>
                <w:lang w:bidi="ar"/>
              </w:rPr>
              <w:t xml:space="preserve">配送管理方案</w:t>
            </w:r>
            <w:r/>
          </w:p>
        </w:tc>
        <w:tc>
          <w:tcPr>
            <w:tcBorders>
              <w:top w:val="single" w:color="auto" w:sz="4" w:space="0"/>
              <w:left w:val="single" w:color="auto" w:sz="4" w:space="0"/>
              <w:bottom w:val="single" w:color="auto" w:sz="4" w:space="0"/>
              <w:right w:val="single" w:color="auto" w:sz="4" w:space="0"/>
            </w:tcBorders>
            <w:tcW w:w="693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4"/>
                <w:szCs w:val="24"/>
                <w:highlight w:val="none"/>
                <w:lang w:bidi="ar"/>
              </w:rPr>
              <w:suppressLineNumbers w:val="0"/>
            </w:pPr>
            <w:r>
              <w:rPr>
                <w:rFonts w:hint="default" w:ascii="宋体" w:hAnsi="宋体" w:eastAsia="宋体" w:cs="宋体"/>
                <w:sz w:val="24"/>
                <w:szCs w:val="24"/>
                <w:highlight w:val="none"/>
                <w:lang w:bidi="ar"/>
              </w:rPr>
              <w:t xml:space="preserve">根据投标人提供的配送管理方案（包括但不限于服务流程、订单处理和分拣、运输及装卸标准、配送路线和人员安排、配送过程中安全保障措施）进行综合评分：</w:t>
            </w:r>
            <w:r/>
          </w:p>
          <w:p>
            <w:pPr>
              <w:ind w:left="0" w:right="0"/>
              <w:jc w:val="left"/>
              <w:keepLines w:val="0"/>
              <w:keepNext w:val="0"/>
              <w:spacing w:before="0" w:beforeAutospacing="0" w:after="0" w:afterAutospacing="0"/>
              <w:widowControl/>
              <w:rPr>
                <w:rFonts w:hint="default" w:ascii="宋体" w:hAnsi="宋体" w:eastAsia="宋体" w:cs="宋体"/>
                <w:sz w:val="24"/>
                <w:szCs w:val="24"/>
                <w:highlight w:val="none"/>
                <w:lang w:bidi="ar"/>
              </w:rPr>
              <w:suppressLineNumbers w:val="0"/>
            </w:pPr>
            <w:r>
              <w:rPr>
                <w:rFonts w:hint="default" w:ascii="宋体" w:hAnsi="宋体" w:eastAsia="宋体" w:cs="宋体"/>
                <w:sz w:val="24"/>
                <w:szCs w:val="24"/>
                <w:highlight w:val="none"/>
                <w:lang w:bidi="ar"/>
              </w:rPr>
            </w:r>
            <w:r/>
          </w:p>
          <w:p>
            <w:pPr>
              <w:ind w:left="0" w:right="0"/>
              <w:jc w:val="left"/>
              <w:keepLines w:val="0"/>
              <w:keepNext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1.方案全面合理、操作性强，优于采购文件要求得7分；</w:t>
            </w:r>
            <w:r/>
          </w:p>
          <w:p>
            <w:pPr>
              <w:ind w:left="0" w:right="0"/>
              <w:jc w:val="left"/>
              <w:keepLines w:val="0"/>
              <w:keepNext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2.方案较全面合理、操作性较强，满足采购文件要求得5分；</w:t>
            </w:r>
            <w:r/>
          </w:p>
          <w:p>
            <w:pPr>
              <w:ind w:left="0" w:right="0"/>
              <w:jc w:val="left"/>
              <w:keepLines w:val="0"/>
              <w:keepNext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3.方案一般、操作性一般，低于采购文件要求得3分；</w:t>
            </w:r>
            <w:r/>
          </w:p>
          <w:p>
            <w:pPr>
              <w:ind w:left="0" w:right="0"/>
              <w:jc w:val="left"/>
              <w:keepLines w:val="0"/>
              <w:keepNext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未提供不得分。</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right="0"/>
              <w:jc w:val="center"/>
              <w:keepLines w:val="0"/>
              <w:keepNext w:val="0"/>
              <w:spacing w:before="100" w:beforeAutospacing="1"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7分</w:t>
            </w:r>
            <w:r/>
          </w:p>
        </w:tc>
      </w:tr>
      <w:tr>
        <w:trPr>
          <w:jc w:val="center"/>
          <w:trHeight w:val="2690"/>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40"/>
              <w:ind w:left="0" w:right="0"/>
              <w:jc w:val="center"/>
              <w:keepLines w:val="0"/>
              <w:keepNext w:val="0"/>
              <w:spacing w:before="100" w:after="100" w:line="400" w:lineRule="exact"/>
              <w:rPr>
                <w:rFonts w:hint="default" w:ascii="宋体" w:hAnsi="宋体" w:eastAsia="宋体" w:cs="宋体"/>
                <w:b/>
                <w:sz w:val="24"/>
                <w:szCs w:val="24"/>
                <w:highlight w:val="none"/>
              </w:rPr>
              <w:suppressLineNumbers w:val="0"/>
            </w:pPr>
            <w:r>
              <w:rPr>
                <w:rFonts w:hint="default" w:ascii="宋体" w:hAnsi="宋体" w:eastAsia="宋体" w:cs="宋体"/>
                <w:b/>
                <w:sz w:val="24"/>
                <w:szCs w:val="24"/>
                <w:highlight w:val="none"/>
                <w:lang w:bidi="ar"/>
              </w:rPr>
              <w:t xml:space="preserve">食材退换方案</w:t>
            </w:r>
            <w:r/>
          </w:p>
        </w:tc>
        <w:tc>
          <w:tcPr>
            <w:tcBorders>
              <w:top w:val="single" w:color="auto" w:sz="4" w:space="0"/>
              <w:left w:val="single" w:color="auto" w:sz="4" w:space="0"/>
              <w:bottom w:val="single" w:color="auto" w:sz="4" w:space="0"/>
              <w:right w:val="single" w:color="auto" w:sz="4" w:space="0"/>
            </w:tcBorders>
            <w:tcW w:w="6936"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4"/>
                <w:szCs w:val="24"/>
                <w:highlight w:val="none"/>
                <w:lang w:bidi="ar"/>
              </w:rPr>
              <w:suppressLineNumbers w:val="0"/>
            </w:pPr>
            <w:r>
              <w:rPr>
                <w:rFonts w:hint="default" w:ascii="宋体" w:hAnsi="宋体" w:eastAsia="宋体" w:cs="宋体"/>
                <w:sz w:val="24"/>
                <w:szCs w:val="24"/>
                <w:highlight w:val="none"/>
                <w:lang w:bidi="ar"/>
              </w:rPr>
              <w:t xml:space="preserve">评委根据投标人提供的所投分包食材退换方案（</w:t>
            </w:r>
            <w:r>
              <w:rPr>
                <w:rFonts w:hint="default" w:ascii="宋体" w:hAnsi="宋体" w:eastAsia="宋体" w:cs="宋体"/>
                <w:sz w:val="24"/>
                <w:szCs w:val="24"/>
                <w:highlight w:val="none"/>
              </w:rPr>
              <w:t xml:space="preserve">包括但不限于全覆盖退换触发条件、时效要求、操作流程、问题处置、责任划分、售后对接、整改预防、赔付机制等</w:t>
            </w:r>
            <w:r>
              <w:rPr>
                <w:rFonts w:hint="default" w:ascii="宋体" w:hAnsi="宋体" w:eastAsia="宋体" w:cs="宋体"/>
                <w:sz w:val="24"/>
                <w:szCs w:val="24"/>
                <w:highlight w:val="none"/>
                <w:lang w:bidi="ar"/>
              </w:rPr>
              <w:t xml:space="preserve">）进行综合评分：</w:t>
            </w:r>
            <w:r/>
          </w:p>
          <w:p>
            <w:pPr>
              <w:ind w:left="0" w:right="0"/>
              <w:keepLines w:val="0"/>
              <w:keepNext w:val="0"/>
              <w:spacing w:before="0" w:beforeAutospacing="0" w:after="0" w:afterAutospacing="0"/>
              <w:widowControl/>
              <w:rPr>
                <w:rFonts w:hint="default" w:ascii="宋体" w:hAnsi="宋体" w:eastAsia="宋体" w:cs="宋体"/>
                <w:sz w:val="24"/>
                <w:szCs w:val="24"/>
                <w:highlight w:val="none"/>
                <w:lang w:bidi="ar"/>
              </w:rPr>
              <w:suppressLineNumbers w:val="0"/>
            </w:pPr>
            <w:r>
              <w:rPr>
                <w:rFonts w:hint="default" w:ascii="宋体" w:hAnsi="宋体" w:eastAsia="宋体" w:cs="宋体"/>
                <w:sz w:val="24"/>
                <w:szCs w:val="24"/>
                <w:highlight w:val="none"/>
                <w:lang w:bidi="ar"/>
              </w:rPr>
            </w:r>
            <w:r/>
          </w:p>
          <w:p>
            <w:pPr>
              <w:ind w:left="0" w:right="0"/>
              <w:keepLines w:val="0"/>
              <w:keepNext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1.方案描述清晰、措施健全</w:t>
            </w:r>
            <w:r>
              <w:rPr>
                <w:rFonts w:hint="eastAsia" w:ascii="宋体" w:hAnsi="宋体" w:cs="宋体"/>
                <w:sz w:val="24"/>
                <w:szCs w:val="24"/>
                <w:highlight w:val="none"/>
                <w:lang w:eastAsia="zh-CN" w:bidi="ar"/>
              </w:rPr>
              <w:t xml:space="preserve">，</w:t>
            </w:r>
            <w:r>
              <w:rPr>
                <w:rFonts w:hint="default" w:ascii="宋体" w:hAnsi="宋体" w:eastAsia="宋体" w:cs="宋体"/>
                <w:sz w:val="24"/>
                <w:szCs w:val="24"/>
                <w:highlight w:val="none"/>
                <w:lang w:bidi="ar"/>
              </w:rPr>
              <w:t xml:space="preserve">优于采购文件要求得7分；</w:t>
            </w:r>
            <w:r/>
          </w:p>
          <w:p>
            <w:pPr>
              <w:ind w:left="0" w:right="0"/>
              <w:keepLines w:val="0"/>
              <w:keepNext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2.方案描述较清晰、措施较健全</w:t>
            </w:r>
            <w:r>
              <w:rPr>
                <w:rFonts w:hint="eastAsia" w:ascii="宋体" w:hAnsi="宋体" w:cs="宋体"/>
                <w:sz w:val="24"/>
                <w:szCs w:val="24"/>
                <w:highlight w:val="none"/>
                <w:lang w:eastAsia="zh-CN" w:bidi="ar"/>
              </w:rPr>
              <w:t xml:space="preserve">，</w:t>
            </w:r>
            <w:r>
              <w:rPr>
                <w:rFonts w:hint="default" w:ascii="宋体" w:hAnsi="宋体" w:eastAsia="宋体" w:cs="宋体"/>
                <w:sz w:val="24"/>
                <w:szCs w:val="24"/>
                <w:highlight w:val="none"/>
                <w:lang w:bidi="ar"/>
              </w:rPr>
              <w:t xml:space="preserve">满足采购文件要求得5分；</w:t>
            </w:r>
            <w:r/>
          </w:p>
          <w:p>
            <w:pPr>
              <w:ind w:left="0" w:right="0"/>
              <w:keepLines w:val="0"/>
              <w:keepNext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3.方案描述一般、措施一般</w:t>
            </w:r>
            <w:r>
              <w:rPr>
                <w:rFonts w:hint="eastAsia" w:ascii="宋体" w:hAnsi="宋体" w:cs="宋体"/>
                <w:sz w:val="24"/>
                <w:szCs w:val="24"/>
                <w:highlight w:val="none"/>
                <w:lang w:eastAsia="zh-CN" w:bidi="ar"/>
              </w:rPr>
              <w:t xml:space="preserve">，</w:t>
            </w:r>
            <w:r>
              <w:rPr>
                <w:rFonts w:hint="default" w:ascii="宋体" w:hAnsi="宋体" w:eastAsia="宋体" w:cs="宋体"/>
                <w:sz w:val="24"/>
                <w:szCs w:val="24"/>
                <w:highlight w:val="none"/>
                <w:lang w:bidi="ar"/>
              </w:rPr>
              <w:t xml:space="preserve">低于采购文件要求得3分；</w:t>
            </w:r>
            <w:r/>
          </w:p>
          <w:p>
            <w:pPr>
              <w:ind w:left="0" w:right="0"/>
              <w:keepLines w:val="0"/>
              <w:keepNext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未提供不得分。</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right="0"/>
              <w:jc w:val="center"/>
              <w:keepLines w:val="0"/>
              <w:keepNext w:val="0"/>
              <w:spacing w:before="100" w:beforeAutospacing="1"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7分</w:t>
            </w:r>
            <w:r/>
          </w:p>
        </w:tc>
      </w:tr>
      <w:tr>
        <w:trPr>
          <w:jc w:val="center"/>
          <w:trHeight w:val="3284"/>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42" w:right="0"/>
              <w:jc w:val="center"/>
              <w:keepLines w:val="0"/>
              <w:keepNext w:val="0"/>
              <w:spacing w:before="100" w:beforeAutospacing="1" w:after="200" w:afterAutospacing="0"/>
              <w:widowControl/>
              <w:rPr>
                <w:rFonts w:hint="default" w:ascii="宋体" w:hAnsi="宋体" w:eastAsia="宋体" w:cs="宋体"/>
                <w:b/>
                <w:sz w:val="24"/>
                <w:szCs w:val="24"/>
                <w:highlight w:val="none"/>
              </w:rPr>
              <w:suppressLineNumbers w:val="0"/>
            </w:pPr>
            <w:r>
              <w:rPr>
                <w:rFonts w:hint="default" w:ascii="宋体" w:hAnsi="宋体" w:eastAsia="宋体" w:cs="宋体"/>
                <w:b/>
                <w:sz w:val="24"/>
                <w:szCs w:val="24"/>
                <w:highlight w:val="none"/>
                <w:lang w:bidi="ar"/>
              </w:rPr>
              <w:t xml:space="preserve">食材安全事故处置方案</w:t>
            </w:r>
            <w:r/>
          </w:p>
        </w:tc>
        <w:tc>
          <w:tcPr>
            <w:tcBorders>
              <w:top w:val="single" w:color="auto" w:sz="4" w:space="0"/>
              <w:left w:val="single" w:color="auto" w:sz="4" w:space="0"/>
              <w:bottom w:val="single" w:color="auto" w:sz="4" w:space="0"/>
              <w:right w:val="single" w:color="auto" w:sz="4" w:space="0"/>
            </w:tcBorders>
            <w:tcW w:w="693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4"/>
                <w:szCs w:val="24"/>
                <w:highlight w:val="none"/>
                <w:lang w:bidi="ar"/>
              </w:rPr>
              <w:suppressLineNumbers w:val="0"/>
            </w:pPr>
            <w:r>
              <w:rPr>
                <w:rFonts w:hint="default" w:ascii="宋体" w:hAnsi="宋体" w:eastAsia="宋体" w:cs="宋体"/>
                <w:sz w:val="24"/>
                <w:szCs w:val="24"/>
                <w:highlight w:val="none"/>
                <w:lang w:bidi="ar"/>
              </w:rPr>
              <w:t xml:space="preserve">根据投标人提供的食材质量原因发生食品安全事故的处置方案（包括但不限于</w:t>
            </w:r>
            <w:r>
              <w:rPr>
                <w:rFonts w:hint="default" w:ascii="宋体" w:hAnsi="宋体" w:eastAsia="宋体"/>
                <w:sz w:val="24"/>
                <w:szCs w:val="22"/>
                <w:highlight w:val="none"/>
              </w:rPr>
              <w:t xml:space="preserve">事故处置团队与分工、应急响应与处置流程、善后措施置与总结改进</w:t>
            </w:r>
            <w:r>
              <w:rPr>
                <w:rFonts w:hint="default" w:ascii="宋体" w:hAnsi="宋体" w:eastAsia="宋体" w:cs="宋体"/>
                <w:sz w:val="24"/>
                <w:szCs w:val="24"/>
                <w:highlight w:val="none"/>
                <w:lang w:bidi="ar"/>
              </w:rPr>
              <w:t xml:space="preserve">）进行综合评分：</w:t>
            </w:r>
            <w:r/>
          </w:p>
          <w:p>
            <w:pPr>
              <w:ind w:left="0" w:right="0"/>
              <w:jc w:val="left"/>
              <w:keepLines w:val="0"/>
              <w:keepNext w:val="0"/>
              <w:spacing w:before="0" w:beforeAutospacing="0" w:after="0" w:afterAutospacing="0"/>
              <w:widowControl/>
              <w:rPr>
                <w:rFonts w:hint="default" w:ascii="宋体" w:hAnsi="宋体" w:eastAsia="宋体" w:cs="宋体"/>
                <w:sz w:val="24"/>
                <w:szCs w:val="24"/>
                <w:highlight w:val="none"/>
                <w:lang w:bidi="ar"/>
              </w:rPr>
              <w:suppressLineNumbers w:val="0"/>
            </w:pPr>
            <w:r>
              <w:rPr>
                <w:rFonts w:hint="default" w:ascii="宋体" w:hAnsi="宋体" w:eastAsia="宋体" w:cs="宋体"/>
                <w:sz w:val="24"/>
                <w:szCs w:val="24"/>
                <w:highlight w:val="none"/>
                <w:lang w:bidi="ar"/>
              </w:rPr>
            </w:r>
            <w:r/>
          </w:p>
          <w:p>
            <w:pPr>
              <w:ind w:left="0" w:right="0"/>
              <w:jc w:val="left"/>
              <w:keepLines w:val="0"/>
              <w:keepNext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1.方案描述清晰、详细、处置措施健全、善后措施完善、针对性强，优于采购文件要求得7分；</w:t>
            </w:r>
            <w:r/>
          </w:p>
          <w:p>
            <w:pPr>
              <w:ind w:left="0" w:right="0"/>
              <w:jc w:val="left"/>
              <w:keepLines w:val="0"/>
              <w:keepNext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2.方案描述较清晰、处置措施较健全、善后措施较合理、针对性较强，满足采购文件要求得5分；</w:t>
            </w:r>
            <w:r/>
          </w:p>
          <w:p>
            <w:pPr>
              <w:ind w:left="0" w:right="0"/>
              <w:jc w:val="left"/>
              <w:keepLines w:val="0"/>
              <w:keepNext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3.方案一般、处置善后措施一般，低于采购文件要求得3分；</w:t>
            </w:r>
            <w:r/>
          </w:p>
          <w:p>
            <w:pPr>
              <w:ind w:left="0" w:right="0"/>
              <w:jc w:val="left"/>
              <w:keepLines w:val="0"/>
              <w:keepNext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未提供不得分。</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right="0"/>
              <w:jc w:val="center"/>
              <w:keepLines w:val="0"/>
              <w:keepNext w:val="0"/>
              <w:spacing w:before="100" w:beforeAutospacing="1"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7分</w:t>
            </w:r>
            <w:r/>
          </w:p>
        </w:tc>
      </w:tr>
      <w:tr>
        <w:trPr>
          <w:jc w:val="center"/>
          <w:trHeight w:val="3084"/>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100" w:beforeAutospacing="1" w:after="0" w:afterAutospacing="0"/>
              <w:widowControl/>
              <w:rPr>
                <w:rFonts w:hint="default" w:ascii="宋体" w:hAnsi="宋体" w:eastAsia="宋体" w:cs="宋体"/>
                <w:b/>
                <w:sz w:val="24"/>
                <w:szCs w:val="24"/>
                <w:highlight w:val="none"/>
              </w:rPr>
              <w:suppressLineNumbers w:val="0"/>
            </w:pPr>
            <w:r>
              <w:rPr>
                <w:rFonts w:hint="default" w:ascii="宋体" w:hAnsi="宋体" w:eastAsia="宋体" w:cs="宋体"/>
                <w:b/>
                <w:sz w:val="24"/>
                <w:szCs w:val="24"/>
                <w:highlight w:val="none"/>
                <w:lang w:bidi="ar"/>
              </w:rPr>
              <w:t xml:space="preserve">售后服务方案</w:t>
            </w:r>
            <w:r/>
          </w:p>
        </w:tc>
        <w:tc>
          <w:tcPr>
            <w:tcBorders>
              <w:top w:val="single" w:color="auto" w:sz="4" w:space="0"/>
              <w:left w:val="single" w:color="auto" w:sz="4" w:space="0"/>
              <w:bottom w:val="single" w:color="auto" w:sz="4" w:space="0"/>
              <w:right w:val="single" w:color="auto" w:sz="4" w:space="0"/>
            </w:tcBorders>
            <w:tcW w:w="6936" w:type="dxa"/>
            <w:vAlign w:val="center"/>
            <w:textDirection w:val="lrTb"/>
            <w:noWrap w:val="false"/>
          </w:tcPr>
          <w:p>
            <w:pPr>
              <w:pStyle w:val="940"/>
              <w:ind w:left="0" w:right="0"/>
              <w:keepLines w:val="0"/>
              <w:keepNext w:val="0"/>
              <w:spacing w:before="0" w:beforeAutospacing="0" w:after="0" w:afterAutospacing="0"/>
              <w:widowControl/>
              <w:rPr>
                <w:rFonts w:hint="default" w:ascii="宋体" w:hAnsi="宋体" w:eastAsia="宋体" w:cs="宋体"/>
                <w:sz w:val="24"/>
                <w:szCs w:val="24"/>
                <w:highlight w:val="none"/>
                <w:lang w:bidi="ar"/>
              </w:rPr>
              <w:suppressLineNumbers w:val="0"/>
            </w:pPr>
            <w:r>
              <w:rPr>
                <w:rFonts w:hint="default" w:ascii="宋体" w:hAnsi="宋体" w:eastAsia="宋体" w:cs="宋体"/>
                <w:sz w:val="24"/>
                <w:szCs w:val="24"/>
                <w:highlight w:val="none"/>
                <w:lang w:bidi="ar"/>
              </w:rPr>
              <w:t xml:space="preserve">投标人详细描述针对项目提供服务承诺，响应时间、专门售后服务人员、保障措施以及其他各方面的支持和配合情况，评委根据各家投标文件的方案综合评分：</w:t>
            </w:r>
            <w:r/>
          </w:p>
          <w:p>
            <w:pPr>
              <w:pStyle w:val="940"/>
              <w:ind w:left="0" w:right="0"/>
              <w:keepLines w:val="0"/>
              <w:keepNext w:val="0"/>
              <w:spacing w:before="0" w:beforeAutospacing="0" w:after="0" w:afterAutospacing="0"/>
              <w:widowControl/>
              <w:rPr>
                <w:rFonts w:hint="default" w:ascii="宋体" w:hAnsi="宋体" w:eastAsia="宋体" w:cs="宋体"/>
                <w:sz w:val="24"/>
                <w:szCs w:val="24"/>
                <w:highlight w:val="none"/>
                <w:lang w:bidi="ar"/>
              </w:rPr>
              <w:suppressLineNumbers w:val="0"/>
            </w:pPr>
            <w:r>
              <w:rPr>
                <w:rFonts w:hint="default" w:ascii="宋体" w:hAnsi="宋体" w:eastAsia="宋体" w:cs="宋体"/>
                <w:sz w:val="24"/>
                <w:szCs w:val="24"/>
                <w:highlight w:val="none"/>
                <w:lang w:bidi="ar"/>
              </w:rPr>
            </w:r>
            <w:r/>
          </w:p>
          <w:p>
            <w:pPr>
              <w:pStyle w:val="940"/>
              <w:ind w:left="0" w:right="0"/>
              <w:keepLines w:val="0"/>
              <w:keepNext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1.投标人提供的售后服务方案详细，保障措施完善，得7分；</w:t>
            </w:r>
            <w:r/>
          </w:p>
          <w:p>
            <w:pPr>
              <w:pStyle w:val="940"/>
              <w:ind w:left="0" w:right="0"/>
              <w:keepLines w:val="0"/>
              <w:keepNext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2.投标人提供的售后服务方案较详细，保障措施较完善，得5分；</w:t>
            </w:r>
            <w:r/>
          </w:p>
          <w:p>
            <w:pPr>
              <w:pStyle w:val="940"/>
              <w:ind w:left="0" w:right="0"/>
              <w:keepLines w:val="0"/>
              <w:keepNext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3.投标人提供的售后服务方案一般，保障措施一般，得3分；</w:t>
            </w:r>
            <w:r/>
          </w:p>
          <w:p>
            <w:pPr>
              <w:ind w:left="0" w:right="0"/>
              <w:jc w:val="left"/>
              <w:keepLines w:val="0"/>
              <w:keepNext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未提供不得分。</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right="0"/>
              <w:jc w:val="center"/>
              <w:keepLines w:val="0"/>
              <w:keepNext w:val="0"/>
              <w:spacing w:before="100" w:beforeAutospacing="1"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7分</w:t>
            </w:r>
            <w:r/>
          </w:p>
        </w:tc>
      </w:tr>
      <w:tr>
        <w:trPr>
          <w:jc w:val="center"/>
          <w:trHeight w:val="439"/>
        </w:trPr>
        <w:tc>
          <w:tcPr>
            <w:gridSpan w:val="3"/>
            <w:tcBorders>
              <w:top w:val="single" w:color="auto" w:sz="4" w:space="0"/>
              <w:left w:val="single" w:color="auto" w:sz="4" w:space="0"/>
              <w:bottom w:val="single" w:color="auto" w:sz="4" w:space="0"/>
              <w:right w:val="single" w:color="auto" w:sz="4" w:space="0"/>
            </w:tcBorders>
            <w:tcW w:w="9052" w:type="dxa"/>
            <w:vAlign w:val="center"/>
            <w:textDirection w:val="lrTb"/>
            <w:noWrap w:val="false"/>
          </w:tcPr>
          <w:p>
            <w:pPr>
              <w:ind w:left="0" w:right="0"/>
              <w:jc w:val="center"/>
              <w:keepLines w:val="0"/>
              <w:keepNext w:val="0"/>
              <w:spacing w:before="100" w:beforeAutospacing="1" w:after="0" w:afterAutospacing="0"/>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bidi="ar"/>
              </w:rPr>
              <w:t xml:space="preserve">合计：100分</w:t>
            </w:r>
            <w:r/>
          </w:p>
        </w:tc>
      </w:tr>
    </w:tbl>
    <w:p>
      <w:pPr>
        <w:rPr>
          <w:rFonts w:hint="default" w:ascii="宋体" w:hAnsi="宋体" w:eastAsia="宋体" w:cs="宋体"/>
          <w:sz w:val="21"/>
          <w:szCs w:val="21"/>
          <w:highlight w:val="none"/>
        </w:rPr>
      </w:pPr>
      <w:r>
        <w:rPr>
          <w:rFonts w:hint="eastAsia" w:ascii="宋体" w:hAnsi="宋体" w:cs="宋体"/>
          <w:sz w:val="21"/>
          <w:szCs w:val="21"/>
          <w:highlight w:val="none"/>
          <w:lang w:val="en-US" w:eastAsia="zh-CN"/>
        </w:rPr>
        <w:t xml:space="preserve">说</w:t>
      </w:r>
      <w:r>
        <w:rPr>
          <w:rFonts w:hint="default" w:ascii="宋体" w:hAnsi="宋体" w:eastAsia="宋体" w:cs="宋体"/>
          <w:sz w:val="21"/>
          <w:szCs w:val="21"/>
          <w:highlight w:val="none"/>
        </w:rPr>
        <w:t xml:space="preserve">明：</w:t>
      </w:r>
      <w:r/>
    </w:p>
    <w:p>
      <w:pPr>
        <w:ind w:firstLine="42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lang w:bidi="ar"/>
        </w:rPr>
        <w:t xml:space="preserve">（一）对于专门面向中小企业或小型、微型企业的项目，只面向中小企业或小型、微型企业采购。对于非专门面向中小企业的项目，对小型和微型企业产品的价格给予10%的扣除，用扣除后的价格参与评审。</w:t>
      </w:r>
      <w:r/>
    </w:p>
    <w:p>
      <w:pPr>
        <w:ind w:firstLine="42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lang w:bidi="ar"/>
        </w:rPr>
        <w:t xml:space="preserve">供应商提供的货物、工程或者服务符合下列情形的，享受本办法规定的中小企业扶持政策：</w:t>
      </w:r>
      <w:r/>
    </w:p>
    <w:p>
      <w:pPr>
        <w:ind w:firstLine="42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lang w:bidi="ar"/>
        </w:rPr>
        <w:t xml:space="preserve">1.在货物采购项目中，货物由中小企业制造，即货物由中小企业生产且使用该中小企业商号或者注册商标；</w:t>
      </w:r>
      <w:r/>
    </w:p>
    <w:p>
      <w:pPr>
        <w:ind w:firstLine="42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lang w:bidi="ar"/>
        </w:rPr>
        <w:t xml:space="preserve">2.在工程采购项目中，工程由中小企业承建，即工程施工单位为中小企业；</w:t>
      </w:r>
      <w:r/>
    </w:p>
    <w:p>
      <w:pPr>
        <w:ind w:firstLine="42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lang w:bidi="ar"/>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lang w:bidi="ar"/>
        </w:rPr>
        <w:t xml:space="preserve">在货物采购项目中，供应商提供的货物既有中小企业制造货物，也有大型企业制造货物的，不享受本办法规定的中小企业扶持政策。</w:t>
      </w:r>
      <w:r/>
    </w:p>
    <w:p>
      <w:pPr>
        <w:ind w:firstLine="42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lang w:bidi="ar"/>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lang w:bidi="ar"/>
        </w:rPr>
        <w:t xml:space="preserve">（二）参加政府采购活动的中小企业应当提供《中小企业声明函》、由省级以上监狱管理局戒毒管理局(含新疆生产建设兵团)出具的属于监狱企业的证明文件或《残疾人福利性单位声明函》。</w:t>
      </w:r>
      <w:r/>
    </w:p>
    <w:p>
      <w:pPr>
        <w:ind w:firstLine="42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lang w:bidi="ar"/>
        </w:rPr>
        <w:t xml:space="preserve">（三）根据46号文第九条，接受大中型企业与小微企业组成联合体或者允许大中型企业向一家或者多家小微企业分包的采购项目，对于联合协议或者分包意向协议约定小微企业的合同份额占到合同总金额 30%以上的，给予联合体2%的价格扣除，用扣除后的价格参加评审。</w:t>
      </w:r>
      <w:r/>
    </w:p>
    <w:p>
      <w:pPr>
        <w:ind w:firstLine="42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lang w:bidi="ar"/>
        </w:rPr>
        <w:t xml:space="preserve">（四）异常低价的处理</w:t>
      </w:r>
      <w:r/>
    </w:p>
    <w:p>
      <w:pPr>
        <w:ind w:firstLine="42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lang w:bidi="ar"/>
        </w:rPr>
        <w:t xml:space="preserve">1.评审过程中出现下列情形之一的，评审委员会将启动异常低价投标（响应）审查程序：</w:t>
      </w:r>
      <w:r/>
    </w:p>
    <w:p>
      <w:pPr>
        <w:ind w:firstLine="42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lang w:bidi="ar"/>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lang w:bidi="ar"/>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lang w:bidi="ar"/>
        </w:rPr>
        <w:t xml:space="preserve">（3）投标（响应）报价低于采购项目最高限价45%的，即投标（响应）报价&lt;采购项目最高限价×45%（未设定最高限价的采购项目，以采购项目预算金额作为最高限价）；</w:t>
      </w:r>
      <w:r/>
    </w:p>
    <w:p>
      <w:pPr>
        <w:ind w:firstLine="42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lang w:bidi="ar"/>
        </w:rPr>
        <w:t xml:space="preserve">（4）评审委员会基于专业判断，认为供应商报价过低，有可能影响产品质量或者不能诚信履约的其他情形。</w:t>
      </w:r>
      <w:r/>
    </w:p>
    <w:p>
      <w:pPr>
        <w:ind w:firstLine="42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lang w:bidi="ar"/>
        </w:rPr>
        <w:t xml:space="preserve">2.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lang w:bidi="ar"/>
        </w:rPr>
        <w:t xml:space="preserve">（五）采购本国产品的支持政策</w:t>
      </w:r>
      <w:r/>
    </w:p>
    <w:p>
      <w:pPr>
        <w:ind w:firstLine="42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lang w:bidi="ar"/>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lang w:bidi="ar"/>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lang w:bidi="ar"/>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lang w:bidi="ar"/>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lang w:bidi="ar"/>
        </w:rPr>
        <w:t xml:space="preserve">（5）供应商需按照招标文件的要求提供《关于符合本国产品标准的声明函》（以下简称《声明函》），如不提供将不享受本国产品价格评审优惠。</w:t>
      </w:r>
      <w:r/>
    </w:p>
    <w:p>
      <w:pPr>
        <w:ind w:firstLine="42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lang w:bidi="ar"/>
        </w:rPr>
        <w:t xml:space="preserve">（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lang w:bidi="ar"/>
        </w:rPr>
        <w:t xml:space="preserve">（7）评审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left"/>
        <w:spacing w:line="360" w:lineRule="auto"/>
        <w:widowControl/>
        <w:rPr>
          <w:rFonts w:ascii="黑体" w:eastAsia="黑体"/>
          <w:color w:val="000000"/>
          <w:sz w:val="44"/>
          <w:szCs w:val="44"/>
          <w:highlight w:val="none"/>
        </w:rPr>
      </w:pPr>
      <w:r>
        <w:rPr>
          <w:rFonts w:ascii="黑体" w:eastAsia="黑体"/>
          <w:color w:val="000000"/>
          <w:sz w:val="44"/>
          <w:szCs w:val="44"/>
          <w:highlight w:val="none"/>
        </w:rPr>
      </w:r>
      <w:r/>
    </w:p>
    <w:p>
      <w:pPr>
        <w:jc w:val="left"/>
        <w:spacing w:line="360" w:lineRule="auto"/>
        <w:widowControl/>
        <w:rPr>
          <w:rFonts w:ascii="黑体" w:eastAsia="黑体"/>
          <w:color w:val="000000"/>
          <w:sz w:val="44"/>
          <w:szCs w:val="44"/>
          <w:highlight w:val="none"/>
        </w:rPr>
      </w:pPr>
      <w:r>
        <w:rPr>
          <w:rFonts w:ascii="黑体" w:eastAsia="黑体"/>
          <w:color w:val="000000"/>
          <w:sz w:val="44"/>
          <w:szCs w:val="44"/>
          <w:highlight w:val="none"/>
        </w:rPr>
        <w:br w:type="page" w:clear="all"/>
      </w:r>
      <w:r/>
    </w:p>
    <w:p>
      <w:pPr>
        <w:pStyle w:val="907"/>
        <w:jc w:val="center"/>
        <w:spacing w:line="360" w:lineRule="auto"/>
        <w:rPr>
          <w:rFonts w:hint="eastAsia" w:ascii="黑体" w:hAnsi="黑体" w:eastAsia="黑体" w:cs="黑体"/>
          <w:sz w:val="44"/>
          <w:szCs w:val="44"/>
          <w:highlight w:val="none"/>
        </w:rPr>
      </w:pPr>
      <w:r/>
      <w:bookmarkStart w:id="161" w:name="_Toc31167"/>
      <w:r>
        <w:rPr>
          <w:rFonts w:hint="eastAsia" w:ascii="黑体" w:hAnsi="黑体" w:eastAsia="黑体" w:cs="黑体"/>
          <w:sz w:val="44"/>
          <w:szCs w:val="44"/>
          <w:highlight w:val="none"/>
        </w:rPr>
        <w:t xml:space="preserve">第六章  投标</w:t>
      </w:r>
      <w:bookmarkEnd w:id="157"/>
      <w:r/>
      <w:bookmarkEnd w:id="158"/>
      <w:r/>
      <w:bookmarkEnd w:id="159"/>
      <w:r>
        <w:rPr>
          <w:rFonts w:hint="eastAsia" w:ascii="黑体" w:hAnsi="黑体" w:eastAsia="黑体" w:cs="黑体"/>
          <w:sz w:val="44"/>
          <w:szCs w:val="44"/>
          <w:highlight w:val="none"/>
        </w:rPr>
        <w:t xml:space="preserve">文件格式</w:t>
      </w:r>
      <w:bookmarkEnd w:id="161"/>
      <w:r/>
      <w:r/>
    </w:p>
    <w:p>
      <w:pPr>
        <w:jc w:val="center"/>
        <w:spacing w:line="360" w:lineRule="auto"/>
        <w:rPr>
          <w:rFonts w:ascii="宋体" w:hAnsi="宋体"/>
          <w:b/>
          <w:color w:val="000000"/>
          <w:sz w:val="72"/>
          <w:szCs w:val="21"/>
          <w:highlight w:val="none"/>
        </w:rPr>
      </w:pPr>
      <w:r/>
      <w:bookmarkStart w:id="162" w:name="_Hlt26955039"/>
      <w:r/>
      <w:bookmarkEnd w:id="162"/>
      <w:r/>
      <w:bookmarkStart w:id="163" w:name="_Hlt26671244"/>
      <w:r/>
      <w:bookmarkEnd w:id="163"/>
      <w:r/>
      <w:bookmarkStart w:id="164" w:name="_Toc120614282"/>
      <w:r/>
      <w:bookmarkStart w:id="165" w:name="_Toc26554094"/>
      <w:r/>
      <w:bookmarkStart w:id="166" w:name="_Toc49090576"/>
      <w:r/>
      <w:r/>
    </w:p>
    <w:p>
      <w:pPr>
        <w:jc w:val="center"/>
        <w:spacing w:line="360" w:lineRule="auto"/>
        <w:rPr>
          <w:rFonts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spacing w:line="360" w:lineRule="auto"/>
        <w:rPr>
          <w:rFonts w:ascii="宋体" w:hAnsi="宋体"/>
          <w:b/>
          <w:color w:val="000000"/>
          <w:sz w:val="72"/>
          <w:szCs w:val="21"/>
          <w:highlight w:val="none"/>
        </w:rPr>
      </w:pPr>
      <w:r>
        <w:rPr>
          <w:rFonts w:ascii="宋体" w:hAnsi="宋体"/>
          <w:b/>
          <w:color w:val="000000"/>
          <w:sz w:val="72"/>
          <w:szCs w:val="21"/>
          <w:highlight w:val="none"/>
        </w:rPr>
      </w:r>
      <w:r/>
    </w:p>
    <w:p>
      <w:pPr>
        <w:jc w:val="center"/>
        <w:spacing w:line="360" w:lineRule="auto"/>
        <w:rPr>
          <w:rFonts w:ascii="宋体" w:hAnsi="宋体"/>
          <w:b/>
          <w:color w:val="000000"/>
          <w:sz w:val="72"/>
          <w:szCs w:val="21"/>
          <w:highlight w:val="none"/>
        </w:rPr>
      </w:pPr>
      <w:r>
        <w:rPr>
          <w:rFonts w:ascii="宋体" w:hAnsi="宋体"/>
          <w:b/>
          <w:color w:val="000000"/>
          <w:sz w:val="72"/>
          <w:szCs w:val="21"/>
          <w:highlight w:val="none"/>
        </w:rPr>
      </w:r>
      <w:r/>
    </w:p>
    <w:p>
      <w:pPr>
        <w:jc w:val="center"/>
        <w:spacing w:line="360" w:lineRule="auto"/>
        <w:rPr>
          <w:rFonts w:ascii="宋体" w:hAnsi="宋体"/>
          <w:b/>
          <w:color w:val="000000"/>
          <w:sz w:val="36"/>
          <w:szCs w:val="21"/>
          <w:highlight w:val="none"/>
        </w:rPr>
      </w:pPr>
      <w:r>
        <w:rPr>
          <w:rFonts w:ascii="宋体" w:hAnsi="宋体"/>
          <w:b/>
          <w:color w:val="000000"/>
          <w:sz w:val="36"/>
          <w:szCs w:val="21"/>
          <w:highlight w:val="none"/>
        </w:rPr>
      </w:r>
      <w:r/>
    </w:p>
    <w:p>
      <w:pPr>
        <w:jc w:val="center"/>
        <w:spacing w:line="360" w:lineRule="auto"/>
        <w:rPr>
          <w:rFonts w:ascii="宋体" w:hAnsi="宋体"/>
          <w:b/>
          <w:color w:val="000000"/>
          <w:sz w:val="36"/>
          <w:szCs w:val="21"/>
          <w:highlight w:val="none"/>
        </w:rPr>
      </w:pPr>
      <w:r>
        <w:rPr>
          <w:rFonts w:ascii="宋体" w:hAnsi="宋体"/>
          <w:b/>
          <w:color w:val="000000"/>
          <w:sz w:val="36"/>
          <w:szCs w:val="21"/>
          <w:highlight w:val="none"/>
        </w:rPr>
      </w:r>
      <w:r/>
    </w:p>
    <w:p>
      <w:pPr>
        <w:jc w:val="center"/>
        <w:spacing w:line="360" w:lineRule="auto"/>
        <w:rPr>
          <w:rFonts w:ascii="宋体" w:hAnsi="宋体"/>
          <w:b/>
          <w:color w:val="000000"/>
          <w:sz w:val="36"/>
          <w:szCs w:val="21"/>
          <w:highlight w:val="none"/>
        </w:rPr>
      </w:pPr>
      <w:r>
        <w:rPr>
          <w:rFonts w:ascii="宋体" w:hAnsi="宋体"/>
          <w:b/>
          <w:color w:val="000000"/>
          <w:sz w:val="36"/>
          <w:szCs w:val="21"/>
          <w:highlight w:val="none"/>
        </w:rPr>
      </w:r>
      <w:r/>
    </w:p>
    <w:p>
      <w:pPr>
        <w:ind w:firstLine="1084"/>
        <w:spacing w:line="360" w:lineRule="auto"/>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p>
    <w:p>
      <w:pPr>
        <w:ind w:firstLine="1084"/>
        <w:spacing w:line="360" w:lineRule="auto"/>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p>
    <w:p>
      <w:pPr>
        <w:spacing w:line="360" w:lineRule="auto"/>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p>
    <w:p>
      <w:pPr>
        <w:spacing w:line="360" w:lineRule="auto"/>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p>
    <w:p>
      <w:pPr>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spacing w:line="360" w:lineRule="auto"/>
        <w:rPr>
          <w:rFonts w:ascii="宋体" w:hAnsi="宋体"/>
          <w:color w:val="000000"/>
          <w:szCs w:val="21"/>
          <w:highlight w:val="none"/>
        </w:rPr>
      </w:pPr>
      <w:r>
        <w:rPr>
          <w:rFonts w:ascii="宋体" w:hAnsi="宋体"/>
          <w:color w:val="000000"/>
          <w:szCs w:val="21"/>
          <w:highlight w:val="none"/>
        </w:rPr>
      </w:r>
      <w:r/>
    </w:p>
    <w:p>
      <w:pPr>
        <w:jc w:val="center"/>
        <w:spacing w:line="360" w:lineRule="auto"/>
        <w:rPr>
          <w:rFonts w:ascii="宋体" w:hAnsi="宋体"/>
          <w:b/>
          <w:bCs/>
          <w:color w:val="000000"/>
          <w:sz w:val="32"/>
          <w:szCs w:val="32"/>
          <w:highlight w:val="none"/>
        </w:rPr>
      </w:pPr>
      <w:r>
        <w:rPr>
          <w:rFonts w:ascii="宋体" w:hAnsi="宋体"/>
          <w:b/>
          <w:color w:val="000000"/>
          <w:sz w:val="36"/>
          <w:szCs w:val="21"/>
          <w:highlight w:val="none"/>
          <w:u w:val="single"/>
        </w:rPr>
        <w:br w:type="page" w:clear="all"/>
      </w:r>
      <w:r>
        <w:rPr>
          <w:rFonts w:hint="eastAsia" w:ascii="宋体" w:hAnsi="宋体"/>
          <w:b/>
          <w:bCs/>
          <w:color w:val="000000"/>
          <w:sz w:val="32"/>
          <w:szCs w:val="32"/>
          <w:highlight w:val="none"/>
        </w:rPr>
        <w:t xml:space="preserve">投标文件目录</w:t>
      </w:r>
      <w:bookmarkEnd w:id="164"/>
      <w:r/>
      <w:bookmarkEnd w:id="165"/>
      <w:r/>
      <w:bookmarkEnd w:id="166"/>
      <w:r/>
      <w:r/>
    </w:p>
    <w:p>
      <w:pPr>
        <w:ind w:firstLine="560"/>
        <w:spacing w:line="360" w:lineRule="auto"/>
        <w:rPr>
          <w:rFonts w:ascii="宋体" w:hAnsi="宋体" w:cs="宋体"/>
          <w:sz w:val="28"/>
          <w:szCs w:val="28"/>
          <w:highlight w:val="none"/>
        </w:rPr>
      </w:pPr>
      <w:r/>
      <w:bookmarkStart w:id="167" w:name="_Toc120614284"/>
      <w:r>
        <w:rPr>
          <w:rFonts w:hint="eastAsia" w:ascii="宋体" w:hAnsi="宋体" w:cs="宋体"/>
          <w:sz w:val="28"/>
          <w:szCs w:val="28"/>
          <w:highlight w:val="none"/>
        </w:rPr>
        <w:t xml:space="preserve">一、供应商信用承诺函</w:t>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二、满足特定资格要求的证明文件（如果设置特定资格要求，则需要提供）</w:t>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三、法</w:t>
      </w:r>
      <w:r>
        <w:rPr>
          <w:rFonts w:hint="eastAsia" w:ascii="宋体" w:hAnsi="宋体" w:cs="宋体"/>
          <w:sz w:val="28"/>
          <w:szCs w:val="28"/>
          <w:highlight w:val="none"/>
          <w:lang w:val="en-US" w:eastAsia="zh-CN"/>
        </w:rPr>
        <w:t xml:space="preserve">定代表人</w:t>
      </w:r>
      <w:r>
        <w:rPr>
          <w:rFonts w:hint="eastAsia" w:ascii="宋体" w:hAnsi="宋体" w:cs="宋体"/>
          <w:sz w:val="28"/>
          <w:szCs w:val="28"/>
          <w:highlight w:val="none"/>
        </w:rPr>
        <w:t xml:space="preserve">授权</w:t>
      </w:r>
      <w:r>
        <w:rPr>
          <w:rFonts w:hint="eastAsia" w:ascii="宋体" w:hAnsi="宋体" w:cs="宋体"/>
          <w:sz w:val="28"/>
          <w:szCs w:val="28"/>
          <w:highlight w:val="none"/>
          <w:lang w:val="en-US" w:eastAsia="zh-CN"/>
        </w:rPr>
        <w:t xml:space="preserve">委托</w:t>
      </w:r>
      <w:r>
        <w:rPr>
          <w:rFonts w:hint="eastAsia" w:ascii="宋体" w:hAnsi="宋体" w:cs="宋体"/>
          <w:sz w:val="28"/>
          <w:szCs w:val="28"/>
          <w:highlight w:val="none"/>
        </w:rPr>
        <w:t xml:space="preserve">书</w:t>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四、投标函</w:t>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五、开标一览表</w:t>
      </w:r>
      <w:r/>
    </w:p>
    <w:p>
      <w:pPr>
        <w:ind w:firstLine="560"/>
        <w:spacing w:line="360" w:lineRule="auto"/>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六</w:t>
      </w:r>
      <w:r>
        <w:rPr>
          <w:rFonts w:hint="eastAsia" w:ascii="宋体" w:hAnsi="宋体" w:cs="宋体"/>
          <w:sz w:val="28"/>
          <w:szCs w:val="28"/>
          <w:highlight w:val="none"/>
        </w:rPr>
        <w:t xml:space="preserve">、</w:t>
      </w:r>
      <w:r>
        <w:rPr>
          <w:rFonts w:hint="eastAsia" w:ascii="宋体" w:hAnsi="宋体" w:cs="宋体"/>
          <w:sz w:val="28"/>
          <w:szCs w:val="28"/>
          <w:highlight w:val="none"/>
          <w:lang w:val="en-US" w:eastAsia="zh-CN"/>
        </w:rPr>
        <w:t xml:space="preserve">报价明细表</w:t>
      </w:r>
      <w:r/>
    </w:p>
    <w:p>
      <w:pPr>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七、</w:t>
      </w:r>
      <w:r>
        <w:rPr>
          <w:rFonts w:hint="eastAsia" w:ascii="宋体" w:hAnsi="宋体" w:cs="宋体"/>
          <w:sz w:val="28"/>
          <w:szCs w:val="28"/>
          <w:highlight w:val="none"/>
        </w:rPr>
        <w:t xml:space="preserve">商务要求响应及偏离表</w:t>
      </w:r>
      <w:r/>
    </w:p>
    <w:p>
      <w:pPr>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八、服务</w:t>
      </w:r>
      <w:r>
        <w:rPr>
          <w:rFonts w:hint="eastAsia" w:ascii="宋体" w:hAnsi="宋体" w:cs="宋体"/>
          <w:sz w:val="28"/>
          <w:szCs w:val="28"/>
          <w:highlight w:val="none"/>
        </w:rPr>
        <w:t xml:space="preserve">要求响应及偏离表</w:t>
      </w:r>
      <w:r/>
    </w:p>
    <w:p>
      <w:pPr>
        <w:ind w:firstLine="560"/>
        <w:spacing w:line="360" w:lineRule="auto"/>
        <w:rPr>
          <w:rFonts w:hint="eastAsia" w:ascii="宋体" w:hAnsi="宋体" w:eastAsia="宋体" w:cs="宋体"/>
          <w:sz w:val="28"/>
          <w:szCs w:val="28"/>
          <w:highlight w:val="none"/>
          <w:lang w:eastAsia="zh-CN"/>
        </w:rPr>
      </w:pPr>
      <w:r>
        <w:rPr>
          <w:rFonts w:hint="eastAsia" w:ascii="宋体" w:hAnsi="宋体" w:cs="宋体"/>
          <w:sz w:val="28"/>
          <w:szCs w:val="28"/>
          <w:highlight w:val="none"/>
          <w:lang w:val="en-US" w:eastAsia="zh-CN"/>
        </w:rPr>
        <w:t xml:space="preserve">九、</w:t>
      </w:r>
      <w:r>
        <w:rPr>
          <w:rFonts w:hint="eastAsia" w:ascii="宋体" w:hAnsi="宋体" w:cs="宋体"/>
          <w:sz w:val="28"/>
          <w:szCs w:val="28"/>
          <w:highlight w:val="none"/>
        </w:rPr>
        <w:t xml:space="preserve">中小企业声明函</w:t>
      </w:r>
      <w:r>
        <w:rPr>
          <w:rFonts w:hint="eastAsia" w:ascii="宋体" w:hAnsi="宋体" w:cs="宋体"/>
          <w:sz w:val="28"/>
          <w:szCs w:val="28"/>
          <w:highlight w:val="none"/>
          <w:lang w:eastAsia="zh-CN"/>
        </w:rPr>
        <w:t xml:space="preserve">（如有）</w:t>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lang w:val="en-US" w:eastAsia="zh-CN"/>
        </w:rPr>
        <w:t xml:space="preserve">十</w:t>
      </w:r>
      <w:r>
        <w:rPr>
          <w:rFonts w:hint="eastAsia" w:ascii="宋体" w:hAnsi="宋体" w:cs="宋体"/>
          <w:sz w:val="28"/>
          <w:szCs w:val="28"/>
          <w:highlight w:val="none"/>
        </w:rPr>
        <w:t xml:space="preserve">、残疾人福利性单位声明函（如有）</w:t>
      </w:r>
      <w:r/>
    </w:p>
    <w:p>
      <w:pPr>
        <w:ind w:firstLine="560"/>
        <w:spacing w:line="360" w:lineRule="auto"/>
        <w:rPr>
          <w:rFonts w:hint="default"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十一、其他（如有）</w:t>
      </w:r>
      <w:r/>
    </w:p>
    <w:p>
      <w:pPr>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923"/>
        <w:numPr>
          <w:ilvl w:val="0"/>
          <w:numId w:val="0"/>
        </w:numPr>
        <w:spacing w:line="360"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注：如招标文件中提供的投标文件格式与苏采云系统内不一致的，以招标文件内的格式为准。</w:t>
      </w:r>
      <w:r/>
    </w:p>
    <w:p>
      <w:pPr>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ind w:firstLine="560"/>
        <w:spacing w:line="360" w:lineRule="auto"/>
        <w:rPr>
          <w:rFonts w:ascii="宋体" w:hAnsi="宋体" w:cs="宋体"/>
          <w:sz w:val="28"/>
          <w:szCs w:val="28"/>
          <w:highlight w:val="none"/>
        </w:rPr>
      </w:pPr>
      <w:r>
        <w:rPr>
          <w:rFonts w:ascii="宋体" w:hAnsi="宋体" w:cs="宋体"/>
          <w:sz w:val="28"/>
          <w:szCs w:val="28"/>
          <w:highlight w:val="none"/>
        </w:rPr>
      </w:r>
      <w:r/>
    </w:p>
    <w:p>
      <w:pPr>
        <w:ind w:firstLine="480"/>
        <w:spacing w:line="360" w:lineRule="auto"/>
        <w:rPr>
          <w:rFonts w:ascii="宋体" w:hAnsi="宋体"/>
          <w:sz w:val="24"/>
          <w:highlight w:val="none"/>
        </w:rPr>
      </w:pPr>
      <w:r>
        <w:rPr>
          <w:rFonts w:ascii="宋体" w:hAnsi="宋体"/>
          <w:sz w:val="24"/>
          <w:highlight w:val="none"/>
        </w:rPr>
      </w:r>
      <w:r/>
    </w:p>
    <w:p>
      <w:pPr>
        <w:ind w:firstLine="480"/>
        <w:spacing w:line="360" w:lineRule="auto"/>
        <w:rPr>
          <w:rFonts w:ascii="宋体" w:hAnsi="宋体"/>
          <w:sz w:val="24"/>
          <w:highlight w:val="none"/>
        </w:rPr>
      </w:pPr>
      <w:r>
        <w:rPr>
          <w:rFonts w:ascii="宋体" w:hAnsi="宋体"/>
          <w:sz w:val="24"/>
          <w:highlight w:val="none"/>
        </w:rPr>
      </w:r>
      <w:r/>
    </w:p>
    <w:p>
      <w:pPr>
        <w:ind w:firstLine="480"/>
        <w:spacing w:line="360" w:lineRule="auto"/>
        <w:rPr>
          <w:rFonts w:ascii="宋体" w:hAnsi="宋体"/>
          <w:sz w:val="24"/>
          <w:highlight w:val="none"/>
        </w:rPr>
      </w:pPr>
      <w:r>
        <w:rPr>
          <w:rFonts w:ascii="宋体" w:hAnsi="宋体"/>
          <w:sz w:val="24"/>
          <w:highlight w:val="none"/>
        </w:rPr>
      </w:r>
      <w:r/>
    </w:p>
    <w:p>
      <w:pPr>
        <w:ind w:firstLine="480"/>
        <w:spacing w:line="360" w:lineRule="auto"/>
        <w:rPr>
          <w:rFonts w:ascii="宋体" w:hAnsi="宋体"/>
          <w:sz w:val="24"/>
          <w:highlight w:val="none"/>
        </w:rPr>
      </w:pPr>
      <w:r>
        <w:rPr>
          <w:rFonts w:ascii="宋体" w:hAnsi="宋体"/>
          <w:sz w:val="24"/>
          <w:highlight w:val="none"/>
        </w:rPr>
      </w:r>
      <w:r/>
    </w:p>
    <w:p>
      <w:pPr>
        <w:ind w:firstLine="480"/>
        <w:spacing w:line="360" w:lineRule="auto"/>
        <w:rPr>
          <w:rFonts w:ascii="宋体" w:hAnsi="宋体"/>
          <w:sz w:val="24"/>
          <w:highlight w:val="none"/>
        </w:rPr>
      </w:pPr>
      <w:r>
        <w:rPr>
          <w:rFonts w:ascii="宋体" w:hAnsi="宋体"/>
          <w:sz w:val="24"/>
          <w:highlight w:val="none"/>
        </w:rPr>
      </w:r>
      <w:r/>
    </w:p>
    <w:p>
      <w:pPr>
        <w:pStyle w:val="1287"/>
        <w:spacing w:line="360" w:lineRule="auto"/>
        <w:rPr>
          <w:sz w:val="24"/>
          <w:highlight w:val="none"/>
        </w:rPr>
      </w:pPr>
      <w:r>
        <w:rPr>
          <w:sz w:val="24"/>
          <w:highlight w:val="none"/>
        </w:rPr>
      </w:r>
      <w:r/>
    </w:p>
    <w:p>
      <w:pPr>
        <w:pStyle w:val="1287"/>
        <w:spacing w:line="360" w:lineRule="auto"/>
        <w:rPr>
          <w:sz w:val="24"/>
          <w:highlight w:val="none"/>
        </w:rPr>
      </w:pPr>
      <w:r>
        <w:rPr>
          <w:sz w:val="24"/>
          <w:highlight w:val="none"/>
        </w:rPr>
      </w:r>
      <w:r/>
    </w:p>
    <w:p>
      <w:pPr>
        <w:pStyle w:val="1287"/>
        <w:spacing w:line="360" w:lineRule="auto"/>
        <w:rPr>
          <w:sz w:val="24"/>
          <w:highlight w:val="none"/>
        </w:rPr>
      </w:pPr>
      <w:r>
        <w:rPr>
          <w:sz w:val="24"/>
          <w:highlight w:val="none"/>
        </w:rPr>
      </w:r>
      <w:r/>
    </w:p>
    <w:p>
      <w:pPr>
        <w:jc w:val="center"/>
        <w:spacing w:line="360" w:lineRule="auto"/>
        <w:rPr>
          <w:rFonts w:hint="eastAsia"/>
          <w:b/>
          <w:bCs/>
          <w:sz w:val="28"/>
          <w:szCs w:val="32"/>
          <w:highlight w:val="none"/>
          <w:lang w:val="en-US" w:eastAsia="zh-CN"/>
        </w:rPr>
      </w:pPr>
      <w:r>
        <w:rPr>
          <w:rFonts w:hint="eastAsia"/>
          <w:b/>
          <w:bCs/>
          <w:sz w:val="28"/>
          <w:szCs w:val="32"/>
          <w:highlight w:val="none"/>
          <w:lang w:val="en-US" w:eastAsia="zh-CN"/>
        </w:rPr>
      </w:r>
      <w:r/>
    </w:p>
    <w:p>
      <w:pPr>
        <w:jc w:val="center"/>
        <w:spacing w:line="360" w:lineRule="auto"/>
        <w:rPr>
          <w:b/>
          <w:bCs/>
          <w:sz w:val="28"/>
          <w:szCs w:val="32"/>
          <w:highlight w:val="none"/>
          <w:lang w:val="zh-CN"/>
        </w:rPr>
      </w:pPr>
      <w:r>
        <w:rPr>
          <w:rFonts w:hint="eastAsia"/>
          <w:b/>
          <w:bCs/>
          <w:sz w:val="28"/>
          <w:szCs w:val="32"/>
          <w:highlight w:val="none"/>
          <w:lang w:val="en-US" w:eastAsia="zh-CN"/>
        </w:rPr>
        <w:t xml:space="preserve">一、</w:t>
      </w:r>
      <w:r>
        <w:rPr>
          <w:rFonts w:hint="eastAsia"/>
          <w:b/>
          <w:bCs/>
          <w:sz w:val="28"/>
          <w:szCs w:val="32"/>
          <w:highlight w:val="none"/>
          <w:lang w:val="zh-CN"/>
        </w:rPr>
        <w:t xml:space="preserve">供应商信用承诺函</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江苏臻采招标代理有限公司</w:t>
      </w:r>
      <w:r>
        <w:rPr>
          <w:rFonts w:hint="eastAsia" w:ascii="宋体" w:hAnsi="宋体"/>
          <w:color w:val="000000"/>
          <w:sz w:val="24"/>
          <w:szCs w:val="24"/>
          <w:highlight w:val="none"/>
        </w:rPr>
        <w:t xml:space="preserve">：</w:t>
      </w:r>
      <w:r/>
    </w:p>
    <w:p>
      <w:pPr>
        <w:ind w:firstLine="492"/>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我公司</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（供应商名称）郑重承诺：</w:t>
      </w:r>
      <w:r/>
    </w:p>
    <w:p>
      <w:pPr>
        <w:ind w:firstLine="492"/>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我公司符合下列要求：</w:t>
      </w:r>
      <w:r/>
    </w:p>
    <w:p>
      <w:pPr>
        <w:ind w:firstLine="492"/>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(一)具有独立承担民事责任的能力；</w:t>
      </w:r>
      <w:r/>
    </w:p>
    <w:p>
      <w:pPr>
        <w:ind w:firstLine="492"/>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(二)具有良好的商业信誉和健全的财务会计制度；</w:t>
      </w:r>
      <w:r/>
    </w:p>
    <w:p>
      <w:pPr>
        <w:ind w:firstLine="492"/>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(三)具有履行合同所必需的设备和专业技术能力；</w:t>
      </w:r>
      <w:r/>
    </w:p>
    <w:p>
      <w:pPr>
        <w:ind w:firstLine="492"/>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(四)有依法缴纳税收和社会保障资金的良好记录；</w:t>
      </w:r>
      <w:r/>
    </w:p>
    <w:p>
      <w:pPr>
        <w:ind w:firstLine="492"/>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(五)参加政府采购活动前三年内，在经营活动中没有重大违法记录。</w:t>
      </w:r>
      <w:r/>
    </w:p>
    <w:p>
      <w:pPr>
        <w:ind w:firstLine="492"/>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如果我公司中标（成交），将在中标（成交）结果公示后七个工作日内向采购人提供下列材料核验：</w:t>
      </w:r>
      <w:r/>
    </w:p>
    <w:p>
      <w:pPr>
        <w:ind w:firstLine="492"/>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（1）营业执照副本或事业单位法人登记证书；</w:t>
      </w:r>
      <w:r/>
    </w:p>
    <w:p>
      <w:pPr>
        <w:ind w:firstLine="492"/>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（3）履行合同所必需的设备和专业技术能力证明材料；</w:t>
      </w:r>
      <w:r/>
    </w:p>
    <w:p>
      <w:pPr>
        <w:ind w:firstLine="492"/>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（4）参加本次政府采购活动前一年内至少一个月依法缴纳税收和社会保障资金的证明材料。</w:t>
      </w:r>
      <w:r/>
    </w:p>
    <w:p>
      <w:pPr>
        <w:ind w:firstLine="492"/>
        <w:spacing w:line="360" w:lineRule="auto"/>
        <w:rPr>
          <w:color w:val="000000"/>
          <w:sz w:val="24"/>
          <w:szCs w:val="24"/>
          <w:highlight w:val="none"/>
        </w:rPr>
      </w:pPr>
      <w:r>
        <w:rPr>
          <w:rFonts w:hint="eastAsia"/>
          <w:color w:val="000000"/>
          <w:sz w:val="24"/>
          <w:szCs w:val="24"/>
          <w:highlight w:val="none"/>
        </w:rPr>
        <w:t xml:space="preserve">本公司对上述承诺内容的真实性、合法性、有效性负责，如有虚假，将依法承担相应责任。</w:t>
      </w:r>
      <w:r/>
    </w:p>
    <w:p>
      <w:pPr>
        <w:ind w:firstLine="492"/>
        <w:spacing w:line="360" w:lineRule="auto"/>
        <w:rPr>
          <w:color w:val="000000"/>
          <w:sz w:val="24"/>
          <w:szCs w:val="24"/>
          <w:highlight w:val="none"/>
        </w:rPr>
      </w:pPr>
      <w:r>
        <w:rPr>
          <w:color w:val="000000"/>
          <w:sz w:val="24"/>
          <w:szCs w:val="24"/>
          <w:highlight w:val="none"/>
        </w:rPr>
      </w:r>
      <w:r/>
    </w:p>
    <w:p>
      <w:pPr>
        <w:pStyle w:val="1288"/>
        <w:spacing w:line="360" w:lineRule="auto"/>
        <w:rPr>
          <w:color w:val="000000"/>
          <w:sz w:val="24"/>
          <w:szCs w:val="24"/>
          <w:highlight w:val="none"/>
        </w:rPr>
      </w:pPr>
      <w:r>
        <w:rPr>
          <w:color w:val="000000"/>
          <w:sz w:val="24"/>
          <w:szCs w:val="24"/>
          <w:highlight w:val="none"/>
        </w:rPr>
      </w:r>
      <w:r/>
    </w:p>
    <w:p>
      <w:pPr>
        <w:ind w:right="180" w:firstLine="360"/>
        <w:jc w:val="right"/>
        <w:spacing w:line="360" w:lineRule="auto"/>
        <w:rPr>
          <w:rFonts w:ascii="宋体" w:hAnsi="宋体"/>
          <w:sz w:val="24"/>
          <w:szCs w:val="24"/>
          <w:highlight w:val="none"/>
        </w:rPr>
      </w:pPr>
      <w:r>
        <w:rPr>
          <w:rFonts w:hint="eastAsia" w:ascii="宋体" w:hAnsi="宋体"/>
          <w:sz w:val="24"/>
          <w:szCs w:val="24"/>
          <w:highlight w:val="none"/>
        </w:rPr>
        <w:t xml:space="preserve">供应商名称：（加盖CA电子公章）</w:t>
      </w:r>
      <w:r/>
    </w:p>
    <w:p>
      <w:pPr>
        <w:ind w:firstLine="5760"/>
        <w:spacing w:line="360" w:lineRule="auto"/>
        <w:rPr>
          <w:rFonts w:ascii="宋体" w:hAnsi="宋体"/>
          <w:sz w:val="24"/>
          <w:szCs w:val="24"/>
          <w:highlight w:val="none"/>
        </w:rPr>
      </w:pPr>
      <w:r>
        <w:rPr>
          <w:rFonts w:hint="eastAsia"/>
          <w:color w:val="000000"/>
          <w:sz w:val="24"/>
          <w:szCs w:val="24"/>
          <w:highlight w:val="none"/>
        </w:rPr>
        <w:t xml:space="preserve">日  期：年___月___日</w:t>
      </w:r>
      <w:r/>
    </w:p>
    <w:p>
      <w:pPr>
        <w:spacing w:line="360" w:lineRule="auto"/>
        <w:rPr>
          <w:rFonts w:ascii="宋体" w:hAnsi="宋体"/>
          <w:sz w:val="24"/>
          <w:szCs w:val="24"/>
          <w:highlight w:val="none"/>
        </w:rPr>
      </w:pPr>
      <w:r>
        <w:rPr>
          <w:rFonts w:ascii="宋体" w:hAnsi="宋体"/>
          <w:sz w:val="24"/>
          <w:szCs w:val="24"/>
          <w:highlight w:val="none"/>
        </w:rPr>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附：《南京市政府采购供应商信用记录表暨信用承诺书》</w:t>
      </w:r>
      <w:r/>
    </w:p>
    <w:p>
      <w:pPr>
        <w:pStyle w:val="1289"/>
        <w:spacing w:line="360" w:lineRule="auto"/>
        <w:rPr>
          <w:rFonts w:ascii="宋体" w:hAnsi="宋体"/>
          <w:b/>
          <w:bCs/>
          <w:highlight w:val="none"/>
          <w:lang w:eastAsia="zh-CN"/>
        </w:rPr>
        <w:sectPr>
          <w:footnotePr/>
          <w:endnotePr/>
          <w:type w:val="nextPage"/>
          <w:pgSz w:w="11906" w:h="16838" w:orient="portrait"/>
          <w:pgMar w:top="1417" w:right="1361" w:bottom="1417" w:left="1366" w:header="851" w:footer="907" w:gutter="0"/>
          <w:cols w:num="1" w:sep="0" w:space="0" w:equalWidth="1"/>
          <w:docGrid w:linePitch="360"/>
          <w:titlePg/>
        </w:sectPr>
      </w:pPr>
      <w:r>
        <w:rPr>
          <w:rFonts w:ascii="宋体" w:hAnsi="宋体"/>
          <w:b/>
          <w:bCs/>
          <w:highlight w:val="none"/>
          <w:lang w:eastAsia="zh-CN"/>
        </w:rPr>
      </w:r>
      <w:r/>
    </w:p>
    <w:p>
      <w:pPr>
        <w:spacing w:line="360" w:lineRule="auto"/>
        <w:rPr>
          <w:highlight w:val="none"/>
        </w:rPr>
      </w:pPr>
      <w:r>
        <w:rPr>
          <w:highlight w:val="none"/>
        </w:rPr>
      </w:r>
      <w:r/>
    </w:p>
    <w:p>
      <w:pPr>
        <w:jc w:val="center"/>
        <w:spacing w:line="360" w:lineRule="auto"/>
        <w:rPr>
          <w:rFonts w:hint="eastAsia" w:ascii="Times New Roman" w:hAnsi="Times New Roman" w:eastAsia="宋体" w:cs="Times New Roman"/>
          <w:b/>
          <w:bCs/>
          <w:sz w:val="28"/>
          <w:szCs w:val="32"/>
          <w:highlight w:val="none"/>
          <w:lang w:val="en-US" w:eastAsia="zh-CN"/>
        </w:rPr>
      </w:pPr>
      <w:r>
        <w:rPr>
          <w:rFonts w:hint="eastAsia" w:ascii="Times New Roman" w:hAnsi="Times New Roman" w:eastAsia="宋体" w:cs="Times New Roman"/>
          <w:b/>
          <w:bCs/>
          <w:sz w:val="28"/>
          <w:szCs w:val="32"/>
          <w:highlight w:val="none"/>
          <w:lang w:val="en-US" w:eastAsia="zh-CN"/>
        </w:rPr>
        <w:t xml:space="preserve">二、满足特定资格要求的证明文件</w:t>
      </w:r>
      <w:r/>
    </w:p>
    <w:p>
      <w:pPr>
        <w:pStyle w:val="1258"/>
        <w:ind w:firstLine="480"/>
        <w:spacing w:line="360" w:lineRule="auto"/>
        <w:rPr>
          <w:sz w:val="24"/>
          <w:szCs w:val="24"/>
          <w:highlight w:val="none"/>
        </w:rPr>
      </w:pPr>
      <w:r>
        <w:rPr>
          <w:rFonts w:hint="eastAsia"/>
          <w:sz w:val="24"/>
          <w:szCs w:val="24"/>
          <w:highlight w:val="none"/>
        </w:rPr>
        <w:t xml:space="preserve"> 如果本项目申请人的特定资格要求中要求提供的，必须提供。</w:t>
      </w:r>
      <w:r/>
    </w:p>
    <w:p>
      <w:pPr>
        <w:spacing w:line="360" w:lineRule="auto"/>
        <w:rPr>
          <w:rFonts w:ascii="黑体" w:hAnsi="黑体" w:eastAsia="黑体"/>
          <w:i/>
          <w:sz w:val="32"/>
          <w:szCs w:val="32"/>
          <w:highlight w:val="none"/>
          <w:u w:val="single"/>
        </w:rPr>
        <w:sectPr>
          <w:footnotePr/>
          <w:endnotePr/>
          <w:type w:val="nextPage"/>
          <w:pgSz w:w="11906" w:h="16838" w:orient="portrait"/>
          <w:pgMar w:top="1417" w:right="1361" w:bottom="1417" w:left="1366" w:header="851" w:footer="907" w:gutter="0"/>
          <w:cols w:num="1" w:sep="0" w:space="0" w:equalWidth="1"/>
          <w:docGrid w:linePitch="360"/>
          <w:titlePg/>
        </w:sectPr>
      </w:pPr>
      <w:r>
        <w:rPr>
          <w:rFonts w:ascii="黑体" w:hAnsi="黑体" w:eastAsia="黑体"/>
          <w:i/>
          <w:sz w:val="32"/>
          <w:szCs w:val="32"/>
          <w:highlight w:val="none"/>
          <w:u w:val="single"/>
        </w:rPr>
      </w:r>
      <w:r/>
    </w:p>
    <w:p>
      <w:pPr>
        <w:rPr>
          <w:highlight w:val="none"/>
        </w:rPr>
      </w:pPr>
      <w:r>
        <w:rPr>
          <w:highlight w:val="none"/>
        </w:rPr>
      </w:r>
      <w:r/>
    </w:p>
    <w:p>
      <w:pPr>
        <w:jc w:val="center"/>
        <w:spacing w:line="360" w:lineRule="auto"/>
        <w:rPr>
          <w:b/>
          <w:bCs/>
          <w:sz w:val="28"/>
          <w:szCs w:val="32"/>
          <w:highlight w:val="none"/>
          <w:lang w:val="zh-CN"/>
        </w:rPr>
      </w:pPr>
      <w:r>
        <w:rPr>
          <w:rFonts w:hint="eastAsia"/>
          <w:b/>
          <w:bCs/>
          <w:sz w:val="28"/>
          <w:szCs w:val="32"/>
          <w:highlight w:val="none"/>
          <w:lang w:val="en-US" w:eastAsia="zh-CN"/>
        </w:rPr>
        <w:t xml:space="preserve">三、</w:t>
      </w:r>
      <w:r>
        <w:rPr>
          <w:rFonts w:hint="eastAsia"/>
          <w:b/>
          <w:bCs/>
          <w:sz w:val="28"/>
          <w:szCs w:val="32"/>
          <w:highlight w:val="none"/>
          <w:lang w:val="zh-CN"/>
        </w:rPr>
        <w:t xml:space="preserve">法</w:t>
      </w:r>
      <w:r>
        <w:rPr>
          <w:rFonts w:hint="eastAsia"/>
          <w:b/>
          <w:bCs/>
          <w:sz w:val="28"/>
          <w:szCs w:val="32"/>
          <w:highlight w:val="none"/>
          <w:lang w:val="en-US" w:eastAsia="zh-CN"/>
        </w:rPr>
        <w:t xml:space="preserve">定代表</w:t>
      </w:r>
      <w:r>
        <w:rPr>
          <w:rFonts w:hint="eastAsia"/>
          <w:b/>
          <w:bCs/>
          <w:sz w:val="28"/>
          <w:szCs w:val="32"/>
          <w:highlight w:val="none"/>
          <w:lang w:val="zh-CN"/>
        </w:rPr>
        <w:t xml:space="preserve">人授权</w:t>
      </w:r>
      <w:r>
        <w:rPr>
          <w:rFonts w:hint="eastAsia"/>
          <w:b/>
          <w:bCs/>
          <w:sz w:val="28"/>
          <w:szCs w:val="32"/>
          <w:highlight w:val="none"/>
          <w:lang w:val="en-US" w:eastAsia="zh-CN"/>
        </w:rPr>
        <w:t xml:space="preserve">委托</w:t>
      </w:r>
      <w:r>
        <w:rPr>
          <w:rFonts w:hint="eastAsia"/>
          <w:b/>
          <w:bCs/>
          <w:sz w:val="28"/>
          <w:szCs w:val="32"/>
          <w:highlight w:val="none"/>
          <w:lang w:val="zh-CN"/>
        </w:rPr>
        <w:t xml:space="preserve">书</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本授权书声明：</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（投标人名称）授权</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（被授权人的姓名）为我方就</w:t>
      </w:r>
      <w:r>
        <w:rPr>
          <w:rFonts w:hint="eastAsia" w:ascii="宋体" w:hAnsi="宋体" w:cs="宋体"/>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sz w:val="24"/>
          <w:szCs w:val="24"/>
          <w:highlight w:val="none"/>
        </w:rPr>
        <w:t xml:space="preserve">号项目采购活动的合法代理人，以本单位名义全权处理一切与该项目采购有关的事务。</w:t>
      </w:r>
      <w:r/>
    </w:p>
    <w:p>
      <w:pPr>
        <w:pStyle w:val="1258"/>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本授权书于______年____月____日起生效，特此声明。</w:t>
      </w:r>
      <w:r/>
    </w:p>
    <w:p>
      <w:pPr>
        <w:pStyle w:val="1258"/>
        <w:ind w:firstLine="480"/>
        <w:spacing w:line="360" w:lineRule="auto"/>
        <w:rPr>
          <w:rFonts w:hint="default" w:ascii="宋体" w:hAnsi="宋体" w:cs="宋体"/>
          <w:sz w:val="24"/>
          <w:szCs w:val="24"/>
          <w:highlight w:val="none"/>
          <w:u w:val="single"/>
          <w:lang w:val="en-US" w:eastAsia="zh-CN"/>
        </w:rPr>
      </w:pPr>
      <w:r/>
      <w:bookmarkStart w:id="168" w:name="_Hlt26671380"/>
      <w:r/>
      <w:bookmarkEnd w:id="168"/>
      <w:r/>
      <w:bookmarkStart w:id="169" w:name="_Hlt26955070"/>
      <w:r/>
      <w:bookmarkEnd w:id="169"/>
      <w:r/>
      <w:bookmarkStart w:id="170" w:name="_格式3__银行出具的资信证明"/>
      <w:r/>
      <w:bookmarkEnd w:id="170"/>
      <w:r>
        <w:rPr>
          <w:rFonts w:hint="eastAsia" w:ascii="宋体" w:hAnsi="宋体" w:cs="宋体"/>
          <w:sz w:val="24"/>
          <w:szCs w:val="24"/>
          <w:highlight w:val="none"/>
        </w:rPr>
        <w:t xml:space="preserve">被授权人身份证号码：</w:t>
      </w:r>
      <w:r>
        <w:rPr>
          <w:rFonts w:hint="eastAsia" w:ascii="宋体" w:hAnsi="宋体" w:cs="宋体"/>
          <w:sz w:val="24"/>
          <w:szCs w:val="24"/>
          <w:highlight w:val="none"/>
          <w:u w:val="single"/>
          <w:lang w:val="en-US" w:eastAsia="zh-CN"/>
        </w:rPr>
        <w:t xml:space="preserve">           </w:t>
      </w:r>
      <w:r/>
    </w:p>
    <w:p>
      <w:pPr>
        <w:pStyle w:val="1258"/>
        <w:ind w:firstLine="480"/>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被授权人联系电话：</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（手机）</w:t>
      </w:r>
      <w:r/>
    </w:p>
    <w:p>
      <w:pPr>
        <w:pStyle w:val="1258"/>
        <w:ind w:firstLine="468"/>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授权单位名称：</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p>
    <w:p>
      <w:pPr>
        <w:pStyle w:val="1258"/>
        <w:ind w:firstLine="480"/>
        <w:spacing w:line="360" w:lineRule="auto"/>
        <w:rPr>
          <w:rFonts w:hint="default" w:ascii="宋体" w:hAnsi="宋体" w:eastAsia="宋体" w:cs="宋体"/>
          <w:sz w:val="24"/>
          <w:szCs w:val="24"/>
          <w:highlight w:val="none"/>
          <w:u w:val="none"/>
          <w:lang w:val="en-US" w:eastAsia="zh-CN"/>
        </w:rPr>
      </w:pPr>
      <w:r>
        <w:rPr>
          <w:rFonts w:hint="eastAsia" w:ascii="宋体" w:hAnsi="宋体" w:cs="宋体"/>
          <w:sz w:val="24"/>
          <w:szCs w:val="24"/>
          <w:highlight w:val="none"/>
        </w:rPr>
        <w:t xml:space="preserve">单位地址：</w:t>
      </w:r>
      <w:r>
        <w:rPr>
          <w:rFonts w:hint="eastAsia" w:ascii="宋体" w:hAnsi="宋体" w:cs="宋体"/>
          <w:sz w:val="24"/>
          <w:szCs w:val="24"/>
          <w:highlight w:val="none"/>
          <w:u w:val="single"/>
          <w:lang w:val="en-US" w:eastAsia="zh-CN"/>
        </w:rPr>
        <w:t xml:space="preserve">                     </w:t>
      </w:r>
      <w:r/>
    </w:p>
    <w:p>
      <w:pPr>
        <w:pStyle w:val="1258"/>
        <w:ind w:firstLine="480"/>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日    期：</w:t>
      </w:r>
      <w:r>
        <w:rPr>
          <w:rFonts w:hint="eastAsia" w:ascii="宋体" w:hAnsi="宋体" w:cs="宋体"/>
          <w:sz w:val="24"/>
          <w:szCs w:val="24"/>
          <w:highlight w:val="none"/>
          <w:u w:val="single"/>
          <w:lang w:val="en-US" w:eastAsia="zh-CN"/>
        </w:rPr>
        <w:t xml:space="preserve">                     </w:t>
      </w:r>
      <w:r/>
    </w:p>
    <w:p>
      <w:pPr>
        <w:ind w:firstLine="482"/>
        <w:keepLines w:val="0"/>
        <w:keepNext w:val="0"/>
        <w:pageBreakBefore w:val="0"/>
        <w:spacing w:line="312"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附：法定代表人及受托人身份证正反面。</w:t>
      </w:r>
      <w:r/>
    </w:p>
    <w:p>
      <w:pPr>
        <w:pStyle w:val="1258"/>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40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授权单位</w:t>
      </w:r>
      <w:r>
        <w:rPr>
          <w:rFonts w:hint="eastAsia" w:ascii="宋体" w:hAnsi="宋体" w:cs="宋体"/>
          <w:sz w:val="24"/>
          <w:szCs w:val="24"/>
          <w:highlight w:val="none"/>
          <w:u w:val="single"/>
        </w:rPr>
        <w:t xml:space="preserve">（加盖CA电子公章）</w:t>
      </w:r>
      <w:r/>
    </w:p>
    <w:p>
      <w:pPr>
        <w:ind w:left="407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法定代表人（签字或</w:t>
      </w:r>
      <w:r>
        <w:rPr>
          <w:rFonts w:hint="eastAsia" w:ascii="宋体" w:hAnsi="宋体" w:eastAsia="宋体" w:cs="宋体"/>
          <w:sz w:val="24"/>
          <w:szCs w:val="24"/>
          <w:highlight w:val="none"/>
          <w:lang w:val="en-US" w:eastAsia="zh-CN"/>
        </w:rPr>
        <w:t xml:space="preserve">签</w:t>
      </w:r>
      <w:r>
        <w:rPr>
          <w:rFonts w:hint="eastAsia" w:ascii="宋体" w:hAnsi="宋体" w:eastAsia="宋体" w:cs="宋体"/>
          <w:sz w:val="24"/>
          <w:szCs w:val="24"/>
          <w:highlight w:val="none"/>
        </w:rPr>
        <w:t xml:space="preserve">章）</w:t>
      </w:r>
      <w:r/>
    </w:p>
    <w:p>
      <w:pPr>
        <w:ind w:left="407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年  月  日</w:t>
      </w:r>
      <w:r/>
    </w:p>
    <w:p>
      <w:pPr>
        <w:pStyle w:val="1183"/>
        <w:spacing w:line="360" w:lineRule="auto"/>
        <w:rPr>
          <w:i/>
          <w:sz w:val="24"/>
          <w:szCs w:val="24"/>
          <w:highlight w:val="none"/>
          <w:u w:val="single"/>
        </w:rPr>
      </w:pPr>
      <w:r>
        <w:rPr>
          <w:i/>
          <w:sz w:val="24"/>
          <w:szCs w:val="24"/>
          <w:highlight w:val="none"/>
          <w:u w:val="single"/>
        </w:rPr>
      </w:r>
      <w:r/>
    </w:p>
    <w:p>
      <w:pPr>
        <w:pStyle w:val="1183"/>
        <w:ind w:firstLine="0"/>
        <w:spacing w:line="360" w:lineRule="auto"/>
        <w:rPr>
          <w:highlight w:val="none"/>
        </w:rPr>
      </w:pPr>
      <w:r>
        <w:rPr>
          <w:highlight w:val="none"/>
        </w:rPr>
      </w:r>
      <w:r/>
    </w:p>
    <w:p>
      <w:pPr>
        <w:spacing w:line="360" w:lineRule="auto"/>
        <w:rPr>
          <w:rFonts w:ascii="楷体" w:hAnsi="楷体" w:eastAsia="楷体"/>
          <w:bCs/>
          <w:sz w:val="24"/>
          <w:szCs w:val="24"/>
          <w:highlight w:val="none"/>
        </w:rPr>
      </w:pPr>
      <w:r>
        <w:rPr>
          <w:rFonts w:ascii="楷体" w:hAnsi="楷体" w:eastAsia="楷体"/>
          <w:bCs/>
          <w:sz w:val="24"/>
          <w:szCs w:val="24"/>
          <w:highlight w:val="none"/>
        </w:rPr>
      </w:r>
      <w:r/>
    </w:p>
    <w:p>
      <w:pPr>
        <w:spacing w:line="360" w:lineRule="auto"/>
        <w:rPr>
          <w:rFonts w:ascii="宋体" w:hAnsi="宋体"/>
          <w:bCs/>
          <w:sz w:val="24"/>
          <w:highlight w:val="none"/>
        </w:rPr>
      </w:pPr>
      <w:r>
        <w:rPr>
          <w:rFonts w:ascii="宋体" w:hAnsi="宋体"/>
          <w:bCs/>
          <w:sz w:val="24"/>
          <w:highlight w:val="none"/>
        </w:rPr>
      </w:r>
      <w:r/>
    </w:p>
    <w:p>
      <w:pPr>
        <w:pStyle w:val="1287"/>
        <w:spacing w:line="360" w:lineRule="auto"/>
        <w:rPr>
          <w:bCs/>
          <w:sz w:val="24"/>
          <w:highlight w:val="none"/>
        </w:rPr>
        <w:sectPr>
          <w:footnotePr/>
          <w:endnotePr/>
          <w:type w:val="nextPage"/>
          <w:pgSz w:w="11906" w:h="16838" w:orient="portrait"/>
          <w:pgMar w:top="1417" w:right="1361" w:bottom="1417" w:left="1366" w:header="851" w:footer="907" w:gutter="0"/>
          <w:cols w:num="1" w:sep="0" w:space="0" w:equalWidth="1"/>
          <w:docGrid w:linePitch="360"/>
          <w:titlePg/>
        </w:sectPr>
      </w:pPr>
      <w:r>
        <w:rPr>
          <w:bCs/>
          <w:sz w:val="24"/>
          <w:highlight w:val="none"/>
        </w:rPr>
      </w:r>
      <w:r/>
    </w:p>
    <w:p>
      <w:pPr>
        <w:jc w:val="center"/>
        <w:spacing w:line="360" w:lineRule="auto"/>
        <w:rPr>
          <w:b/>
          <w:bCs/>
          <w:sz w:val="32"/>
          <w:szCs w:val="36"/>
          <w:highlight w:val="none"/>
          <w:lang w:val="zh-CN"/>
        </w:rPr>
      </w:pPr>
      <w:r>
        <w:rPr>
          <w:rFonts w:hint="eastAsia"/>
          <w:b/>
          <w:bCs/>
          <w:sz w:val="32"/>
          <w:szCs w:val="36"/>
          <w:highlight w:val="none"/>
          <w:lang w:val="en-US" w:eastAsia="zh-CN"/>
        </w:rPr>
        <w:t xml:space="preserve">四、</w:t>
      </w:r>
      <w:r>
        <w:rPr>
          <w:rFonts w:hint="eastAsia"/>
          <w:b/>
          <w:bCs/>
          <w:sz w:val="32"/>
          <w:szCs w:val="36"/>
          <w:highlight w:val="none"/>
        </w:rPr>
        <w:t xml:space="preserve">投标函</w:t>
      </w:r>
      <w:r/>
    </w:p>
    <w:p>
      <w:pPr>
        <w:pStyle w:val="1260"/>
        <w:spacing w:before="0" w:after="0" w:line="360" w:lineRule="auto"/>
        <w:rPr>
          <w:rFonts w:hint="eastAsia" w:ascii="宋体" w:hAnsi="宋体" w:eastAsia="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lang w:eastAsia="zh-CN"/>
        </w:rPr>
        <w:t xml:space="preserve">江苏臻采招标代理有限公司</w:t>
      </w:r>
      <w:r/>
    </w:p>
    <w:p>
      <w:pPr>
        <w:pStyle w:val="1260"/>
        <w:spacing w:before="0" w:after="0" w:line="360" w:lineRule="auto"/>
        <w:rPr>
          <w:rFonts w:ascii="宋体" w:hAnsi="宋体"/>
          <w:szCs w:val="21"/>
          <w:highlight w:val="none"/>
        </w:rPr>
      </w:pPr>
      <w:r>
        <w:rPr>
          <w:rFonts w:hint="eastAsia" w:ascii="宋体" w:hAnsi="宋体"/>
          <w:szCs w:val="21"/>
          <w:highlight w:val="none"/>
        </w:rPr>
        <w:t xml:space="preserve">根据贵方的</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lang w:val="zh-CN"/>
        </w:rPr>
        <w:t xml:space="preserve">（项目编号）</w:t>
      </w:r>
      <w:r>
        <w:rPr>
          <w:rFonts w:hint="eastAsia" w:ascii="宋体" w:hAnsi="宋体"/>
          <w:szCs w:val="21"/>
          <w:highlight w:val="none"/>
        </w:rPr>
        <w:t xml:space="preserve">招标文件，正式授权下述签字人</w:t>
      </w:r>
      <w:r>
        <w:rPr>
          <w:rFonts w:hint="eastAsia" w:ascii="宋体" w:hAnsi="宋体"/>
          <w:szCs w:val="21"/>
          <w:highlight w:val="none"/>
          <w:u w:val="single"/>
          <w:lang w:val="en-US" w:eastAsia="zh-CN"/>
        </w:rPr>
        <w:t xml:space="preserve">     </w:t>
      </w:r>
      <w:r>
        <w:rPr>
          <w:rFonts w:hint="eastAsia" w:ascii="宋体" w:hAnsi="宋体"/>
          <w:szCs w:val="21"/>
          <w:highlight w:val="none"/>
        </w:rPr>
        <w:t xml:space="preserve">(姓名)代表我方</w:t>
      </w:r>
      <w:r>
        <w:rPr>
          <w:rFonts w:hint="eastAsia" w:ascii="宋体" w:hAnsi="宋体"/>
          <w:szCs w:val="21"/>
          <w:highlight w:val="none"/>
          <w:u w:val="single"/>
          <w:lang w:val="en-US" w:eastAsia="zh-CN"/>
        </w:rPr>
        <w:t xml:space="preserve">        </w:t>
      </w:r>
      <w:r>
        <w:rPr>
          <w:rFonts w:hint="eastAsia" w:ascii="宋体" w:hAnsi="宋体"/>
          <w:szCs w:val="21"/>
          <w:highlight w:val="none"/>
        </w:rPr>
        <w:t xml:space="preserve">（投标人的名称），全权处理本次项目投标的有关事宜。</w:t>
      </w:r>
      <w:r/>
    </w:p>
    <w:p>
      <w:pPr>
        <w:pStyle w:val="1260"/>
        <w:spacing w:before="0" w:after="0" w:line="360" w:lineRule="auto"/>
        <w:rPr>
          <w:rFonts w:ascii="宋体" w:hAnsi="宋体"/>
          <w:szCs w:val="21"/>
          <w:highlight w:val="none"/>
        </w:rPr>
      </w:pPr>
      <w:r>
        <w:rPr>
          <w:rFonts w:hint="eastAsia" w:ascii="宋体" w:hAnsi="宋体"/>
          <w:szCs w:val="21"/>
          <w:highlight w:val="none"/>
        </w:rPr>
        <w:t xml:space="preserve">据此函，签字人兹宣布同意如下：</w:t>
      </w:r>
      <w:r/>
    </w:p>
    <w:p>
      <w:pPr>
        <w:pStyle w:val="1260"/>
        <w:spacing w:before="0" w:after="0" w:line="360" w:lineRule="auto"/>
        <w:rPr>
          <w:rFonts w:ascii="宋体" w:hAnsi="宋体"/>
          <w:szCs w:val="21"/>
          <w:highlight w:val="none"/>
        </w:rPr>
      </w:pPr>
      <w:r>
        <w:rPr>
          <w:rFonts w:hint="eastAsia" w:ascii="宋体" w:hAnsi="宋体"/>
          <w:szCs w:val="21"/>
          <w:highlight w:val="none"/>
        </w:rPr>
        <w:t xml:space="preserve">1.按招标文件规定的各项要求，向买方提供所需货物（包含与货物相关的服务）。</w:t>
      </w:r>
      <w:r/>
    </w:p>
    <w:p>
      <w:pPr>
        <w:pStyle w:val="1260"/>
        <w:spacing w:before="0" w:after="0" w:line="360" w:lineRule="auto"/>
        <w:rPr>
          <w:rFonts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1260"/>
        <w:spacing w:before="0" w:after="0" w:line="360" w:lineRule="auto"/>
        <w:rPr>
          <w:rFonts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1260"/>
        <w:spacing w:before="0" w:after="0" w:line="360" w:lineRule="auto"/>
        <w:rPr>
          <w:rFonts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1260"/>
        <w:spacing w:before="0" w:after="0" w:line="360" w:lineRule="auto"/>
        <w:rPr>
          <w:rFonts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1260"/>
        <w:spacing w:before="0" w:after="0" w:line="360" w:lineRule="auto"/>
        <w:rPr>
          <w:rFonts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7.我方为：</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大型企业 </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微型企业（在对应</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内</w:t>
      </w:r>
      <w:r>
        <w:rPr>
          <w:rFonts w:hint="eastAsia" w:ascii="宋体" w:hAnsi="宋体" w:eastAsia="宋体" w:cs="宋体"/>
          <w:sz w:val="24"/>
          <w:szCs w:val="24"/>
          <w:highlight w:val="none"/>
          <w:lang w:val="zh-CN"/>
        </w:rPr>
        <w:t xml:space="preserve">打“√”</w:t>
      </w:r>
      <w:r>
        <w:rPr>
          <w:rFonts w:hint="eastAsia" w:ascii="宋体" w:hAnsi="宋体" w:eastAsia="宋体" w:cs="宋体"/>
          <w:sz w:val="24"/>
          <w:szCs w:val="24"/>
          <w:highlight w:val="none"/>
        </w:rPr>
        <w:t xml:space="preserve">）</w:t>
      </w:r>
      <w:r/>
    </w:p>
    <w:p>
      <w:pPr>
        <w:pStyle w:val="1260"/>
        <w:spacing w:before="0" w:after="0" w:line="360" w:lineRule="auto"/>
        <w:rPr>
          <w:rFonts w:ascii="宋体" w:hAnsi="宋体"/>
          <w:szCs w:val="21"/>
          <w:highlight w:val="none"/>
        </w:rPr>
      </w:pPr>
      <w:r>
        <w:rPr>
          <w:rFonts w:hint="eastAsia" w:ascii="宋体" w:hAnsi="宋体"/>
          <w:szCs w:val="21"/>
          <w:highlight w:val="none"/>
        </w:rPr>
        <w:t xml:space="preserve">8.与本投标有关的正式通讯地址为：</w:t>
      </w:r>
      <w:r/>
    </w:p>
    <w:p>
      <w:pPr>
        <w:pStyle w:val="1260"/>
        <w:ind w:left="420"/>
        <w:spacing w:before="0" w:after="0" w:line="360" w:lineRule="auto"/>
        <w:rPr>
          <w:rFonts w:ascii="宋体" w:hAnsi="宋体"/>
          <w:szCs w:val="21"/>
          <w:highlight w:val="none"/>
          <w:u w:val="single"/>
        </w:rPr>
      </w:pPr>
      <w:r>
        <w:rPr>
          <w:rFonts w:hint="eastAsia" w:ascii="宋体" w:hAnsi="宋体"/>
          <w:szCs w:val="21"/>
          <w:highlight w:val="none"/>
        </w:rPr>
        <w:t xml:space="preserve">投标人名称：</w:t>
      </w:r>
      <w:r>
        <w:rPr>
          <w:rFonts w:hint="eastAsia" w:ascii="宋体" w:hAnsi="宋体"/>
          <w:szCs w:val="21"/>
          <w:highlight w:val="none"/>
          <w:u w:val="single"/>
        </w:rPr>
        <w:t xml:space="preserve">（加盖CA电子公章）     </w:t>
      </w:r>
      <w:r/>
    </w:p>
    <w:p>
      <w:pPr>
        <w:pStyle w:val="1260"/>
        <w:ind w:left="420"/>
        <w:spacing w:before="0" w:after="0" w:line="360" w:lineRule="auto"/>
        <w:rPr>
          <w:rFonts w:ascii="宋体" w:hAnsi="宋体"/>
          <w:szCs w:val="21"/>
          <w:highlight w:val="none"/>
          <w:u w:val="single"/>
        </w:rPr>
      </w:pPr>
      <w:r>
        <w:rPr>
          <w:rFonts w:hint="eastAsia" w:ascii="宋体" w:hAnsi="宋体"/>
          <w:szCs w:val="21"/>
          <w:highlight w:val="none"/>
        </w:rPr>
        <w:t xml:space="preserve">地      址：</w:t>
      </w:r>
      <w:r/>
    </w:p>
    <w:p>
      <w:pPr>
        <w:pStyle w:val="1260"/>
        <w:ind w:left="420"/>
        <w:spacing w:before="0" w:after="0" w:line="360" w:lineRule="auto"/>
        <w:rPr>
          <w:rFonts w:ascii="宋体" w:hAnsi="宋体"/>
          <w:szCs w:val="21"/>
          <w:highlight w:val="none"/>
          <w:u w:val="single"/>
        </w:rPr>
      </w:pPr>
      <w:r>
        <w:rPr>
          <w:rFonts w:hint="eastAsia" w:ascii="宋体" w:hAnsi="宋体"/>
          <w:szCs w:val="21"/>
          <w:highlight w:val="none"/>
        </w:rPr>
        <w:t xml:space="preserve">邮      编：</w:t>
      </w:r>
      <w:r/>
    </w:p>
    <w:p>
      <w:pPr>
        <w:pStyle w:val="1260"/>
        <w:ind w:left="420"/>
        <w:spacing w:before="0" w:after="0" w:line="360" w:lineRule="auto"/>
        <w:rPr>
          <w:rFonts w:ascii="宋体" w:hAnsi="宋体"/>
          <w:szCs w:val="21"/>
          <w:highlight w:val="none"/>
          <w:u w:val="single"/>
        </w:rPr>
      </w:pPr>
      <w:r>
        <w:rPr>
          <w:rFonts w:hint="eastAsia" w:ascii="宋体" w:hAnsi="宋体"/>
          <w:szCs w:val="21"/>
          <w:highlight w:val="none"/>
        </w:rPr>
        <w:t xml:space="preserve">电      话：</w:t>
      </w:r>
      <w:r/>
    </w:p>
    <w:p>
      <w:pPr>
        <w:pStyle w:val="1260"/>
        <w:ind w:left="420"/>
        <w:spacing w:before="0" w:after="0" w:line="360" w:lineRule="auto"/>
        <w:rPr>
          <w:rFonts w:ascii="宋体" w:hAnsi="宋体"/>
          <w:szCs w:val="21"/>
          <w:highlight w:val="none"/>
          <w:u w:val="single"/>
        </w:rPr>
      </w:pPr>
      <w:r>
        <w:rPr>
          <w:rFonts w:hint="eastAsia" w:ascii="宋体" w:hAnsi="宋体"/>
          <w:szCs w:val="21"/>
          <w:highlight w:val="none"/>
        </w:rPr>
        <w:t xml:space="preserve">传      真：</w:t>
      </w:r>
      <w:r/>
    </w:p>
    <w:p>
      <w:pPr>
        <w:pStyle w:val="1260"/>
        <w:ind w:left="420"/>
        <w:spacing w:before="0" w:after="0" w:line="360" w:lineRule="auto"/>
        <w:rPr>
          <w:rFonts w:ascii="宋体" w:hAnsi="宋体"/>
          <w:szCs w:val="21"/>
          <w:highlight w:val="none"/>
          <w:u w:val="single"/>
        </w:rPr>
      </w:pPr>
      <w:r>
        <w:rPr>
          <w:rFonts w:hint="eastAsia" w:ascii="宋体" w:hAnsi="宋体"/>
          <w:szCs w:val="21"/>
          <w:highlight w:val="none"/>
        </w:rPr>
        <w:t xml:space="preserve">投标人开户行：</w:t>
      </w:r>
      <w:r/>
    </w:p>
    <w:p>
      <w:pPr>
        <w:pStyle w:val="1260"/>
        <w:ind w:left="420"/>
        <w:spacing w:before="0" w:after="0" w:line="360" w:lineRule="auto"/>
        <w:rPr>
          <w:rFonts w:ascii="宋体" w:hAnsi="宋体"/>
          <w:szCs w:val="21"/>
          <w:highlight w:val="none"/>
          <w:u w:val="single"/>
        </w:rPr>
      </w:pPr>
      <w:r>
        <w:rPr>
          <w:rFonts w:hint="eastAsia" w:ascii="宋体" w:hAnsi="宋体"/>
          <w:szCs w:val="21"/>
          <w:highlight w:val="none"/>
        </w:rPr>
        <w:t xml:space="preserve">账      号：</w:t>
      </w:r>
      <w:r/>
    </w:p>
    <w:p>
      <w:pPr>
        <w:pStyle w:val="1260"/>
        <w:ind w:left="420"/>
        <w:spacing w:before="0" w:after="0" w:line="360" w:lineRule="auto"/>
        <w:rPr>
          <w:rFonts w:ascii="宋体" w:hAnsi="宋体"/>
          <w:szCs w:val="21"/>
          <w:highlight w:val="none"/>
        </w:rPr>
      </w:pPr>
      <w:r>
        <w:rPr>
          <w:rFonts w:hint="eastAsia" w:ascii="宋体" w:hAnsi="宋体"/>
          <w:szCs w:val="21"/>
          <w:highlight w:val="none"/>
        </w:rPr>
        <w:t xml:space="preserve">日      期：年月日</w:t>
      </w:r>
      <w:r/>
    </w:p>
    <w:p>
      <w:pPr>
        <w:ind w:firstLine="240"/>
        <w:jc w:val="center"/>
        <w:spacing w:line="360" w:lineRule="auto"/>
        <w:rPr>
          <w:rFonts w:ascii="宋体" w:hAnsi="宋体"/>
          <w:bCs/>
          <w:sz w:val="24"/>
          <w:highlight w:val="none"/>
        </w:rPr>
      </w:pPr>
      <w:r>
        <w:rPr>
          <w:rFonts w:ascii="宋体" w:hAnsi="宋体"/>
          <w:bCs/>
          <w:sz w:val="24"/>
          <w:highlight w:val="none"/>
        </w:rPr>
      </w:r>
      <w:r/>
    </w:p>
    <w:p>
      <w:pPr>
        <w:ind w:firstLine="240"/>
        <w:jc w:val="center"/>
        <w:spacing w:line="360" w:lineRule="auto"/>
        <w:rPr>
          <w:rFonts w:ascii="宋体" w:hAnsi="宋体"/>
          <w:bCs/>
          <w:sz w:val="24"/>
          <w:highlight w:val="none"/>
        </w:rPr>
      </w:pPr>
      <w:r>
        <w:rPr>
          <w:rFonts w:ascii="宋体" w:hAnsi="宋体"/>
          <w:bCs/>
          <w:sz w:val="24"/>
          <w:highlight w:val="none"/>
        </w:rPr>
      </w:r>
      <w:r/>
    </w:p>
    <w:p>
      <w:pPr>
        <w:ind w:firstLine="240"/>
        <w:jc w:val="center"/>
        <w:spacing w:line="360" w:lineRule="auto"/>
        <w:rPr>
          <w:rFonts w:ascii="宋体" w:hAnsi="宋体"/>
          <w:bCs/>
          <w:sz w:val="24"/>
          <w:highlight w:val="none"/>
        </w:rPr>
      </w:pPr>
      <w:r>
        <w:rPr>
          <w:rFonts w:ascii="宋体" w:hAnsi="宋体"/>
          <w:bCs/>
          <w:sz w:val="24"/>
          <w:highlight w:val="none"/>
        </w:rPr>
      </w:r>
      <w:r/>
    </w:p>
    <w:p>
      <w:pPr>
        <w:jc w:val="center"/>
        <w:spacing w:line="360" w:lineRule="auto"/>
        <w:rPr>
          <w:rFonts w:hint="eastAsia" w:ascii="Times New Roman" w:hAnsi="Times New Roman" w:eastAsia="宋体" w:cs="Times New Roman"/>
          <w:b/>
          <w:bCs/>
          <w:sz w:val="32"/>
          <w:szCs w:val="36"/>
          <w:highlight w:val="none"/>
          <w:lang w:val="en-US" w:eastAsia="zh-CN"/>
        </w:rPr>
        <w:sectPr>
          <w:footnotePr/>
          <w:endnotePr/>
          <w:type w:val="nextPage"/>
          <w:pgSz w:w="11906" w:h="16838" w:orient="portrait"/>
          <w:pgMar w:top="1417" w:right="1361" w:bottom="1417" w:left="1366" w:header="851" w:footer="907" w:gutter="0"/>
          <w:cols w:num="1" w:sep="0" w:space="0" w:equalWidth="1"/>
          <w:docGrid w:linePitch="360"/>
          <w:titlePg/>
        </w:sectPr>
      </w:pPr>
      <w:r>
        <w:rPr>
          <w:rFonts w:hint="eastAsia" w:ascii="Times New Roman" w:hAnsi="Times New Roman" w:eastAsia="宋体" w:cs="Times New Roman"/>
          <w:b/>
          <w:bCs/>
          <w:sz w:val="32"/>
          <w:szCs w:val="36"/>
          <w:highlight w:val="none"/>
          <w:lang w:val="en-US" w:eastAsia="zh-CN"/>
        </w:rPr>
      </w:r>
      <w:r/>
    </w:p>
    <w:p>
      <w:pPr>
        <w:jc w:val="center"/>
        <w:spacing w:line="360" w:lineRule="auto"/>
        <w:rPr>
          <w:rFonts w:hint="eastAsia" w:ascii="Times New Roman" w:hAnsi="Times New Roman" w:eastAsia="宋体" w:cs="Times New Roman"/>
          <w:b w:val="0"/>
          <w:bCs w:val="0"/>
          <w:sz w:val="32"/>
          <w:szCs w:val="36"/>
          <w:highlight w:val="none"/>
          <w:lang w:val="en-US" w:eastAsia="zh-CN"/>
        </w:rPr>
      </w:pPr>
      <w:r>
        <w:rPr>
          <w:rFonts w:hint="eastAsia" w:ascii="Times New Roman" w:hAnsi="Times New Roman" w:eastAsia="宋体" w:cs="Times New Roman"/>
          <w:b/>
          <w:bCs/>
          <w:sz w:val="32"/>
          <w:szCs w:val="36"/>
          <w:highlight w:val="none"/>
          <w:lang w:val="en-US" w:eastAsia="zh-CN"/>
        </w:rPr>
        <w:t xml:space="preserve">五、开标一览表</w:t>
      </w:r>
      <w:r>
        <w:rPr>
          <w:rFonts w:hint="eastAsia" w:ascii="宋体" w:hAnsi="宋体"/>
          <w:b/>
          <w:bCs/>
          <w:sz w:val="24"/>
          <w:highlight w:val="none"/>
          <w:lang w:val="en-US" w:eastAsia="zh-CN"/>
        </w:rPr>
        <w:t xml:space="preserve">（优惠率=1-费率）</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              </w:t>
      </w:r>
      <w:r/>
    </w:p>
    <w:tbl>
      <w:tblPr>
        <w:tblStyle w:val="917"/>
        <w:tblpPr w:horzAnchor="text" w:tblpXSpec="center" w:vertAnchor="text" w:tblpY="1" w:leftFromText="45" w:topFromText="0" w:rightFromText="45" w:bottomFromText="0"/>
        <w:tblW w:w="8361" w:type="dxa"/>
        <w:jc w:val="center"/>
        <w:tblCellSpacing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985"/>
        <w:gridCol w:w="6376"/>
      </w:tblGrid>
      <w:tr>
        <w:trPr>
          <w:jc w:val="center"/>
          <w:tblCellSpacing w:w="0" w:type="dxa"/>
          <w:trHeight w:val="1459"/>
        </w:trPr>
        <w:tc>
          <w:tcPr>
            <w:tcBorders>
              <w:top w:val="single" w:color="auto" w:sz="4" w:space="0"/>
              <w:left w:val="single" w:color="000000" w:sz="6"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rPr>
                <w:sz w:val="24"/>
                <w:szCs w:val="28"/>
                <w:highlight w:val="none"/>
              </w:rPr>
              <w:suppressLineNumbers w:val="0"/>
            </w:pPr>
            <w:r>
              <w:rPr>
                <w:rFonts w:hint="eastAsia"/>
                <w:sz w:val="24"/>
                <w:szCs w:val="28"/>
                <w:highlight w:val="none"/>
              </w:rPr>
              <w:t xml:space="preserve">项目名称</w:t>
            </w:r>
            <w:r/>
          </w:p>
        </w:tc>
        <w:tc>
          <w:tcPr>
            <w:tcBorders>
              <w:top w:val="single" w:color="auto" w:sz="4" w:space="0"/>
              <w:left w:val="single" w:color="auto" w:sz="4" w:space="0"/>
              <w:bottom w:val="single" w:color="auto" w:sz="4" w:space="0"/>
              <w:right w:val="single" w:color="auto" w:sz="4" w:space="0"/>
            </w:tcBorders>
            <w:tcW w:w="6376" w:type="dxa"/>
            <w:vAlign w:val="center"/>
            <w:textDirection w:val="lrTb"/>
            <w:noWrap w:val="false"/>
          </w:tcPr>
          <w:p>
            <w:pPr>
              <w:ind w:left="0" w:right="0"/>
              <w:jc w:val="center"/>
              <w:keepLines w:val="0"/>
              <w:keepNext w:val="0"/>
              <w:spacing w:before="0" w:beforeAutospacing="0" w:after="0" w:afterAutospacing="0"/>
              <w:rPr>
                <w:rFonts w:hint="eastAsia" w:eastAsia="宋体"/>
                <w:highlight w:val="none"/>
                <w:lang w:eastAsia="zh-CN"/>
              </w:rPr>
              <w:suppressLineNumbers w:val="0"/>
            </w:pPr>
            <w:r>
              <w:rPr>
                <w:rFonts w:hint="eastAsia"/>
                <w:sz w:val="24"/>
                <w:szCs w:val="28"/>
                <w:highlight w:val="none"/>
                <w:lang w:eastAsia="zh-CN"/>
              </w:rPr>
              <w:t xml:space="preserve">江苏省社会主义学院教育发展中心主副食品采购及配送服务（</w:t>
            </w:r>
            <w:r>
              <w:rPr>
                <w:rFonts w:hint="eastAsia"/>
                <w:sz w:val="24"/>
                <w:szCs w:val="28"/>
                <w:highlight w:val="none"/>
                <w:lang w:val="en-US" w:eastAsia="zh-CN"/>
              </w:rPr>
              <w:t xml:space="preserve">分包</w:t>
            </w:r>
            <w:r>
              <w:rPr>
                <w:rFonts w:hint="eastAsia"/>
                <w:sz w:val="24"/>
                <w:szCs w:val="28"/>
                <w:highlight w:val="none"/>
                <w:u w:val="single"/>
                <w:lang w:val="en-US" w:eastAsia="zh-CN"/>
              </w:rPr>
              <w:t xml:space="preserve">    </w:t>
            </w:r>
            <w:r>
              <w:rPr>
                <w:rFonts w:hint="eastAsia"/>
                <w:sz w:val="24"/>
                <w:szCs w:val="28"/>
                <w:highlight w:val="none"/>
                <w:lang w:eastAsia="zh-CN"/>
              </w:rPr>
              <w:t xml:space="preserve">）</w:t>
            </w:r>
            <w:r/>
          </w:p>
        </w:tc>
      </w:tr>
      <w:tr>
        <w:trPr>
          <w:jc w:val="center"/>
          <w:tblCellSpacing w:w="0" w:type="dxa"/>
          <w:trHeight w:val="1066"/>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rPr>
                <w:sz w:val="24"/>
                <w:szCs w:val="28"/>
                <w:highlight w:val="none"/>
              </w:rPr>
              <w:suppressLineNumbers w:val="0"/>
            </w:pPr>
            <w:r>
              <w:rPr>
                <w:rFonts w:hint="eastAsia"/>
                <w:sz w:val="24"/>
                <w:szCs w:val="28"/>
                <w:highlight w:val="none"/>
              </w:rPr>
              <w:t xml:space="preserve">项目编号</w:t>
            </w:r>
            <w:r/>
          </w:p>
        </w:tc>
        <w:tc>
          <w:tcPr>
            <w:tcBorders>
              <w:top w:val="single" w:color="auto" w:sz="4" w:space="0"/>
              <w:left w:val="single" w:color="auto" w:sz="4" w:space="0"/>
              <w:bottom w:val="single" w:color="auto" w:sz="4" w:space="0"/>
              <w:right w:val="single" w:color="auto" w:sz="4" w:space="0"/>
            </w:tcBorders>
            <w:tcW w:w="6376" w:type="dxa"/>
            <w:vAlign w:val="center"/>
            <w:textDirection w:val="lrTb"/>
            <w:noWrap w:val="false"/>
          </w:tcPr>
          <w:p>
            <w:pPr>
              <w:ind w:left="0" w:right="0"/>
              <w:jc w:val="center"/>
              <w:keepLines w:val="0"/>
              <w:keepNext w:val="0"/>
              <w:spacing w:before="0" w:beforeAutospacing="0" w:after="0" w:afterAutospacing="0"/>
              <w:rPr>
                <w:highlight w:val="none"/>
              </w:rPr>
              <w:suppressLineNumbers w:val="0"/>
            </w:pPr>
            <w:r>
              <w:rPr>
                <w:highlight w:val="none"/>
              </w:rPr>
            </w:r>
            <w:r/>
          </w:p>
        </w:tc>
      </w:tr>
      <w:tr>
        <w:trPr>
          <w:jc w:val="center"/>
          <w:tblCellSpacing w:w="0" w:type="dxa"/>
          <w:trHeight w:val="1987"/>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rPr>
                <w:rFonts w:hint="eastAsia"/>
                <w:sz w:val="24"/>
                <w:szCs w:val="28"/>
                <w:highlight w:val="none"/>
                <w:lang w:val="en-US" w:eastAsia="zh-CN"/>
              </w:rPr>
              <w:suppressLineNumbers w:val="0"/>
            </w:pPr>
            <w:r>
              <w:rPr>
                <w:rFonts w:hint="eastAsia"/>
                <w:sz w:val="24"/>
                <w:szCs w:val="28"/>
                <w:highlight w:val="none"/>
              </w:rPr>
              <w:t xml:space="preserve">投标</w:t>
            </w:r>
            <w:r>
              <w:rPr>
                <w:rFonts w:hint="eastAsia"/>
                <w:sz w:val="24"/>
                <w:szCs w:val="28"/>
                <w:highlight w:val="none"/>
                <w:lang w:val="en-US" w:eastAsia="zh-CN"/>
              </w:rPr>
              <w:t xml:space="preserve">费率</w:t>
            </w:r>
            <w:r>
              <w:rPr>
                <w:rFonts w:hint="eastAsia" w:ascii="宋体" w:hAnsi="宋体"/>
                <w:b/>
                <w:bCs/>
                <w:sz w:val="24"/>
                <w:highlight w:val="none"/>
                <w:lang w:val="en-US" w:eastAsia="zh-CN"/>
              </w:rPr>
              <w:t xml:space="preserve">（优惠率=1-费率）</w:t>
            </w:r>
            <w:bookmarkStart w:id="184" w:name="_GoBack"/>
            <w:r/>
            <w:bookmarkEnd w:id="184"/>
            <w:r/>
            <w:r/>
          </w:p>
        </w:tc>
        <w:tc>
          <w:tcPr>
            <w:tcBorders>
              <w:top w:val="single" w:color="auto" w:sz="4" w:space="0"/>
              <w:left w:val="single" w:color="auto" w:sz="4" w:space="0"/>
              <w:bottom w:val="single" w:color="auto" w:sz="4" w:space="0"/>
              <w:right w:val="single" w:color="auto" w:sz="4" w:space="0"/>
            </w:tcBorders>
            <w:tcW w:w="6376" w:type="dxa"/>
            <w:vAlign w:val="center"/>
            <w:textDirection w:val="lrTb"/>
            <w:noWrap w:val="false"/>
          </w:tcPr>
          <w:p>
            <w:pPr>
              <w:ind w:left="0" w:right="0"/>
              <w:jc w:val="left"/>
              <w:keepLines w:val="0"/>
              <w:keepNext w:val="0"/>
              <w:pageBreakBefore w:val="0"/>
              <w:spacing w:before="0" w:beforeAutospacing="0" w:after="0" w:afterAutospacing="0"/>
              <w:widowControl w:val="off"/>
              <w:rPr>
                <w:rFonts w:hint="default" w:eastAsia="宋体"/>
                <w:highlight w:val="none"/>
                <w:lang w:val="en-US" w:eastAsia="zh-CN"/>
              </w:rPr>
              <w:suppressLineNumbers w:val="0"/>
            </w:pPr>
            <w:r>
              <w:rPr>
                <w:rFonts w:hint="eastAsia"/>
                <w:highlight w:val="none"/>
                <w:lang w:val="en-US" w:eastAsia="zh-CN"/>
              </w:rPr>
              <w:t xml:space="preserve">                       </w:t>
            </w:r>
            <w:r>
              <w:rPr>
                <w:rFonts w:hint="eastAsia"/>
                <w:highlight w:val="none"/>
                <w:u w:val="single"/>
                <w:lang w:val="en-US" w:eastAsia="zh-CN"/>
              </w:rPr>
              <w:t xml:space="preserve">              %</w:t>
            </w:r>
            <w:r/>
          </w:p>
        </w:tc>
      </w:tr>
      <w:tr>
        <w:trPr>
          <w:jc w:val="center"/>
          <w:tblCellSpacing w:w="0" w:type="dxa"/>
          <w:trHeight w:val="1090"/>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rPr>
                <w:rFonts w:hint="eastAsia" w:eastAsia="宋体"/>
                <w:sz w:val="24"/>
                <w:szCs w:val="28"/>
                <w:highlight w:val="none"/>
                <w:lang w:eastAsia="zh-CN"/>
              </w:rPr>
              <w:suppressLineNumbers w:val="0"/>
            </w:pPr>
            <w:r>
              <w:rPr>
                <w:rFonts w:hint="eastAsia"/>
                <w:sz w:val="24"/>
                <w:szCs w:val="28"/>
                <w:highlight w:val="none"/>
                <w:lang w:eastAsia="zh-CN"/>
              </w:rPr>
              <w:t xml:space="preserve">服务期</w:t>
            </w:r>
            <w:r/>
          </w:p>
        </w:tc>
        <w:tc>
          <w:tcPr>
            <w:tcBorders>
              <w:top w:val="single" w:color="auto" w:sz="4" w:space="0"/>
              <w:left w:val="single" w:color="auto" w:sz="4" w:space="0"/>
              <w:bottom w:val="single" w:color="auto" w:sz="4" w:space="0"/>
              <w:right w:val="single" w:color="auto" w:sz="4" w:space="0"/>
            </w:tcBorders>
            <w:tcW w:w="6376" w:type="dxa"/>
            <w:vAlign w:val="center"/>
            <w:textDirection w:val="lrTb"/>
            <w:noWrap w:val="false"/>
          </w:tcPr>
          <w:p>
            <w:pPr>
              <w:pStyle w:val="940"/>
              <w:ind w:left="0" w:right="0"/>
              <w:keepLines w:val="0"/>
              <w:keepNext w:val="0"/>
              <w:spacing w:before="0" w:after="0"/>
              <w:rPr>
                <w:highlight w:val="none"/>
              </w:rPr>
              <w:suppressLineNumbers w:val="0"/>
            </w:pPr>
            <w:r>
              <w:rPr>
                <w:rFonts w:hint="eastAsia"/>
                <w:highlight w:val="none"/>
              </w:rPr>
              <w:t xml:space="preserve">     </w:t>
            </w:r>
            <w:r>
              <w:rPr>
                <w:rFonts w:hint="eastAsia"/>
                <w:highlight w:val="none"/>
                <w:u w:val="single"/>
                <w:lang w:val="en-US" w:eastAsia="zh-CN"/>
              </w:rPr>
              <w:t xml:space="preserve">                                </w:t>
            </w:r>
            <w:r>
              <w:rPr>
                <w:rFonts w:hint="eastAsia"/>
                <w:highlight w:val="none"/>
              </w:rPr>
              <w:t xml:space="preserve">         </w:t>
            </w:r>
            <w:r/>
          </w:p>
        </w:tc>
      </w:tr>
    </w:tbl>
    <w:p>
      <w:pPr>
        <w:spacing w:line="360" w:lineRule="auto"/>
        <w:rPr>
          <w:rFonts w:hint="eastAsia" w:ascii="宋体" w:hAnsi="宋体"/>
          <w:sz w:val="24"/>
          <w:szCs w:val="24"/>
          <w:highlight w:val="none"/>
        </w:rPr>
      </w:pPr>
      <w:r>
        <w:rPr>
          <w:rFonts w:hint="eastAsia" w:ascii="宋体" w:hAnsi="宋体"/>
          <w:sz w:val="24"/>
          <w:szCs w:val="24"/>
          <w:highlight w:val="none"/>
        </w:rPr>
      </w:r>
      <w:r/>
    </w:p>
    <w:p>
      <w:pPr>
        <w:ind w:firstLine="480"/>
        <w:spacing w:line="360" w:lineRule="auto"/>
        <w:rPr>
          <w:rFonts w:hint="default" w:ascii="宋体" w:hAnsi="宋体" w:eastAsia="宋体"/>
          <w:sz w:val="24"/>
          <w:szCs w:val="24"/>
          <w:highlight w:val="none"/>
          <w:lang w:val="en-US" w:eastAsia="zh-CN"/>
        </w:rPr>
      </w:pPr>
      <w:r>
        <w:rPr>
          <w:rFonts w:hint="eastAsia" w:ascii="宋体" w:hAnsi="宋体"/>
          <w:sz w:val="24"/>
          <w:szCs w:val="24"/>
          <w:highlight w:val="none"/>
        </w:rPr>
        <w:t xml:space="preserve">投标人名称（加盖CA电子签章）：</w:t>
      </w:r>
      <w:r>
        <w:rPr>
          <w:rFonts w:hint="eastAsia" w:ascii="宋体" w:hAnsi="宋体"/>
          <w:sz w:val="24"/>
          <w:szCs w:val="24"/>
          <w:highlight w:val="none"/>
          <w:lang w:val="en-US" w:eastAsia="zh-CN"/>
        </w:rPr>
        <w:t xml:space="preserve"> </w:t>
      </w:r>
      <w:r>
        <w:rPr>
          <w:rFonts w:hint="eastAsia" w:ascii="宋体" w:hAnsi="宋体"/>
          <w:sz w:val="24"/>
          <w:szCs w:val="24"/>
          <w:highlight w:val="none"/>
          <w:u w:val="single"/>
          <w:lang w:val="en-US" w:eastAsia="zh-CN"/>
        </w:rPr>
        <w:t xml:space="preserve">                       </w:t>
      </w:r>
      <w:r/>
    </w:p>
    <w:p>
      <w:pPr>
        <w:pStyle w:val="940"/>
        <w:spacing w:line="360" w:lineRule="auto"/>
        <w:rPr>
          <w:rFonts w:hint="eastAsia" w:ascii="宋体" w:hAnsi="宋体"/>
          <w:sz w:val="24"/>
          <w:szCs w:val="24"/>
          <w:highlight w:val="none"/>
        </w:rPr>
      </w:pP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highlight w:val="none"/>
        </w:rPr>
        <w:t xml:space="preserve">法定代表人或授权代表（签字或</w:t>
      </w:r>
      <w:r>
        <w:rPr>
          <w:rFonts w:hint="eastAsia"/>
          <w:highlight w:val="none"/>
          <w:lang w:val="en-US" w:eastAsia="zh-CN"/>
        </w:rPr>
        <w:t xml:space="preserve">签</w:t>
      </w:r>
      <w:r>
        <w:rPr>
          <w:rFonts w:hint="eastAsia"/>
          <w:highlight w:val="none"/>
        </w:rPr>
        <w:t xml:space="preserve">章）： </w:t>
      </w:r>
      <w:r>
        <w:rPr>
          <w:rFonts w:hint="eastAsia"/>
          <w:highlight w:val="none"/>
          <w:u w:val="single"/>
        </w:rPr>
        <w:t xml:space="preserve">                 </w:t>
      </w:r>
      <w:r>
        <w:rPr>
          <w:rFonts w:hint="eastAsia" w:ascii="宋体" w:hAnsi="宋体"/>
          <w:sz w:val="24"/>
          <w:szCs w:val="24"/>
          <w:highlight w:val="none"/>
        </w:rPr>
        <w:t xml:space="preserve">                                       </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日期：  年月日</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1309"/>
        <w:ind w:firstLine="440"/>
        <w:spacing w:line="240" w:lineRule="auto"/>
        <w:rPr>
          <w:rFonts w:ascii="宋体" w:hAnsi="宋体" w:cs="宋体"/>
          <w:b w:val="0"/>
          <w:bCs w:val="0"/>
          <w:sz w:val="22"/>
          <w:szCs w:val="22"/>
          <w:highlight w:val="none"/>
        </w:rPr>
      </w:pPr>
      <w:r>
        <w:rPr>
          <w:rFonts w:hint="eastAsia" w:ascii="宋体" w:hAnsi="宋体" w:cs="宋体"/>
          <w:b w:val="0"/>
          <w:bCs w:val="0"/>
          <w:sz w:val="22"/>
          <w:szCs w:val="22"/>
          <w:highlight w:val="none"/>
          <w:lang w:val="en-US" w:eastAsia="zh-CN"/>
        </w:rPr>
        <w:t xml:space="preserve">备</w:t>
      </w:r>
      <w:r>
        <w:rPr>
          <w:rFonts w:hint="eastAsia" w:ascii="宋体" w:hAnsi="宋体" w:cs="宋体"/>
          <w:b w:val="0"/>
          <w:bCs w:val="0"/>
          <w:sz w:val="22"/>
          <w:szCs w:val="22"/>
          <w:highlight w:val="none"/>
        </w:rPr>
        <w:t xml:space="preserve">注:</w:t>
      </w:r>
      <w:r/>
    </w:p>
    <w:p>
      <w:pPr>
        <w:pStyle w:val="1309"/>
        <w:spacing w:line="240" w:lineRule="auto"/>
        <w:rPr>
          <w:rFonts w:ascii="宋体" w:hAnsi="宋体" w:cs="宋体"/>
          <w:sz w:val="22"/>
          <w:szCs w:val="22"/>
          <w:highlight w:val="none"/>
        </w:rPr>
      </w:pPr>
      <w:r>
        <w:rPr>
          <w:rFonts w:hint="eastAsia" w:ascii="宋体" w:hAnsi="宋体" w:cs="宋体"/>
          <w:sz w:val="22"/>
          <w:szCs w:val="22"/>
          <w:highlight w:val="none"/>
        </w:rPr>
        <w:t xml:space="preserve">1、采用人民币报价。</w:t>
      </w:r>
      <w:r/>
    </w:p>
    <w:p>
      <w:pPr>
        <w:pStyle w:val="1309"/>
        <w:spacing w:line="240" w:lineRule="auto"/>
        <w:rPr>
          <w:rFonts w:ascii="宋体" w:hAnsi="宋体" w:cs="宋体"/>
          <w:sz w:val="22"/>
          <w:szCs w:val="22"/>
          <w:highlight w:val="none"/>
        </w:rPr>
      </w:pPr>
      <w:r>
        <w:rPr>
          <w:rFonts w:hint="eastAsia" w:ascii="宋体" w:hAnsi="宋体" w:cs="宋体"/>
          <w:sz w:val="22"/>
          <w:szCs w:val="22"/>
          <w:highlight w:val="none"/>
        </w:rPr>
        <w:t xml:space="preserve">2、投标报价应包括招标文件所规定的采购范围的全部内容。</w:t>
      </w:r>
      <w:r/>
    </w:p>
    <w:p>
      <w:pPr>
        <w:pStyle w:val="1309"/>
        <w:spacing w:line="240" w:lineRule="auto"/>
        <w:rPr>
          <w:rFonts w:ascii="宋体" w:hAnsi="宋体" w:cs="宋体"/>
          <w:sz w:val="22"/>
          <w:szCs w:val="22"/>
          <w:highlight w:val="none"/>
        </w:rPr>
      </w:pPr>
      <w:r>
        <w:rPr>
          <w:rFonts w:hint="eastAsia" w:ascii="宋体" w:hAnsi="宋体" w:cs="宋体"/>
          <w:sz w:val="22"/>
          <w:szCs w:val="22"/>
          <w:highlight w:val="none"/>
        </w:rPr>
        <w:t xml:space="preserve">3、投标人不得实质性改动</w:t>
      </w:r>
      <w:r>
        <w:rPr>
          <w:rFonts w:hint="eastAsia" w:ascii="宋体" w:hAnsi="宋体" w:cs="宋体"/>
          <w:sz w:val="22"/>
          <w:szCs w:val="22"/>
          <w:highlight w:val="none"/>
          <w:lang w:val="en-US" w:eastAsia="zh-CN"/>
        </w:rPr>
        <w:t xml:space="preserve">开标一览表</w:t>
      </w:r>
      <w:r>
        <w:rPr>
          <w:rFonts w:hint="eastAsia" w:ascii="宋体" w:hAnsi="宋体" w:cs="宋体"/>
          <w:sz w:val="22"/>
          <w:szCs w:val="22"/>
          <w:highlight w:val="none"/>
        </w:rPr>
        <w:t xml:space="preserve">格式及内容。</w:t>
      </w:r>
      <w:r/>
    </w:p>
    <w:p>
      <w:pPr>
        <w:pStyle w:val="1309"/>
        <w:ind w:left="0" w:firstLine="440"/>
        <w:spacing w:line="240" w:lineRule="auto"/>
        <w:rPr>
          <w:rFonts w:hint="eastAsia" w:ascii="宋体" w:hAnsi="宋体" w:cs="宋体"/>
          <w:b/>
          <w:bCs/>
          <w:sz w:val="22"/>
          <w:szCs w:val="22"/>
          <w:highlight w:val="none"/>
          <w:lang w:val="en-US" w:eastAsia="zh-CN"/>
        </w:rPr>
        <w:sectPr>
          <w:footnotePr/>
          <w:endnotePr/>
          <w:type w:val="nextPage"/>
          <w:pgSz w:w="11906" w:h="16838" w:orient="portrait"/>
          <w:pgMar w:top="1417" w:right="1361" w:bottom="1417" w:left="1366" w:header="851" w:footer="907" w:gutter="0"/>
          <w:cols w:num="1" w:sep="0" w:space="0" w:equalWidth="1"/>
          <w:docGrid w:linePitch="360"/>
          <w:titlePg/>
        </w:sectPr>
      </w:pPr>
      <w:r>
        <w:rPr>
          <w:rFonts w:hint="eastAsia" w:ascii="宋体" w:hAnsi="宋体" w:cs="宋体"/>
          <w:sz w:val="22"/>
          <w:szCs w:val="22"/>
          <w:highlight w:val="none"/>
          <w:lang w:val="en-US" w:eastAsia="zh-CN"/>
        </w:rPr>
        <w:t xml:space="preserve">4、</w:t>
      </w:r>
      <w:r>
        <w:rPr>
          <w:rFonts w:hint="eastAsia" w:ascii="宋体" w:hAnsi="宋体" w:cs="宋体"/>
          <w:b/>
          <w:bCs/>
          <w:sz w:val="22"/>
          <w:szCs w:val="22"/>
          <w:highlight w:val="none"/>
          <w:lang w:val="en-US" w:eastAsia="zh-CN"/>
        </w:rPr>
        <w:t xml:space="preserve">（优惠率=1-费率）</w:t>
      </w:r>
      <w:r/>
    </w:p>
    <w:p>
      <w:pPr>
        <w:jc w:val="center"/>
        <w:spacing w:line="360" w:lineRule="auto"/>
        <w:rPr>
          <w:b/>
          <w:bCs/>
          <w:sz w:val="28"/>
          <w:szCs w:val="32"/>
          <w:highlight w:val="none"/>
        </w:rPr>
      </w:pPr>
      <w:r>
        <w:rPr>
          <w:rFonts w:hint="eastAsia"/>
          <w:b/>
          <w:bCs/>
          <w:sz w:val="28"/>
          <w:szCs w:val="32"/>
          <w:highlight w:val="none"/>
          <w:lang w:val="en-US" w:eastAsia="zh-CN"/>
        </w:rPr>
        <w:t xml:space="preserve">六、</w:t>
      </w:r>
      <w:r>
        <w:rPr>
          <w:rFonts w:hint="eastAsia"/>
          <w:b/>
          <w:bCs/>
          <w:sz w:val="28"/>
          <w:szCs w:val="32"/>
          <w:highlight w:val="none"/>
        </w:rPr>
        <w:t xml:space="preserve">商务要求响应及偏离表</w:t>
      </w:r>
      <w:r/>
    </w:p>
    <w:tbl>
      <w:tblPr>
        <w:tblStyle w:val="9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775"/>
        <w:gridCol w:w="2373"/>
        <w:gridCol w:w="1922"/>
        <w:gridCol w:w="1119"/>
      </w:tblGrid>
      <w:tr>
        <w:trPr>
          <w:cantSplit/>
          <w:jc w:val="center"/>
        </w:trPr>
        <w:tc>
          <w:tcPr>
            <w:tcW w:w="54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color w:val="000000"/>
                <w:sz w:val="24"/>
                <w:szCs w:val="24"/>
                <w:highlight w:val="none"/>
              </w:rPr>
              <w:suppressLineNumbers w:val="0"/>
            </w:pPr>
            <w:r>
              <w:rPr>
                <w:rFonts w:hint="eastAsia" w:ascii="宋体" w:hAnsi="宋体"/>
                <w:color w:val="000000"/>
                <w:sz w:val="24"/>
                <w:szCs w:val="24"/>
                <w:highlight w:val="none"/>
              </w:rPr>
              <w:t xml:space="preserve">序号</w:t>
            </w:r>
            <w:r/>
          </w:p>
        </w:tc>
        <w:tc>
          <w:tcPr>
            <w:tcW w:w="277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color w:val="000000"/>
                <w:sz w:val="24"/>
                <w:szCs w:val="24"/>
                <w:highlight w:val="none"/>
              </w:rPr>
              <w:suppressLineNumbers w:val="0"/>
            </w:pPr>
            <w:r>
              <w:rPr>
                <w:rFonts w:hint="eastAsia" w:ascii="宋体" w:hAnsi="宋体"/>
                <w:color w:val="000000"/>
                <w:sz w:val="24"/>
                <w:szCs w:val="24"/>
                <w:highlight w:val="none"/>
              </w:rPr>
              <w:t xml:space="preserve">招标文件要求</w:t>
            </w:r>
            <w:r/>
          </w:p>
        </w:tc>
        <w:tc>
          <w:tcPr>
            <w:tcW w:w="2373"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color w:val="000000"/>
                <w:sz w:val="24"/>
                <w:szCs w:val="24"/>
                <w:highlight w:val="none"/>
              </w:rPr>
              <w:suppressLineNumbers w:val="0"/>
            </w:pPr>
            <w:r>
              <w:rPr>
                <w:rFonts w:hint="eastAsia" w:ascii="宋体" w:hAnsi="宋体"/>
                <w:color w:val="000000"/>
                <w:sz w:val="24"/>
                <w:szCs w:val="24"/>
                <w:highlight w:val="none"/>
              </w:rPr>
              <w:t xml:space="preserve">投标响应情况</w:t>
            </w:r>
            <w:r/>
          </w:p>
        </w:tc>
        <w:tc>
          <w:tcPr>
            <w:tcW w:w="1922"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color w:val="000000"/>
                <w:sz w:val="24"/>
                <w:szCs w:val="24"/>
                <w:highlight w:val="none"/>
              </w:rPr>
              <w:suppressLineNumbers w:val="0"/>
            </w:pPr>
            <w:r>
              <w:rPr>
                <w:rFonts w:hint="eastAsia" w:cs="宋体"/>
                <w:color w:val="000000"/>
                <w:sz w:val="24"/>
                <w:szCs w:val="24"/>
                <w:highlight w:val="none"/>
              </w:rPr>
              <w:t xml:space="preserve">正偏离、无偏离或负偏离</w:t>
            </w:r>
            <w:r/>
          </w:p>
        </w:tc>
        <w:tc>
          <w:tcPr>
            <w:tcW w:w="111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olor w:val="000000"/>
                <w:sz w:val="24"/>
                <w:szCs w:val="24"/>
                <w:highlight w:val="none"/>
                <w:lang w:eastAsia="zh-CN"/>
              </w:rPr>
              <w:suppressLineNumbers w:val="0"/>
            </w:pPr>
            <w:r>
              <w:rPr>
                <w:rFonts w:hint="eastAsia" w:ascii="宋体" w:hAnsi="宋体"/>
                <w:color w:val="000000"/>
                <w:sz w:val="24"/>
                <w:szCs w:val="24"/>
                <w:highlight w:val="none"/>
                <w:lang w:val="en-US" w:eastAsia="zh-CN"/>
              </w:rPr>
              <w:t xml:space="preserve">备注</w:t>
            </w:r>
            <w:r/>
          </w:p>
        </w:tc>
      </w:tr>
      <w:tr>
        <w:trPr>
          <w:cantSplit/>
          <w:jc w:val="center"/>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sz w:val="21"/>
                <w:szCs w:val="21"/>
                <w:highlight w:val="none"/>
                <w:lang w:val="en-US" w:eastAsia="zh-CN"/>
              </w:rPr>
              <w:suppressLineNumbers w:val="0"/>
            </w:pPr>
            <w:r>
              <w:rPr>
                <w:rFonts w:hint="eastAsia"/>
                <w:sz w:val="21"/>
                <w:szCs w:val="21"/>
                <w:highlight w:val="none"/>
                <w:lang w:val="en-US" w:eastAsia="zh-CN"/>
              </w:rPr>
            </w:r>
            <w:r/>
          </w:p>
        </w:tc>
        <w:tc>
          <w:tcPr>
            <w:tcW w:w="2775" w:type="dxa"/>
            <w:vAlign w:val="top"/>
            <w:textDirection w:val="lrTb"/>
            <w:noWrap w:val="false"/>
          </w:tcPr>
          <w:p>
            <w:pPr>
              <w:ind w:left="0" w:right="0"/>
              <w:jc w:val="center"/>
              <w:keepLines w:val="0"/>
              <w:keepNext w:val="0"/>
              <w:spacing w:before="0" w:beforeAutospacing="0" w:after="0" w:afterAutospacing="0" w:line="360" w:lineRule="auto"/>
              <w:rPr>
                <w:rFonts w:hint="eastAsia"/>
                <w:sz w:val="21"/>
                <w:szCs w:val="21"/>
                <w:highlight w:val="none"/>
              </w:rPr>
              <w:suppressLineNumbers w:val="0"/>
            </w:pPr>
            <w:r>
              <w:rPr>
                <w:rFonts w:hint="eastAsia"/>
                <w:sz w:val="21"/>
                <w:szCs w:val="21"/>
                <w:highlight w:val="none"/>
              </w:rPr>
            </w:r>
            <w:r/>
          </w:p>
        </w:tc>
        <w:tc>
          <w:tcPr>
            <w:tcW w:w="2373"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1922"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1119"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r>
      <w:tr>
        <w:trPr>
          <w:cantSplit/>
          <w:jc w:val="center"/>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sz w:val="21"/>
                <w:szCs w:val="21"/>
                <w:highlight w:val="none"/>
              </w:rPr>
              <w:suppressLineNumbers w:val="0"/>
            </w:pPr>
            <w:r>
              <w:rPr>
                <w:rFonts w:hint="eastAsia"/>
                <w:sz w:val="21"/>
                <w:szCs w:val="21"/>
                <w:highlight w:val="none"/>
              </w:rPr>
            </w:r>
            <w:r/>
          </w:p>
        </w:tc>
        <w:tc>
          <w:tcPr>
            <w:tcW w:w="2775" w:type="dxa"/>
            <w:vAlign w:val="top"/>
            <w:textDirection w:val="lrTb"/>
            <w:noWrap w:val="false"/>
          </w:tcPr>
          <w:p>
            <w:pPr>
              <w:ind w:left="0" w:right="0"/>
              <w:jc w:val="center"/>
              <w:keepLines w:val="0"/>
              <w:keepNext w:val="0"/>
              <w:spacing w:before="0" w:beforeAutospacing="0" w:after="0" w:afterAutospacing="0" w:line="360" w:lineRule="auto"/>
              <w:rPr>
                <w:rFonts w:hint="eastAsia"/>
                <w:sz w:val="21"/>
                <w:szCs w:val="21"/>
                <w:highlight w:val="none"/>
              </w:rPr>
              <w:suppressLineNumbers w:val="0"/>
            </w:pPr>
            <w:r>
              <w:rPr>
                <w:rFonts w:hint="eastAsia"/>
                <w:sz w:val="21"/>
                <w:szCs w:val="21"/>
                <w:highlight w:val="none"/>
              </w:rPr>
            </w:r>
            <w:r/>
          </w:p>
        </w:tc>
        <w:tc>
          <w:tcPr>
            <w:tcW w:w="2373"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1922"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1119"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r>
      <w:tr>
        <w:trPr>
          <w:cantSplit/>
          <w:jc w:val="center"/>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sz w:val="21"/>
                <w:szCs w:val="21"/>
                <w:highlight w:val="none"/>
              </w:rPr>
              <w:suppressLineNumbers w:val="0"/>
            </w:pPr>
            <w:r>
              <w:rPr>
                <w:rFonts w:hint="eastAsia"/>
                <w:sz w:val="21"/>
                <w:szCs w:val="21"/>
                <w:highlight w:val="none"/>
              </w:rPr>
            </w:r>
            <w:r/>
          </w:p>
        </w:tc>
        <w:tc>
          <w:tcPr>
            <w:tcW w:w="2775" w:type="dxa"/>
            <w:vAlign w:val="top"/>
            <w:textDirection w:val="lrTb"/>
            <w:noWrap w:val="false"/>
          </w:tcPr>
          <w:p>
            <w:pPr>
              <w:ind w:left="0" w:right="0"/>
              <w:jc w:val="center"/>
              <w:keepLines w:val="0"/>
              <w:keepNext w:val="0"/>
              <w:spacing w:before="0" w:beforeAutospacing="0" w:after="0" w:afterAutospacing="0" w:line="360" w:lineRule="auto"/>
              <w:rPr>
                <w:rFonts w:hint="eastAsia"/>
                <w:sz w:val="21"/>
                <w:szCs w:val="21"/>
                <w:highlight w:val="none"/>
              </w:rPr>
              <w:suppressLineNumbers w:val="0"/>
            </w:pPr>
            <w:r>
              <w:rPr>
                <w:rFonts w:hint="eastAsia"/>
                <w:sz w:val="21"/>
                <w:szCs w:val="21"/>
                <w:highlight w:val="none"/>
              </w:rPr>
            </w:r>
            <w:r/>
          </w:p>
        </w:tc>
        <w:tc>
          <w:tcPr>
            <w:tcW w:w="2373"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1922"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1119"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r>
      <w:tr>
        <w:trPr>
          <w:cantSplit/>
          <w:jc w:val="center"/>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sz w:val="21"/>
                <w:szCs w:val="21"/>
                <w:highlight w:val="none"/>
              </w:rPr>
              <w:suppressLineNumbers w:val="0"/>
            </w:pPr>
            <w:r>
              <w:rPr>
                <w:rFonts w:hint="eastAsia"/>
                <w:sz w:val="21"/>
                <w:szCs w:val="21"/>
                <w:highlight w:val="none"/>
              </w:rPr>
            </w:r>
            <w:r/>
          </w:p>
        </w:tc>
        <w:tc>
          <w:tcPr>
            <w:tcW w:w="2775" w:type="dxa"/>
            <w:vAlign w:val="top"/>
            <w:textDirection w:val="lrTb"/>
            <w:noWrap w:val="false"/>
          </w:tcPr>
          <w:p>
            <w:pPr>
              <w:ind w:left="0" w:right="0"/>
              <w:jc w:val="center"/>
              <w:keepLines w:val="0"/>
              <w:keepNext w:val="0"/>
              <w:spacing w:before="0" w:beforeAutospacing="0" w:after="0" w:afterAutospacing="0" w:line="360" w:lineRule="auto"/>
              <w:rPr>
                <w:rFonts w:hint="eastAsia"/>
                <w:sz w:val="21"/>
                <w:szCs w:val="21"/>
                <w:highlight w:val="none"/>
              </w:rPr>
              <w:suppressLineNumbers w:val="0"/>
            </w:pPr>
            <w:r>
              <w:rPr>
                <w:rFonts w:hint="eastAsia"/>
                <w:sz w:val="21"/>
                <w:szCs w:val="21"/>
                <w:highlight w:val="none"/>
              </w:rPr>
            </w:r>
            <w:r/>
          </w:p>
        </w:tc>
        <w:tc>
          <w:tcPr>
            <w:tcW w:w="2373"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1922"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1119"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r>
      <w:tr>
        <w:trPr>
          <w:cantSplit/>
          <w:jc w:val="center"/>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sz w:val="21"/>
                <w:szCs w:val="21"/>
                <w:highlight w:val="none"/>
              </w:rPr>
              <w:suppressLineNumbers w:val="0"/>
            </w:pPr>
            <w:r>
              <w:rPr>
                <w:rFonts w:hint="eastAsia"/>
                <w:sz w:val="21"/>
                <w:szCs w:val="21"/>
                <w:highlight w:val="none"/>
              </w:rPr>
            </w:r>
            <w:r/>
          </w:p>
        </w:tc>
        <w:tc>
          <w:tcPr>
            <w:tcW w:w="2775" w:type="dxa"/>
            <w:vAlign w:val="top"/>
            <w:textDirection w:val="lrTb"/>
            <w:noWrap w:val="false"/>
          </w:tcPr>
          <w:p>
            <w:pPr>
              <w:ind w:left="0" w:right="0"/>
              <w:jc w:val="center"/>
              <w:keepLines w:val="0"/>
              <w:keepNext w:val="0"/>
              <w:spacing w:before="0" w:beforeAutospacing="0" w:after="0" w:afterAutospacing="0" w:line="360" w:lineRule="auto"/>
              <w:rPr>
                <w:rFonts w:hint="eastAsia"/>
                <w:sz w:val="21"/>
                <w:szCs w:val="21"/>
                <w:highlight w:val="none"/>
              </w:rPr>
              <w:suppressLineNumbers w:val="0"/>
            </w:pPr>
            <w:r>
              <w:rPr>
                <w:rFonts w:hint="eastAsia"/>
                <w:sz w:val="21"/>
                <w:szCs w:val="21"/>
                <w:highlight w:val="none"/>
              </w:rPr>
            </w:r>
            <w:r/>
          </w:p>
        </w:tc>
        <w:tc>
          <w:tcPr>
            <w:tcW w:w="2373"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1922"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1119"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r>
      <w:tr>
        <w:trPr>
          <w:cantSplit/>
          <w:jc w:val="center"/>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sz w:val="21"/>
                <w:szCs w:val="21"/>
                <w:highlight w:val="none"/>
              </w:rPr>
              <w:suppressLineNumbers w:val="0"/>
            </w:pPr>
            <w:r>
              <w:rPr>
                <w:rFonts w:hint="eastAsia"/>
                <w:sz w:val="21"/>
                <w:szCs w:val="21"/>
                <w:highlight w:val="none"/>
              </w:rPr>
            </w:r>
            <w:r/>
          </w:p>
        </w:tc>
        <w:tc>
          <w:tcPr>
            <w:tcW w:w="2775" w:type="dxa"/>
            <w:vAlign w:val="top"/>
            <w:textDirection w:val="lrTb"/>
            <w:noWrap w:val="false"/>
          </w:tcPr>
          <w:p>
            <w:pPr>
              <w:ind w:left="0" w:right="0"/>
              <w:jc w:val="center"/>
              <w:keepLines w:val="0"/>
              <w:keepNext w:val="0"/>
              <w:spacing w:before="0" w:beforeAutospacing="0" w:after="0" w:afterAutospacing="0" w:line="360" w:lineRule="auto"/>
              <w:rPr>
                <w:rFonts w:hint="eastAsia"/>
                <w:sz w:val="21"/>
                <w:szCs w:val="21"/>
                <w:highlight w:val="none"/>
              </w:rPr>
              <w:suppressLineNumbers w:val="0"/>
            </w:pPr>
            <w:r>
              <w:rPr>
                <w:rFonts w:hint="eastAsia"/>
                <w:sz w:val="21"/>
                <w:szCs w:val="21"/>
                <w:highlight w:val="none"/>
              </w:rPr>
            </w:r>
            <w:r/>
          </w:p>
        </w:tc>
        <w:tc>
          <w:tcPr>
            <w:tcW w:w="2373"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1922"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1119"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r>
      <w:tr>
        <w:trPr>
          <w:cantSplit/>
          <w:jc w:val="center"/>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sz w:val="21"/>
                <w:szCs w:val="21"/>
                <w:highlight w:val="none"/>
              </w:rPr>
              <w:suppressLineNumbers w:val="0"/>
            </w:pPr>
            <w:r>
              <w:rPr>
                <w:rFonts w:hint="eastAsia"/>
                <w:sz w:val="21"/>
                <w:szCs w:val="21"/>
                <w:highlight w:val="none"/>
              </w:rPr>
            </w:r>
            <w:r/>
          </w:p>
        </w:tc>
        <w:tc>
          <w:tcPr>
            <w:tcW w:w="2775" w:type="dxa"/>
            <w:vAlign w:val="top"/>
            <w:textDirection w:val="lrTb"/>
            <w:noWrap w:val="false"/>
          </w:tcPr>
          <w:p>
            <w:pPr>
              <w:ind w:left="0" w:right="0"/>
              <w:jc w:val="center"/>
              <w:keepLines w:val="0"/>
              <w:keepNext w:val="0"/>
              <w:spacing w:before="0" w:beforeAutospacing="0" w:after="0" w:afterAutospacing="0" w:line="360" w:lineRule="auto"/>
              <w:rPr>
                <w:rFonts w:hint="eastAsia"/>
                <w:sz w:val="21"/>
                <w:szCs w:val="21"/>
                <w:highlight w:val="none"/>
              </w:rPr>
              <w:suppressLineNumbers w:val="0"/>
            </w:pPr>
            <w:r>
              <w:rPr>
                <w:rFonts w:hint="eastAsia"/>
                <w:sz w:val="21"/>
                <w:szCs w:val="21"/>
                <w:highlight w:val="none"/>
              </w:rPr>
            </w:r>
            <w:r/>
          </w:p>
        </w:tc>
        <w:tc>
          <w:tcPr>
            <w:tcW w:w="2373"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1922"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1119"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r>
      <w:tr>
        <w:trPr>
          <w:cantSplit/>
          <w:jc w:val="center"/>
          <w:trHeight w:val="640"/>
        </w:trPr>
        <w:tc>
          <w:tcPr>
            <w:tcW w:w="545" w:type="dxa"/>
            <w:textDirection w:val="lrTb"/>
            <w:noWrap w:val="false"/>
          </w:tcPr>
          <w:p>
            <w:pPr>
              <w:ind w:left="0" w:right="0"/>
              <w:jc w:val="center"/>
              <w:keepLines w:val="0"/>
              <w:keepNext w:val="0"/>
              <w:spacing w:before="0" w:beforeAutospacing="0" w:after="0" w:afterAutospacing="0" w:line="360" w:lineRule="auto"/>
              <w:rPr>
                <w:rFonts w:hint="eastAsia"/>
                <w:sz w:val="21"/>
                <w:szCs w:val="21"/>
                <w:highlight w:val="none"/>
                <w:lang w:val="en-US" w:eastAsia="zh-CN"/>
              </w:rPr>
              <w:suppressLineNumbers w:val="0"/>
            </w:pPr>
            <w:r>
              <w:rPr>
                <w:rFonts w:hint="eastAsia"/>
                <w:sz w:val="21"/>
                <w:szCs w:val="21"/>
                <w:highlight w:val="none"/>
                <w:lang w:val="en-US" w:eastAsia="zh-CN"/>
              </w:rPr>
            </w:r>
            <w:r/>
          </w:p>
        </w:tc>
        <w:tc>
          <w:tcPr>
            <w:tcW w:w="2775" w:type="dxa"/>
            <w:textDirection w:val="lrTb"/>
            <w:noWrap w:val="false"/>
          </w:tcPr>
          <w:p>
            <w:pPr>
              <w:ind w:left="0" w:right="0"/>
              <w:jc w:val="center"/>
              <w:keepLines w:val="0"/>
              <w:keepNext w:val="0"/>
              <w:spacing w:before="0" w:beforeAutospacing="0" w:after="0" w:afterAutospacing="0" w:line="360" w:lineRule="auto"/>
              <w:rPr>
                <w:rFonts w:hint="default"/>
                <w:sz w:val="21"/>
                <w:szCs w:val="21"/>
                <w:highlight w:val="none"/>
                <w:lang w:val="en-US" w:eastAsia="zh-CN"/>
              </w:rPr>
              <w:suppressLineNumbers w:val="0"/>
            </w:pPr>
            <w:r>
              <w:rPr>
                <w:rFonts w:hint="default"/>
                <w:sz w:val="21"/>
                <w:szCs w:val="21"/>
                <w:highlight w:val="none"/>
                <w:lang w:val="en-US" w:eastAsia="zh-CN"/>
              </w:rPr>
            </w:r>
            <w:r/>
          </w:p>
        </w:tc>
        <w:tc>
          <w:tcPr>
            <w:tcW w:w="2373"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1922"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1119"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r>
      <w:tr>
        <w:trPr>
          <w:cantSplit/>
          <w:jc w:val="center"/>
          <w:trHeight w:val="640"/>
        </w:trPr>
        <w:tc>
          <w:tcPr>
            <w:tcW w:w="545" w:type="dxa"/>
            <w:textDirection w:val="lrTb"/>
            <w:noWrap w:val="false"/>
          </w:tcPr>
          <w:p>
            <w:pPr>
              <w:ind w:left="0" w:right="0"/>
              <w:jc w:val="center"/>
              <w:keepLines w:val="0"/>
              <w:keepNext w:val="0"/>
              <w:spacing w:before="0" w:beforeAutospacing="0" w:after="0" w:afterAutospacing="0" w:line="360" w:lineRule="auto"/>
              <w:rPr>
                <w:rFonts w:hint="default"/>
                <w:sz w:val="21"/>
                <w:szCs w:val="21"/>
                <w:highlight w:val="none"/>
                <w:lang w:val="en-US" w:eastAsia="zh-CN"/>
              </w:rPr>
              <w:suppressLineNumbers w:val="0"/>
            </w:pPr>
            <w:r>
              <w:rPr>
                <w:rFonts w:hint="default"/>
                <w:sz w:val="21"/>
                <w:szCs w:val="21"/>
                <w:highlight w:val="none"/>
                <w:lang w:val="en-US" w:eastAsia="zh-CN"/>
              </w:rPr>
            </w:r>
            <w:r/>
          </w:p>
        </w:tc>
        <w:tc>
          <w:tcPr>
            <w:tcW w:w="2775" w:type="dxa"/>
            <w:textDirection w:val="lrTb"/>
            <w:noWrap w:val="false"/>
          </w:tcPr>
          <w:p>
            <w:pPr>
              <w:ind w:left="0" w:right="0"/>
              <w:jc w:val="center"/>
              <w:keepLines w:val="0"/>
              <w:keepNext w:val="0"/>
              <w:spacing w:before="0" w:beforeAutospacing="0" w:after="0" w:afterAutospacing="0" w:line="360" w:lineRule="auto"/>
              <w:rPr>
                <w:rFonts w:hint="default"/>
                <w:sz w:val="21"/>
                <w:szCs w:val="21"/>
                <w:highlight w:val="none"/>
                <w:lang w:val="en-US" w:eastAsia="zh-CN"/>
              </w:rPr>
              <w:suppressLineNumbers w:val="0"/>
            </w:pPr>
            <w:r>
              <w:rPr>
                <w:rFonts w:hint="default"/>
                <w:sz w:val="21"/>
                <w:szCs w:val="21"/>
                <w:highlight w:val="none"/>
                <w:lang w:val="en-US" w:eastAsia="zh-CN"/>
              </w:rPr>
            </w:r>
            <w:r/>
          </w:p>
        </w:tc>
        <w:tc>
          <w:tcPr>
            <w:tcW w:w="2373"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1922"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1119"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r>
      <w:tr>
        <w:trPr>
          <w:cantSplit/>
          <w:jc w:val="center"/>
          <w:trHeight w:val="640"/>
        </w:trPr>
        <w:tc>
          <w:tcPr>
            <w:tcW w:w="545" w:type="dxa"/>
            <w:textDirection w:val="lrTb"/>
            <w:noWrap w:val="false"/>
          </w:tcPr>
          <w:p>
            <w:pPr>
              <w:ind w:left="0" w:right="0"/>
              <w:jc w:val="center"/>
              <w:keepLines w:val="0"/>
              <w:keepNext w:val="0"/>
              <w:spacing w:before="0" w:beforeAutospacing="0" w:after="0" w:afterAutospacing="0" w:line="360" w:lineRule="auto"/>
              <w:rPr>
                <w:rFonts w:hint="eastAsia"/>
                <w:sz w:val="21"/>
                <w:szCs w:val="21"/>
                <w:highlight w:val="none"/>
                <w:lang w:val="en-US" w:eastAsia="zh-CN"/>
              </w:rPr>
              <w:suppressLineNumbers w:val="0"/>
            </w:pPr>
            <w:r>
              <w:rPr>
                <w:rFonts w:hint="eastAsia"/>
                <w:sz w:val="21"/>
                <w:szCs w:val="21"/>
                <w:highlight w:val="none"/>
                <w:lang w:val="en-US" w:eastAsia="zh-CN"/>
              </w:rPr>
            </w:r>
            <w:r/>
          </w:p>
        </w:tc>
        <w:tc>
          <w:tcPr>
            <w:tcW w:w="2775" w:type="dxa"/>
            <w:textDirection w:val="lrTb"/>
            <w:noWrap w:val="false"/>
          </w:tcPr>
          <w:p>
            <w:pPr>
              <w:ind w:left="0" w:right="0"/>
              <w:jc w:val="center"/>
              <w:keepLines w:val="0"/>
              <w:keepNext w:val="0"/>
              <w:spacing w:before="0" w:beforeAutospacing="0" w:after="0" w:afterAutospacing="0" w:line="360" w:lineRule="auto"/>
              <w:rPr>
                <w:rFonts w:hint="default"/>
                <w:sz w:val="21"/>
                <w:szCs w:val="21"/>
                <w:highlight w:val="none"/>
                <w:lang w:val="en-US" w:eastAsia="zh-CN"/>
              </w:rPr>
              <w:suppressLineNumbers w:val="0"/>
            </w:pPr>
            <w:r>
              <w:rPr>
                <w:rFonts w:hint="default"/>
                <w:sz w:val="21"/>
                <w:szCs w:val="21"/>
                <w:highlight w:val="none"/>
                <w:lang w:val="en-US" w:eastAsia="zh-CN"/>
              </w:rPr>
            </w:r>
            <w:r/>
          </w:p>
        </w:tc>
        <w:tc>
          <w:tcPr>
            <w:tcW w:w="2373"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1922"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1119"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r>
    </w:tbl>
    <w:p>
      <w:pPr>
        <w:ind w:firstLine="2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p>
    <w:p>
      <w:pPr>
        <w:pStyle w:val="1018"/>
        <w:jc w:val="both"/>
        <w:spacing w:before="0" w:beforeAutospacing="0" w:after="0" w:afterAutospacing="0" w:line="360" w:lineRule="auto"/>
        <w:rPr>
          <w:color w:val="000000"/>
          <w:highlight w:val="none"/>
        </w:rPr>
      </w:pPr>
      <w:r>
        <w:rPr>
          <w:color w:val="000000"/>
          <w:highlight w:val="none"/>
        </w:rPr>
      </w:r>
      <w:r/>
    </w:p>
    <w:p>
      <w:pPr>
        <w:ind w:firstLine="240"/>
        <w:spacing w:line="360" w:lineRule="auto"/>
        <w:rPr>
          <w:rFonts w:hint="default" w:ascii="宋体" w:hAnsi="宋体" w:eastAsia="宋体"/>
          <w:sz w:val="24"/>
          <w:szCs w:val="24"/>
          <w:highlight w:val="none"/>
          <w:lang w:val="en-US" w:eastAsia="zh-CN"/>
        </w:rPr>
      </w:pPr>
      <w:r>
        <w:rPr>
          <w:rFonts w:hint="eastAsia" w:ascii="宋体" w:hAnsi="宋体"/>
          <w:sz w:val="24"/>
          <w:szCs w:val="24"/>
          <w:highlight w:val="none"/>
        </w:rPr>
        <w:t xml:space="preserve">投标人名称（加盖CA电子签章）：</w:t>
      </w:r>
      <w:r>
        <w:rPr>
          <w:rFonts w:hint="eastAsia" w:ascii="宋体" w:hAnsi="宋体"/>
          <w:sz w:val="24"/>
          <w:szCs w:val="24"/>
          <w:highlight w:val="none"/>
          <w:lang w:val="en-US" w:eastAsia="zh-CN"/>
        </w:rPr>
        <w:t xml:space="preserve"> </w:t>
      </w:r>
      <w:r>
        <w:rPr>
          <w:rFonts w:hint="eastAsia" w:ascii="宋体" w:hAnsi="宋体"/>
          <w:sz w:val="24"/>
          <w:szCs w:val="24"/>
          <w:highlight w:val="none"/>
          <w:u w:val="single"/>
          <w:lang w:val="en-US" w:eastAsia="zh-CN"/>
        </w:rPr>
        <w:t xml:space="preserve">                       </w:t>
      </w:r>
      <w:r/>
    </w:p>
    <w:p>
      <w:pPr>
        <w:pStyle w:val="940"/>
        <w:ind w:firstLine="240"/>
        <w:spacing w:line="360" w:lineRule="auto"/>
        <w:rPr>
          <w:rFonts w:hint="eastAsia" w:ascii="宋体" w:hAnsi="宋体"/>
          <w:sz w:val="24"/>
          <w:szCs w:val="24"/>
          <w:highlight w:val="none"/>
        </w:rPr>
      </w:pPr>
      <w:r>
        <w:rPr>
          <w:rFonts w:hint="eastAsia"/>
          <w:highlight w:val="none"/>
        </w:rPr>
        <w:t xml:space="preserve">法定代表人或授权代表（签字或</w:t>
      </w:r>
      <w:r>
        <w:rPr>
          <w:rFonts w:hint="eastAsia"/>
          <w:highlight w:val="none"/>
          <w:lang w:val="en-US" w:eastAsia="zh-CN"/>
        </w:rPr>
        <w:t xml:space="preserve">签</w:t>
      </w:r>
      <w:r>
        <w:rPr>
          <w:rFonts w:hint="eastAsia"/>
          <w:highlight w:val="none"/>
        </w:rPr>
        <w:t xml:space="preserve">章）： </w:t>
      </w:r>
      <w:r>
        <w:rPr>
          <w:rFonts w:hint="eastAsia"/>
          <w:highlight w:val="none"/>
          <w:u w:val="single"/>
        </w:rPr>
        <w:t xml:space="preserve">                 </w:t>
      </w:r>
      <w:r>
        <w:rPr>
          <w:rFonts w:hint="eastAsia" w:ascii="宋体" w:hAnsi="宋体"/>
          <w:sz w:val="24"/>
          <w:szCs w:val="24"/>
          <w:highlight w:val="none"/>
        </w:rPr>
        <w:t xml:space="preserve">                                       </w:t>
      </w:r>
      <w:r/>
    </w:p>
    <w:p>
      <w:pPr>
        <w:ind w:firstLine="240"/>
        <w:spacing w:line="360" w:lineRule="auto"/>
        <w:rPr>
          <w:rFonts w:hint="eastAsia" w:ascii="宋体" w:hAnsi="宋体"/>
          <w:sz w:val="24"/>
          <w:szCs w:val="24"/>
          <w:highlight w:val="none"/>
        </w:rPr>
      </w:pPr>
      <w:r>
        <w:rPr>
          <w:rFonts w:hint="eastAsia" w:ascii="宋体" w:hAnsi="宋体"/>
          <w:sz w:val="24"/>
          <w:szCs w:val="24"/>
          <w:highlight w:val="none"/>
        </w:rPr>
        <w:t xml:space="preserve">日期：  年月日</w:t>
      </w:r>
      <w:r/>
    </w:p>
    <w:p>
      <w:pPr>
        <w:spacing w:line="360" w:lineRule="auto"/>
        <w:rPr>
          <w:rFonts w:hint="eastAsia" w:ascii="宋体" w:hAnsi="宋体"/>
          <w:sz w:val="24"/>
          <w:szCs w:val="24"/>
          <w:highlight w:val="none"/>
        </w:rPr>
      </w:pPr>
      <w:r>
        <w:rPr>
          <w:rFonts w:hint="eastAsia" w:ascii="宋体" w:hAnsi="宋体"/>
          <w:sz w:val="24"/>
          <w:szCs w:val="24"/>
          <w:highlight w:val="none"/>
        </w:rPr>
      </w:r>
      <w:r/>
    </w:p>
    <w:p>
      <w:pPr>
        <w:spacing w:line="240" w:lineRule="auto"/>
        <w:rPr>
          <w:sz w:val="22"/>
          <w:szCs w:val="20"/>
          <w:highlight w:val="none"/>
        </w:rPr>
      </w:pPr>
      <w:r>
        <w:rPr>
          <w:rFonts w:hint="eastAsia"/>
          <w:sz w:val="22"/>
          <w:szCs w:val="20"/>
          <w:highlight w:val="none"/>
        </w:rPr>
        <w:t xml:space="preserve">填写说明：</w:t>
      </w:r>
      <w:r/>
    </w:p>
    <w:p>
      <w:pPr>
        <w:spacing w:line="240" w:lineRule="auto"/>
        <w:rPr>
          <w:sz w:val="22"/>
          <w:szCs w:val="20"/>
          <w:highlight w:val="none"/>
        </w:rPr>
      </w:pPr>
      <w:r>
        <w:rPr>
          <w:rFonts w:hint="eastAsia"/>
          <w:sz w:val="22"/>
          <w:szCs w:val="20"/>
          <w:highlight w:val="none"/>
        </w:rPr>
        <w:t xml:space="preserve">1、此表为表样，行数可自行添加，但表式不变。</w:t>
      </w:r>
      <w:r/>
    </w:p>
    <w:p>
      <w:pPr>
        <w:spacing w:line="240" w:lineRule="auto"/>
        <w:rPr>
          <w:sz w:val="22"/>
          <w:szCs w:val="20"/>
          <w:highlight w:val="none"/>
        </w:rPr>
      </w:pPr>
      <w:r>
        <w:rPr>
          <w:rFonts w:hint="eastAsia"/>
          <w:sz w:val="22"/>
          <w:szCs w:val="20"/>
          <w:highlight w:val="none"/>
        </w:rPr>
        <w:t xml:space="preserve">2、是否偏离用符号“+、-”分别表示正偏离、负偏离。</w:t>
      </w:r>
      <w:r/>
    </w:p>
    <w:p>
      <w:pPr>
        <w:spacing w:line="240" w:lineRule="auto"/>
        <w:rPr>
          <w:sz w:val="22"/>
          <w:szCs w:val="20"/>
          <w:highlight w:val="none"/>
        </w:rPr>
      </w:pPr>
      <w:r>
        <w:rPr>
          <w:rFonts w:hint="eastAsia"/>
          <w:sz w:val="22"/>
          <w:szCs w:val="20"/>
          <w:highlight w:val="none"/>
        </w:rPr>
        <w:t xml:space="preserve">3、投标人必须仔细阅读本招标文件中所有商务要求，并列入上表。</w:t>
      </w:r>
      <w:r/>
    </w:p>
    <w:p>
      <w:pPr>
        <w:spacing w:line="240" w:lineRule="auto"/>
        <w:rPr>
          <w:sz w:val="22"/>
          <w:szCs w:val="20"/>
          <w:highlight w:val="none"/>
        </w:rPr>
      </w:pPr>
      <w:r>
        <w:rPr>
          <w:rFonts w:hint="eastAsia"/>
          <w:sz w:val="22"/>
          <w:szCs w:val="20"/>
          <w:highlight w:val="none"/>
        </w:rPr>
        <w:t xml:space="preserve">4、若投标文件中出现与此表表述不一致的，以此表为准。</w:t>
      </w:r>
      <w:r/>
    </w:p>
    <w:p>
      <w:pPr>
        <w:spacing w:line="360" w:lineRule="auto"/>
        <w:rPr>
          <w:rFonts w:hint="eastAsia" w:ascii="宋体" w:hAnsi="宋体"/>
          <w:sz w:val="24"/>
          <w:szCs w:val="24"/>
          <w:highlight w:val="none"/>
        </w:rPr>
        <w:sectPr>
          <w:footnotePr/>
          <w:endnotePr/>
          <w:type w:val="nextPage"/>
          <w:pgSz w:w="11906" w:h="16838" w:orient="portrait"/>
          <w:pgMar w:top="1417" w:right="1361" w:bottom="1417" w:left="1366" w:header="851" w:footer="907" w:gutter="0"/>
          <w:cols w:num="1" w:sep="0" w:space="0" w:equalWidth="1"/>
          <w:docGrid w:linePitch="360"/>
          <w:titlePg/>
        </w:sectPr>
      </w:pPr>
      <w:r>
        <w:rPr>
          <w:rFonts w:hint="eastAsia" w:ascii="宋体" w:hAnsi="宋体"/>
          <w:sz w:val="24"/>
          <w:szCs w:val="24"/>
          <w:highlight w:val="none"/>
        </w:rPr>
      </w:r>
      <w:r/>
    </w:p>
    <w:p>
      <w:pPr>
        <w:jc w:val="center"/>
        <w:spacing w:line="360" w:lineRule="auto"/>
        <w:rPr>
          <w:b/>
          <w:bCs/>
          <w:sz w:val="28"/>
          <w:szCs w:val="32"/>
          <w:highlight w:val="none"/>
        </w:rPr>
      </w:pPr>
      <w:r>
        <w:rPr>
          <w:rFonts w:hint="eastAsia"/>
          <w:b/>
          <w:bCs/>
          <w:sz w:val="28"/>
          <w:szCs w:val="32"/>
          <w:highlight w:val="none"/>
          <w:lang w:val="en-US" w:eastAsia="zh-CN"/>
        </w:rPr>
        <w:t xml:space="preserve">七、服务</w:t>
      </w:r>
      <w:r>
        <w:rPr>
          <w:rFonts w:hint="eastAsia"/>
          <w:b/>
          <w:bCs/>
          <w:sz w:val="28"/>
          <w:szCs w:val="32"/>
          <w:highlight w:val="none"/>
        </w:rPr>
        <w:t xml:space="preserve">要求响应及偏离表</w:t>
      </w:r>
      <w:r/>
    </w:p>
    <w:tbl>
      <w:tblPr>
        <w:tblStyle w:val="9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52"/>
        <w:gridCol w:w="2537"/>
        <w:gridCol w:w="1813"/>
        <w:gridCol w:w="1622"/>
      </w:tblGrid>
      <w:tr>
        <w:trPr>
          <w:cantSplit/>
          <w:jc w:val="center"/>
        </w:trPr>
        <w:tc>
          <w:tcPr>
            <w:tcW w:w="54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color w:val="000000"/>
                <w:sz w:val="24"/>
                <w:szCs w:val="24"/>
                <w:highlight w:val="none"/>
              </w:rPr>
              <w:suppressLineNumbers w:val="0"/>
            </w:pPr>
            <w:r>
              <w:rPr>
                <w:rFonts w:hint="eastAsia" w:ascii="宋体" w:hAnsi="宋体"/>
                <w:color w:val="000000"/>
                <w:sz w:val="24"/>
                <w:szCs w:val="24"/>
                <w:highlight w:val="none"/>
              </w:rPr>
              <w:t xml:space="preserve">序号</w:t>
            </w:r>
            <w:r/>
          </w:p>
        </w:tc>
        <w:tc>
          <w:tcPr>
            <w:tcW w:w="2652"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color w:val="000000"/>
                <w:sz w:val="24"/>
                <w:szCs w:val="24"/>
                <w:highlight w:val="none"/>
              </w:rPr>
              <w:suppressLineNumbers w:val="0"/>
            </w:pPr>
            <w:r>
              <w:rPr>
                <w:rFonts w:hint="eastAsia" w:ascii="宋体" w:hAnsi="宋体"/>
                <w:color w:val="000000"/>
                <w:sz w:val="24"/>
                <w:szCs w:val="24"/>
                <w:highlight w:val="none"/>
              </w:rPr>
              <w:t xml:space="preserve">招标文件要求</w:t>
            </w:r>
            <w:r/>
          </w:p>
        </w:tc>
        <w:tc>
          <w:tcPr>
            <w:tcW w:w="2537"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color w:val="000000"/>
                <w:sz w:val="24"/>
                <w:szCs w:val="24"/>
                <w:highlight w:val="none"/>
              </w:rPr>
              <w:suppressLineNumbers w:val="0"/>
            </w:pPr>
            <w:r>
              <w:rPr>
                <w:rFonts w:hint="eastAsia" w:ascii="宋体" w:hAnsi="宋体"/>
                <w:color w:val="000000"/>
                <w:sz w:val="24"/>
                <w:szCs w:val="24"/>
                <w:highlight w:val="none"/>
              </w:rPr>
              <w:t xml:space="preserve">投标响应情况</w:t>
            </w:r>
            <w:r/>
          </w:p>
        </w:tc>
        <w:tc>
          <w:tcPr>
            <w:tcW w:w="1813"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color w:val="000000"/>
                <w:sz w:val="24"/>
                <w:szCs w:val="24"/>
                <w:highlight w:val="none"/>
              </w:rPr>
              <w:suppressLineNumbers w:val="0"/>
            </w:pPr>
            <w:r>
              <w:rPr>
                <w:rFonts w:hint="eastAsia" w:cs="宋体"/>
                <w:color w:val="000000"/>
                <w:sz w:val="24"/>
                <w:szCs w:val="24"/>
                <w:highlight w:val="none"/>
              </w:rPr>
              <w:t xml:space="preserve">正偏离、无偏离或负偏离</w:t>
            </w:r>
            <w:r/>
          </w:p>
        </w:tc>
        <w:tc>
          <w:tcPr>
            <w:tcW w:w="1622"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olor w:val="000000"/>
                <w:sz w:val="24"/>
                <w:szCs w:val="24"/>
                <w:highlight w:val="none"/>
              </w:rPr>
              <w:suppressLineNumbers w:val="0"/>
            </w:pPr>
            <w:r>
              <w:rPr>
                <w:rFonts w:hint="eastAsia" w:ascii="宋体" w:hAnsi="宋体"/>
                <w:color w:val="000000"/>
                <w:sz w:val="24"/>
                <w:szCs w:val="24"/>
                <w:highlight w:val="none"/>
              </w:rPr>
              <w:t xml:space="preserve">证明材料</w:t>
            </w:r>
            <w:r/>
          </w:p>
          <w:p>
            <w:pPr>
              <w:ind w:left="0" w:right="0"/>
              <w:jc w:val="center"/>
              <w:keepLines w:val="0"/>
              <w:keepNext w:val="0"/>
              <w:spacing w:before="0" w:beforeAutospacing="0" w:after="0" w:afterAutospacing="0" w:line="240" w:lineRule="auto"/>
              <w:rPr>
                <w:rFonts w:hint="eastAsia" w:ascii="宋体" w:hAnsi="宋体" w:eastAsia="宋体"/>
                <w:color w:val="000000"/>
                <w:sz w:val="24"/>
                <w:szCs w:val="24"/>
                <w:highlight w:val="none"/>
                <w:lang w:eastAsia="zh-CN"/>
              </w:rPr>
              <w:suppressLineNumbers w:val="0"/>
            </w:pPr>
            <w:r>
              <w:rPr>
                <w:rFonts w:hint="eastAsia" w:ascii="宋体" w:hAnsi="宋体"/>
                <w:color w:val="000000"/>
                <w:sz w:val="24"/>
                <w:szCs w:val="24"/>
                <w:highlight w:val="none"/>
                <w:lang w:eastAsia="zh-CN"/>
              </w:rPr>
              <w:t xml:space="preserve">页码</w:t>
            </w:r>
            <w:r/>
          </w:p>
        </w:tc>
      </w:tr>
      <w:tr>
        <w:trPr>
          <w:cantSplit/>
          <w:jc w:val="center"/>
          <w:trHeight w:val="640"/>
        </w:trPr>
        <w:tc>
          <w:tcPr>
            <w:tcW w:w="545"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2652"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2537"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1813"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1622"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r>
      <w:tr>
        <w:trPr>
          <w:cantSplit/>
          <w:jc w:val="center"/>
          <w:trHeight w:val="640"/>
        </w:trPr>
        <w:tc>
          <w:tcPr>
            <w:tcW w:w="545"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2652"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2537"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1813"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1622"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r>
      <w:tr>
        <w:trPr>
          <w:cantSplit/>
          <w:jc w:val="center"/>
          <w:trHeight w:val="640"/>
        </w:trPr>
        <w:tc>
          <w:tcPr>
            <w:tcW w:w="545"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2652"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2537"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1813"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1622"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r>
      <w:tr>
        <w:trPr>
          <w:cantSplit/>
          <w:jc w:val="center"/>
          <w:trHeight w:val="640"/>
        </w:trPr>
        <w:tc>
          <w:tcPr>
            <w:tcW w:w="545"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2652"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2537"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1813"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1622"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r>
      <w:tr>
        <w:trPr>
          <w:cantSplit/>
          <w:jc w:val="center"/>
          <w:trHeight w:val="640"/>
        </w:trPr>
        <w:tc>
          <w:tcPr>
            <w:tcW w:w="545"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2652"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2537"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1813"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1622"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r>
      <w:tr>
        <w:trPr>
          <w:cantSplit/>
          <w:jc w:val="center"/>
          <w:trHeight w:val="640"/>
        </w:trPr>
        <w:tc>
          <w:tcPr>
            <w:tcW w:w="545"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2652"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2537"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1813"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1622"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r>
      <w:tr>
        <w:trPr>
          <w:cantSplit/>
          <w:jc w:val="center"/>
          <w:trHeight w:val="640"/>
        </w:trPr>
        <w:tc>
          <w:tcPr>
            <w:tcW w:w="545"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2652"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2537"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1813"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1622"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r>
      <w:tr>
        <w:trPr>
          <w:cantSplit/>
          <w:jc w:val="center"/>
          <w:trHeight w:val="640"/>
        </w:trPr>
        <w:tc>
          <w:tcPr>
            <w:tcW w:w="545"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2652"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t xml:space="preserve">……</w:t>
            </w:r>
            <w:r/>
          </w:p>
        </w:tc>
        <w:tc>
          <w:tcPr>
            <w:tcW w:w="2537"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1813"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c>
          <w:tcPr>
            <w:tcW w:w="1622" w:type="dxa"/>
            <w:textDirection w:val="lrTb"/>
            <w:noWrap w:val="false"/>
          </w:tcPr>
          <w:p>
            <w:pPr>
              <w:ind w:left="0" w:right="0"/>
              <w:jc w:val="center"/>
              <w:keepLines w:val="0"/>
              <w:keepNext w:val="0"/>
              <w:spacing w:before="0" w:beforeAutospacing="0" w:after="0" w:afterAutospacing="0" w:line="360" w:lineRule="auto"/>
              <w:rPr>
                <w:rFonts w:ascii="宋体" w:hAnsi="宋体"/>
                <w:color w:val="000000"/>
                <w:sz w:val="24"/>
                <w:szCs w:val="24"/>
                <w:highlight w:val="none"/>
              </w:rPr>
              <w:suppressLineNumbers w:val="0"/>
            </w:pPr>
            <w:r>
              <w:rPr>
                <w:rFonts w:ascii="宋体" w:hAnsi="宋体"/>
                <w:color w:val="000000"/>
                <w:sz w:val="24"/>
                <w:szCs w:val="24"/>
                <w:highlight w:val="none"/>
              </w:rPr>
            </w:r>
            <w:r/>
          </w:p>
        </w:tc>
      </w:tr>
    </w:tbl>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p>
    <w:p>
      <w:pPr>
        <w:spacing w:line="360" w:lineRule="auto"/>
        <w:rPr>
          <w:rFonts w:hint="eastAsia" w:ascii="宋体" w:hAnsi="宋体"/>
          <w:sz w:val="24"/>
          <w:szCs w:val="24"/>
          <w:highlight w:val="none"/>
        </w:rPr>
      </w:pPr>
      <w:r>
        <w:rPr>
          <w:rFonts w:hint="eastAsia" w:ascii="宋体" w:hAnsi="宋体"/>
          <w:sz w:val="24"/>
          <w:szCs w:val="24"/>
          <w:highlight w:val="none"/>
        </w:rPr>
      </w:r>
      <w:r/>
    </w:p>
    <w:p>
      <w:pPr>
        <w:spacing w:line="360" w:lineRule="auto"/>
        <w:rPr>
          <w:rFonts w:hint="default" w:ascii="宋体" w:hAnsi="宋体" w:eastAsia="宋体"/>
          <w:sz w:val="24"/>
          <w:szCs w:val="24"/>
          <w:highlight w:val="none"/>
          <w:lang w:val="en-US" w:eastAsia="zh-CN"/>
        </w:rPr>
      </w:pPr>
      <w:r>
        <w:rPr>
          <w:rFonts w:hint="eastAsia" w:ascii="宋体" w:hAnsi="宋体"/>
          <w:sz w:val="24"/>
          <w:szCs w:val="24"/>
          <w:highlight w:val="none"/>
        </w:rPr>
        <w:t xml:space="preserve">投标人名称（加盖CA电子签章）：</w:t>
      </w:r>
      <w:r>
        <w:rPr>
          <w:rFonts w:hint="eastAsia" w:ascii="宋体" w:hAnsi="宋体"/>
          <w:sz w:val="24"/>
          <w:szCs w:val="24"/>
          <w:highlight w:val="none"/>
          <w:lang w:val="en-US" w:eastAsia="zh-CN"/>
        </w:rPr>
        <w:t xml:space="preserve"> </w:t>
      </w:r>
      <w:r>
        <w:rPr>
          <w:rFonts w:hint="eastAsia" w:ascii="宋体" w:hAnsi="宋体"/>
          <w:sz w:val="24"/>
          <w:szCs w:val="24"/>
          <w:highlight w:val="none"/>
          <w:u w:val="single"/>
          <w:lang w:val="en-US" w:eastAsia="zh-CN"/>
        </w:rPr>
        <w:t xml:space="preserve">                       </w:t>
      </w:r>
      <w:r/>
    </w:p>
    <w:p>
      <w:pPr>
        <w:pStyle w:val="940"/>
        <w:spacing w:line="360" w:lineRule="auto"/>
        <w:rPr>
          <w:rFonts w:hint="eastAsia" w:ascii="宋体" w:hAnsi="宋体"/>
          <w:sz w:val="24"/>
          <w:szCs w:val="24"/>
          <w:highlight w:val="none"/>
        </w:rPr>
      </w:pPr>
      <w:r>
        <w:rPr>
          <w:rFonts w:hint="eastAsia"/>
          <w:highlight w:val="none"/>
        </w:rPr>
        <w:t xml:space="preserve">法定代表人或授权代表（签字或</w:t>
      </w:r>
      <w:r>
        <w:rPr>
          <w:rFonts w:hint="eastAsia"/>
          <w:highlight w:val="none"/>
          <w:lang w:val="en-US" w:eastAsia="zh-CN"/>
        </w:rPr>
        <w:t xml:space="preserve">签</w:t>
      </w:r>
      <w:r>
        <w:rPr>
          <w:rFonts w:hint="eastAsia"/>
          <w:highlight w:val="none"/>
        </w:rPr>
        <w:t xml:space="preserve">章）： </w:t>
      </w:r>
      <w:r>
        <w:rPr>
          <w:rFonts w:hint="eastAsia"/>
          <w:highlight w:val="none"/>
          <w:u w:val="single"/>
        </w:rPr>
        <w:t xml:space="preserve">                 </w:t>
      </w:r>
      <w:r>
        <w:rPr>
          <w:rFonts w:hint="eastAsia" w:ascii="宋体" w:hAnsi="宋体"/>
          <w:sz w:val="24"/>
          <w:szCs w:val="24"/>
          <w:highlight w:val="none"/>
        </w:rPr>
        <w:t xml:space="preserve">                                       </w:t>
      </w:r>
      <w:r/>
    </w:p>
    <w:p>
      <w:pPr>
        <w:spacing w:line="360" w:lineRule="auto"/>
        <w:rPr>
          <w:rFonts w:hint="eastAsia" w:ascii="宋体" w:hAnsi="宋体"/>
          <w:sz w:val="24"/>
          <w:szCs w:val="24"/>
          <w:highlight w:val="none"/>
        </w:rPr>
      </w:pPr>
      <w:r>
        <w:rPr>
          <w:rFonts w:hint="eastAsia" w:ascii="宋体" w:hAnsi="宋体"/>
          <w:sz w:val="24"/>
          <w:szCs w:val="24"/>
          <w:highlight w:val="none"/>
        </w:rPr>
        <w:t xml:space="preserve">日期：  年月日</w:t>
      </w:r>
      <w:r/>
    </w:p>
    <w:p>
      <w:pPr>
        <w:spacing w:line="360" w:lineRule="auto"/>
        <w:rPr>
          <w:rFonts w:hint="eastAsia" w:ascii="宋体" w:hAnsi="宋体"/>
          <w:sz w:val="24"/>
          <w:szCs w:val="24"/>
          <w:highlight w:val="none"/>
        </w:rPr>
      </w:pP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p>
    <w:p>
      <w:pPr>
        <w:spacing w:line="240" w:lineRule="auto"/>
        <w:rPr>
          <w:sz w:val="22"/>
          <w:szCs w:val="20"/>
          <w:highlight w:val="none"/>
        </w:rPr>
      </w:pPr>
      <w:r>
        <w:rPr>
          <w:rFonts w:hint="eastAsia"/>
          <w:sz w:val="22"/>
          <w:szCs w:val="20"/>
          <w:highlight w:val="none"/>
        </w:rPr>
        <w:t xml:space="preserve">填写说明：</w:t>
      </w:r>
      <w:r/>
    </w:p>
    <w:p>
      <w:pPr>
        <w:spacing w:line="240" w:lineRule="auto"/>
        <w:rPr>
          <w:sz w:val="22"/>
          <w:szCs w:val="20"/>
          <w:highlight w:val="none"/>
        </w:rPr>
      </w:pPr>
      <w:r>
        <w:rPr>
          <w:rFonts w:hint="eastAsia"/>
          <w:sz w:val="22"/>
          <w:szCs w:val="20"/>
          <w:highlight w:val="none"/>
        </w:rPr>
        <w:t xml:space="preserve">1、此表为表样，行数可自行添加，但表式不变。</w:t>
      </w:r>
      <w:r/>
    </w:p>
    <w:p>
      <w:pPr>
        <w:spacing w:line="240" w:lineRule="auto"/>
        <w:rPr>
          <w:sz w:val="22"/>
          <w:szCs w:val="20"/>
          <w:highlight w:val="none"/>
        </w:rPr>
      </w:pPr>
      <w:r>
        <w:rPr>
          <w:rFonts w:hint="eastAsia"/>
          <w:sz w:val="22"/>
          <w:szCs w:val="20"/>
          <w:highlight w:val="none"/>
        </w:rPr>
        <w:t xml:space="preserve">2、是否偏离用符号“+、-”分别表示正偏离、负偏离。</w:t>
      </w:r>
      <w:r/>
    </w:p>
    <w:p>
      <w:pPr>
        <w:spacing w:line="240" w:lineRule="auto"/>
        <w:rPr>
          <w:sz w:val="22"/>
          <w:szCs w:val="20"/>
          <w:highlight w:val="none"/>
        </w:rPr>
      </w:pPr>
      <w:r>
        <w:rPr>
          <w:rFonts w:hint="eastAsia"/>
          <w:sz w:val="22"/>
          <w:szCs w:val="20"/>
          <w:highlight w:val="none"/>
        </w:rPr>
        <w:t xml:space="preserve">3、投标人必须仔细阅读本招标文件中所有技术或服务要求，并列入上表。</w:t>
      </w:r>
      <w:r/>
    </w:p>
    <w:p>
      <w:pPr>
        <w:spacing w:line="240" w:lineRule="auto"/>
        <w:rPr>
          <w:sz w:val="22"/>
          <w:szCs w:val="20"/>
          <w:highlight w:val="none"/>
        </w:rPr>
      </w:pPr>
      <w:r>
        <w:rPr>
          <w:rFonts w:hint="eastAsia"/>
          <w:sz w:val="22"/>
          <w:szCs w:val="20"/>
          <w:highlight w:val="none"/>
        </w:rPr>
        <w:t xml:space="preserve">4、若投标文件中出现与此表表述不一致的，以此表为准。</w:t>
      </w:r>
      <w:r/>
    </w:p>
    <w:p>
      <w:pPr>
        <w:spacing w:line="360" w:lineRule="auto"/>
        <w:rPr>
          <w:rFonts w:hint="eastAsia" w:ascii="宋体" w:hAnsi="宋体"/>
          <w:sz w:val="24"/>
          <w:szCs w:val="24"/>
          <w:highlight w:val="none"/>
        </w:rPr>
        <w:sectPr>
          <w:footnotePr/>
          <w:endnotePr/>
          <w:type w:val="nextPage"/>
          <w:pgSz w:w="11906" w:h="16838" w:orient="portrait"/>
          <w:pgMar w:top="1417" w:right="1361" w:bottom="1417" w:left="1366" w:header="851" w:footer="907" w:gutter="0"/>
          <w:cols w:num="1" w:sep="0" w:space="0" w:equalWidth="1"/>
          <w:docGrid w:linePitch="360"/>
          <w:titlePg/>
        </w:sectPr>
      </w:pPr>
      <w:r>
        <w:rPr>
          <w:rFonts w:hint="eastAsia" w:ascii="宋体" w:hAnsi="宋体"/>
          <w:sz w:val="24"/>
          <w:szCs w:val="24"/>
          <w:highlight w:val="none"/>
        </w:rPr>
      </w:r>
      <w:r/>
    </w:p>
    <w:p>
      <w:pPr>
        <w:rPr>
          <w:highlight w:val="none"/>
        </w:rPr>
      </w:pPr>
      <w:r>
        <w:rPr>
          <w:highlight w:val="none"/>
        </w:rPr>
      </w:r>
      <w:r/>
    </w:p>
    <w:p>
      <w:pPr>
        <w:numPr>
          <w:ilvl w:val="0"/>
          <w:numId w:val="0"/>
        </w:numPr>
        <w:jc w:val="center"/>
        <w:spacing w:line="360" w:lineRule="auto"/>
        <w:rPr>
          <w:b/>
          <w:bCs/>
          <w:sz w:val="28"/>
          <w:szCs w:val="32"/>
          <w:highlight w:val="none"/>
        </w:rPr>
      </w:pPr>
      <w:r>
        <w:rPr>
          <w:rFonts w:hint="eastAsia" w:cs="Times New Roman"/>
          <w:b/>
          <w:bCs/>
          <w:sz w:val="28"/>
          <w:szCs w:val="32"/>
          <w:highlight w:val="none"/>
          <w:lang w:val="en-US" w:eastAsia="zh-CN" w:bidi="ar-SA"/>
        </w:rPr>
        <w:t xml:space="preserve">八</w:t>
      </w:r>
      <w:r>
        <w:rPr>
          <w:rFonts w:hint="eastAsia" w:ascii="Times New Roman" w:hAnsi="Times New Roman" w:eastAsia="宋体" w:cs="Times New Roman"/>
          <w:b/>
          <w:bCs/>
          <w:sz w:val="28"/>
          <w:szCs w:val="32"/>
          <w:highlight w:val="none"/>
          <w:lang w:val="en-US" w:eastAsia="zh-CN" w:bidi="ar-SA"/>
        </w:rPr>
        <w:t xml:space="preserve">、</w:t>
      </w:r>
      <w:r>
        <w:rPr>
          <w:rFonts w:hint="eastAsia"/>
          <w:b/>
          <w:bCs/>
          <w:sz w:val="28"/>
          <w:szCs w:val="32"/>
          <w:highlight w:val="none"/>
        </w:rPr>
        <w:t xml:space="preserve">中小企业声明函（</w:t>
      </w:r>
      <w:r>
        <w:rPr>
          <w:rFonts w:hint="eastAsia"/>
          <w:b/>
          <w:bCs/>
          <w:sz w:val="28"/>
          <w:szCs w:val="32"/>
          <w:highlight w:val="none"/>
          <w:lang w:val="en-US" w:eastAsia="zh-CN"/>
        </w:rPr>
        <w:t xml:space="preserve">如有</w:t>
      </w:r>
      <w:r>
        <w:rPr>
          <w:rFonts w:hint="eastAsia"/>
          <w:b/>
          <w:bCs/>
          <w:sz w:val="28"/>
          <w:szCs w:val="32"/>
          <w:highlight w:val="none"/>
        </w:rPr>
        <w:t xml:space="preserve">）</w:t>
      </w:r>
      <w:r/>
    </w:p>
    <w:p>
      <w:pPr>
        <w:ind w:firstLine="3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 服务全部由符合政策要求的中小企业承接）。相关企业（含联合体中的中小企业、签订分包意向协议的中小企业）的具体情况如下∶</w:t>
      </w:r>
      <w:r/>
    </w:p>
    <w:p>
      <w:pPr>
        <w:ind w:firstLine="3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1.（标的名称），属于（招标文件中明确的所属行业）;承建（承接）企业为（企业名称），从业人员___人，营业收入为____万元，资产总额为___万元，属于（中型企业、小型企业、微型企业）;</w:t>
      </w:r>
      <w:r/>
    </w:p>
    <w:p>
      <w:pPr>
        <w:ind w:firstLine="3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2.（标的名称），属于（招标文件中明确的所属行业）;承建（承接）企业为（企业名称），从业人员____人，营业收入为___万元，资产总额为___万元，属于（中型企业、小型企业、微型企业）;</w:t>
      </w:r>
      <w:r/>
    </w:p>
    <w:p>
      <w:pPr>
        <w:ind w:firstLine="3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以上企业，不属于大企业的分支机构，不存在控股股东为大企业的情形，也不存在与大企业的负责人为同一人的情形。</w:t>
      </w:r>
      <w:r/>
    </w:p>
    <w:p>
      <w:pPr>
        <w:ind w:firstLine="360"/>
        <w:spacing w:line="360" w:lineRule="auto"/>
        <w:rPr>
          <w:rFonts w:ascii="宋体" w:hAnsi="宋体" w:cs="宋体"/>
          <w:sz w:val="24"/>
          <w:szCs w:val="24"/>
          <w:highlight w:val="none"/>
        </w:rPr>
      </w:pPr>
      <w:r>
        <w:rPr>
          <w:rFonts w:hint="eastAsia" w:ascii="宋体" w:hAnsi="宋体" w:cs="宋体"/>
          <w:sz w:val="24"/>
          <w:szCs w:val="24"/>
          <w:highlight w:val="none"/>
        </w:rPr>
        <w:t xml:space="preserve">本企业对上述声明内容的真实性负责。如有虚假，将依法承担相应责任。</w:t>
      </w:r>
      <w:r/>
    </w:p>
    <w:p>
      <w:pPr>
        <w:ind w:firstLine="360"/>
        <w:spacing w:line="360" w:lineRule="auto"/>
        <w:rPr>
          <w:rFonts w:ascii="宋体" w:hAnsi="宋体" w:cs="宋体"/>
          <w:sz w:val="24"/>
          <w:szCs w:val="24"/>
          <w:highlight w:val="none"/>
        </w:rPr>
      </w:pPr>
      <w:r>
        <w:rPr>
          <w:rFonts w:ascii="宋体" w:hAnsi="宋体" w:cs="宋体"/>
          <w:sz w:val="24"/>
          <w:szCs w:val="24"/>
          <w:highlight w:val="none"/>
        </w:rPr>
      </w:r>
      <w:r/>
    </w:p>
    <w:p>
      <w:pPr>
        <w:ind w:firstLine="360"/>
        <w:spacing w:line="360" w:lineRule="auto"/>
        <w:rPr>
          <w:rFonts w:ascii="宋体" w:hAnsi="宋体" w:cs="宋体"/>
          <w:sz w:val="24"/>
          <w:szCs w:val="24"/>
          <w:highlight w:val="none"/>
        </w:rPr>
      </w:pPr>
      <w:r>
        <w:rPr>
          <w:rFonts w:hint="eastAsia" w:ascii="宋体" w:hAnsi="宋体" w:cs="宋体"/>
          <w:sz w:val="24"/>
          <w:szCs w:val="24"/>
          <w:highlight w:val="none"/>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w:t>
      </w:r>
      <w:r>
        <w:rPr>
          <w:rFonts w:hint="eastAsia" w:ascii="宋体" w:hAnsi="宋体"/>
          <w:sz w:val="24"/>
          <w:szCs w:val="24"/>
          <w:highlight w:val="none"/>
        </w:rPr>
        <w:t xml:space="preserve">货物采购项目中，货物的制造商应当为中小企业，不对其中涉及的服务的承接商、工程的承建商作出要求。</w:t>
      </w:r>
      <w:r>
        <w:rPr>
          <w:rFonts w:hint="eastAsia" w:ascii="宋体" w:hAnsi="宋体" w:cs="宋体"/>
          <w:sz w:val="24"/>
          <w:szCs w:val="24"/>
          <w:highlight w:val="none"/>
        </w:rPr>
        <w:t xml:space="preserve">）</w:t>
      </w:r>
      <w:r/>
    </w:p>
    <w:p>
      <w:pPr>
        <w:ind w:right="720"/>
        <w:spacing w:line="360" w:lineRule="auto"/>
        <w:rPr>
          <w:rFonts w:ascii="宋体" w:hAnsi="宋体" w:cs="宋体"/>
          <w:sz w:val="24"/>
          <w:szCs w:val="24"/>
          <w:highlight w:val="none"/>
        </w:rPr>
      </w:pPr>
      <w:r>
        <w:rPr>
          <w:rFonts w:ascii="宋体" w:hAnsi="宋体" w:cs="宋体"/>
          <w:sz w:val="24"/>
          <w:szCs w:val="24"/>
          <w:highlight w:val="none"/>
        </w:rPr>
      </w:r>
      <w:r/>
    </w:p>
    <w:p>
      <w:pPr>
        <w:ind w:right="180" w:firstLine="360"/>
        <w:jc w:val="right"/>
        <w:spacing w:line="360" w:lineRule="auto"/>
        <w:rPr>
          <w:rFonts w:ascii="宋体" w:hAnsi="宋体" w:cs="宋体"/>
          <w:sz w:val="24"/>
          <w:szCs w:val="24"/>
          <w:highlight w:val="none"/>
        </w:rPr>
      </w:pPr>
      <w:r>
        <w:rPr>
          <w:rFonts w:hint="eastAsia" w:ascii="宋体" w:hAnsi="宋体" w:cs="宋体"/>
          <w:sz w:val="24"/>
          <w:szCs w:val="24"/>
          <w:highlight w:val="none"/>
        </w:rPr>
        <w:t xml:space="preserve">企业名称：（加盖CA电子公章）</w:t>
      </w:r>
      <w:r/>
    </w:p>
    <w:p>
      <w:pPr>
        <w:ind w:firstLine="5760"/>
        <w:spacing w:line="360" w:lineRule="auto"/>
        <w:rPr>
          <w:rFonts w:ascii="黑体" w:hAnsi="黑体" w:eastAsia="黑体"/>
          <w:b/>
          <w:sz w:val="32"/>
          <w:szCs w:val="32"/>
          <w:highlight w:val="none"/>
        </w:rPr>
      </w:pPr>
      <w:r>
        <w:rPr>
          <w:rFonts w:hint="eastAsia" w:ascii="宋体" w:hAnsi="宋体" w:cs="宋体"/>
          <w:color w:val="000000"/>
          <w:sz w:val="24"/>
          <w:szCs w:val="24"/>
          <w:highlight w:val="none"/>
        </w:rPr>
        <w:t xml:space="preserve">日  期：年___月___日</w:t>
      </w:r>
      <w:r>
        <w:rPr>
          <w:rFonts w:ascii="黑体" w:hAnsi="黑体" w:eastAsia="黑体"/>
          <w:b/>
          <w:sz w:val="32"/>
          <w:szCs w:val="32"/>
          <w:highlight w:val="none"/>
        </w:rPr>
        <w:br w:type="page" w:clear="all"/>
      </w:r>
      <w:r/>
    </w:p>
    <w:p>
      <w:pPr>
        <w:jc w:val="center"/>
        <w:spacing w:line="360" w:lineRule="auto"/>
        <w:rPr>
          <w:b/>
          <w:bCs/>
          <w:sz w:val="28"/>
          <w:szCs w:val="32"/>
          <w:highlight w:val="none"/>
        </w:rPr>
      </w:pPr>
      <w:r>
        <w:rPr>
          <w:rFonts w:hint="eastAsia"/>
          <w:b/>
          <w:bCs/>
          <w:sz w:val="28"/>
          <w:szCs w:val="32"/>
          <w:highlight w:val="none"/>
          <w:lang w:val="en-US" w:eastAsia="zh-CN"/>
        </w:rPr>
        <w:t xml:space="preserve">九、</w:t>
      </w:r>
      <w:r>
        <w:rPr>
          <w:rFonts w:hint="eastAsia"/>
          <w:b/>
          <w:bCs/>
          <w:sz w:val="28"/>
          <w:szCs w:val="32"/>
          <w:highlight w:val="none"/>
        </w:rPr>
        <w:t xml:space="preserve">残疾人福利性单位声明函</w:t>
      </w:r>
      <w:r/>
    </w:p>
    <w:p>
      <w:pPr>
        <w:ind w:firstLine="480"/>
        <w:spacing w:line="360" w:lineRule="auto"/>
        <w:rPr>
          <w:rFonts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single"/>
        </w:rPr>
        <w:t xml:space="preserve"> </w:t>
      </w:r>
      <w:r>
        <w:rPr>
          <w:rFonts w:hint="eastAsia" w:ascii="宋体" w:hAnsi="宋体"/>
          <w:sz w:val="24"/>
          <w:highlight w:val="none"/>
        </w:rPr>
        <w:t xml:space="preserve">的项目采购活动</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sz w:val="24"/>
          <w:highlight w:val="none"/>
        </w:rPr>
      </w:pPr>
      <w:r>
        <w:rPr>
          <w:rFonts w:hint="eastAsia" w:ascii="宋体" w:hAnsi="宋体"/>
          <w:sz w:val="24"/>
          <w:highlight w:val="none"/>
        </w:rPr>
        <w:t xml:space="preserve">本单位对上述声明的真实性负责。如有虚假，将依法承担相应责任。</w:t>
      </w:r>
      <w:r/>
    </w:p>
    <w:p>
      <w:pPr>
        <w:ind w:firstLine="480"/>
        <w:spacing w:line="360" w:lineRule="auto"/>
        <w:rPr>
          <w:rFonts w:ascii="宋体" w:hAnsi="宋体"/>
          <w:sz w:val="24"/>
          <w:highlight w:val="none"/>
        </w:rPr>
      </w:pPr>
      <w:r>
        <w:rPr>
          <w:rFonts w:ascii="宋体" w:hAnsi="宋体"/>
          <w:sz w:val="24"/>
          <w:highlight w:val="none"/>
        </w:rPr>
      </w:r>
      <w:r/>
    </w:p>
    <w:p>
      <w:pPr>
        <w:ind w:firstLine="480"/>
        <w:spacing w:line="360" w:lineRule="auto"/>
        <w:rPr>
          <w:rFonts w:ascii="宋体" w:hAnsi="宋体"/>
          <w:sz w:val="24"/>
          <w:highlight w:val="none"/>
        </w:rPr>
      </w:pPr>
      <w:r>
        <w:rPr>
          <w:rFonts w:hint="eastAsia" w:ascii="宋体" w:hAnsi="宋体"/>
          <w:sz w:val="24"/>
          <w:highlight w:val="none"/>
        </w:rPr>
        <w:t xml:space="preserve">（备注：1、供应商如不提供此声明函，价格将不做相应扣除。2、中标人为残疾人福利单位的，此声明函将随中标结果同时公告，接受社会监督。）</w:t>
      </w:r>
      <w:r/>
    </w:p>
    <w:p>
      <w:pPr>
        <w:ind w:firstLine="624"/>
        <w:spacing w:line="360" w:lineRule="auto"/>
        <w:rPr>
          <w:rFonts w:ascii="仿宋_GB2312" w:eastAsia="仿宋_GB2312"/>
          <w:spacing w:val="6"/>
          <w:sz w:val="30"/>
          <w:szCs w:val="30"/>
          <w:highlight w:val="none"/>
        </w:rPr>
      </w:pPr>
      <w:r>
        <w:rPr>
          <w:rFonts w:ascii="仿宋_GB2312" w:eastAsia="仿宋_GB2312"/>
          <w:spacing w:val="6"/>
          <w:sz w:val="30"/>
          <w:szCs w:val="30"/>
          <w:highlight w:val="none"/>
        </w:rPr>
      </w:r>
      <w:r/>
    </w:p>
    <w:p>
      <w:pPr>
        <w:pStyle w:val="1287"/>
        <w:spacing w:line="360" w:lineRule="auto"/>
        <w:rPr>
          <w:highlight w:val="none"/>
        </w:rPr>
      </w:pPr>
      <w:r>
        <w:rPr>
          <w:highlight w:val="none"/>
        </w:rPr>
      </w:r>
      <w:r/>
    </w:p>
    <w:p>
      <w:pPr>
        <w:ind w:right="180" w:firstLine="360"/>
        <w:jc w:val="right"/>
        <w:spacing w:line="360" w:lineRule="auto"/>
        <w:rPr>
          <w:rFonts w:ascii="宋体" w:hAnsi="宋体"/>
          <w:sz w:val="24"/>
          <w:szCs w:val="24"/>
          <w:highlight w:val="none"/>
        </w:rPr>
      </w:pPr>
      <w:r>
        <w:rPr>
          <w:rFonts w:hint="eastAsia" w:ascii="宋体" w:hAnsi="宋体"/>
          <w:sz w:val="24"/>
          <w:szCs w:val="24"/>
          <w:highlight w:val="none"/>
        </w:rPr>
        <w:t xml:space="preserve">企业名称：（加盖CA电子公章）</w:t>
      </w:r>
      <w:r/>
    </w:p>
    <w:p>
      <w:pPr>
        <w:ind w:firstLine="5760"/>
        <w:spacing w:line="360" w:lineRule="auto"/>
        <w:rPr>
          <w:rFonts w:ascii="宋体" w:hAnsi="宋体"/>
          <w:sz w:val="24"/>
          <w:szCs w:val="24"/>
          <w:highlight w:val="none"/>
        </w:rPr>
      </w:pPr>
      <w:r>
        <w:rPr>
          <w:rFonts w:hint="eastAsia"/>
          <w:color w:val="000000"/>
          <w:sz w:val="24"/>
          <w:szCs w:val="24"/>
          <w:highlight w:val="none"/>
        </w:rPr>
        <w:t xml:space="preserve">日  期：年___月___日</w:t>
      </w:r>
      <w:r/>
    </w:p>
    <w:p>
      <w:pPr>
        <w:jc w:val="center"/>
        <w:spacing w:line="360" w:lineRule="auto"/>
        <w:rPr>
          <w:rFonts w:ascii="黑体" w:hAnsi="黑体" w:eastAsia="黑体"/>
          <w:b/>
          <w:sz w:val="32"/>
          <w:szCs w:val="32"/>
          <w:highlight w:val="none"/>
        </w:rPr>
      </w:pPr>
      <w:r>
        <w:rPr>
          <w:rFonts w:ascii="黑体" w:hAnsi="黑体" w:eastAsia="黑体"/>
          <w:b/>
          <w:sz w:val="32"/>
          <w:szCs w:val="32"/>
          <w:highlight w:val="none"/>
        </w:rPr>
      </w:r>
      <w:r/>
    </w:p>
    <w:p>
      <w:pPr>
        <w:jc w:val="center"/>
        <w:spacing w:line="360" w:lineRule="auto"/>
        <w:rPr>
          <w:rFonts w:ascii="黑体" w:hAnsi="黑体" w:eastAsia="黑体"/>
          <w:b/>
          <w:sz w:val="32"/>
          <w:szCs w:val="32"/>
          <w:highlight w:val="none"/>
        </w:rPr>
      </w:pPr>
      <w:r>
        <w:rPr>
          <w:rFonts w:ascii="黑体" w:hAnsi="黑体" w:eastAsia="黑体"/>
          <w:b/>
          <w:sz w:val="32"/>
          <w:szCs w:val="32"/>
          <w:highlight w:val="none"/>
        </w:rPr>
      </w:r>
      <w:r/>
    </w:p>
    <w:p>
      <w:pPr>
        <w:jc w:val="center"/>
        <w:spacing w:line="360" w:lineRule="auto"/>
        <w:rPr>
          <w:rFonts w:ascii="黑体" w:hAnsi="黑体" w:eastAsia="黑体"/>
          <w:b/>
          <w:sz w:val="32"/>
          <w:szCs w:val="32"/>
          <w:highlight w:val="none"/>
        </w:rPr>
      </w:pPr>
      <w:r>
        <w:rPr>
          <w:rFonts w:ascii="黑体" w:hAnsi="黑体" w:eastAsia="黑体"/>
          <w:b/>
          <w:sz w:val="32"/>
          <w:szCs w:val="32"/>
          <w:highlight w:val="none"/>
        </w:rPr>
      </w:r>
      <w:r/>
    </w:p>
    <w:p>
      <w:pPr>
        <w:jc w:val="center"/>
        <w:spacing w:line="360" w:lineRule="auto"/>
        <w:rPr>
          <w:rFonts w:ascii="黑体" w:hAnsi="黑体" w:eastAsia="黑体"/>
          <w:b/>
          <w:sz w:val="32"/>
          <w:szCs w:val="32"/>
          <w:highlight w:val="none"/>
        </w:rPr>
      </w:pPr>
      <w:r>
        <w:rPr>
          <w:rFonts w:ascii="黑体" w:hAnsi="黑体" w:eastAsia="黑体"/>
          <w:b/>
          <w:sz w:val="32"/>
          <w:szCs w:val="32"/>
          <w:highlight w:val="none"/>
        </w:rPr>
      </w:r>
      <w:r/>
    </w:p>
    <w:p>
      <w:pPr>
        <w:jc w:val="center"/>
        <w:spacing w:line="360" w:lineRule="auto"/>
        <w:rPr>
          <w:rFonts w:ascii="黑体" w:hAnsi="黑体" w:eastAsia="黑体"/>
          <w:b/>
          <w:sz w:val="32"/>
          <w:szCs w:val="32"/>
          <w:highlight w:val="none"/>
        </w:rPr>
      </w:pPr>
      <w:r>
        <w:rPr>
          <w:rFonts w:ascii="黑体" w:hAnsi="黑体" w:eastAsia="黑体"/>
          <w:b/>
          <w:sz w:val="32"/>
          <w:szCs w:val="32"/>
          <w:highlight w:val="none"/>
        </w:rPr>
      </w:r>
      <w:r/>
    </w:p>
    <w:p>
      <w:pPr>
        <w:jc w:val="center"/>
        <w:spacing w:line="360" w:lineRule="auto"/>
        <w:rPr>
          <w:rFonts w:ascii="黑体" w:hAnsi="黑体" w:eastAsia="黑体"/>
          <w:b/>
          <w:sz w:val="32"/>
          <w:szCs w:val="32"/>
          <w:highlight w:val="none"/>
        </w:rPr>
      </w:pPr>
      <w:r>
        <w:rPr>
          <w:rFonts w:ascii="黑体" w:hAnsi="黑体" w:eastAsia="黑体"/>
          <w:b/>
          <w:sz w:val="32"/>
          <w:szCs w:val="32"/>
          <w:highlight w:val="none"/>
        </w:rPr>
      </w:r>
      <w:r/>
    </w:p>
    <w:p>
      <w:pPr>
        <w:jc w:val="center"/>
        <w:spacing w:line="360" w:lineRule="auto"/>
        <w:rPr>
          <w:rFonts w:ascii="黑体" w:hAnsi="黑体" w:eastAsia="黑体"/>
          <w:b/>
          <w:sz w:val="32"/>
          <w:szCs w:val="32"/>
          <w:highlight w:val="none"/>
        </w:rPr>
      </w:pPr>
      <w:r>
        <w:rPr>
          <w:rFonts w:ascii="黑体" w:hAnsi="黑体" w:eastAsia="黑体"/>
          <w:b/>
          <w:sz w:val="32"/>
          <w:szCs w:val="32"/>
          <w:highlight w:val="none"/>
        </w:rPr>
      </w:r>
      <w:r/>
    </w:p>
    <w:p>
      <w:pPr>
        <w:jc w:val="center"/>
        <w:spacing w:line="360" w:lineRule="auto"/>
        <w:rPr>
          <w:rFonts w:ascii="黑体" w:hAnsi="黑体" w:eastAsia="黑体"/>
          <w:b/>
          <w:sz w:val="32"/>
          <w:szCs w:val="32"/>
          <w:highlight w:val="none"/>
        </w:rPr>
      </w:pPr>
      <w:r>
        <w:rPr>
          <w:rFonts w:ascii="黑体" w:hAnsi="黑体" w:eastAsia="黑体"/>
          <w:b/>
          <w:sz w:val="32"/>
          <w:szCs w:val="32"/>
          <w:highlight w:val="none"/>
        </w:rPr>
      </w:r>
      <w:r/>
    </w:p>
    <w:p>
      <w:pPr>
        <w:jc w:val="center"/>
        <w:spacing w:line="360" w:lineRule="auto"/>
        <w:rPr>
          <w:rFonts w:ascii="黑体" w:hAnsi="黑体" w:eastAsia="黑体"/>
          <w:b/>
          <w:sz w:val="32"/>
          <w:szCs w:val="32"/>
          <w:highlight w:val="none"/>
        </w:rPr>
      </w:pPr>
      <w:r>
        <w:rPr>
          <w:rFonts w:ascii="黑体" w:hAnsi="黑体" w:eastAsia="黑体"/>
          <w:b/>
          <w:sz w:val="32"/>
          <w:szCs w:val="32"/>
          <w:highlight w:val="none"/>
        </w:rPr>
      </w:r>
      <w:r/>
    </w:p>
    <w:p>
      <w:pP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982"/>
        <w:spacing w:line="360" w:lineRule="auto"/>
        <w:rPr>
          <w:highlight w:val="none"/>
        </w:rPr>
      </w:pPr>
      <w:r>
        <w:rPr>
          <w:highlight w:val="none"/>
        </w:rPr>
      </w:r>
      <w:bookmarkEnd w:id="154"/>
      <w:bookmarkEnd w:id="155"/>
      <w:bookmarkEnd w:id="167"/>
      <w:r/>
    </w:p>
    <w:p>
      <w:pPr>
        <w:jc w:val="center"/>
        <w:spacing w:line="360" w:lineRule="auto"/>
        <w:rPr>
          <w:rFonts w:hint="eastAsia" w:ascii="宋体" w:hAnsi="宋体"/>
          <w:sz w:val="24"/>
          <w:szCs w:val="24"/>
          <w:highlight w:val="none"/>
        </w:rPr>
      </w:pPr>
      <w:r/>
      <w:bookmarkStart w:id="171" w:name="_Hlt26782999"/>
      <w:r/>
      <w:bookmarkEnd w:id="171"/>
      <w:r/>
      <w:bookmarkStart w:id="172" w:name="_Hlt26580838"/>
      <w:r/>
      <w:bookmarkEnd w:id="172"/>
      <w:r/>
      <w:bookmarkStart w:id="173" w:name="_Hlt26609391"/>
      <w:r/>
      <w:bookmarkEnd w:id="173"/>
      <w:r/>
      <w:bookmarkStart w:id="174" w:name="_Hlt26955054"/>
      <w:r/>
      <w:bookmarkEnd w:id="174"/>
      <w:r/>
      <w:bookmarkStart w:id="175" w:name="_Hlt24879081"/>
      <w:r/>
      <w:bookmarkEnd w:id="175"/>
      <w:r/>
      <w:bookmarkStart w:id="176" w:name="_Hlt26955066"/>
      <w:r/>
      <w:bookmarkEnd w:id="176"/>
      <w:r/>
      <w:bookmarkStart w:id="177" w:name="_Hlt26955056"/>
      <w:r/>
      <w:bookmarkEnd w:id="177"/>
      <w:r/>
      <w:bookmarkStart w:id="178" w:name="_Hlt26671343"/>
      <w:r/>
      <w:bookmarkEnd w:id="178"/>
      <w:r/>
      <w:bookmarkStart w:id="179" w:name="_Hlt26671372"/>
      <w:r/>
      <w:bookmarkEnd w:id="179"/>
      <w:r/>
      <w:bookmarkStart w:id="180" w:name="_格式2__法定代表人授权书"/>
      <w:r/>
      <w:bookmarkEnd w:id="180"/>
      <w:r/>
      <w:bookmarkStart w:id="181" w:name="_Hlt26609389"/>
      <w:r/>
      <w:bookmarkEnd w:id="181"/>
      <w:r/>
      <w:bookmarkStart w:id="182" w:name="_Hlt26671374"/>
      <w:r/>
      <w:bookmarkEnd w:id="182"/>
      <w:r/>
      <w:bookmarkStart w:id="183" w:name="_Hlt26955064"/>
      <w:r/>
      <w:bookmarkEnd w:id="183"/>
      <w:r>
        <w:rPr>
          <w:rFonts w:hint="eastAsia" w:ascii="Times New Roman" w:hAnsi="Times New Roman" w:eastAsia="宋体" w:cs="Times New Roman"/>
          <w:b/>
          <w:bCs/>
          <w:sz w:val="28"/>
          <w:szCs w:val="32"/>
          <w:highlight w:val="none"/>
          <w:lang w:val="en-US" w:eastAsia="zh-CN"/>
        </w:rPr>
        <w:t xml:space="preserve">十、其他（如有）</w:t>
      </w:r>
      <w:r/>
    </w:p>
    <w:p>
      <w:pPr>
        <w:spacing w:line="360" w:lineRule="auto"/>
        <w:rPr>
          <w:rFonts w:ascii="宋体" w:hAnsi="宋体" w:cs="仿宋"/>
          <w:b/>
          <w:bCs/>
          <w:sz w:val="32"/>
          <w:szCs w:val="32"/>
          <w:highlight w:val="none"/>
        </w:rPr>
      </w:pPr>
      <w:r>
        <w:rPr>
          <w:rFonts w:ascii="宋体" w:hAnsi="宋体" w:cs="仿宋"/>
          <w:b/>
          <w:bCs/>
          <w:sz w:val="32"/>
          <w:szCs w:val="32"/>
          <w:highlight w:val="none"/>
        </w:rPr>
      </w:r>
      <w:r/>
    </w:p>
    <w:p>
      <w:pPr>
        <w:spacing w:line="360" w:lineRule="auto"/>
        <w:rPr>
          <w:rFonts w:ascii="宋体" w:hAnsi="宋体" w:cs="仿宋"/>
          <w:b/>
          <w:bCs/>
          <w:sz w:val="32"/>
          <w:szCs w:val="32"/>
          <w:highlight w:val="none"/>
        </w:rPr>
      </w:pPr>
      <w:r>
        <w:rPr>
          <w:rFonts w:ascii="宋体" w:hAnsi="宋体" w:cs="仿宋"/>
          <w:b/>
          <w:bCs/>
          <w:sz w:val="32"/>
          <w:szCs w:val="32"/>
          <w:highlight w:val="none"/>
        </w:rPr>
      </w:r>
      <w:r/>
    </w:p>
    <w:p>
      <w:pPr>
        <w:spacing w:line="360" w:lineRule="auto"/>
        <w:rPr>
          <w:rFonts w:ascii="宋体" w:hAnsi="宋体" w:cs="仿宋"/>
          <w:b/>
          <w:bCs/>
          <w:sz w:val="32"/>
          <w:szCs w:val="32"/>
          <w:highlight w:val="none"/>
        </w:rPr>
      </w:pPr>
      <w:r>
        <w:rPr>
          <w:rFonts w:ascii="宋体" w:hAnsi="宋体" w:cs="仿宋"/>
          <w:b/>
          <w:bCs/>
          <w:sz w:val="32"/>
          <w:szCs w:val="32"/>
          <w:highlight w:val="none"/>
        </w:rPr>
      </w:r>
      <w:r/>
    </w:p>
    <w:p>
      <w:pPr>
        <w:jc w:val="center"/>
        <w:spacing w:line="360" w:lineRule="auto"/>
        <w:rPr>
          <w:rFonts w:ascii="宋体" w:hAnsi="宋体" w:cs="仿宋"/>
          <w:b/>
          <w:bCs/>
          <w:sz w:val="32"/>
          <w:szCs w:val="32"/>
          <w:highlight w:val="none"/>
        </w:rPr>
      </w:pPr>
      <w:r>
        <w:rPr>
          <w:rFonts w:ascii="宋体" w:hAnsi="宋体" w:cs="仿宋"/>
          <w:b/>
          <w:bCs/>
          <w:sz w:val="32"/>
          <w:szCs w:val="32"/>
          <w:highlight w:val="none"/>
        </w:rPr>
      </w:r>
      <w:r/>
    </w:p>
    <w:p>
      <w:pPr>
        <w:spacing w:line="360" w:lineRule="auto"/>
        <w:rPr>
          <w:rFonts w:ascii="宋体" w:hAnsi="宋体" w:cs="仿宋"/>
          <w:sz w:val="24"/>
          <w:szCs w:val="24"/>
          <w:highlight w:val="none"/>
        </w:rPr>
      </w:pPr>
      <w:r>
        <w:rPr>
          <w:rFonts w:ascii="宋体" w:hAnsi="宋体" w:cs="仿宋"/>
          <w:sz w:val="24"/>
          <w:szCs w:val="24"/>
          <w:highlight w:val="none"/>
        </w:rPr>
      </w:r>
      <w:r/>
    </w:p>
    <w:sectPr>
      <w:footnotePr/>
      <w:endnotePr/>
      <w:type w:val="nextPage"/>
      <w:pgSz w:w="11906" w:h="16838" w:orient="portrait"/>
      <w:pgMar w:top="1417" w:right="1361" w:bottom="1417" w:left="1366"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Tahoma">
    <w:panose1 w:val="020B0604030504040204"/>
  </w:font>
  <w:font w:name="Courier New">
    <w:panose1 w:val="02070309020205020404"/>
  </w:font>
  <w:font w:name="楷体_GB2312">
    <w:panose1 w:val="02010609060101010101"/>
  </w:font>
  <w:font w:name="微软雅黑">
    <w:panose1 w:val="020B0503020204020204"/>
  </w:font>
  <w:font w:name="Calibri">
    <w:panose1 w:val="020F0502020204030204"/>
  </w:font>
  <w:font w:name="幼圆">
    <w:panose1 w:val="02010509060101010101"/>
  </w:font>
  <w:font w:name="黑体">
    <w:panose1 w:val="02010609060101010101"/>
  </w:font>
  <w:font w:name="Verdana">
    <w:panose1 w:val="020B0604030504040204"/>
  </w:font>
  <w:font w:name="仿宋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2"/>
      <w:jc w:val="center"/>
      <w:rPr>
        <w:b/>
        <w:i/>
      </w:rPr>
    </w:pPr>
    <w:r>
      <w:rPr>
        <w:b/>
        <w:i/>
      </w:rPr>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2"/>
      <w:jc w:val="cente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2"/>
      <w:jc w:val="cente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p>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0"/>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pBdr>
        <w:bottom w:val="none" w:color="000000" w:sz="0" w:space="0"/>
      </w:pBdr>
    </w:pPr>
    <w:r/>
    <w:r/>
  </w:p>
  <w:p>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ind w:firstLine="200"/>
      <w:rPr>
        <w:rFonts w:hint="default" w:eastAsia="宋体"/>
        <w:sz w:val="20"/>
        <w:szCs w:val="21"/>
        <w:lang w:val="en-US" w:eastAsia="zh-CN"/>
      </w:rPr>
    </w:pPr>
    <w:r>
      <w:rPr>
        <w:rFonts w:hint="default" w:eastAsia="宋体"/>
        <w:sz w:val="20"/>
        <w:szCs w:val="21"/>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ind w:firstLine="0"/>
      <w:jc w:val="center"/>
      <w:keepLines w:val="0"/>
      <w:keepNext w:val="0"/>
      <w:pageBreakBefore w:val="0"/>
      <w:widowControl w:val="off"/>
      <w:rPr>
        <w:rFonts w:hint="eastAsia" w:ascii="宋体" w:hAnsi="宋体" w:eastAsia="宋体" w:cs="宋体"/>
        <w:sz w:val="20"/>
        <w:szCs w:val="21"/>
        <w:u w:val="single"/>
        <w:lang w:val="en-US" w:eastAsia="zh-CN"/>
      </w:rPr>
    </w:pPr>
    <w:r>
      <w:rPr>
        <w:rFonts w:hint="eastAsia" w:ascii="宋体" w:hAnsi="宋体" w:cs="宋体"/>
        <w:sz w:val="20"/>
        <w:szCs w:val="21"/>
        <w:u w:val="single"/>
        <w:lang w:val="en-US" w:eastAsia="zh-CN"/>
      </w:rPr>
      <w:t xml:space="preserve">JSZC-320000-ZCZB-G2026-0004</w:t>
    </w:r>
    <w:r>
      <w:rPr>
        <w:rFonts w:hint="eastAsia" w:ascii="宋体" w:hAnsi="宋体" w:eastAsia="宋体" w:cs="宋体"/>
        <w:sz w:val="20"/>
        <w:szCs w:val="21"/>
        <w:u w:val="single"/>
        <w:lang w:val="en-US" w:eastAsia="zh-CN"/>
      </w:rPr>
      <w:t xml:space="preserve">                       </w:t>
    </w:r>
    <w:r>
      <w:rPr>
        <w:rFonts w:hint="eastAsia" w:ascii="宋体" w:hAnsi="宋体" w:cs="宋体"/>
        <w:sz w:val="20"/>
        <w:szCs w:val="21"/>
        <w:u w:val="single"/>
        <w:lang w:val="en-US" w:eastAsia="zh-CN"/>
      </w:rPr>
      <w:t xml:space="preserve">        </w:t>
    </w:r>
    <w:r>
      <w:rPr>
        <w:rFonts w:hint="eastAsia" w:ascii="宋体" w:hAnsi="宋体" w:eastAsia="宋体" w:cs="宋体"/>
        <w:sz w:val="20"/>
        <w:szCs w:val="21"/>
        <w:u w:val="single"/>
        <w:lang w:val="en-US" w:eastAsia="zh-CN"/>
      </w:rPr>
      <w:t xml:space="preserve">     江苏臻采招标代理有限公司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pBdr>
        <w:bottom w:val="none" w:color="000000" w:sz="0" w:space="0"/>
      </w:pBdr>
    </w:pPr>
    <w:r/>
    <w:r/>
  </w:p>
  <w:p>
    <w:pPr>
      <w:pStyle w:val="931"/>
      <w:ind w:firstLine="600"/>
    </w:pPr>
    <w:r>
      <w:rPr>
        <w:rFonts w:hint="eastAsia"/>
        <w:sz w:val="20"/>
        <w:szCs w:val="21"/>
        <w:u w:val="single"/>
        <w:lang w:val="en-US" w:eastAsia="zh-CN"/>
      </w:rPr>
      <w:t xml:space="preserve">JSZC-320000-ZCZB-G2026-0004</w:t>
    </w:r>
    <w:r>
      <w:rPr>
        <w:rFonts w:hint="eastAsia" w:eastAsia="宋体"/>
        <w:sz w:val="20"/>
        <w:szCs w:val="21"/>
        <w:u w:val="single"/>
        <w:lang w:val="en-US" w:eastAsia="zh-CN"/>
      </w:rPr>
      <w:t xml:space="preserve">             </w:t>
    </w:r>
    <w:r>
      <w:rPr>
        <w:rFonts w:hint="eastAsia"/>
        <w:sz w:val="20"/>
        <w:szCs w:val="21"/>
        <w:u w:val="single"/>
        <w:lang w:val="en-US" w:eastAsia="zh-CN"/>
      </w:rPr>
      <w:t xml:space="preserve">                  </w:t>
    </w:r>
    <w:r>
      <w:rPr>
        <w:rFonts w:hint="eastAsia" w:eastAsia="宋体"/>
        <w:sz w:val="20"/>
        <w:szCs w:val="21"/>
        <w:u w:val="single"/>
        <w:lang w:val="en-US" w:eastAsia="zh-CN"/>
      </w:rPr>
      <w:t xml:space="preserve"> </w:t>
    </w:r>
    <w:r>
      <w:rPr>
        <w:rFonts w:hint="eastAsia"/>
        <w:sz w:val="20"/>
        <w:szCs w:val="21"/>
        <w:u w:val="single"/>
        <w:lang w:val="en-US" w:eastAsia="zh-CN"/>
      </w:rPr>
      <w:t xml:space="preserve">江苏臻采招标代理有限公司</w:t>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ind w:firstLine="400"/>
      <w:rPr>
        <w:rFonts w:hint="default" w:eastAsia="宋体"/>
        <w:sz w:val="20"/>
        <w:szCs w:val="21"/>
        <w:u w:val="single"/>
        <w:lang w:val="en-US" w:eastAsia="zh-CN"/>
      </w:rPr>
    </w:pPr>
    <w:r>
      <w:rPr>
        <w:rFonts w:hint="eastAsia"/>
        <w:sz w:val="20"/>
        <w:szCs w:val="21"/>
        <w:u w:val="single"/>
        <w:lang w:val="en-US" w:eastAsia="zh-CN"/>
      </w:rPr>
      <w:t xml:space="preserve">JSZC-320000-ZCZB-G2026-0004</w:t>
    </w:r>
    <w:r>
      <w:rPr>
        <w:rFonts w:hint="eastAsia" w:eastAsia="宋体"/>
        <w:sz w:val="20"/>
        <w:szCs w:val="21"/>
        <w:u w:val="single"/>
        <w:lang w:val="en-US" w:eastAsia="zh-CN"/>
      </w:rPr>
      <w:t xml:space="preserve">                      </w:t>
    </w:r>
    <w:r>
      <w:rPr>
        <w:rFonts w:hint="eastAsia"/>
        <w:sz w:val="20"/>
        <w:szCs w:val="21"/>
        <w:u w:val="single"/>
        <w:lang w:val="en-US" w:eastAsia="zh-CN"/>
      </w:rPr>
      <w:t xml:space="preserve">       </w:t>
    </w:r>
    <w:r>
      <w:rPr>
        <w:rFonts w:hint="eastAsia" w:eastAsia="宋体"/>
        <w:sz w:val="20"/>
        <w:szCs w:val="21"/>
        <w:u w:val="single"/>
        <w:lang w:val="en-US" w:eastAsia="zh-CN"/>
      </w:rPr>
      <w:t xml:space="preserve">    </w:t>
    </w:r>
    <w:r>
      <w:rPr>
        <w:rFonts w:hint="eastAsia"/>
        <w:sz w:val="20"/>
        <w:szCs w:val="21"/>
        <w:u w:val="single"/>
        <w:lang w:val="en-US" w:eastAsia="zh-CN"/>
      </w:rPr>
      <w:t xml:space="preserve">江苏臻采招标代理有限公司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26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92"/>
      <w:isLgl w:val="false"/>
      <w:suff w:val="nothing"/>
      <w:lvlText w:val=""/>
      <w:lvlJc w:val="left"/>
      <w:pPr>
        <w:ind w:left="0" w:firstLine="0"/>
      </w:pPr>
      <w:rPr>
        <w:rFonts w:hint="eastAsia"/>
      </w:rPr>
    </w:lvl>
    <w:lvl w:ilvl="6">
      <w:start w:val="1"/>
      <w:numFmt w:val="decimal"/>
      <w:pStyle w:val="1194"/>
      <w:isLgl w:val="false"/>
      <w:suff w:val="nothing"/>
      <w:lvlText w:val=""/>
      <w:lvlJc w:val="left"/>
      <w:pPr>
        <w:ind w:left="0" w:firstLine="0"/>
      </w:pPr>
      <w:rPr>
        <w:rFonts w:hint="eastAsia"/>
      </w:rPr>
    </w:lvl>
    <w:lvl w:ilvl="7">
      <w:start w:val="1"/>
      <w:numFmt w:val="decimal"/>
      <w:pStyle w:val="1196"/>
      <w:isLgl w:val="false"/>
      <w:suff w:val="nothing"/>
      <w:lvlText w:val=""/>
      <w:lvlJc w:val="left"/>
      <w:pPr>
        <w:ind w:left="0" w:firstLine="0"/>
      </w:pPr>
      <w:rPr>
        <w:rFonts w:hint="eastAsia"/>
      </w:rPr>
    </w:lvl>
    <w:lvl w:ilvl="8">
      <w:start w:val="1"/>
      <w:numFmt w:val="decimal"/>
      <w:pStyle w:val="1198"/>
      <w:isLgl w:val="false"/>
      <w:suff w:val="nothing"/>
      <w:lvlText w:val=""/>
      <w:lvlJc w:val="left"/>
      <w:pPr>
        <w:ind w:left="0" w:firstLine="0"/>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6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9"/>
  </w:num>
  <w:num w:numId="4">
    <w:abstractNumId w:val="5"/>
  </w:num>
  <w:num w:numId="5">
    <w:abstractNumId w:val="11"/>
  </w:num>
  <w:num w:numId="6">
    <w:abstractNumId w:val="12"/>
  </w:num>
  <w:num w:numId="7">
    <w:abstractNumId w:val="8"/>
  </w:num>
  <w:num w:numId="8">
    <w:abstractNumId w:val="1"/>
  </w:num>
  <w:num w:numId="9">
    <w:abstractNumId w:val="10"/>
  </w:num>
  <w:num w:numId="10">
    <w:abstractNumId w:val="3"/>
  </w:num>
  <w:num w:numId="11">
    <w:abstractNumId w:val="0"/>
  </w:num>
  <w:num w:numId="12">
    <w:abstractNumId w:val="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6"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7">
    <w:name w:val="Heading 1"/>
    <w:basedOn w:val="906"/>
    <w:next w:val="906"/>
    <w:link w:val="1033"/>
    <w:uiPriority w:val="9"/>
    <w:qFormat/>
    <w:pPr>
      <w:keepLines/>
      <w:keepNext/>
      <w:spacing w:before="480" w:after="200"/>
      <w:outlineLvl w:val="0"/>
    </w:pPr>
    <w:rPr>
      <w:rFonts w:ascii="Arial" w:hAnsi="Arial" w:eastAsia="Arial"/>
      <w:sz w:val="40"/>
      <w:szCs w:val="40"/>
    </w:rPr>
  </w:style>
  <w:style w:type="paragraph" w:styleId="908">
    <w:name w:val="Heading 2"/>
    <w:basedOn w:val="906"/>
    <w:next w:val="906"/>
    <w:link w:val="1034"/>
    <w:uiPriority w:val="9"/>
    <w:unhideWhenUsed/>
    <w:qFormat/>
    <w:pPr>
      <w:keepLines/>
      <w:keepNext/>
      <w:spacing w:before="360" w:after="200"/>
      <w:outlineLvl w:val="1"/>
    </w:pPr>
    <w:rPr>
      <w:rFonts w:ascii="Arial" w:hAnsi="Arial" w:eastAsia="Arial"/>
      <w:sz w:val="34"/>
      <w:szCs w:val="20"/>
    </w:rPr>
  </w:style>
  <w:style w:type="paragraph" w:styleId="909">
    <w:name w:val="Heading 3"/>
    <w:basedOn w:val="906"/>
    <w:next w:val="906"/>
    <w:link w:val="1035"/>
    <w:uiPriority w:val="9"/>
    <w:unhideWhenUsed/>
    <w:qFormat/>
    <w:pPr>
      <w:keepLines/>
      <w:keepNext/>
      <w:spacing w:before="320" w:after="200"/>
      <w:outlineLvl w:val="2"/>
    </w:pPr>
    <w:rPr>
      <w:rFonts w:ascii="Arial" w:hAnsi="Arial" w:eastAsia="Arial"/>
      <w:sz w:val="30"/>
      <w:szCs w:val="30"/>
    </w:rPr>
  </w:style>
  <w:style w:type="paragraph" w:styleId="910">
    <w:name w:val="Heading 4"/>
    <w:basedOn w:val="906"/>
    <w:next w:val="906"/>
    <w:link w:val="1036"/>
    <w:uiPriority w:val="9"/>
    <w:unhideWhenUsed/>
    <w:qFormat/>
    <w:pPr>
      <w:keepLines/>
      <w:keepNext/>
      <w:spacing w:before="320" w:after="200"/>
      <w:outlineLvl w:val="3"/>
    </w:pPr>
    <w:rPr>
      <w:rFonts w:ascii="Arial" w:hAnsi="Arial" w:eastAsia="Arial"/>
      <w:b/>
      <w:bCs/>
      <w:sz w:val="26"/>
      <w:szCs w:val="26"/>
    </w:rPr>
  </w:style>
  <w:style w:type="paragraph" w:styleId="911">
    <w:name w:val="Heading 5"/>
    <w:basedOn w:val="906"/>
    <w:next w:val="906"/>
    <w:link w:val="1037"/>
    <w:uiPriority w:val="9"/>
    <w:unhideWhenUsed/>
    <w:qFormat/>
    <w:pPr>
      <w:keepLines/>
      <w:keepNext/>
      <w:spacing w:before="320" w:after="200"/>
      <w:outlineLvl w:val="4"/>
    </w:pPr>
    <w:rPr>
      <w:rFonts w:ascii="Arial" w:hAnsi="Arial" w:eastAsia="Arial"/>
      <w:b/>
      <w:bCs/>
      <w:sz w:val="24"/>
      <w:szCs w:val="24"/>
    </w:rPr>
  </w:style>
  <w:style w:type="paragraph" w:styleId="912">
    <w:name w:val="Heading 6"/>
    <w:basedOn w:val="906"/>
    <w:next w:val="906"/>
    <w:link w:val="1038"/>
    <w:uiPriority w:val="9"/>
    <w:unhideWhenUsed/>
    <w:qFormat/>
    <w:pPr>
      <w:keepLines/>
      <w:keepNext/>
      <w:spacing w:before="320" w:after="200"/>
      <w:outlineLvl w:val="5"/>
    </w:pPr>
    <w:rPr>
      <w:rFonts w:ascii="Arial" w:hAnsi="Arial" w:eastAsia="Arial"/>
      <w:b/>
      <w:bCs/>
      <w:sz w:val="22"/>
    </w:rPr>
  </w:style>
  <w:style w:type="paragraph" w:styleId="913">
    <w:name w:val="Heading 7"/>
    <w:basedOn w:val="906"/>
    <w:next w:val="906"/>
    <w:link w:val="1039"/>
    <w:uiPriority w:val="9"/>
    <w:unhideWhenUsed/>
    <w:qFormat/>
    <w:pPr>
      <w:keepLines/>
      <w:keepNext/>
      <w:spacing w:before="320" w:after="200"/>
      <w:outlineLvl w:val="6"/>
    </w:pPr>
    <w:rPr>
      <w:rFonts w:ascii="Arial" w:hAnsi="Arial" w:eastAsia="Arial"/>
      <w:b/>
      <w:bCs/>
      <w:i/>
      <w:iCs/>
      <w:sz w:val="22"/>
    </w:rPr>
  </w:style>
  <w:style w:type="paragraph" w:styleId="914">
    <w:name w:val="Heading 8"/>
    <w:basedOn w:val="906"/>
    <w:next w:val="906"/>
    <w:link w:val="1040"/>
    <w:uiPriority w:val="9"/>
    <w:unhideWhenUsed/>
    <w:qFormat/>
    <w:pPr>
      <w:keepLines/>
      <w:keepNext/>
      <w:spacing w:before="320" w:after="200"/>
      <w:outlineLvl w:val="7"/>
    </w:pPr>
    <w:rPr>
      <w:rFonts w:ascii="Arial" w:hAnsi="Arial" w:eastAsia="Arial"/>
      <w:i/>
      <w:iCs/>
      <w:sz w:val="22"/>
    </w:rPr>
  </w:style>
  <w:style w:type="paragraph" w:styleId="915">
    <w:name w:val="Heading 9"/>
    <w:basedOn w:val="906"/>
    <w:next w:val="906"/>
    <w:link w:val="1041"/>
    <w:uiPriority w:val="9"/>
    <w:unhideWhenUsed/>
    <w:qFormat/>
    <w:pPr>
      <w:keepLines/>
      <w:keepNext/>
      <w:spacing w:before="320" w:after="200"/>
      <w:outlineLvl w:val="8"/>
    </w:pPr>
    <w:rPr>
      <w:rFonts w:ascii="Arial" w:hAnsi="Arial" w:eastAsia="Arial"/>
      <w:i/>
      <w:iCs/>
      <w:szCs w:val="21"/>
    </w:rPr>
  </w:style>
  <w:style w:type="character" w:styleId="916" w:default="1">
    <w:name w:val="Default Paragraph Font"/>
    <w:uiPriority w:val="1"/>
    <w:semiHidden/>
    <w:unhideWhenUsed/>
    <w:qFormat/>
  </w:style>
  <w:style w:type="table" w:styleId="917"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18">
    <w:name w:val="toc 7"/>
    <w:basedOn w:val="906"/>
    <w:next w:val="906"/>
    <w:uiPriority w:val="39"/>
    <w:unhideWhenUsed/>
    <w:qFormat/>
    <w:pPr>
      <w:ind w:left="1701"/>
      <w:spacing w:after="57"/>
    </w:pPr>
  </w:style>
  <w:style w:type="paragraph" w:styleId="919">
    <w:name w:val="Caption"/>
    <w:basedOn w:val="906"/>
    <w:next w:val="9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0">
    <w:name w:val="annotation text"/>
    <w:basedOn w:val="906"/>
    <w:uiPriority w:val="0"/>
    <w:unhideWhenUsed/>
    <w:qFormat/>
    <w:pPr>
      <w:jc w:val="left"/>
    </w:pPr>
  </w:style>
  <w:style w:type="paragraph" w:styleId="921">
    <w:name w:val="Body Text"/>
    <w:basedOn w:val="906"/>
    <w:next w:val="922"/>
    <w:uiPriority w:val="1"/>
    <w:qFormat/>
    <w:pPr>
      <w:ind w:left="221"/>
      <w:jc w:val="left"/>
      <w:spacing w:before="158"/>
    </w:pPr>
    <w:rPr>
      <w:rFonts w:ascii="宋体" w:hAnsi="宋体" w:cs="宋体"/>
      <w:sz w:val="24"/>
      <w:szCs w:val="24"/>
    </w:rPr>
  </w:style>
  <w:style w:type="paragraph" w:styleId="922">
    <w:name w:val="Body Text First Indent"/>
    <w:basedOn w:val="921"/>
    <w:uiPriority w:val="0"/>
    <w:qFormat/>
    <w:pPr>
      <w:ind w:firstLine="420"/>
    </w:pPr>
    <w:rPr>
      <w:rFonts w:eastAsia="Verdana"/>
    </w:rPr>
  </w:style>
  <w:style w:type="paragraph" w:styleId="923">
    <w:name w:val="Body Text Indent"/>
    <w:basedOn w:val="906"/>
    <w:next w:val="924"/>
    <w:uiPriority w:val="0"/>
    <w:qFormat/>
    <w:pPr>
      <w:ind w:firstLine="225"/>
    </w:pPr>
    <w:rPr>
      <w:rFonts w:ascii="仿宋_GB2312" w:eastAsia="仿宋_GB2312"/>
      <w:sz w:val="32"/>
    </w:rPr>
  </w:style>
  <w:style w:type="paragraph" w:styleId="924">
    <w:name w:val="envelope return"/>
    <w:basedOn w:val="906"/>
    <w:next w:val="918"/>
    <w:uiPriority w:val="0"/>
    <w:qFormat/>
    <w:rPr>
      <w:rFonts w:ascii="Arial" w:hAnsi="Arial"/>
    </w:rPr>
  </w:style>
  <w:style w:type="paragraph" w:styleId="925">
    <w:name w:val="index 4"/>
    <w:basedOn w:val="906"/>
    <w:next w:val="906"/>
    <w:uiPriority w:val="99"/>
    <w:semiHidden/>
    <w:unhideWhenUsed/>
    <w:qFormat/>
    <w:pPr>
      <w:ind w:left="600"/>
      <w:jc w:val="left"/>
      <w:spacing w:after="200" w:afterAutospacing="0"/>
    </w:pPr>
    <w:rPr>
      <w:rFonts w:hint="default" w:ascii="Verdana" w:hAnsi="Verdana" w:eastAsia="微软雅黑" w:cs="Times New Roman"/>
      <w:sz w:val="22"/>
      <w:szCs w:val="22"/>
      <w:lang w:val="en-US" w:eastAsia="zh-CN" w:bidi="ar"/>
    </w:rPr>
  </w:style>
  <w:style w:type="paragraph" w:styleId="926">
    <w:name w:val="toc 5"/>
    <w:basedOn w:val="906"/>
    <w:next w:val="906"/>
    <w:uiPriority w:val="39"/>
    <w:unhideWhenUsed/>
    <w:qFormat/>
    <w:pPr>
      <w:ind w:left="1134"/>
      <w:spacing w:after="57"/>
    </w:pPr>
  </w:style>
  <w:style w:type="paragraph" w:styleId="927">
    <w:name w:val="toc 3"/>
    <w:basedOn w:val="906"/>
    <w:next w:val="906"/>
    <w:uiPriority w:val="39"/>
    <w:unhideWhenUsed/>
    <w:qFormat/>
    <w:pPr>
      <w:ind w:left="567"/>
      <w:spacing w:after="57"/>
    </w:pPr>
  </w:style>
  <w:style w:type="paragraph" w:styleId="928">
    <w:name w:val="toc 8"/>
    <w:basedOn w:val="906"/>
    <w:next w:val="906"/>
    <w:uiPriority w:val="39"/>
    <w:unhideWhenUsed/>
    <w:qFormat/>
    <w:pPr>
      <w:ind w:left="1984"/>
      <w:spacing w:after="57"/>
    </w:pPr>
  </w:style>
  <w:style w:type="paragraph" w:styleId="929">
    <w:name w:val="endnote text"/>
    <w:basedOn w:val="906"/>
    <w:link w:val="994"/>
    <w:uiPriority w:val="99"/>
    <w:semiHidden/>
    <w:unhideWhenUsed/>
    <w:qFormat/>
    <w:rPr>
      <w:sz w:val="20"/>
    </w:rPr>
  </w:style>
  <w:style w:type="paragraph" w:styleId="930">
    <w:name w:val="Footer"/>
    <w:basedOn w:val="906"/>
    <w:uiPriority w:val="99"/>
    <w:unhideWhenUsed/>
    <w:qFormat/>
    <w:pPr>
      <w:tabs>
        <w:tab w:val="center" w:pos="7143" w:leader="none"/>
        <w:tab w:val="right" w:pos="14287" w:leader="none"/>
      </w:tabs>
    </w:pPr>
  </w:style>
  <w:style w:type="paragraph" w:styleId="931">
    <w:name w:val="Header"/>
    <w:basedOn w:val="906"/>
    <w:uiPriority w:val="99"/>
    <w:unhideWhenUsed/>
    <w:qFormat/>
    <w:pPr>
      <w:tabs>
        <w:tab w:val="center" w:pos="7143" w:leader="none"/>
        <w:tab w:val="right" w:pos="14287" w:leader="none"/>
      </w:tabs>
    </w:pPr>
  </w:style>
  <w:style w:type="paragraph" w:styleId="932">
    <w:name w:val="toc 1"/>
    <w:basedOn w:val="906"/>
    <w:next w:val="906"/>
    <w:uiPriority w:val="39"/>
    <w:unhideWhenUsed/>
    <w:qFormat/>
    <w:pPr>
      <w:spacing w:after="57"/>
    </w:pPr>
  </w:style>
  <w:style w:type="paragraph" w:styleId="933">
    <w:name w:val="toc 4"/>
    <w:basedOn w:val="906"/>
    <w:next w:val="906"/>
    <w:uiPriority w:val="39"/>
    <w:unhideWhenUsed/>
    <w:qFormat/>
    <w:pPr>
      <w:ind w:left="850"/>
      <w:spacing w:after="57"/>
    </w:pPr>
  </w:style>
  <w:style w:type="paragraph" w:styleId="934">
    <w:name w:val="Subtitle"/>
    <w:basedOn w:val="906"/>
    <w:next w:val="906"/>
    <w:link w:val="988"/>
    <w:uiPriority w:val="11"/>
    <w:qFormat/>
    <w:pPr>
      <w:spacing w:before="200" w:after="200"/>
    </w:pPr>
    <w:rPr>
      <w:sz w:val="24"/>
      <w:szCs w:val="24"/>
    </w:rPr>
  </w:style>
  <w:style w:type="paragraph" w:styleId="935">
    <w:name w:val="footnote text"/>
    <w:basedOn w:val="906"/>
    <w:link w:val="993"/>
    <w:uiPriority w:val="99"/>
    <w:semiHidden/>
    <w:unhideWhenUsed/>
    <w:qFormat/>
    <w:pPr>
      <w:spacing w:after="40"/>
    </w:pPr>
    <w:rPr>
      <w:sz w:val="18"/>
    </w:rPr>
  </w:style>
  <w:style w:type="paragraph" w:styleId="936">
    <w:name w:val="toc 6"/>
    <w:basedOn w:val="906"/>
    <w:next w:val="906"/>
    <w:uiPriority w:val="39"/>
    <w:unhideWhenUsed/>
    <w:qFormat/>
    <w:pPr>
      <w:ind w:left="1417"/>
      <w:spacing w:after="57"/>
    </w:pPr>
  </w:style>
  <w:style w:type="paragraph" w:styleId="937">
    <w:name w:val="table of figures"/>
    <w:basedOn w:val="906"/>
    <w:next w:val="906"/>
    <w:uiPriority w:val="99"/>
    <w:unhideWhenUsed/>
    <w:qFormat/>
  </w:style>
  <w:style w:type="paragraph" w:styleId="938">
    <w:name w:val="toc 2"/>
    <w:basedOn w:val="906"/>
    <w:next w:val="906"/>
    <w:uiPriority w:val="39"/>
    <w:unhideWhenUsed/>
    <w:qFormat/>
    <w:pPr>
      <w:ind w:left="283"/>
      <w:spacing w:after="57"/>
    </w:pPr>
  </w:style>
  <w:style w:type="paragraph" w:styleId="939">
    <w:name w:val="toc 9"/>
    <w:basedOn w:val="906"/>
    <w:next w:val="906"/>
    <w:uiPriority w:val="39"/>
    <w:unhideWhenUsed/>
    <w:qFormat/>
    <w:pPr>
      <w:ind w:left="2268"/>
      <w:spacing w:after="57"/>
    </w:pPr>
  </w:style>
  <w:style w:type="paragraph" w:styleId="940">
    <w:name w:val="Normal (Web)"/>
    <w:basedOn w:val="906"/>
    <w:uiPriority w:val="0"/>
    <w:qFormat/>
    <w:pPr>
      <w:jc w:val="left"/>
      <w:spacing w:beforeAutospacing="1" w:afterAutospacing="1"/>
    </w:pPr>
    <w:rPr>
      <w:sz w:val="24"/>
    </w:rPr>
  </w:style>
  <w:style w:type="paragraph" w:styleId="941">
    <w:name w:val="Title"/>
    <w:basedOn w:val="906"/>
    <w:next w:val="906"/>
    <w:link w:val="987"/>
    <w:uiPriority w:val="10"/>
    <w:qFormat/>
    <w:pPr>
      <w:contextualSpacing/>
      <w:spacing w:before="300" w:after="200"/>
    </w:pPr>
    <w:rPr>
      <w:sz w:val="48"/>
      <w:szCs w:val="48"/>
    </w:rPr>
  </w:style>
  <w:style w:type="paragraph" w:styleId="942">
    <w:name w:val="Body Text First Indent 2"/>
    <w:basedOn w:val="923"/>
    <w:next w:val="906"/>
    <w:uiPriority w:val="0"/>
    <w:qFormat/>
    <w:pPr>
      <w:ind w:left="0" w:firstLine="420"/>
      <w:spacing w:after="0" w:line="360" w:lineRule="auto"/>
    </w:pPr>
    <w:rPr>
      <w:rFonts w:ascii="宋体" w:hAnsi="宋体"/>
      <w:sz w:val="20"/>
      <w:szCs w:val="20"/>
      <w:lang w:eastAsia="en-US"/>
    </w:rPr>
  </w:style>
  <w:style w:type="table" w:styleId="943">
    <w:name w:val="Table Grid"/>
    <w:basedOn w:val="91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4">
    <w:name w:val="endnote reference"/>
    <w:uiPriority w:val="99"/>
    <w:semiHidden/>
    <w:unhideWhenUsed/>
    <w:qFormat/>
    <w:rPr>
      <w:vertAlign w:val="superscript"/>
    </w:rPr>
  </w:style>
  <w:style w:type="character" w:styleId="945">
    <w:name w:val="Hyperlink"/>
    <w:uiPriority w:val="99"/>
    <w:unhideWhenUsed/>
    <w:qFormat/>
    <w:rPr>
      <w:color w:val="0000ff" w:themeColor="hyperlink"/>
      <w:u w:val="single"/>
      <w14:textFill>
        <w14:solidFill>
          <w14:schemeClr w14:val="hlink"/>
        </w14:solidFill>
      </w14:textFill>
    </w:rPr>
  </w:style>
  <w:style w:type="character" w:styleId="946">
    <w:name w:val="footnote reference"/>
    <w:uiPriority w:val="99"/>
    <w:unhideWhenUsed/>
    <w:qFormat/>
    <w:rPr>
      <w:vertAlign w:val="superscript"/>
    </w:rPr>
  </w:style>
  <w:style w:type="character" w:styleId="947" w:customStyle="1">
    <w:name w:val="Heading 1 Char"/>
    <w:basedOn w:val="916"/>
    <w:uiPriority w:val="9"/>
    <w:qFormat/>
    <w:rPr>
      <w:rFonts w:ascii="Arial" w:hAnsi="Arial" w:eastAsia="Arial" w:cs="Arial"/>
      <w:sz w:val="40"/>
      <w:szCs w:val="40"/>
    </w:rPr>
  </w:style>
  <w:style w:type="character" w:styleId="948" w:customStyle="1">
    <w:name w:val="Heading 2 Char"/>
    <w:basedOn w:val="916"/>
    <w:uiPriority w:val="9"/>
    <w:qFormat/>
    <w:rPr>
      <w:rFonts w:ascii="Arial" w:hAnsi="Arial" w:eastAsia="Arial" w:cs="Arial"/>
      <w:sz w:val="34"/>
    </w:rPr>
  </w:style>
  <w:style w:type="character" w:styleId="949" w:customStyle="1">
    <w:name w:val="Heading 3 Char"/>
    <w:basedOn w:val="916"/>
    <w:uiPriority w:val="9"/>
    <w:qFormat/>
    <w:rPr>
      <w:rFonts w:ascii="Arial" w:hAnsi="Arial" w:eastAsia="Arial" w:cs="Arial"/>
      <w:sz w:val="30"/>
      <w:szCs w:val="30"/>
    </w:rPr>
  </w:style>
  <w:style w:type="character" w:styleId="950" w:customStyle="1">
    <w:name w:val="Heading 4 Char"/>
    <w:basedOn w:val="916"/>
    <w:uiPriority w:val="9"/>
    <w:qFormat/>
    <w:rPr>
      <w:rFonts w:ascii="Arial" w:hAnsi="Arial" w:eastAsia="Arial" w:cs="Arial"/>
      <w:b/>
      <w:bCs/>
      <w:sz w:val="26"/>
      <w:szCs w:val="26"/>
    </w:rPr>
  </w:style>
  <w:style w:type="character" w:styleId="951" w:customStyle="1">
    <w:name w:val="Heading 5 Char"/>
    <w:basedOn w:val="916"/>
    <w:uiPriority w:val="9"/>
    <w:qFormat/>
    <w:rPr>
      <w:rFonts w:ascii="Arial" w:hAnsi="Arial" w:eastAsia="Arial" w:cs="Arial"/>
      <w:b/>
      <w:bCs/>
      <w:sz w:val="24"/>
      <w:szCs w:val="24"/>
    </w:rPr>
  </w:style>
  <w:style w:type="character" w:styleId="952" w:customStyle="1">
    <w:name w:val="Heading 6 Char"/>
    <w:basedOn w:val="916"/>
    <w:uiPriority w:val="9"/>
    <w:qFormat/>
    <w:rPr>
      <w:rFonts w:ascii="Arial" w:hAnsi="Arial" w:eastAsia="Arial" w:cs="Arial"/>
      <w:b/>
      <w:bCs/>
      <w:sz w:val="22"/>
      <w:szCs w:val="22"/>
    </w:rPr>
  </w:style>
  <w:style w:type="character" w:styleId="953" w:customStyle="1">
    <w:name w:val="Heading 7 Char"/>
    <w:basedOn w:val="916"/>
    <w:uiPriority w:val="9"/>
    <w:qFormat/>
    <w:rPr>
      <w:rFonts w:ascii="Arial" w:hAnsi="Arial" w:eastAsia="Arial" w:cs="Arial"/>
      <w:b/>
      <w:bCs/>
      <w:i/>
      <w:iCs/>
      <w:sz w:val="22"/>
      <w:szCs w:val="22"/>
    </w:rPr>
  </w:style>
  <w:style w:type="character" w:styleId="954" w:customStyle="1">
    <w:name w:val="Heading 8 Char"/>
    <w:basedOn w:val="916"/>
    <w:uiPriority w:val="9"/>
    <w:qFormat/>
    <w:rPr>
      <w:rFonts w:ascii="Arial" w:hAnsi="Arial" w:eastAsia="Arial" w:cs="Arial"/>
      <w:i/>
      <w:iCs/>
      <w:sz w:val="22"/>
      <w:szCs w:val="22"/>
    </w:rPr>
  </w:style>
  <w:style w:type="character" w:styleId="955" w:customStyle="1">
    <w:name w:val="Heading 9 Char"/>
    <w:basedOn w:val="916"/>
    <w:uiPriority w:val="9"/>
    <w:qFormat/>
    <w:rPr>
      <w:rFonts w:ascii="Arial" w:hAnsi="Arial" w:eastAsia="Arial" w:cs="Arial"/>
      <w:i/>
      <w:iCs/>
      <w:sz w:val="21"/>
      <w:szCs w:val="21"/>
    </w:rPr>
  </w:style>
  <w:style w:type="character" w:styleId="956" w:customStyle="1">
    <w:name w:val="Title Char"/>
    <w:basedOn w:val="916"/>
    <w:uiPriority w:val="10"/>
    <w:qFormat/>
    <w:rPr>
      <w:sz w:val="48"/>
      <w:szCs w:val="48"/>
    </w:rPr>
  </w:style>
  <w:style w:type="character" w:styleId="957" w:customStyle="1">
    <w:name w:val="Subtitle Char"/>
    <w:basedOn w:val="916"/>
    <w:uiPriority w:val="11"/>
    <w:qFormat/>
    <w:rPr>
      <w:sz w:val="24"/>
      <w:szCs w:val="24"/>
    </w:rPr>
  </w:style>
  <w:style w:type="character" w:styleId="958" w:customStyle="1">
    <w:name w:val="Quote Char"/>
    <w:uiPriority w:val="29"/>
    <w:qFormat/>
    <w:rPr>
      <w:i/>
    </w:rPr>
  </w:style>
  <w:style w:type="character" w:styleId="959" w:customStyle="1">
    <w:name w:val="Intense Quote Char"/>
    <w:uiPriority w:val="30"/>
    <w:qFormat/>
    <w:rPr>
      <w:i/>
    </w:rPr>
  </w:style>
  <w:style w:type="table" w:styleId="960" w:customStyle="1">
    <w:name w:val="Plain Table 1"/>
    <w:basedOn w:val="9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Plain Table 2"/>
    <w:basedOn w:val="9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Plain Table 3"/>
    <w:basedOn w:val="9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3" w:customStyle="1">
    <w:name w:val="Plain Table 4"/>
    <w:basedOn w:val="9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4" w:customStyle="1">
    <w:name w:val="Plain Table 5"/>
    <w:basedOn w:val="9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5" w:customStyle="1">
    <w:name w:val="Grid Table 1 Light"/>
    <w:basedOn w:val="91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6" w:customStyle="1">
    <w:name w:val="Grid Table 2"/>
    <w:basedOn w:val="9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7" w:customStyle="1">
    <w:name w:val="Grid Table 3"/>
    <w:basedOn w:val="9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4"/>
    <w:basedOn w:val="91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9" w:customStyle="1">
    <w:name w:val="Grid Table 5 Dark"/>
    <w:basedOn w:val="9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0" w:customStyle="1">
    <w:name w:val="Grid Table 6 Colorful"/>
    <w:basedOn w:val="9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1" w:customStyle="1">
    <w:name w:val="Grid Table 7 Colorful"/>
    <w:basedOn w:val="9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2" w:customStyle="1">
    <w:name w:val="List Table 1 Light"/>
    <w:basedOn w:val="91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3" w:customStyle="1">
    <w:name w:val="List Table 2"/>
    <w:basedOn w:val="91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4" w:customStyle="1">
    <w:name w:val="List Table 3"/>
    <w:basedOn w:val="9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4"/>
    <w:basedOn w:val="9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5 Dark"/>
    <w:basedOn w:val="91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6 Colorful"/>
    <w:basedOn w:val="91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8" w:customStyle="1">
    <w:name w:val="List Table 7 Colorful"/>
    <w:basedOn w:val="91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79" w:customStyle="1">
    <w:name w:val="Footnote Text Char"/>
    <w:uiPriority w:val="99"/>
    <w:qFormat/>
    <w:rPr>
      <w:sz w:val="18"/>
    </w:rPr>
  </w:style>
  <w:style w:type="character" w:styleId="980" w:customStyle="1">
    <w:name w:val="Endnote Text Char"/>
    <w:uiPriority w:val="99"/>
    <w:qFormat/>
    <w:rPr>
      <w:sz w:val="20"/>
    </w:rPr>
  </w:style>
  <w:style w:type="paragraph" w:styleId="981" w:customStyle="1">
    <w:name w:val="TOC Heading"/>
    <w:uiPriority w:val="39"/>
    <w:unhideWhenUsed/>
    <w:qFormat/>
    <w:rPr>
      <w:rFonts w:hint="default" w:ascii="Times New Roman" w:hAnsi="Times New Roman" w:eastAsia="宋体" w:cs="Times New Roman"/>
    </w:rPr>
  </w:style>
  <w:style w:type="paragraph" w:styleId="982" w:customStyle="1">
    <w:name w:val="索引 41"/>
    <w:basedOn w:val="906"/>
    <w:next w:val="906"/>
    <w:uiPriority w:val="0"/>
    <w:semiHidden/>
    <w:qFormat/>
    <w:rPr>
      <w:rFonts w:ascii="宋体" w:hAnsi="宋体" w:eastAsia="Calibri" w:cs="宋体"/>
      <w:color w:val="ff0000"/>
      <w:sz w:val="24"/>
      <w:lang w:val="zh-CN"/>
    </w:rPr>
  </w:style>
  <w:style w:type="paragraph" w:styleId="983" w:customStyle="1">
    <w:name w:val="正文文本缩进1"/>
    <w:basedOn w:val="906"/>
    <w:next w:val="984"/>
    <w:link w:val="1209"/>
    <w:uiPriority w:val="99"/>
    <w:unhideWhenUsed/>
    <w:qFormat/>
    <w:pPr>
      <w:ind w:left="420"/>
      <w:spacing w:after="120"/>
    </w:pPr>
  </w:style>
  <w:style w:type="paragraph" w:styleId="984" w:customStyle="1">
    <w:name w:val="正文首行缩进 21"/>
    <w:basedOn w:val="983"/>
    <w:link w:val="1243"/>
    <w:uiPriority w:val="0"/>
    <w:qFormat/>
    <w:pPr>
      <w:ind w:left="0" w:firstLine="420"/>
      <w:spacing w:after="0" w:line="360" w:lineRule="auto"/>
    </w:pPr>
    <w:rPr>
      <w:rFonts w:ascii="宋体" w:hAnsi="宋体"/>
      <w:sz w:val="20"/>
      <w:szCs w:val="20"/>
    </w:rPr>
  </w:style>
  <w:style w:type="paragraph" w:styleId="985">
    <w:name w:val="List Paragraph"/>
    <w:basedOn w:val="906"/>
    <w:uiPriority w:val="34"/>
    <w:qFormat/>
    <w:pPr>
      <w:contextualSpacing/>
      <w:ind w:left="720"/>
    </w:pPr>
  </w:style>
  <w:style w:type="paragraph" w:styleId="986">
    <w:name w:val="No Spacing"/>
    <w:uiPriority w:val="1"/>
    <w:qFormat/>
    <w:rPr>
      <w:rFonts w:hint="default" w:ascii="Times New Roman" w:hAnsi="Times New Roman" w:eastAsia="宋体" w:cs="Times New Roman"/>
      <w:lang w:val="en-US" w:eastAsia="zh-CN" w:bidi="ar-SA"/>
    </w:rPr>
  </w:style>
  <w:style w:type="character" w:styleId="987" w:customStyle="1">
    <w:name w:val="标题 Char1"/>
    <w:link w:val="941"/>
    <w:uiPriority w:val="10"/>
    <w:qFormat/>
    <w:rPr>
      <w:sz w:val="48"/>
      <w:szCs w:val="48"/>
    </w:rPr>
  </w:style>
  <w:style w:type="character" w:styleId="988" w:customStyle="1">
    <w:name w:val="副标题 Char1"/>
    <w:link w:val="934"/>
    <w:uiPriority w:val="11"/>
    <w:qFormat/>
    <w:rPr>
      <w:sz w:val="24"/>
      <w:szCs w:val="24"/>
    </w:rPr>
  </w:style>
  <w:style w:type="paragraph" w:styleId="989">
    <w:name w:val="Quote"/>
    <w:basedOn w:val="906"/>
    <w:next w:val="906"/>
    <w:link w:val="990"/>
    <w:uiPriority w:val="29"/>
    <w:qFormat/>
    <w:pPr>
      <w:ind w:left="720" w:right="720"/>
    </w:pPr>
    <w:rPr>
      <w:i/>
    </w:rPr>
  </w:style>
  <w:style w:type="character" w:styleId="990" w:customStyle="1">
    <w:name w:val="引用 Char1"/>
    <w:link w:val="989"/>
    <w:uiPriority w:val="29"/>
    <w:qFormat/>
    <w:rPr>
      <w:i/>
    </w:rPr>
  </w:style>
  <w:style w:type="paragraph" w:styleId="991">
    <w:name w:val="Intense Quote"/>
    <w:basedOn w:val="906"/>
    <w:next w:val="906"/>
    <w:link w:val="9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2" w:customStyle="1">
    <w:name w:val="明显引用 Char1"/>
    <w:link w:val="991"/>
    <w:uiPriority w:val="30"/>
    <w:qFormat/>
    <w:rPr>
      <w:i/>
    </w:rPr>
  </w:style>
  <w:style w:type="character" w:styleId="993" w:customStyle="1">
    <w:name w:val="脚注文本 Char1"/>
    <w:link w:val="935"/>
    <w:uiPriority w:val="99"/>
    <w:qFormat/>
    <w:rPr>
      <w:sz w:val="18"/>
    </w:rPr>
  </w:style>
  <w:style w:type="character" w:styleId="994" w:customStyle="1">
    <w:name w:val="尾注文本 Char1"/>
    <w:link w:val="929"/>
    <w:uiPriority w:val="99"/>
    <w:qFormat/>
    <w:rPr>
      <w:sz w:val="20"/>
    </w:rPr>
  </w:style>
  <w:style w:type="paragraph" w:styleId="995" w:customStyle="1">
    <w:name w:val="TOC 标题1"/>
    <w:uiPriority w:val="39"/>
    <w:unhideWhenUsed/>
    <w:qFormat/>
    <w:rPr>
      <w:rFonts w:hint="default" w:ascii="Times New Roman" w:hAnsi="Times New Roman" w:eastAsia="宋体" w:cs="Times New Roman"/>
      <w:lang w:val="en-US" w:eastAsia="zh-CN" w:bidi="ar-SA"/>
    </w:rPr>
  </w:style>
  <w:style w:type="character" w:styleId="996" w:customStyle="1">
    <w:name w:val="默认段落字体11"/>
    <w:uiPriority w:val="1"/>
    <w:unhideWhenUsed/>
    <w:qFormat/>
  </w:style>
  <w:style w:type="table" w:styleId="997" w:customStyle="1">
    <w:name w:val="普通表格11"/>
    <w:uiPriority w:val="99"/>
    <w:unhideWhenUsed/>
    <w:qFormat/>
    <w:tblPr>
      <w:tblCellMar>
        <w:left w:w="0" w:type="dxa"/>
        <w:top w:w="0" w:type="dxa"/>
        <w:right w:w="0" w:type="dxa"/>
        <w:bottom w:w="0" w:type="dxa"/>
      </w:tblCellMar>
    </w:tblPr>
  </w:style>
  <w:style w:type="paragraph" w:styleId="998" w:customStyle="1">
    <w:name w:val="目录 711"/>
    <w:basedOn w:val="906"/>
    <w:next w:val="906"/>
    <w:uiPriority w:val="39"/>
    <w:unhideWhenUsed/>
    <w:qFormat/>
    <w:pPr>
      <w:ind w:left="1701"/>
      <w:spacing w:after="57"/>
    </w:pPr>
  </w:style>
  <w:style w:type="paragraph" w:styleId="999" w:customStyle="1">
    <w:name w:val="批注文字11"/>
    <w:basedOn w:val="906"/>
    <w:link w:val="1000"/>
    <w:uiPriority w:val="99"/>
    <w:unhideWhenUsed/>
    <w:qFormat/>
    <w:pPr>
      <w:jc w:val="left"/>
    </w:pPr>
  </w:style>
  <w:style w:type="character" w:styleId="1000" w:customStyle="1">
    <w:name w:val="批注文字 Char"/>
    <w:basedOn w:val="996"/>
    <w:link w:val="999"/>
    <w:uiPriority w:val="99"/>
    <w:qFormat/>
    <w:rPr>
      <w:sz w:val="21"/>
      <w:szCs w:val="22"/>
    </w:rPr>
  </w:style>
  <w:style w:type="paragraph" w:styleId="1001" w:customStyle="1">
    <w:name w:val="目录 511"/>
    <w:basedOn w:val="906"/>
    <w:next w:val="906"/>
    <w:uiPriority w:val="39"/>
    <w:unhideWhenUsed/>
    <w:qFormat/>
    <w:pPr>
      <w:ind w:left="1134"/>
      <w:spacing w:after="57"/>
    </w:pPr>
  </w:style>
  <w:style w:type="paragraph" w:styleId="1002" w:customStyle="1">
    <w:name w:val="目录 311"/>
    <w:basedOn w:val="906"/>
    <w:next w:val="906"/>
    <w:uiPriority w:val="39"/>
    <w:unhideWhenUsed/>
    <w:qFormat/>
    <w:pPr>
      <w:ind w:left="567"/>
      <w:spacing w:after="57"/>
    </w:pPr>
  </w:style>
  <w:style w:type="paragraph" w:styleId="1003" w:customStyle="1">
    <w:name w:val="目录 811"/>
    <w:basedOn w:val="906"/>
    <w:next w:val="906"/>
    <w:uiPriority w:val="39"/>
    <w:unhideWhenUsed/>
    <w:qFormat/>
    <w:pPr>
      <w:ind w:left="1984"/>
      <w:spacing w:after="57"/>
    </w:pPr>
  </w:style>
  <w:style w:type="paragraph" w:styleId="1004" w:customStyle="1">
    <w:name w:val="尾注文本1"/>
    <w:basedOn w:val="906"/>
    <w:link w:val="1005"/>
    <w:uiPriority w:val="99"/>
    <w:unhideWhenUsed/>
    <w:qFormat/>
    <w:rPr>
      <w:sz w:val="20"/>
      <w:szCs w:val="20"/>
    </w:rPr>
  </w:style>
  <w:style w:type="character" w:styleId="1005" w:customStyle="1">
    <w:name w:val="尾注文本 Char"/>
    <w:link w:val="1004"/>
    <w:uiPriority w:val="99"/>
    <w:qFormat/>
    <w:rPr>
      <w:sz w:val="20"/>
    </w:rPr>
  </w:style>
  <w:style w:type="paragraph" w:styleId="1006" w:customStyle="1">
    <w:name w:val="批注框文本11"/>
    <w:basedOn w:val="906"/>
    <w:link w:val="1007"/>
    <w:uiPriority w:val="99"/>
    <w:unhideWhenUsed/>
    <w:qFormat/>
    <w:rPr>
      <w:sz w:val="18"/>
      <w:szCs w:val="18"/>
    </w:rPr>
  </w:style>
  <w:style w:type="character" w:styleId="1007" w:customStyle="1">
    <w:name w:val="批注框文本 Char"/>
    <w:basedOn w:val="996"/>
    <w:link w:val="1006"/>
    <w:uiPriority w:val="99"/>
    <w:semiHidden/>
    <w:qFormat/>
    <w:rPr>
      <w:sz w:val="18"/>
      <w:szCs w:val="18"/>
    </w:rPr>
  </w:style>
  <w:style w:type="paragraph" w:styleId="1008" w:customStyle="1">
    <w:name w:val="目录 111"/>
    <w:basedOn w:val="906"/>
    <w:next w:val="906"/>
    <w:uiPriority w:val="39"/>
    <w:unhideWhenUsed/>
    <w:qFormat/>
    <w:pPr>
      <w:spacing w:after="57"/>
    </w:pPr>
  </w:style>
  <w:style w:type="paragraph" w:styleId="1009" w:customStyle="1">
    <w:name w:val="目录 411"/>
    <w:basedOn w:val="906"/>
    <w:next w:val="906"/>
    <w:uiPriority w:val="39"/>
    <w:unhideWhenUsed/>
    <w:qFormat/>
    <w:pPr>
      <w:ind w:left="850"/>
      <w:spacing w:after="57"/>
    </w:pPr>
  </w:style>
  <w:style w:type="paragraph" w:styleId="1010" w:customStyle="1">
    <w:name w:val="副标题1"/>
    <w:basedOn w:val="906"/>
    <w:next w:val="906"/>
    <w:link w:val="1011"/>
    <w:uiPriority w:val="11"/>
    <w:qFormat/>
    <w:pPr>
      <w:spacing w:before="200" w:after="200"/>
    </w:pPr>
    <w:rPr>
      <w:sz w:val="24"/>
      <w:szCs w:val="24"/>
    </w:rPr>
  </w:style>
  <w:style w:type="character" w:styleId="1011" w:customStyle="1">
    <w:name w:val="副标题 Char"/>
    <w:link w:val="1010"/>
    <w:uiPriority w:val="11"/>
    <w:qFormat/>
    <w:rPr>
      <w:sz w:val="24"/>
      <w:szCs w:val="24"/>
    </w:rPr>
  </w:style>
  <w:style w:type="paragraph" w:styleId="1012" w:customStyle="1">
    <w:name w:val="脚注文本1"/>
    <w:basedOn w:val="906"/>
    <w:link w:val="1013"/>
    <w:uiPriority w:val="99"/>
    <w:unhideWhenUsed/>
    <w:qFormat/>
    <w:pPr>
      <w:spacing w:after="40"/>
    </w:pPr>
    <w:rPr>
      <w:sz w:val="18"/>
      <w:szCs w:val="20"/>
    </w:rPr>
  </w:style>
  <w:style w:type="character" w:styleId="1013" w:customStyle="1">
    <w:name w:val="脚注文本 Char"/>
    <w:link w:val="1012"/>
    <w:uiPriority w:val="99"/>
    <w:qFormat/>
    <w:rPr>
      <w:sz w:val="18"/>
    </w:rPr>
  </w:style>
  <w:style w:type="paragraph" w:styleId="1014" w:customStyle="1">
    <w:name w:val="目录 611"/>
    <w:basedOn w:val="906"/>
    <w:next w:val="906"/>
    <w:uiPriority w:val="39"/>
    <w:unhideWhenUsed/>
    <w:qFormat/>
    <w:pPr>
      <w:ind w:left="1417"/>
      <w:spacing w:after="57"/>
    </w:pPr>
  </w:style>
  <w:style w:type="paragraph" w:styleId="1015" w:customStyle="1">
    <w:name w:val="图表目录11"/>
    <w:basedOn w:val="906"/>
    <w:next w:val="906"/>
    <w:uiPriority w:val="99"/>
    <w:unhideWhenUsed/>
    <w:qFormat/>
  </w:style>
  <w:style w:type="paragraph" w:styleId="1016" w:customStyle="1">
    <w:name w:val="目录 211"/>
    <w:basedOn w:val="906"/>
    <w:next w:val="906"/>
    <w:uiPriority w:val="39"/>
    <w:unhideWhenUsed/>
    <w:qFormat/>
    <w:pPr>
      <w:ind w:left="283"/>
      <w:spacing w:after="57"/>
    </w:pPr>
  </w:style>
  <w:style w:type="paragraph" w:styleId="1017" w:customStyle="1">
    <w:name w:val="目录 911"/>
    <w:basedOn w:val="906"/>
    <w:next w:val="906"/>
    <w:uiPriority w:val="39"/>
    <w:unhideWhenUsed/>
    <w:qFormat/>
    <w:pPr>
      <w:ind w:left="2268"/>
      <w:spacing w:after="57"/>
    </w:pPr>
  </w:style>
  <w:style w:type="paragraph" w:styleId="1018" w:customStyle="1">
    <w:name w:val="普通(网站)11"/>
    <w:basedOn w:val="906"/>
    <w:uiPriority w:val="0"/>
    <w:qFormat/>
    <w:pPr>
      <w:jc w:val="left"/>
      <w:spacing w:before="100" w:beforeAutospacing="1" w:after="100" w:afterAutospacing="1"/>
    </w:pPr>
    <w:rPr>
      <w:sz w:val="24"/>
    </w:rPr>
  </w:style>
  <w:style w:type="paragraph" w:styleId="1019" w:customStyle="1">
    <w:name w:val="标题11"/>
    <w:basedOn w:val="906"/>
    <w:next w:val="906"/>
    <w:link w:val="1020"/>
    <w:uiPriority w:val="10"/>
    <w:qFormat/>
    <w:pPr>
      <w:contextualSpacing/>
      <w:spacing w:before="300" w:after="200"/>
    </w:pPr>
    <w:rPr>
      <w:sz w:val="48"/>
      <w:szCs w:val="48"/>
    </w:rPr>
  </w:style>
  <w:style w:type="character" w:styleId="1020" w:customStyle="1">
    <w:name w:val="标题 Char"/>
    <w:link w:val="1019"/>
    <w:uiPriority w:val="10"/>
    <w:qFormat/>
    <w:rPr>
      <w:sz w:val="48"/>
      <w:szCs w:val="48"/>
    </w:rPr>
  </w:style>
  <w:style w:type="paragraph" w:styleId="1021" w:customStyle="1">
    <w:name w:val="批注主题11"/>
    <w:basedOn w:val="999"/>
    <w:next w:val="999"/>
    <w:link w:val="1022"/>
    <w:uiPriority w:val="99"/>
    <w:unhideWhenUsed/>
    <w:qFormat/>
    <w:rPr>
      <w:b/>
      <w:bCs/>
    </w:rPr>
  </w:style>
  <w:style w:type="character" w:styleId="1022" w:customStyle="1">
    <w:name w:val="批注主题 Char"/>
    <w:basedOn w:val="1000"/>
    <w:link w:val="1021"/>
    <w:uiPriority w:val="0"/>
    <w:qFormat/>
    <w:rPr>
      <w:sz w:val="21"/>
      <w:szCs w:val="22"/>
    </w:rPr>
  </w:style>
  <w:style w:type="table" w:styleId="1023" w:customStyle="1">
    <w:name w:val="网格型11"/>
    <w:uiPriority w:val="59"/>
    <w:qFormat/>
    <w:tblPr>
      <w:tblCellMar>
        <w:left w:w="0" w:type="dxa"/>
        <w:top w:w="0" w:type="dxa"/>
        <w:right w:w="0" w:type="dxa"/>
        <w:bottom w:w="0" w:type="dxa"/>
      </w:tblCellMar>
    </w:tblPr>
  </w:style>
  <w:style w:type="character" w:styleId="1024" w:customStyle="1">
    <w:name w:val="尾注引用1"/>
    <w:uiPriority w:val="99"/>
    <w:unhideWhenUsed/>
    <w:qFormat/>
    <w:rPr>
      <w:vertAlign w:val="superscript"/>
    </w:rPr>
  </w:style>
  <w:style w:type="character" w:styleId="1025" w:customStyle="1">
    <w:name w:val="强调1"/>
    <w:basedOn w:val="996"/>
    <w:uiPriority w:val="20"/>
    <w:qFormat/>
    <w:rPr>
      <w:color w:val="f73131"/>
    </w:rPr>
  </w:style>
  <w:style w:type="character" w:styleId="1026" w:customStyle="1">
    <w:name w:val="超链接11"/>
    <w:basedOn w:val="996"/>
    <w:uiPriority w:val="99"/>
    <w:unhideWhenUsed/>
    <w:qFormat/>
    <w:rPr>
      <w:color w:val="2440b3"/>
      <w:u w:val="none"/>
    </w:rPr>
  </w:style>
  <w:style w:type="character" w:styleId="1027" w:customStyle="1">
    <w:name w:val="批注引用11"/>
    <w:uiPriority w:val="0"/>
    <w:qFormat/>
    <w:rPr>
      <w:sz w:val="21"/>
      <w:szCs w:val="21"/>
    </w:rPr>
  </w:style>
  <w:style w:type="character" w:styleId="1028" w:customStyle="1">
    <w:name w:val="HTML 引文1"/>
    <w:basedOn w:val="996"/>
    <w:uiPriority w:val="99"/>
    <w:unhideWhenUsed/>
    <w:qFormat/>
    <w:rPr>
      <w:color w:val="008000"/>
    </w:rPr>
  </w:style>
  <w:style w:type="character" w:styleId="1029" w:customStyle="1">
    <w:name w:val="脚注引用1"/>
    <w:uiPriority w:val="99"/>
    <w:unhideWhenUsed/>
    <w:qFormat/>
    <w:rPr>
      <w:vertAlign w:val="superscript"/>
    </w:rPr>
  </w:style>
  <w:style w:type="paragraph" w:styleId="1030" w:customStyle="1">
    <w:name w:val="正文文本11"/>
    <w:basedOn w:val="906"/>
    <w:link w:val="1031"/>
    <w:uiPriority w:val="0"/>
    <w:qFormat/>
    <w:rPr>
      <w:rFonts w:ascii="楷体_GB2312" w:hAnsi="Arial" w:eastAsia="楷体_GB2312"/>
      <w:sz w:val="28"/>
      <w:szCs w:val="28"/>
    </w:rPr>
  </w:style>
  <w:style w:type="character" w:styleId="1031" w:customStyle="1">
    <w:name w:val="正文文本 字符"/>
    <w:link w:val="1030"/>
    <w:uiPriority w:val="1"/>
    <w:qFormat/>
    <w:rPr>
      <w:rFonts w:ascii="楷体_GB2312" w:hAnsi="Arial" w:eastAsia="楷体_GB2312" w:cs="Times New Roman"/>
      <w:sz w:val="28"/>
      <w:szCs w:val="28"/>
    </w:rPr>
  </w:style>
  <w:style w:type="character" w:styleId="1032" w:customStyle="1">
    <w:name w:val="默认段落字体1"/>
    <w:uiPriority w:val="1"/>
    <w:unhideWhenUsed/>
    <w:qFormat/>
  </w:style>
  <w:style w:type="character" w:styleId="1033" w:customStyle="1">
    <w:name w:val="标题 1 Char"/>
    <w:link w:val="907"/>
    <w:uiPriority w:val="9"/>
    <w:qFormat/>
    <w:rPr>
      <w:rFonts w:ascii="Arial" w:hAnsi="Arial" w:eastAsia="Arial" w:cs="Arial"/>
      <w:sz w:val="40"/>
      <w:szCs w:val="40"/>
    </w:rPr>
  </w:style>
  <w:style w:type="character" w:styleId="1034" w:customStyle="1">
    <w:name w:val="标题 2 Char"/>
    <w:link w:val="908"/>
    <w:uiPriority w:val="9"/>
    <w:qFormat/>
    <w:rPr>
      <w:rFonts w:ascii="Arial" w:hAnsi="Arial" w:eastAsia="Arial" w:cs="Arial"/>
      <w:sz w:val="34"/>
    </w:rPr>
  </w:style>
  <w:style w:type="character" w:styleId="1035" w:customStyle="1">
    <w:name w:val="标题 3 Char"/>
    <w:link w:val="909"/>
    <w:uiPriority w:val="9"/>
    <w:qFormat/>
    <w:rPr>
      <w:rFonts w:ascii="Arial" w:hAnsi="Arial" w:eastAsia="Arial" w:cs="Arial"/>
      <w:sz w:val="30"/>
      <w:szCs w:val="30"/>
    </w:rPr>
  </w:style>
  <w:style w:type="character" w:styleId="1036" w:customStyle="1">
    <w:name w:val="标题 4 Char"/>
    <w:link w:val="910"/>
    <w:uiPriority w:val="9"/>
    <w:qFormat/>
    <w:rPr>
      <w:rFonts w:ascii="Arial" w:hAnsi="Arial" w:eastAsia="Arial" w:cs="Arial"/>
      <w:b/>
      <w:bCs/>
      <w:sz w:val="26"/>
      <w:szCs w:val="26"/>
    </w:rPr>
  </w:style>
  <w:style w:type="character" w:styleId="1037" w:customStyle="1">
    <w:name w:val="标题 5 Char"/>
    <w:link w:val="911"/>
    <w:uiPriority w:val="9"/>
    <w:qFormat/>
    <w:rPr>
      <w:rFonts w:ascii="Arial" w:hAnsi="Arial" w:eastAsia="Arial" w:cs="Arial"/>
      <w:b/>
      <w:bCs/>
      <w:sz w:val="24"/>
      <w:szCs w:val="24"/>
    </w:rPr>
  </w:style>
  <w:style w:type="character" w:styleId="1038" w:customStyle="1">
    <w:name w:val="标题 6 Char"/>
    <w:link w:val="912"/>
    <w:uiPriority w:val="9"/>
    <w:qFormat/>
    <w:rPr>
      <w:rFonts w:ascii="Arial" w:hAnsi="Arial" w:eastAsia="Arial" w:cs="Arial"/>
      <w:b/>
      <w:bCs/>
      <w:sz w:val="22"/>
      <w:szCs w:val="22"/>
    </w:rPr>
  </w:style>
  <w:style w:type="character" w:styleId="1039" w:customStyle="1">
    <w:name w:val="标题 7 Char"/>
    <w:link w:val="913"/>
    <w:uiPriority w:val="9"/>
    <w:qFormat/>
    <w:rPr>
      <w:rFonts w:ascii="Arial" w:hAnsi="Arial" w:eastAsia="Arial" w:cs="Arial"/>
      <w:b/>
      <w:bCs/>
      <w:i/>
      <w:iCs/>
      <w:sz w:val="22"/>
      <w:szCs w:val="22"/>
    </w:rPr>
  </w:style>
  <w:style w:type="character" w:styleId="1040" w:customStyle="1">
    <w:name w:val="标题 8 Char"/>
    <w:link w:val="914"/>
    <w:uiPriority w:val="9"/>
    <w:qFormat/>
    <w:rPr>
      <w:rFonts w:ascii="Arial" w:hAnsi="Arial" w:eastAsia="Arial" w:cs="Arial"/>
      <w:i/>
      <w:iCs/>
      <w:sz w:val="22"/>
      <w:szCs w:val="22"/>
    </w:rPr>
  </w:style>
  <w:style w:type="character" w:styleId="1041" w:customStyle="1">
    <w:name w:val="标题 9 Char"/>
    <w:link w:val="915"/>
    <w:uiPriority w:val="9"/>
    <w:qFormat/>
    <w:rPr>
      <w:rFonts w:ascii="Arial" w:hAnsi="Arial" w:eastAsia="Arial" w:cs="Arial"/>
      <w:i/>
      <w:iCs/>
      <w:sz w:val="21"/>
      <w:szCs w:val="21"/>
    </w:rPr>
  </w:style>
  <w:style w:type="paragraph" w:styleId="1042" w:customStyle="1">
    <w:name w:val="列出段落1"/>
    <w:basedOn w:val="906"/>
    <w:uiPriority w:val="34"/>
    <w:qFormat/>
    <w:pPr>
      <w:contextualSpacing/>
      <w:ind w:left="720"/>
    </w:pPr>
  </w:style>
  <w:style w:type="paragraph" w:styleId="1043" w:customStyle="1">
    <w:name w:val="无间隔1"/>
    <w:uiPriority w:val="1"/>
    <w:qFormat/>
    <w:rPr>
      <w:rFonts w:hint="default" w:ascii="Times New Roman" w:hAnsi="Times New Roman" w:eastAsia="宋体" w:cs="Times New Roman"/>
      <w:lang w:val="en-US" w:eastAsia="zh-CN" w:bidi="ar-SA"/>
    </w:rPr>
  </w:style>
  <w:style w:type="paragraph" w:styleId="1044" w:customStyle="1">
    <w:name w:val="引用1"/>
    <w:basedOn w:val="906"/>
    <w:next w:val="906"/>
    <w:link w:val="1045"/>
    <w:uiPriority w:val="29"/>
    <w:qFormat/>
    <w:pPr>
      <w:ind w:left="720" w:right="720"/>
    </w:pPr>
    <w:rPr>
      <w:i/>
      <w:sz w:val="20"/>
      <w:szCs w:val="20"/>
    </w:rPr>
  </w:style>
  <w:style w:type="character" w:styleId="1045" w:customStyle="1">
    <w:name w:val="引用 Char"/>
    <w:link w:val="1044"/>
    <w:uiPriority w:val="29"/>
    <w:qFormat/>
    <w:rPr>
      <w:i/>
    </w:rPr>
  </w:style>
  <w:style w:type="paragraph" w:styleId="1046" w:customStyle="1">
    <w:name w:val="明显引用1"/>
    <w:basedOn w:val="906"/>
    <w:next w:val="906"/>
    <w:link w:val="10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47" w:customStyle="1">
    <w:name w:val="明显引用 Char"/>
    <w:link w:val="1046"/>
    <w:uiPriority w:val="30"/>
    <w:qFormat/>
    <w:rPr>
      <w:i/>
    </w:rPr>
  </w:style>
  <w:style w:type="paragraph" w:styleId="1048" w:customStyle="1">
    <w:name w:val="Header1"/>
    <w:basedOn w:val="906"/>
    <w:link w:val="1049"/>
    <w:uiPriority w:val="99"/>
    <w:unhideWhenUsed/>
    <w:qFormat/>
    <w:pPr>
      <w:tabs>
        <w:tab w:val="center" w:pos="7143" w:leader="none"/>
        <w:tab w:val="right" w:pos="14287" w:leader="none"/>
      </w:tabs>
    </w:pPr>
  </w:style>
  <w:style w:type="character" w:styleId="1049" w:customStyle="1">
    <w:name w:val="Header Char"/>
    <w:link w:val="1048"/>
    <w:uiPriority w:val="99"/>
    <w:qFormat/>
  </w:style>
  <w:style w:type="paragraph" w:styleId="1050" w:customStyle="1">
    <w:name w:val="Footer1"/>
    <w:basedOn w:val="906"/>
    <w:link w:val="1051"/>
    <w:uiPriority w:val="99"/>
    <w:unhideWhenUsed/>
    <w:qFormat/>
    <w:pPr>
      <w:tabs>
        <w:tab w:val="center" w:pos="7143" w:leader="none"/>
        <w:tab w:val="right" w:pos="14287" w:leader="none"/>
      </w:tabs>
    </w:pPr>
  </w:style>
  <w:style w:type="character" w:styleId="1051" w:customStyle="1">
    <w:name w:val="Footer Char"/>
    <w:link w:val="1050"/>
    <w:uiPriority w:val="99"/>
    <w:qFormat/>
  </w:style>
  <w:style w:type="character" w:styleId="1052" w:customStyle="1">
    <w:name w:val="Caption Char"/>
    <w:uiPriority w:val="99"/>
    <w:qFormat/>
  </w:style>
  <w:style w:type="paragraph" w:styleId="1053" w:customStyle="1">
    <w:name w:val="Caption1"/>
    <w:basedOn w:val="906"/>
    <w:next w:val="906"/>
    <w:uiPriority w:val="35"/>
    <w:unhideWhenUsed/>
    <w:qFormat/>
    <w:pPr>
      <w:spacing w:line="276" w:lineRule="auto"/>
    </w:pPr>
    <w:rPr>
      <w:b/>
      <w:bCs/>
      <w:color w:val="4f81bd"/>
      <w:sz w:val="18"/>
      <w:szCs w:val="18"/>
    </w:rPr>
  </w:style>
  <w:style w:type="table" w:styleId="1054" w:customStyle="1">
    <w:name w:val="Table Grid Light"/>
    <w:uiPriority w:val="59"/>
    <w:qFormat/>
    <w:tblPr>
      <w:tblCellMar>
        <w:left w:w="0" w:type="dxa"/>
        <w:top w:w="0" w:type="dxa"/>
        <w:right w:w="0" w:type="dxa"/>
        <w:bottom w:w="0" w:type="dxa"/>
      </w:tblCellMar>
    </w:tblPr>
  </w:style>
  <w:style w:type="table" w:styleId="1055" w:customStyle="1">
    <w:name w:val="无格式表格 11"/>
    <w:uiPriority w:val="59"/>
    <w:qFormat/>
    <w:tblPr>
      <w:tblCellMar>
        <w:left w:w="0" w:type="dxa"/>
        <w:top w:w="0" w:type="dxa"/>
        <w:right w:w="0" w:type="dxa"/>
        <w:bottom w:w="0" w:type="dxa"/>
      </w:tblCellMar>
    </w:tblPr>
  </w:style>
  <w:style w:type="table" w:styleId="1056" w:customStyle="1">
    <w:name w:val="无格式表格 21"/>
    <w:uiPriority w:val="59"/>
    <w:qFormat/>
    <w:tblPr>
      <w:tblCellMar>
        <w:left w:w="0" w:type="dxa"/>
        <w:top w:w="0" w:type="dxa"/>
        <w:right w:w="0" w:type="dxa"/>
        <w:bottom w:w="0" w:type="dxa"/>
      </w:tblCellMar>
    </w:tblPr>
  </w:style>
  <w:style w:type="table" w:styleId="1057" w:customStyle="1">
    <w:name w:val="无格式表格 31"/>
    <w:uiPriority w:val="99"/>
    <w:qFormat/>
    <w:tblPr>
      <w:tblCellMar>
        <w:left w:w="0" w:type="dxa"/>
        <w:top w:w="0" w:type="dxa"/>
        <w:right w:w="0" w:type="dxa"/>
        <w:bottom w:w="0" w:type="dxa"/>
      </w:tblCellMar>
    </w:tblPr>
  </w:style>
  <w:style w:type="table" w:styleId="1058" w:customStyle="1">
    <w:name w:val="无格式表格 41"/>
    <w:uiPriority w:val="99"/>
    <w:qFormat/>
    <w:tblPr>
      <w:tblCellMar>
        <w:left w:w="0" w:type="dxa"/>
        <w:top w:w="0" w:type="dxa"/>
        <w:right w:w="0" w:type="dxa"/>
        <w:bottom w:w="0" w:type="dxa"/>
      </w:tblCellMar>
    </w:tblPr>
  </w:style>
  <w:style w:type="table" w:styleId="1059" w:customStyle="1">
    <w:name w:val="无格式表格 51"/>
    <w:uiPriority w:val="99"/>
    <w:qFormat/>
    <w:tblPr>
      <w:tblCellMar>
        <w:left w:w="0" w:type="dxa"/>
        <w:top w:w="0" w:type="dxa"/>
        <w:right w:w="0" w:type="dxa"/>
        <w:bottom w:w="0" w:type="dxa"/>
      </w:tblCellMar>
    </w:tblPr>
  </w:style>
  <w:style w:type="table" w:styleId="1060" w:customStyle="1">
    <w:name w:val="网格表 1 浅色1"/>
    <w:uiPriority w:val="99"/>
    <w:qFormat/>
    <w:tblPr>
      <w:tblCellMar>
        <w:left w:w="0" w:type="dxa"/>
        <w:top w:w="0" w:type="dxa"/>
        <w:right w:w="0" w:type="dxa"/>
        <w:bottom w:w="0" w:type="dxa"/>
      </w:tblCellMar>
    </w:tblPr>
  </w:style>
  <w:style w:type="table" w:styleId="1061" w:customStyle="1">
    <w:name w:val="Grid Table 1 Light - Accent 1"/>
    <w:uiPriority w:val="99"/>
    <w:qFormat/>
    <w:tblPr>
      <w:tblCellMar>
        <w:left w:w="0" w:type="dxa"/>
        <w:top w:w="0" w:type="dxa"/>
        <w:right w:w="0" w:type="dxa"/>
        <w:bottom w:w="0" w:type="dxa"/>
      </w:tblCellMar>
    </w:tblPr>
  </w:style>
  <w:style w:type="table" w:styleId="1062" w:customStyle="1">
    <w:name w:val="Grid Table 1 Light - Accent 2"/>
    <w:uiPriority w:val="99"/>
    <w:qFormat/>
    <w:tblPr>
      <w:tblCellMar>
        <w:left w:w="0" w:type="dxa"/>
        <w:top w:w="0" w:type="dxa"/>
        <w:right w:w="0" w:type="dxa"/>
        <w:bottom w:w="0" w:type="dxa"/>
      </w:tblCellMar>
    </w:tblPr>
  </w:style>
  <w:style w:type="table" w:styleId="1063" w:customStyle="1">
    <w:name w:val="Grid Table 1 Light - Accent 3"/>
    <w:uiPriority w:val="99"/>
    <w:qFormat/>
    <w:tblPr>
      <w:tblCellMar>
        <w:left w:w="0" w:type="dxa"/>
        <w:top w:w="0" w:type="dxa"/>
        <w:right w:w="0" w:type="dxa"/>
        <w:bottom w:w="0" w:type="dxa"/>
      </w:tblCellMar>
    </w:tblPr>
  </w:style>
  <w:style w:type="table" w:styleId="1064" w:customStyle="1">
    <w:name w:val="Grid Table 1 Light - Accent 4"/>
    <w:uiPriority w:val="99"/>
    <w:qFormat/>
    <w:tblPr>
      <w:tblCellMar>
        <w:left w:w="0" w:type="dxa"/>
        <w:top w:w="0" w:type="dxa"/>
        <w:right w:w="0" w:type="dxa"/>
        <w:bottom w:w="0" w:type="dxa"/>
      </w:tblCellMar>
    </w:tblPr>
  </w:style>
  <w:style w:type="table" w:styleId="1065" w:customStyle="1">
    <w:name w:val="Grid Table 1 Light - Accent 5"/>
    <w:uiPriority w:val="99"/>
    <w:qFormat/>
    <w:tblPr>
      <w:tblCellMar>
        <w:left w:w="0" w:type="dxa"/>
        <w:top w:w="0" w:type="dxa"/>
        <w:right w:w="0" w:type="dxa"/>
        <w:bottom w:w="0" w:type="dxa"/>
      </w:tblCellMar>
    </w:tblPr>
  </w:style>
  <w:style w:type="table" w:styleId="1066" w:customStyle="1">
    <w:name w:val="Grid Table 1 Light - Accent 6"/>
    <w:uiPriority w:val="99"/>
    <w:qFormat/>
    <w:tblPr>
      <w:tblCellMar>
        <w:left w:w="0" w:type="dxa"/>
        <w:top w:w="0" w:type="dxa"/>
        <w:right w:w="0" w:type="dxa"/>
        <w:bottom w:w="0" w:type="dxa"/>
      </w:tblCellMar>
    </w:tblPr>
  </w:style>
  <w:style w:type="table" w:styleId="1067" w:customStyle="1">
    <w:name w:val="网格表 21"/>
    <w:uiPriority w:val="99"/>
    <w:qFormat/>
    <w:tblPr>
      <w:tblCellMar>
        <w:left w:w="0" w:type="dxa"/>
        <w:top w:w="0" w:type="dxa"/>
        <w:right w:w="0" w:type="dxa"/>
        <w:bottom w:w="0" w:type="dxa"/>
      </w:tblCellMar>
    </w:tblPr>
  </w:style>
  <w:style w:type="table" w:styleId="1068" w:customStyle="1">
    <w:name w:val="Grid Table 2 - Accent 1"/>
    <w:uiPriority w:val="99"/>
    <w:qFormat/>
    <w:tblPr>
      <w:tblCellMar>
        <w:left w:w="0" w:type="dxa"/>
        <w:top w:w="0" w:type="dxa"/>
        <w:right w:w="0" w:type="dxa"/>
        <w:bottom w:w="0" w:type="dxa"/>
      </w:tblCellMar>
    </w:tblPr>
  </w:style>
  <w:style w:type="table" w:styleId="1069" w:customStyle="1">
    <w:name w:val="Grid Table 2 - Accent 2"/>
    <w:uiPriority w:val="99"/>
    <w:qFormat/>
    <w:tblPr>
      <w:tblCellMar>
        <w:left w:w="0" w:type="dxa"/>
        <w:top w:w="0" w:type="dxa"/>
        <w:right w:w="0" w:type="dxa"/>
        <w:bottom w:w="0" w:type="dxa"/>
      </w:tblCellMar>
    </w:tblPr>
  </w:style>
  <w:style w:type="table" w:styleId="1070" w:customStyle="1">
    <w:name w:val="Grid Table 2 - Accent 3"/>
    <w:uiPriority w:val="99"/>
    <w:qFormat/>
    <w:tblPr>
      <w:tblCellMar>
        <w:left w:w="0" w:type="dxa"/>
        <w:top w:w="0" w:type="dxa"/>
        <w:right w:w="0" w:type="dxa"/>
        <w:bottom w:w="0" w:type="dxa"/>
      </w:tblCellMar>
    </w:tblPr>
  </w:style>
  <w:style w:type="table" w:styleId="1071" w:customStyle="1">
    <w:name w:val="Grid Table 2 - Accent 4"/>
    <w:uiPriority w:val="99"/>
    <w:qFormat/>
    <w:tblPr>
      <w:tblCellMar>
        <w:left w:w="0" w:type="dxa"/>
        <w:top w:w="0" w:type="dxa"/>
        <w:right w:w="0" w:type="dxa"/>
        <w:bottom w:w="0" w:type="dxa"/>
      </w:tblCellMar>
    </w:tblPr>
  </w:style>
  <w:style w:type="table" w:styleId="1072" w:customStyle="1">
    <w:name w:val="Grid Table 2 - Accent 5"/>
    <w:uiPriority w:val="99"/>
    <w:qFormat/>
    <w:tblPr>
      <w:tblCellMar>
        <w:left w:w="0" w:type="dxa"/>
        <w:top w:w="0" w:type="dxa"/>
        <w:right w:w="0" w:type="dxa"/>
        <w:bottom w:w="0" w:type="dxa"/>
      </w:tblCellMar>
    </w:tblPr>
  </w:style>
  <w:style w:type="table" w:styleId="1073" w:customStyle="1">
    <w:name w:val="Grid Table 2 - Accent 6"/>
    <w:uiPriority w:val="99"/>
    <w:qFormat/>
    <w:tblPr>
      <w:tblCellMar>
        <w:left w:w="0" w:type="dxa"/>
        <w:top w:w="0" w:type="dxa"/>
        <w:right w:w="0" w:type="dxa"/>
        <w:bottom w:w="0" w:type="dxa"/>
      </w:tblCellMar>
    </w:tblPr>
  </w:style>
  <w:style w:type="table" w:styleId="1074" w:customStyle="1">
    <w:name w:val="网格表 31"/>
    <w:uiPriority w:val="99"/>
    <w:qFormat/>
    <w:tblPr>
      <w:tblCellMar>
        <w:left w:w="0" w:type="dxa"/>
        <w:top w:w="0" w:type="dxa"/>
        <w:right w:w="0" w:type="dxa"/>
        <w:bottom w:w="0" w:type="dxa"/>
      </w:tblCellMar>
    </w:tblPr>
  </w:style>
  <w:style w:type="table" w:styleId="1075" w:customStyle="1">
    <w:name w:val="Grid Table 3 - Accent 1"/>
    <w:uiPriority w:val="99"/>
    <w:qFormat/>
    <w:tblPr>
      <w:tblCellMar>
        <w:left w:w="0" w:type="dxa"/>
        <w:top w:w="0" w:type="dxa"/>
        <w:right w:w="0" w:type="dxa"/>
        <w:bottom w:w="0" w:type="dxa"/>
      </w:tblCellMar>
    </w:tblPr>
  </w:style>
  <w:style w:type="table" w:styleId="1076" w:customStyle="1">
    <w:name w:val="Grid Table 3 - Accent 2"/>
    <w:uiPriority w:val="99"/>
    <w:qFormat/>
    <w:tblPr>
      <w:tblCellMar>
        <w:left w:w="0" w:type="dxa"/>
        <w:top w:w="0" w:type="dxa"/>
        <w:right w:w="0" w:type="dxa"/>
        <w:bottom w:w="0" w:type="dxa"/>
      </w:tblCellMar>
    </w:tblPr>
  </w:style>
  <w:style w:type="table" w:styleId="1077" w:customStyle="1">
    <w:name w:val="Grid Table 3 - Accent 3"/>
    <w:uiPriority w:val="99"/>
    <w:qFormat/>
    <w:tblPr>
      <w:tblCellMar>
        <w:left w:w="0" w:type="dxa"/>
        <w:top w:w="0" w:type="dxa"/>
        <w:right w:w="0" w:type="dxa"/>
        <w:bottom w:w="0" w:type="dxa"/>
      </w:tblCellMar>
    </w:tblPr>
  </w:style>
  <w:style w:type="table" w:styleId="1078" w:customStyle="1">
    <w:name w:val="Grid Table 3 - Accent 4"/>
    <w:uiPriority w:val="99"/>
    <w:qFormat/>
    <w:tblPr>
      <w:tblCellMar>
        <w:left w:w="0" w:type="dxa"/>
        <w:top w:w="0" w:type="dxa"/>
        <w:right w:w="0" w:type="dxa"/>
        <w:bottom w:w="0" w:type="dxa"/>
      </w:tblCellMar>
    </w:tblPr>
  </w:style>
  <w:style w:type="table" w:styleId="1079" w:customStyle="1">
    <w:name w:val="Grid Table 3 - Accent 5"/>
    <w:uiPriority w:val="99"/>
    <w:qFormat/>
    <w:tblPr>
      <w:tblCellMar>
        <w:left w:w="0" w:type="dxa"/>
        <w:top w:w="0" w:type="dxa"/>
        <w:right w:w="0" w:type="dxa"/>
        <w:bottom w:w="0" w:type="dxa"/>
      </w:tblCellMar>
    </w:tblPr>
  </w:style>
  <w:style w:type="table" w:styleId="1080" w:customStyle="1">
    <w:name w:val="Grid Table 3 - Accent 6"/>
    <w:uiPriority w:val="99"/>
    <w:qFormat/>
    <w:tblPr>
      <w:tblCellMar>
        <w:left w:w="0" w:type="dxa"/>
        <w:top w:w="0" w:type="dxa"/>
        <w:right w:w="0" w:type="dxa"/>
        <w:bottom w:w="0" w:type="dxa"/>
      </w:tblCellMar>
    </w:tblPr>
  </w:style>
  <w:style w:type="table" w:styleId="1081" w:customStyle="1">
    <w:name w:val="网格表 41"/>
    <w:uiPriority w:val="59"/>
    <w:qFormat/>
    <w:tblPr>
      <w:tblCellMar>
        <w:left w:w="0" w:type="dxa"/>
        <w:top w:w="0" w:type="dxa"/>
        <w:right w:w="0" w:type="dxa"/>
        <w:bottom w:w="0" w:type="dxa"/>
      </w:tblCellMar>
    </w:tblPr>
  </w:style>
  <w:style w:type="table" w:styleId="1082" w:customStyle="1">
    <w:name w:val="Grid Table 4 - Accent 1"/>
    <w:uiPriority w:val="59"/>
    <w:qFormat/>
    <w:tblPr>
      <w:tblCellMar>
        <w:left w:w="0" w:type="dxa"/>
        <w:top w:w="0" w:type="dxa"/>
        <w:right w:w="0" w:type="dxa"/>
        <w:bottom w:w="0" w:type="dxa"/>
      </w:tblCellMar>
    </w:tblPr>
  </w:style>
  <w:style w:type="table" w:styleId="1083" w:customStyle="1">
    <w:name w:val="Grid Table 4 - Accent 2"/>
    <w:uiPriority w:val="59"/>
    <w:qFormat/>
    <w:tblPr>
      <w:tblCellMar>
        <w:left w:w="0" w:type="dxa"/>
        <w:top w:w="0" w:type="dxa"/>
        <w:right w:w="0" w:type="dxa"/>
        <w:bottom w:w="0" w:type="dxa"/>
      </w:tblCellMar>
    </w:tblPr>
  </w:style>
  <w:style w:type="table" w:styleId="1084" w:customStyle="1">
    <w:name w:val="Grid Table 4 - Accent 3"/>
    <w:uiPriority w:val="59"/>
    <w:qFormat/>
    <w:tblPr>
      <w:tblCellMar>
        <w:left w:w="0" w:type="dxa"/>
        <w:top w:w="0" w:type="dxa"/>
        <w:right w:w="0" w:type="dxa"/>
        <w:bottom w:w="0" w:type="dxa"/>
      </w:tblCellMar>
    </w:tblPr>
  </w:style>
  <w:style w:type="table" w:styleId="1085" w:customStyle="1">
    <w:name w:val="Grid Table 4 - Accent 4"/>
    <w:uiPriority w:val="59"/>
    <w:qFormat/>
    <w:tblPr>
      <w:tblCellMar>
        <w:left w:w="0" w:type="dxa"/>
        <w:top w:w="0" w:type="dxa"/>
        <w:right w:w="0" w:type="dxa"/>
        <w:bottom w:w="0" w:type="dxa"/>
      </w:tblCellMar>
    </w:tblPr>
  </w:style>
  <w:style w:type="table" w:styleId="1086" w:customStyle="1">
    <w:name w:val="Grid Table 4 - Accent 5"/>
    <w:uiPriority w:val="59"/>
    <w:qFormat/>
    <w:tblPr>
      <w:tblCellMar>
        <w:left w:w="0" w:type="dxa"/>
        <w:top w:w="0" w:type="dxa"/>
        <w:right w:w="0" w:type="dxa"/>
        <w:bottom w:w="0" w:type="dxa"/>
      </w:tblCellMar>
    </w:tblPr>
  </w:style>
  <w:style w:type="table" w:styleId="1087" w:customStyle="1">
    <w:name w:val="Grid Table 4 - Accent 6"/>
    <w:uiPriority w:val="59"/>
    <w:qFormat/>
    <w:tblPr>
      <w:tblCellMar>
        <w:left w:w="0" w:type="dxa"/>
        <w:top w:w="0" w:type="dxa"/>
        <w:right w:w="0" w:type="dxa"/>
        <w:bottom w:w="0" w:type="dxa"/>
      </w:tblCellMar>
    </w:tblPr>
  </w:style>
  <w:style w:type="table" w:styleId="1088" w:customStyle="1">
    <w:name w:val="网格表 5 深色1"/>
    <w:uiPriority w:val="99"/>
    <w:qFormat/>
    <w:tblPr>
      <w:tblCellMar>
        <w:left w:w="0" w:type="dxa"/>
        <w:top w:w="0" w:type="dxa"/>
        <w:right w:w="0" w:type="dxa"/>
        <w:bottom w:w="0" w:type="dxa"/>
      </w:tblCellMar>
    </w:tblPr>
  </w:style>
  <w:style w:type="table" w:styleId="1089" w:customStyle="1">
    <w:name w:val="Grid Table 5 Dark- Accent 1"/>
    <w:uiPriority w:val="99"/>
    <w:qFormat/>
    <w:tblPr>
      <w:tblCellMar>
        <w:left w:w="0" w:type="dxa"/>
        <w:top w:w="0" w:type="dxa"/>
        <w:right w:w="0" w:type="dxa"/>
        <w:bottom w:w="0" w:type="dxa"/>
      </w:tblCellMar>
    </w:tblPr>
  </w:style>
  <w:style w:type="table" w:styleId="1090" w:customStyle="1">
    <w:name w:val="Grid Table 5 Dark - Accent 2"/>
    <w:uiPriority w:val="99"/>
    <w:qFormat/>
    <w:tblPr>
      <w:tblCellMar>
        <w:left w:w="0" w:type="dxa"/>
        <w:top w:w="0" w:type="dxa"/>
        <w:right w:w="0" w:type="dxa"/>
        <w:bottom w:w="0" w:type="dxa"/>
      </w:tblCellMar>
    </w:tblPr>
  </w:style>
  <w:style w:type="table" w:styleId="1091" w:customStyle="1">
    <w:name w:val="Grid Table 5 Dark - Accent 3"/>
    <w:uiPriority w:val="99"/>
    <w:qFormat/>
    <w:tblPr>
      <w:tblCellMar>
        <w:left w:w="0" w:type="dxa"/>
        <w:top w:w="0" w:type="dxa"/>
        <w:right w:w="0" w:type="dxa"/>
        <w:bottom w:w="0" w:type="dxa"/>
      </w:tblCellMar>
    </w:tblPr>
  </w:style>
  <w:style w:type="table" w:styleId="1092" w:customStyle="1">
    <w:name w:val="Grid Table 5 Dark- Accent 4"/>
    <w:uiPriority w:val="99"/>
    <w:qFormat/>
    <w:tblPr>
      <w:tblCellMar>
        <w:left w:w="0" w:type="dxa"/>
        <w:top w:w="0" w:type="dxa"/>
        <w:right w:w="0" w:type="dxa"/>
        <w:bottom w:w="0" w:type="dxa"/>
      </w:tblCellMar>
    </w:tblPr>
  </w:style>
  <w:style w:type="table" w:styleId="1093" w:customStyle="1">
    <w:name w:val="Grid Table 5 Dark - Accent 5"/>
    <w:uiPriority w:val="99"/>
    <w:qFormat/>
    <w:tblPr>
      <w:tblCellMar>
        <w:left w:w="0" w:type="dxa"/>
        <w:top w:w="0" w:type="dxa"/>
        <w:right w:w="0" w:type="dxa"/>
        <w:bottom w:w="0" w:type="dxa"/>
      </w:tblCellMar>
    </w:tblPr>
  </w:style>
  <w:style w:type="table" w:styleId="1094" w:customStyle="1">
    <w:name w:val="Grid Table 5 Dark - Accent 6"/>
    <w:uiPriority w:val="99"/>
    <w:qFormat/>
    <w:tblPr>
      <w:tblCellMar>
        <w:left w:w="0" w:type="dxa"/>
        <w:top w:w="0" w:type="dxa"/>
        <w:right w:w="0" w:type="dxa"/>
        <w:bottom w:w="0" w:type="dxa"/>
      </w:tblCellMar>
    </w:tblPr>
  </w:style>
  <w:style w:type="table" w:styleId="1095" w:customStyle="1">
    <w:name w:val="网格表 6 彩色1"/>
    <w:uiPriority w:val="99"/>
    <w:qFormat/>
    <w:tblPr>
      <w:tblCellMar>
        <w:left w:w="0" w:type="dxa"/>
        <w:top w:w="0" w:type="dxa"/>
        <w:right w:w="0" w:type="dxa"/>
        <w:bottom w:w="0" w:type="dxa"/>
      </w:tblCellMar>
    </w:tblPr>
  </w:style>
  <w:style w:type="table" w:styleId="1096" w:customStyle="1">
    <w:name w:val="Grid Table 6 Colorful - Accent 1"/>
    <w:uiPriority w:val="99"/>
    <w:qFormat/>
    <w:tblPr>
      <w:tblCellMar>
        <w:left w:w="0" w:type="dxa"/>
        <w:top w:w="0" w:type="dxa"/>
        <w:right w:w="0" w:type="dxa"/>
        <w:bottom w:w="0" w:type="dxa"/>
      </w:tblCellMar>
    </w:tblPr>
  </w:style>
  <w:style w:type="table" w:styleId="1097" w:customStyle="1">
    <w:name w:val="Grid Table 6 Colorful - Accent 2"/>
    <w:uiPriority w:val="99"/>
    <w:qFormat/>
    <w:tblPr>
      <w:tblCellMar>
        <w:left w:w="0" w:type="dxa"/>
        <w:top w:w="0" w:type="dxa"/>
        <w:right w:w="0" w:type="dxa"/>
        <w:bottom w:w="0" w:type="dxa"/>
      </w:tblCellMar>
    </w:tblPr>
  </w:style>
  <w:style w:type="table" w:styleId="1098" w:customStyle="1">
    <w:name w:val="Grid Table 6 Colorful - Accent 3"/>
    <w:uiPriority w:val="99"/>
    <w:qFormat/>
    <w:tblPr>
      <w:tblCellMar>
        <w:left w:w="0" w:type="dxa"/>
        <w:top w:w="0" w:type="dxa"/>
        <w:right w:w="0" w:type="dxa"/>
        <w:bottom w:w="0" w:type="dxa"/>
      </w:tblCellMar>
    </w:tblPr>
  </w:style>
  <w:style w:type="table" w:styleId="1099" w:customStyle="1">
    <w:name w:val="Grid Table 6 Colorful - Accent 4"/>
    <w:uiPriority w:val="99"/>
    <w:qFormat/>
    <w:tblPr>
      <w:tblCellMar>
        <w:left w:w="0" w:type="dxa"/>
        <w:top w:w="0" w:type="dxa"/>
        <w:right w:w="0" w:type="dxa"/>
        <w:bottom w:w="0" w:type="dxa"/>
      </w:tblCellMar>
    </w:tblPr>
  </w:style>
  <w:style w:type="table" w:styleId="1100" w:customStyle="1">
    <w:name w:val="Grid Table 6 Colorful - Accent 5"/>
    <w:uiPriority w:val="99"/>
    <w:qFormat/>
    <w:tblPr>
      <w:tblCellMar>
        <w:left w:w="0" w:type="dxa"/>
        <w:top w:w="0" w:type="dxa"/>
        <w:right w:w="0" w:type="dxa"/>
        <w:bottom w:w="0" w:type="dxa"/>
      </w:tblCellMar>
    </w:tblPr>
  </w:style>
  <w:style w:type="table" w:styleId="1101" w:customStyle="1">
    <w:name w:val="Grid Table 6 Colorful - Accent 6"/>
    <w:uiPriority w:val="99"/>
    <w:qFormat/>
    <w:tblPr>
      <w:tblCellMar>
        <w:left w:w="0" w:type="dxa"/>
        <w:top w:w="0" w:type="dxa"/>
        <w:right w:w="0" w:type="dxa"/>
        <w:bottom w:w="0" w:type="dxa"/>
      </w:tblCellMar>
    </w:tblPr>
  </w:style>
  <w:style w:type="table" w:styleId="1102" w:customStyle="1">
    <w:name w:val="网格表 7 彩色1"/>
    <w:uiPriority w:val="99"/>
    <w:qFormat/>
    <w:tblPr>
      <w:tblCellMar>
        <w:left w:w="0" w:type="dxa"/>
        <w:top w:w="0" w:type="dxa"/>
        <w:right w:w="0" w:type="dxa"/>
        <w:bottom w:w="0" w:type="dxa"/>
      </w:tblCellMar>
    </w:tblPr>
  </w:style>
  <w:style w:type="table" w:styleId="1103" w:customStyle="1">
    <w:name w:val="Grid Table 7 Colorful - Accent 1"/>
    <w:uiPriority w:val="99"/>
    <w:qFormat/>
    <w:tblPr>
      <w:tblCellMar>
        <w:left w:w="0" w:type="dxa"/>
        <w:top w:w="0" w:type="dxa"/>
        <w:right w:w="0" w:type="dxa"/>
        <w:bottom w:w="0" w:type="dxa"/>
      </w:tblCellMar>
    </w:tblPr>
  </w:style>
  <w:style w:type="table" w:styleId="1104" w:customStyle="1">
    <w:name w:val="Grid Table 7 Colorful - Accent 2"/>
    <w:uiPriority w:val="99"/>
    <w:qFormat/>
    <w:tblPr>
      <w:tblCellMar>
        <w:left w:w="0" w:type="dxa"/>
        <w:top w:w="0" w:type="dxa"/>
        <w:right w:w="0" w:type="dxa"/>
        <w:bottom w:w="0" w:type="dxa"/>
      </w:tblCellMar>
    </w:tblPr>
  </w:style>
  <w:style w:type="table" w:styleId="1105" w:customStyle="1">
    <w:name w:val="Grid Table 7 Colorful - Accent 3"/>
    <w:uiPriority w:val="99"/>
    <w:qFormat/>
    <w:tblPr>
      <w:tblCellMar>
        <w:left w:w="0" w:type="dxa"/>
        <w:top w:w="0" w:type="dxa"/>
        <w:right w:w="0" w:type="dxa"/>
        <w:bottom w:w="0" w:type="dxa"/>
      </w:tblCellMar>
    </w:tblPr>
  </w:style>
  <w:style w:type="table" w:styleId="1106" w:customStyle="1">
    <w:name w:val="Grid Table 7 Colorful - Accent 4"/>
    <w:uiPriority w:val="99"/>
    <w:qFormat/>
    <w:tblPr>
      <w:tblCellMar>
        <w:left w:w="0" w:type="dxa"/>
        <w:top w:w="0" w:type="dxa"/>
        <w:right w:w="0" w:type="dxa"/>
        <w:bottom w:w="0" w:type="dxa"/>
      </w:tblCellMar>
    </w:tblPr>
  </w:style>
  <w:style w:type="table" w:styleId="1107" w:customStyle="1">
    <w:name w:val="Grid Table 7 Colorful - Accent 5"/>
    <w:uiPriority w:val="99"/>
    <w:qFormat/>
    <w:tblPr>
      <w:tblCellMar>
        <w:left w:w="0" w:type="dxa"/>
        <w:top w:w="0" w:type="dxa"/>
        <w:right w:w="0" w:type="dxa"/>
        <w:bottom w:w="0" w:type="dxa"/>
      </w:tblCellMar>
    </w:tblPr>
  </w:style>
  <w:style w:type="table" w:styleId="1108" w:customStyle="1">
    <w:name w:val="Grid Table 7 Colorful - Accent 6"/>
    <w:uiPriority w:val="99"/>
    <w:qFormat/>
    <w:tblPr>
      <w:tblCellMar>
        <w:left w:w="0" w:type="dxa"/>
        <w:top w:w="0" w:type="dxa"/>
        <w:right w:w="0" w:type="dxa"/>
        <w:bottom w:w="0" w:type="dxa"/>
      </w:tblCellMar>
    </w:tblPr>
  </w:style>
  <w:style w:type="table" w:styleId="1109" w:customStyle="1">
    <w:name w:val="清单表 1 浅色1"/>
    <w:uiPriority w:val="99"/>
    <w:qFormat/>
    <w:tblPr>
      <w:tblCellMar>
        <w:left w:w="0" w:type="dxa"/>
        <w:top w:w="0" w:type="dxa"/>
        <w:right w:w="0" w:type="dxa"/>
        <w:bottom w:w="0" w:type="dxa"/>
      </w:tblCellMar>
    </w:tblPr>
  </w:style>
  <w:style w:type="table" w:styleId="1110" w:customStyle="1">
    <w:name w:val="List Table 1 Light - Accent 1"/>
    <w:uiPriority w:val="99"/>
    <w:qFormat/>
    <w:tblPr>
      <w:tblCellMar>
        <w:left w:w="0" w:type="dxa"/>
        <w:top w:w="0" w:type="dxa"/>
        <w:right w:w="0" w:type="dxa"/>
        <w:bottom w:w="0" w:type="dxa"/>
      </w:tblCellMar>
    </w:tblPr>
  </w:style>
  <w:style w:type="table" w:styleId="1111" w:customStyle="1">
    <w:name w:val="List Table 1 Light - Accent 2"/>
    <w:uiPriority w:val="99"/>
    <w:qFormat/>
    <w:tblPr>
      <w:tblCellMar>
        <w:left w:w="0" w:type="dxa"/>
        <w:top w:w="0" w:type="dxa"/>
        <w:right w:w="0" w:type="dxa"/>
        <w:bottom w:w="0" w:type="dxa"/>
      </w:tblCellMar>
    </w:tblPr>
  </w:style>
  <w:style w:type="table" w:styleId="1112" w:customStyle="1">
    <w:name w:val="List Table 1 Light - Accent 3"/>
    <w:uiPriority w:val="99"/>
    <w:qFormat/>
    <w:tblPr>
      <w:tblCellMar>
        <w:left w:w="0" w:type="dxa"/>
        <w:top w:w="0" w:type="dxa"/>
        <w:right w:w="0" w:type="dxa"/>
        <w:bottom w:w="0" w:type="dxa"/>
      </w:tblCellMar>
    </w:tblPr>
  </w:style>
  <w:style w:type="table" w:styleId="1113" w:customStyle="1">
    <w:name w:val="List Table 1 Light - Accent 4"/>
    <w:uiPriority w:val="99"/>
    <w:qFormat/>
    <w:tblPr>
      <w:tblCellMar>
        <w:left w:w="0" w:type="dxa"/>
        <w:top w:w="0" w:type="dxa"/>
        <w:right w:w="0" w:type="dxa"/>
        <w:bottom w:w="0" w:type="dxa"/>
      </w:tblCellMar>
    </w:tblPr>
  </w:style>
  <w:style w:type="table" w:styleId="1114" w:customStyle="1">
    <w:name w:val="List Table 1 Light - Accent 5"/>
    <w:uiPriority w:val="99"/>
    <w:qFormat/>
    <w:tblPr>
      <w:tblCellMar>
        <w:left w:w="0" w:type="dxa"/>
        <w:top w:w="0" w:type="dxa"/>
        <w:right w:w="0" w:type="dxa"/>
        <w:bottom w:w="0" w:type="dxa"/>
      </w:tblCellMar>
    </w:tblPr>
  </w:style>
  <w:style w:type="table" w:styleId="1115" w:customStyle="1">
    <w:name w:val="List Table 1 Light - Accent 6"/>
    <w:uiPriority w:val="99"/>
    <w:qFormat/>
    <w:tblPr>
      <w:tblCellMar>
        <w:left w:w="0" w:type="dxa"/>
        <w:top w:w="0" w:type="dxa"/>
        <w:right w:w="0" w:type="dxa"/>
        <w:bottom w:w="0" w:type="dxa"/>
      </w:tblCellMar>
    </w:tblPr>
  </w:style>
  <w:style w:type="table" w:styleId="1116" w:customStyle="1">
    <w:name w:val="清单表 21"/>
    <w:uiPriority w:val="99"/>
    <w:qFormat/>
    <w:tblPr>
      <w:tblCellMar>
        <w:left w:w="0" w:type="dxa"/>
        <w:top w:w="0" w:type="dxa"/>
        <w:right w:w="0" w:type="dxa"/>
        <w:bottom w:w="0" w:type="dxa"/>
      </w:tblCellMar>
    </w:tblPr>
  </w:style>
  <w:style w:type="table" w:styleId="1117" w:customStyle="1">
    <w:name w:val="List Table 2 - Accent 1"/>
    <w:uiPriority w:val="99"/>
    <w:qFormat/>
    <w:tblPr>
      <w:tblCellMar>
        <w:left w:w="0" w:type="dxa"/>
        <w:top w:w="0" w:type="dxa"/>
        <w:right w:w="0" w:type="dxa"/>
        <w:bottom w:w="0" w:type="dxa"/>
      </w:tblCellMar>
    </w:tblPr>
  </w:style>
  <w:style w:type="table" w:styleId="1118" w:customStyle="1">
    <w:name w:val="List Table 2 - Accent 2"/>
    <w:uiPriority w:val="99"/>
    <w:qFormat/>
    <w:tblPr>
      <w:tblCellMar>
        <w:left w:w="0" w:type="dxa"/>
        <w:top w:w="0" w:type="dxa"/>
        <w:right w:w="0" w:type="dxa"/>
        <w:bottom w:w="0" w:type="dxa"/>
      </w:tblCellMar>
    </w:tblPr>
  </w:style>
  <w:style w:type="table" w:styleId="1119" w:customStyle="1">
    <w:name w:val="List Table 2 - Accent 3"/>
    <w:uiPriority w:val="99"/>
    <w:qFormat/>
    <w:tblPr>
      <w:tblCellMar>
        <w:left w:w="0" w:type="dxa"/>
        <w:top w:w="0" w:type="dxa"/>
        <w:right w:w="0" w:type="dxa"/>
        <w:bottom w:w="0" w:type="dxa"/>
      </w:tblCellMar>
    </w:tblPr>
  </w:style>
  <w:style w:type="table" w:styleId="1120" w:customStyle="1">
    <w:name w:val="List Table 2 - Accent 4"/>
    <w:uiPriority w:val="99"/>
    <w:qFormat/>
    <w:tblPr>
      <w:tblCellMar>
        <w:left w:w="0" w:type="dxa"/>
        <w:top w:w="0" w:type="dxa"/>
        <w:right w:w="0" w:type="dxa"/>
        <w:bottom w:w="0" w:type="dxa"/>
      </w:tblCellMar>
    </w:tblPr>
  </w:style>
  <w:style w:type="table" w:styleId="1121" w:customStyle="1">
    <w:name w:val="List Table 2 - Accent 5"/>
    <w:uiPriority w:val="99"/>
    <w:qFormat/>
    <w:tblPr>
      <w:tblCellMar>
        <w:left w:w="0" w:type="dxa"/>
        <w:top w:w="0" w:type="dxa"/>
        <w:right w:w="0" w:type="dxa"/>
        <w:bottom w:w="0" w:type="dxa"/>
      </w:tblCellMar>
    </w:tblPr>
  </w:style>
  <w:style w:type="table" w:styleId="1122" w:customStyle="1">
    <w:name w:val="List Table 2 - Accent 6"/>
    <w:uiPriority w:val="99"/>
    <w:qFormat/>
    <w:tblPr>
      <w:tblCellMar>
        <w:left w:w="0" w:type="dxa"/>
        <w:top w:w="0" w:type="dxa"/>
        <w:right w:w="0" w:type="dxa"/>
        <w:bottom w:w="0" w:type="dxa"/>
      </w:tblCellMar>
    </w:tblPr>
  </w:style>
  <w:style w:type="table" w:styleId="1123" w:customStyle="1">
    <w:name w:val="清单表 31"/>
    <w:uiPriority w:val="99"/>
    <w:qFormat/>
    <w:tblPr>
      <w:tblCellMar>
        <w:left w:w="0" w:type="dxa"/>
        <w:top w:w="0" w:type="dxa"/>
        <w:right w:w="0" w:type="dxa"/>
        <w:bottom w:w="0" w:type="dxa"/>
      </w:tblCellMar>
    </w:tblPr>
  </w:style>
  <w:style w:type="table" w:styleId="1124" w:customStyle="1">
    <w:name w:val="List Table 3 - Accent 1"/>
    <w:uiPriority w:val="99"/>
    <w:qFormat/>
    <w:tblPr>
      <w:tblCellMar>
        <w:left w:w="0" w:type="dxa"/>
        <w:top w:w="0" w:type="dxa"/>
        <w:right w:w="0" w:type="dxa"/>
        <w:bottom w:w="0" w:type="dxa"/>
      </w:tblCellMar>
    </w:tblPr>
  </w:style>
  <w:style w:type="table" w:styleId="1125" w:customStyle="1">
    <w:name w:val="List Table 3 - Accent 2"/>
    <w:uiPriority w:val="99"/>
    <w:qFormat/>
    <w:tblPr>
      <w:tblCellMar>
        <w:left w:w="0" w:type="dxa"/>
        <w:top w:w="0" w:type="dxa"/>
        <w:right w:w="0" w:type="dxa"/>
        <w:bottom w:w="0" w:type="dxa"/>
      </w:tblCellMar>
    </w:tblPr>
  </w:style>
  <w:style w:type="table" w:styleId="1126" w:customStyle="1">
    <w:name w:val="List Table 3 - Accent 3"/>
    <w:uiPriority w:val="99"/>
    <w:qFormat/>
    <w:tblPr>
      <w:tblCellMar>
        <w:left w:w="0" w:type="dxa"/>
        <w:top w:w="0" w:type="dxa"/>
        <w:right w:w="0" w:type="dxa"/>
        <w:bottom w:w="0" w:type="dxa"/>
      </w:tblCellMar>
    </w:tblPr>
  </w:style>
  <w:style w:type="table" w:styleId="1127" w:customStyle="1">
    <w:name w:val="List Table 3 - Accent 4"/>
    <w:uiPriority w:val="99"/>
    <w:qFormat/>
    <w:tblPr>
      <w:tblCellMar>
        <w:left w:w="0" w:type="dxa"/>
        <w:top w:w="0" w:type="dxa"/>
        <w:right w:w="0" w:type="dxa"/>
        <w:bottom w:w="0" w:type="dxa"/>
      </w:tblCellMar>
    </w:tblPr>
  </w:style>
  <w:style w:type="table" w:styleId="1128" w:customStyle="1">
    <w:name w:val="List Table 3 - Accent 5"/>
    <w:uiPriority w:val="99"/>
    <w:qFormat/>
    <w:tblPr>
      <w:tblCellMar>
        <w:left w:w="0" w:type="dxa"/>
        <w:top w:w="0" w:type="dxa"/>
        <w:right w:w="0" w:type="dxa"/>
        <w:bottom w:w="0" w:type="dxa"/>
      </w:tblCellMar>
    </w:tblPr>
  </w:style>
  <w:style w:type="table" w:styleId="1129" w:customStyle="1">
    <w:name w:val="List Table 3 - Accent 6"/>
    <w:uiPriority w:val="99"/>
    <w:qFormat/>
    <w:tblPr>
      <w:tblCellMar>
        <w:left w:w="0" w:type="dxa"/>
        <w:top w:w="0" w:type="dxa"/>
        <w:right w:w="0" w:type="dxa"/>
        <w:bottom w:w="0" w:type="dxa"/>
      </w:tblCellMar>
    </w:tblPr>
  </w:style>
  <w:style w:type="table" w:styleId="1130" w:customStyle="1">
    <w:name w:val="清单表 41"/>
    <w:uiPriority w:val="99"/>
    <w:qFormat/>
    <w:tblPr>
      <w:tblCellMar>
        <w:left w:w="0" w:type="dxa"/>
        <w:top w:w="0" w:type="dxa"/>
        <w:right w:w="0" w:type="dxa"/>
        <w:bottom w:w="0" w:type="dxa"/>
      </w:tblCellMar>
    </w:tblPr>
  </w:style>
  <w:style w:type="table" w:styleId="1131" w:customStyle="1">
    <w:name w:val="List Table 4 - Accent 1"/>
    <w:uiPriority w:val="99"/>
    <w:qFormat/>
    <w:tblPr>
      <w:tblCellMar>
        <w:left w:w="0" w:type="dxa"/>
        <w:top w:w="0" w:type="dxa"/>
        <w:right w:w="0" w:type="dxa"/>
        <w:bottom w:w="0" w:type="dxa"/>
      </w:tblCellMar>
    </w:tblPr>
  </w:style>
  <w:style w:type="table" w:styleId="1132" w:customStyle="1">
    <w:name w:val="List Table 4 - Accent 2"/>
    <w:uiPriority w:val="99"/>
    <w:qFormat/>
    <w:tblPr>
      <w:tblCellMar>
        <w:left w:w="0" w:type="dxa"/>
        <w:top w:w="0" w:type="dxa"/>
        <w:right w:w="0" w:type="dxa"/>
        <w:bottom w:w="0" w:type="dxa"/>
      </w:tblCellMar>
    </w:tblPr>
  </w:style>
  <w:style w:type="table" w:styleId="1133" w:customStyle="1">
    <w:name w:val="List Table 4 - Accent 3"/>
    <w:uiPriority w:val="99"/>
    <w:qFormat/>
    <w:tblPr>
      <w:tblCellMar>
        <w:left w:w="0" w:type="dxa"/>
        <w:top w:w="0" w:type="dxa"/>
        <w:right w:w="0" w:type="dxa"/>
        <w:bottom w:w="0" w:type="dxa"/>
      </w:tblCellMar>
    </w:tblPr>
  </w:style>
  <w:style w:type="table" w:styleId="1134" w:customStyle="1">
    <w:name w:val="List Table 4 - Accent 4"/>
    <w:uiPriority w:val="99"/>
    <w:qFormat/>
    <w:tblPr>
      <w:tblCellMar>
        <w:left w:w="0" w:type="dxa"/>
        <w:top w:w="0" w:type="dxa"/>
        <w:right w:w="0" w:type="dxa"/>
        <w:bottom w:w="0" w:type="dxa"/>
      </w:tblCellMar>
    </w:tblPr>
  </w:style>
  <w:style w:type="table" w:styleId="1135" w:customStyle="1">
    <w:name w:val="List Table 4 - Accent 5"/>
    <w:uiPriority w:val="99"/>
    <w:qFormat/>
    <w:tblPr>
      <w:tblCellMar>
        <w:left w:w="0" w:type="dxa"/>
        <w:top w:w="0" w:type="dxa"/>
        <w:right w:w="0" w:type="dxa"/>
        <w:bottom w:w="0" w:type="dxa"/>
      </w:tblCellMar>
    </w:tblPr>
  </w:style>
  <w:style w:type="table" w:styleId="1136" w:customStyle="1">
    <w:name w:val="List Table 4 - Accent 6"/>
    <w:uiPriority w:val="99"/>
    <w:qFormat/>
    <w:tblPr>
      <w:tblCellMar>
        <w:left w:w="0" w:type="dxa"/>
        <w:top w:w="0" w:type="dxa"/>
        <w:right w:w="0" w:type="dxa"/>
        <w:bottom w:w="0" w:type="dxa"/>
      </w:tblCellMar>
    </w:tblPr>
  </w:style>
  <w:style w:type="table" w:styleId="1137" w:customStyle="1">
    <w:name w:val="清单表 5 深色1"/>
    <w:uiPriority w:val="99"/>
    <w:qFormat/>
    <w:tblPr>
      <w:tblCellMar>
        <w:left w:w="0" w:type="dxa"/>
        <w:top w:w="0" w:type="dxa"/>
        <w:right w:w="0" w:type="dxa"/>
        <w:bottom w:w="0" w:type="dxa"/>
      </w:tblCellMar>
    </w:tblPr>
  </w:style>
  <w:style w:type="table" w:styleId="1138" w:customStyle="1">
    <w:name w:val="List Table 5 Dark - Accent 1"/>
    <w:uiPriority w:val="99"/>
    <w:qFormat/>
    <w:tblPr>
      <w:tblCellMar>
        <w:left w:w="0" w:type="dxa"/>
        <w:top w:w="0" w:type="dxa"/>
        <w:right w:w="0" w:type="dxa"/>
        <w:bottom w:w="0" w:type="dxa"/>
      </w:tblCellMar>
    </w:tblPr>
  </w:style>
  <w:style w:type="table" w:styleId="1139" w:customStyle="1">
    <w:name w:val="List Table 5 Dark - Accent 2"/>
    <w:uiPriority w:val="99"/>
    <w:qFormat/>
    <w:tblPr>
      <w:tblCellMar>
        <w:left w:w="0" w:type="dxa"/>
        <w:top w:w="0" w:type="dxa"/>
        <w:right w:w="0" w:type="dxa"/>
        <w:bottom w:w="0" w:type="dxa"/>
      </w:tblCellMar>
    </w:tblPr>
  </w:style>
  <w:style w:type="table" w:styleId="1140" w:customStyle="1">
    <w:name w:val="List Table 5 Dark - Accent 3"/>
    <w:uiPriority w:val="99"/>
    <w:qFormat/>
    <w:tblPr>
      <w:tblCellMar>
        <w:left w:w="0" w:type="dxa"/>
        <w:top w:w="0" w:type="dxa"/>
        <w:right w:w="0" w:type="dxa"/>
        <w:bottom w:w="0" w:type="dxa"/>
      </w:tblCellMar>
    </w:tblPr>
  </w:style>
  <w:style w:type="table" w:styleId="1141" w:customStyle="1">
    <w:name w:val="List Table 5 Dark - Accent 4"/>
    <w:uiPriority w:val="99"/>
    <w:qFormat/>
    <w:tblPr>
      <w:tblCellMar>
        <w:left w:w="0" w:type="dxa"/>
        <w:top w:w="0" w:type="dxa"/>
        <w:right w:w="0" w:type="dxa"/>
        <w:bottom w:w="0" w:type="dxa"/>
      </w:tblCellMar>
    </w:tblPr>
  </w:style>
  <w:style w:type="table" w:styleId="1142" w:customStyle="1">
    <w:name w:val="List Table 5 Dark - Accent 5"/>
    <w:uiPriority w:val="99"/>
    <w:qFormat/>
    <w:tblPr>
      <w:tblCellMar>
        <w:left w:w="0" w:type="dxa"/>
        <w:top w:w="0" w:type="dxa"/>
        <w:right w:w="0" w:type="dxa"/>
        <w:bottom w:w="0" w:type="dxa"/>
      </w:tblCellMar>
    </w:tblPr>
  </w:style>
  <w:style w:type="table" w:styleId="1143" w:customStyle="1">
    <w:name w:val="List Table 5 Dark - Accent 6"/>
    <w:uiPriority w:val="99"/>
    <w:qFormat/>
    <w:tblPr>
      <w:tblCellMar>
        <w:left w:w="0" w:type="dxa"/>
        <w:top w:w="0" w:type="dxa"/>
        <w:right w:w="0" w:type="dxa"/>
        <w:bottom w:w="0" w:type="dxa"/>
      </w:tblCellMar>
    </w:tblPr>
  </w:style>
  <w:style w:type="table" w:styleId="1144" w:customStyle="1">
    <w:name w:val="清单表 6 彩色1"/>
    <w:uiPriority w:val="99"/>
    <w:qFormat/>
    <w:tblPr>
      <w:tblCellMar>
        <w:left w:w="0" w:type="dxa"/>
        <w:top w:w="0" w:type="dxa"/>
        <w:right w:w="0" w:type="dxa"/>
        <w:bottom w:w="0" w:type="dxa"/>
      </w:tblCellMar>
    </w:tblPr>
  </w:style>
  <w:style w:type="table" w:styleId="1145" w:customStyle="1">
    <w:name w:val="List Table 6 Colorful - Accent 1"/>
    <w:uiPriority w:val="99"/>
    <w:qFormat/>
    <w:tblPr>
      <w:tblCellMar>
        <w:left w:w="0" w:type="dxa"/>
        <w:top w:w="0" w:type="dxa"/>
        <w:right w:w="0" w:type="dxa"/>
        <w:bottom w:w="0" w:type="dxa"/>
      </w:tblCellMar>
    </w:tblPr>
  </w:style>
  <w:style w:type="table" w:styleId="1146" w:customStyle="1">
    <w:name w:val="List Table 6 Colorful - Accent 2"/>
    <w:uiPriority w:val="99"/>
    <w:qFormat/>
    <w:tblPr>
      <w:tblCellMar>
        <w:left w:w="0" w:type="dxa"/>
        <w:top w:w="0" w:type="dxa"/>
        <w:right w:w="0" w:type="dxa"/>
        <w:bottom w:w="0" w:type="dxa"/>
      </w:tblCellMar>
    </w:tblPr>
  </w:style>
  <w:style w:type="table" w:styleId="1147" w:customStyle="1">
    <w:name w:val="List Table 6 Colorful - Accent 3"/>
    <w:uiPriority w:val="99"/>
    <w:qFormat/>
    <w:tblPr>
      <w:tblCellMar>
        <w:left w:w="0" w:type="dxa"/>
        <w:top w:w="0" w:type="dxa"/>
        <w:right w:w="0" w:type="dxa"/>
        <w:bottom w:w="0" w:type="dxa"/>
      </w:tblCellMar>
    </w:tblPr>
  </w:style>
  <w:style w:type="table" w:styleId="1148" w:customStyle="1">
    <w:name w:val="List Table 6 Colorful - Accent 4"/>
    <w:uiPriority w:val="99"/>
    <w:qFormat/>
    <w:tblPr>
      <w:tblCellMar>
        <w:left w:w="0" w:type="dxa"/>
        <w:top w:w="0" w:type="dxa"/>
        <w:right w:w="0" w:type="dxa"/>
        <w:bottom w:w="0" w:type="dxa"/>
      </w:tblCellMar>
    </w:tblPr>
  </w:style>
  <w:style w:type="table" w:styleId="1149" w:customStyle="1">
    <w:name w:val="List Table 6 Colorful - Accent 5"/>
    <w:uiPriority w:val="99"/>
    <w:qFormat/>
    <w:tblPr>
      <w:tblCellMar>
        <w:left w:w="0" w:type="dxa"/>
        <w:top w:w="0" w:type="dxa"/>
        <w:right w:w="0" w:type="dxa"/>
        <w:bottom w:w="0" w:type="dxa"/>
      </w:tblCellMar>
    </w:tblPr>
  </w:style>
  <w:style w:type="table" w:styleId="1150" w:customStyle="1">
    <w:name w:val="List Table 6 Colorful - Accent 6"/>
    <w:uiPriority w:val="99"/>
    <w:qFormat/>
    <w:tblPr>
      <w:tblCellMar>
        <w:left w:w="0" w:type="dxa"/>
        <w:top w:w="0" w:type="dxa"/>
        <w:right w:w="0" w:type="dxa"/>
        <w:bottom w:w="0" w:type="dxa"/>
      </w:tblCellMar>
    </w:tblPr>
  </w:style>
  <w:style w:type="table" w:styleId="1151" w:customStyle="1">
    <w:name w:val="清单表 7 彩色1"/>
    <w:uiPriority w:val="99"/>
    <w:qFormat/>
    <w:tblPr>
      <w:tblCellMar>
        <w:left w:w="0" w:type="dxa"/>
        <w:top w:w="0" w:type="dxa"/>
        <w:right w:w="0" w:type="dxa"/>
        <w:bottom w:w="0" w:type="dxa"/>
      </w:tblCellMar>
    </w:tblPr>
  </w:style>
  <w:style w:type="table" w:styleId="1152" w:customStyle="1">
    <w:name w:val="List Table 7 Colorful - Accent 1"/>
    <w:uiPriority w:val="99"/>
    <w:qFormat/>
    <w:tblPr>
      <w:tblCellMar>
        <w:left w:w="0" w:type="dxa"/>
        <w:top w:w="0" w:type="dxa"/>
        <w:right w:w="0" w:type="dxa"/>
        <w:bottom w:w="0" w:type="dxa"/>
      </w:tblCellMar>
    </w:tblPr>
  </w:style>
  <w:style w:type="table" w:styleId="1153" w:customStyle="1">
    <w:name w:val="List Table 7 Colorful - Accent 2"/>
    <w:uiPriority w:val="99"/>
    <w:qFormat/>
    <w:tblPr>
      <w:tblCellMar>
        <w:left w:w="0" w:type="dxa"/>
        <w:top w:w="0" w:type="dxa"/>
        <w:right w:w="0" w:type="dxa"/>
        <w:bottom w:w="0" w:type="dxa"/>
      </w:tblCellMar>
    </w:tblPr>
  </w:style>
  <w:style w:type="table" w:styleId="1154" w:customStyle="1">
    <w:name w:val="List Table 7 Colorful - Accent 3"/>
    <w:uiPriority w:val="99"/>
    <w:qFormat/>
    <w:tblPr>
      <w:tblCellMar>
        <w:left w:w="0" w:type="dxa"/>
        <w:top w:w="0" w:type="dxa"/>
        <w:right w:w="0" w:type="dxa"/>
        <w:bottom w:w="0" w:type="dxa"/>
      </w:tblCellMar>
    </w:tblPr>
  </w:style>
  <w:style w:type="table" w:styleId="1155" w:customStyle="1">
    <w:name w:val="List Table 7 Colorful - Accent 4"/>
    <w:uiPriority w:val="99"/>
    <w:qFormat/>
    <w:tblPr>
      <w:tblCellMar>
        <w:left w:w="0" w:type="dxa"/>
        <w:top w:w="0" w:type="dxa"/>
        <w:right w:w="0" w:type="dxa"/>
        <w:bottom w:w="0" w:type="dxa"/>
      </w:tblCellMar>
    </w:tblPr>
  </w:style>
  <w:style w:type="table" w:styleId="1156" w:customStyle="1">
    <w:name w:val="List Table 7 Colorful - Accent 5"/>
    <w:uiPriority w:val="99"/>
    <w:qFormat/>
    <w:tblPr>
      <w:tblCellMar>
        <w:left w:w="0" w:type="dxa"/>
        <w:top w:w="0" w:type="dxa"/>
        <w:right w:w="0" w:type="dxa"/>
        <w:bottom w:w="0" w:type="dxa"/>
      </w:tblCellMar>
    </w:tblPr>
  </w:style>
  <w:style w:type="table" w:styleId="1157" w:customStyle="1">
    <w:name w:val="List Table 7 Colorful - Accent 6"/>
    <w:uiPriority w:val="99"/>
    <w:qFormat/>
    <w:tblPr>
      <w:tblCellMar>
        <w:left w:w="0" w:type="dxa"/>
        <w:top w:w="0" w:type="dxa"/>
        <w:right w:w="0" w:type="dxa"/>
        <w:bottom w:w="0" w:type="dxa"/>
      </w:tblCellMar>
    </w:tblPr>
  </w:style>
  <w:style w:type="table" w:styleId="1158" w:customStyle="1">
    <w:name w:val="Lined - Accent"/>
    <w:uiPriority w:val="99"/>
    <w:qFormat/>
    <w:rPr>
      <w:color w:val="404040"/>
    </w:rPr>
    <w:tblPr>
      <w:tblCellMar>
        <w:left w:w="0" w:type="dxa"/>
        <w:top w:w="0" w:type="dxa"/>
        <w:right w:w="0" w:type="dxa"/>
        <w:bottom w:w="0" w:type="dxa"/>
      </w:tblCellMar>
    </w:tblPr>
  </w:style>
  <w:style w:type="table" w:styleId="1159" w:customStyle="1">
    <w:name w:val="Lined - Accent 1"/>
    <w:uiPriority w:val="99"/>
    <w:qFormat/>
    <w:rPr>
      <w:color w:val="404040"/>
    </w:rPr>
    <w:tblPr>
      <w:tblCellMar>
        <w:left w:w="0" w:type="dxa"/>
        <w:top w:w="0" w:type="dxa"/>
        <w:right w:w="0" w:type="dxa"/>
        <w:bottom w:w="0" w:type="dxa"/>
      </w:tblCellMar>
    </w:tblPr>
  </w:style>
  <w:style w:type="table" w:styleId="1160" w:customStyle="1">
    <w:name w:val="Lined - Accent 2"/>
    <w:uiPriority w:val="99"/>
    <w:qFormat/>
    <w:rPr>
      <w:color w:val="404040"/>
    </w:rPr>
    <w:tblPr>
      <w:tblCellMar>
        <w:left w:w="0" w:type="dxa"/>
        <w:top w:w="0" w:type="dxa"/>
        <w:right w:w="0" w:type="dxa"/>
        <w:bottom w:w="0" w:type="dxa"/>
      </w:tblCellMar>
    </w:tblPr>
  </w:style>
  <w:style w:type="table" w:styleId="1161" w:customStyle="1">
    <w:name w:val="Lined - Accent 3"/>
    <w:uiPriority w:val="99"/>
    <w:qFormat/>
    <w:rPr>
      <w:color w:val="404040"/>
    </w:rPr>
    <w:tblPr>
      <w:tblCellMar>
        <w:left w:w="0" w:type="dxa"/>
        <w:top w:w="0" w:type="dxa"/>
        <w:right w:w="0" w:type="dxa"/>
        <w:bottom w:w="0" w:type="dxa"/>
      </w:tblCellMar>
    </w:tblPr>
  </w:style>
  <w:style w:type="table" w:styleId="1162" w:customStyle="1">
    <w:name w:val="Lined - Accent 4"/>
    <w:uiPriority w:val="99"/>
    <w:qFormat/>
    <w:rPr>
      <w:color w:val="404040"/>
    </w:rPr>
    <w:tblPr>
      <w:tblCellMar>
        <w:left w:w="0" w:type="dxa"/>
        <w:top w:w="0" w:type="dxa"/>
        <w:right w:w="0" w:type="dxa"/>
        <w:bottom w:w="0" w:type="dxa"/>
      </w:tblCellMar>
    </w:tblPr>
  </w:style>
  <w:style w:type="table" w:styleId="1163" w:customStyle="1">
    <w:name w:val="Lined - Accent 5"/>
    <w:uiPriority w:val="99"/>
    <w:qFormat/>
    <w:rPr>
      <w:color w:val="404040"/>
    </w:rPr>
    <w:tblPr>
      <w:tblCellMar>
        <w:left w:w="0" w:type="dxa"/>
        <w:top w:w="0" w:type="dxa"/>
        <w:right w:w="0" w:type="dxa"/>
        <w:bottom w:w="0" w:type="dxa"/>
      </w:tblCellMar>
    </w:tblPr>
  </w:style>
  <w:style w:type="table" w:styleId="1164" w:customStyle="1">
    <w:name w:val="Lined - Accent 6"/>
    <w:uiPriority w:val="99"/>
    <w:qFormat/>
    <w:rPr>
      <w:color w:val="404040"/>
    </w:rPr>
    <w:tblPr>
      <w:tblCellMar>
        <w:left w:w="0" w:type="dxa"/>
        <w:top w:w="0" w:type="dxa"/>
        <w:right w:w="0" w:type="dxa"/>
        <w:bottom w:w="0" w:type="dxa"/>
      </w:tblCellMar>
    </w:tblPr>
  </w:style>
  <w:style w:type="table" w:styleId="1165" w:customStyle="1">
    <w:name w:val="Bordered &amp; Lined - Accent"/>
    <w:uiPriority w:val="99"/>
    <w:qFormat/>
    <w:rPr>
      <w:color w:val="404040"/>
    </w:rPr>
    <w:tblPr>
      <w:tblCellMar>
        <w:left w:w="0" w:type="dxa"/>
        <w:top w:w="0" w:type="dxa"/>
        <w:right w:w="0" w:type="dxa"/>
        <w:bottom w:w="0" w:type="dxa"/>
      </w:tblCellMar>
    </w:tblPr>
  </w:style>
  <w:style w:type="table" w:styleId="1166" w:customStyle="1">
    <w:name w:val="Bordered &amp; Lined - Accent 1"/>
    <w:uiPriority w:val="99"/>
    <w:qFormat/>
    <w:rPr>
      <w:color w:val="404040"/>
    </w:rPr>
    <w:tblPr>
      <w:tblCellMar>
        <w:left w:w="0" w:type="dxa"/>
        <w:top w:w="0" w:type="dxa"/>
        <w:right w:w="0" w:type="dxa"/>
        <w:bottom w:w="0" w:type="dxa"/>
      </w:tblCellMar>
    </w:tblPr>
  </w:style>
  <w:style w:type="table" w:styleId="1167" w:customStyle="1">
    <w:name w:val="Bordered &amp; Lined - Accent 2"/>
    <w:uiPriority w:val="99"/>
    <w:qFormat/>
    <w:rPr>
      <w:color w:val="404040"/>
    </w:rPr>
    <w:tblPr>
      <w:tblCellMar>
        <w:left w:w="0" w:type="dxa"/>
        <w:top w:w="0" w:type="dxa"/>
        <w:right w:w="0" w:type="dxa"/>
        <w:bottom w:w="0" w:type="dxa"/>
      </w:tblCellMar>
    </w:tblPr>
  </w:style>
  <w:style w:type="table" w:styleId="1168" w:customStyle="1">
    <w:name w:val="Bordered &amp; Lined - Accent 3"/>
    <w:uiPriority w:val="99"/>
    <w:qFormat/>
    <w:rPr>
      <w:color w:val="404040"/>
    </w:rPr>
    <w:tblPr>
      <w:tblCellMar>
        <w:left w:w="0" w:type="dxa"/>
        <w:top w:w="0" w:type="dxa"/>
        <w:right w:w="0" w:type="dxa"/>
        <w:bottom w:w="0" w:type="dxa"/>
      </w:tblCellMar>
    </w:tblPr>
  </w:style>
  <w:style w:type="table" w:styleId="1169" w:customStyle="1">
    <w:name w:val="Bordered &amp; Lined - Accent 4"/>
    <w:uiPriority w:val="99"/>
    <w:qFormat/>
    <w:rPr>
      <w:color w:val="404040"/>
    </w:rPr>
    <w:tblPr>
      <w:tblCellMar>
        <w:left w:w="0" w:type="dxa"/>
        <w:top w:w="0" w:type="dxa"/>
        <w:right w:w="0" w:type="dxa"/>
        <w:bottom w:w="0" w:type="dxa"/>
      </w:tblCellMar>
    </w:tblPr>
  </w:style>
  <w:style w:type="table" w:styleId="1170" w:customStyle="1">
    <w:name w:val="Bordered &amp; Lined - Accent 5"/>
    <w:uiPriority w:val="99"/>
    <w:qFormat/>
    <w:rPr>
      <w:color w:val="404040"/>
    </w:rPr>
    <w:tblPr>
      <w:tblCellMar>
        <w:left w:w="0" w:type="dxa"/>
        <w:top w:w="0" w:type="dxa"/>
        <w:right w:w="0" w:type="dxa"/>
        <w:bottom w:w="0" w:type="dxa"/>
      </w:tblCellMar>
    </w:tblPr>
  </w:style>
  <w:style w:type="table" w:styleId="1171" w:customStyle="1">
    <w:name w:val="Bordered &amp; Lined - Accent 6"/>
    <w:uiPriority w:val="99"/>
    <w:qFormat/>
    <w:rPr>
      <w:color w:val="404040"/>
    </w:rPr>
    <w:tblPr>
      <w:tblCellMar>
        <w:left w:w="0" w:type="dxa"/>
        <w:top w:w="0" w:type="dxa"/>
        <w:right w:w="0" w:type="dxa"/>
        <w:bottom w:w="0" w:type="dxa"/>
      </w:tblCellMar>
    </w:tblPr>
  </w:style>
  <w:style w:type="table" w:styleId="1172" w:customStyle="1">
    <w:name w:val="Bordered"/>
    <w:uiPriority w:val="99"/>
    <w:qFormat/>
    <w:tblPr>
      <w:tblCellMar>
        <w:left w:w="0" w:type="dxa"/>
        <w:top w:w="0" w:type="dxa"/>
        <w:right w:w="0" w:type="dxa"/>
        <w:bottom w:w="0" w:type="dxa"/>
      </w:tblCellMar>
    </w:tblPr>
  </w:style>
  <w:style w:type="table" w:styleId="1173" w:customStyle="1">
    <w:name w:val="Bordered - Accent 1"/>
    <w:uiPriority w:val="99"/>
    <w:qFormat/>
    <w:tblPr>
      <w:tblCellMar>
        <w:left w:w="0" w:type="dxa"/>
        <w:top w:w="0" w:type="dxa"/>
        <w:right w:w="0" w:type="dxa"/>
        <w:bottom w:w="0" w:type="dxa"/>
      </w:tblCellMar>
    </w:tblPr>
  </w:style>
  <w:style w:type="table" w:styleId="1174" w:customStyle="1">
    <w:name w:val="Bordered - Accent 2"/>
    <w:uiPriority w:val="99"/>
    <w:qFormat/>
    <w:tblPr>
      <w:tblCellMar>
        <w:left w:w="0" w:type="dxa"/>
        <w:top w:w="0" w:type="dxa"/>
        <w:right w:w="0" w:type="dxa"/>
        <w:bottom w:w="0" w:type="dxa"/>
      </w:tblCellMar>
    </w:tblPr>
  </w:style>
  <w:style w:type="table" w:styleId="1175" w:customStyle="1">
    <w:name w:val="Bordered - Accent 3"/>
    <w:uiPriority w:val="99"/>
    <w:qFormat/>
    <w:tblPr>
      <w:tblCellMar>
        <w:left w:w="0" w:type="dxa"/>
        <w:top w:w="0" w:type="dxa"/>
        <w:right w:w="0" w:type="dxa"/>
        <w:bottom w:w="0" w:type="dxa"/>
      </w:tblCellMar>
    </w:tblPr>
  </w:style>
  <w:style w:type="table" w:styleId="1176" w:customStyle="1">
    <w:name w:val="Bordered - Accent 4"/>
    <w:uiPriority w:val="99"/>
    <w:qFormat/>
    <w:tblPr>
      <w:tblCellMar>
        <w:left w:w="0" w:type="dxa"/>
        <w:top w:w="0" w:type="dxa"/>
        <w:right w:w="0" w:type="dxa"/>
        <w:bottom w:w="0" w:type="dxa"/>
      </w:tblCellMar>
    </w:tblPr>
  </w:style>
  <w:style w:type="table" w:styleId="1177" w:customStyle="1">
    <w:name w:val="Bordered - Accent 5"/>
    <w:uiPriority w:val="99"/>
    <w:qFormat/>
    <w:tblPr>
      <w:tblCellMar>
        <w:left w:w="0" w:type="dxa"/>
        <w:top w:w="0" w:type="dxa"/>
        <w:right w:w="0" w:type="dxa"/>
        <w:bottom w:w="0" w:type="dxa"/>
      </w:tblCellMar>
    </w:tblPr>
  </w:style>
  <w:style w:type="table" w:styleId="1178" w:customStyle="1">
    <w:name w:val="Bordered - Accent 6"/>
    <w:uiPriority w:val="99"/>
    <w:qFormat/>
    <w:tblPr>
      <w:tblCellMar>
        <w:left w:w="0" w:type="dxa"/>
        <w:top w:w="0" w:type="dxa"/>
        <w:right w:w="0" w:type="dxa"/>
        <w:bottom w:w="0" w:type="dxa"/>
      </w:tblCellMar>
    </w:tblPr>
  </w:style>
  <w:style w:type="paragraph" w:styleId="1179" w:customStyle="1">
    <w:name w:val="TOC 标题2"/>
    <w:uiPriority w:val="39"/>
    <w:qFormat/>
    <w:rPr>
      <w:rFonts w:hint="default" w:ascii="Times New Roman" w:hAnsi="Times New Roman" w:eastAsia="宋体" w:cs="Times New Roman"/>
      <w:lang w:val="en-US" w:eastAsia="zh-CN" w:bidi="ar-SA"/>
    </w:rPr>
  </w:style>
  <w:style w:type="paragraph" w:styleId="1180" w:customStyle="1">
    <w:name w:val="标题 11"/>
    <w:basedOn w:val="906"/>
    <w:next w:val="906"/>
    <w:link w:val="1181"/>
    <w:uiPriority w:val="0"/>
    <w:qFormat/>
    <w:pPr>
      <w:jc w:val="center"/>
      <w:keepNext/>
      <w:outlineLvl w:val="0"/>
    </w:pPr>
    <w:rPr>
      <w:rFonts w:ascii="楷体_GB2312" w:eastAsia="楷体_GB2312"/>
      <w:sz w:val="28"/>
      <w:szCs w:val="28"/>
    </w:rPr>
  </w:style>
  <w:style w:type="character" w:styleId="1181" w:customStyle="1">
    <w:name w:val="标题 1 字符"/>
    <w:link w:val="1180"/>
    <w:uiPriority w:val="0"/>
    <w:qFormat/>
    <w:rPr>
      <w:rFonts w:ascii="楷体_GB2312" w:hAnsi="Times New Roman" w:eastAsia="楷体_GB2312" w:cs="Times New Roman"/>
      <w:sz w:val="28"/>
      <w:szCs w:val="28"/>
    </w:rPr>
  </w:style>
  <w:style w:type="paragraph" w:styleId="1182" w:customStyle="1">
    <w:name w:val="标题 21"/>
    <w:basedOn w:val="906"/>
    <w:next w:val="1183"/>
    <w:link w:val="1184"/>
    <w:uiPriority w:val="0"/>
    <w:qFormat/>
    <w:pPr>
      <w:jc w:val="center"/>
      <w:keepLines/>
      <w:keepNext/>
      <w:spacing w:before="260" w:after="260" w:line="416" w:lineRule="auto"/>
      <w:outlineLvl w:val="1"/>
    </w:pPr>
    <w:rPr>
      <w:rFonts w:ascii="Arial" w:hAnsi="Arial" w:eastAsia="幼圆"/>
      <w:b/>
      <w:bCs/>
      <w:sz w:val="44"/>
      <w:szCs w:val="44"/>
    </w:rPr>
  </w:style>
  <w:style w:type="paragraph" w:styleId="1183" w:customStyle="1">
    <w:name w:val="正文缩进1"/>
    <w:basedOn w:val="906"/>
    <w:link w:val="1185"/>
    <w:uiPriority w:val="0"/>
    <w:qFormat/>
    <w:pPr>
      <w:ind w:firstLine="420"/>
    </w:pPr>
    <w:rPr>
      <w:sz w:val="20"/>
      <w:szCs w:val="21"/>
    </w:rPr>
  </w:style>
  <w:style w:type="character" w:styleId="1184" w:customStyle="1">
    <w:name w:val="标题 2 字符"/>
    <w:link w:val="1182"/>
    <w:uiPriority w:val="0"/>
    <w:qFormat/>
    <w:rPr>
      <w:rFonts w:ascii="Arial" w:hAnsi="Arial" w:eastAsia="幼圆" w:cs="Arial"/>
      <w:b/>
      <w:bCs/>
      <w:sz w:val="44"/>
      <w:szCs w:val="44"/>
    </w:rPr>
  </w:style>
  <w:style w:type="character" w:styleId="1185" w:customStyle="1">
    <w:name w:val="正文缩进 字符"/>
    <w:link w:val="1183"/>
    <w:uiPriority w:val="0"/>
    <w:qFormat/>
    <w:rPr>
      <w:szCs w:val="21"/>
    </w:rPr>
  </w:style>
  <w:style w:type="paragraph" w:styleId="1186" w:customStyle="1">
    <w:name w:val="标题 31"/>
    <w:basedOn w:val="906"/>
    <w:next w:val="1183"/>
    <w:link w:val="1187"/>
    <w:uiPriority w:val="0"/>
    <w:qFormat/>
    <w:pPr>
      <w:keepLines/>
      <w:keepNext/>
      <w:spacing w:before="260" w:after="260" w:line="416" w:lineRule="auto"/>
      <w:outlineLvl w:val="2"/>
    </w:pPr>
    <w:rPr>
      <w:b/>
      <w:bCs/>
      <w:sz w:val="32"/>
      <w:szCs w:val="32"/>
    </w:rPr>
  </w:style>
  <w:style w:type="character" w:styleId="1187" w:customStyle="1">
    <w:name w:val="标题 3 字符"/>
    <w:link w:val="1186"/>
    <w:uiPriority w:val="0"/>
    <w:qFormat/>
    <w:rPr>
      <w:rFonts w:ascii="Times New Roman" w:hAnsi="Times New Roman" w:eastAsia="宋体" w:cs="Times New Roman"/>
      <w:b/>
      <w:bCs/>
      <w:sz w:val="32"/>
      <w:szCs w:val="32"/>
    </w:rPr>
  </w:style>
  <w:style w:type="paragraph" w:styleId="1188" w:customStyle="1">
    <w:name w:val="标题 41"/>
    <w:basedOn w:val="906"/>
    <w:next w:val="1183"/>
    <w:link w:val="1189"/>
    <w:uiPriority w:val="0"/>
    <w:qFormat/>
    <w:pPr>
      <w:keepLines/>
      <w:keepNext/>
      <w:spacing w:before="280" w:after="290" w:line="376" w:lineRule="auto"/>
      <w:outlineLvl w:val="3"/>
    </w:pPr>
    <w:rPr>
      <w:rFonts w:ascii="Arial" w:hAnsi="Arial" w:eastAsia="黑体"/>
      <w:b/>
      <w:bCs/>
      <w:sz w:val="28"/>
      <w:szCs w:val="28"/>
    </w:rPr>
  </w:style>
  <w:style w:type="character" w:styleId="1189" w:customStyle="1">
    <w:name w:val="标题 4 字符"/>
    <w:link w:val="1188"/>
    <w:uiPriority w:val="0"/>
    <w:qFormat/>
    <w:rPr>
      <w:rFonts w:ascii="Arial" w:hAnsi="Arial" w:eastAsia="黑体" w:cs="Arial"/>
      <w:b/>
      <w:bCs/>
      <w:sz w:val="28"/>
      <w:szCs w:val="28"/>
    </w:rPr>
  </w:style>
  <w:style w:type="paragraph" w:styleId="1190" w:customStyle="1">
    <w:name w:val="标题 51"/>
    <w:basedOn w:val="906"/>
    <w:next w:val="1183"/>
    <w:link w:val="1191"/>
    <w:uiPriority w:val="0"/>
    <w:qFormat/>
    <w:pPr>
      <w:keepNext/>
      <w:outlineLvl w:val="4"/>
    </w:pPr>
    <w:rPr>
      <w:rFonts w:ascii="宋体"/>
      <w:color w:val="000000"/>
      <w:sz w:val="28"/>
      <w:szCs w:val="28"/>
    </w:rPr>
  </w:style>
  <w:style w:type="character" w:styleId="1191" w:customStyle="1">
    <w:name w:val="标题 5 字符"/>
    <w:link w:val="1190"/>
    <w:uiPriority w:val="0"/>
    <w:qFormat/>
    <w:rPr>
      <w:rFonts w:ascii="宋体" w:hAnsi="Times New Roman" w:eastAsia="宋体" w:cs="Times New Roman"/>
      <w:color w:val="000000"/>
      <w:sz w:val="28"/>
      <w:szCs w:val="28"/>
    </w:rPr>
  </w:style>
  <w:style w:type="paragraph" w:styleId="1192" w:customStyle="1">
    <w:name w:val="标题 61"/>
    <w:basedOn w:val="906"/>
    <w:next w:val="906"/>
    <w:link w:val="1193"/>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193" w:customStyle="1">
    <w:name w:val="标题 6 字符"/>
    <w:link w:val="1192"/>
    <w:uiPriority w:val="0"/>
    <w:qFormat/>
    <w:rPr>
      <w:rFonts w:ascii="Arial" w:hAnsi="Arial" w:eastAsia="黑体" w:cs="Times New Roman"/>
      <w:b/>
      <w:bCs/>
      <w:sz w:val="24"/>
      <w:szCs w:val="24"/>
    </w:rPr>
  </w:style>
  <w:style w:type="paragraph" w:styleId="1194" w:customStyle="1">
    <w:name w:val="标题 71"/>
    <w:basedOn w:val="906"/>
    <w:next w:val="906"/>
    <w:link w:val="1195"/>
    <w:uiPriority w:val="0"/>
    <w:qFormat/>
    <w:pPr>
      <w:numPr>
        <w:ilvl w:val="6"/>
        <w:numId w:val="1"/>
      </w:numPr>
      <w:keepLines/>
      <w:keepNext/>
      <w:spacing w:before="240" w:after="64" w:line="320" w:lineRule="auto"/>
      <w:outlineLvl w:val="6"/>
    </w:pPr>
    <w:rPr>
      <w:b/>
      <w:bCs/>
      <w:sz w:val="24"/>
      <w:szCs w:val="24"/>
    </w:rPr>
  </w:style>
  <w:style w:type="character" w:styleId="1195" w:customStyle="1">
    <w:name w:val="标题 7 字符"/>
    <w:link w:val="1194"/>
    <w:uiPriority w:val="0"/>
    <w:qFormat/>
    <w:rPr>
      <w:rFonts w:ascii="Times New Roman" w:hAnsi="Times New Roman" w:eastAsia="宋体" w:cs="Times New Roman"/>
      <w:b/>
      <w:bCs/>
      <w:sz w:val="24"/>
      <w:szCs w:val="24"/>
    </w:rPr>
  </w:style>
  <w:style w:type="paragraph" w:styleId="1196" w:customStyle="1">
    <w:name w:val="标题 81"/>
    <w:basedOn w:val="906"/>
    <w:next w:val="906"/>
    <w:link w:val="1197"/>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197" w:customStyle="1">
    <w:name w:val="标题 8 字符"/>
    <w:link w:val="1196"/>
    <w:uiPriority w:val="0"/>
    <w:qFormat/>
    <w:rPr>
      <w:rFonts w:ascii="Arial" w:hAnsi="Arial" w:eastAsia="黑体" w:cs="Times New Roman"/>
      <w:sz w:val="24"/>
      <w:szCs w:val="24"/>
    </w:rPr>
  </w:style>
  <w:style w:type="paragraph" w:styleId="1198" w:customStyle="1">
    <w:name w:val="标题 91"/>
    <w:basedOn w:val="906"/>
    <w:next w:val="906"/>
    <w:link w:val="1199"/>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1199" w:customStyle="1">
    <w:name w:val="标题 9 字符"/>
    <w:link w:val="1198"/>
    <w:uiPriority w:val="0"/>
    <w:qFormat/>
    <w:rPr>
      <w:rFonts w:ascii="Arial" w:hAnsi="Arial" w:eastAsia="黑体" w:cs="Times New Roman"/>
      <w:szCs w:val="21"/>
    </w:rPr>
  </w:style>
  <w:style w:type="table" w:styleId="1200" w:customStyle="1">
    <w:name w:val="普通表格1"/>
    <w:uiPriority w:val="99"/>
    <w:unhideWhenUsed/>
    <w:qFormat/>
    <w:tblPr>
      <w:tblCellMar>
        <w:left w:w="0" w:type="dxa"/>
        <w:top w:w="0" w:type="dxa"/>
        <w:right w:w="0" w:type="dxa"/>
        <w:bottom w:w="0" w:type="dxa"/>
      </w:tblCellMar>
    </w:tblPr>
  </w:style>
  <w:style w:type="paragraph" w:styleId="1201" w:customStyle="1">
    <w:name w:val="列表 31"/>
    <w:basedOn w:val="906"/>
    <w:uiPriority w:val="0"/>
    <w:qFormat/>
    <w:pPr>
      <w:ind w:left="100" w:hanging="200"/>
    </w:pPr>
    <w:rPr>
      <w:szCs w:val="21"/>
    </w:rPr>
  </w:style>
  <w:style w:type="paragraph" w:styleId="1202" w:customStyle="1">
    <w:name w:val="目录 71"/>
    <w:basedOn w:val="906"/>
    <w:next w:val="906"/>
    <w:uiPriority w:val="0"/>
    <w:semiHidden/>
    <w:qFormat/>
    <w:pPr>
      <w:ind w:left="1260"/>
      <w:jc w:val="left"/>
    </w:pPr>
    <w:rPr>
      <w:szCs w:val="21"/>
    </w:rPr>
  </w:style>
  <w:style w:type="paragraph" w:styleId="1203" w:customStyle="1">
    <w:name w:val="文档结构图1"/>
    <w:basedOn w:val="906"/>
    <w:link w:val="1204"/>
    <w:uiPriority w:val="0"/>
    <w:semiHidden/>
    <w:qFormat/>
    <w:pPr>
      <w:shd w:val="clear" w:color="auto" w:fill="000080"/>
    </w:pPr>
    <w:rPr>
      <w:sz w:val="20"/>
      <w:szCs w:val="21"/>
    </w:rPr>
  </w:style>
  <w:style w:type="character" w:styleId="1204" w:customStyle="1">
    <w:name w:val="文档结构图 字符"/>
    <w:link w:val="1203"/>
    <w:uiPriority w:val="0"/>
    <w:semiHidden/>
    <w:qFormat/>
    <w:rPr>
      <w:rFonts w:ascii="Times New Roman" w:hAnsi="Times New Roman" w:eastAsia="宋体" w:cs="Times New Roman"/>
      <w:szCs w:val="21"/>
      <w:shd w:val="clear" w:color="auto" w:fill="000080"/>
    </w:rPr>
  </w:style>
  <w:style w:type="paragraph" w:styleId="1205" w:customStyle="1">
    <w:name w:val="批注文字1"/>
    <w:basedOn w:val="906"/>
    <w:link w:val="1206"/>
    <w:uiPriority w:val="99"/>
    <w:unhideWhenUsed/>
    <w:qFormat/>
    <w:pPr>
      <w:jc w:val="left"/>
    </w:pPr>
  </w:style>
  <w:style w:type="character" w:styleId="1206" w:customStyle="1">
    <w:name w:val="批注文字 字符"/>
    <w:link w:val="1205"/>
    <w:uiPriority w:val="99"/>
    <w:semiHidden/>
    <w:qFormat/>
  </w:style>
  <w:style w:type="paragraph" w:styleId="1207" w:customStyle="1">
    <w:name w:val="正文文本 31"/>
    <w:basedOn w:val="906"/>
    <w:link w:val="1208"/>
    <w:uiPriority w:val="0"/>
    <w:qFormat/>
    <w:rPr>
      <w:rFonts w:ascii="仿宋_GB2312" w:hAnsi="Arial" w:eastAsia="仿宋_GB2312"/>
      <w:sz w:val="32"/>
      <w:szCs w:val="32"/>
    </w:rPr>
  </w:style>
  <w:style w:type="character" w:styleId="1208" w:customStyle="1">
    <w:name w:val="正文文本 3 字符"/>
    <w:link w:val="1207"/>
    <w:uiPriority w:val="0"/>
    <w:qFormat/>
    <w:rPr>
      <w:rFonts w:ascii="仿宋_GB2312" w:hAnsi="Arial" w:eastAsia="仿宋_GB2312" w:cs="Times New Roman"/>
      <w:sz w:val="32"/>
      <w:szCs w:val="32"/>
    </w:rPr>
  </w:style>
  <w:style w:type="character" w:styleId="1209" w:customStyle="1">
    <w:name w:val="正文文本缩进 字符"/>
    <w:link w:val="983"/>
    <w:uiPriority w:val="99"/>
    <w:semiHidden/>
    <w:qFormat/>
  </w:style>
  <w:style w:type="paragraph" w:styleId="1210" w:customStyle="1">
    <w:name w:val="列表 21"/>
    <w:basedOn w:val="906"/>
    <w:uiPriority w:val="0"/>
    <w:qFormat/>
    <w:pPr>
      <w:ind w:left="100" w:hanging="200"/>
    </w:pPr>
    <w:rPr>
      <w:szCs w:val="21"/>
    </w:rPr>
  </w:style>
  <w:style w:type="paragraph" w:styleId="1211" w:customStyle="1">
    <w:name w:val="目录 51"/>
    <w:basedOn w:val="906"/>
    <w:next w:val="906"/>
    <w:uiPriority w:val="0"/>
    <w:semiHidden/>
    <w:qFormat/>
    <w:pPr>
      <w:ind w:left="840"/>
      <w:jc w:val="left"/>
    </w:pPr>
    <w:rPr>
      <w:szCs w:val="21"/>
    </w:rPr>
  </w:style>
  <w:style w:type="paragraph" w:styleId="1212" w:customStyle="1">
    <w:name w:val="目录 31"/>
    <w:basedOn w:val="906"/>
    <w:next w:val="906"/>
    <w:uiPriority w:val="0"/>
    <w:semiHidden/>
    <w:qFormat/>
    <w:pPr>
      <w:ind w:left="420"/>
      <w:jc w:val="left"/>
    </w:pPr>
    <w:rPr>
      <w:i/>
      <w:iCs/>
      <w:szCs w:val="24"/>
    </w:rPr>
  </w:style>
  <w:style w:type="paragraph" w:styleId="1213" w:customStyle="1">
    <w:name w:val="纯文本1"/>
    <w:basedOn w:val="906"/>
    <w:link w:val="1214"/>
    <w:uiPriority w:val="0"/>
    <w:qFormat/>
    <w:rPr>
      <w:rFonts w:ascii="宋体" w:hAnsi="Courier New"/>
      <w:sz w:val="20"/>
      <w:szCs w:val="21"/>
    </w:rPr>
  </w:style>
  <w:style w:type="character" w:styleId="1214" w:customStyle="1">
    <w:name w:val="纯文本 字符"/>
    <w:link w:val="1213"/>
    <w:uiPriority w:val="0"/>
    <w:qFormat/>
    <w:rPr>
      <w:rFonts w:ascii="宋体" w:hAnsi="Courier New" w:eastAsia="宋体" w:cs="Courier New"/>
      <w:szCs w:val="21"/>
    </w:rPr>
  </w:style>
  <w:style w:type="paragraph" w:styleId="1215" w:customStyle="1">
    <w:name w:val="目录 81"/>
    <w:basedOn w:val="906"/>
    <w:next w:val="906"/>
    <w:uiPriority w:val="0"/>
    <w:semiHidden/>
    <w:qFormat/>
    <w:pPr>
      <w:ind w:left="1470"/>
      <w:jc w:val="left"/>
    </w:pPr>
    <w:rPr>
      <w:szCs w:val="21"/>
    </w:rPr>
  </w:style>
  <w:style w:type="paragraph" w:styleId="1216" w:customStyle="1">
    <w:name w:val="日期1"/>
    <w:basedOn w:val="906"/>
    <w:next w:val="906"/>
    <w:link w:val="1217"/>
    <w:uiPriority w:val="0"/>
    <w:qFormat/>
    <w:rPr>
      <w:sz w:val="24"/>
      <w:szCs w:val="24"/>
    </w:rPr>
  </w:style>
  <w:style w:type="character" w:styleId="1217" w:customStyle="1">
    <w:name w:val="日期 字符"/>
    <w:link w:val="1216"/>
    <w:uiPriority w:val="0"/>
    <w:qFormat/>
    <w:rPr>
      <w:rFonts w:ascii="Times New Roman" w:hAnsi="Times New Roman" w:eastAsia="宋体" w:cs="Times New Roman"/>
      <w:sz w:val="24"/>
      <w:szCs w:val="24"/>
    </w:rPr>
  </w:style>
  <w:style w:type="paragraph" w:styleId="1218" w:customStyle="1">
    <w:name w:val="正文文本缩进 21"/>
    <w:basedOn w:val="906"/>
    <w:link w:val="1219"/>
    <w:uiPriority w:val="0"/>
    <w:qFormat/>
    <w:pPr>
      <w:ind w:left="630" w:firstLine="645"/>
    </w:pPr>
    <w:rPr>
      <w:rFonts w:ascii="Arial" w:hAnsi="Arial" w:eastAsia="仿宋_GB2312"/>
      <w:sz w:val="32"/>
      <w:szCs w:val="32"/>
    </w:rPr>
  </w:style>
  <w:style w:type="character" w:styleId="1219" w:customStyle="1">
    <w:name w:val="正文文本缩进 2 字符"/>
    <w:link w:val="1218"/>
    <w:uiPriority w:val="0"/>
    <w:qFormat/>
    <w:rPr>
      <w:rFonts w:ascii="Arial" w:hAnsi="Arial" w:eastAsia="仿宋_GB2312" w:cs="Arial"/>
      <w:sz w:val="32"/>
      <w:szCs w:val="32"/>
    </w:rPr>
  </w:style>
  <w:style w:type="paragraph" w:styleId="1220" w:customStyle="1">
    <w:name w:val="批注框文本1"/>
    <w:basedOn w:val="906"/>
    <w:link w:val="1221"/>
    <w:uiPriority w:val="0"/>
    <w:semiHidden/>
    <w:qFormat/>
    <w:rPr>
      <w:sz w:val="18"/>
      <w:szCs w:val="18"/>
    </w:rPr>
  </w:style>
  <w:style w:type="character" w:styleId="1221" w:customStyle="1">
    <w:name w:val="批注框文本 字符"/>
    <w:link w:val="1220"/>
    <w:uiPriority w:val="0"/>
    <w:semiHidden/>
    <w:qFormat/>
    <w:rPr>
      <w:rFonts w:ascii="Times New Roman" w:hAnsi="Times New Roman" w:eastAsia="宋体" w:cs="Times New Roman"/>
      <w:sz w:val="18"/>
      <w:szCs w:val="18"/>
    </w:rPr>
  </w:style>
  <w:style w:type="paragraph" w:styleId="1222" w:customStyle="1">
    <w:name w:val="页脚1"/>
    <w:basedOn w:val="906"/>
    <w:link w:val="1223"/>
    <w:uiPriority w:val="0"/>
    <w:qFormat/>
    <w:pPr>
      <w:jc w:val="left"/>
      <w:tabs>
        <w:tab w:val="center" w:pos="4153" w:leader="none"/>
        <w:tab w:val="right" w:pos="8306" w:leader="none"/>
      </w:tabs>
    </w:pPr>
    <w:rPr>
      <w:sz w:val="18"/>
      <w:szCs w:val="18"/>
    </w:rPr>
  </w:style>
  <w:style w:type="character" w:styleId="1223" w:customStyle="1">
    <w:name w:val="页脚 字符"/>
    <w:link w:val="1222"/>
    <w:uiPriority w:val="0"/>
    <w:qFormat/>
    <w:rPr>
      <w:rFonts w:ascii="Times New Roman" w:hAnsi="Times New Roman" w:eastAsia="宋体" w:cs="Times New Roman"/>
      <w:sz w:val="18"/>
      <w:szCs w:val="18"/>
    </w:rPr>
  </w:style>
  <w:style w:type="paragraph" w:styleId="1224" w:customStyle="1">
    <w:name w:val="页眉1"/>
    <w:basedOn w:val="906"/>
    <w:link w:val="1225"/>
    <w:uiPriority w:val="0"/>
    <w:qFormat/>
    <w:pPr>
      <w:jc w:val="center"/>
      <w:tabs>
        <w:tab w:val="center" w:pos="4153" w:leader="none"/>
        <w:tab w:val="right" w:pos="8306" w:leader="none"/>
      </w:tabs>
      <w:pBdr>
        <w:bottom w:val="single" w:color="000000" w:sz="6" w:space="1"/>
      </w:pBdr>
    </w:pPr>
    <w:rPr>
      <w:sz w:val="18"/>
      <w:szCs w:val="18"/>
    </w:rPr>
  </w:style>
  <w:style w:type="character" w:styleId="1225" w:customStyle="1">
    <w:name w:val="页眉 字符"/>
    <w:link w:val="1224"/>
    <w:uiPriority w:val="0"/>
    <w:qFormat/>
    <w:rPr>
      <w:rFonts w:ascii="Times New Roman" w:hAnsi="Times New Roman" w:eastAsia="宋体" w:cs="Times New Roman"/>
      <w:sz w:val="18"/>
      <w:szCs w:val="18"/>
    </w:rPr>
  </w:style>
  <w:style w:type="paragraph" w:styleId="1226" w:customStyle="1">
    <w:name w:val="目录 11"/>
    <w:basedOn w:val="906"/>
    <w:next w:val="906"/>
    <w:uiPriority w:val="0"/>
    <w:semiHidden/>
    <w:qFormat/>
    <w:pPr>
      <w:jc w:val="left"/>
      <w:spacing w:before="120" w:after="120" w:line="400" w:lineRule="exact"/>
      <w:tabs>
        <w:tab w:val="right" w:pos="8720" w:leader="dot"/>
      </w:tabs>
    </w:pPr>
    <w:rPr>
      <w:rFonts w:ascii="宋体" w:hAnsi="宋体"/>
      <w:caps/>
      <w:sz w:val="24"/>
      <w:szCs w:val="24"/>
    </w:rPr>
  </w:style>
  <w:style w:type="paragraph" w:styleId="1227" w:customStyle="1">
    <w:name w:val="目录 41"/>
    <w:basedOn w:val="906"/>
    <w:next w:val="906"/>
    <w:uiPriority w:val="0"/>
    <w:semiHidden/>
    <w:qFormat/>
    <w:pPr>
      <w:ind w:left="630"/>
      <w:jc w:val="left"/>
    </w:pPr>
    <w:rPr>
      <w:szCs w:val="21"/>
    </w:rPr>
  </w:style>
  <w:style w:type="paragraph" w:styleId="1228" w:customStyle="1">
    <w:name w:val="列表1"/>
    <w:basedOn w:val="906"/>
    <w:uiPriority w:val="0"/>
    <w:qFormat/>
    <w:pPr>
      <w:ind w:left="200" w:hanging="200"/>
    </w:pPr>
    <w:rPr>
      <w:szCs w:val="21"/>
    </w:rPr>
  </w:style>
  <w:style w:type="paragraph" w:styleId="1229" w:customStyle="1">
    <w:name w:val="目录 61"/>
    <w:basedOn w:val="906"/>
    <w:next w:val="906"/>
    <w:uiPriority w:val="0"/>
    <w:semiHidden/>
    <w:qFormat/>
    <w:pPr>
      <w:ind w:left="1050"/>
      <w:jc w:val="left"/>
    </w:pPr>
    <w:rPr>
      <w:szCs w:val="21"/>
    </w:rPr>
  </w:style>
  <w:style w:type="paragraph" w:styleId="1230" w:customStyle="1">
    <w:name w:val="正文文本缩进 31"/>
    <w:basedOn w:val="906"/>
    <w:link w:val="1231"/>
    <w:uiPriority w:val="0"/>
    <w:qFormat/>
    <w:pPr>
      <w:ind w:left="645" w:firstLine="645"/>
    </w:pPr>
    <w:rPr>
      <w:rFonts w:ascii="Arial" w:hAnsi="Arial" w:eastAsia="仿宋_GB2312"/>
      <w:color w:val="ffff00"/>
      <w:sz w:val="32"/>
      <w:szCs w:val="32"/>
    </w:rPr>
  </w:style>
  <w:style w:type="character" w:styleId="1231" w:customStyle="1">
    <w:name w:val="正文文本缩进 3 字符"/>
    <w:link w:val="1230"/>
    <w:uiPriority w:val="0"/>
    <w:qFormat/>
    <w:rPr>
      <w:rFonts w:ascii="Arial" w:hAnsi="Arial" w:eastAsia="仿宋_GB2312" w:cs="Arial"/>
      <w:color w:val="ffff00"/>
      <w:sz w:val="32"/>
      <w:szCs w:val="32"/>
    </w:rPr>
  </w:style>
  <w:style w:type="paragraph" w:styleId="1232" w:customStyle="1">
    <w:name w:val="图表目录1"/>
    <w:basedOn w:val="906"/>
    <w:next w:val="906"/>
    <w:uiPriority w:val="0"/>
    <w:semiHidden/>
    <w:qFormat/>
    <w:pPr>
      <w:ind w:left="840" w:hanging="420"/>
    </w:pPr>
    <w:rPr>
      <w:szCs w:val="21"/>
    </w:rPr>
  </w:style>
  <w:style w:type="paragraph" w:styleId="1233" w:customStyle="1">
    <w:name w:val="目录 21"/>
    <w:basedOn w:val="906"/>
    <w:next w:val="906"/>
    <w:uiPriority w:val="0"/>
    <w:semiHidden/>
    <w:qFormat/>
    <w:pPr>
      <w:ind w:left="210"/>
      <w:jc w:val="left"/>
    </w:pPr>
    <w:rPr>
      <w:smallCaps/>
      <w:szCs w:val="24"/>
    </w:rPr>
  </w:style>
  <w:style w:type="paragraph" w:styleId="1234" w:customStyle="1">
    <w:name w:val="目录 91"/>
    <w:basedOn w:val="906"/>
    <w:next w:val="906"/>
    <w:uiPriority w:val="0"/>
    <w:semiHidden/>
    <w:qFormat/>
    <w:pPr>
      <w:ind w:left="1680"/>
      <w:jc w:val="left"/>
    </w:pPr>
    <w:rPr>
      <w:szCs w:val="21"/>
    </w:rPr>
  </w:style>
  <w:style w:type="paragraph" w:styleId="1235" w:customStyle="1">
    <w:name w:val="正文文本 21"/>
    <w:basedOn w:val="906"/>
    <w:link w:val="1236"/>
    <w:uiPriority w:val="0"/>
    <w:qFormat/>
    <w:pPr>
      <w:jc w:val="center"/>
      <w:widowControl/>
    </w:pPr>
    <w:rPr>
      <w:rFonts w:ascii="楷体_GB2312" w:eastAsia="楷体_GB2312"/>
      <w:sz w:val="28"/>
      <w:szCs w:val="28"/>
    </w:rPr>
  </w:style>
  <w:style w:type="character" w:styleId="1236" w:customStyle="1">
    <w:name w:val="正文文本 2 字符"/>
    <w:link w:val="1235"/>
    <w:uiPriority w:val="0"/>
    <w:qFormat/>
    <w:rPr>
      <w:rFonts w:ascii="楷体_GB2312" w:hAnsi="Times New Roman" w:eastAsia="楷体_GB2312" w:cs="Times New Roman"/>
      <w:sz w:val="28"/>
      <w:szCs w:val="28"/>
    </w:rPr>
  </w:style>
  <w:style w:type="paragraph" w:styleId="1237" w:customStyle="1">
    <w:name w:val="普通(网站)1"/>
    <w:basedOn w:val="906"/>
    <w:uiPriority w:val="99"/>
    <w:qFormat/>
    <w:pPr>
      <w:jc w:val="left"/>
      <w:spacing w:before="100" w:beforeAutospacing="1" w:after="100" w:afterAutospacing="1"/>
      <w:widowControl/>
    </w:pPr>
    <w:rPr>
      <w:rFonts w:ascii="宋体" w:hAnsi="宋体" w:cs="宋体"/>
      <w:sz w:val="24"/>
      <w:szCs w:val="24"/>
    </w:rPr>
  </w:style>
  <w:style w:type="paragraph" w:styleId="1238" w:customStyle="1">
    <w:name w:val="索引 11"/>
    <w:basedOn w:val="906"/>
    <w:next w:val="906"/>
    <w:uiPriority w:val="0"/>
    <w:semiHidden/>
    <w:qFormat/>
    <w:pPr>
      <w:spacing w:line="240" w:lineRule="atLeast"/>
    </w:pPr>
    <w:rPr>
      <w:b/>
      <w:bCs/>
      <w:szCs w:val="21"/>
    </w:rPr>
  </w:style>
  <w:style w:type="paragraph" w:styleId="1239" w:customStyle="1">
    <w:name w:val="批注主题1"/>
    <w:basedOn w:val="1205"/>
    <w:next w:val="1205"/>
    <w:link w:val="1240"/>
    <w:uiPriority w:val="0"/>
    <w:semiHidden/>
    <w:qFormat/>
    <w:rPr>
      <w:b/>
      <w:bCs/>
      <w:sz w:val="20"/>
      <w:szCs w:val="21"/>
    </w:rPr>
  </w:style>
  <w:style w:type="character" w:styleId="1240" w:customStyle="1">
    <w:name w:val="批注主题 字符"/>
    <w:link w:val="1239"/>
    <w:uiPriority w:val="0"/>
    <w:semiHidden/>
    <w:qFormat/>
    <w:rPr>
      <w:rFonts w:ascii="Times New Roman" w:hAnsi="Times New Roman" w:eastAsia="宋体" w:cs="Times New Roman"/>
      <w:b/>
      <w:bCs/>
      <w:szCs w:val="21"/>
    </w:rPr>
  </w:style>
  <w:style w:type="paragraph" w:styleId="1241" w:customStyle="1">
    <w:name w:val="正文首行缩进1"/>
    <w:basedOn w:val="906"/>
    <w:link w:val="1242"/>
    <w:uiPriority w:val="0"/>
    <w:qFormat/>
    <w:pPr>
      <w:ind w:firstLine="200"/>
      <w:spacing w:line="360" w:lineRule="auto"/>
    </w:pPr>
    <w:rPr>
      <w:rFonts w:ascii="仿宋_GB2312" w:eastAsia="仿宋_GB2312"/>
      <w:sz w:val="30"/>
      <w:szCs w:val="30"/>
    </w:rPr>
  </w:style>
  <w:style w:type="character" w:styleId="1242" w:customStyle="1">
    <w:name w:val="正文首行缩进 字符"/>
    <w:link w:val="1241"/>
    <w:uiPriority w:val="0"/>
    <w:qFormat/>
    <w:rPr>
      <w:rFonts w:ascii="仿宋_GB2312" w:hAnsi="Times New Roman" w:eastAsia="仿宋_GB2312" w:cs="Times New Roman"/>
      <w:sz w:val="30"/>
      <w:szCs w:val="30"/>
    </w:rPr>
  </w:style>
  <w:style w:type="character" w:styleId="1243" w:customStyle="1">
    <w:name w:val="正文首行缩进 2 字符"/>
    <w:link w:val="984"/>
    <w:uiPriority w:val="0"/>
    <w:qFormat/>
    <w:rPr>
      <w:rFonts w:ascii="宋体" w:hAnsi="宋体" w:eastAsia="宋体" w:cs="Times New Roman"/>
      <w:szCs w:val="20"/>
    </w:rPr>
  </w:style>
  <w:style w:type="table" w:styleId="1244" w:customStyle="1">
    <w:name w:val="网格型1"/>
    <w:basedOn w:val="1200"/>
    <w:uiPriority w:val="0"/>
    <w:qFormat/>
    <w:pPr>
      <w:jc w:val="both"/>
      <w:widowControl w:val="off"/>
    </w:pPr>
    <w:tblPr>
      <w:tblCellMar>
        <w:left w:w="0" w:type="dxa"/>
        <w:top w:w="0" w:type="dxa"/>
        <w:right w:w="0" w:type="dxa"/>
        <w:bottom w:w="0" w:type="dxa"/>
      </w:tblCellMar>
    </w:tblPr>
  </w:style>
  <w:style w:type="character" w:styleId="1245" w:customStyle="1">
    <w:name w:val="要点1"/>
    <w:uiPriority w:val="0"/>
    <w:qFormat/>
    <w:rPr>
      <w:b/>
      <w:bCs/>
    </w:rPr>
  </w:style>
  <w:style w:type="character" w:styleId="1246" w:customStyle="1">
    <w:name w:val="页码1"/>
    <w:uiPriority w:val="0"/>
    <w:qFormat/>
  </w:style>
  <w:style w:type="character" w:styleId="1247" w:customStyle="1">
    <w:name w:val="已访问的超链接1"/>
    <w:uiPriority w:val="0"/>
    <w:qFormat/>
    <w:rPr>
      <w:color w:val="800080"/>
      <w:u w:val="single"/>
    </w:rPr>
  </w:style>
  <w:style w:type="character" w:styleId="1248" w:customStyle="1">
    <w:name w:val="超链接1"/>
    <w:uiPriority w:val="0"/>
    <w:qFormat/>
    <w:rPr>
      <w:color w:val="0000ff"/>
      <w:u w:val="single"/>
    </w:rPr>
  </w:style>
  <w:style w:type="character" w:styleId="1249" w:customStyle="1">
    <w:name w:val="批注引用1"/>
    <w:uiPriority w:val="0"/>
    <w:semiHidden/>
    <w:qFormat/>
    <w:rPr>
      <w:sz w:val="21"/>
      <w:szCs w:val="21"/>
    </w:rPr>
  </w:style>
  <w:style w:type="character" w:styleId="1250" w:customStyle="1">
    <w:name w:val="font5 Char"/>
    <w:uiPriority w:val="0"/>
    <w:qFormat/>
    <w:rPr>
      <w:rFonts w:ascii="宋体" w:hAnsi="宋体" w:eastAsia="宋体"/>
      <w:sz w:val="28"/>
      <w:szCs w:val="28"/>
      <w:lang w:val="en-US" w:eastAsia="zh-CN" w:bidi="ar-SA"/>
    </w:rPr>
  </w:style>
  <w:style w:type="character" w:styleId="1251" w:customStyle="1">
    <w:name w:val="二级目录 Char"/>
    <w:link w:val="1252"/>
    <w:uiPriority w:val="0"/>
    <w:qFormat/>
    <w:rPr>
      <w:b/>
      <w:sz w:val="30"/>
      <w:szCs w:val="28"/>
    </w:rPr>
  </w:style>
  <w:style w:type="paragraph" w:styleId="1252" w:customStyle="1">
    <w:name w:val="二级目录"/>
    <w:next w:val="906"/>
    <w:link w:val="1251"/>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53" w:customStyle="1">
    <w:name w:val="列出段落 Char"/>
    <w:link w:val="1254"/>
    <w:uiPriority w:val="0"/>
    <w:qFormat/>
    <w:rPr>
      <w:rFonts w:ascii="Calibri" w:hAnsi="Calibri"/>
      <w:sz w:val="24"/>
      <w:szCs w:val="24"/>
      <w:lang w:eastAsia="en-US" w:bidi="en-US"/>
    </w:rPr>
  </w:style>
  <w:style w:type="paragraph" w:styleId="1254" w:customStyle="1">
    <w:name w:val="列出段落11"/>
    <w:basedOn w:val="906"/>
    <w:link w:val="1253"/>
    <w:uiPriority w:val="0"/>
    <w:qFormat/>
    <w:pPr>
      <w:contextualSpacing/>
      <w:ind w:left="720"/>
      <w:jc w:val="left"/>
      <w:widowControl/>
    </w:pPr>
    <w:rPr>
      <w:rFonts w:ascii="Calibri" w:hAnsi="Calibri"/>
      <w:sz w:val="24"/>
      <w:szCs w:val="24"/>
      <w:lang w:eastAsia="en-US" w:bidi="en-US"/>
    </w:rPr>
  </w:style>
  <w:style w:type="paragraph" w:styleId="1255" w:customStyle="1">
    <w:name w:val="Body Text(ch)"/>
    <w:basedOn w:val="906"/>
    <w:next w:val="1030"/>
    <w:uiPriority w:val="0"/>
    <w:qFormat/>
    <w:pPr>
      <w:spacing w:after="120"/>
    </w:pPr>
    <w:rPr>
      <w:rFonts w:ascii="宋体" w:hAnsi="Arial"/>
      <w:bCs/>
      <w:iCs/>
      <w:szCs w:val="24"/>
    </w:rPr>
  </w:style>
  <w:style w:type="paragraph" w:styleId="1256" w:customStyle="1">
    <w:name w:val="xl27"/>
    <w:basedOn w:val="9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57" w:customStyle="1">
    <w:name w:val="xl26"/>
    <w:basedOn w:val="9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58" w:customStyle="1">
    <w:name w:val="Char"/>
    <w:basedOn w:val="906"/>
    <w:uiPriority w:val="0"/>
    <w:qFormat/>
    <w:pPr>
      <w:ind w:firstLine="200"/>
      <w:tabs>
        <w:tab w:val="left" w:pos="360" w:leader="none"/>
      </w:tabs>
    </w:pPr>
    <w:rPr>
      <w:sz w:val="28"/>
      <w:szCs w:val="30"/>
    </w:rPr>
  </w:style>
  <w:style w:type="paragraph" w:styleId="1259" w:customStyle="1">
    <w:name w:val="Char1"/>
    <w:basedOn w:val="1203"/>
    <w:uiPriority w:val="0"/>
    <w:qFormat/>
    <w:rPr>
      <w:rFonts w:ascii="Tahoma" w:hAnsi="Tahoma"/>
      <w:sz w:val="24"/>
      <w:szCs w:val="24"/>
    </w:rPr>
  </w:style>
  <w:style w:type="paragraph" w:styleId="1260" w:customStyle="1">
    <w:name w:val="普通正文"/>
    <w:basedOn w:val="906"/>
    <w:uiPriority w:val="0"/>
    <w:qFormat/>
    <w:pPr>
      <w:ind w:firstLine="480"/>
      <w:jc w:val="left"/>
      <w:spacing w:before="120" w:after="120" w:line="360" w:lineRule="auto"/>
    </w:pPr>
    <w:rPr>
      <w:rFonts w:ascii="Arial" w:hAnsi="Arial"/>
      <w:sz w:val="24"/>
      <w:szCs w:val="24"/>
    </w:rPr>
  </w:style>
  <w:style w:type="paragraph" w:styleId="1261" w:customStyle="1">
    <w:name w:val="table_lines"/>
    <w:basedOn w:val="906"/>
    <w:uiPriority w:val="0"/>
    <w:qFormat/>
    <w:pPr>
      <w:jc w:val="left"/>
      <w:widowControl/>
    </w:pPr>
    <w:rPr>
      <w:sz w:val="20"/>
      <w:szCs w:val="20"/>
      <w:lang w:val="de-DE" w:eastAsia="de-DE"/>
    </w:rPr>
  </w:style>
  <w:style w:type="paragraph" w:styleId="126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263" w:customStyle="1">
    <w:name w:val="font7"/>
    <w:basedOn w:val="906"/>
    <w:uiPriority w:val="0"/>
    <w:qFormat/>
    <w:pPr>
      <w:jc w:val="left"/>
      <w:spacing w:before="100" w:beforeAutospacing="1" w:after="100" w:afterAutospacing="1"/>
      <w:widowControl/>
    </w:pPr>
    <w:rPr>
      <w:rFonts w:hint="eastAsia" w:ascii="宋体" w:hAnsi="宋体"/>
      <w:sz w:val="18"/>
      <w:szCs w:val="18"/>
    </w:rPr>
  </w:style>
  <w:style w:type="paragraph" w:styleId="1264" w:customStyle="1">
    <w:name w:val="Char Char Char Char"/>
    <w:basedOn w:val="1203"/>
    <w:uiPriority w:val="0"/>
    <w:qFormat/>
    <w:pPr>
      <w:spacing w:line="360" w:lineRule="auto"/>
    </w:pPr>
    <w:rPr>
      <w:rFonts w:ascii="Tahoma" w:hAnsi="Tahoma"/>
      <w:sz w:val="24"/>
      <w:szCs w:val="24"/>
    </w:rPr>
  </w:style>
  <w:style w:type="paragraph" w:styleId="1265" w:customStyle="1">
    <w:name w:val="列出段落2"/>
    <w:basedOn w:val="906"/>
    <w:uiPriority w:val="0"/>
    <w:qFormat/>
    <w:pPr>
      <w:contextualSpacing/>
      <w:ind w:left="720"/>
      <w:jc w:val="left"/>
      <w:widowControl/>
    </w:pPr>
    <w:rPr>
      <w:rFonts w:ascii="Calibri" w:hAnsi="Calibri"/>
      <w:sz w:val="24"/>
      <w:szCs w:val="24"/>
      <w:lang w:eastAsia="en-US" w:bidi="en-US"/>
    </w:rPr>
  </w:style>
  <w:style w:type="paragraph" w:styleId="1266" w:customStyle="1">
    <w:name w:val="4"/>
    <w:basedOn w:val="906"/>
    <w:next w:val="1230"/>
    <w:uiPriority w:val="0"/>
    <w:qFormat/>
    <w:pPr>
      <w:ind w:firstLine="420"/>
      <w:spacing w:line="360" w:lineRule="auto"/>
    </w:pPr>
    <w:rPr>
      <w:color w:val="ff0000"/>
      <w:sz w:val="24"/>
      <w:szCs w:val="24"/>
    </w:rPr>
  </w:style>
  <w:style w:type="paragraph" w:styleId="1267" w:customStyle="1">
    <w:name w:val="普通 (Web)"/>
    <w:basedOn w:val="906"/>
    <w:uiPriority w:val="0"/>
    <w:qFormat/>
    <w:pPr>
      <w:jc w:val="left"/>
      <w:spacing w:before="100" w:beforeAutospacing="1" w:after="100" w:afterAutospacing="1"/>
      <w:widowControl/>
    </w:pPr>
    <w:rPr>
      <w:rFonts w:ascii="宋体" w:hAnsi="宋体"/>
      <w:sz w:val="24"/>
      <w:szCs w:val="24"/>
    </w:rPr>
  </w:style>
  <w:style w:type="paragraph" w:styleId="1268" w:customStyle="1">
    <w:name w:val="Char Char Char Char Char Char Char Char Char Char"/>
    <w:basedOn w:val="906"/>
    <w:uiPriority w:val="0"/>
    <w:qFormat/>
    <w:pPr>
      <w:spacing w:line="360" w:lineRule="auto"/>
    </w:pPr>
    <w:rPr>
      <w:sz w:val="24"/>
      <w:szCs w:val="20"/>
    </w:rPr>
  </w:style>
  <w:style w:type="paragraph" w:styleId="1269" w:customStyle="1">
    <w:name w:val="样式1"/>
    <w:basedOn w:val="906"/>
    <w:uiPriority w:val="0"/>
    <w:qFormat/>
    <w:pPr>
      <w:numPr>
        <w:ilvl w:val="0"/>
        <w:numId w:val="3"/>
      </w:numPr>
    </w:pPr>
    <w:rPr>
      <w:rFonts w:ascii="宋体" w:hAnsi="宋体"/>
      <w:szCs w:val="21"/>
    </w:rPr>
  </w:style>
  <w:style w:type="paragraph" w:styleId="1270" w:customStyle="1">
    <w:name w:val="font6"/>
    <w:basedOn w:val="906"/>
    <w:uiPriority w:val="0"/>
    <w:qFormat/>
    <w:pPr>
      <w:jc w:val="left"/>
      <w:spacing w:before="100" w:beforeAutospacing="1" w:after="100" w:afterAutospacing="1"/>
      <w:widowControl/>
    </w:pPr>
    <w:rPr>
      <w:rFonts w:hint="eastAsia" w:ascii="宋体" w:hAnsi="宋体"/>
      <w:sz w:val="28"/>
      <w:szCs w:val="28"/>
      <w:u w:val="single"/>
    </w:rPr>
  </w:style>
  <w:style w:type="paragraph" w:styleId="1271" w:customStyle="1">
    <w:name w:val="xl25"/>
    <w:basedOn w:val="90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72" w:customStyle="1">
    <w:name w:val="图标"/>
    <w:basedOn w:val="906"/>
    <w:next w:val="90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73" w:customStyle="1">
    <w:name w:val="标题3"/>
    <w:basedOn w:val="906"/>
    <w:next w:val="906"/>
    <w:uiPriority w:val="0"/>
    <w:qFormat/>
    <w:pPr>
      <w:ind w:firstLine="624"/>
      <w:spacing w:line="590" w:lineRule="atLeast"/>
    </w:pPr>
    <w:rPr>
      <w:rFonts w:ascii="方正黑体_GBK" w:eastAsia="方正黑体_GBK"/>
      <w:sz w:val="32"/>
      <w:szCs w:val="32"/>
    </w:rPr>
  </w:style>
  <w:style w:type="paragraph" w:styleId="1274" w:customStyle="1">
    <w:name w:val="xl24"/>
    <w:basedOn w:val="9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75" w:customStyle="1">
    <w:name w:val="xl29"/>
    <w:basedOn w:val="90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76" w:customStyle="1">
    <w:name w:val="Char Char Char Char Char Char Char Char"/>
    <w:basedOn w:val="906"/>
    <w:uiPriority w:val="0"/>
    <w:qFormat/>
    <w:pPr>
      <w:jc w:val="left"/>
      <w:spacing w:after="160" w:line="240" w:lineRule="exact"/>
      <w:widowControl/>
    </w:pPr>
    <w:rPr>
      <w:rFonts w:ascii="Verdana" w:hAnsi="Verdana"/>
      <w:sz w:val="20"/>
      <w:szCs w:val="20"/>
      <w:lang w:eastAsia="en-US"/>
    </w:rPr>
  </w:style>
  <w:style w:type="paragraph" w:styleId="1277" w:customStyle="1">
    <w:name w:val="xl28"/>
    <w:basedOn w:val="90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78" w:customStyle="1">
    <w:name w:val="Char Char Char Char Char Char Char Char1"/>
    <w:basedOn w:val="906"/>
    <w:uiPriority w:val="0"/>
    <w:qFormat/>
    <w:pPr>
      <w:jc w:val="left"/>
      <w:spacing w:after="160" w:line="240" w:lineRule="exact"/>
      <w:widowControl/>
    </w:pPr>
    <w:rPr>
      <w:rFonts w:ascii="Verdana" w:hAnsi="Verdana"/>
      <w:sz w:val="20"/>
      <w:szCs w:val="20"/>
      <w:lang w:eastAsia="en-US"/>
    </w:rPr>
  </w:style>
  <w:style w:type="paragraph" w:styleId="1279" w:customStyle="1">
    <w:name w:val="xl30"/>
    <w:basedOn w:val="906"/>
    <w:uiPriority w:val="0"/>
    <w:qFormat/>
    <w:pPr>
      <w:jc w:val="center"/>
      <w:spacing w:before="100" w:beforeAutospacing="1" w:after="100" w:afterAutospacing="1"/>
      <w:widowControl/>
    </w:pPr>
    <w:rPr>
      <w:rFonts w:ascii="宋体" w:hAnsi="宋体"/>
      <w:b/>
      <w:bCs/>
      <w:sz w:val="36"/>
      <w:szCs w:val="36"/>
    </w:rPr>
  </w:style>
  <w:style w:type="paragraph" w:styleId="1280" w:customStyle="1">
    <w:name w:val="Char Char Char Char1"/>
    <w:basedOn w:val="1203"/>
    <w:uiPriority w:val="0"/>
    <w:qFormat/>
    <w:pPr>
      <w:spacing w:line="360" w:lineRule="auto"/>
    </w:pPr>
    <w:rPr>
      <w:rFonts w:ascii="Tahoma" w:hAnsi="Tahoma"/>
      <w:sz w:val="24"/>
      <w:szCs w:val="24"/>
    </w:rPr>
  </w:style>
  <w:style w:type="paragraph" w:styleId="1281" w:customStyle="1">
    <w:name w:val="table_1stline"/>
    <w:basedOn w:val="906"/>
    <w:uiPriority w:val="0"/>
    <w:qFormat/>
    <w:pPr>
      <w:jc w:val="left"/>
      <w:spacing w:before="120"/>
      <w:widowControl/>
    </w:pPr>
    <w:rPr>
      <w:bCs/>
      <w:sz w:val="20"/>
      <w:szCs w:val="20"/>
      <w:lang w:val="de-DE" w:eastAsia="de-DE"/>
    </w:rPr>
  </w:style>
  <w:style w:type="paragraph" w:styleId="1282" w:customStyle="1">
    <w:name w:val="font5"/>
    <w:basedOn w:val="906"/>
    <w:uiPriority w:val="0"/>
    <w:qFormat/>
    <w:pPr>
      <w:jc w:val="left"/>
      <w:spacing w:before="100" w:beforeAutospacing="1" w:after="100" w:afterAutospacing="1"/>
      <w:widowControl/>
    </w:pPr>
    <w:rPr>
      <w:rFonts w:hint="eastAsia" w:ascii="宋体" w:hAnsi="宋体"/>
      <w:sz w:val="28"/>
      <w:szCs w:val="28"/>
    </w:rPr>
  </w:style>
  <w:style w:type="paragraph" w:styleId="1283" w:customStyle="1">
    <w:name w:val="标题1"/>
    <w:basedOn w:val="906"/>
    <w:next w:val="90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84"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285" w:customStyle="1">
    <w:name w:val="无间隔1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286" w:customStyle="1">
    <w:name w:val="Table Normal"/>
    <w:uiPriority w:val="2"/>
    <w:qFormat/>
    <w:tblPr>
      <w:tblCellMar>
        <w:left w:w="0" w:type="dxa"/>
        <w:top w:w="0" w:type="dxa"/>
        <w:right w:w="0" w:type="dxa"/>
        <w:bottom w:w="0" w:type="dxa"/>
      </w:tblCellMar>
    </w:tblPr>
  </w:style>
  <w:style w:type="paragraph" w:styleId="1287" w:customStyle="1">
    <w:name w:val="正文文本12"/>
    <w:basedOn w:val="906"/>
    <w:uiPriority w:val="1"/>
    <w:qFormat/>
    <w:pPr>
      <w:ind w:left="120"/>
    </w:pPr>
    <w:rPr>
      <w:rFonts w:ascii="宋体" w:hAnsi="宋体" w:cs="宋体"/>
      <w:szCs w:val="21"/>
      <w:lang w:val="zh-CN" w:bidi="zh-CN"/>
    </w:rPr>
  </w:style>
  <w:style w:type="paragraph" w:styleId="1288" w:customStyle="1">
    <w:name w:val="正文文本 211"/>
    <w:basedOn w:val="906"/>
    <w:uiPriority w:val="99"/>
    <w:qFormat/>
    <w:pPr>
      <w:jc w:val="center"/>
    </w:pPr>
    <w:rPr>
      <w:b/>
      <w:bCs/>
      <w:sz w:val="20"/>
      <w:szCs w:val="20"/>
    </w:rPr>
  </w:style>
  <w:style w:type="paragraph" w:styleId="1289" w:customStyle="1">
    <w:name w:val="正文文本1"/>
    <w:basedOn w:val="906"/>
    <w:next w:val="906"/>
    <w:uiPriority w:val="0"/>
    <w:semiHidden/>
    <w:qFormat/>
    <w:rPr>
      <w:rFonts w:ascii="Arial" w:hAnsi="Arial" w:eastAsia="Arial" w:cs="Arial"/>
      <w:szCs w:val="21"/>
      <w:lang w:eastAsia="en-US"/>
    </w:rPr>
  </w:style>
  <w:style w:type="paragraph" w:styleId="1290" w:customStyle="1">
    <w:name w:val="List Paragraph1"/>
    <w:basedOn w:val="906"/>
    <w:uiPriority w:val="99"/>
    <w:qFormat/>
    <w:pPr>
      <w:ind w:firstLine="420"/>
    </w:pPr>
  </w:style>
  <w:style w:type="character" w:styleId="1291" w:customStyle="1">
    <w:name w:val="font31"/>
    <w:basedOn w:val="916"/>
    <w:uiPriority w:val="0"/>
    <w:qFormat/>
    <w:rPr>
      <w:rFonts w:hint="eastAsia" w:ascii="宋体" w:hAnsi="宋体" w:eastAsia="宋体" w:cs="宋体"/>
      <w:b/>
      <w:bCs/>
      <w:color w:val="000000"/>
      <w:sz w:val="28"/>
      <w:szCs w:val="28"/>
      <w:u w:val="none"/>
    </w:rPr>
  </w:style>
  <w:style w:type="character" w:styleId="1292" w:customStyle="1">
    <w:name w:val="font61"/>
    <w:uiPriority w:val="0"/>
    <w:qFormat/>
    <w:rPr>
      <w:rFonts w:hint="eastAsia" w:ascii="宋体" w:hAnsi="宋体" w:eastAsia="宋体" w:cs="宋体"/>
      <w:color w:val="000000"/>
      <w:sz w:val="28"/>
      <w:szCs w:val="28"/>
      <w:u w:val="none"/>
    </w:rPr>
  </w:style>
  <w:style w:type="character" w:styleId="1293" w:customStyle="1">
    <w:name w:val="font51"/>
    <w:basedOn w:val="916"/>
    <w:uiPriority w:val="0"/>
    <w:qFormat/>
    <w:rPr>
      <w:rFonts w:hint="eastAsia" w:ascii="宋体" w:hAnsi="宋体" w:eastAsia="宋体" w:cs="宋体"/>
      <w:color w:val="000000"/>
      <w:sz w:val="28"/>
      <w:szCs w:val="28"/>
      <w:u w:val="none"/>
    </w:rPr>
  </w:style>
  <w:style w:type="character" w:styleId="1294" w:customStyle="1">
    <w:name w:val="font21"/>
    <w:basedOn w:val="916"/>
    <w:uiPriority w:val="0"/>
    <w:qFormat/>
    <w:rPr>
      <w:sz w:val="21"/>
      <w:szCs w:val="22"/>
      <w:lang w:eastAsia="zh-CN"/>
    </w:rPr>
  </w:style>
  <w:style w:type="paragraph" w:styleId="1295" w:customStyle="1">
    <w:name w:val="首行缩进"/>
    <w:basedOn w:val="906"/>
    <w:uiPriority w:val="0"/>
    <w:qFormat/>
    <w:pPr>
      <w:ind w:firstLine="420"/>
      <w:spacing w:line="360" w:lineRule="auto"/>
    </w:pPr>
    <w:rPr>
      <w:sz w:val="20"/>
    </w:rPr>
  </w:style>
  <w:style w:type="character" w:styleId="1296" w:customStyle="1">
    <w:name w:val="c-icon28"/>
    <w:basedOn w:val="996"/>
    <w:uiPriority w:val="0"/>
    <w:qFormat/>
  </w:style>
  <w:style w:type="character" w:styleId="1297" w:customStyle="1">
    <w:name w:val="hover18"/>
    <w:basedOn w:val="996"/>
    <w:uiPriority w:val="0"/>
    <w:qFormat/>
  </w:style>
  <w:style w:type="character" w:styleId="1298" w:customStyle="1">
    <w:name w:val="hover19"/>
    <w:basedOn w:val="996"/>
    <w:uiPriority w:val="0"/>
    <w:qFormat/>
    <w:rPr>
      <w:color w:val="315efb"/>
    </w:rPr>
  </w:style>
  <w:style w:type="character" w:styleId="1299" w:customStyle="1">
    <w:name w:val="hover20"/>
    <w:basedOn w:val="996"/>
    <w:uiPriority w:val="0"/>
    <w:qFormat/>
    <w:rPr>
      <w:color w:val="315efb"/>
    </w:rPr>
  </w:style>
  <w:style w:type="character" w:styleId="1300" w:customStyle="1">
    <w:name w:val="hover21"/>
    <w:basedOn w:val="996"/>
    <w:uiPriority w:val="0"/>
    <w:qFormat/>
    <w:rPr>
      <w:color w:val="315efb"/>
      <w:shd w:val="clear" w:color="auto" w:fill="f0f3fd"/>
    </w:rPr>
  </w:style>
  <w:style w:type="character" w:styleId="1301" w:customStyle="1">
    <w:name w:val="正文文本 字符1"/>
    <w:basedOn w:val="916"/>
    <w:uiPriority w:val="99"/>
    <w:semiHidden/>
    <w:qFormat/>
    <w:rPr>
      <w:sz w:val="21"/>
      <w:szCs w:val="22"/>
    </w:rPr>
  </w:style>
  <w:style w:type="paragraph" w:styleId="1302" w:customStyle="1">
    <w:name w:val="Table Paragraph"/>
    <w:basedOn w:val="906"/>
    <w:uiPriority w:val="1"/>
    <w:qFormat/>
    <w:pPr>
      <w:jc w:val="left"/>
    </w:pPr>
    <w:rPr>
      <w:rFonts w:ascii="宋体" w:hAnsi="宋体" w:cs="宋体"/>
      <w:sz w:val="22"/>
    </w:rPr>
  </w:style>
  <w:style w:type="paragraph" w:styleId="1303" w:customStyle="1">
    <w:name w:val="25"/>
    <w:basedOn w:val="906"/>
    <w:uiPriority w:val="0"/>
    <w:qFormat/>
    <w:pPr>
      <w:jc w:val="left"/>
      <w:spacing w:before="100" w:beforeAutospacing="1" w:after="100" w:afterAutospacing="1"/>
      <w:widowControl/>
    </w:pPr>
    <w:rPr>
      <w:rFonts w:ascii="宋体" w:hAnsi="宋体" w:cs="宋体"/>
      <w:sz w:val="24"/>
      <w:szCs w:val="24"/>
    </w:rPr>
  </w:style>
  <w:style w:type="paragraph" w:styleId="1304" w:customStyle="1">
    <w:name w:val="索引 411"/>
    <w:basedOn w:val="906"/>
    <w:next w:val="906"/>
    <w:uiPriority w:val="99"/>
    <w:unhideWhenUsed/>
    <w:qFormat/>
    <w:pPr>
      <w:ind w:left="600"/>
    </w:pPr>
  </w:style>
  <w:style w:type="paragraph" w:styleId="1305" w:customStyle="1">
    <w:name w:val="Table Text"/>
    <w:basedOn w:val="906"/>
    <w:uiPriority w:val="0"/>
    <w:semiHidden/>
    <w:qFormat/>
    <w:rPr>
      <w:rFonts w:ascii="宋体" w:hAnsi="宋体" w:cs="宋体"/>
      <w:lang w:eastAsia="en-US"/>
    </w:rPr>
  </w:style>
  <w:style w:type="paragraph" w:styleId="1306" w:customStyle="1">
    <w:name w:val="WPSOffice手动目录 1"/>
    <w:uiPriority w:val="0"/>
    <w:qFormat/>
    <w:rPr>
      <w:rFonts w:ascii="Times New Roman" w:hAnsi="Times New Roman" w:eastAsia="宋体" w:cs="Times New Roman"/>
      <w:sz w:val="20"/>
      <w:szCs w:val="20"/>
    </w:rPr>
  </w:style>
  <w:style w:type="character" w:styleId="1307" w:customStyle="1">
    <w:name w:val="font81"/>
    <w:basedOn w:val="916"/>
    <w:uiPriority w:val="0"/>
    <w:qFormat/>
    <w:rPr>
      <w:rFonts w:hint="default" w:ascii="等线" w:hAnsi="等线" w:eastAsia="等线" w:cs="等线"/>
      <w:b/>
      <w:bCs/>
      <w:color w:val="000000"/>
      <w:sz w:val="18"/>
      <w:szCs w:val="18"/>
      <w:u w:val="none"/>
    </w:rPr>
  </w:style>
  <w:style w:type="paragraph" w:styleId="1308"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09" w:customStyle="1">
    <w:name w:val="DAS正文"/>
    <w:uiPriority w:val="0"/>
    <w:qFormat/>
    <w:pPr>
      <w:ind w:right="181" w:firstLine="480"/>
      <w:jc w:val="both"/>
      <w:spacing w:line="360" w:lineRule="auto"/>
      <w:widowControl w:val="off"/>
    </w:pPr>
    <w:rPr>
      <w:rFonts w:ascii="Verdana" w:hAnsi="Verdana" w:eastAsia="宋体" w:cs="Times New Roman"/>
      <w:sz w:val="21"/>
      <w:szCs w:val="24"/>
      <w:lang w:val="en-US" w:eastAsia="zh-CN" w:bidi="ar-SA"/>
    </w:rPr>
  </w:style>
  <w:style w:type="character" w:styleId="1310" w:customStyle="1">
    <w:name w:val="15"/>
    <w:basedOn w:val="916"/>
    <w:uiPriority w:val="0"/>
    <w:qFormat/>
    <w:rPr>
      <w:rFonts w:hint="default" w:ascii="Times New Roman" w:hAnsi="Times New Roman" w:cs="Times New Roman"/>
    </w:rPr>
  </w:style>
  <w:style w:type="character" w:styleId="1311" w:customStyle="1">
    <w:name w:val="10"/>
    <w:basedOn w:val="916"/>
    <w:uiPriority w:val="0"/>
    <w:qFormat/>
    <w:rPr>
      <w:rFonts w:hint="default" w:ascii="Times New Roman" w:hAnsi="Times New Roman" w:cs="Times New Roman"/>
    </w:rPr>
  </w:style>
  <w:style w:type="numbering" w:styleId="77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刘影</cp:lastModifiedBy>
  <cp:revision>2</cp:revision>
  <dcterms:created xsi:type="dcterms:W3CDTF">2024-04-30T08:18:00Z</dcterms:created>
  <dcterms:modified xsi:type="dcterms:W3CDTF">2026-05-08T02:53:07Z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9C439B99A0B74BA3848781AE0A31A0EA_13</vt:lpwstr>
  </property>
  <property fmtid="{D5CDD505-2E9C-101B-9397-08002B2CF9AE}" pid="4" name="KSOTemplateDocerSaveRecord">
    <vt:lpwstr>eyJoZGlkIjoiZjY5NTBmYTkxZWIxMmIwMGNjMWY5NmJkYmQ4OWI1Y2EiLCJ1c2VySWQiOiIyNzEyMzYwNjQifQ==</vt:lpwstr>
  </property>
</Properties>
</file>