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1DC367">
      <w:pPr>
        <w:jc w:val="center"/>
        <w:rPr>
          <w:b/>
          <w:color w:val="auto"/>
          <w:sz w:val="72"/>
          <w:szCs w:val="72"/>
          <w:highlight w:val="none"/>
        </w:rPr>
      </w:pPr>
    </w:p>
    <w:p w14:paraId="235055A8">
      <w:pPr>
        <w:jc w:val="center"/>
        <w:rPr>
          <w:b/>
          <w:color w:val="auto"/>
          <w:sz w:val="72"/>
          <w:szCs w:val="72"/>
          <w:highlight w:val="none"/>
        </w:rPr>
      </w:pPr>
    </w:p>
    <w:p w14:paraId="0B1207E0">
      <w:pPr>
        <w:jc w:val="center"/>
        <w:rPr>
          <w:b/>
          <w:color w:val="auto"/>
          <w:sz w:val="140"/>
          <w:szCs w:val="140"/>
          <w:highlight w:val="none"/>
        </w:rPr>
      </w:pPr>
      <w:bookmarkStart w:id="0" w:name="_Toc20707"/>
      <w:bookmarkStart w:id="1" w:name="_Toc24222"/>
      <w:r>
        <w:rPr>
          <w:rFonts w:hint="eastAsia"/>
          <w:b/>
          <w:color w:val="auto"/>
          <w:sz w:val="96"/>
          <w:szCs w:val="96"/>
          <w:highlight w:val="none"/>
          <w:lang w:val="en-US" w:eastAsia="zh-CN"/>
        </w:rPr>
        <w:t>无锡市</w:t>
      </w:r>
      <w:r>
        <w:rPr>
          <w:b/>
          <w:color w:val="auto"/>
          <w:sz w:val="96"/>
          <w:szCs w:val="96"/>
          <w:highlight w:val="none"/>
        </w:rPr>
        <w:t>政府采购</w:t>
      </w:r>
      <w:bookmarkEnd w:id="0"/>
      <w:bookmarkEnd w:id="1"/>
    </w:p>
    <w:p w14:paraId="3458C8AB">
      <w:pPr>
        <w:jc w:val="center"/>
        <w:rPr>
          <w:rFonts w:hint="eastAsia"/>
          <w:b/>
          <w:color w:val="auto"/>
          <w:sz w:val="72"/>
          <w:szCs w:val="72"/>
          <w:highlight w:val="none"/>
        </w:rPr>
      </w:pPr>
    </w:p>
    <w:p w14:paraId="269CEE75">
      <w:pPr>
        <w:jc w:val="center"/>
        <w:rPr>
          <w:rFonts w:hint="eastAsia"/>
          <w:b/>
          <w:color w:val="auto"/>
          <w:sz w:val="72"/>
          <w:szCs w:val="72"/>
          <w:highlight w:val="none"/>
        </w:rPr>
      </w:pPr>
    </w:p>
    <w:p w14:paraId="3900E104">
      <w:pPr>
        <w:jc w:val="center"/>
        <w:rPr>
          <w:b/>
          <w:color w:val="auto"/>
          <w:sz w:val="72"/>
          <w:szCs w:val="72"/>
          <w:highlight w:val="none"/>
        </w:rPr>
      </w:pPr>
      <w:bookmarkStart w:id="2" w:name="_Toc8186"/>
      <w:bookmarkStart w:id="3" w:name="_Toc6267"/>
      <w:r>
        <w:rPr>
          <w:rFonts w:hint="eastAsia"/>
          <w:b/>
          <w:color w:val="auto"/>
          <w:sz w:val="72"/>
          <w:szCs w:val="72"/>
          <w:highlight w:val="none"/>
        </w:rPr>
        <w:t>公开招标</w:t>
      </w:r>
      <w:r>
        <w:rPr>
          <w:b/>
          <w:color w:val="auto"/>
          <w:sz w:val="72"/>
          <w:szCs w:val="72"/>
          <w:highlight w:val="none"/>
        </w:rPr>
        <w:t>文</w:t>
      </w:r>
      <w:r>
        <w:rPr>
          <w:rFonts w:hint="eastAsia"/>
          <w:b/>
          <w:color w:val="auto"/>
          <w:sz w:val="72"/>
          <w:szCs w:val="72"/>
          <w:highlight w:val="none"/>
        </w:rPr>
        <w:t>件</w:t>
      </w:r>
      <w:bookmarkEnd w:id="2"/>
      <w:bookmarkEnd w:id="3"/>
    </w:p>
    <w:p w14:paraId="623CCE6C">
      <w:pPr>
        <w:jc w:val="center"/>
        <w:rPr>
          <w:rFonts w:hint="eastAsia"/>
          <w:b/>
          <w:color w:val="auto"/>
          <w:sz w:val="32"/>
          <w:szCs w:val="32"/>
          <w:highlight w:val="none"/>
        </w:rPr>
      </w:pPr>
      <w:bookmarkStart w:id="4" w:name="_Toc9350"/>
      <w:bookmarkStart w:id="5" w:name="_Toc607"/>
      <w:r>
        <w:rPr>
          <w:rFonts w:hint="eastAsia"/>
          <w:b/>
          <w:color w:val="auto"/>
          <w:sz w:val="32"/>
          <w:szCs w:val="32"/>
          <w:highlight w:val="none"/>
        </w:rPr>
        <w:t>（全流程电子化）</w:t>
      </w:r>
      <w:bookmarkEnd w:id="4"/>
      <w:bookmarkEnd w:id="5"/>
    </w:p>
    <w:p w14:paraId="57EBF0A9">
      <w:pPr>
        <w:jc w:val="center"/>
        <w:rPr>
          <w:rFonts w:hint="eastAsia"/>
          <w:b/>
          <w:color w:val="auto"/>
          <w:sz w:val="32"/>
          <w:szCs w:val="32"/>
          <w:highlight w:val="none"/>
        </w:rPr>
      </w:pPr>
      <w:r>
        <w:rPr>
          <w:rFonts w:hint="eastAsia"/>
          <w:b/>
          <w:color w:val="auto"/>
          <w:sz w:val="32"/>
          <w:szCs w:val="32"/>
          <w:highlight w:val="none"/>
        </w:rPr>
        <w:t>（暗标）</w:t>
      </w:r>
    </w:p>
    <w:p w14:paraId="783BBE56">
      <w:pPr>
        <w:jc w:val="center"/>
        <w:rPr>
          <w:b/>
          <w:color w:val="auto"/>
          <w:sz w:val="72"/>
          <w:szCs w:val="72"/>
          <w:highlight w:val="none"/>
        </w:rPr>
      </w:pPr>
    </w:p>
    <w:p w14:paraId="10C053B0">
      <w:pPr>
        <w:jc w:val="center"/>
        <w:rPr>
          <w:rFonts w:hint="eastAsia"/>
          <w:b/>
          <w:color w:val="auto"/>
          <w:sz w:val="72"/>
          <w:szCs w:val="72"/>
          <w:highlight w:val="none"/>
        </w:rPr>
      </w:pPr>
    </w:p>
    <w:p w14:paraId="026094B6">
      <w:pPr>
        <w:jc w:val="center"/>
        <w:rPr>
          <w:rFonts w:hint="eastAsia"/>
          <w:b/>
          <w:color w:val="auto"/>
          <w:sz w:val="72"/>
          <w:szCs w:val="72"/>
          <w:highlight w:val="none"/>
        </w:rPr>
      </w:pPr>
    </w:p>
    <w:p w14:paraId="71D39F16">
      <w:pPr>
        <w:spacing w:line="360" w:lineRule="auto"/>
        <w:rPr>
          <w:rFonts w:hint="default" w:ascii="宋体" w:hAnsi="宋体" w:eastAsia="宋体" w:cs="宋体"/>
          <w:color w:val="auto"/>
          <w:sz w:val="30"/>
          <w:szCs w:val="30"/>
          <w:highlight w:val="none"/>
          <w:lang w:val="en-US" w:eastAsia="zh-CN"/>
        </w:rPr>
      </w:pPr>
      <w:bookmarkStart w:id="6" w:name="_Toc30450"/>
      <w:bookmarkStart w:id="7" w:name="_Toc158"/>
      <w:r>
        <w:rPr>
          <w:rFonts w:hint="eastAsia" w:ascii="宋体" w:hAnsi="宋体" w:cs="宋体"/>
          <w:color w:val="auto"/>
          <w:sz w:val="30"/>
          <w:szCs w:val="30"/>
          <w:highlight w:val="none"/>
        </w:rPr>
        <w:t>采购项目编号：</w:t>
      </w:r>
      <w:bookmarkEnd w:id="6"/>
      <w:bookmarkEnd w:id="7"/>
      <w:r>
        <w:rPr>
          <w:rFonts w:hint="eastAsia" w:ascii="宋体" w:hAnsi="宋体"/>
          <w:bCs/>
          <w:color w:val="auto"/>
          <w:sz w:val="30"/>
          <w:szCs w:val="30"/>
          <w:highlight w:val="none"/>
          <w:lang w:eastAsia="zh-CN"/>
        </w:rPr>
        <w:t>JSZC-3202</w:t>
      </w:r>
      <w:r>
        <w:rPr>
          <w:rFonts w:hint="eastAsia" w:ascii="宋体" w:hAnsi="宋体"/>
          <w:bCs/>
          <w:color w:val="auto"/>
          <w:sz w:val="30"/>
          <w:szCs w:val="30"/>
          <w:highlight w:val="none"/>
          <w:lang w:val="en-US" w:eastAsia="zh-CN"/>
        </w:rPr>
        <w:t>14</w:t>
      </w:r>
      <w:r>
        <w:rPr>
          <w:rFonts w:hint="eastAsia" w:ascii="宋体" w:hAnsi="宋体"/>
          <w:bCs/>
          <w:color w:val="auto"/>
          <w:sz w:val="30"/>
          <w:szCs w:val="30"/>
          <w:highlight w:val="none"/>
          <w:lang w:eastAsia="zh-CN"/>
        </w:rPr>
        <w:t>-</w:t>
      </w:r>
      <w:r>
        <w:rPr>
          <w:rFonts w:hint="eastAsia" w:ascii="宋体" w:hAnsi="宋体"/>
          <w:bCs/>
          <w:color w:val="auto"/>
          <w:sz w:val="30"/>
          <w:szCs w:val="30"/>
          <w:highlight w:val="none"/>
          <w:lang w:val="en-US" w:eastAsia="zh-CN"/>
        </w:rPr>
        <w:t>CYZR</w:t>
      </w:r>
      <w:r>
        <w:rPr>
          <w:rFonts w:hint="eastAsia" w:ascii="宋体" w:hAnsi="宋体"/>
          <w:bCs/>
          <w:color w:val="auto"/>
          <w:sz w:val="30"/>
          <w:szCs w:val="30"/>
          <w:highlight w:val="none"/>
          <w:lang w:eastAsia="zh-CN"/>
        </w:rPr>
        <w:t>-G2026</w:t>
      </w:r>
      <w:r>
        <w:rPr>
          <w:rFonts w:hint="eastAsia" w:ascii="宋体" w:hAnsi="宋体"/>
          <w:bCs/>
          <w:color w:val="auto"/>
          <w:sz w:val="30"/>
          <w:szCs w:val="30"/>
          <w:highlight w:val="none"/>
          <w:lang w:val="en-US" w:eastAsia="zh-CN"/>
        </w:rPr>
        <w:t>-0003</w:t>
      </w:r>
    </w:p>
    <w:p w14:paraId="684FD673">
      <w:pPr>
        <w:spacing w:line="360" w:lineRule="auto"/>
        <w:jc w:val="left"/>
        <w:rPr>
          <w:rFonts w:hint="eastAsia" w:ascii="宋体" w:hAnsi="宋体"/>
          <w:bCs/>
          <w:color w:val="auto"/>
          <w:sz w:val="30"/>
          <w:szCs w:val="30"/>
          <w:highlight w:val="none"/>
          <w:lang w:eastAsia="zh-CN"/>
        </w:rPr>
      </w:pPr>
      <w:r>
        <w:rPr>
          <w:rFonts w:hint="eastAsia" w:ascii="宋体" w:hAnsi="宋体"/>
          <w:bCs/>
          <w:color w:val="auto"/>
          <w:sz w:val="30"/>
          <w:szCs w:val="30"/>
          <w:highlight w:val="none"/>
        </w:rPr>
        <w:t>采购项目名称：</w:t>
      </w:r>
      <w:r>
        <w:rPr>
          <w:rFonts w:hint="eastAsia" w:ascii="宋体" w:hAnsi="宋体"/>
          <w:bCs/>
          <w:color w:val="auto"/>
          <w:sz w:val="30"/>
          <w:szCs w:val="30"/>
          <w:highlight w:val="none"/>
          <w:lang w:eastAsia="zh-CN"/>
        </w:rPr>
        <w:t>智慧监测实验室运行及维护服务项目（2026.7-2028.12）</w:t>
      </w:r>
    </w:p>
    <w:p w14:paraId="68071048">
      <w:pPr>
        <w:spacing w:line="360" w:lineRule="auto"/>
        <w:jc w:val="left"/>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采   购   人：</w:t>
      </w:r>
      <w:r>
        <w:rPr>
          <w:rFonts w:hint="eastAsia" w:ascii="宋体" w:hAnsi="宋体" w:cs="宋体"/>
          <w:color w:val="auto"/>
          <w:sz w:val="30"/>
          <w:szCs w:val="30"/>
          <w:highlight w:val="none"/>
          <w:lang w:eastAsia="zh-CN"/>
        </w:rPr>
        <w:t>无锡市新吴生态环境局</w:t>
      </w:r>
    </w:p>
    <w:p w14:paraId="6A2C2EBD">
      <w:pPr>
        <w:spacing w:line="360" w:lineRule="auto"/>
        <w:rPr>
          <w:rFonts w:hint="eastAsia" w:ascii="宋体" w:hAnsi="宋体" w:eastAsia="宋体" w:cs="宋体"/>
          <w:color w:val="auto"/>
          <w:sz w:val="30"/>
          <w:szCs w:val="30"/>
          <w:highlight w:val="none"/>
          <w:lang w:eastAsia="zh-CN"/>
        </w:rPr>
      </w:pPr>
      <w:bookmarkStart w:id="8" w:name="_Toc12700"/>
      <w:bookmarkStart w:id="9" w:name="_Toc22627"/>
      <w:r>
        <w:rPr>
          <w:rFonts w:hint="eastAsia" w:ascii="宋体" w:hAnsi="宋体" w:cs="宋体"/>
          <w:color w:val="auto"/>
          <w:sz w:val="30"/>
          <w:szCs w:val="30"/>
          <w:highlight w:val="none"/>
        </w:rPr>
        <w:t>采购代理机构：</w:t>
      </w:r>
      <w:bookmarkEnd w:id="8"/>
      <w:bookmarkEnd w:id="9"/>
      <w:r>
        <w:rPr>
          <w:rFonts w:hint="eastAsia" w:ascii="宋体" w:hAnsi="宋体" w:cs="宋体"/>
          <w:color w:val="auto"/>
          <w:sz w:val="30"/>
          <w:szCs w:val="30"/>
          <w:highlight w:val="none"/>
          <w:lang w:eastAsia="zh-CN"/>
        </w:rPr>
        <w:t>江苏朝阳工程管理咨询有限责任公司</w:t>
      </w:r>
    </w:p>
    <w:p w14:paraId="7D69E1B1">
      <w:pPr>
        <w:rPr>
          <w:rFonts w:ascii="华文中宋" w:hAnsi="华文中宋" w:eastAsia="华文中宋"/>
          <w:bCs/>
          <w:color w:val="auto"/>
          <w:sz w:val="30"/>
          <w:highlight w:val="none"/>
        </w:rPr>
      </w:pPr>
    </w:p>
    <w:p w14:paraId="78E56693">
      <w:pPr>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二〇二六</w:t>
      </w:r>
      <w:r>
        <w:rPr>
          <w:rFonts w:hint="eastAsia" w:ascii="黑体" w:hAnsi="华文中宋" w:eastAsia="黑体"/>
          <w:bCs/>
          <w:color w:val="auto"/>
          <w:sz w:val="32"/>
          <w:szCs w:val="32"/>
          <w:highlight w:val="none"/>
        </w:rPr>
        <w:t>年</w:t>
      </w:r>
      <w:r>
        <w:rPr>
          <w:rFonts w:hint="eastAsia" w:ascii="黑体" w:hAnsi="华文中宋" w:eastAsia="黑体"/>
          <w:bCs/>
          <w:color w:val="auto"/>
          <w:sz w:val="32"/>
          <w:szCs w:val="32"/>
          <w:highlight w:val="none"/>
          <w:lang w:val="en-US" w:eastAsia="zh-CN"/>
        </w:rPr>
        <w:t>六</w:t>
      </w:r>
      <w:r>
        <w:rPr>
          <w:rFonts w:hint="eastAsia" w:ascii="黑体" w:hAnsi="华文中宋" w:eastAsia="黑体"/>
          <w:bCs/>
          <w:color w:val="auto"/>
          <w:sz w:val="32"/>
          <w:szCs w:val="32"/>
          <w:highlight w:val="none"/>
        </w:rPr>
        <w:t>月</w:t>
      </w:r>
    </w:p>
    <w:p w14:paraId="55454880">
      <w:pPr>
        <w:jc w:val="center"/>
        <w:rPr>
          <w:rStyle w:val="246"/>
          <w:rFonts w:hint="eastAsia" w:eastAsia="黑体"/>
          <w:bCs/>
          <w:color w:val="auto"/>
          <w:sz w:val="48"/>
          <w:highlight w:val="none"/>
        </w:rPr>
        <w:sectPr>
          <w:headerReference r:id="rId4" w:type="first"/>
          <w:footerReference r:id="rId6" w:type="first"/>
          <w:headerReference r:id="rId3" w:type="default"/>
          <w:footerReference r:id="rId5" w:type="default"/>
          <w:pgSz w:w="11906" w:h="16838"/>
          <w:pgMar w:top="1440" w:right="1800" w:bottom="1440" w:left="1800" w:header="851" w:footer="992" w:gutter="0"/>
          <w:pgNumType w:start="1"/>
          <w:cols w:space="720" w:num="1"/>
          <w:docGrid w:linePitch="360" w:charSpace="0"/>
        </w:sectPr>
      </w:pPr>
      <w:bookmarkStart w:id="10" w:name="_Toc27240"/>
    </w:p>
    <w:p w14:paraId="7BEBA619">
      <w:pPr>
        <w:jc w:val="center"/>
        <w:rPr>
          <w:rStyle w:val="246"/>
          <w:rFonts w:hint="eastAsia" w:ascii="宋体" w:hAnsi="宋体" w:cs="宋体"/>
          <w:b/>
          <w:color w:val="auto"/>
          <w:sz w:val="44"/>
          <w:szCs w:val="44"/>
          <w:highlight w:val="none"/>
        </w:rPr>
      </w:pPr>
      <w:bookmarkStart w:id="11" w:name="_Toc15618"/>
      <w:bookmarkStart w:id="12" w:name="_Toc32576"/>
      <w:bookmarkStart w:id="13" w:name="_Toc23032"/>
      <w:r>
        <w:rPr>
          <w:rStyle w:val="246"/>
          <w:rFonts w:hint="eastAsia" w:ascii="宋体" w:hAnsi="宋体" w:cs="宋体"/>
          <w:b/>
          <w:color w:val="auto"/>
          <w:sz w:val="44"/>
          <w:szCs w:val="44"/>
          <w:highlight w:val="none"/>
        </w:rPr>
        <w:t>目     录</w:t>
      </w:r>
      <w:bookmarkEnd w:id="10"/>
      <w:bookmarkEnd w:id="11"/>
      <w:bookmarkEnd w:id="12"/>
      <w:bookmarkEnd w:id="13"/>
    </w:p>
    <w:p w14:paraId="431CAF46">
      <w:pPr>
        <w:rPr>
          <w:color w:val="auto"/>
          <w:highlight w:val="none"/>
        </w:rPr>
      </w:pPr>
    </w:p>
    <w:p w14:paraId="7A10DC0A">
      <w:pPr>
        <w:pStyle w:val="23"/>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cs="宋体"/>
          <w:bCs/>
          <w:color w:val="auto"/>
          <w:sz w:val="28"/>
          <w:szCs w:val="28"/>
          <w:highlight w:val="none"/>
        </w:rPr>
        <w:fldChar w:fldCharType="begin"/>
      </w:r>
      <w:r>
        <w:rPr>
          <w:rFonts w:hint="eastAsia" w:ascii="宋体" w:hAnsi="宋体" w:cs="宋体"/>
          <w:bCs/>
          <w:color w:val="auto"/>
          <w:sz w:val="28"/>
          <w:szCs w:val="28"/>
          <w:highlight w:val="none"/>
        </w:rPr>
        <w:instrText xml:space="preserve">TOC \o "1-1" \f \h \u </w:instrText>
      </w:r>
      <w:r>
        <w:rPr>
          <w:rFonts w:hint="eastAsia" w:ascii="宋体" w:hAnsi="宋体" w:cs="宋体"/>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_Toc10721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一、投标邀请函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_Toc10721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2EAC3635">
      <w:pPr>
        <w:pStyle w:val="23"/>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_Toc9899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二、投标人须知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_Toc9899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7B6FF8BE">
      <w:pPr>
        <w:pStyle w:val="23"/>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_Toc18751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三、项目技术要求和有关说明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_Toc18751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67B2D704">
      <w:pPr>
        <w:pStyle w:val="23"/>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_Toc21591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四、合同书（格式文本）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_Toc21591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795165A5">
      <w:pPr>
        <w:pStyle w:val="23"/>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_Toc24961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五、附件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_Toc24961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31F17D10">
      <w:pPr>
        <w:spacing w:line="360" w:lineRule="auto"/>
        <w:ind w:firstLine="420"/>
        <w:rPr>
          <w:rFonts w:ascii="宋体"/>
          <w:bCs/>
          <w:color w:val="auto"/>
          <w:sz w:val="32"/>
          <w:highlight w:val="none"/>
        </w:rPr>
      </w:pPr>
      <w:r>
        <w:rPr>
          <w:rFonts w:hint="eastAsia" w:ascii="宋体" w:hAnsi="宋体" w:cs="宋体"/>
          <w:bCs/>
          <w:color w:val="auto"/>
          <w:szCs w:val="28"/>
          <w:highlight w:val="none"/>
          <w:lang w:val="en-US" w:eastAsia="zh-CN"/>
        </w:rPr>
        <w:t xml:space="preserve"> </w:t>
      </w:r>
      <w:r>
        <w:rPr>
          <w:rFonts w:hint="eastAsia" w:ascii="宋体" w:hAnsi="宋体" w:cs="宋体"/>
          <w:bCs/>
          <w:color w:val="auto"/>
          <w:szCs w:val="28"/>
          <w:highlight w:val="none"/>
        </w:rPr>
        <w:fldChar w:fldCharType="end"/>
      </w:r>
    </w:p>
    <w:p w14:paraId="36AC343C">
      <w:pPr>
        <w:spacing w:line="360" w:lineRule="auto"/>
        <w:jc w:val="center"/>
        <w:outlineLvl w:val="0"/>
        <w:rPr>
          <w:rFonts w:hint="eastAsia" w:ascii="宋体" w:hAnsi="宋体" w:cs="宋体"/>
          <w:b/>
          <w:color w:val="auto"/>
          <w:sz w:val="30"/>
          <w:szCs w:val="30"/>
          <w:highlight w:val="none"/>
        </w:rPr>
        <w:sectPr>
          <w:footerReference r:id="rId10" w:type="first"/>
          <w:headerReference r:id="rId7" w:type="default"/>
          <w:footerReference r:id="rId8" w:type="default"/>
          <w:footerReference r:id="rId9" w:type="even"/>
          <w:pgSz w:w="11906" w:h="16838"/>
          <w:pgMar w:top="1440" w:right="1800" w:bottom="1440" w:left="1800" w:header="624" w:footer="907" w:gutter="0"/>
          <w:pgNumType w:start="1"/>
          <w:cols w:space="720" w:num="1"/>
          <w:titlePg/>
          <w:docGrid w:linePitch="360" w:charSpace="0"/>
        </w:sectPr>
      </w:pPr>
      <w:bookmarkStart w:id="14" w:name="报价方须知前附表"/>
      <w:bookmarkEnd w:id="14"/>
      <w:bookmarkStart w:id="15" w:name="_Toc24814"/>
    </w:p>
    <w:p w14:paraId="70322AC6">
      <w:pPr>
        <w:spacing w:line="360" w:lineRule="auto"/>
        <w:jc w:val="center"/>
        <w:outlineLvl w:val="0"/>
        <w:rPr>
          <w:rFonts w:hint="eastAsia" w:hAnsi="宋体" w:cs="宋体"/>
          <w:b/>
          <w:bCs/>
          <w:color w:val="auto"/>
          <w:sz w:val="32"/>
          <w:szCs w:val="32"/>
          <w:highlight w:val="none"/>
        </w:rPr>
      </w:pPr>
      <w:bookmarkStart w:id="16" w:name="_Toc13603"/>
      <w:bookmarkStart w:id="17" w:name="_Toc10721"/>
      <w:r>
        <w:rPr>
          <w:rFonts w:hint="eastAsia" w:hAnsi="宋体" w:cs="宋体"/>
          <w:b/>
          <w:bCs/>
          <w:color w:val="auto"/>
          <w:sz w:val="32"/>
          <w:szCs w:val="32"/>
          <w:highlight w:val="none"/>
        </w:rPr>
        <w:t>一、投标邀请函</w:t>
      </w:r>
      <w:bookmarkEnd w:id="15"/>
      <w:bookmarkEnd w:id="16"/>
      <w:bookmarkEnd w:id="17"/>
    </w:p>
    <w:p w14:paraId="2AC1403C">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江苏朝阳工程管理咨询有限责任公司</w:t>
      </w:r>
      <w:r>
        <w:rPr>
          <w:rFonts w:hint="eastAsia" w:ascii="宋体" w:hAnsi="宋体" w:cs="宋体"/>
          <w:bCs/>
          <w:color w:val="auto"/>
          <w:sz w:val="24"/>
          <w:szCs w:val="24"/>
          <w:highlight w:val="none"/>
        </w:rPr>
        <w:t>受</w:t>
      </w:r>
      <w:r>
        <w:rPr>
          <w:rFonts w:hint="eastAsia" w:ascii="宋体" w:hAnsi="宋体" w:cs="宋体"/>
          <w:color w:val="auto"/>
          <w:sz w:val="24"/>
          <w:szCs w:val="24"/>
          <w:highlight w:val="none"/>
          <w:lang w:eastAsia="zh-CN"/>
        </w:rPr>
        <w:t>无锡市新吴生态环境局</w:t>
      </w:r>
      <w:r>
        <w:rPr>
          <w:rFonts w:hint="eastAsia" w:ascii="宋体" w:hAnsi="宋体" w:cs="宋体"/>
          <w:color w:val="auto"/>
          <w:sz w:val="24"/>
          <w:szCs w:val="24"/>
          <w:highlight w:val="none"/>
        </w:rPr>
        <w:t>的委托，</w:t>
      </w:r>
      <w:r>
        <w:rPr>
          <w:rFonts w:hint="eastAsia" w:ascii="宋体" w:hAnsi="宋体" w:cs="宋体"/>
          <w:bCs/>
          <w:color w:val="auto"/>
          <w:sz w:val="24"/>
          <w:szCs w:val="24"/>
          <w:highlight w:val="none"/>
        </w:rPr>
        <w:t>对</w:t>
      </w:r>
      <w:r>
        <w:rPr>
          <w:rFonts w:hint="eastAsia" w:ascii="宋体" w:hAnsi="宋体" w:cs="宋体"/>
          <w:color w:val="auto"/>
          <w:sz w:val="24"/>
          <w:szCs w:val="24"/>
          <w:highlight w:val="none"/>
          <w:lang w:eastAsia="zh-CN"/>
        </w:rPr>
        <w:t>智慧监测实验室运行及维护服务项目（2026.7-2028.12）</w:t>
      </w:r>
      <w:r>
        <w:rPr>
          <w:rFonts w:hint="eastAsia" w:ascii="宋体" w:hAnsi="宋体" w:cs="宋体"/>
          <w:bCs/>
          <w:color w:val="auto"/>
          <w:sz w:val="24"/>
          <w:szCs w:val="24"/>
          <w:highlight w:val="none"/>
        </w:rPr>
        <w:t>进行公开招标采购，欢迎符合相关条件的供应商参加投标并提请注意下列相关事项：</w:t>
      </w:r>
    </w:p>
    <w:tbl>
      <w:tblPr>
        <w:tblStyle w:val="34"/>
        <w:tblW w:w="88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8191"/>
      </w:tblGrid>
      <w:tr w14:paraId="2A57A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4" w:type="dxa"/>
            <w:noWrap w:val="0"/>
            <w:vAlign w:val="center"/>
          </w:tcPr>
          <w:p w14:paraId="7F808E81">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8191" w:type="dxa"/>
            <w:noWrap w:val="0"/>
            <w:vAlign w:val="center"/>
          </w:tcPr>
          <w:p w14:paraId="0809C6F0">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内容</w:t>
            </w:r>
          </w:p>
        </w:tc>
      </w:tr>
      <w:tr w14:paraId="60A81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2" w:hRule="atLeast"/>
        </w:trPr>
        <w:tc>
          <w:tcPr>
            <w:tcW w:w="704" w:type="dxa"/>
            <w:noWrap w:val="0"/>
            <w:vAlign w:val="center"/>
          </w:tcPr>
          <w:p w14:paraId="5901525B">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8191" w:type="dxa"/>
            <w:noWrap w:val="0"/>
            <w:vAlign w:val="center"/>
          </w:tcPr>
          <w:p w14:paraId="7222DACF">
            <w:pPr>
              <w:widowControl/>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智慧监测实验室运行及维护服务项目（2026.7-2028.12）</w:t>
            </w:r>
          </w:p>
          <w:p w14:paraId="581E8AFE">
            <w:pPr>
              <w:widowControl/>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采购项目编号：</w:t>
            </w:r>
            <w:r>
              <w:rPr>
                <w:rFonts w:hint="eastAsia" w:ascii="宋体" w:hAnsi="宋体" w:cs="宋体"/>
                <w:color w:val="auto"/>
                <w:sz w:val="24"/>
                <w:szCs w:val="24"/>
                <w:highlight w:val="none"/>
                <w:lang w:eastAsia="zh-CN"/>
              </w:rPr>
              <w:t>JSZC-320214-CYZR-G2026-0003</w:t>
            </w:r>
            <w:r>
              <w:rPr>
                <w:rFonts w:hint="eastAsia" w:ascii="宋体" w:hAnsi="宋体" w:cs="宋体"/>
                <w:color w:val="auto"/>
                <w:sz w:val="24"/>
                <w:szCs w:val="24"/>
                <w:highlight w:val="none"/>
                <w:lang w:val="en-US" w:eastAsia="zh-CN"/>
              </w:rPr>
              <w:t xml:space="preserve">                </w:t>
            </w:r>
          </w:p>
          <w:p w14:paraId="67538994">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采购方式：公开招标</w:t>
            </w:r>
          </w:p>
        </w:tc>
      </w:tr>
      <w:tr w14:paraId="52808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6DA45175">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8191" w:type="dxa"/>
            <w:noWrap w:val="0"/>
            <w:vAlign w:val="center"/>
          </w:tcPr>
          <w:p w14:paraId="5EB3FC25">
            <w:pPr>
              <w:widowControl/>
              <w:spacing w:line="360" w:lineRule="auto"/>
              <w:ind w:firstLine="24"/>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采购人：</w:t>
            </w:r>
            <w:r>
              <w:rPr>
                <w:rFonts w:hint="eastAsia" w:ascii="宋体" w:hAnsi="宋体" w:cs="宋体"/>
                <w:bCs/>
                <w:color w:val="auto"/>
                <w:sz w:val="24"/>
                <w:szCs w:val="24"/>
                <w:highlight w:val="none"/>
                <w:lang w:eastAsia="zh-CN"/>
              </w:rPr>
              <w:t>无锡市新吴生态环境局</w:t>
            </w:r>
          </w:p>
          <w:p w14:paraId="28407228">
            <w:pPr>
              <w:widowControl/>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采购人地址：</w:t>
            </w:r>
            <w:r>
              <w:rPr>
                <w:rFonts w:hint="eastAsia" w:ascii="宋体" w:hAnsi="宋体" w:cs="宋体"/>
                <w:bCs/>
                <w:color w:val="auto"/>
                <w:sz w:val="24"/>
                <w:szCs w:val="24"/>
                <w:highlight w:val="none"/>
                <w:lang w:val="en-US" w:eastAsia="zh-CN"/>
              </w:rPr>
              <w:t>无锡市新吴区净慧东道70号</w:t>
            </w:r>
          </w:p>
          <w:p w14:paraId="676965E9">
            <w:pPr>
              <w:widowControl/>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采购代理机构：</w:t>
            </w:r>
            <w:r>
              <w:rPr>
                <w:rFonts w:hint="eastAsia" w:ascii="宋体" w:hAnsi="宋体" w:cs="宋体"/>
                <w:bCs/>
                <w:color w:val="auto"/>
                <w:sz w:val="24"/>
                <w:szCs w:val="24"/>
                <w:highlight w:val="none"/>
                <w:lang w:eastAsia="zh-CN"/>
              </w:rPr>
              <w:t>江苏朝阳工程管理咨询有限责任公司</w:t>
            </w:r>
          </w:p>
          <w:p w14:paraId="3216591D">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采购机构地址：</w:t>
            </w:r>
            <w:r>
              <w:rPr>
                <w:rFonts w:hint="eastAsia" w:ascii="宋体" w:hAnsi="宋体" w:cs="宋体"/>
                <w:color w:val="auto"/>
                <w:sz w:val="24"/>
                <w:szCs w:val="24"/>
                <w:highlight w:val="none"/>
                <w:lang w:val="zh-CN"/>
              </w:rPr>
              <w:t xml:space="preserve">无锡市锡山区长泰国际社区南A-34栋 </w:t>
            </w:r>
          </w:p>
        </w:tc>
      </w:tr>
      <w:tr w14:paraId="15A3D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04" w:type="dxa"/>
            <w:noWrap w:val="0"/>
            <w:vAlign w:val="center"/>
          </w:tcPr>
          <w:p w14:paraId="763B6193">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8191" w:type="dxa"/>
            <w:noWrap w:val="0"/>
            <w:vAlign w:val="center"/>
          </w:tcPr>
          <w:p w14:paraId="37B452EA">
            <w:pPr>
              <w:pStyle w:val="237"/>
              <w:tabs>
                <w:tab w:val="left" w:pos="360"/>
                <w:tab w:val="left" w:pos="960"/>
              </w:tabs>
              <w:spacing w:before="0" w:beforeAutospacing="0" w:after="0" w:afterAutospacing="0" w:line="360" w:lineRule="auto"/>
              <w:rPr>
                <w:rFonts w:hint="eastAsia"/>
                <w:color w:val="auto"/>
                <w:highlight w:val="none"/>
              </w:rPr>
            </w:pPr>
            <w:r>
              <w:rPr>
                <w:rFonts w:hint="eastAsia"/>
                <w:color w:val="auto"/>
                <w:highlight w:val="none"/>
              </w:rPr>
              <w:t>采购项目概况、要求：</w:t>
            </w:r>
          </w:p>
          <w:p w14:paraId="3982C08C">
            <w:pPr>
              <w:pStyle w:val="237"/>
              <w:tabs>
                <w:tab w:val="left" w:pos="360"/>
                <w:tab w:val="left" w:pos="960"/>
              </w:tabs>
              <w:spacing w:before="0" w:beforeAutospacing="0" w:after="0" w:afterAutospacing="0" w:line="360" w:lineRule="auto"/>
              <w:rPr>
                <w:rFonts w:hint="eastAsia"/>
                <w:color w:val="auto"/>
                <w:highlight w:val="none"/>
              </w:rPr>
            </w:pPr>
            <w:r>
              <w:rPr>
                <w:rFonts w:hint="eastAsia"/>
                <w:color w:val="auto"/>
                <w:highlight w:val="none"/>
                <w:lang w:eastAsia="zh-CN"/>
              </w:rPr>
              <w:t>1.</w:t>
            </w:r>
            <w:r>
              <w:rPr>
                <w:rFonts w:hint="eastAsia"/>
                <w:color w:val="auto"/>
                <w:highlight w:val="none"/>
              </w:rPr>
              <w:t>采购内容：</w:t>
            </w:r>
            <w:r>
              <w:rPr>
                <w:rFonts w:hint="eastAsia" w:cs="宋体"/>
                <w:color w:val="auto"/>
                <w:sz w:val="24"/>
                <w:szCs w:val="24"/>
                <w:highlight w:val="none"/>
                <w:lang w:eastAsia="zh-CN"/>
              </w:rPr>
              <w:t>智慧监测实验室运行及维护服务项目（2026.7-2028.12）</w:t>
            </w:r>
            <w:r>
              <w:rPr>
                <w:rFonts w:hint="eastAsia"/>
                <w:color w:val="auto"/>
                <w:highlight w:val="none"/>
                <w:lang w:eastAsia="zh-CN"/>
              </w:rPr>
              <w:t>。</w:t>
            </w:r>
            <w:r>
              <w:rPr>
                <w:rFonts w:hint="eastAsia"/>
                <w:color w:val="auto"/>
                <w:highlight w:val="none"/>
              </w:rPr>
              <w:t>详见“三、项目技术要求和有关说明”。</w:t>
            </w:r>
          </w:p>
          <w:p w14:paraId="108B4927">
            <w:pPr>
              <w:pStyle w:val="237"/>
              <w:tabs>
                <w:tab w:val="left" w:pos="360"/>
                <w:tab w:val="left" w:pos="960"/>
              </w:tabs>
              <w:spacing w:before="0" w:beforeAutospacing="0" w:after="0" w:afterAutospacing="0" w:line="360" w:lineRule="auto"/>
              <w:rPr>
                <w:rFonts w:hint="eastAsia" w:eastAsia="宋体"/>
                <w:color w:val="auto"/>
                <w:highlight w:val="none"/>
                <w:lang w:eastAsia="zh-CN"/>
              </w:rPr>
            </w:pPr>
            <w:r>
              <w:rPr>
                <w:rFonts w:hint="eastAsia"/>
                <w:color w:val="auto"/>
                <w:highlight w:val="none"/>
                <w:lang w:eastAsia="zh-CN"/>
              </w:rPr>
              <w:t>2.服务期限：</w:t>
            </w:r>
            <w:r>
              <w:rPr>
                <w:rFonts w:hint="eastAsia"/>
                <w:color w:val="auto"/>
                <w:highlight w:val="none"/>
                <w:lang w:val="en-US" w:eastAsia="zh-CN"/>
              </w:rPr>
              <w:t>2026年7月至2028年12月</w:t>
            </w:r>
            <w:r>
              <w:rPr>
                <w:rFonts w:hint="eastAsia"/>
                <w:color w:val="auto"/>
                <w:highlight w:val="none"/>
                <w:lang w:eastAsia="zh-CN"/>
              </w:rPr>
              <w:t>。</w:t>
            </w:r>
          </w:p>
          <w:p w14:paraId="645BBC19">
            <w:pPr>
              <w:pStyle w:val="237"/>
              <w:tabs>
                <w:tab w:val="left" w:pos="360"/>
                <w:tab w:val="left" w:pos="960"/>
              </w:tabs>
              <w:spacing w:before="0" w:beforeAutospacing="0" w:after="0" w:afterAutospacing="0" w:line="360" w:lineRule="auto"/>
              <w:rPr>
                <w:rFonts w:hint="eastAsia" w:eastAsia="宋体"/>
                <w:color w:val="auto"/>
                <w:highlight w:val="none"/>
                <w:lang w:eastAsia="zh-CN"/>
              </w:rPr>
            </w:pPr>
            <w:r>
              <w:rPr>
                <w:rFonts w:hint="eastAsia"/>
                <w:color w:val="auto"/>
                <w:highlight w:val="none"/>
                <w:lang w:eastAsia="zh-CN"/>
              </w:rPr>
              <w:t>3.</w:t>
            </w:r>
            <w:r>
              <w:rPr>
                <w:rFonts w:hint="eastAsia"/>
                <w:color w:val="auto"/>
                <w:highlight w:val="none"/>
              </w:rPr>
              <w:t>质量要求：</w:t>
            </w:r>
            <w:r>
              <w:rPr>
                <w:rFonts w:hint="eastAsia"/>
                <w:color w:val="auto"/>
                <w:highlight w:val="none"/>
                <w:lang w:eastAsia="zh-CN"/>
              </w:rPr>
              <w:t>合格标准，符合国家、省、市以及相关管理部门相关规定和行业规范。</w:t>
            </w:r>
            <w:r>
              <w:rPr>
                <w:rFonts w:hint="eastAsia"/>
                <w:color w:val="auto"/>
                <w:highlight w:val="none"/>
                <w:lang w:val="en-US" w:eastAsia="zh-CN"/>
              </w:rPr>
              <w:t xml:space="preserve"> </w:t>
            </w:r>
          </w:p>
          <w:p w14:paraId="4122C51F">
            <w:pPr>
              <w:pStyle w:val="237"/>
              <w:tabs>
                <w:tab w:val="left" w:pos="360"/>
                <w:tab w:val="left" w:pos="960"/>
              </w:tabs>
              <w:spacing w:before="0" w:beforeAutospacing="0" w:after="0" w:afterAutospacing="0" w:line="360" w:lineRule="auto"/>
              <w:rPr>
                <w:rFonts w:hint="eastAsia"/>
                <w:b/>
                <w:color w:val="auto"/>
                <w:highlight w:val="none"/>
              </w:rPr>
            </w:pPr>
            <w:r>
              <w:rPr>
                <w:rFonts w:hint="eastAsia"/>
                <w:bCs/>
                <w:color w:val="auto"/>
                <w:highlight w:val="none"/>
                <w:lang w:eastAsia="zh-CN"/>
              </w:rPr>
              <w:t>4.</w:t>
            </w:r>
            <w:r>
              <w:rPr>
                <w:rFonts w:hint="eastAsia"/>
                <w:bCs/>
                <w:color w:val="auto"/>
                <w:highlight w:val="none"/>
              </w:rPr>
              <w:t>项目</w:t>
            </w:r>
            <w:r>
              <w:rPr>
                <w:rFonts w:hint="eastAsia"/>
                <w:bCs/>
                <w:color w:val="auto"/>
                <w:highlight w:val="none"/>
                <w:lang w:val="en-US" w:eastAsia="zh-CN"/>
              </w:rPr>
              <w:t>最高限价</w:t>
            </w:r>
            <w:r>
              <w:rPr>
                <w:rFonts w:hint="eastAsia"/>
                <w:color w:val="auto"/>
                <w:highlight w:val="none"/>
              </w:rPr>
              <w:t>：</w:t>
            </w:r>
            <w:r>
              <w:rPr>
                <w:rFonts w:hint="eastAsia"/>
                <w:color w:val="auto"/>
                <w:highlight w:val="none"/>
                <w:lang w:val="en-US" w:eastAsia="zh-CN"/>
              </w:rPr>
              <w:t>500万元</w:t>
            </w:r>
            <w:r>
              <w:rPr>
                <w:rFonts w:hint="eastAsia"/>
                <w:bCs/>
                <w:color w:val="auto"/>
                <w:highlight w:val="none"/>
              </w:rPr>
              <w:t>。</w:t>
            </w:r>
          </w:p>
          <w:p w14:paraId="4F1BFEA0">
            <w:pPr>
              <w:pStyle w:val="237"/>
              <w:tabs>
                <w:tab w:val="left" w:pos="360"/>
                <w:tab w:val="left" w:pos="960"/>
              </w:tabs>
              <w:spacing w:before="0" w:beforeAutospacing="0" w:after="0" w:afterAutospacing="0" w:line="360" w:lineRule="auto"/>
              <w:rPr>
                <w:rFonts w:hint="eastAsia"/>
                <w:bCs/>
                <w:color w:val="auto"/>
                <w:highlight w:val="none"/>
              </w:rPr>
            </w:pPr>
            <w:r>
              <w:rPr>
                <w:rFonts w:hint="eastAsia"/>
                <w:bCs/>
                <w:color w:val="auto"/>
                <w:highlight w:val="none"/>
                <w:lang w:eastAsia="zh-CN"/>
              </w:rPr>
              <w:t>5.</w:t>
            </w:r>
            <w:r>
              <w:rPr>
                <w:rFonts w:hint="eastAsia"/>
                <w:bCs/>
                <w:color w:val="auto"/>
                <w:highlight w:val="none"/>
              </w:rPr>
              <w:t>本项目</w:t>
            </w:r>
            <w:r>
              <w:rPr>
                <w:rFonts w:hint="eastAsia"/>
                <w:b/>
                <w:color w:val="auto"/>
                <w:highlight w:val="none"/>
                <w:u w:val="single"/>
              </w:rPr>
              <w:t>不接受</w:t>
            </w:r>
            <w:r>
              <w:rPr>
                <w:rFonts w:hint="eastAsia"/>
                <w:bCs/>
                <w:color w:val="auto"/>
                <w:highlight w:val="none"/>
              </w:rPr>
              <w:t>联合体投标。</w:t>
            </w:r>
          </w:p>
          <w:p w14:paraId="60F301C3">
            <w:pPr>
              <w:pStyle w:val="237"/>
              <w:tabs>
                <w:tab w:val="left" w:pos="360"/>
                <w:tab w:val="left" w:pos="960"/>
              </w:tabs>
              <w:spacing w:before="0" w:beforeAutospacing="0" w:after="0" w:afterAutospacing="0" w:line="360" w:lineRule="auto"/>
              <w:rPr>
                <w:rFonts w:hint="eastAsia"/>
                <w:b/>
                <w:color w:val="auto"/>
                <w:highlight w:val="none"/>
              </w:rPr>
            </w:pPr>
            <w:r>
              <w:rPr>
                <w:rFonts w:hint="eastAsia"/>
                <w:b/>
                <w:color w:val="auto"/>
                <w:highlight w:val="none"/>
                <w:lang w:eastAsia="zh-CN"/>
              </w:rPr>
              <w:t>6.</w:t>
            </w:r>
            <w:r>
              <w:rPr>
                <w:rFonts w:hint="eastAsia"/>
                <w:b/>
                <w:color w:val="auto"/>
                <w:highlight w:val="none"/>
              </w:rPr>
              <w:t>本项目是否专门面向</w:t>
            </w:r>
            <w:r>
              <w:rPr>
                <w:rFonts w:hint="eastAsia"/>
                <w:b/>
                <w:color w:val="auto"/>
                <w:highlight w:val="none"/>
                <w:lang w:val="en-US" w:eastAsia="zh-CN"/>
              </w:rPr>
              <w:t>中</w:t>
            </w:r>
            <w:r>
              <w:rPr>
                <w:rFonts w:hint="eastAsia"/>
                <w:b/>
                <w:color w:val="auto"/>
                <w:highlight w:val="none"/>
              </w:rPr>
              <w:t>小微企业：是。</w:t>
            </w:r>
          </w:p>
          <w:p w14:paraId="3DCDBCA0">
            <w:pPr>
              <w:pStyle w:val="237"/>
              <w:tabs>
                <w:tab w:val="left" w:pos="360"/>
                <w:tab w:val="left" w:pos="960"/>
              </w:tabs>
              <w:spacing w:before="0" w:beforeAutospacing="0" w:after="0" w:afterAutospacing="0" w:line="360" w:lineRule="auto"/>
              <w:rPr>
                <w:rFonts w:hint="eastAsia"/>
                <w:b/>
                <w:color w:val="auto"/>
                <w:highlight w:val="none"/>
              </w:rPr>
            </w:pPr>
            <w:r>
              <w:rPr>
                <w:rFonts w:hint="eastAsia"/>
                <w:b/>
                <w:color w:val="auto"/>
                <w:highlight w:val="none"/>
                <w:lang w:eastAsia="zh-CN"/>
              </w:rPr>
              <w:t>7.</w:t>
            </w:r>
            <w:r>
              <w:rPr>
                <w:rFonts w:hint="eastAsia"/>
                <w:b/>
                <w:color w:val="auto"/>
                <w:highlight w:val="none"/>
              </w:rPr>
              <w:t>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p>
        </w:tc>
      </w:tr>
      <w:tr w14:paraId="456D1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3B733AF5">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rPr>
              <w:t>4</w:t>
            </w:r>
          </w:p>
        </w:tc>
        <w:tc>
          <w:tcPr>
            <w:tcW w:w="8191" w:type="dxa"/>
            <w:noWrap w:val="0"/>
            <w:vAlign w:val="center"/>
          </w:tcPr>
          <w:p w14:paraId="22262A9C">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rPr>
              <w:t>投标人资格要求：</w:t>
            </w:r>
          </w:p>
          <w:p w14:paraId="462AB6B8">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rPr>
              <w:t>1.满足《中华人民共和国政府采购法》第二十二条规定：</w:t>
            </w:r>
          </w:p>
          <w:p w14:paraId="4FC86336">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rPr>
              <w:t>（1）参加政府采购活动前三年内，在经营活动中没有重大违法记录；具有履行合同所必需的设备和专业技术能力；（提供关于资格的声明函，格式见附件）</w:t>
            </w:r>
          </w:p>
          <w:p w14:paraId="25D25D58">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rPr>
              <w:t>（2）具有独立承担民事责任的能力；（提供具有独立承担民事责任能力的供应商有效的营业执照或相关部门的登记证明文件原件扫描件加盖公章）</w:t>
            </w:r>
          </w:p>
          <w:p w14:paraId="3C56A060">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rPr>
              <w:t>（3）具有良好的商业信誉和健全的财务会计制度；[提供投标人近一年中任意一个月份(</w:t>
            </w:r>
            <w:r>
              <w:rPr>
                <w:rFonts w:hint="eastAsia"/>
                <w:b/>
                <w:bCs/>
                <w:color w:val="auto"/>
                <w:highlight w:val="none"/>
              </w:rPr>
              <w:t>不含开标当月</w:t>
            </w:r>
            <w:r>
              <w:rPr>
                <w:rFonts w:hint="eastAsia"/>
                <w:color w:val="auto"/>
                <w:highlight w:val="none"/>
              </w:rPr>
              <w:t>)的财务状况报告(资产负债表和利润表)或由会计师事务所出具的近两年中任意一个年度的审计报告和所附已审计财务报告原件扫描件并加盖公章]</w:t>
            </w:r>
          </w:p>
          <w:p w14:paraId="4D4BA7DF">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rPr>
              <w:t>（4）有依法缴纳税收的良好记录；[提供投标人近一年中任意一个月份(</w:t>
            </w:r>
            <w:r>
              <w:rPr>
                <w:rFonts w:hint="eastAsia"/>
                <w:b/>
                <w:bCs/>
                <w:color w:val="auto"/>
                <w:highlight w:val="none"/>
              </w:rPr>
              <w:t>不含开标当月</w:t>
            </w:r>
            <w:r>
              <w:rPr>
                <w:rFonts w:hint="eastAsia"/>
                <w:color w:val="auto"/>
                <w:highlight w:val="none"/>
              </w:rPr>
              <w:t>)的依法缴纳税收的相关材料(提供相关主管部门证明或银行代扣证明)原件扫描件并加盖公章]</w:t>
            </w:r>
          </w:p>
          <w:p w14:paraId="28E81B83">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rPr>
              <w:t>（5）有依法缴纳社会保障资金的良好记录；[提供投标人近一年中任意一个月份(</w:t>
            </w:r>
            <w:r>
              <w:rPr>
                <w:rFonts w:hint="eastAsia"/>
                <w:b/>
                <w:bCs/>
                <w:color w:val="auto"/>
                <w:highlight w:val="none"/>
              </w:rPr>
              <w:t>不含开标当月</w:t>
            </w:r>
            <w:r>
              <w:rPr>
                <w:rFonts w:hint="eastAsia"/>
                <w:color w:val="auto"/>
                <w:highlight w:val="none"/>
              </w:rPr>
              <w:t>)的依法缴纳社会保障资金的相关材料(提供相关主管部门证明或银行代扣证明)原件扫描件并加盖公章]</w:t>
            </w:r>
          </w:p>
          <w:p w14:paraId="29B502A6">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lang w:val="en-US" w:eastAsia="zh-CN"/>
              </w:rPr>
              <w:t>2</w:t>
            </w:r>
            <w:r>
              <w:rPr>
                <w:rFonts w:hint="eastAsia"/>
                <w:color w:val="auto"/>
                <w:highlight w:val="none"/>
              </w:rPr>
              <w:t>.落实政府采购政策需满足的资格要求：本项目专门面向</w:t>
            </w:r>
            <w:r>
              <w:rPr>
                <w:rFonts w:hint="eastAsia"/>
                <w:color w:val="auto"/>
                <w:highlight w:val="none"/>
                <w:lang w:val="en-US" w:eastAsia="zh-CN"/>
              </w:rPr>
              <w:t>中小微</w:t>
            </w:r>
            <w:r>
              <w:rPr>
                <w:rFonts w:hint="eastAsia"/>
                <w:color w:val="auto"/>
                <w:highlight w:val="none"/>
              </w:rPr>
              <w:t>企业，投标供应商须提供《中小企业声明函》或《监狱企业证明文件</w:t>
            </w:r>
            <w:r>
              <w:rPr>
                <w:rFonts w:hint="eastAsia"/>
                <w:color w:val="auto"/>
                <w:highlight w:val="none"/>
                <w:lang w:eastAsia="zh-CN"/>
              </w:rPr>
              <w:t>》《</w:t>
            </w:r>
            <w:r>
              <w:rPr>
                <w:rFonts w:hint="eastAsia"/>
                <w:color w:val="auto"/>
                <w:highlight w:val="none"/>
              </w:rPr>
              <w:t>残疾人福利性单位声明函》；</w:t>
            </w:r>
          </w:p>
          <w:p w14:paraId="06418A13">
            <w:pPr>
              <w:pStyle w:val="237"/>
              <w:tabs>
                <w:tab w:val="left" w:pos="0"/>
              </w:tabs>
              <w:spacing w:before="0" w:beforeAutospacing="0" w:after="0" w:afterAutospacing="0" w:line="360" w:lineRule="auto"/>
              <w:rPr>
                <w:rFonts w:hint="eastAsia"/>
                <w:color w:val="auto"/>
                <w:highlight w:val="none"/>
              </w:rPr>
            </w:pPr>
            <w:r>
              <w:rPr>
                <w:rFonts w:hint="eastAsia"/>
                <w:color w:val="auto"/>
                <w:highlight w:val="none"/>
                <w:lang w:val="en-US" w:eastAsia="zh-CN"/>
              </w:rPr>
              <w:t>3.</w:t>
            </w:r>
            <w:r>
              <w:rPr>
                <w:rFonts w:hint="eastAsia"/>
                <w:color w:val="auto"/>
                <w:highlight w:val="none"/>
              </w:rPr>
              <w:t>本项目的特定资格要求：</w:t>
            </w:r>
          </w:p>
          <w:p w14:paraId="51F05794">
            <w:pPr>
              <w:pStyle w:val="237"/>
              <w:tabs>
                <w:tab w:val="left" w:pos="0"/>
              </w:tabs>
              <w:spacing w:before="0" w:beforeAutospacing="0" w:after="0" w:afterAutospacing="0" w:line="360" w:lineRule="auto"/>
              <w:rPr>
                <w:rFonts w:hint="eastAsia"/>
                <w:color w:val="auto"/>
                <w:highlight w:val="none"/>
                <w:lang w:eastAsia="zh-CN"/>
              </w:rPr>
            </w:pPr>
            <w:r>
              <w:rPr>
                <w:rFonts w:hint="eastAsia"/>
                <w:color w:val="auto"/>
                <w:highlight w:val="none"/>
                <w:lang w:eastAsia="zh-CN"/>
              </w:rPr>
              <w:t>（1）供应商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评标当日代理机构查询结果为准）。</w:t>
            </w:r>
          </w:p>
          <w:p w14:paraId="533CC449">
            <w:pPr>
              <w:pStyle w:val="237"/>
              <w:tabs>
                <w:tab w:val="left" w:pos="0"/>
              </w:tabs>
              <w:spacing w:before="0" w:beforeAutospacing="0" w:after="0" w:afterAutospacing="0" w:line="360" w:lineRule="auto"/>
              <w:rPr>
                <w:rFonts w:hint="eastAsia"/>
                <w:color w:val="auto"/>
                <w:highlight w:val="none"/>
                <w:lang w:eastAsia="zh-CN"/>
              </w:rPr>
            </w:pPr>
            <w:r>
              <w:rPr>
                <w:rFonts w:hint="eastAsia"/>
                <w:color w:val="auto"/>
                <w:highlight w:val="none"/>
                <w:lang w:eastAsia="zh-CN"/>
              </w:rPr>
              <w:t>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5477578">
            <w:pPr>
              <w:pStyle w:val="237"/>
              <w:tabs>
                <w:tab w:val="left" w:pos="0"/>
              </w:tabs>
              <w:spacing w:before="0" w:beforeAutospacing="0" w:after="0" w:afterAutospacing="0" w:line="360" w:lineRule="auto"/>
              <w:rPr>
                <w:rFonts w:hint="eastAsia"/>
                <w:color w:val="auto"/>
                <w:highlight w:val="none"/>
                <w:lang w:eastAsia="zh-CN"/>
              </w:rPr>
            </w:pPr>
            <w:r>
              <w:rPr>
                <w:rFonts w:hint="eastAsia"/>
                <w:color w:val="auto"/>
                <w:highlight w:val="none"/>
                <w:lang w:eastAsia="zh-CN"/>
              </w:rPr>
              <w:t>②《中华人民共和国政府采购法》第二十二条的规定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p>
          <w:p w14:paraId="7A7947DE">
            <w:pPr>
              <w:pStyle w:val="237"/>
              <w:tabs>
                <w:tab w:val="left" w:pos="0"/>
              </w:tabs>
              <w:spacing w:before="0" w:beforeAutospacing="0" w:after="0" w:afterAutospacing="0" w:line="360" w:lineRule="auto"/>
              <w:rPr>
                <w:rFonts w:hint="eastAsia"/>
                <w:color w:val="auto"/>
                <w:highlight w:val="none"/>
                <w:lang w:eastAsia="zh-CN"/>
              </w:rPr>
            </w:pPr>
            <w:r>
              <w:rPr>
                <w:rFonts w:hint="eastAsia"/>
                <w:color w:val="auto"/>
                <w:highlight w:val="none"/>
                <w:lang w:eastAsia="zh-CN"/>
              </w:rPr>
              <w:t>③单位负责人为同一人或者存在直接控股、管理关系的不同供应商，不得参加同一合同项下的政府采购活动。</w:t>
            </w:r>
          </w:p>
          <w:p w14:paraId="5B7E1F2B">
            <w:pPr>
              <w:pStyle w:val="237"/>
              <w:tabs>
                <w:tab w:val="left" w:pos="0"/>
              </w:tabs>
              <w:spacing w:before="0" w:beforeAutospacing="0" w:after="0" w:afterAutospacing="0" w:line="360" w:lineRule="auto"/>
              <w:rPr>
                <w:rFonts w:hint="eastAsia" w:eastAsia="宋体"/>
                <w:color w:val="auto"/>
                <w:highlight w:val="none"/>
                <w:lang w:val="en-US" w:eastAsia="zh-CN"/>
              </w:rPr>
            </w:pPr>
            <w:r>
              <w:rPr>
                <w:rFonts w:hint="eastAsia"/>
                <w:color w:val="auto"/>
                <w:highlight w:val="none"/>
                <w:lang w:eastAsia="zh-CN"/>
              </w:rPr>
              <w:t>④采购人有权对以上资格条件进行核查，如投标供应商有弄虚作假行为或不具备以上条件的将取消其投标资格。</w:t>
            </w:r>
          </w:p>
        </w:tc>
      </w:tr>
      <w:tr w14:paraId="47F12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41C1971C">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8191" w:type="dxa"/>
            <w:noWrap w:val="0"/>
            <w:vAlign w:val="center"/>
          </w:tcPr>
          <w:p w14:paraId="709FF4BD">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发售采购文件时间：</w:t>
            </w:r>
          </w:p>
          <w:p w14:paraId="5BF958EE">
            <w:pPr>
              <w:widowControl/>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bCs/>
                <w:color w:val="auto"/>
                <w:sz w:val="24"/>
                <w:highlight w:val="none"/>
                <w:lang w:val="en-US" w:eastAsia="zh-CN"/>
              </w:rPr>
              <w:t>获取采购文件时间：</w:t>
            </w:r>
            <w:r>
              <w:rPr>
                <w:rFonts w:hint="eastAsia" w:ascii="宋体" w:hAnsi="宋体"/>
                <w:b/>
                <w:bCs w:val="0"/>
                <w:color w:val="auto"/>
                <w:sz w:val="24"/>
                <w:highlight w:val="none"/>
                <w:lang w:eastAsia="zh-CN"/>
              </w:rPr>
              <w:t>2026年</w:t>
            </w:r>
            <w:r>
              <w:rPr>
                <w:rFonts w:hint="eastAsia" w:ascii="宋体" w:hAnsi="宋体"/>
                <w:b/>
                <w:bCs w:val="0"/>
                <w:color w:val="auto"/>
                <w:sz w:val="24"/>
                <w:highlight w:val="none"/>
                <w:lang w:val="en-US" w:eastAsia="zh-CN"/>
              </w:rPr>
              <w:t>6</w:t>
            </w:r>
            <w:r>
              <w:rPr>
                <w:rFonts w:hint="eastAsia" w:ascii="宋体" w:hAnsi="宋体"/>
                <w:b/>
                <w:bCs w:val="0"/>
                <w:color w:val="auto"/>
                <w:sz w:val="24"/>
                <w:highlight w:val="none"/>
              </w:rPr>
              <w:t>月</w:t>
            </w:r>
            <w:r>
              <w:rPr>
                <w:rFonts w:hint="eastAsia" w:ascii="宋体" w:hAnsi="宋体"/>
                <w:b/>
                <w:bCs w:val="0"/>
                <w:color w:val="auto"/>
                <w:sz w:val="24"/>
                <w:highlight w:val="none"/>
                <w:lang w:val="en-US" w:eastAsia="zh-CN"/>
              </w:rPr>
              <w:t>4</w:t>
            </w:r>
            <w:r>
              <w:rPr>
                <w:rFonts w:hint="eastAsia" w:ascii="宋体" w:hAnsi="宋体"/>
                <w:b/>
                <w:bCs w:val="0"/>
                <w:color w:val="auto"/>
                <w:sz w:val="24"/>
                <w:highlight w:val="none"/>
              </w:rPr>
              <w:t>日</w:t>
            </w:r>
            <w:r>
              <w:rPr>
                <w:rFonts w:hint="eastAsia" w:ascii="宋体" w:hAnsi="宋体"/>
                <w:bCs/>
                <w:color w:val="auto"/>
                <w:sz w:val="24"/>
                <w:highlight w:val="none"/>
              </w:rPr>
              <w:t>至</w:t>
            </w:r>
            <w:r>
              <w:rPr>
                <w:rFonts w:hint="eastAsia" w:ascii="宋体" w:hAnsi="宋体"/>
                <w:b/>
                <w:bCs w:val="0"/>
                <w:color w:val="auto"/>
                <w:sz w:val="24"/>
                <w:highlight w:val="none"/>
                <w:lang w:eastAsia="zh-CN"/>
              </w:rPr>
              <w:t>2026年</w:t>
            </w:r>
            <w:r>
              <w:rPr>
                <w:rFonts w:hint="eastAsia" w:ascii="宋体" w:hAnsi="宋体"/>
                <w:b/>
                <w:bCs w:val="0"/>
                <w:color w:val="auto"/>
                <w:sz w:val="24"/>
                <w:highlight w:val="none"/>
                <w:lang w:val="en-US" w:eastAsia="zh-CN"/>
              </w:rPr>
              <w:t>6</w:t>
            </w:r>
            <w:r>
              <w:rPr>
                <w:rFonts w:hint="eastAsia" w:ascii="宋体" w:hAnsi="宋体"/>
                <w:b/>
                <w:bCs w:val="0"/>
                <w:color w:val="auto"/>
                <w:sz w:val="24"/>
                <w:highlight w:val="none"/>
              </w:rPr>
              <w:t>月</w:t>
            </w:r>
            <w:r>
              <w:rPr>
                <w:rFonts w:hint="eastAsia" w:ascii="宋体" w:hAnsi="宋体"/>
                <w:b/>
                <w:bCs w:val="0"/>
                <w:color w:val="auto"/>
                <w:sz w:val="24"/>
                <w:highlight w:val="none"/>
                <w:lang w:val="en-US" w:eastAsia="zh-CN"/>
              </w:rPr>
              <w:t>11</w:t>
            </w:r>
            <w:r>
              <w:rPr>
                <w:rFonts w:hint="eastAsia" w:ascii="宋体" w:hAnsi="宋体"/>
                <w:b/>
                <w:bCs w:val="0"/>
                <w:color w:val="auto"/>
                <w:sz w:val="24"/>
                <w:highlight w:val="none"/>
              </w:rPr>
              <w:t>日</w:t>
            </w:r>
            <w:r>
              <w:rPr>
                <w:rFonts w:hint="eastAsia" w:ascii="宋体" w:hAnsi="宋体"/>
                <w:bCs/>
                <w:color w:val="auto"/>
                <w:sz w:val="24"/>
                <w:highlight w:val="none"/>
              </w:rPr>
              <w:t>，每天上午0</w:t>
            </w:r>
            <w:r>
              <w:rPr>
                <w:rFonts w:hint="eastAsia" w:ascii="宋体" w:hAnsi="宋体"/>
                <w:bCs/>
                <w:color w:val="auto"/>
                <w:sz w:val="24"/>
                <w:highlight w:val="none"/>
                <w:lang w:val="en-US" w:eastAsia="zh-CN"/>
              </w:rPr>
              <w:t>0</w:t>
            </w:r>
            <w:r>
              <w:rPr>
                <w:rFonts w:hint="eastAsia" w:ascii="宋体" w:hAnsi="宋体"/>
                <w:bCs/>
                <w:color w:val="auto"/>
                <w:sz w:val="24"/>
                <w:highlight w:val="none"/>
              </w:rPr>
              <w:t>:00-12:00，下午12:00-23:59（北京时间，法定节假日除外）</w:t>
            </w:r>
          </w:p>
          <w:p w14:paraId="488B40B5">
            <w:pPr>
              <w:widowControl/>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获取方式：本项目采用网上注册登记方式</w:t>
            </w:r>
            <w:r>
              <w:rPr>
                <w:rFonts w:hint="eastAsia" w:ascii="宋体" w:hAnsi="宋体" w:cs="宋体"/>
                <w:bCs/>
                <w:color w:val="auto"/>
                <w:sz w:val="24"/>
                <w:szCs w:val="24"/>
                <w:highlight w:val="none"/>
                <w:lang w:eastAsia="zh-CN"/>
              </w:rPr>
              <w:t>，在</w:t>
            </w:r>
            <w:r>
              <w:rPr>
                <w:rFonts w:hint="eastAsia" w:ascii="宋体" w:hAnsi="宋体" w:cs="宋体"/>
                <w:bCs/>
                <w:color w:val="auto"/>
                <w:sz w:val="24"/>
                <w:szCs w:val="24"/>
                <w:highlight w:val="none"/>
              </w:rPr>
              <w:t>网上注册登记成功</w:t>
            </w:r>
            <w:r>
              <w:rPr>
                <w:rFonts w:hint="eastAsia" w:ascii="宋体" w:hAnsi="宋体" w:cs="宋体"/>
                <w:bCs/>
                <w:color w:val="auto"/>
                <w:sz w:val="24"/>
                <w:szCs w:val="24"/>
                <w:highlight w:val="none"/>
                <w:lang w:eastAsia="zh-CN"/>
              </w:rPr>
              <w:t>后在</w:t>
            </w:r>
            <w:r>
              <w:rPr>
                <w:rFonts w:hint="eastAsia" w:ascii="宋体" w:hAnsi="宋体" w:cs="宋体"/>
                <w:bCs/>
                <w:color w:val="auto"/>
                <w:sz w:val="24"/>
                <w:szCs w:val="24"/>
                <w:highlight w:val="none"/>
              </w:rPr>
              <w:t>系统内免费下载。</w:t>
            </w:r>
          </w:p>
          <w:p w14:paraId="0195B9C5">
            <w:pPr>
              <w:keepNext w:val="0"/>
              <w:keepLines w:val="0"/>
              <w:pageBreakBefore w:val="0"/>
              <w:widowControl/>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潜在报价供应商如确定投标，可在“无锡政府采购网--江苏省政府采购（苏采云）平台</w:t>
            </w:r>
            <w:r>
              <w:rPr>
                <w:rFonts w:hint="eastAsia" w:ascii="宋体" w:hAnsi="宋体" w:cs="宋体"/>
                <w:bCs/>
                <w:color w:val="auto"/>
                <w:sz w:val="24"/>
                <w:szCs w:val="24"/>
                <w:highlight w:val="none"/>
                <w:lang w:eastAsia="zh-CN"/>
              </w:rPr>
              <w:t>”或</w:t>
            </w:r>
            <w:r>
              <w:rPr>
                <w:rFonts w:hint="eastAsia" w:ascii="宋体" w:hAnsi="宋体" w:cs="宋体"/>
                <w:bCs/>
                <w:color w:val="auto"/>
                <w:sz w:val="24"/>
                <w:szCs w:val="24"/>
                <w:highlight w:val="none"/>
              </w:rPr>
              <w:t>“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p>
          <w:p w14:paraId="1D3BD9B1">
            <w:pPr>
              <w:widowControl/>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cs="宋体"/>
                <w:bCs/>
                <w:color w:val="auto"/>
                <w:sz w:val="24"/>
                <w:szCs w:val="24"/>
                <w:highlight w:val="none"/>
              </w:rPr>
              <w:t>报价供应商应承担其编制响应文件以及递交响应文件所涉及的一切费用。无论投标结果如何，采购人对上述费用不负任何责任。</w:t>
            </w:r>
          </w:p>
          <w:p w14:paraId="4354C6BB">
            <w:pPr>
              <w:widowControl/>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cs="宋体"/>
                <w:bCs/>
                <w:color w:val="auto"/>
                <w:sz w:val="24"/>
                <w:szCs w:val="24"/>
                <w:highlight w:val="none"/>
              </w:rPr>
              <w:t>本项目</w:t>
            </w:r>
            <w:r>
              <w:rPr>
                <w:rFonts w:hint="eastAsia" w:ascii="宋体" w:hAnsi="宋体" w:cs="宋体"/>
                <w:bCs/>
                <w:color w:val="auto"/>
                <w:sz w:val="24"/>
                <w:szCs w:val="24"/>
                <w:highlight w:val="none"/>
                <w:lang w:eastAsia="zh-CN"/>
              </w:rPr>
              <w:t>无需</w:t>
            </w:r>
            <w:r>
              <w:rPr>
                <w:rFonts w:hint="eastAsia" w:ascii="宋体" w:hAnsi="宋体" w:cs="宋体"/>
                <w:bCs/>
                <w:color w:val="auto"/>
                <w:sz w:val="24"/>
                <w:szCs w:val="24"/>
                <w:highlight w:val="none"/>
              </w:rPr>
              <w:t>缴纳投标保证金。</w:t>
            </w:r>
          </w:p>
        </w:tc>
      </w:tr>
      <w:tr w14:paraId="02247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4C657AAC">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8191" w:type="dxa"/>
            <w:noWrap w:val="0"/>
            <w:vAlign w:val="center"/>
          </w:tcPr>
          <w:p w14:paraId="1CB361F2">
            <w:pPr>
              <w:widowControl/>
              <w:spacing w:line="360" w:lineRule="auto"/>
              <w:ind w:left="1" w:leftChars="-28" w:hanging="60" w:hangingChars="25"/>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rPr>
              <w:t>投标供应商对采购文件提出修改、澄清要求的截止</w:t>
            </w:r>
            <w:r>
              <w:rPr>
                <w:rFonts w:hint="eastAsia" w:ascii="宋体" w:hAnsi="宋体" w:cs="宋体"/>
                <w:b w:val="0"/>
                <w:bCs w:val="0"/>
                <w:color w:val="auto"/>
                <w:sz w:val="24"/>
                <w:szCs w:val="24"/>
                <w:highlight w:val="none"/>
              </w:rPr>
              <w:t>时间：</w:t>
            </w:r>
            <w:r>
              <w:rPr>
                <w:rFonts w:hint="eastAsia" w:ascii="宋体" w:hAnsi="宋体" w:cs="宋体"/>
                <w:b/>
                <w:bCs/>
                <w:color w:val="auto"/>
                <w:sz w:val="24"/>
                <w:szCs w:val="24"/>
                <w:highlight w:val="none"/>
                <w:u w:val="none"/>
                <w:lang w:eastAsia="zh-CN"/>
              </w:rPr>
              <w:t>2026年</w:t>
            </w:r>
            <w:r>
              <w:rPr>
                <w:rFonts w:hint="eastAsia" w:ascii="宋体" w:hAnsi="宋体"/>
                <w:b/>
                <w:bCs/>
                <w:color w:val="auto"/>
                <w:sz w:val="24"/>
                <w:highlight w:val="none"/>
                <w:lang w:val="en-US" w:eastAsia="zh-CN"/>
              </w:rPr>
              <w:t>6月</w:t>
            </w:r>
            <w:r>
              <w:rPr>
                <w:rFonts w:hint="eastAsia" w:ascii="宋体" w:hAnsi="宋体" w:cs="宋体"/>
                <w:b/>
                <w:bCs/>
                <w:color w:val="auto"/>
                <w:sz w:val="24"/>
                <w:szCs w:val="24"/>
                <w:highlight w:val="none"/>
                <w:u w:val="none"/>
                <w:lang w:val="en-US" w:eastAsia="zh-CN"/>
              </w:rPr>
              <w:t>12</w:t>
            </w:r>
            <w:r>
              <w:rPr>
                <w:rFonts w:hint="eastAsia" w:ascii="宋体" w:hAnsi="宋体" w:cs="宋体"/>
                <w:b/>
                <w:bCs/>
                <w:color w:val="auto"/>
                <w:sz w:val="24"/>
                <w:szCs w:val="24"/>
                <w:highlight w:val="none"/>
                <w:u w:val="none"/>
              </w:rPr>
              <w:t>日</w:t>
            </w:r>
            <w:r>
              <w:rPr>
                <w:rFonts w:hint="eastAsia" w:ascii="宋体" w:hAnsi="宋体" w:cs="宋体"/>
                <w:b w:val="0"/>
                <w:bCs w:val="0"/>
                <w:color w:val="auto"/>
                <w:sz w:val="24"/>
                <w:szCs w:val="24"/>
                <w:highlight w:val="none"/>
              </w:rPr>
              <w:t>10:00时，以书面传真形式和电子邮件形式发送给采购代理机构。</w:t>
            </w:r>
          </w:p>
          <w:p w14:paraId="2DF478A6">
            <w:pPr>
              <w:widowControl/>
              <w:spacing w:line="360" w:lineRule="auto"/>
              <w:rPr>
                <w:rFonts w:hint="eastAsia" w:ascii="宋体" w:hAnsi="宋体" w:cs="宋体"/>
                <w:color w:val="auto"/>
                <w:sz w:val="24"/>
                <w:szCs w:val="24"/>
                <w:highlight w:val="none"/>
              </w:rPr>
            </w:pPr>
            <w:r>
              <w:rPr>
                <w:rFonts w:hint="eastAsia" w:ascii="宋体" w:hAnsi="宋体" w:cs="宋体"/>
                <w:b w:val="0"/>
                <w:bCs w:val="0"/>
                <w:color w:val="auto"/>
                <w:sz w:val="24"/>
                <w:szCs w:val="24"/>
                <w:highlight w:val="none"/>
              </w:rPr>
              <w:t>采购人对采购文件修改、澄清的截止时间：</w:t>
            </w:r>
            <w:r>
              <w:rPr>
                <w:rFonts w:hint="eastAsia" w:ascii="宋体" w:hAnsi="宋体" w:cs="宋体"/>
                <w:b/>
                <w:bCs/>
                <w:color w:val="auto"/>
                <w:sz w:val="24"/>
                <w:szCs w:val="24"/>
                <w:highlight w:val="none"/>
                <w:u w:val="none"/>
                <w:lang w:eastAsia="zh-CN"/>
              </w:rPr>
              <w:t>2026年</w:t>
            </w:r>
            <w:r>
              <w:rPr>
                <w:rFonts w:hint="eastAsia" w:ascii="宋体" w:hAnsi="宋体" w:cs="宋体"/>
                <w:b/>
                <w:bCs/>
                <w:color w:val="auto"/>
                <w:sz w:val="24"/>
                <w:szCs w:val="24"/>
                <w:highlight w:val="none"/>
                <w:u w:val="none"/>
                <w:lang w:val="en-US" w:eastAsia="zh-CN"/>
              </w:rPr>
              <w:t>6</w:t>
            </w:r>
            <w:r>
              <w:rPr>
                <w:rFonts w:hint="eastAsia" w:ascii="宋体" w:hAnsi="宋体"/>
                <w:b/>
                <w:bCs/>
                <w:color w:val="auto"/>
                <w:sz w:val="24"/>
                <w:highlight w:val="none"/>
              </w:rPr>
              <w:t>月</w:t>
            </w:r>
            <w:r>
              <w:rPr>
                <w:rFonts w:hint="eastAsia" w:ascii="宋体" w:hAnsi="宋体" w:cs="宋体"/>
                <w:b/>
                <w:bCs/>
                <w:color w:val="auto"/>
                <w:sz w:val="24"/>
                <w:szCs w:val="24"/>
                <w:highlight w:val="none"/>
                <w:u w:val="none"/>
                <w:lang w:val="en-US" w:eastAsia="zh-CN"/>
              </w:rPr>
              <w:t>12</w:t>
            </w:r>
            <w:r>
              <w:rPr>
                <w:rFonts w:hint="eastAsia" w:ascii="宋体" w:hAnsi="宋体" w:cs="宋体"/>
                <w:b/>
                <w:bCs/>
                <w:color w:val="auto"/>
                <w:sz w:val="24"/>
                <w:szCs w:val="24"/>
                <w:highlight w:val="none"/>
                <w:u w:val="none"/>
              </w:rPr>
              <w:t>日</w:t>
            </w:r>
            <w:r>
              <w:rPr>
                <w:rFonts w:hint="eastAsia" w:ascii="宋体" w:hAnsi="宋体" w:cs="宋体"/>
                <w:color w:val="auto"/>
                <w:sz w:val="24"/>
                <w:szCs w:val="24"/>
                <w:highlight w:val="none"/>
              </w:rPr>
              <w:t>16:00时前，</w:t>
            </w:r>
            <w:r>
              <w:rPr>
                <w:rFonts w:hint="eastAsia" w:hAnsi="宋体" w:cs="宋体"/>
                <w:color w:val="auto"/>
                <w:sz w:val="24"/>
                <w:highlight w:val="none"/>
              </w:rPr>
              <w:t>以电子邮件形式告知</w:t>
            </w:r>
            <w:r>
              <w:rPr>
                <w:rFonts w:hint="eastAsia" w:ascii="宋体" w:hAnsi="宋体" w:cs="宋体"/>
                <w:color w:val="auto"/>
                <w:sz w:val="24"/>
                <w:szCs w:val="24"/>
                <w:highlight w:val="none"/>
              </w:rPr>
              <w:t>各报名投标供应商。</w:t>
            </w:r>
          </w:p>
        </w:tc>
      </w:tr>
      <w:tr w14:paraId="239F2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704" w:type="dxa"/>
            <w:noWrap w:val="0"/>
            <w:vAlign w:val="center"/>
          </w:tcPr>
          <w:p w14:paraId="271E33C3">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8191" w:type="dxa"/>
            <w:noWrap w:val="0"/>
            <w:vAlign w:val="center"/>
          </w:tcPr>
          <w:p w14:paraId="3DF9F77C">
            <w:pPr>
              <w:widowControl/>
              <w:spacing w:line="360" w:lineRule="auto"/>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本项目无需递交投标保证金</w:t>
            </w:r>
          </w:p>
        </w:tc>
      </w:tr>
      <w:tr w14:paraId="02C62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704" w:type="dxa"/>
            <w:noWrap w:val="0"/>
            <w:vAlign w:val="center"/>
          </w:tcPr>
          <w:p w14:paraId="1E2D7239">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8191" w:type="dxa"/>
            <w:noWrap w:val="0"/>
            <w:vAlign w:val="center"/>
          </w:tcPr>
          <w:p w14:paraId="20BCAA79">
            <w:pPr>
              <w:widowControl/>
              <w:spacing w:line="360" w:lineRule="auto"/>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投标有效期：投标截止之日起90天</w:t>
            </w:r>
          </w:p>
        </w:tc>
      </w:tr>
      <w:tr w14:paraId="10966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0B574240">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8191" w:type="dxa"/>
            <w:noWrap w:val="0"/>
            <w:vAlign w:val="center"/>
          </w:tcPr>
          <w:p w14:paraId="1F8BE7D4">
            <w:pPr>
              <w:widowControl/>
              <w:spacing w:line="360" w:lineRule="auto"/>
              <w:ind w:left="240" w:hanging="240" w:hangingChars="1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投标截止时间</w:t>
            </w:r>
            <w:r>
              <w:rPr>
                <w:rFonts w:hint="eastAsia" w:ascii="宋体" w:hAnsi="宋体"/>
                <w:color w:val="auto"/>
                <w:sz w:val="24"/>
                <w:szCs w:val="24"/>
                <w:highlight w:val="none"/>
              </w:rPr>
              <w:t>（网上投标截止时间苏采云投标客户端投标）</w:t>
            </w:r>
            <w:r>
              <w:rPr>
                <w:rFonts w:hint="eastAsia" w:ascii="宋体" w:hAnsi="宋体" w:cs="宋体"/>
                <w:color w:val="auto"/>
                <w:sz w:val="24"/>
                <w:szCs w:val="24"/>
                <w:highlight w:val="none"/>
              </w:rPr>
              <w:t>：</w:t>
            </w:r>
          </w:p>
          <w:p w14:paraId="1E68219F">
            <w:pPr>
              <w:widowControl/>
              <w:spacing w:line="360" w:lineRule="auto"/>
              <w:ind w:left="240" w:hanging="241" w:hangingChars="100"/>
              <w:jc w:val="both"/>
              <w:rPr>
                <w:rFonts w:hint="eastAsia" w:ascii="宋体" w:hAnsi="宋体" w:cs="宋体"/>
                <w:color w:val="auto"/>
                <w:sz w:val="24"/>
                <w:szCs w:val="24"/>
                <w:highlight w:val="none"/>
              </w:rPr>
            </w:pPr>
            <w:r>
              <w:rPr>
                <w:rFonts w:hint="eastAsia" w:ascii="宋体" w:hAnsi="宋体" w:cs="宋体"/>
                <w:b/>
                <w:bCs/>
                <w:color w:val="auto"/>
                <w:sz w:val="24"/>
                <w:szCs w:val="24"/>
                <w:highlight w:val="none"/>
                <w:u w:val="none"/>
                <w:lang w:eastAsia="zh-CN"/>
              </w:rPr>
              <w:t>2026年</w:t>
            </w:r>
            <w:r>
              <w:rPr>
                <w:rFonts w:hint="eastAsia" w:ascii="宋体" w:hAnsi="宋体"/>
                <w:b/>
                <w:bCs/>
                <w:color w:val="auto"/>
                <w:sz w:val="24"/>
                <w:highlight w:val="none"/>
                <w:lang w:val="en-US" w:eastAsia="zh-CN"/>
              </w:rPr>
              <w:t>6</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29</w:t>
            </w:r>
            <w:r>
              <w:rPr>
                <w:rFonts w:hint="eastAsia" w:ascii="宋体" w:hAnsi="宋体"/>
                <w:b/>
                <w:bCs/>
                <w:color w:val="auto"/>
                <w:sz w:val="24"/>
                <w:highlight w:val="none"/>
              </w:rPr>
              <w:t>日</w:t>
            </w:r>
            <w:r>
              <w:rPr>
                <w:rFonts w:hint="eastAsia" w:ascii="宋体" w:hAnsi="宋体"/>
                <w:b/>
                <w:bCs/>
                <w:color w:val="auto"/>
                <w:sz w:val="24"/>
                <w:highlight w:val="none"/>
                <w:lang w:val="en-US" w:eastAsia="zh-CN"/>
              </w:rPr>
              <w:t>9</w:t>
            </w:r>
            <w:r>
              <w:rPr>
                <w:rFonts w:hint="eastAsia" w:ascii="宋体" w:hAnsi="宋体" w:cs="宋体"/>
                <w:b/>
                <w:bCs/>
                <w:color w:val="auto"/>
                <w:sz w:val="24"/>
                <w:szCs w:val="24"/>
                <w:highlight w:val="none"/>
              </w:rPr>
              <w:t>:30</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北京时间</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截止时间后的投标文件恕不接受。</w:t>
            </w:r>
          </w:p>
          <w:p w14:paraId="1E3DA1C0">
            <w:pPr>
              <w:pStyle w:val="237"/>
              <w:tabs>
                <w:tab w:val="left" w:pos="284"/>
              </w:tabs>
              <w:spacing w:before="0" w:beforeAutospacing="0" w:after="0" w:afterAutospacing="0" w:line="360" w:lineRule="auto"/>
              <w:jc w:val="both"/>
              <w:rPr>
                <w:rFonts w:hint="eastAsia"/>
                <w:color w:val="auto"/>
                <w:highlight w:val="none"/>
              </w:rPr>
            </w:pPr>
            <w:r>
              <w:rPr>
                <w:rFonts w:hint="eastAsia"/>
                <w:color w:val="auto"/>
                <w:highlight w:val="none"/>
              </w:rPr>
              <w:t>投标方式：网上投标截止时间前</w:t>
            </w:r>
            <w:r>
              <w:rPr>
                <w:rFonts w:hint="eastAsia"/>
                <w:color w:val="auto"/>
                <w:highlight w:val="none"/>
                <w:lang w:eastAsia="zh-CN"/>
              </w:rPr>
              <w:t>使用苏</w:t>
            </w:r>
            <w:r>
              <w:rPr>
                <w:rFonts w:hint="eastAsia"/>
                <w:color w:val="auto"/>
                <w:highlight w:val="none"/>
              </w:rPr>
              <w:t>采云投标客户端投标</w:t>
            </w:r>
          </w:p>
          <w:p w14:paraId="7ABCD443">
            <w:pPr>
              <w:pStyle w:val="237"/>
              <w:tabs>
                <w:tab w:val="left" w:pos="284"/>
              </w:tabs>
              <w:spacing w:before="0" w:beforeAutospacing="0" w:after="0" w:afterAutospacing="0" w:line="360" w:lineRule="auto"/>
              <w:jc w:val="both"/>
              <w:rPr>
                <w:rFonts w:hint="eastAsia"/>
                <w:color w:val="auto"/>
                <w:highlight w:val="none"/>
              </w:rPr>
            </w:pPr>
            <w:r>
              <w:rPr>
                <w:rFonts w:hint="eastAsia"/>
                <w:color w:val="auto"/>
                <w:highlight w:val="none"/>
              </w:rPr>
              <w:t>投标地点：江苏省政府采购（苏采云）平台投标，线上不见面开标</w:t>
            </w:r>
          </w:p>
          <w:p w14:paraId="0748BE2B">
            <w:pPr>
              <w:tabs>
                <w:tab w:val="left" w:pos="360"/>
              </w:tabs>
              <w:spacing w:line="360" w:lineRule="auto"/>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网上投标解密时间：开启解密后半小时</w:t>
            </w:r>
            <w:r>
              <w:rPr>
                <w:rFonts w:hint="eastAsia" w:ascii="宋体" w:hAnsi="宋体" w:cs="宋体"/>
                <w:color w:val="auto"/>
                <w:sz w:val="24"/>
                <w:szCs w:val="24"/>
                <w:highlight w:val="none"/>
                <w:lang w:eastAsia="zh-CN"/>
              </w:rPr>
              <w:t>。</w:t>
            </w:r>
          </w:p>
          <w:p w14:paraId="055762BD">
            <w:pPr>
              <w:pStyle w:val="213"/>
              <w:spacing w:line="360" w:lineRule="auto"/>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特别提醒：</w:t>
            </w:r>
          </w:p>
          <w:p w14:paraId="67FFBED6">
            <w:pPr>
              <w:pStyle w:val="213"/>
              <w:spacing w:line="360" w:lineRule="auto"/>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1.</w:t>
            </w:r>
            <w:r>
              <w:rPr>
                <w:rFonts w:hint="eastAsia" w:ascii="宋体" w:hAnsi="宋体" w:eastAsia="宋体" w:cs="宋体"/>
                <w:b/>
                <w:bCs w:val="0"/>
                <w:color w:val="auto"/>
                <w:sz w:val="24"/>
                <w:szCs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7DABC3DB">
            <w:pPr>
              <w:pStyle w:val="213"/>
              <w:spacing w:line="360" w:lineRule="auto"/>
              <w:jc w:val="both"/>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eastAsia="zh-CN"/>
              </w:rPr>
              <w:t>2.</w:t>
            </w:r>
            <w:r>
              <w:rPr>
                <w:rFonts w:hint="eastAsia" w:ascii="宋体" w:hAnsi="宋体" w:eastAsia="宋体" w:cs="宋体"/>
                <w:b/>
                <w:bCs w:val="0"/>
                <w:color w:val="auto"/>
                <w:sz w:val="24"/>
                <w:szCs w:val="24"/>
                <w:highlight w:val="none"/>
              </w:rPr>
              <w:t>若</w:t>
            </w:r>
            <w:r>
              <w:rPr>
                <w:rFonts w:hint="eastAsia" w:ascii="宋体" w:hAnsi="宋体" w:eastAsia="宋体" w:cs="宋体"/>
                <w:b/>
                <w:bCs w:val="0"/>
                <w:color w:val="auto"/>
                <w:sz w:val="24"/>
                <w:szCs w:val="24"/>
                <w:highlight w:val="none"/>
                <w:lang w:eastAsia="zh-CN"/>
              </w:rPr>
              <w:t>在资格</w:t>
            </w:r>
            <w:r>
              <w:rPr>
                <w:rFonts w:hint="eastAsia" w:ascii="宋体" w:hAnsi="宋体" w:eastAsia="宋体" w:cs="宋体"/>
                <w:b/>
                <w:bCs w:val="0"/>
                <w:color w:val="auto"/>
                <w:sz w:val="24"/>
                <w:szCs w:val="24"/>
                <w:highlight w:val="none"/>
              </w:rPr>
              <w:t>审查中或评审过程中，采购人/代理机构/评标委员会对响应文件存在疑问，报价供应商</w:t>
            </w:r>
            <w:r>
              <w:rPr>
                <w:rFonts w:hint="eastAsia" w:ascii="宋体" w:hAnsi="宋体" w:eastAsia="宋体" w:cs="宋体"/>
                <w:b/>
                <w:bCs w:val="0"/>
                <w:color w:val="auto"/>
                <w:sz w:val="24"/>
                <w:szCs w:val="24"/>
                <w:highlight w:val="none"/>
                <w:lang w:eastAsia="zh-CN"/>
              </w:rPr>
              <w:t>的被</w:t>
            </w:r>
            <w:r>
              <w:rPr>
                <w:rFonts w:hint="eastAsia" w:ascii="宋体" w:hAnsi="宋体" w:eastAsia="宋体" w:cs="宋体"/>
                <w:b/>
                <w:bCs w:val="0"/>
                <w:color w:val="auto"/>
                <w:sz w:val="24"/>
                <w:szCs w:val="24"/>
                <w:highlight w:val="none"/>
              </w:rPr>
              <w:t>授权代表须在接到在线询标函后15分钟内，在开标界面在线以澄清函回复并签章；若报价供应商</w:t>
            </w:r>
            <w:r>
              <w:rPr>
                <w:rFonts w:hint="eastAsia" w:ascii="宋体" w:hAnsi="宋体" w:eastAsia="宋体" w:cs="宋体"/>
                <w:b/>
                <w:bCs w:val="0"/>
                <w:color w:val="auto"/>
                <w:sz w:val="24"/>
                <w:szCs w:val="24"/>
                <w:highlight w:val="none"/>
                <w:lang w:eastAsia="zh-CN"/>
              </w:rPr>
              <w:t>的被</w:t>
            </w:r>
            <w:r>
              <w:rPr>
                <w:rFonts w:hint="eastAsia" w:ascii="宋体" w:hAnsi="宋体" w:eastAsia="宋体" w:cs="宋体"/>
                <w:b/>
                <w:bCs w:val="0"/>
                <w:color w:val="auto"/>
                <w:sz w:val="24"/>
                <w:szCs w:val="24"/>
                <w:highlight w:val="none"/>
              </w:rPr>
              <w:t>授权代表未在规定时间内按上述要求</w:t>
            </w:r>
            <w:r>
              <w:rPr>
                <w:rFonts w:hint="eastAsia" w:ascii="宋体" w:hAnsi="宋体" w:eastAsia="宋体" w:cs="宋体"/>
                <w:b/>
                <w:bCs w:val="0"/>
                <w:color w:val="auto"/>
                <w:sz w:val="24"/>
                <w:szCs w:val="24"/>
                <w:highlight w:val="none"/>
                <w:lang w:val="en-US" w:eastAsia="zh-CN"/>
              </w:rPr>
              <w:t>作</w:t>
            </w:r>
            <w:r>
              <w:rPr>
                <w:rFonts w:hint="eastAsia" w:ascii="宋体" w:hAnsi="宋体" w:eastAsia="宋体" w:cs="宋体"/>
                <w:b/>
                <w:bCs w:val="0"/>
                <w:color w:val="auto"/>
                <w:sz w:val="24"/>
                <w:szCs w:val="24"/>
                <w:highlight w:val="none"/>
              </w:rPr>
              <w:t>出回复，则视为报价供应商默认资审结果或评审结果。</w:t>
            </w:r>
          </w:p>
        </w:tc>
      </w:tr>
      <w:tr w14:paraId="1FD6E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2009A8B5">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8191" w:type="dxa"/>
            <w:noWrap w:val="0"/>
            <w:vAlign w:val="center"/>
          </w:tcPr>
          <w:p w14:paraId="488D0929">
            <w:pPr>
              <w:keepNext w:val="0"/>
              <w:keepLines w:val="0"/>
              <w:pageBreakBefore w:val="0"/>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开标时间：</w:t>
            </w:r>
            <w:r>
              <w:rPr>
                <w:rFonts w:hint="eastAsia" w:ascii="宋体" w:hAnsi="宋体" w:cs="宋体"/>
                <w:b/>
                <w:bCs/>
                <w:color w:val="auto"/>
                <w:sz w:val="24"/>
                <w:szCs w:val="24"/>
                <w:highlight w:val="none"/>
                <w:u w:val="none"/>
                <w:lang w:eastAsia="zh-CN"/>
              </w:rPr>
              <w:t>2026年</w:t>
            </w:r>
            <w:r>
              <w:rPr>
                <w:rFonts w:hint="eastAsia" w:ascii="宋体" w:hAnsi="宋体"/>
                <w:b/>
                <w:bCs/>
                <w:color w:val="auto"/>
                <w:sz w:val="24"/>
                <w:highlight w:val="none"/>
                <w:lang w:val="en-US" w:eastAsia="zh-CN"/>
              </w:rPr>
              <w:t>6</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29</w:t>
            </w:r>
            <w:r>
              <w:rPr>
                <w:rFonts w:hint="eastAsia" w:ascii="宋体" w:hAnsi="宋体"/>
                <w:b/>
                <w:bCs/>
                <w:color w:val="auto"/>
                <w:sz w:val="24"/>
                <w:highlight w:val="none"/>
              </w:rPr>
              <w:t>日</w:t>
            </w:r>
            <w:r>
              <w:rPr>
                <w:rFonts w:hint="eastAsia" w:ascii="宋体" w:hAnsi="宋体"/>
                <w:b/>
                <w:bCs/>
                <w:color w:val="auto"/>
                <w:sz w:val="24"/>
                <w:highlight w:val="none"/>
                <w:lang w:val="en-US" w:eastAsia="zh-CN"/>
              </w:rPr>
              <w:t>9</w:t>
            </w:r>
            <w:r>
              <w:rPr>
                <w:rFonts w:hint="eastAsia" w:ascii="宋体" w:hAnsi="宋体" w:cs="宋体"/>
                <w:b/>
                <w:bCs/>
                <w:color w:val="auto"/>
                <w:sz w:val="24"/>
                <w:szCs w:val="24"/>
                <w:highlight w:val="none"/>
                <w:u w:val="none"/>
              </w:rPr>
              <w:t>:30</w:t>
            </w:r>
          </w:p>
          <w:p w14:paraId="783E4296">
            <w:pPr>
              <w:keepNext w:val="0"/>
              <w:keepLines w:val="0"/>
              <w:pageBreakBefore w:val="0"/>
              <w:tabs>
                <w:tab w:val="left" w:pos="36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开标地点：“苏采云”系统（网址：http://jszfcg.jsczt.cn/）“开标大厅”</w:t>
            </w:r>
          </w:p>
        </w:tc>
      </w:tr>
      <w:tr w14:paraId="34EE7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7F9E11BC">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8191" w:type="dxa"/>
            <w:noWrap w:val="0"/>
            <w:vAlign w:val="center"/>
          </w:tcPr>
          <w:p w14:paraId="4C81231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rPr>
              <w:t>确定中标单位时间：</w:t>
            </w:r>
            <w:r>
              <w:rPr>
                <w:rFonts w:hint="eastAsia" w:ascii="宋体" w:hAnsi="宋体" w:cs="宋体"/>
                <w:bCs/>
                <w:color w:val="auto"/>
                <w:sz w:val="24"/>
                <w:szCs w:val="24"/>
                <w:highlight w:val="none"/>
                <w:lang w:val="en-US" w:eastAsia="zh-CN"/>
              </w:rPr>
              <w:t>评标结束</w:t>
            </w:r>
          </w:p>
          <w:p w14:paraId="09911ABF">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确定中标单位地点：“苏采云”系统（网址：http://jszfcg.jsczt.cn/）“开标大厅”</w:t>
            </w:r>
          </w:p>
        </w:tc>
      </w:tr>
      <w:tr w14:paraId="0A959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3" w:hRule="atLeast"/>
        </w:trPr>
        <w:tc>
          <w:tcPr>
            <w:tcW w:w="704" w:type="dxa"/>
            <w:noWrap w:val="0"/>
            <w:vAlign w:val="center"/>
          </w:tcPr>
          <w:p w14:paraId="5F86C134">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8191" w:type="dxa"/>
            <w:noWrap w:val="0"/>
            <w:vAlign w:val="center"/>
          </w:tcPr>
          <w:p w14:paraId="7FC727CD">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投标文件制作要求：</w:t>
            </w:r>
          </w:p>
          <w:p w14:paraId="0C221235">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本项目采用线上电子开评标，供应商</w:t>
            </w:r>
            <w:r>
              <w:rPr>
                <w:rFonts w:hint="eastAsia" w:ascii="宋体" w:hAnsi="宋体" w:cs="宋体"/>
                <w:color w:val="auto"/>
                <w:sz w:val="24"/>
                <w:szCs w:val="24"/>
                <w:highlight w:val="none"/>
                <w:lang w:eastAsia="zh-CN"/>
              </w:rPr>
              <w:t>应在</w:t>
            </w:r>
            <w:r>
              <w:rPr>
                <w:rFonts w:hint="eastAsia" w:ascii="宋体" w:hAnsi="宋体" w:cs="宋体"/>
                <w:color w:val="auto"/>
                <w:sz w:val="24"/>
                <w:szCs w:val="24"/>
                <w:highlight w:val="none"/>
              </w:rPr>
              <w:t>开标截止时间前</w:t>
            </w:r>
            <w:r>
              <w:rPr>
                <w:rFonts w:hint="eastAsia" w:ascii="宋体" w:hAnsi="宋体" w:cs="宋体"/>
                <w:color w:val="auto"/>
                <w:sz w:val="24"/>
                <w:szCs w:val="24"/>
                <w:highlight w:val="none"/>
                <w:lang w:eastAsia="zh-CN"/>
              </w:rPr>
              <w:t>在网上</w:t>
            </w:r>
            <w:r>
              <w:rPr>
                <w:rFonts w:hint="eastAsia" w:ascii="宋体" w:hAnsi="宋体" w:cs="宋体"/>
                <w:color w:val="auto"/>
                <w:sz w:val="24"/>
                <w:szCs w:val="24"/>
                <w:highlight w:val="none"/>
              </w:rPr>
              <w:t>上传电子投标文件。</w:t>
            </w:r>
          </w:p>
          <w:p w14:paraId="6BA34278">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开标当天请供应商联系人</w:t>
            </w:r>
            <w:r>
              <w:rPr>
                <w:rFonts w:hint="eastAsia" w:ascii="宋体" w:hAnsi="宋体" w:cs="宋体"/>
                <w:color w:val="auto"/>
                <w:sz w:val="24"/>
                <w:szCs w:val="24"/>
                <w:highlight w:val="none"/>
                <w:lang w:eastAsia="zh-CN"/>
              </w:rPr>
              <w:t>保持通信畅通</w:t>
            </w:r>
            <w:r>
              <w:rPr>
                <w:rFonts w:hint="eastAsia" w:ascii="宋体" w:hAnsi="宋体" w:cs="宋体"/>
                <w:color w:val="auto"/>
                <w:sz w:val="24"/>
                <w:szCs w:val="24"/>
                <w:highlight w:val="none"/>
              </w:rPr>
              <w:t>。</w:t>
            </w:r>
          </w:p>
          <w:p w14:paraId="121DA205">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eastAsia="zh-CN"/>
              </w:rPr>
              <w:t>应</w:t>
            </w:r>
            <w:r>
              <w:rPr>
                <w:rFonts w:hint="eastAsia" w:ascii="宋体" w:hAnsi="宋体" w:cs="宋体"/>
                <w:color w:val="auto"/>
                <w:sz w:val="24"/>
                <w:szCs w:val="24"/>
                <w:highlight w:val="none"/>
              </w:rPr>
              <w:t>仔细阅读供应商注册流程和采购文件中关于电子开评标等相关事项，如有问题可</w:t>
            </w:r>
            <w:r>
              <w:rPr>
                <w:rFonts w:hint="eastAsia" w:ascii="宋体" w:hAnsi="宋体" w:cs="宋体"/>
                <w:color w:val="auto"/>
                <w:sz w:val="24"/>
                <w:szCs w:val="24"/>
                <w:highlight w:val="none"/>
                <w:lang w:eastAsia="zh-CN"/>
              </w:rPr>
              <w:t>通过发送</w:t>
            </w:r>
            <w:r>
              <w:rPr>
                <w:rFonts w:hint="eastAsia" w:ascii="宋体" w:hAnsi="宋体" w:cs="宋体"/>
                <w:color w:val="auto"/>
                <w:sz w:val="24"/>
                <w:szCs w:val="24"/>
                <w:highlight w:val="none"/>
              </w:rPr>
              <w:t>邮件或电话咨询。</w:t>
            </w:r>
          </w:p>
          <w:p w14:paraId="41ED2B43">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本次采购采用“苏采云”系统进行采购活动，招标文件发布、报价、评审和中标结果发布全程电子化。</w:t>
            </w:r>
          </w:p>
          <w:p w14:paraId="61E83301">
            <w:pPr>
              <w:widowControl/>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5.</w:t>
            </w:r>
            <w:r>
              <w:rPr>
                <w:rFonts w:hint="eastAsia" w:ascii="宋体" w:hAnsi="宋体" w:cs="宋体"/>
                <w:b/>
                <w:color w:val="auto"/>
                <w:sz w:val="24"/>
                <w:szCs w:val="24"/>
                <w:highlight w:val="none"/>
              </w:rPr>
              <w:t>中标供应商在收到中标通知书后与采购人签订合同前，必须提供与系统中电子投标文件一致的纸质投标文件一正</w:t>
            </w:r>
            <w:r>
              <w:rPr>
                <w:rFonts w:hint="eastAsia" w:ascii="宋体" w:hAnsi="宋体" w:cs="宋体"/>
                <w:b/>
                <w:color w:val="auto"/>
                <w:sz w:val="24"/>
                <w:szCs w:val="24"/>
                <w:highlight w:val="none"/>
                <w:lang w:val="en-US" w:eastAsia="zh-CN"/>
              </w:rPr>
              <w:t>两</w:t>
            </w:r>
            <w:r>
              <w:rPr>
                <w:rFonts w:hint="eastAsia" w:ascii="宋体" w:hAnsi="宋体" w:cs="宋体"/>
                <w:b/>
                <w:color w:val="auto"/>
                <w:sz w:val="24"/>
                <w:szCs w:val="24"/>
                <w:highlight w:val="none"/>
              </w:rPr>
              <w:t>副。</w:t>
            </w:r>
          </w:p>
        </w:tc>
      </w:tr>
      <w:tr w14:paraId="7BA57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091289E4">
            <w:pPr>
              <w:widowControl/>
              <w:spacing w:line="360" w:lineRule="auto"/>
              <w:jc w:val="lef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13</w:t>
            </w:r>
          </w:p>
        </w:tc>
        <w:tc>
          <w:tcPr>
            <w:tcW w:w="8191" w:type="dxa"/>
            <w:noWrap w:val="0"/>
            <w:vAlign w:val="center"/>
          </w:tcPr>
          <w:p w14:paraId="48369BF2">
            <w:pPr>
              <w:widowControl/>
              <w:spacing w:line="360" w:lineRule="auto"/>
              <w:jc w:val="lef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有关本次采购活动程序方面的问题，可来人、来函（传真）或电话联系。</w:t>
            </w:r>
          </w:p>
          <w:p w14:paraId="246DDADF">
            <w:pPr>
              <w:widowControl/>
              <w:spacing w:line="360" w:lineRule="auto"/>
              <w:jc w:val="lef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采购人：无锡市新吴生态环境局</w:t>
            </w:r>
          </w:p>
          <w:p w14:paraId="2EAACE49">
            <w:pPr>
              <w:widowControl/>
              <w:spacing w:line="360" w:lineRule="auto"/>
              <w:jc w:val="lef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联系地址：无锡市新吴区净慧东道70号</w:t>
            </w:r>
          </w:p>
          <w:p w14:paraId="3DF86CD2">
            <w:pPr>
              <w:widowControl/>
              <w:spacing w:line="360" w:lineRule="auto"/>
              <w:jc w:val="lef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采购单位联系人：</w:t>
            </w:r>
            <w:r>
              <w:rPr>
                <w:rFonts w:hint="eastAsia" w:ascii="宋体" w:hAnsi="宋体" w:cs="宋体"/>
                <w:bCs/>
                <w:color w:val="auto"/>
                <w:sz w:val="24"/>
                <w:szCs w:val="24"/>
                <w:highlight w:val="none"/>
                <w:lang w:val="en-US" w:eastAsia="zh-CN"/>
              </w:rPr>
              <w:t>冯钦</w:t>
            </w:r>
            <w:r>
              <w:rPr>
                <w:rFonts w:hint="default" w:ascii="宋体" w:hAnsi="宋体" w:cs="宋体"/>
                <w:bCs/>
                <w:color w:val="auto"/>
                <w:sz w:val="24"/>
                <w:szCs w:val="24"/>
                <w:highlight w:val="none"/>
                <w:lang w:eastAsia="zh-CN"/>
              </w:rPr>
              <w:t> </w:t>
            </w:r>
          </w:p>
          <w:p w14:paraId="5F7AEB77">
            <w:pPr>
              <w:widowControl/>
              <w:spacing w:line="360" w:lineRule="auto"/>
              <w:jc w:val="lef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联系电话：</w:t>
            </w:r>
            <w:r>
              <w:rPr>
                <w:rFonts w:hint="eastAsia" w:ascii="宋体" w:hAnsi="宋体" w:cs="宋体"/>
                <w:bCs/>
                <w:color w:val="auto"/>
                <w:sz w:val="24"/>
                <w:szCs w:val="24"/>
                <w:highlight w:val="none"/>
                <w:lang w:val="en-US" w:eastAsia="zh-CN"/>
              </w:rPr>
              <w:t>0510-81814211</w:t>
            </w:r>
          </w:p>
          <w:p w14:paraId="450A6272">
            <w:pPr>
              <w:widowControl/>
              <w:spacing w:line="360" w:lineRule="auto"/>
              <w:jc w:val="left"/>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采购代理机构：</w:t>
            </w:r>
            <w:r>
              <w:rPr>
                <w:rFonts w:hint="eastAsia" w:ascii="宋体" w:hAnsi="宋体" w:cs="宋体"/>
                <w:bCs/>
                <w:color w:val="auto"/>
                <w:sz w:val="24"/>
                <w:szCs w:val="24"/>
                <w:highlight w:val="none"/>
                <w:lang w:eastAsia="zh-CN"/>
              </w:rPr>
              <w:t>江苏朝阳工程管理咨询有限责任公司</w:t>
            </w:r>
          </w:p>
          <w:p w14:paraId="4B90FF85">
            <w:pPr>
              <w:widowControl/>
              <w:spacing w:line="360" w:lineRule="auto"/>
              <w:jc w:val="lef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联系人：</w:t>
            </w:r>
            <w:r>
              <w:rPr>
                <w:rFonts w:hint="eastAsia" w:ascii="宋体" w:hAnsi="宋体" w:cs="宋体"/>
                <w:bCs/>
                <w:color w:val="auto"/>
                <w:sz w:val="24"/>
                <w:szCs w:val="24"/>
                <w:highlight w:val="none"/>
                <w:lang w:val="en-US" w:eastAsia="zh-CN"/>
              </w:rPr>
              <w:t>唐杰民、吴晓兰</w:t>
            </w:r>
          </w:p>
          <w:p w14:paraId="15AC5EF6">
            <w:pPr>
              <w:widowControl/>
              <w:spacing w:line="360" w:lineRule="auto"/>
              <w:jc w:val="lef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联系电话：</w:t>
            </w:r>
            <w:r>
              <w:rPr>
                <w:rFonts w:hint="eastAsia" w:ascii="宋体" w:hAnsi="宋体" w:cs="宋体"/>
                <w:bCs/>
                <w:color w:val="auto"/>
                <w:sz w:val="24"/>
                <w:szCs w:val="24"/>
                <w:highlight w:val="none"/>
                <w:lang w:val="en-US" w:eastAsia="zh-CN"/>
              </w:rPr>
              <w:t>15150118937</w:t>
            </w:r>
          </w:p>
          <w:p w14:paraId="2066506E">
            <w:pPr>
              <w:widowControl/>
              <w:spacing w:line="360" w:lineRule="auto"/>
              <w:jc w:val="lef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联系地址：</w:t>
            </w:r>
            <w:r>
              <w:rPr>
                <w:rFonts w:hint="eastAsia" w:ascii="宋体" w:hAnsi="宋体" w:cs="宋体"/>
                <w:bCs/>
                <w:color w:val="auto"/>
                <w:sz w:val="24"/>
                <w:szCs w:val="24"/>
                <w:highlight w:val="none"/>
                <w:lang w:val="zh-CN" w:eastAsia="zh-CN"/>
              </w:rPr>
              <w:t xml:space="preserve">无锡市锡山区长泰国际社区南A-34栋 </w:t>
            </w:r>
          </w:p>
          <w:p w14:paraId="1CFF849F">
            <w:pPr>
              <w:widowControl/>
              <w:spacing w:line="360" w:lineRule="auto"/>
              <w:jc w:val="lef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邮政编码：214000</w:t>
            </w:r>
          </w:p>
          <w:p w14:paraId="6C8BCD6A">
            <w:pPr>
              <w:widowControl/>
              <w:spacing w:line="360" w:lineRule="auto"/>
              <w:jc w:val="lef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电子邮件地址：</w:t>
            </w:r>
            <w:r>
              <w:rPr>
                <w:rFonts w:hint="eastAsia" w:ascii="宋体" w:hAnsi="宋体" w:cs="宋体"/>
                <w:bCs/>
                <w:color w:val="auto"/>
                <w:sz w:val="24"/>
                <w:szCs w:val="24"/>
                <w:highlight w:val="none"/>
                <w:lang w:val="en-US" w:eastAsia="zh-CN"/>
              </w:rPr>
              <w:t>735320591@qq.com</w:t>
            </w:r>
          </w:p>
        </w:tc>
      </w:tr>
      <w:tr w14:paraId="68E2B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60FC5706">
            <w:pPr>
              <w:widowControl/>
              <w:spacing w:line="360" w:lineRule="auto"/>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14</w:t>
            </w:r>
          </w:p>
        </w:tc>
        <w:tc>
          <w:tcPr>
            <w:tcW w:w="8191" w:type="dxa"/>
            <w:noWrap w:val="0"/>
            <w:vAlign w:val="center"/>
          </w:tcPr>
          <w:p w14:paraId="2F16CC20">
            <w:pPr>
              <w:widowControl/>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潜在投标供应商访问江苏省政府采购（苏采云）平台的网络地址和方法如下：</w:t>
            </w:r>
          </w:p>
          <w:p w14:paraId="3B28E034">
            <w:pPr>
              <w:keepNext w:val="0"/>
              <w:keepLines w:val="0"/>
              <w:pageBreakBefore w:val="0"/>
              <w:widowControl/>
              <w:numPr>
                <w:ilvl w:val="0"/>
                <w:numId w:val="0"/>
              </w:numPr>
              <w:spacing w:line="360" w:lineRule="auto"/>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eastAsia="zh-CN" w:bidi="ar-SA"/>
              </w:rPr>
              <w:t>1</w:t>
            </w:r>
            <w:r>
              <w:rPr>
                <w:rFonts w:hint="eastAsia" w:ascii="宋体" w:hAnsi="宋体" w:cs="宋体"/>
                <w:color w:val="auto"/>
                <w:sz w:val="24"/>
                <w:szCs w:val="24"/>
                <w:highlight w:val="none"/>
                <w:lang w:val="en-US" w:eastAsia="zh-CN" w:bidi="ar-SA"/>
              </w:rPr>
              <w:t>.</w:t>
            </w:r>
            <w:r>
              <w:rPr>
                <w:rFonts w:hint="eastAsia" w:ascii="宋体" w:hAnsi="宋体" w:cs="宋体"/>
                <w:color w:val="auto"/>
                <w:sz w:val="24"/>
                <w:szCs w:val="24"/>
                <w:highlight w:val="none"/>
                <w:lang w:val="zh-CN"/>
              </w:rPr>
              <w:t>请有意参加本项目投标的供应商按以下流程进行操作：</w:t>
            </w:r>
          </w:p>
          <w:p w14:paraId="4E750297">
            <w:pPr>
              <w:keepNext w:val="0"/>
              <w:keepLines w:val="0"/>
              <w:pageBreakBefore w:val="0"/>
              <w:widowControl/>
              <w:numPr>
                <w:ilvl w:val="0"/>
                <w:numId w:val="0"/>
              </w:num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（1）访问“无锡政府采购网”，点击“江苏省政府采购（苏采云）平台”——“用户注册”按钮，进入注册界面进行账号注册并填写申请信息；也可直接通过http://jszfcg.jscz.gov.cn/jszc/register进入注册界面。</w:t>
            </w:r>
          </w:p>
          <w:p w14:paraId="5174BBBB">
            <w:pPr>
              <w:keepNext w:val="0"/>
              <w:keepLines w:val="0"/>
              <w:pageBreakBefore w:val="0"/>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（2）领取CA：</w:t>
            </w:r>
          </w:p>
          <w:p w14:paraId="19DCB458">
            <w:pPr>
              <w:keepNext w:val="0"/>
              <w:keepLines w:val="0"/>
              <w:pageBreakBefore w:val="0"/>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报价供应商应及时办理江苏省电子政务证书认证中心CA证书与电子签章手续，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9:00-11:30，13:00-17:00）</w:t>
            </w:r>
          </w:p>
          <w:p w14:paraId="05B3C63B">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（3）CA驱动下载：</w:t>
            </w:r>
          </w:p>
          <w:p w14:paraId="1A3EB709">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在“江苏省政府采购（苏采云）平台”账号登</w:t>
            </w:r>
            <w:r>
              <w:rPr>
                <w:rFonts w:hint="eastAsia" w:ascii="宋体" w:hAnsi="宋体" w:cs="宋体"/>
                <w:color w:val="auto"/>
                <w:sz w:val="24"/>
                <w:szCs w:val="24"/>
                <w:highlight w:val="none"/>
                <w:lang w:val="en-US" w:eastAsia="zh-CN"/>
              </w:rPr>
              <w:t>录</w:t>
            </w:r>
            <w:r>
              <w:rPr>
                <w:rFonts w:hint="eastAsia" w:ascii="宋体" w:hAnsi="宋体" w:cs="宋体"/>
                <w:color w:val="auto"/>
                <w:sz w:val="24"/>
                <w:szCs w:val="24"/>
                <w:highlight w:val="none"/>
                <w:lang w:val="zh-CN"/>
              </w:rPr>
              <w:t>页面，点击“驱动下载”链接中的“政务CA、方正签章控件驱动安装包及安装说明”。可以直接下载驱动安装包，安装包中附有驱动安装手册。</w:t>
            </w:r>
          </w:p>
          <w:p w14:paraId="61E979A8">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6AFC9218">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（5）采购文件（后缀名为“.kedt”）、“苏采云”系统供应商操作手册及政府采购客户端工具也可通过“苏采云”系统--已参与项目--报名详情页面内相应链接进行下载。</w:t>
            </w:r>
          </w:p>
          <w:p w14:paraId="4660B874">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6）政府采购客户端工具及“苏采云”系统供应商操作手册，可访问江苏政府采购网--办事指南--“资料下载”下载《“苏采云”系统供应商操作手册及政府采购客户端工具》，也可至无锡政府采购网--下载专区--“苏采云”栏目下载《“苏采云”系统供应商操作手册》。</w:t>
            </w:r>
          </w:p>
          <w:p w14:paraId="3B62A095">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（7）采购代理机构将数据电文形式的采购文件加载至“苏采云”系统，供潜在供应商下载或者查阅。</w:t>
            </w:r>
          </w:p>
          <w:p w14:paraId="43CBEAC6">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（8）使用“苏采云”系统参与不见面开标时，应使用谷歌浏览器。</w:t>
            </w:r>
          </w:p>
          <w:p w14:paraId="7D741623">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供应商应按上述要求提供相关材料及注册登记信息，所提供的材料均应是真实的、准确的，若有违背，供应商自行承担由此产生的一切后果。如供应商未按上述要求操作，由此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p>
          <w:p w14:paraId="2D9FBC7C">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3.有关本次招标的事项若存在变动或修改，敬请及时关注“无锡政府采购网”“江苏政府采购网”发布的信息。</w:t>
            </w:r>
          </w:p>
          <w:p w14:paraId="252F78D0">
            <w:pPr>
              <w:widowControl/>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4.如投标人未按上述要求操作，由此所产生的损失及风险由投标人自行承担。</w:t>
            </w:r>
          </w:p>
        </w:tc>
      </w:tr>
    </w:tbl>
    <w:p w14:paraId="7F2E06A8">
      <w:pPr>
        <w:pStyle w:val="242"/>
        <w:ind w:left="0" w:firstLine="0"/>
        <w:rPr>
          <w:rFonts w:hint="eastAsia"/>
          <w:color w:val="auto"/>
          <w:highlight w:val="none"/>
        </w:rPr>
      </w:pPr>
    </w:p>
    <w:p w14:paraId="1372B477">
      <w:pPr>
        <w:spacing w:line="360" w:lineRule="auto"/>
        <w:jc w:val="center"/>
        <w:rPr>
          <w:rStyle w:val="202"/>
          <w:rFonts w:hint="eastAsia"/>
          <w:color w:val="auto"/>
          <w:highlight w:val="none"/>
        </w:rPr>
        <w:sectPr>
          <w:footerReference r:id="rId11" w:type="default"/>
          <w:pgSz w:w="11906" w:h="16838"/>
          <w:pgMar w:top="1440" w:right="1800" w:bottom="1440" w:left="1800" w:header="851" w:footer="992" w:gutter="0"/>
          <w:cols w:space="720" w:num="1"/>
          <w:docGrid w:linePitch="360" w:charSpace="0"/>
        </w:sectPr>
      </w:pPr>
      <w:bookmarkStart w:id="18" w:name="_Toc23923"/>
    </w:p>
    <w:p w14:paraId="140E6A76">
      <w:pPr>
        <w:spacing w:line="360" w:lineRule="auto"/>
        <w:jc w:val="center"/>
        <w:outlineLvl w:val="0"/>
        <w:rPr>
          <w:rFonts w:hint="eastAsia" w:hAnsi="宋体" w:cs="宋体"/>
          <w:b/>
          <w:bCs/>
          <w:color w:val="auto"/>
          <w:sz w:val="32"/>
          <w:szCs w:val="32"/>
          <w:highlight w:val="none"/>
        </w:rPr>
      </w:pPr>
      <w:bookmarkStart w:id="19" w:name="_Toc9899"/>
      <w:r>
        <w:rPr>
          <w:rFonts w:hint="eastAsia" w:hAnsi="宋体" w:cs="宋体"/>
          <w:b/>
          <w:bCs/>
          <w:color w:val="auto"/>
          <w:sz w:val="32"/>
          <w:szCs w:val="32"/>
          <w:highlight w:val="none"/>
        </w:rPr>
        <w:t>二、投标人须知</w:t>
      </w:r>
      <w:bookmarkEnd w:id="18"/>
      <w:bookmarkEnd w:id="19"/>
    </w:p>
    <w:p w14:paraId="5B3FE67F">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（一）</w:t>
      </w:r>
      <w:r>
        <w:rPr>
          <w:rFonts w:hint="eastAsia" w:ascii="宋体" w:hAnsi="宋体" w:cs="宋体"/>
          <w:bCs/>
          <w:color w:val="auto"/>
          <w:sz w:val="24"/>
          <w:szCs w:val="24"/>
          <w:highlight w:val="none"/>
        </w:rPr>
        <w:t>遵循原则：</w:t>
      </w:r>
    </w:p>
    <w:p w14:paraId="49CE9FB8">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公开透明原则、公平竞争原则、公正原则和诚实信用原则。</w:t>
      </w:r>
    </w:p>
    <w:p w14:paraId="7B6ECF7E">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（二）</w:t>
      </w:r>
      <w:r>
        <w:rPr>
          <w:rFonts w:hint="eastAsia" w:ascii="宋体" w:hAnsi="宋体" w:cs="宋体"/>
          <w:bCs/>
          <w:color w:val="auto"/>
          <w:sz w:val="24"/>
          <w:szCs w:val="24"/>
          <w:highlight w:val="none"/>
        </w:rPr>
        <w:t>招标文件：</w:t>
      </w:r>
    </w:p>
    <w:p w14:paraId="2FAAAFE5">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招标文件包括本文件目录所列全部内容，投标人应仔细阅读，并在投标文件中充分响应招标文件的所有要求。</w:t>
      </w:r>
    </w:p>
    <w:p w14:paraId="0E94C243">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4C0BB2B4">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投标人一旦参加本项目投标，即表明承诺接受了本招标文件中的所有条件和规定。</w:t>
      </w:r>
    </w:p>
    <w:p w14:paraId="2AFCF3E2">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cs="宋体"/>
          <w:bCs/>
          <w:color w:val="auto"/>
          <w:sz w:val="24"/>
          <w:szCs w:val="24"/>
          <w:highlight w:val="none"/>
        </w:rPr>
        <w:t>招标文件仅作为本次招投标使用。</w:t>
      </w:r>
    </w:p>
    <w:p w14:paraId="6BE4F17C">
      <w:pPr>
        <w:pStyle w:val="46"/>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cs="宋体"/>
          <w:bCs/>
          <w:color w:val="auto"/>
          <w:sz w:val="24"/>
          <w:szCs w:val="24"/>
          <w:highlight w:val="none"/>
        </w:rPr>
        <w:t>招标文件中的“法定代表人”是指投标人的营业执照或相关部门的登记证明文件中的“法定代表人”或“负责人”。</w:t>
      </w:r>
    </w:p>
    <w:p w14:paraId="63CB4751">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（三）</w:t>
      </w:r>
      <w:r>
        <w:rPr>
          <w:rFonts w:hint="eastAsia" w:ascii="宋体" w:hAnsi="宋体" w:cs="宋体"/>
          <w:bCs/>
          <w:color w:val="auto"/>
          <w:sz w:val="24"/>
          <w:szCs w:val="24"/>
          <w:highlight w:val="none"/>
        </w:rPr>
        <w:t>招标文件的解释：</w:t>
      </w:r>
    </w:p>
    <w:p w14:paraId="1197EE2F">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本文件的最终解释权归采购人及</w:t>
      </w:r>
      <w:r>
        <w:rPr>
          <w:rFonts w:hint="eastAsia" w:ascii="宋体" w:hAnsi="宋体" w:cs="宋体"/>
          <w:bCs/>
          <w:color w:val="auto"/>
          <w:sz w:val="24"/>
          <w:szCs w:val="24"/>
          <w:highlight w:val="none"/>
          <w:lang w:eastAsia="zh-CN"/>
        </w:rPr>
        <w:t>江苏朝阳工程管理咨询有限责任公司</w:t>
      </w:r>
      <w:r>
        <w:rPr>
          <w:rFonts w:hint="eastAsia" w:ascii="宋体" w:hAnsi="宋体" w:cs="宋体"/>
          <w:bCs/>
          <w:color w:val="auto"/>
          <w:sz w:val="24"/>
          <w:szCs w:val="24"/>
          <w:highlight w:val="none"/>
        </w:rPr>
        <w:t>。</w:t>
      </w:r>
    </w:p>
    <w:p w14:paraId="3AA4706E">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（四）</w:t>
      </w:r>
      <w:r>
        <w:rPr>
          <w:rFonts w:hint="eastAsia" w:ascii="宋体" w:hAnsi="宋体" w:cs="宋体"/>
          <w:bCs/>
          <w:color w:val="auto"/>
          <w:sz w:val="24"/>
          <w:szCs w:val="24"/>
          <w:highlight w:val="none"/>
        </w:rPr>
        <w:t>招标文件的补充或修正：</w:t>
      </w:r>
    </w:p>
    <w:p w14:paraId="66E1C7D7">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采购人或采购代理机构可在投标截止时间15日前对招标文件进行必要的澄清或者修改，不足15日的，将顺延提交投标文件的截止时间。</w:t>
      </w:r>
    </w:p>
    <w:p w14:paraId="6BC6C992">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如需对招标文件进行澄清或修正，</w:t>
      </w:r>
      <w:r>
        <w:rPr>
          <w:rFonts w:hint="eastAsia" w:ascii="宋体" w:hAnsi="宋体" w:cs="宋体"/>
          <w:bCs/>
          <w:color w:val="auto"/>
          <w:sz w:val="24"/>
          <w:szCs w:val="24"/>
          <w:highlight w:val="none"/>
          <w:lang w:eastAsia="zh-CN"/>
        </w:rPr>
        <w:t>江苏朝阳工程管理咨询有限责任公司</w:t>
      </w:r>
      <w:r>
        <w:rPr>
          <w:rFonts w:hint="eastAsia" w:ascii="宋体" w:hAnsi="宋体" w:cs="宋体"/>
          <w:bCs/>
          <w:color w:val="auto"/>
          <w:sz w:val="24"/>
          <w:szCs w:val="24"/>
          <w:highlight w:val="none"/>
        </w:rPr>
        <w:t>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p>
    <w:p w14:paraId="11462F97">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auto"/>
          <w:sz w:val="24"/>
          <w:szCs w:val="24"/>
          <w:highlight w:val="none"/>
          <w:lang w:eastAsia="zh-CN"/>
        </w:rPr>
        <w:t>江苏朝阳工程管理咨询有限责任公司</w:t>
      </w:r>
      <w:r>
        <w:rPr>
          <w:rFonts w:hint="eastAsia" w:ascii="宋体" w:hAnsi="宋体" w:cs="宋体"/>
          <w:bCs/>
          <w:color w:val="auto"/>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auto"/>
          <w:sz w:val="24"/>
          <w:szCs w:val="24"/>
          <w:highlight w:val="none"/>
          <w:lang w:eastAsia="zh-CN"/>
        </w:rPr>
        <w:t>江苏朝阳工程管理咨询有限责任公司</w:t>
      </w:r>
      <w:r>
        <w:rPr>
          <w:rFonts w:hint="eastAsia" w:ascii="宋体" w:hAnsi="宋体" w:cs="宋体"/>
          <w:bCs/>
          <w:color w:val="auto"/>
          <w:sz w:val="24"/>
          <w:szCs w:val="24"/>
          <w:highlight w:val="none"/>
        </w:rPr>
        <w:t>将在收到符合上述要求的书面质疑后七个工作日内，对质疑内容</w:t>
      </w:r>
      <w:r>
        <w:rPr>
          <w:rFonts w:hint="eastAsia" w:ascii="宋体" w:hAnsi="宋体" w:cs="宋体"/>
          <w:bCs/>
          <w:color w:val="auto"/>
          <w:sz w:val="24"/>
          <w:szCs w:val="24"/>
          <w:highlight w:val="none"/>
          <w:lang w:val="en-US" w:eastAsia="zh-CN"/>
        </w:rPr>
        <w:t>作</w:t>
      </w:r>
      <w:r>
        <w:rPr>
          <w:rFonts w:hint="eastAsia" w:ascii="宋体" w:hAnsi="宋体" w:cs="宋体"/>
          <w:bCs/>
          <w:color w:val="auto"/>
          <w:sz w:val="24"/>
          <w:szCs w:val="24"/>
          <w:highlight w:val="none"/>
        </w:rPr>
        <w:t>出答复。投标人在法定质疑期限外送达的质疑函或法定质疑期限内送达的质疑函不符合上述要求的均为无效质疑，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江苏朝阳工程管理咨询有限责任公司</w:t>
      </w:r>
      <w:r>
        <w:rPr>
          <w:rFonts w:hint="eastAsia" w:ascii="宋体" w:hAnsi="宋体" w:cs="宋体"/>
          <w:bCs/>
          <w:color w:val="auto"/>
          <w:sz w:val="24"/>
          <w:szCs w:val="24"/>
          <w:highlight w:val="none"/>
        </w:rPr>
        <w:t>对无效质疑不予受理。</w:t>
      </w:r>
    </w:p>
    <w:p w14:paraId="13C95C14">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（五）</w:t>
      </w:r>
      <w:r>
        <w:rPr>
          <w:rFonts w:hint="eastAsia" w:ascii="宋体" w:hAnsi="宋体" w:cs="宋体"/>
          <w:bCs/>
          <w:color w:val="auto"/>
          <w:sz w:val="24"/>
          <w:szCs w:val="24"/>
          <w:highlight w:val="none"/>
        </w:rPr>
        <w:t>投标文件的组成</w:t>
      </w:r>
      <w:r>
        <w:rPr>
          <w:rFonts w:hint="eastAsia" w:ascii="宋体" w:hAnsi="宋体" w:cs="宋体"/>
          <w:b/>
          <w:color w:val="auto"/>
          <w:sz w:val="24"/>
          <w:szCs w:val="24"/>
          <w:highlight w:val="none"/>
        </w:rPr>
        <w:t>（相应内容上传至投标客户端）</w:t>
      </w:r>
      <w:r>
        <w:rPr>
          <w:rFonts w:hint="eastAsia" w:ascii="宋体" w:hAnsi="宋体" w:cs="宋体"/>
          <w:bCs/>
          <w:color w:val="auto"/>
          <w:sz w:val="24"/>
          <w:szCs w:val="24"/>
          <w:highlight w:val="none"/>
        </w:rPr>
        <w:t>：</w:t>
      </w:r>
    </w:p>
    <w:p w14:paraId="39EF0511">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投标函</w:t>
      </w:r>
      <w:r>
        <w:rPr>
          <w:rFonts w:hint="eastAsia" w:ascii="宋体" w:hAnsi="宋体" w:cs="宋体"/>
          <w:b/>
          <w:bCs/>
          <w:color w:val="auto"/>
          <w:sz w:val="24"/>
          <w:szCs w:val="24"/>
          <w:highlight w:val="none"/>
        </w:rPr>
        <w:t>（格式见附件）</w:t>
      </w:r>
      <w:r>
        <w:rPr>
          <w:rFonts w:hint="eastAsia" w:ascii="宋体" w:hAnsi="宋体" w:cs="宋体"/>
          <w:bCs/>
          <w:color w:val="auto"/>
          <w:sz w:val="24"/>
          <w:szCs w:val="24"/>
          <w:highlight w:val="none"/>
        </w:rPr>
        <w:t>；</w:t>
      </w:r>
    </w:p>
    <w:p w14:paraId="73F6A15A">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资格、资信证明文件：</w:t>
      </w:r>
    </w:p>
    <w:p w14:paraId="134AF9ED">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（1）关于资格的声明函</w:t>
      </w:r>
      <w:r>
        <w:rPr>
          <w:rFonts w:hint="eastAsia" w:ascii="宋体" w:hAnsi="宋体" w:cs="宋体"/>
          <w:b/>
          <w:bCs/>
          <w:color w:val="auto"/>
          <w:sz w:val="24"/>
          <w:szCs w:val="24"/>
          <w:highlight w:val="none"/>
        </w:rPr>
        <w:t>（格式见附件）</w:t>
      </w:r>
      <w:r>
        <w:rPr>
          <w:rFonts w:hint="eastAsia" w:ascii="宋体" w:hAnsi="宋体" w:cs="宋体"/>
          <w:bCs/>
          <w:color w:val="auto"/>
          <w:sz w:val="24"/>
          <w:szCs w:val="24"/>
          <w:highlight w:val="none"/>
        </w:rPr>
        <w:t>；</w:t>
      </w:r>
    </w:p>
    <w:p w14:paraId="24B4BB85">
      <w:pPr>
        <w:tabs>
          <w:tab w:val="left" w:pos="945"/>
          <w:tab w:val="left" w:pos="1276"/>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（2）具有独立承担民事责任能力的投标人营业执照或相关部门的登记证明文件原件扫描件并加盖公章；</w:t>
      </w:r>
    </w:p>
    <w:p w14:paraId="2EA69DD8">
      <w:pPr>
        <w:tabs>
          <w:tab w:val="left" w:pos="945"/>
          <w:tab w:val="left" w:pos="126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（3）投标人法定代表人授权委托书</w:t>
      </w:r>
      <w:r>
        <w:rPr>
          <w:rFonts w:hint="eastAsia" w:ascii="宋体" w:hAnsi="宋体" w:cs="宋体"/>
          <w:b/>
          <w:bCs/>
          <w:color w:val="auto"/>
          <w:sz w:val="24"/>
          <w:szCs w:val="24"/>
          <w:highlight w:val="none"/>
        </w:rPr>
        <w:t>（格式见附件，法定代表人亲自参加投标的除外）</w:t>
      </w:r>
      <w:r>
        <w:rPr>
          <w:rFonts w:hint="eastAsia" w:ascii="宋体" w:hAnsi="宋体" w:cs="宋体"/>
          <w:bCs/>
          <w:color w:val="auto"/>
          <w:sz w:val="24"/>
          <w:szCs w:val="24"/>
          <w:highlight w:val="none"/>
        </w:rPr>
        <w:t>；</w:t>
      </w:r>
    </w:p>
    <w:p w14:paraId="24A2DC60">
      <w:pPr>
        <w:tabs>
          <w:tab w:val="left" w:pos="945"/>
          <w:tab w:val="left" w:pos="1276"/>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（4）投标人法定代表人身份证原件扫描件（正、反面）；</w:t>
      </w:r>
    </w:p>
    <w:p w14:paraId="2824C8C3">
      <w:pPr>
        <w:tabs>
          <w:tab w:val="left" w:pos="945"/>
          <w:tab w:val="left" w:pos="1276"/>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（5）投标人法定代表人授权代表身份证</w:t>
      </w:r>
      <w:r>
        <w:rPr>
          <w:rFonts w:hint="eastAsia" w:ascii="宋体" w:hAnsi="宋体" w:cs="宋体"/>
          <w:color w:val="auto"/>
          <w:sz w:val="24"/>
          <w:szCs w:val="24"/>
          <w:highlight w:val="none"/>
        </w:rPr>
        <w:t>原件扫描件</w:t>
      </w:r>
      <w:r>
        <w:rPr>
          <w:rFonts w:hint="eastAsia" w:ascii="宋体" w:hAnsi="宋体" w:cs="宋体"/>
          <w:bCs/>
          <w:color w:val="auto"/>
          <w:sz w:val="24"/>
          <w:szCs w:val="24"/>
          <w:highlight w:val="none"/>
        </w:rPr>
        <w:t>（正、反面，法定代表人亲自参加投标的除外）；</w:t>
      </w:r>
    </w:p>
    <w:p w14:paraId="15082E41">
      <w:pPr>
        <w:tabs>
          <w:tab w:val="left" w:pos="1050"/>
        </w:tabs>
        <w:spacing w:line="360" w:lineRule="auto"/>
        <w:ind w:firstLine="480"/>
        <w:rPr>
          <w:rFonts w:hint="eastAsia" w:ascii="宋体" w:hAnsi="宋体" w:cs="宋体"/>
          <w:bCs/>
          <w:color w:val="auto"/>
          <w:sz w:val="24"/>
          <w:szCs w:val="24"/>
          <w:highlight w:val="none"/>
        </w:rPr>
      </w:pPr>
      <w:bookmarkStart w:id="20" w:name="_Hlk39128912"/>
      <w:r>
        <w:rPr>
          <w:rFonts w:hint="eastAsia" w:ascii="宋体" w:hAnsi="宋体" w:cs="宋体"/>
          <w:bCs/>
          <w:color w:val="auto"/>
          <w:sz w:val="24"/>
          <w:szCs w:val="24"/>
          <w:highlight w:val="none"/>
        </w:rPr>
        <w:t>（6）授权委托人及项目负责人与投标人签订的劳动合同扫描件加盖公章及由法定的社保收缴部门出具的近</w:t>
      </w:r>
      <w:r>
        <w:rPr>
          <w:rFonts w:hint="eastAsia" w:ascii="宋体" w:hAnsi="宋体" w:cs="宋体"/>
          <w:bCs/>
          <w:color w:val="auto"/>
          <w:sz w:val="24"/>
          <w:szCs w:val="24"/>
          <w:highlight w:val="none"/>
          <w:lang w:val="en-US" w:eastAsia="zh-CN"/>
        </w:rPr>
        <w:t>一年</w:t>
      </w:r>
      <w:r>
        <w:rPr>
          <w:rFonts w:hint="eastAsia" w:ascii="宋体" w:hAnsi="宋体" w:cs="宋体"/>
          <w:bCs/>
          <w:color w:val="auto"/>
          <w:sz w:val="24"/>
          <w:szCs w:val="24"/>
          <w:highlight w:val="none"/>
        </w:rPr>
        <w:t>中任意一个月（</w:t>
      </w:r>
      <w:r>
        <w:rPr>
          <w:rFonts w:hint="eastAsia" w:ascii="宋体" w:hAnsi="宋体" w:cs="宋体"/>
          <w:b/>
          <w:bCs w:val="0"/>
          <w:color w:val="auto"/>
          <w:sz w:val="24"/>
          <w:szCs w:val="24"/>
          <w:highlight w:val="none"/>
        </w:rPr>
        <w:t>不含</w:t>
      </w:r>
      <w:r>
        <w:rPr>
          <w:rFonts w:hint="eastAsia" w:ascii="宋体" w:hAnsi="宋体" w:cs="宋体"/>
          <w:b/>
          <w:bCs w:val="0"/>
          <w:color w:val="auto"/>
          <w:sz w:val="24"/>
          <w:szCs w:val="24"/>
          <w:highlight w:val="none"/>
          <w:lang w:val="en-US" w:eastAsia="zh-CN"/>
        </w:rPr>
        <w:t>开标</w:t>
      </w:r>
      <w:r>
        <w:rPr>
          <w:rFonts w:hint="eastAsia" w:ascii="宋体" w:hAnsi="宋体" w:cs="宋体"/>
          <w:b/>
          <w:bCs w:val="0"/>
          <w:color w:val="auto"/>
          <w:sz w:val="24"/>
          <w:szCs w:val="24"/>
          <w:highlight w:val="none"/>
        </w:rPr>
        <w:t>当月</w:t>
      </w:r>
      <w:r>
        <w:rPr>
          <w:rFonts w:hint="eastAsia" w:ascii="宋体" w:hAnsi="宋体" w:cs="宋体"/>
          <w:bCs/>
          <w:color w:val="auto"/>
          <w:sz w:val="24"/>
          <w:szCs w:val="24"/>
          <w:highlight w:val="none"/>
        </w:rPr>
        <w:t>）投标人为其依法缴纳社会保障资金的相关材料复印件并加盖公章（新成立公司自成立日期开始、法定代表人亲自参加投标的除外）；</w:t>
      </w:r>
    </w:p>
    <w:p w14:paraId="568DDADB">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投标人</w:t>
      </w:r>
      <w:r>
        <w:rPr>
          <w:rFonts w:hint="eastAsia" w:ascii="宋体" w:hAnsi="宋体" w:cs="宋体"/>
          <w:bCs/>
          <w:color w:val="auto"/>
          <w:sz w:val="24"/>
          <w:szCs w:val="24"/>
          <w:highlight w:val="none"/>
          <w:lang w:eastAsia="zh-CN"/>
        </w:rPr>
        <w:t>近一年</w:t>
      </w:r>
      <w:r>
        <w:rPr>
          <w:rFonts w:hint="eastAsia" w:ascii="宋体" w:hAnsi="宋体" w:cs="宋体"/>
          <w:bCs/>
          <w:color w:val="auto"/>
          <w:sz w:val="24"/>
          <w:szCs w:val="24"/>
          <w:highlight w:val="none"/>
        </w:rPr>
        <w:t>中任意一个月份（</w:t>
      </w:r>
      <w:r>
        <w:rPr>
          <w:rFonts w:hint="eastAsia" w:ascii="宋体" w:hAnsi="宋体" w:cs="宋体"/>
          <w:b/>
          <w:bCs w:val="0"/>
          <w:color w:val="auto"/>
          <w:sz w:val="24"/>
          <w:szCs w:val="24"/>
          <w:highlight w:val="none"/>
        </w:rPr>
        <w:t>不含</w:t>
      </w:r>
      <w:r>
        <w:rPr>
          <w:rFonts w:hint="eastAsia" w:ascii="宋体" w:hAnsi="宋体" w:cs="宋体"/>
          <w:b/>
          <w:bCs w:val="0"/>
          <w:color w:val="auto"/>
          <w:sz w:val="24"/>
          <w:szCs w:val="24"/>
          <w:highlight w:val="none"/>
          <w:lang w:val="en-US" w:eastAsia="zh-CN"/>
        </w:rPr>
        <w:t>开标</w:t>
      </w:r>
      <w:r>
        <w:rPr>
          <w:rFonts w:hint="eastAsia" w:ascii="宋体" w:hAnsi="宋体" w:cs="宋体"/>
          <w:b/>
          <w:bCs w:val="0"/>
          <w:color w:val="auto"/>
          <w:sz w:val="24"/>
          <w:szCs w:val="24"/>
          <w:highlight w:val="none"/>
        </w:rPr>
        <w:t>当月</w:t>
      </w:r>
      <w:r>
        <w:rPr>
          <w:rFonts w:hint="eastAsia" w:ascii="宋体" w:hAnsi="宋体" w:cs="宋体"/>
          <w:bCs/>
          <w:color w:val="auto"/>
          <w:sz w:val="24"/>
          <w:szCs w:val="24"/>
          <w:highlight w:val="none"/>
        </w:rPr>
        <w:t>）的财务状况报告（资产负债表和利润表）或由会计师事务所出具的近两年中任意一个年度的审计报告和所附已</w:t>
      </w:r>
      <w:r>
        <w:rPr>
          <w:rFonts w:hint="eastAsia" w:ascii="宋体" w:hAnsi="宋体" w:cs="宋体"/>
          <w:bCs/>
          <w:color w:val="auto"/>
          <w:sz w:val="24"/>
          <w:szCs w:val="24"/>
          <w:highlight w:val="none"/>
          <w:lang w:eastAsia="zh-CN"/>
        </w:rPr>
        <w:t>审计</w:t>
      </w:r>
      <w:r>
        <w:rPr>
          <w:rFonts w:hint="eastAsia" w:ascii="宋体" w:hAnsi="宋体" w:cs="宋体"/>
          <w:bCs/>
          <w:color w:val="auto"/>
          <w:sz w:val="24"/>
          <w:szCs w:val="24"/>
          <w:highlight w:val="none"/>
        </w:rPr>
        <w:t>财务报告原件扫描件并加盖公章；</w:t>
      </w:r>
    </w:p>
    <w:p w14:paraId="00B986FB">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）投标人</w:t>
      </w:r>
      <w:r>
        <w:rPr>
          <w:rFonts w:hint="eastAsia" w:ascii="宋体" w:hAnsi="宋体" w:cs="宋体"/>
          <w:bCs/>
          <w:color w:val="auto"/>
          <w:sz w:val="24"/>
          <w:szCs w:val="24"/>
          <w:highlight w:val="none"/>
          <w:lang w:eastAsia="zh-CN"/>
        </w:rPr>
        <w:t>近一年</w:t>
      </w:r>
      <w:r>
        <w:rPr>
          <w:rFonts w:hint="eastAsia" w:ascii="宋体" w:hAnsi="宋体" w:cs="宋体"/>
          <w:bCs/>
          <w:color w:val="auto"/>
          <w:sz w:val="24"/>
          <w:szCs w:val="24"/>
          <w:highlight w:val="none"/>
        </w:rPr>
        <w:t>中任意一个月份（</w:t>
      </w:r>
      <w:r>
        <w:rPr>
          <w:rFonts w:hint="eastAsia" w:ascii="宋体" w:hAnsi="宋体" w:cs="宋体"/>
          <w:b/>
          <w:bCs w:val="0"/>
          <w:color w:val="auto"/>
          <w:sz w:val="24"/>
          <w:szCs w:val="24"/>
          <w:highlight w:val="none"/>
        </w:rPr>
        <w:t>不含</w:t>
      </w:r>
      <w:r>
        <w:rPr>
          <w:rFonts w:hint="eastAsia" w:ascii="宋体" w:hAnsi="宋体" w:cs="宋体"/>
          <w:b/>
          <w:bCs w:val="0"/>
          <w:color w:val="auto"/>
          <w:sz w:val="24"/>
          <w:szCs w:val="24"/>
          <w:highlight w:val="none"/>
          <w:lang w:val="en-US" w:eastAsia="zh-CN"/>
        </w:rPr>
        <w:t>开标</w:t>
      </w:r>
      <w:r>
        <w:rPr>
          <w:rFonts w:hint="eastAsia" w:ascii="宋体" w:hAnsi="宋体" w:cs="宋体"/>
          <w:b/>
          <w:bCs w:val="0"/>
          <w:color w:val="auto"/>
          <w:sz w:val="24"/>
          <w:szCs w:val="24"/>
          <w:highlight w:val="none"/>
        </w:rPr>
        <w:t>当月</w:t>
      </w:r>
      <w:r>
        <w:rPr>
          <w:rFonts w:hint="eastAsia" w:ascii="宋体" w:hAnsi="宋体" w:cs="宋体"/>
          <w:bCs/>
          <w:color w:val="auto"/>
          <w:sz w:val="24"/>
          <w:szCs w:val="24"/>
          <w:highlight w:val="none"/>
        </w:rPr>
        <w:t>）的依法缴纳税收的相关材料（提供相关主管部门证明或银行代扣证明）原件扫描件并加盖公章；</w:t>
      </w:r>
    </w:p>
    <w:p w14:paraId="54AE2450">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rPr>
        <w:t>）投标人</w:t>
      </w:r>
      <w:r>
        <w:rPr>
          <w:rFonts w:hint="eastAsia" w:ascii="宋体" w:hAnsi="宋体" w:cs="宋体"/>
          <w:bCs/>
          <w:color w:val="auto"/>
          <w:sz w:val="24"/>
          <w:szCs w:val="24"/>
          <w:highlight w:val="none"/>
          <w:lang w:eastAsia="zh-CN"/>
        </w:rPr>
        <w:t>近一年</w:t>
      </w:r>
      <w:r>
        <w:rPr>
          <w:rFonts w:hint="eastAsia" w:ascii="宋体" w:hAnsi="宋体" w:cs="宋体"/>
          <w:bCs/>
          <w:color w:val="auto"/>
          <w:sz w:val="24"/>
          <w:szCs w:val="24"/>
          <w:highlight w:val="none"/>
        </w:rPr>
        <w:t>中任意一个月份（</w:t>
      </w:r>
      <w:r>
        <w:rPr>
          <w:rFonts w:hint="eastAsia" w:ascii="宋体" w:hAnsi="宋体" w:cs="宋体"/>
          <w:b/>
          <w:bCs w:val="0"/>
          <w:color w:val="auto"/>
          <w:sz w:val="24"/>
          <w:szCs w:val="24"/>
          <w:highlight w:val="none"/>
        </w:rPr>
        <w:t>不含</w:t>
      </w:r>
      <w:r>
        <w:rPr>
          <w:rFonts w:hint="eastAsia" w:ascii="宋体" w:hAnsi="宋体" w:cs="宋体"/>
          <w:b/>
          <w:bCs w:val="0"/>
          <w:color w:val="auto"/>
          <w:sz w:val="24"/>
          <w:szCs w:val="24"/>
          <w:highlight w:val="none"/>
          <w:lang w:val="en-US" w:eastAsia="zh-CN"/>
        </w:rPr>
        <w:t>开标</w:t>
      </w:r>
      <w:r>
        <w:rPr>
          <w:rFonts w:hint="eastAsia" w:ascii="宋体" w:hAnsi="宋体" w:cs="宋体"/>
          <w:b/>
          <w:bCs w:val="0"/>
          <w:color w:val="auto"/>
          <w:sz w:val="24"/>
          <w:szCs w:val="24"/>
          <w:highlight w:val="none"/>
        </w:rPr>
        <w:t>当月</w:t>
      </w:r>
      <w:r>
        <w:rPr>
          <w:rFonts w:hint="eastAsia" w:ascii="宋体" w:hAnsi="宋体" w:cs="宋体"/>
          <w:bCs/>
          <w:color w:val="auto"/>
          <w:sz w:val="24"/>
          <w:szCs w:val="24"/>
          <w:highlight w:val="none"/>
        </w:rPr>
        <w:t>）的依法缴纳社会保障资金的相关材料（提供相关主管部门证明或银行代扣证明）原件扫描件并加盖公章；</w:t>
      </w:r>
      <w:bookmarkEnd w:id="20"/>
    </w:p>
    <w:p w14:paraId="1D41F836">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）承诺书</w:t>
      </w:r>
      <w:r>
        <w:rPr>
          <w:rFonts w:hint="eastAsia" w:ascii="宋体" w:hAnsi="宋体" w:cs="宋体"/>
          <w:b/>
          <w:bCs/>
          <w:color w:val="auto"/>
          <w:sz w:val="24"/>
          <w:szCs w:val="24"/>
          <w:highlight w:val="none"/>
        </w:rPr>
        <w:t>（格式见附件）</w:t>
      </w:r>
      <w:r>
        <w:rPr>
          <w:rFonts w:hint="eastAsia" w:ascii="宋体" w:hAnsi="宋体" w:cs="宋体"/>
          <w:bCs/>
          <w:color w:val="auto"/>
          <w:sz w:val="24"/>
          <w:szCs w:val="24"/>
          <w:highlight w:val="none"/>
        </w:rPr>
        <w:t>；</w:t>
      </w:r>
    </w:p>
    <w:p w14:paraId="54B93200">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w:t>
      </w:r>
      <w:r>
        <w:rPr>
          <w:rFonts w:hint="eastAsia" w:ascii="宋体" w:hAnsi="宋体" w:cs="宋体"/>
          <w:bCs/>
          <w:color w:val="auto"/>
          <w:sz w:val="24"/>
          <w:szCs w:val="24"/>
          <w:highlight w:val="none"/>
        </w:rPr>
        <w:t>如是中小企业，提供《中小企业声明函》（格式见附件）；如是残疾人福利性单位的，提供残疾人福利性单位声明函（格式见附件）；如是监狱企业的，提供由省级以上监狱管理局、戒毒管理局出具的属于监狱企业的证明文件原件扫描件加盖电子签章后上传至系统中。</w:t>
      </w:r>
    </w:p>
    <w:p w14:paraId="1F24F532">
      <w:pPr>
        <w:tabs>
          <w:tab w:val="left" w:pos="1050"/>
        </w:tabs>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注：①若法定代表人或负责人（法定代表人或负责人姓名必须与营业执照上的一致）亲自参加开标的，不需提供法定代表人授权及有关法定代表人授权代表的劳动合同或社保证明，只需提供身份证明与营业执照即可。（法定代表人作为项目负责人的也不需要提供劳动合同或社保证明）</w:t>
      </w:r>
    </w:p>
    <w:p w14:paraId="592F897D">
      <w:pPr>
        <w:tabs>
          <w:tab w:val="left" w:pos="1050"/>
        </w:tabs>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②法人的分支机构由于其不能独立承担民事责任，不能以分支机构的身份参加政府采购，只能以法人身份参加。但银行、保险、石油石化、电力、电信等有行业特殊情况的，可以分支机构参加项目采购和签订合同。</w:t>
      </w:r>
    </w:p>
    <w:p w14:paraId="46B7CB76">
      <w:pPr>
        <w:tabs>
          <w:tab w:val="left" w:pos="1050"/>
        </w:tabs>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③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w:t>
      </w:r>
    </w:p>
    <w:p w14:paraId="0FD3DAC0">
      <w:pPr>
        <w:tabs>
          <w:tab w:val="left" w:pos="1050"/>
        </w:tabs>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lang w:eastAsia="zh-CN"/>
        </w:rPr>
        <w:t>开标一览表（格式见附件）</w:t>
      </w:r>
    </w:p>
    <w:p w14:paraId="502240A9">
      <w:pPr>
        <w:tabs>
          <w:tab w:val="left" w:pos="105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4.投标偏离表（</w:t>
      </w:r>
      <w:r>
        <w:rPr>
          <w:rFonts w:hint="eastAsia" w:ascii="宋体" w:hAnsi="宋体" w:eastAsia="宋体" w:cs="宋体"/>
          <w:bCs/>
          <w:color w:val="auto"/>
          <w:sz w:val="24"/>
          <w:szCs w:val="24"/>
          <w:highlight w:val="none"/>
          <w:lang w:eastAsia="zh-CN"/>
        </w:rPr>
        <w:t>格式见附件</w:t>
      </w:r>
      <w:r>
        <w:rPr>
          <w:rFonts w:hint="eastAsia" w:ascii="宋体" w:hAnsi="宋体" w:eastAsia="宋体" w:cs="宋体"/>
          <w:bCs/>
          <w:color w:val="auto"/>
          <w:sz w:val="24"/>
          <w:szCs w:val="24"/>
          <w:highlight w:val="none"/>
          <w:lang w:val="en-US" w:eastAsia="zh-CN"/>
        </w:rPr>
        <w:t>）</w:t>
      </w:r>
    </w:p>
    <w:p w14:paraId="7C017A8D">
      <w:pPr>
        <w:tabs>
          <w:tab w:val="left" w:pos="1050"/>
        </w:tabs>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5.报价明细表（格式</w:t>
      </w:r>
      <w:r>
        <w:rPr>
          <w:rFonts w:hint="eastAsia" w:ascii="宋体" w:hAnsi="宋体" w:cs="宋体"/>
          <w:bCs/>
          <w:color w:val="auto"/>
          <w:sz w:val="24"/>
          <w:szCs w:val="24"/>
          <w:highlight w:val="none"/>
          <w:lang w:val="en-US" w:eastAsia="zh-CN"/>
        </w:rPr>
        <w:t>自拟</w:t>
      </w:r>
      <w:r>
        <w:rPr>
          <w:rFonts w:hint="eastAsia" w:ascii="宋体" w:hAnsi="宋体" w:eastAsia="宋体" w:cs="宋体"/>
          <w:bCs/>
          <w:color w:val="auto"/>
          <w:sz w:val="24"/>
          <w:szCs w:val="24"/>
          <w:highlight w:val="none"/>
          <w:lang w:val="en-US" w:eastAsia="zh-CN"/>
        </w:rPr>
        <w:t>）</w:t>
      </w:r>
    </w:p>
    <w:p w14:paraId="1CB19FF1">
      <w:pPr>
        <w:tabs>
          <w:tab w:val="left" w:pos="1050"/>
        </w:tabs>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项目人员配备</w:t>
      </w:r>
      <w:r>
        <w:rPr>
          <w:rFonts w:hint="eastAsia" w:ascii="宋体" w:hAnsi="宋体" w:eastAsia="宋体" w:cs="宋体"/>
          <w:bCs/>
          <w:color w:val="auto"/>
          <w:sz w:val="24"/>
          <w:szCs w:val="24"/>
          <w:highlight w:val="none"/>
          <w:lang w:val="en-US" w:eastAsia="zh-CN"/>
        </w:rPr>
        <w:t>表</w:t>
      </w:r>
      <w:r>
        <w:rPr>
          <w:rFonts w:hint="eastAsia" w:ascii="宋体" w:hAnsi="宋体" w:eastAsia="宋体" w:cs="宋体"/>
          <w:bCs/>
          <w:color w:val="auto"/>
          <w:sz w:val="24"/>
          <w:szCs w:val="24"/>
          <w:highlight w:val="none"/>
          <w:lang w:eastAsia="zh-CN"/>
        </w:rPr>
        <w:t>（格式见附件）</w:t>
      </w:r>
    </w:p>
    <w:p w14:paraId="147986F6">
      <w:pPr>
        <w:tabs>
          <w:tab w:val="left" w:pos="1050"/>
        </w:tabs>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eastAsia="zh-CN"/>
        </w:rPr>
        <w:t>评分标准中对应的所需证明材料（如有自行添加，格式自拟）及技术方案</w:t>
      </w:r>
    </w:p>
    <w:p w14:paraId="0105EE85">
      <w:pPr>
        <w:tabs>
          <w:tab w:val="left" w:pos="1050"/>
        </w:tabs>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lang w:eastAsia="zh-CN"/>
        </w:rPr>
        <w:t>要求采购人提供的配合（如有自行添加，格式自拟）</w:t>
      </w:r>
    </w:p>
    <w:p w14:paraId="6B5B4338">
      <w:pPr>
        <w:tabs>
          <w:tab w:val="left" w:pos="1050"/>
        </w:tabs>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eastAsia="zh-CN"/>
        </w:rPr>
        <w:t>其他（投标人认为有必要提供的声明和文件，如有格式自拟）</w:t>
      </w:r>
    </w:p>
    <w:p w14:paraId="27E8D34D">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（六）</w:t>
      </w:r>
      <w:r>
        <w:rPr>
          <w:rFonts w:hint="eastAsia" w:ascii="宋体" w:hAnsi="宋体" w:cs="宋体"/>
          <w:bCs/>
          <w:color w:val="auto"/>
          <w:sz w:val="24"/>
          <w:szCs w:val="24"/>
          <w:highlight w:val="none"/>
        </w:rPr>
        <w:t>投标文件的制作：</w:t>
      </w:r>
    </w:p>
    <w:p w14:paraId="3473F15F">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所有文件、往来函件均应使用简体中文（规格、型号辅助符号例外）。</w:t>
      </w:r>
    </w:p>
    <w:p w14:paraId="52083AA9">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投标文件由投标人按给定格式如实填写</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编写</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，须有法人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盖章</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、法定代表人或法定代表人授权代表签字或盖章，方为有效，未尽事宜可自行补充。</w:t>
      </w:r>
    </w:p>
    <w:p w14:paraId="4FC7FF4E">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如无特别说明，投标人报价一律以人民币为投标结算货币，结算单位为“元”。</w:t>
      </w:r>
    </w:p>
    <w:p w14:paraId="08C17951">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cs="宋体"/>
          <w:bCs/>
          <w:color w:val="auto"/>
          <w:sz w:val="24"/>
          <w:szCs w:val="24"/>
          <w:highlight w:val="none"/>
        </w:rPr>
        <w:t>投标文件格式部分，应由投标人按给定格式提供，不得更改。</w:t>
      </w:r>
    </w:p>
    <w:p w14:paraId="5FA967A4">
      <w:pPr>
        <w:widowControl/>
        <w:spacing w:line="360" w:lineRule="auto"/>
        <w:ind w:firstLine="480"/>
        <w:jc w:val="left"/>
        <w:rPr>
          <w:rFonts w:hint="eastAsia" w:ascii="宋体" w:hAnsi="宋体"/>
          <w:b/>
          <w:color w:val="auto"/>
          <w:sz w:val="24"/>
          <w:szCs w:val="24"/>
          <w:highlight w:val="none"/>
        </w:rPr>
      </w:pPr>
      <w:r>
        <w:rPr>
          <w:rFonts w:hint="eastAsia" w:ascii="宋体" w:hAnsi="宋体"/>
          <w:bCs/>
          <w:color w:val="auto"/>
          <w:sz w:val="24"/>
          <w:szCs w:val="24"/>
          <w:highlight w:val="none"/>
        </w:rPr>
        <w:t>5. 制作电子</w:t>
      </w:r>
      <w:r>
        <w:rPr>
          <w:rFonts w:hint="eastAsia" w:ascii="宋体" w:hAnsi="宋体"/>
          <w:bCs/>
          <w:color w:val="auto"/>
          <w:sz w:val="24"/>
          <w:szCs w:val="24"/>
          <w:highlight w:val="none"/>
          <w:lang w:val="zh-CN"/>
        </w:rPr>
        <w:t xml:space="preserve">投标文件时，请正确关联对应页面，评委在相对应页面找不到相关联的文件，由此产生的后果由投标人自行承担。 </w:t>
      </w:r>
      <w:r>
        <w:rPr>
          <w:rFonts w:hint="eastAsia" w:ascii="宋体" w:hAnsi="宋体"/>
          <w:b/>
          <w:color w:val="auto"/>
          <w:sz w:val="24"/>
          <w:szCs w:val="24"/>
          <w:highlight w:val="none"/>
        </w:rPr>
        <w:t xml:space="preserve"> </w:t>
      </w:r>
    </w:p>
    <w:p w14:paraId="4B3B1DA4">
      <w:pPr>
        <w:tabs>
          <w:tab w:val="left" w:pos="525"/>
          <w:tab w:val="left" w:pos="1050"/>
        </w:tabs>
        <w:spacing w:line="360" w:lineRule="auto"/>
        <w:ind w:firstLine="480"/>
        <w:rPr>
          <w:rFonts w:ascii="宋体" w:hAnsi="宋体" w:cs="Tahoma"/>
          <w:color w:val="auto"/>
          <w:sz w:val="24"/>
          <w:szCs w:val="24"/>
          <w:highlight w:val="none"/>
        </w:rPr>
      </w:pPr>
      <w:r>
        <w:rPr>
          <w:rFonts w:hint="eastAsia" w:ascii="宋体" w:hAnsi="宋体" w:cs="Tahoma"/>
          <w:color w:val="auto"/>
          <w:sz w:val="24"/>
          <w:szCs w:val="24"/>
          <w:highlight w:val="none"/>
        </w:rPr>
        <w:t>6.</w:t>
      </w:r>
      <w:r>
        <w:rPr>
          <w:rFonts w:ascii="宋体" w:hAnsi="宋体" w:cs="Tahoma"/>
          <w:color w:val="auto"/>
          <w:sz w:val="24"/>
          <w:szCs w:val="24"/>
          <w:highlight w:val="none"/>
        </w:rPr>
        <w:t>投标费用自理。</w:t>
      </w:r>
    </w:p>
    <w:p w14:paraId="16184187">
      <w:pPr>
        <w:pStyle w:val="4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7.在评分标准中除了投标报价外，还须包含明标（</w:t>
      </w:r>
      <w:r>
        <w:rPr>
          <w:rFonts w:hint="eastAsia" w:ascii="宋体" w:hAnsi="宋体" w:eastAsia="宋体"/>
          <w:b/>
          <w:bCs/>
          <w:color w:val="auto"/>
          <w:sz w:val="24"/>
          <w:szCs w:val="24"/>
          <w:highlight w:val="none"/>
          <w:lang w:val="en-US" w:eastAsia="zh-CN"/>
        </w:rPr>
        <w:t>商务标部分</w:t>
      </w:r>
      <w:r>
        <w:rPr>
          <w:rFonts w:hint="eastAsia" w:ascii="宋体" w:hAnsi="宋体" w:eastAsia="宋体" w:cs="Tahoma"/>
          <w:b/>
          <w:bCs/>
          <w:color w:val="auto"/>
          <w:sz w:val="24"/>
          <w:szCs w:val="24"/>
          <w:highlight w:val="none"/>
          <w:lang w:val="en-US" w:eastAsia="zh-CN" w:bidi="ar-SA"/>
        </w:rPr>
        <w:t>）和暗标（</w:t>
      </w:r>
      <w:r>
        <w:rPr>
          <w:rFonts w:hint="eastAsia" w:ascii="宋体" w:hAnsi="宋体" w:eastAsia="宋体"/>
          <w:b/>
          <w:color w:val="auto"/>
          <w:sz w:val="24"/>
          <w:szCs w:val="24"/>
          <w:highlight w:val="none"/>
          <w:lang w:val="en-US" w:eastAsia="zh-CN"/>
        </w:rPr>
        <w:t>技术标部分</w:t>
      </w:r>
      <w:r>
        <w:rPr>
          <w:rFonts w:hint="eastAsia" w:ascii="宋体" w:hAnsi="宋体" w:eastAsia="宋体" w:cs="Tahoma"/>
          <w:b/>
          <w:bCs/>
          <w:color w:val="auto"/>
          <w:sz w:val="24"/>
          <w:szCs w:val="24"/>
          <w:highlight w:val="none"/>
          <w:lang w:val="en-US" w:eastAsia="zh-CN" w:bidi="ar-SA"/>
        </w:rPr>
        <w:t>）两大部分，其暗标编制要求如下：</w:t>
      </w:r>
    </w:p>
    <w:p w14:paraId="7A35525D">
      <w:pPr>
        <w:pStyle w:val="4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（1）暗标编制应按采购文件规定的格式制作，要求版面整洁、字迹清楚、不得涂改、不得标注</w:t>
      </w:r>
      <w:r>
        <w:rPr>
          <w:rFonts w:hint="eastAsia" w:ascii="宋体" w:hAnsi="宋体" w:eastAsia="宋体"/>
          <w:b/>
          <w:color w:val="auto"/>
          <w:sz w:val="24"/>
          <w:szCs w:val="24"/>
          <w:highlight w:val="none"/>
          <w:lang w:eastAsia="zh-CN"/>
        </w:rPr>
        <w:t>，暗标（服务方案）。</w:t>
      </w:r>
    </w:p>
    <w:p w14:paraId="1949451C">
      <w:pPr>
        <w:pStyle w:val="219"/>
        <w:spacing w:line="360" w:lineRule="auto"/>
        <w:ind w:left="0" w:firstLine="482"/>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cs="Tahoma"/>
          <w:b/>
          <w:bCs/>
          <w:color w:val="auto"/>
          <w:sz w:val="24"/>
          <w:szCs w:val="24"/>
          <w:highlight w:val="none"/>
          <w:lang w:val="en-US" w:eastAsia="zh-CN" w:bidi="ar-SA"/>
        </w:rPr>
        <w:t>，</w:t>
      </w:r>
      <w:r>
        <w:rPr>
          <w:rFonts w:hint="eastAsia" w:ascii="宋体" w:hAnsi="宋体" w:eastAsia="宋体" w:cs="Tahoma"/>
          <w:b/>
          <w:bCs/>
          <w:color w:val="auto"/>
          <w:sz w:val="24"/>
          <w:szCs w:val="24"/>
          <w:highlight w:val="none"/>
          <w:lang w:val="en-US" w:eastAsia="zh-CN" w:bidi="ar-SA"/>
        </w:rPr>
        <w:t>不得出现其他具有标识性作用的符号、图案等，不得出现表格、流程图、图片等，也不得采用任何不符合常规、有别于其他供应商的特殊做法。</w:t>
      </w:r>
    </w:p>
    <w:p w14:paraId="1102C9B5">
      <w:pPr>
        <w:pStyle w:val="219"/>
        <w:spacing w:line="360" w:lineRule="auto"/>
        <w:ind w:left="0" w:firstLine="482"/>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(3）字体、段落、页码、页面布局的设置：</w:t>
      </w:r>
    </w:p>
    <w:p w14:paraId="2D67794B">
      <w:pPr>
        <w:pStyle w:val="219"/>
        <w:spacing w:line="360" w:lineRule="auto"/>
        <w:ind w:left="0" w:firstLine="482"/>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字体：一级标题为宋体黑色二号字，其余正文均采用宋体黑色小四号字体，不得出现手写。</w:t>
      </w:r>
    </w:p>
    <w:p w14:paraId="725CB889">
      <w:pPr>
        <w:pStyle w:val="219"/>
        <w:spacing w:line="360" w:lineRule="auto"/>
        <w:ind w:left="0" w:firstLine="482"/>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段落：使用1.5倍行间距、字间距标准、每段段前空两格。</w:t>
      </w:r>
    </w:p>
    <w:p w14:paraId="1BA8A38E">
      <w:pPr>
        <w:pStyle w:val="219"/>
        <w:spacing w:line="360" w:lineRule="auto"/>
        <w:ind w:left="0" w:firstLine="482"/>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页码：页码应当连续居中，不得有空白页。不得设置页眉，页脚只准出现页码，采用黑色小5号阿拉伯数字格式，设在页脚对中位置。</w:t>
      </w:r>
    </w:p>
    <w:p w14:paraId="44B5C938">
      <w:pPr>
        <w:pStyle w:val="219"/>
        <w:ind w:left="0" w:firstLine="482"/>
        <w:rPr>
          <w:color w:val="auto"/>
          <w:highlight w:val="none"/>
        </w:rPr>
      </w:pPr>
      <w:r>
        <w:rPr>
          <w:rFonts w:hint="eastAsia" w:ascii="宋体" w:hAnsi="宋体" w:eastAsia="宋体" w:cs="Tahoma"/>
          <w:b/>
          <w:bCs/>
          <w:color w:val="auto"/>
          <w:sz w:val="24"/>
          <w:szCs w:val="24"/>
          <w:highlight w:val="none"/>
          <w:lang w:val="en-US" w:eastAsia="zh-CN" w:bidi="ar-SA"/>
        </w:rPr>
        <w:t>页面布局：纸张方向纵向、页面底色白色，分栏为一栏。</w:t>
      </w:r>
    </w:p>
    <w:p w14:paraId="0C883E81">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（七）</w:t>
      </w:r>
      <w:r>
        <w:rPr>
          <w:rFonts w:hint="eastAsia" w:ascii="宋体" w:hAnsi="宋体" w:cs="宋体"/>
          <w:bCs/>
          <w:color w:val="auto"/>
          <w:sz w:val="24"/>
          <w:szCs w:val="24"/>
          <w:highlight w:val="none"/>
        </w:rPr>
        <w:t>网上投标</w:t>
      </w:r>
    </w:p>
    <w:p w14:paraId="4799D7B3">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1.投标供应商应由其法定代表人或法定代表人授权代表在规定的网上投标时间内，凭CA数字证书登</w:t>
      </w:r>
      <w:r>
        <w:rPr>
          <w:rFonts w:hint="eastAsia" w:ascii="宋体" w:hAnsi="宋体" w:cs="宋体"/>
          <w:bCs/>
          <w:color w:val="auto"/>
          <w:sz w:val="24"/>
          <w:szCs w:val="24"/>
          <w:highlight w:val="none"/>
          <w:lang w:val="en-US" w:eastAsia="zh-CN"/>
        </w:rPr>
        <w:t>录</w:t>
      </w:r>
      <w:r>
        <w:rPr>
          <w:rFonts w:hint="eastAsia" w:ascii="宋体" w:hAnsi="宋体" w:cs="宋体"/>
          <w:bCs/>
          <w:color w:val="auto"/>
          <w:sz w:val="24"/>
          <w:szCs w:val="24"/>
          <w:highlight w:val="none"/>
        </w:rPr>
        <w:t>苏采云平台获取招标文件，在投标客户端制作投标文件（电子数据），并在投标截止时间之前上传投标文件。</w:t>
      </w:r>
    </w:p>
    <w:p w14:paraId="0974CA96">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2.投标人应对CA数字证书妥善保管，如被他人盗用投标，后果自负。</w:t>
      </w:r>
    </w:p>
    <w:p w14:paraId="40D03A69">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3.投标人按招标文件规定的网上解密时间进行解密，如未按时解密后果自负。</w:t>
      </w:r>
    </w:p>
    <w:p w14:paraId="0B7FE3E6">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4.投标人应当对招标文件提出的要求和条件作出实质性响应，并在电子投标系统逐条应答。</w:t>
      </w:r>
    </w:p>
    <w:p w14:paraId="591CFFB9">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5.投标人应对要求提供的资格证明文件（如资质证书、资格证书）、技术资料（如白皮书、彩页、手册、检测报告等）扫描上传至投标系统。</w:t>
      </w:r>
    </w:p>
    <w:p w14:paraId="19E2D272">
      <w:pPr>
        <w:keepNext w:val="0"/>
        <w:keepLines w:val="0"/>
        <w:pageBreakBefore w:val="0"/>
        <w:widowControl w:val="0"/>
        <w:tabs>
          <w:tab w:val="left" w:pos="525"/>
          <w:tab w:val="left" w:pos="1050"/>
        </w:tabs>
        <w:kinsoku/>
        <w:wordWrap w:val="0"/>
        <w:overflowPunct/>
        <w:topLinePunct w:val="0"/>
        <w:autoSpaceDE/>
        <w:autoSpaceDN/>
        <w:bidi w:val="0"/>
        <w:adjustRightInd/>
        <w:snapToGrid/>
        <w:spacing w:line="360" w:lineRule="auto"/>
        <w:ind w:firstLine="482"/>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6.投标供应商进行网上报价请参照《江苏省政府采购管理交易系统（苏采云）供应商操作指南》（网址：http://www.ccgp-jiangsu.gov.cn/jiangsu/zlxz/ee/ee3a4bc5a3454aa2b0d9312230633ce9.html）。</w:t>
      </w:r>
    </w:p>
    <w:p w14:paraId="51AB6048">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（八）</w:t>
      </w:r>
      <w:r>
        <w:rPr>
          <w:rFonts w:hint="eastAsia" w:ascii="宋体" w:hAnsi="宋体" w:cs="宋体"/>
          <w:bCs/>
          <w:color w:val="auto"/>
          <w:sz w:val="24"/>
          <w:szCs w:val="24"/>
          <w:highlight w:val="none"/>
        </w:rPr>
        <w:t>无效投标文件的确认：</w:t>
      </w:r>
    </w:p>
    <w:p w14:paraId="7AB5CE8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电子投标文件未按规定期限投标的；</w:t>
      </w:r>
    </w:p>
    <w:p w14:paraId="0B89C94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电子投标文件未按招标文件要求签章的；</w:t>
      </w:r>
    </w:p>
    <w:p w14:paraId="38E248A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投标人未按招标文件要求解密电子投标文件的；</w:t>
      </w:r>
    </w:p>
    <w:p w14:paraId="3237EC7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投标人的法定代表人授权代表，无法定代表人授权委托书的；</w:t>
      </w:r>
    </w:p>
    <w:p w14:paraId="7F2BB0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投标人的法定代表人或被授权代表，未准时参加开标会议的；</w:t>
      </w:r>
    </w:p>
    <w:p w14:paraId="3784CDB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不具备招标文件中规定的资格要求或未按招标文件规定的要求提供资格、资信证明文件的；</w:t>
      </w:r>
    </w:p>
    <w:p w14:paraId="4257324F">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列入失信被执行人、重大税收违法案件当事人名单、政府采购严重违法失信行为记录名单的；</w:t>
      </w:r>
    </w:p>
    <w:p w14:paraId="24C1E34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投标文件未按招标文件规定的内容和要求填写的；</w:t>
      </w:r>
    </w:p>
    <w:p w14:paraId="21AD4BE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投标文件书写潦草、字迹模糊不清、无法辨认的；</w:t>
      </w:r>
    </w:p>
    <w:p w14:paraId="722385B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投标文件中有招标文件未允许提供的选择性内容；</w:t>
      </w:r>
    </w:p>
    <w:p w14:paraId="36318D7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不同投标人委托同一单位或者个人办理投标事宜的；</w:t>
      </w:r>
    </w:p>
    <w:p w14:paraId="583A4A1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不同投标人的单位负责人为同一人或者存在直接控股、管理关系的；</w:t>
      </w:r>
    </w:p>
    <w:p w14:paraId="4599A4E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不同投标人的投标文件存在明显的相似性或一致性，特征显示由同一单位或者同一个人编制的；</w:t>
      </w:r>
    </w:p>
    <w:p w14:paraId="2A415C1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7640AC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74E0961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16.</w:t>
      </w:r>
      <w:r>
        <w:rPr>
          <w:rFonts w:hint="eastAsia" w:ascii="宋体" w:hAnsi="宋体" w:eastAsia="宋体" w:cs="宋体"/>
          <w:bCs/>
          <w:color w:val="auto"/>
          <w:sz w:val="24"/>
          <w:szCs w:val="24"/>
          <w:highlight w:val="none"/>
        </w:rPr>
        <w:t>投标人提交两个（含）以上不同的投标报价或项目（标段）投标总价超过本项目（标段）预算或最高限价的；</w:t>
      </w:r>
    </w:p>
    <w:p w14:paraId="7C69A91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17.</w:t>
      </w:r>
      <w:r>
        <w:rPr>
          <w:rFonts w:hint="eastAsia" w:ascii="宋体" w:hAnsi="宋体" w:eastAsia="宋体" w:cs="宋体"/>
          <w:bCs/>
          <w:color w:val="auto"/>
          <w:sz w:val="24"/>
          <w:szCs w:val="24"/>
          <w:highlight w:val="none"/>
        </w:rPr>
        <w:t>提供虚假材料的（包括工商营业执照、财务报表、资格证明文件等）；</w:t>
      </w:r>
    </w:p>
    <w:p w14:paraId="1DD603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18.</w:t>
      </w:r>
      <w:r>
        <w:rPr>
          <w:rFonts w:hint="eastAsia" w:ascii="宋体" w:hAnsi="宋体" w:eastAsia="宋体" w:cs="宋体"/>
          <w:bCs/>
          <w:color w:val="auto"/>
          <w:sz w:val="24"/>
          <w:szCs w:val="24"/>
          <w:highlight w:val="none"/>
        </w:rPr>
        <w:t>投标文件含有采购人不能接受的附加条件的；</w:t>
      </w:r>
    </w:p>
    <w:p w14:paraId="38D57A3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A45808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1328C80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21.</w:t>
      </w:r>
      <w:r>
        <w:rPr>
          <w:rFonts w:hint="eastAsia" w:ascii="宋体" w:hAnsi="宋体" w:eastAsia="宋体" w:cs="宋体"/>
          <w:bCs/>
          <w:color w:val="auto"/>
          <w:sz w:val="24"/>
          <w:szCs w:val="24"/>
          <w:highlight w:val="none"/>
        </w:rPr>
        <w:t>投标文件中无技术方案或技术方案编制粗糙、缺漏项较多；</w:t>
      </w:r>
    </w:p>
    <w:p w14:paraId="73075EA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rPr>
        <w:t>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49B1A28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23.</w:t>
      </w:r>
      <w:r>
        <w:rPr>
          <w:rFonts w:hint="eastAsia" w:ascii="宋体" w:hAnsi="宋体" w:eastAsia="宋体" w:cs="宋体"/>
          <w:bCs/>
          <w:color w:val="auto"/>
          <w:sz w:val="24"/>
          <w:szCs w:val="24"/>
          <w:highlight w:val="none"/>
        </w:rPr>
        <w:t>投标文件内容不全或不符合招标文件中规定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1D39ED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rPr>
        <w:t>未按要求提供第三章项目要求和有关说明中须提供的相关证明材料的；</w:t>
      </w:r>
    </w:p>
    <w:p w14:paraId="24A32510">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25.</w:t>
      </w:r>
      <w:r>
        <w:rPr>
          <w:rFonts w:hint="eastAsia" w:ascii="宋体" w:hAnsi="宋体" w:cs="宋体"/>
          <w:bCs/>
          <w:color w:val="auto"/>
          <w:sz w:val="24"/>
          <w:szCs w:val="24"/>
          <w:highlight w:val="none"/>
        </w:rPr>
        <w:t>暗标未按招标文件要求编制的；</w:t>
      </w:r>
    </w:p>
    <w:p w14:paraId="756415BF">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.法律法规和招标文件规定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73DFB78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cs="宋体"/>
          <w:bCs/>
          <w:color w:val="auto"/>
          <w:sz w:val="24"/>
          <w:szCs w:val="24"/>
          <w:highlight w:val="none"/>
          <w:lang w:val="en-US" w:eastAsia="zh-CN"/>
        </w:rPr>
        <w:t>27.</w:t>
      </w:r>
      <w:r>
        <w:rPr>
          <w:rFonts w:hint="eastAsia" w:ascii="宋体" w:hAnsi="宋体" w:eastAsia="宋体" w:cs="宋体"/>
          <w:b/>
          <w:bCs/>
          <w:color w:val="auto"/>
          <w:sz w:val="24"/>
          <w:szCs w:val="24"/>
          <w:highlight w:val="none"/>
          <w:shd w:val="clear" w:color="auto" w:fill="auto"/>
          <w:lang w:eastAsia="zh-CN"/>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57ADED8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（1）评审中出现下列情形之一的，评审委员会应当启动异常低价投标（响应）审查程序： </w:t>
      </w:r>
    </w:p>
    <w:p w14:paraId="2203EE4A">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①投标（响应）报价低于全部通过符合性审查供应商投标（响应）报价平均值50%的，即投标（响应）报价</w:t>
      </w:r>
      <w:r>
        <w:rPr>
          <w:rFonts w:hint="eastAsia" w:ascii="宋体" w:hAnsi="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eastAsia="zh-CN"/>
        </w:rPr>
        <w:t>全部通过符合性审查供应商投标（响应）报价平均值×50%； </w:t>
      </w:r>
    </w:p>
    <w:p w14:paraId="479DCEC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②投标（响应）报价低于通过符合性审查的次低报价供应商投标（响应）报价50%的，即投标（响应）报价</w:t>
      </w:r>
      <w:r>
        <w:rPr>
          <w:rFonts w:hint="eastAsia" w:ascii="宋体" w:hAnsi="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eastAsia="zh-CN"/>
        </w:rPr>
        <w:t>通过符合性审查的次低报价供应商投标（响应）报价×50%； </w:t>
      </w:r>
    </w:p>
    <w:p w14:paraId="57C8AED4">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③投标（响应）报价低于采购项目最高限价45%的，即投标（响应）报价</w:t>
      </w:r>
      <w:r>
        <w:rPr>
          <w:rFonts w:hint="eastAsia" w:ascii="宋体" w:hAnsi="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eastAsia="zh-CN"/>
        </w:rPr>
        <w:t>采购项目最高限价×45%； </w:t>
      </w:r>
    </w:p>
    <w:p w14:paraId="74060C11">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④评审委员会基于专业判断，认为供应商报价过低，有可能影响产品质量或者不能诚信履约的其他情形。</w:t>
      </w:r>
    </w:p>
    <w:p w14:paraId="441FD3B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22B50902">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7B9AB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FB57ED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20CC59D9">
      <w:pPr>
        <w:tabs>
          <w:tab w:val="left" w:pos="1050"/>
        </w:tabs>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shd w:val="clear" w:color="auto" w:fill="auto"/>
          <w:lang w:eastAsia="zh-CN"/>
        </w:rPr>
        <w:t>（3）财政部门在投诉处理、监督检查中发现评审委员会未按规定对异常低价开展审查的，依法予以纠正并追究评审专家的法律责任。</w:t>
      </w:r>
    </w:p>
    <w:p w14:paraId="003AF37E">
      <w:pPr>
        <w:spacing w:line="360" w:lineRule="auto"/>
        <w:ind w:firstLine="480"/>
        <w:outlineLvl w:val="1"/>
        <w:rPr>
          <w:rFonts w:hint="eastAsia" w:ascii="宋体" w:hAnsi="宋体" w:cs="宋体"/>
          <w:bCs/>
          <w:color w:val="auto"/>
          <w:sz w:val="24"/>
          <w:szCs w:val="24"/>
          <w:highlight w:val="none"/>
        </w:rPr>
      </w:pPr>
      <w:bookmarkStart w:id="21" w:name="_Toc14884"/>
      <w:r>
        <w:rPr>
          <w:rFonts w:hint="eastAsia" w:ascii="宋体" w:hAnsi="宋体" w:cs="宋体"/>
          <w:bCs/>
          <w:color w:val="auto"/>
          <w:sz w:val="24"/>
          <w:szCs w:val="24"/>
          <w:highlight w:val="none"/>
          <w:lang w:eastAsia="zh-CN"/>
        </w:rPr>
        <w:t>（九）</w:t>
      </w:r>
      <w:r>
        <w:rPr>
          <w:rFonts w:hint="eastAsia" w:ascii="宋体" w:hAnsi="宋体" w:cs="宋体"/>
          <w:bCs/>
          <w:color w:val="auto"/>
          <w:sz w:val="24"/>
          <w:szCs w:val="24"/>
          <w:highlight w:val="none"/>
        </w:rPr>
        <w:t>开标、评标：</w:t>
      </w:r>
    </w:p>
    <w:p w14:paraId="3956B5CA">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所有投标单位在招标文件规定的时间内解密各自投标文件。</w:t>
      </w:r>
    </w:p>
    <w:p w14:paraId="36AF7735">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投标截止时间后参加投标的供应商或解密投标文件的供应商不足三家的，不开标；不进行开评标。</w:t>
      </w:r>
    </w:p>
    <w:p w14:paraId="21F7DC37">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3.投标文件的审查</w:t>
      </w:r>
    </w:p>
    <w:p w14:paraId="26D9D3F2">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投标文件报价出现前后不一致的，按照下列规定修正：</w:t>
      </w:r>
    </w:p>
    <w:p w14:paraId="080E0B46">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①投标文件中开标一览表内容与投标文件中相应内容不一致的，以开标一览表为准；</w:t>
      </w:r>
    </w:p>
    <w:p w14:paraId="7461BB83">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②大写金额和小写金额不一致的，以大写金额为准；</w:t>
      </w:r>
    </w:p>
    <w:p w14:paraId="2AFF1652">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③总价金额与按折扣系数汇总金额不一致的，以折扣系数计算结果为准。</w:t>
      </w:r>
    </w:p>
    <w:p w14:paraId="62D5D9B0">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59586C88">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对不同文字文本投标文件的解释发生异议的，以中文文本为准。</w:t>
      </w:r>
    </w:p>
    <w:p w14:paraId="4C11A341">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投标人未参加开标的，视同认可开标结果。</w:t>
      </w:r>
    </w:p>
    <w:p w14:paraId="09A73482">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cs="宋体"/>
          <w:bCs/>
          <w:color w:val="auto"/>
          <w:sz w:val="24"/>
          <w:szCs w:val="24"/>
          <w:highlight w:val="none"/>
        </w:rPr>
        <w:t>评标程序</w:t>
      </w:r>
    </w:p>
    <w:p w14:paraId="48E862C2">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评标工作由采购人和采购代理机构负责组织，具体评标事务由依法组建的评标委员会负责。</w:t>
      </w:r>
    </w:p>
    <w:p w14:paraId="1CB43FAA">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投标文件初审。初审分为资格性检查和符合性检查。</w:t>
      </w:r>
    </w:p>
    <w:p w14:paraId="1C37EB28">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A．资格性检查。采购人依据法律法规和招标文件的规定，对投标文件中的资格证明、投标（报价）承诺函等进行审查；通过“信用中国”网站（www.creditchina.gov.cn）中国政府采购网</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www.ccgp.gov.cn</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77A49C60">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B．符合性检查。评标委员会依据招标文件的规定，从投标文件的有效性、完整性和对招标文件的响应程度进行审查，以确定是否对招标文件的实质性要求作出响应。</w:t>
      </w:r>
    </w:p>
    <w:p w14:paraId="0467E687">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p>
    <w:p w14:paraId="6AC7742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比较与评价。评标委员会按招标文件中规定的评标方法和标准，对资格性</w:t>
      </w:r>
      <w:r>
        <w:rPr>
          <w:rFonts w:hint="eastAsia" w:ascii="宋体" w:hAnsi="宋体" w:eastAsia="宋体" w:cs="宋体"/>
          <w:bCs/>
          <w:color w:val="auto"/>
          <w:sz w:val="24"/>
          <w:szCs w:val="24"/>
          <w:highlight w:val="none"/>
        </w:rPr>
        <w:t>检查和符合性检查合格的投标文件进行商务和技术评估，综合比较与评价。</w:t>
      </w:r>
    </w:p>
    <w:p w14:paraId="38093B59">
      <w:pPr>
        <w:tabs>
          <w:tab w:val="left" w:pos="525"/>
          <w:tab w:val="left" w:pos="1050"/>
        </w:tabs>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lang w:val="en-US" w:eastAsia="zh-CN"/>
        </w:rPr>
        <w:t>评审过程中出现下列情形之一的，评审委员会应当启动异常低价投标（响应）审查程序：</w:t>
      </w:r>
    </w:p>
    <w:p w14:paraId="284568C4">
      <w:pPr>
        <w:tabs>
          <w:tab w:val="left" w:pos="525"/>
          <w:tab w:val="left" w:pos="1050"/>
        </w:tabs>
        <w:spacing w:line="360" w:lineRule="auto"/>
        <w:ind w:firstLine="480"/>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①投标（响应）报价低于全部通过符合性审查供应商投标（响应）报价平均值50%的，即投标（响应）报价〈全部通过符合性审查供应商投标（响应）报价平均值×50%； </w:t>
      </w:r>
    </w:p>
    <w:p w14:paraId="060EEC68">
      <w:pPr>
        <w:tabs>
          <w:tab w:val="left" w:pos="525"/>
          <w:tab w:val="left" w:pos="1050"/>
        </w:tabs>
        <w:spacing w:line="360" w:lineRule="auto"/>
        <w:ind w:firstLine="480"/>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②投标（响应）报价低于通过符合性审查的次低报价供应商投标（响应）报价50%的，即投标（响应）报价〈通过符合性审查的次低报价供应商投标（响应）报价×50%； </w:t>
      </w:r>
    </w:p>
    <w:p w14:paraId="0143791C">
      <w:pPr>
        <w:tabs>
          <w:tab w:val="left" w:pos="525"/>
          <w:tab w:val="left" w:pos="1050"/>
        </w:tabs>
        <w:spacing w:line="360" w:lineRule="auto"/>
        <w:ind w:firstLine="480"/>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③投标（响应）报价低于采购项目最高限价45%的，即投标（响应）报价〈采购项目最高限价×45%； </w:t>
      </w:r>
    </w:p>
    <w:p w14:paraId="1EFCC298">
      <w:pPr>
        <w:tabs>
          <w:tab w:val="left" w:pos="525"/>
          <w:tab w:val="left" w:pos="1050"/>
        </w:tabs>
        <w:spacing w:line="360" w:lineRule="auto"/>
        <w:ind w:firstLine="480"/>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④评审委员会基于专业判断，认为供应商报价过低，有可能影响产品质量或者不能诚信履约的其他情形。</w:t>
      </w:r>
    </w:p>
    <w:p w14:paraId="37CAE6C2">
      <w:pPr>
        <w:tabs>
          <w:tab w:val="left" w:pos="525"/>
          <w:tab w:val="left" w:pos="1050"/>
        </w:tabs>
        <w:spacing w:line="360" w:lineRule="auto"/>
        <w:ind w:firstLine="480"/>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5B465218">
      <w:pPr>
        <w:tabs>
          <w:tab w:val="left" w:pos="525"/>
          <w:tab w:val="left" w:pos="1050"/>
        </w:tabs>
        <w:spacing w:line="360" w:lineRule="auto"/>
        <w:ind w:firstLine="480"/>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F66938">
      <w:pPr>
        <w:tabs>
          <w:tab w:val="left" w:pos="525"/>
          <w:tab w:val="left" w:pos="1050"/>
        </w:tabs>
        <w:spacing w:line="360" w:lineRule="auto"/>
        <w:ind w:firstLine="480"/>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7596477">
      <w:pPr>
        <w:tabs>
          <w:tab w:val="left" w:pos="525"/>
          <w:tab w:val="left" w:pos="1050"/>
        </w:tabs>
        <w:spacing w:line="360" w:lineRule="auto"/>
        <w:ind w:firstLine="480"/>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74737E75">
      <w:pPr>
        <w:tabs>
          <w:tab w:val="left" w:pos="525"/>
          <w:tab w:val="left" w:pos="945"/>
        </w:tabs>
        <w:spacing w:line="360" w:lineRule="auto"/>
        <w:ind w:firstLine="480"/>
        <w:rPr>
          <w:rFonts w:hint="eastAsia" w:ascii="宋体" w:hAnsi="宋体" w:cs="宋体"/>
          <w:bCs/>
          <w:color w:val="auto"/>
          <w:sz w:val="24"/>
          <w:szCs w:val="24"/>
          <w:highlight w:val="none"/>
          <w:lang w:eastAsia="zh-CN"/>
        </w:rPr>
      </w:pPr>
      <w:r>
        <w:rPr>
          <w:rFonts w:hint="eastAsia" w:ascii="宋体" w:hAnsi="宋体" w:cs="宋体"/>
          <w:b/>
          <w:bCs w:val="0"/>
          <w:color w:val="auto"/>
          <w:sz w:val="24"/>
          <w:szCs w:val="24"/>
          <w:highlight w:val="none"/>
          <w:lang w:eastAsia="zh-CN"/>
        </w:rPr>
        <w:t>财政部门在投诉处理、监督检查中发现评审委员会未按规定对异常低价开展审查的，依法予以纠正并追究评审专家的法律责任。</w:t>
      </w:r>
    </w:p>
    <w:p w14:paraId="5831F565">
      <w:pPr>
        <w:tabs>
          <w:tab w:val="left" w:pos="525"/>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cs="宋体"/>
          <w:bCs/>
          <w:color w:val="auto"/>
          <w:sz w:val="24"/>
          <w:szCs w:val="24"/>
          <w:highlight w:val="none"/>
        </w:rPr>
        <w:t>评标方法</w:t>
      </w:r>
    </w:p>
    <w:p w14:paraId="1687D5FD">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投标人通过初审的，方可进入比较与评价程序。</w:t>
      </w:r>
    </w:p>
    <w:p w14:paraId="07AF4B61">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比较与评价采用综合评分法。</w:t>
      </w:r>
    </w:p>
    <w:p w14:paraId="36279C3A">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评审得分相同的，按照</w:t>
      </w:r>
      <w:r>
        <w:rPr>
          <w:rFonts w:hint="eastAsia" w:ascii="宋体" w:hAnsi="宋体" w:cs="宋体"/>
          <w:bCs/>
          <w:color w:val="auto"/>
          <w:sz w:val="24"/>
          <w:szCs w:val="24"/>
          <w:highlight w:val="none"/>
          <w:lang w:val="en-US" w:eastAsia="zh-CN"/>
        </w:rPr>
        <w:t>投标报价</w:t>
      </w:r>
      <w:r>
        <w:rPr>
          <w:rFonts w:hint="eastAsia" w:ascii="宋体" w:hAnsi="宋体" w:cs="宋体"/>
          <w:bCs/>
          <w:color w:val="auto"/>
          <w:sz w:val="24"/>
          <w:szCs w:val="24"/>
          <w:highlight w:val="none"/>
        </w:rPr>
        <w:t>由低到高的顺序推荐</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评审得分且最后报价相同的，按照技术指标（服务方案）优劣顺序推荐。未列入本评分标准的其他条件不作为评分内容。</w:t>
      </w:r>
    </w:p>
    <w:p w14:paraId="7F71951C">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6.</w:t>
      </w:r>
      <w:r>
        <w:rPr>
          <w:rFonts w:hint="eastAsia" w:ascii="宋体" w:hAnsi="宋体" w:cs="宋体"/>
          <w:bCs/>
          <w:color w:val="auto"/>
          <w:sz w:val="24"/>
          <w:szCs w:val="24"/>
          <w:highlight w:val="none"/>
        </w:rPr>
        <w:t>评标标准：详见附件。</w:t>
      </w:r>
    </w:p>
    <w:p w14:paraId="6A7E6DEB">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（十）</w:t>
      </w:r>
      <w:r>
        <w:rPr>
          <w:rFonts w:hint="eastAsia" w:ascii="宋体" w:hAnsi="宋体" w:cs="宋体"/>
          <w:bCs/>
          <w:color w:val="auto"/>
          <w:sz w:val="24"/>
          <w:szCs w:val="24"/>
          <w:highlight w:val="none"/>
        </w:rPr>
        <w:t>定标：</w:t>
      </w:r>
    </w:p>
    <w:p w14:paraId="2C63B8FC">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出。质疑函的质疑事项应具体、明确，</w:t>
      </w:r>
      <w:r>
        <w:rPr>
          <w:rFonts w:hint="eastAsia" w:ascii="宋体" w:hAnsi="宋体" w:cs="宋体"/>
          <w:bCs/>
          <w:color w:val="auto"/>
          <w:sz w:val="24"/>
          <w:szCs w:val="24"/>
          <w:highlight w:val="none"/>
          <w:lang w:eastAsia="zh-CN"/>
        </w:rPr>
        <w:t>并具</w:t>
      </w:r>
      <w:r>
        <w:rPr>
          <w:rFonts w:hint="eastAsia" w:ascii="宋体" w:hAnsi="宋体" w:cs="宋体"/>
          <w:bCs/>
          <w:color w:val="auto"/>
          <w:sz w:val="24"/>
          <w:szCs w:val="24"/>
          <w:highlight w:val="none"/>
        </w:rPr>
        <w:t>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cs="宋体"/>
          <w:bCs/>
          <w:color w:val="auto"/>
          <w:sz w:val="24"/>
          <w:szCs w:val="24"/>
          <w:highlight w:val="none"/>
          <w:lang w:val="en-US" w:eastAsia="zh-CN"/>
        </w:rPr>
        <w:t>作</w:t>
      </w:r>
      <w:r>
        <w:rPr>
          <w:rFonts w:hint="eastAsia" w:ascii="宋体" w:hAnsi="宋体" w:cs="宋体"/>
          <w:bCs/>
          <w:color w:val="auto"/>
          <w:sz w:val="24"/>
          <w:szCs w:val="24"/>
          <w:highlight w:val="none"/>
        </w:rPr>
        <w:t>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794D14FE">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在发布中标公告的同时，</w:t>
      </w:r>
      <w:r>
        <w:rPr>
          <w:rFonts w:hint="eastAsia" w:ascii="宋体" w:hAnsi="宋体" w:cs="宋体"/>
          <w:bCs/>
          <w:color w:val="auto"/>
          <w:sz w:val="24"/>
          <w:szCs w:val="24"/>
          <w:highlight w:val="none"/>
          <w:lang w:eastAsia="zh-CN"/>
        </w:rPr>
        <w:t>江苏朝阳工程管理咨询有限责任公司</w:t>
      </w:r>
      <w:r>
        <w:rPr>
          <w:rFonts w:hint="eastAsia" w:ascii="宋体" w:hAnsi="宋体" w:cs="宋体"/>
          <w:bCs/>
          <w:color w:val="auto"/>
          <w:sz w:val="24"/>
          <w:szCs w:val="24"/>
          <w:highlight w:val="none"/>
        </w:rPr>
        <w:t>将向中标供应商发</w:t>
      </w:r>
      <w:r>
        <w:rPr>
          <w:rFonts w:hint="eastAsia" w:ascii="宋体" w:hAnsi="宋体" w:cs="宋体"/>
          <w:bCs/>
          <w:color w:val="auto"/>
          <w:sz w:val="24"/>
          <w:szCs w:val="24"/>
          <w:highlight w:val="none"/>
          <w:lang w:val="en-US" w:eastAsia="zh-CN"/>
        </w:rPr>
        <w:t>出</w:t>
      </w:r>
      <w:r>
        <w:rPr>
          <w:rFonts w:hint="eastAsia" w:ascii="宋体" w:hAnsi="宋体" w:cs="宋体"/>
          <w:bCs/>
          <w:color w:val="auto"/>
          <w:sz w:val="24"/>
          <w:szCs w:val="24"/>
          <w:highlight w:val="none"/>
        </w:rPr>
        <w:t>中标通知书。</w:t>
      </w:r>
    </w:p>
    <w:p w14:paraId="2AADDFB2">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投标供应商电子投标文件将作为电子档案保存。</w:t>
      </w:r>
    </w:p>
    <w:p w14:paraId="50C64B6E">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（十一）</w:t>
      </w:r>
      <w:r>
        <w:rPr>
          <w:rFonts w:hint="eastAsia" w:ascii="宋体" w:hAnsi="宋体" w:cs="宋体"/>
          <w:bCs/>
          <w:color w:val="auto"/>
          <w:sz w:val="24"/>
          <w:szCs w:val="24"/>
          <w:highlight w:val="none"/>
        </w:rPr>
        <w:t>废标的确认：</w:t>
      </w:r>
    </w:p>
    <w:p w14:paraId="186269A0">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在招标采购中，出现下列情况之一的，应予废标：</w:t>
      </w:r>
    </w:p>
    <w:p w14:paraId="41288F5F">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符合专业条件的投标人或者对招标文件作出实质性响应的投标人不足三家；</w:t>
      </w:r>
    </w:p>
    <w:p w14:paraId="354DF521">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出现影响采购公正的违法、违规行为；</w:t>
      </w:r>
    </w:p>
    <w:p w14:paraId="4D1371D2">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投标人的报价均超过采购预算，采购人不能支付的；</w:t>
      </w:r>
    </w:p>
    <w:p w14:paraId="55662E29">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cs="宋体"/>
          <w:bCs/>
          <w:color w:val="auto"/>
          <w:sz w:val="24"/>
          <w:szCs w:val="24"/>
          <w:highlight w:val="none"/>
        </w:rPr>
        <w:t>因重大变故，采购任务取消。</w:t>
      </w:r>
    </w:p>
    <w:p w14:paraId="7AE9D8DB">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（十二）</w:t>
      </w:r>
      <w:r>
        <w:rPr>
          <w:rFonts w:hint="eastAsia" w:ascii="宋体" w:hAnsi="宋体" w:cs="宋体"/>
          <w:bCs/>
          <w:color w:val="auto"/>
          <w:sz w:val="24"/>
          <w:szCs w:val="24"/>
          <w:highlight w:val="none"/>
        </w:rPr>
        <w:t>中标无效的确认：</w:t>
      </w:r>
    </w:p>
    <w:p w14:paraId="7B26CA5B">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提供虚假材料谋取中标的；</w:t>
      </w:r>
    </w:p>
    <w:p w14:paraId="3BF4C386">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采取不正当手段诋毁、排挤其他投标人的；</w:t>
      </w:r>
    </w:p>
    <w:p w14:paraId="6CF22EC3">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与招标采购单位、其他投标人恶意串通的；</w:t>
      </w:r>
    </w:p>
    <w:p w14:paraId="4D8283B4">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cs="宋体"/>
          <w:bCs/>
          <w:color w:val="auto"/>
          <w:sz w:val="24"/>
          <w:szCs w:val="24"/>
          <w:highlight w:val="none"/>
        </w:rPr>
        <w:t>向招标采购单位行贿或者提供其他不正当利益的；</w:t>
      </w:r>
    </w:p>
    <w:p w14:paraId="0F56FFF3">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cs="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621ED5B9">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6.</w:t>
      </w:r>
      <w:r>
        <w:rPr>
          <w:rFonts w:hint="eastAsia" w:ascii="宋体" w:hAnsi="宋体" w:cs="宋体"/>
          <w:bCs/>
          <w:color w:val="auto"/>
          <w:sz w:val="24"/>
          <w:szCs w:val="24"/>
          <w:highlight w:val="none"/>
        </w:rPr>
        <w:t>拒绝有关部门监督检查或者提供虚假情况的。</w:t>
      </w:r>
    </w:p>
    <w:p w14:paraId="74B0611D">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51270B6">
      <w:pPr>
        <w:spacing w:line="360" w:lineRule="auto"/>
        <w:ind w:firstLine="480"/>
        <w:outlineLvl w:val="1"/>
        <w:rPr>
          <w:rFonts w:hint="eastAsia" w:ascii="宋体" w:hAnsi="宋体" w:cs="宋体"/>
          <w:bCs/>
          <w:color w:val="auto"/>
          <w:sz w:val="24"/>
          <w:szCs w:val="24"/>
          <w:highlight w:val="none"/>
        </w:rPr>
      </w:pPr>
      <w:bookmarkStart w:id="22" w:name="_Toc21337"/>
      <w:bookmarkStart w:id="23" w:name="_Toc32174"/>
      <w:r>
        <w:rPr>
          <w:rFonts w:hint="eastAsia" w:ascii="宋体" w:hAnsi="宋体" w:cs="宋体"/>
          <w:bCs/>
          <w:color w:val="auto"/>
          <w:sz w:val="24"/>
          <w:szCs w:val="24"/>
          <w:highlight w:val="none"/>
          <w:lang w:eastAsia="zh-CN"/>
        </w:rPr>
        <w:t>（十三）</w:t>
      </w:r>
      <w:r>
        <w:rPr>
          <w:rFonts w:hint="eastAsia" w:ascii="宋体" w:hAnsi="宋体" w:cs="宋体"/>
          <w:bCs/>
          <w:color w:val="auto"/>
          <w:sz w:val="24"/>
          <w:szCs w:val="24"/>
          <w:highlight w:val="none"/>
        </w:rPr>
        <w:t>签订、履行合同：</w:t>
      </w:r>
      <w:bookmarkEnd w:id="22"/>
      <w:bookmarkEnd w:id="23"/>
    </w:p>
    <w:p w14:paraId="132127F8">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cs="宋体"/>
          <w:bCs/>
          <w:color w:val="auto"/>
          <w:sz w:val="24"/>
          <w:szCs w:val="24"/>
          <w:highlight w:val="none"/>
          <w:lang w:val="en-US" w:eastAsia="zh-CN"/>
        </w:rPr>
        <w:t>做</w:t>
      </w:r>
      <w:r>
        <w:rPr>
          <w:rFonts w:hint="eastAsia" w:ascii="宋体" w:hAnsi="宋体" w:cs="宋体"/>
          <w:bCs/>
          <w:color w:val="auto"/>
          <w:sz w:val="24"/>
          <w:szCs w:val="24"/>
          <w:highlight w:val="none"/>
        </w:rPr>
        <w:t>任何修改。</w:t>
      </w:r>
    </w:p>
    <w:p w14:paraId="6F11C039">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2.江苏朝阳工程管理咨询有限责任公司</w:t>
      </w:r>
      <w:r>
        <w:rPr>
          <w:rFonts w:hint="eastAsia" w:ascii="宋体" w:hAnsi="宋体" w:cs="宋体"/>
          <w:bCs/>
          <w:color w:val="auto"/>
          <w:sz w:val="24"/>
          <w:szCs w:val="24"/>
          <w:highlight w:val="none"/>
        </w:rPr>
        <w:t>监督合同的履行。中标方非因不可抗力未履行招、投标文件和合同规定的义务，一经查实，采购人将根据具体情况提请政府采购管理部门作出相应处理。</w:t>
      </w:r>
    </w:p>
    <w:p w14:paraId="0579CDAE">
      <w:pPr>
        <w:spacing w:line="360" w:lineRule="auto"/>
        <w:ind w:firstLine="480"/>
        <w:outlineLvl w:val="1"/>
        <w:rPr>
          <w:rFonts w:hint="eastAsia" w:ascii="宋体" w:hAnsi="宋体" w:cs="宋体"/>
          <w:bCs/>
          <w:color w:val="auto"/>
          <w:sz w:val="24"/>
          <w:szCs w:val="24"/>
          <w:highlight w:val="none"/>
        </w:rPr>
      </w:pPr>
      <w:bookmarkStart w:id="24" w:name="_Toc28715"/>
      <w:bookmarkStart w:id="25" w:name="_Toc598"/>
      <w:r>
        <w:rPr>
          <w:rFonts w:hint="eastAsia" w:ascii="宋体" w:hAnsi="宋体" w:cs="宋体"/>
          <w:bCs/>
          <w:color w:val="auto"/>
          <w:sz w:val="24"/>
          <w:szCs w:val="24"/>
          <w:highlight w:val="none"/>
          <w:lang w:eastAsia="zh-CN"/>
        </w:rPr>
        <w:t>（十四）</w:t>
      </w:r>
      <w:r>
        <w:rPr>
          <w:rFonts w:hint="eastAsia" w:ascii="宋体" w:hAnsi="宋体" w:cs="宋体"/>
          <w:bCs/>
          <w:color w:val="auto"/>
          <w:sz w:val="24"/>
          <w:szCs w:val="24"/>
          <w:highlight w:val="none"/>
        </w:rPr>
        <w:t>注意事项：</w:t>
      </w:r>
      <w:bookmarkEnd w:id="24"/>
      <w:bookmarkEnd w:id="25"/>
    </w:p>
    <w:p w14:paraId="2AEDAAD3">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中标供应商有下列情形之一的，情节严重的，由财政部门将其列入不良行为记录名单，在一至三年内禁止参加政府采购活动，并予以通报：</w:t>
      </w:r>
    </w:p>
    <w:p w14:paraId="4086BB7B">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（1）中标后无正当理由不与采购人签订合同的；</w:t>
      </w:r>
    </w:p>
    <w:p w14:paraId="2CF9EB7F">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（2）将中标项目转让给他人，或者在投标文件中未说明，且未经过采购人同意，将中标项目分包给他人的；</w:t>
      </w:r>
    </w:p>
    <w:p w14:paraId="021F9226">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（3）拒绝履行合同义务的。</w:t>
      </w:r>
    </w:p>
    <w:p w14:paraId="3070BD51">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（十五）</w:t>
      </w:r>
      <w:r>
        <w:rPr>
          <w:rFonts w:hint="eastAsia" w:ascii="宋体" w:hAnsi="宋体" w:cs="宋体"/>
          <w:bCs/>
          <w:color w:val="auto"/>
          <w:sz w:val="24"/>
          <w:szCs w:val="24"/>
          <w:highlight w:val="none"/>
        </w:rPr>
        <w:t>政府采购信用担保</w:t>
      </w:r>
    </w:p>
    <w:p w14:paraId="7F916754">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政府采购信用担保，是由专业担保机构为供应商向采购人、代理机构、金融机构提供的保证。供应商可以根据自身情况，自行决定是否选择采用信用担保形式。</w:t>
      </w:r>
    </w:p>
    <w:p w14:paraId="3BA79523">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中标供应商以保函形式缴纳履约保证金；供应商未按政府采购合同履行约定义务而应实际支付保证金的，由专业担保机构按照</w:t>
      </w:r>
      <w:r>
        <w:rPr>
          <w:rFonts w:hint="eastAsia" w:ascii="宋体" w:hAnsi="宋体" w:cs="宋体"/>
          <w:bCs/>
          <w:color w:val="auto"/>
          <w:sz w:val="24"/>
          <w:szCs w:val="24"/>
          <w:highlight w:val="none"/>
          <w:lang w:eastAsia="zh-CN"/>
        </w:rPr>
        <w:t>保</w:t>
      </w:r>
      <w:r>
        <w:rPr>
          <w:rFonts w:hint="eastAsia" w:ascii="宋体" w:hAnsi="宋体" w:cs="宋体"/>
          <w:bCs/>
          <w:color w:val="auto"/>
          <w:sz w:val="24"/>
          <w:szCs w:val="24"/>
          <w:highlight w:val="none"/>
        </w:rPr>
        <w:t>函约定履行担保责任。供应商可以自愿选择是否采取履约担保函的形式交纳履约保证金。</w:t>
      </w:r>
    </w:p>
    <w:p w14:paraId="6F5EA3B7">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183FBB6">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（十六）</w:t>
      </w:r>
      <w:r>
        <w:rPr>
          <w:rFonts w:hint="eastAsia" w:ascii="宋体" w:hAnsi="宋体" w:cs="宋体"/>
          <w:bCs/>
          <w:color w:val="auto"/>
          <w:sz w:val="24"/>
          <w:szCs w:val="24"/>
          <w:highlight w:val="none"/>
        </w:rPr>
        <w:t>政府采购合同融资：</w:t>
      </w:r>
    </w:p>
    <w:p w14:paraId="5958A229">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7D81D59">
      <w:pPr>
        <w:keepNext w:val="0"/>
        <w:keepLines w:val="0"/>
        <w:pageBreakBefore w:val="0"/>
        <w:widowControl w:val="0"/>
        <w:tabs>
          <w:tab w:val="left" w:pos="525"/>
          <w:tab w:val="left" w:pos="1050"/>
        </w:tabs>
        <w:kinsoku/>
        <w:wordWrap/>
        <w:overflowPunct/>
        <w:topLinePunct w:val="0"/>
        <w:autoSpaceDE/>
        <w:autoSpaceDN/>
        <w:bidi w:val="0"/>
        <w:adjustRightInd/>
        <w:snapToGrid w:val="0"/>
        <w:spacing w:line="360" w:lineRule="auto"/>
        <w:ind w:firstLine="482"/>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中标、成交供应商可根据自身情况，自行决定是否选择采用合同融资形式，在无锡政府采购网——政采贷专栏提供的银行名录内自主选择合作银行。</w:t>
      </w:r>
    </w:p>
    <w:p w14:paraId="14121728">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（十七）</w:t>
      </w:r>
      <w:r>
        <w:rPr>
          <w:rFonts w:hint="eastAsia" w:ascii="宋体" w:hAnsi="宋体" w:cs="宋体"/>
          <w:bCs/>
          <w:color w:val="auto"/>
          <w:sz w:val="24"/>
          <w:szCs w:val="24"/>
          <w:highlight w:val="none"/>
        </w:rPr>
        <w:t>代理服务费：</w:t>
      </w:r>
    </w:p>
    <w:p w14:paraId="763EEB9D">
      <w:pPr>
        <w:pStyle w:val="40"/>
        <w:spacing w:line="360" w:lineRule="auto"/>
        <w:ind w:left="0" w:leftChars="0"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1.</w:t>
      </w:r>
      <w:r>
        <w:rPr>
          <w:rFonts w:hint="eastAsia" w:ascii="宋体" w:hAnsi="宋体" w:eastAsia="宋体" w:cs="宋体"/>
          <w:bCs/>
          <w:color w:val="auto"/>
          <w:sz w:val="24"/>
          <w:szCs w:val="24"/>
          <w:highlight w:val="none"/>
          <w:lang w:val="en-US" w:eastAsia="zh-CN" w:bidi="ar-SA"/>
        </w:rPr>
        <w:t>本项目代理服务费由成交供应商支付，供应商报价中应当包含代理服务费，采购人不再另行支付。</w:t>
      </w:r>
    </w:p>
    <w:p w14:paraId="778A0C50">
      <w:pPr>
        <w:tabs>
          <w:tab w:val="left" w:pos="525"/>
          <w:tab w:val="left" w:pos="1050"/>
        </w:tabs>
        <w:spacing w:line="360" w:lineRule="auto"/>
        <w:ind w:left="0" w:leftChars="0"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2.</w:t>
      </w:r>
      <w:r>
        <w:rPr>
          <w:rFonts w:hint="eastAsia" w:ascii="宋体" w:hAnsi="宋体" w:eastAsia="宋体" w:cs="宋体"/>
          <w:bCs/>
          <w:color w:val="auto"/>
          <w:sz w:val="24"/>
          <w:szCs w:val="24"/>
          <w:highlight w:val="none"/>
          <w:lang w:val="en-US" w:eastAsia="zh-CN" w:bidi="ar-SA"/>
        </w:rPr>
        <w:t>本项目代理服务费收费标准依据《江苏省政府采购代理服务收费指导意见》及采购代理机构服务收费相关规定，以中标金额为计费基础，按差额定率累进法计算：</w:t>
      </w:r>
    </w:p>
    <w:p w14:paraId="724F8F32">
      <w:pPr>
        <w:tabs>
          <w:tab w:val="left" w:pos="525"/>
          <w:tab w:val="left" w:pos="1050"/>
        </w:tabs>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中标金额100万元以下（含100万元）部分，按1.5%计取；</w:t>
      </w:r>
    </w:p>
    <w:p w14:paraId="6222FB61">
      <w:pPr>
        <w:tabs>
          <w:tab w:val="left" w:pos="525"/>
          <w:tab w:val="left" w:pos="1050"/>
        </w:tabs>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中标金额100万-500万元（含500万元）部分，按0.8%计取；</w:t>
      </w:r>
    </w:p>
    <w:p w14:paraId="26E891E6">
      <w:pPr>
        <w:tabs>
          <w:tab w:val="left" w:pos="525"/>
          <w:tab w:val="left" w:pos="1050"/>
        </w:tabs>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上述费用在此基础上整体打7折，作为本项目代理服务费最终金额。</w:t>
      </w:r>
    </w:p>
    <w:p w14:paraId="3D66DA2B">
      <w:pPr>
        <w:pStyle w:val="40"/>
        <w:spacing w:line="360" w:lineRule="auto"/>
        <w:ind w:left="0" w:leftChars="0" w:firstLine="480" w:firstLineChars="200"/>
        <w:rPr>
          <w:rFonts w:hint="default"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w:t>
      </w:r>
      <w:r>
        <w:rPr>
          <w:rFonts w:hint="eastAsia" w:ascii="宋体" w:hAnsi="宋体" w:eastAsia="宋体" w:cs="宋体"/>
          <w:bCs/>
          <w:color w:val="auto"/>
          <w:sz w:val="24"/>
          <w:szCs w:val="24"/>
          <w:highlight w:val="none"/>
          <w:lang w:val="en-US" w:eastAsia="zh-CN" w:bidi="ar-SA"/>
        </w:rPr>
        <w:t>成交供应商须在领取成交通知书时，向采购代理机构一次性转账付清全部代理服务费。</w:t>
      </w:r>
    </w:p>
    <w:p w14:paraId="6BEA14B7">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（十八）</w:t>
      </w:r>
      <w:r>
        <w:rPr>
          <w:rFonts w:hint="eastAsia" w:ascii="宋体" w:hAnsi="宋体" w:eastAsia="宋体" w:cs="宋体"/>
          <w:bCs/>
          <w:color w:val="auto"/>
          <w:sz w:val="24"/>
          <w:szCs w:val="24"/>
          <w:highlight w:val="none"/>
        </w:rPr>
        <w:t>其他：</w:t>
      </w:r>
    </w:p>
    <w:p w14:paraId="73162FF4">
      <w:pPr>
        <w:keepNext w:val="0"/>
        <w:keepLines w:val="0"/>
        <w:pageBreakBefore w:val="0"/>
        <w:widowControl w:val="0"/>
        <w:tabs>
          <w:tab w:val="left" w:pos="525"/>
          <w:tab w:val="left" w:pos="1050"/>
        </w:tabs>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采购文件的条款必须认真审阅，投标人应自行检查采购文件页数是否齐全。若有遗漏、重复或不清楚，需立刻通知采购人予以更正；凡属对条款的误解所造成的投标价格失误，由投标人负责。</w:t>
      </w:r>
    </w:p>
    <w:p w14:paraId="0B9C18BA">
      <w:pPr>
        <w:keepNext w:val="0"/>
        <w:keepLines w:val="0"/>
        <w:pageBreakBefore w:val="0"/>
        <w:widowControl w:val="0"/>
        <w:kinsoku/>
        <w:wordWrap/>
        <w:overflowPunct/>
        <w:topLinePunct w:val="0"/>
        <w:autoSpaceDE/>
        <w:autoSpaceDN/>
        <w:bidi w:val="0"/>
        <w:adjustRightInd/>
        <w:snapToGrid w:val="0"/>
        <w:spacing w:line="360" w:lineRule="auto"/>
        <w:ind w:firstLine="482"/>
        <w:jc w:val="center"/>
        <w:textAlignment w:val="auto"/>
        <w:rPr>
          <w:rFonts w:hint="eastAsia" w:ascii="宋体" w:hAnsi="宋体" w:cs="宋体"/>
          <w:color w:val="auto"/>
          <w:sz w:val="24"/>
          <w:szCs w:val="24"/>
          <w:highlight w:val="none"/>
        </w:rPr>
        <w:sectPr>
          <w:pgSz w:w="11906" w:h="16838"/>
          <w:pgMar w:top="1440" w:right="1134" w:bottom="1440" w:left="1417" w:header="851" w:footer="992" w:gutter="0"/>
          <w:cols w:space="720" w:num="1"/>
          <w:docGrid w:linePitch="360" w:charSpace="0"/>
        </w:sectPr>
      </w:pPr>
      <w:bookmarkStart w:id="26" w:name="_Toc27586"/>
    </w:p>
    <w:p w14:paraId="606CC469">
      <w:pPr>
        <w:spacing w:line="360" w:lineRule="auto"/>
        <w:jc w:val="center"/>
        <w:outlineLvl w:val="0"/>
        <w:rPr>
          <w:rFonts w:hint="eastAsia" w:hAnsi="宋体" w:cs="宋体"/>
          <w:b/>
          <w:bCs/>
          <w:color w:val="auto"/>
          <w:sz w:val="32"/>
          <w:szCs w:val="32"/>
          <w:highlight w:val="none"/>
        </w:rPr>
      </w:pPr>
      <w:bookmarkStart w:id="27" w:name="_Toc18751"/>
      <w:r>
        <w:rPr>
          <w:rFonts w:hint="eastAsia" w:hAnsi="宋体" w:cs="宋体"/>
          <w:b/>
          <w:bCs/>
          <w:color w:val="auto"/>
          <w:sz w:val="32"/>
          <w:szCs w:val="32"/>
          <w:highlight w:val="none"/>
        </w:rPr>
        <w:t>三、</w:t>
      </w:r>
      <w:bookmarkEnd w:id="21"/>
      <w:bookmarkEnd w:id="26"/>
      <w:bookmarkEnd w:id="27"/>
      <w:bookmarkStart w:id="28" w:name="_Toc21985"/>
      <w:bookmarkStart w:id="29" w:name="_Toc21591"/>
      <w:bookmarkStart w:id="30" w:name="_Toc26"/>
      <w:r>
        <w:rPr>
          <w:rFonts w:hint="eastAsia" w:hAnsi="宋体" w:cs="宋体"/>
          <w:b/>
          <w:bCs/>
          <w:color w:val="auto"/>
          <w:sz w:val="32"/>
          <w:szCs w:val="32"/>
          <w:highlight w:val="none"/>
        </w:rPr>
        <w:t>项目技术要求和有关说明</w:t>
      </w:r>
    </w:p>
    <w:p w14:paraId="661B4F15">
      <w:pPr>
        <w:pStyle w:val="2"/>
        <w:pageBreakBefore w:val="0"/>
        <w:kinsoku/>
        <w:wordWrap/>
        <w:overflowPunct/>
        <w:topLinePunct w:val="0"/>
        <w:autoSpaceDE/>
        <w:autoSpaceDN/>
        <w:bidi w:val="0"/>
        <w:adjustRightInd/>
        <w:snapToGrid w:val="0"/>
        <w:spacing w:line="360" w:lineRule="auto"/>
        <w:ind w:left="0" w:leftChars="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一、项目概述</w:t>
      </w:r>
    </w:p>
    <w:p w14:paraId="1E3C2448">
      <w:pPr>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通过建立以全自动化中心实验室为主体，结合便携式现场监测的全方位联动监测体系，提升监测、监管能力，实现对新吴区地表水网的全方面高频率的动态监测，为提升新吴区水环境质量提供智能决策参考。</w:t>
      </w:r>
    </w:p>
    <w:p w14:paraId="57EB0733">
      <w:pPr>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强化实验室质量管理，适配相关标准规范，确保实验室质量管理体系运行正常，构建覆盖采样、检测、存储的全链条合规机制，确保数据链完整可信，加强实验室管理能力。</w:t>
      </w:r>
    </w:p>
    <w:p w14:paraId="24D70EA9">
      <w:pPr>
        <w:pStyle w:val="2"/>
        <w:pageBreakBefore w:val="0"/>
        <w:widowControl w:val="0"/>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预算金额：500万元。</w:t>
      </w:r>
    </w:p>
    <w:p w14:paraId="43C1D200">
      <w:pPr>
        <w:pStyle w:val="2"/>
        <w:pageBreakBefore w:val="0"/>
        <w:widowControl w:val="0"/>
        <w:kinsoku/>
        <w:wordWrap/>
        <w:overflowPunct/>
        <w:topLinePunct w:val="0"/>
        <w:autoSpaceDE/>
        <w:autoSpaceDN/>
        <w:bidi w:val="0"/>
        <w:adjustRightInd/>
        <w:snapToGrid w:val="0"/>
        <w:spacing w:before="0" w:after="0" w:line="360" w:lineRule="auto"/>
        <w:ind w:left="0" w:leftChars="0"/>
        <w:jc w:val="both"/>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二、技术要求</w:t>
      </w:r>
    </w:p>
    <w:p w14:paraId="75072632">
      <w:pPr>
        <w:pStyle w:val="16"/>
        <w:pageBreakBefore w:val="0"/>
        <w:kinsoku/>
        <w:wordWrap/>
        <w:overflowPunct/>
        <w:topLinePunct w:val="0"/>
        <w:autoSpaceDE/>
        <w:autoSpaceDN/>
        <w:bidi w:val="0"/>
        <w:adjustRightInd/>
        <w:snapToGrid w:val="0"/>
        <w:spacing w:line="360" w:lineRule="auto"/>
        <w:ind w:left="0" w:leftChars="0" w:firstLine="480"/>
        <w:rPr>
          <w:rFonts w:hint="eastAsia" w:ascii="宋体" w:cs="宋体"/>
          <w:b w:val="0"/>
          <w:color w:val="auto"/>
          <w:spacing w:val="0"/>
          <w:sz w:val="24"/>
          <w:szCs w:val="24"/>
          <w:highlight w:val="none"/>
          <w:lang w:val="en-US" w:eastAsia="zh-CN"/>
        </w:rPr>
      </w:pPr>
      <w:r>
        <w:rPr>
          <w:rFonts w:hint="eastAsia" w:ascii="宋体" w:cs="宋体"/>
          <w:b w:val="0"/>
          <w:color w:val="auto"/>
          <w:spacing w:val="0"/>
          <w:sz w:val="24"/>
          <w:szCs w:val="24"/>
          <w:highlight w:val="none"/>
        </w:rPr>
        <w:t>1.1</w:t>
      </w:r>
      <w:r>
        <w:rPr>
          <w:rFonts w:hint="eastAsia" w:ascii="宋体" w:cs="宋体"/>
          <w:b w:val="0"/>
          <w:color w:val="auto"/>
          <w:spacing w:val="0"/>
          <w:sz w:val="24"/>
          <w:szCs w:val="24"/>
          <w:highlight w:val="none"/>
          <w:lang w:val="en-US" w:eastAsia="zh-CN"/>
        </w:rPr>
        <w:t>确保现有智慧水质监测实验室日常稳定运行，包含日常运维、维修、备品备件耗材供应及售后等工作，配合甲方完成定量任务及实验室操作系统运行。</w:t>
      </w:r>
    </w:p>
    <w:p w14:paraId="7E863CFD">
      <w:pPr>
        <w:pStyle w:val="16"/>
        <w:pageBreakBefore w:val="0"/>
        <w:kinsoku/>
        <w:wordWrap/>
        <w:overflowPunct/>
        <w:topLinePunct w:val="0"/>
        <w:autoSpaceDE/>
        <w:autoSpaceDN/>
        <w:bidi w:val="0"/>
        <w:adjustRightInd/>
        <w:snapToGrid w:val="0"/>
        <w:spacing w:line="360" w:lineRule="auto"/>
        <w:ind w:left="0" w:leftChars="0" w:firstLine="480"/>
        <w:rPr>
          <w:rFonts w:hint="default" w:ascii="宋体" w:eastAsia="宋体" w:cs="宋体"/>
          <w:b w:val="0"/>
          <w:color w:val="auto"/>
          <w:spacing w:val="0"/>
          <w:sz w:val="24"/>
          <w:szCs w:val="24"/>
          <w:highlight w:val="none"/>
          <w:lang w:val="en-US" w:eastAsia="zh-CN"/>
        </w:rPr>
      </w:pPr>
      <w:r>
        <w:rPr>
          <w:rFonts w:hint="eastAsia" w:ascii="宋体" w:cs="宋体"/>
          <w:b w:val="0"/>
          <w:color w:val="auto"/>
          <w:spacing w:val="0"/>
          <w:sz w:val="24"/>
          <w:szCs w:val="24"/>
          <w:highlight w:val="none"/>
        </w:rPr>
        <w:t>1.2 配合甲方开展现有实验室质量管理体系运行期间数据报告等技术文件材料的编制、核查及实验室日常质量管理工作，完成相关电子记录的编制及上传。确保现行实验室运行管理系统的正常运行。</w:t>
      </w:r>
    </w:p>
    <w:p w14:paraId="0F2E63BB">
      <w:pPr>
        <w:pageBreakBefore w:val="0"/>
        <w:kinsoku/>
        <w:wordWrap/>
        <w:overflowPunct/>
        <w:topLinePunct w:val="0"/>
        <w:autoSpaceDE/>
        <w:autoSpaceDN/>
        <w:bidi w:val="0"/>
        <w:adjustRightInd/>
        <w:snapToGrid w:val="0"/>
        <w:spacing w:line="360" w:lineRule="auto"/>
        <w:ind w:left="0" w:leftChars="0" w:firstLine="480"/>
        <w:rPr>
          <w:rFonts w:hint="eastAsia"/>
          <w:color w:val="auto"/>
          <w:highlight w:val="none"/>
        </w:rPr>
      </w:pPr>
      <w:r>
        <w:rPr>
          <w:rFonts w:hint="eastAsia" w:ascii="宋体" w:hAnsi="宋体" w:cs="宋体"/>
          <w:color w:val="auto"/>
          <w:sz w:val="24"/>
          <w:szCs w:val="24"/>
          <w:highlight w:val="none"/>
        </w:rPr>
        <w:t>1.3实验室投入运行后，中标方须完成采购人每年度的地表水例行监测任务（监测任务依据为无锡市、新吴区下达年度监测计划，根据每年实际下达任务情况调整），服务期限为2026年7月1日至2028年12月31日。</w:t>
      </w:r>
    </w:p>
    <w:p w14:paraId="5D92C74E">
      <w:pPr>
        <w:rPr>
          <w:rFonts w:hint="eastAsia"/>
          <w:color w:val="auto"/>
          <w:highlight w:val="none"/>
          <w:lang w:eastAsia="zh-CN"/>
        </w:rPr>
      </w:pPr>
      <w:r>
        <w:rPr>
          <w:rFonts w:hint="eastAsia"/>
          <w:color w:val="auto"/>
          <w:highlight w:val="none"/>
          <w:lang w:eastAsia="zh-CN"/>
        </w:rPr>
        <w:br w:type="page"/>
      </w:r>
    </w:p>
    <w:p w14:paraId="5B8C12B7">
      <w:pPr>
        <w:pStyle w:val="2"/>
        <w:pageBreakBefore w:val="0"/>
        <w:kinsoku/>
        <w:wordWrap/>
        <w:overflowPunct/>
        <w:topLinePunct w:val="0"/>
        <w:autoSpaceDE/>
        <w:autoSpaceDN/>
        <w:bidi w:val="0"/>
        <w:adjustRightInd/>
        <w:snapToGrid w:val="0"/>
        <w:spacing w:line="360" w:lineRule="auto"/>
        <w:ind w:left="0" w:leftChars="0" w:firstLine="480"/>
        <w:rPr>
          <w:rFonts w:hint="eastAsia"/>
          <w:color w:val="auto"/>
          <w:highlight w:val="none"/>
          <w:lang w:eastAsia="zh-CN"/>
        </w:rPr>
      </w:pPr>
      <w:r>
        <w:rPr>
          <w:rFonts w:hint="eastAsia"/>
          <w:color w:val="auto"/>
          <w:highlight w:val="none"/>
          <w:lang w:eastAsia="zh-CN"/>
        </w:rPr>
        <w:t>新吴区地表水例行监测主要任务清单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316"/>
        <w:gridCol w:w="3575"/>
        <w:gridCol w:w="895"/>
        <w:gridCol w:w="810"/>
        <w:gridCol w:w="1142"/>
      </w:tblGrid>
      <w:tr w14:paraId="0800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458" w:type="pct"/>
            <w:vAlign w:val="center"/>
          </w:tcPr>
          <w:p w14:paraId="01916D7D">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b/>
                <w:bCs/>
                <w:color w:val="auto"/>
                <w:kern w:val="0"/>
                <w:sz w:val="24"/>
                <w:szCs w:val="24"/>
                <w:highlight w:val="none"/>
                <w:lang w:bidi="ar"/>
              </w:rPr>
              <w:t>序号</w:t>
            </w:r>
          </w:p>
        </w:tc>
        <w:tc>
          <w:tcPr>
            <w:tcW w:w="772" w:type="pct"/>
            <w:vAlign w:val="center"/>
          </w:tcPr>
          <w:p w14:paraId="197737E6">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b/>
                <w:bCs/>
                <w:color w:val="auto"/>
                <w:kern w:val="0"/>
                <w:sz w:val="24"/>
                <w:szCs w:val="24"/>
                <w:highlight w:val="none"/>
                <w:lang w:bidi="ar"/>
              </w:rPr>
              <w:t>项目名称</w:t>
            </w:r>
          </w:p>
        </w:tc>
        <w:tc>
          <w:tcPr>
            <w:tcW w:w="2097" w:type="pct"/>
            <w:vAlign w:val="center"/>
          </w:tcPr>
          <w:p w14:paraId="3AA70CC4">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b/>
                <w:bCs/>
                <w:color w:val="auto"/>
                <w:kern w:val="0"/>
                <w:sz w:val="24"/>
                <w:szCs w:val="24"/>
                <w:highlight w:val="none"/>
                <w:lang w:bidi="ar"/>
              </w:rPr>
              <w:t>监测因子</w:t>
            </w:r>
          </w:p>
        </w:tc>
        <w:tc>
          <w:tcPr>
            <w:tcW w:w="525" w:type="pct"/>
            <w:vAlign w:val="center"/>
          </w:tcPr>
          <w:p w14:paraId="30F55D6F">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b/>
                <w:bCs/>
                <w:color w:val="auto"/>
                <w:kern w:val="0"/>
                <w:sz w:val="24"/>
                <w:szCs w:val="24"/>
                <w:highlight w:val="none"/>
                <w:lang w:bidi="ar"/>
              </w:rPr>
              <w:t>监测点位</w:t>
            </w:r>
          </w:p>
        </w:tc>
        <w:tc>
          <w:tcPr>
            <w:tcW w:w="475" w:type="pct"/>
            <w:vAlign w:val="center"/>
          </w:tcPr>
          <w:p w14:paraId="196BDCE1">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b/>
                <w:bCs/>
                <w:color w:val="auto"/>
                <w:kern w:val="0"/>
                <w:sz w:val="24"/>
                <w:szCs w:val="24"/>
                <w:highlight w:val="none"/>
                <w:lang w:bidi="ar"/>
              </w:rPr>
              <w:t>监测次数</w:t>
            </w:r>
          </w:p>
        </w:tc>
        <w:tc>
          <w:tcPr>
            <w:tcW w:w="670" w:type="pct"/>
            <w:vAlign w:val="center"/>
          </w:tcPr>
          <w:p w14:paraId="6E8FF8F9">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b/>
                <w:bCs/>
                <w:color w:val="auto"/>
                <w:kern w:val="0"/>
                <w:sz w:val="24"/>
                <w:szCs w:val="24"/>
                <w:highlight w:val="none"/>
                <w:lang w:bidi="ar"/>
              </w:rPr>
              <w:t>备注</w:t>
            </w:r>
          </w:p>
        </w:tc>
      </w:tr>
      <w:tr w14:paraId="5F1A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8" w:type="pct"/>
            <w:vAlign w:val="center"/>
          </w:tcPr>
          <w:p w14:paraId="5A70F069">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1</w:t>
            </w:r>
          </w:p>
        </w:tc>
        <w:tc>
          <w:tcPr>
            <w:tcW w:w="772" w:type="pct"/>
            <w:vAlign w:val="center"/>
          </w:tcPr>
          <w:p w14:paraId="616E3D30">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bidi="ar"/>
              </w:rPr>
              <w:t>43</w:t>
            </w:r>
            <w:r>
              <w:rPr>
                <w:rFonts w:hint="eastAsia" w:ascii="宋体" w:hAnsi="宋体" w:cs="宋体"/>
                <w:color w:val="auto"/>
                <w:kern w:val="0"/>
                <w:sz w:val="24"/>
                <w:szCs w:val="24"/>
                <w:highlight w:val="none"/>
                <w:lang w:bidi="ar"/>
              </w:rPr>
              <w:t>个泵站</w:t>
            </w:r>
          </w:p>
        </w:tc>
        <w:tc>
          <w:tcPr>
            <w:tcW w:w="2097" w:type="pct"/>
            <w:vAlign w:val="center"/>
          </w:tcPr>
          <w:p w14:paraId="5493357E">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溶解氧、高锰酸盐指数、氨氮、总磷、化学需氧量</w:t>
            </w:r>
          </w:p>
        </w:tc>
        <w:tc>
          <w:tcPr>
            <w:tcW w:w="525" w:type="pct"/>
            <w:vAlign w:val="center"/>
          </w:tcPr>
          <w:p w14:paraId="234B3AC8">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bidi="ar"/>
              </w:rPr>
              <w:t>43</w:t>
            </w:r>
            <w:r>
              <w:rPr>
                <w:rFonts w:hint="eastAsia" w:ascii="宋体" w:hAnsi="宋体" w:cs="宋体"/>
                <w:color w:val="auto"/>
                <w:kern w:val="0"/>
                <w:sz w:val="24"/>
                <w:szCs w:val="24"/>
                <w:highlight w:val="none"/>
                <w:lang w:bidi="ar"/>
              </w:rPr>
              <w:t>个</w:t>
            </w:r>
          </w:p>
        </w:tc>
        <w:tc>
          <w:tcPr>
            <w:tcW w:w="475" w:type="pct"/>
            <w:vAlign w:val="center"/>
          </w:tcPr>
          <w:p w14:paraId="66951BB7">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bidi="ar"/>
              </w:rPr>
              <w:t>3</w:t>
            </w:r>
            <w:r>
              <w:rPr>
                <w:rFonts w:hint="eastAsia" w:ascii="宋体" w:hAnsi="宋体" w:cs="宋体"/>
                <w:color w:val="auto"/>
                <w:kern w:val="0"/>
                <w:sz w:val="24"/>
                <w:szCs w:val="24"/>
                <w:highlight w:val="none"/>
                <w:lang w:bidi="ar"/>
              </w:rPr>
              <w:t>次</w:t>
            </w:r>
          </w:p>
        </w:tc>
        <w:tc>
          <w:tcPr>
            <w:tcW w:w="670" w:type="pct"/>
            <w:vAlign w:val="center"/>
          </w:tcPr>
          <w:p w14:paraId="4F5A5724">
            <w:pPr>
              <w:widowControl/>
              <w:spacing w:after="0" w:line="30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bidi="ar"/>
              </w:rPr>
              <w:t>3</w:t>
            </w:r>
            <w:r>
              <w:rPr>
                <w:rFonts w:hint="eastAsia" w:ascii="宋体" w:hAnsi="宋体" w:cs="宋体"/>
                <w:color w:val="auto"/>
                <w:kern w:val="0"/>
                <w:sz w:val="24"/>
                <w:szCs w:val="24"/>
                <w:highlight w:val="none"/>
                <w:lang w:bidi="ar"/>
              </w:rPr>
              <w:t>次/</w:t>
            </w:r>
            <w:r>
              <w:rPr>
                <w:rFonts w:hint="eastAsia" w:ascii="宋体" w:hAnsi="宋体" w:cs="宋体"/>
                <w:color w:val="auto"/>
                <w:kern w:val="0"/>
                <w:sz w:val="24"/>
                <w:szCs w:val="24"/>
                <w:highlight w:val="none"/>
                <w:lang w:val="en-US" w:eastAsia="zh-CN" w:bidi="ar"/>
              </w:rPr>
              <w:t>年，汛期根据实际需求开展加密监测</w:t>
            </w:r>
          </w:p>
        </w:tc>
      </w:tr>
      <w:tr w14:paraId="37B8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8" w:type="pct"/>
            <w:vAlign w:val="center"/>
          </w:tcPr>
          <w:p w14:paraId="3A9BAFFF">
            <w:pPr>
              <w:widowControl/>
              <w:spacing w:after="0" w:line="30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bidi="ar"/>
              </w:rPr>
              <w:t>2</w:t>
            </w:r>
          </w:p>
        </w:tc>
        <w:tc>
          <w:tcPr>
            <w:tcW w:w="772" w:type="pct"/>
            <w:vAlign w:val="center"/>
          </w:tcPr>
          <w:p w14:paraId="6BE59EB3">
            <w:pPr>
              <w:widowControl/>
              <w:spacing w:after="0" w:line="30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bidi="ar"/>
              </w:rPr>
              <w:t>区主要河流</w:t>
            </w:r>
            <w:r>
              <w:rPr>
                <w:rFonts w:hint="eastAsia" w:ascii="宋体" w:hAnsi="宋体" w:cs="宋体"/>
                <w:color w:val="auto"/>
                <w:kern w:val="0"/>
                <w:sz w:val="24"/>
                <w:szCs w:val="24"/>
                <w:highlight w:val="none"/>
                <w:lang w:bidi="ar"/>
              </w:rPr>
              <w:t>一级支</w:t>
            </w:r>
            <w:r>
              <w:rPr>
                <w:rFonts w:hint="eastAsia" w:ascii="宋体" w:hAnsi="宋体" w:cs="宋体"/>
                <w:color w:val="auto"/>
                <w:kern w:val="0"/>
                <w:sz w:val="24"/>
                <w:szCs w:val="24"/>
                <w:highlight w:val="none"/>
                <w:lang w:val="en-US" w:eastAsia="zh-CN" w:bidi="ar"/>
              </w:rPr>
              <w:t>浜</w:t>
            </w:r>
          </w:p>
        </w:tc>
        <w:tc>
          <w:tcPr>
            <w:tcW w:w="2097" w:type="pct"/>
            <w:vAlign w:val="center"/>
          </w:tcPr>
          <w:p w14:paraId="02FA6391">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溶解氧、高锰酸盐指数、氨氮、总磷、总氮、化学需氧量</w:t>
            </w:r>
          </w:p>
        </w:tc>
        <w:tc>
          <w:tcPr>
            <w:tcW w:w="525" w:type="pct"/>
            <w:vAlign w:val="center"/>
          </w:tcPr>
          <w:p w14:paraId="20DD2FFD">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1</w:t>
            </w:r>
            <w:r>
              <w:rPr>
                <w:rFonts w:hint="eastAsia" w:ascii="宋体" w:hAnsi="宋体" w:cs="宋体"/>
                <w:color w:val="auto"/>
                <w:kern w:val="0"/>
                <w:sz w:val="24"/>
                <w:szCs w:val="24"/>
                <w:highlight w:val="none"/>
                <w:lang w:val="en-US" w:eastAsia="zh-CN" w:bidi="ar"/>
              </w:rPr>
              <w:t>13</w:t>
            </w:r>
            <w:r>
              <w:rPr>
                <w:rFonts w:hint="eastAsia" w:ascii="宋体" w:hAnsi="宋体" w:cs="宋体"/>
                <w:color w:val="auto"/>
                <w:kern w:val="0"/>
                <w:sz w:val="24"/>
                <w:szCs w:val="24"/>
                <w:highlight w:val="none"/>
                <w:lang w:bidi="ar"/>
              </w:rPr>
              <w:t>个</w:t>
            </w:r>
          </w:p>
        </w:tc>
        <w:tc>
          <w:tcPr>
            <w:tcW w:w="475" w:type="pct"/>
            <w:vAlign w:val="center"/>
          </w:tcPr>
          <w:p w14:paraId="1331E812">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12次</w:t>
            </w:r>
          </w:p>
        </w:tc>
        <w:tc>
          <w:tcPr>
            <w:tcW w:w="670" w:type="pct"/>
            <w:vAlign w:val="center"/>
          </w:tcPr>
          <w:p w14:paraId="2A00B9F6">
            <w:pPr>
              <w:widowControl/>
              <w:spacing w:after="0" w:line="30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bidi="ar"/>
              </w:rPr>
              <w:t>1次/月</w:t>
            </w:r>
            <w:r>
              <w:rPr>
                <w:rFonts w:hint="eastAsia" w:ascii="宋体" w:hAnsi="宋体" w:cs="宋体"/>
                <w:color w:val="auto"/>
                <w:kern w:val="0"/>
                <w:sz w:val="24"/>
                <w:szCs w:val="24"/>
                <w:highlight w:val="none"/>
                <w:lang w:eastAsia="zh-CN" w:bidi="ar"/>
              </w:rPr>
              <w:t>，</w:t>
            </w:r>
            <w:r>
              <w:rPr>
                <w:rFonts w:hint="eastAsia" w:ascii="宋体" w:hAnsi="宋体" w:cs="宋体"/>
                <w:color w:val="auto"/>
                <w:sz w:val="24"/>
                <w:szCs w:val="24"/>
                <w:highlight w:val="none"/>
              </w:rPr>
              <w:t>根据实际需求安排</w:t>
            </w:r>
          </w:p>
        </w:tc>
      </w:tr>
      <w:tr w14:paraId="5F91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458" w:type="pct"/>
            <w:vAlign w:val="center"/>
          </w:tcPr>
          <w:p w14:paraId="3BA26126">
            <w:pPr>
              <w:widowControl/>
              <w:spacing w:after="0" w:line="300"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3</w:t>
            </w:r>
          </w:p>
        </w:tc>
        <w:tc>
          <w:tcPr>
            <w:tcW w:w="772" w:type="pct"/>
            <w:vAlign w:val="center"/>
          </w:tcPr>
          <w:p w14:paraId="490C1005">
            <w:pPr>
              <w:widowControl/>
              <w:spacing w:after="0" w:line="300" w:lineRule="auto"/>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区主要河流二</w:t>
            </w:r>
            <w:r>
              <w:rPr>
                <w:rFonts w:hint="eastAsia" w:ascii="宋体" w:hAnsi="宋体" w:cs="宋体"/>
                <w:color w:val="auto"/>
                <w:kern w:val="0"/>
                <w:sz w:val="24"/>
                <w:szCs w:val="24"/>
                <w:highlight w:val="none"/>
                <w:lang w:bidi="ar"/>
              </w:rPr>
              <w:t>级支</w:t>
            </w:r>
            <w:r>
              <w:rPr>
                <w:rFonts w:hint="eastAsia" w:ascii="宋体" w:hAnsi="宋体" w:cs="宋体"/>
                <w:color w:val="auto"/>
                <w:kern w:val="0"/>
                <w:sz w:val="24"/>
                <w:szCs w:val="24"/>
                <w:highlight w:val="none"/>
                <w:lang w:val="en-US" w:eastAsia="zh-CN" w:bidi="ar"/>
              </w:rPr>
              <w:t>浜</w:t>
            </w:r>
          </w:p>
        </w:tc>
        <w:tc>
          <w:tcPr>
            <w:tcW w:w="2097" w:type="pct"/>
            <w:vAlign w:val="center"/>
          </w:tcPr>
          <w:p w14:paraId="468511B3">
            <w:pPr>
              <w:widowControl/>
              <w:spacing w:after="0" w:line="300" w:lineRule="auto"/>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溶解氧、高锰酸盐指数、氨氮、总磷、总氮、化学需氧量</w:t>
            </w:r>
          </w:p>
        </w:tc>
        <w:tc>
          <w:tcPr>
            <w:tcW w:w="525" w:type="pct"/>
            <w:vAlign w:val="center"/>
          </w:tcPr>
          <w:p w14:paraId="1EB399FD">
            <w:pPr>
              <w:widowControl/>
              <w:spacing w:after="0" w:line="300" w:lineRule="auto"/>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60</w:t>
            </w:r>
            <w:r>
              <w:rPr>
                <w:rFonts w:hint="eastAsia" w:ascii="宋体" w:hAnsi="宋体" w:cs="宋体"/>
                <w:color w:val="auto"/>
                <w:kern w:val="0"/>
                <w:sz w:val="24"/>
                <w:szCs w:val="24"/>
                <w:highlight w:val="none"/>
                <w:lang w:bidi="ar"/>
              </w:rPr>
              <w:t>个</w:t>
            </w:r>
          </w:p>
        </w:tc>
        <w:tc>
          <w:tcPr>
            <w:tcW w:w="475" w:type="pct"/>
            <w:vAlign w:val="center"/>
          </w:tcPr>
          <w:p w14:paraId="257BEA2A">
            <w:pPr>
              <w:widowControl/>
              <w:spacing w:after="0" w:line="300" w:lineRule="auto"/>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12次</w:t>
            </w:r>
          </w:p>
        </w:tc>
        <w:tc>
          <w:tcPr>
            <w:tcW w:w="670" w:type="pct"/>
            <w:vAlign w:val="center"/>
          </w:tcPr>
          <w:p w14:paraId="1E5A8D27">
            <w:pPr>
              <w:widowControl/>
              <w:spacing w:after="0" w:line="300" w:lineRule="auto"/>
              <w:jc w:val="center"/>
              <w:textAlignment w:val="center"/>
              <w:rPr>
                <w:rFonts w:hint="eastAsia" w:ascii="宋体" w:hAnsi="宋体" w:eastAsia="宋体" w:cs="宋体"/>
                <w:color w:val="auto"/>
                <w:kern w:val="0"/>
                <w:sz w:val="24"/>
                <w:szCs w:val="24"/>
                <w:highlight w:val="none"/>
                <w:lang w:eastAsia="zh-CN" w:bidi="ar"/>
              </w:rPr>
            </w:pPr>
            <w:r>
              <w:rPr>
                <w:rFonts w:hint="eastAsia" w:ascii="宋体" w:hAnsi="宋体" w:cs="宋体"/>
                <w:color w:val="auto"/>
                <w:kern w:val="0"/>
                <w:sz w:val="24"/>
                <w:szCs w:val="24"/>
                <w:highlight w:val="none"/>
                <w:lang w:bidi="ar"/>
              </w:rPr>
              <w:t>1次/月</w:t>
            </w:r>
            <w:r>
              <w:rPr>
                <w:rFonts w:hint="eastAsia" w:ascii="宋体" w:hAnsi="宋体" w:cs="宋体"/>
                <w:color w:val="auto"/>
                <w:kern w:val="0"/>
                <w:sz w:val="24"/>
                <w:szCs w:val="24"/>
                <w:highlight w:val="none"/>
                <w:lang w:eastAsia="zh-CN" w:bidi="ar"/>
              </w:rPr>
              <w:t>，</w:t>
            </w:r>
            <w:r>
              <w:rPr>
                <w:rFonts w:hint="eastAsia" w:ascii="宋体" w:hAnsi="宋体" w:cs="宋体"/>
                <w:color w:val="auto"/>
                <w:sz w:val="24"/>
                <w:szCs w:val="24"/>
                <w:highlight w:val="none"/>
              </w:rPr>
              <w:t>根据实际需求安排</w:t>
            </w:r>
          </w:p>
        </w:tc>
      </w:tr>
      <w:tr w14:paraId="6D50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8" w:type="pct"/>
            <w:vAlign w:val="center"/>
          </w:tcPr>
          <w:p w14:paraId="3EEC3958">
            <w:pPr>
              <w:widowControl/>
              <w:spacing w:after="0" w:line="30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bidi="ar"/>
              </w:rPr>
              <w:t>4</w:t>
            </w:r>
          </w:p>
        </w:tc>
        <w:tc>
          <w:tcPr>
            <w:tcW w:w="772" w:type="pct"/>
            <w:vAlign w:val="center"/>
          </w:tcPr>
          <w:p w14:paraId="19826197">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eastAsia="zh-CN" w:bidi="ar"/>
              </w:rPr>
              <w:t>重点断面</w:t>
            </w:r>
            <w:r>
              <w:rPr>
                <w:rFonts w:hint="eastAsia" w:ascii="宋体" w:hAnsi="宋体" w:cs="宋体"/>
                <w:color w:val="auto"/>
                <w:kern w:val="0"/>
                <w:sz w:val="24"/>
                <w:szCs w:val="24"/>
                <w:highlight w:val="none"/>
                <w:lang w:bidi="ar"/>
              </w:rPr>
              <w:t>预警监测</w:t>
            </w:r>
          </w:p>
        </w:tc>
        <w:tc>
          <w:tcPr>
            <w:tcW w:w="2097" w:type="pct"/>
            <w:vAlign w:val="center"/>
          </w:tcPr>
          <w:p w14:paraId="011FA300">
            <w:pPr>
              <w:widowControl/>
              <w:spacing w:after="0" w:line="300" w:lineRule="auto"/>
              <w:jc w:val="center"/>
              <w:textAlignment w:val="center"/>
              <w:rPr>
                <w:rFonts w:ascii="宋体" w:hAnsi="宋体" w:cs="宋体"/>
                <w:color w:val="auto"/>
                <w:sz w:val="24"/>
                <w:szCs w:val="24"/>
                <w:highlight w:val="none"/>
              </w:rPr>
            </w:pPr>
            <w:r>
              <w:rPr>
                <w:rFonts w:hint="default" w:ascii="宋体" w:hAnsi="宋体" w:cs="宋体"/>
                <w:color w:val="auto"/>
                <w:sz w:val="24"/>
                <w:szCs w:val="24"/>
                <w:highlight w:val="none"/>
                <w:u w:val="none"/>
                <w:lang w:bidi="ar"/>
              </w:rPr>
              <w:t>溶解氧、高锰酸盐指数、化学需氧量、氨氮、总磷</w:t>
            </w:r>
          </w:p>
        </w:tc>
        <w:tc>
          <w:tcPr>
            <w:tcW w:w="525" w:type="pct"/>
            <w:vAlign w:val="center"/>
          </w:tcPr>
          <w:p w14:paraId="366CD8CF">
            <w:pPr>
              <w:widowControl/>
              <w:spacing w:after="0" w:line="300" w:lineRule="auto"/>
              <w:jc w:val="center"/>
              <w:textAlignment w:val="center"/>
              <w:rPr>
                <w:rFonts w:ascii="宋体" w:hAnsi="宋体" w:cs="宋体"/>
                <w:color w:val="auto"/>
                <w:sz w:val="24"/>
                <w:szCs w:val="24"/>
                <w:highlight w:val="none"/>
              </w:rPr>
            </w:pPr>
            <w:r>
              <w:rPr>
                <w:rFonts w:hint="default" w:ascii="宋体" w:hAnsi="宋体" w:cs="宋体"/>
                <w:color w:val="auto"/>
                <w:sz w:val="24"/>
                <w:szCs w:val="24"/>
                <w:highlight w:val="none"/>
                <w:u w:val="none"/>
                <w:lang w:bidi="ar"/>
              </w:rPr>
              <w:t>6个</w:t>
            </w:r>
          </w:p>
        </w:tc>
        <w:tc>
          <w:tcPr>
            <w:tcW w:w="475" w:type="pct"/>
            <w:vAlign w:val="center"/>
          </w:tcPr>
          <w:p w14:paraId="56D618F4">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w:t>
            </w:r>
          </w:p>
        </w:tc>
        <w:tc>
          <w:tcPr>
            <w:tcW w:w="670" w:type="pct"/>
            <w:vAlign w:val="center"/>
          </w:tcPr>
          <w:p w14:paraId="13EB1B7B">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根据实际需求安排</w:t>
            </w:r>
          </w:p>
        </w:tc>
      </w:tr>
      <w:tr w14:paraId="3C993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8" w:type="pct"/>
            <w:vAlign w:val="center"/>
          </w:tcPr>
          <w:p w14:paraId="7B5DD167">
            <w:pPr>
              <w:widowControl/>
              <w:spacing w:after="0" w:line="30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bidi="ar"/>
              </w:rPr>
              <w:t>5</w:t>
            </w:r>
          </w:p>
        </w:tc>
        <w:tc>
          <w:tcPr>
            <w:tcW w:w="772" w:type="pct"/>
            <w:vAlign w:val="center"/>
          </w:tcPr>
          <w:p w14:paraId="073E65D4">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bidi="ar"/>
              </w:rPr>
              <w:t>552</w:t>
            </w:r>
            <w:r>
              <w:rPr>
                <w:rFonts w:hint="eastAsia" w:ascii="宋体" w:hAnsi="宋体" w:cs="宋体"/>
                <w:color w:val="auto"/>
                <w:kern w:val="0"/>
                <w:sz w:val="24"/>
                <w:szCs w:val="24"/>
                <w:highlight w:val="none"/>
                <w:lang w:bidi="ar"/>
              </w:rPr>
              <w:t>综合整治河道预警监测</w:t>
            </w:r>
          </w:p>
        </w:tc>
        <w:tc>
          <w:tcPr>
            <w:tcW w:w="2097" w:type="pct"/>
            <w:vAlign w:val="center"/>
          </w:tcPr>
          <w:p w14:paraId="18AC4738">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总磷、化学需氧量、高锰酸盐指数、溶解氧、氨氮</w:t>
            </w:r>
          </w:p>
        </w:tc>
        <w:tc>
          <w:tcPr>
            <w:tcW w:w="525" w:type="pct"/>
            <w:vAlign w:val="center"/>
          </w:tcPr>
          <w:p w14:paraId="36EAAD8B">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39个</w:t>
            </w:r>
          </w:p>
        </w:tc>
        <w:tc>
          <w:tcPr>
            <w:tcW w:w="475" w:type="pct"/>
            <w:vAlign w:val="center"/>
          </w:tcPr>
          <w:p w14:paraId="75FF1E17">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w:t>
            </w:r>
          </w:p>
        </w:tc>
        <w:tc>
          <w:tcPr>
            <w:tcW w:w="670" w:type="pct"/>
            <w:vAlign w:val="center"/>
          </w:tcPr>
          <w:p w14:paraId="29E7CDA3">
            <w:pPr>
              <w:widowControl/>
              <w:spacing w:after="0" w:line="30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根据实际需求安排</w:t>
            </w:r>
          </w:p>
        </w:tc>
      </w:tr>
      <w:tr w14:paraId="5DE58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8" w:type="pct"/>
            <w:vAlign w:val="center"/>
          </w:tcPr>
          <w:p w14:paraId="79A1D7E2">
            <w:pPr>
              <w:widowControl/>
              <w:spacing w:after="0" w:line="300" w:lineRule="auto"/>
              <w:jc w:val="center"/>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6</w:t>
            </w:r>
          </w:p>
        </w:tc>
        <w:tc>
          <w:tcPr>
            <w:tcW w:w="772" w:type="pct"/>
            <w:vAlign w:val="center"/>
          </w:tcPr>
          <w:p w14:paraId="1DF838BC">
            <w:pPr>
              <w:widowControl/>
              <w:spacing w:after="0" w:line="300" w:lineRule="auto"/>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598</w:t>
            </w:r>
            <w:r>
              <w:rPr>
                <w:rFonts w:hint="eastAsia" w:ascii="宋体" w:hAnsi="宋体" w:cs="宋体"/>
                <w:color w:val="auto"/>
                <w:kern w:val="0"/>
                <w:sz w:val="24"/>
                <w:szCs w:val="24"/>
                <w:highlight w:val="none"/>
                <w:lang w:bidi="ar"/>
              </w:rPr>
              <w:t>综合整治河道预警监测</w:t>
            </w:r>
          </w:p>
        </w:tc>
        <w:tc>
          <w:tcPr>
            <w:tcW w:w="2097" w:type="pct"/>
            <w:vAlign w:val="center"/>
          </w:tcPr>
          <w:p w14:paraId="077E61B3">
            <w:pPr>
              <w:widowControl/>
              <w:spacing w:after="0" w:line="300" w:lineRule="auto"/>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pH、</w:t>
            </w:r>
            <w:r>
              <w:rPr>
                <w:rFonts w:hint="eastAsia" w:ascii="宋体" w:hAnsi="宋体" w:cs="宋体"/>
                <w:color w:val="auto"/>
                <w:kern w:val="0"/>
                <w:sz w:val="24"/>
                <w:szCs w:val="24"/>
                <w:highlight w:val="none"/>
                <w:lang w:bidi="ar"/>
              </w:rPr>
              <w:t>溶解氧、高锰酸盐指数、氨氮、总磷、总氮、化学需氧量</w:t>
            </w:r>
          </w:p>
        </w:tc>
        <w:tc>
          <w:tcPr>
            <w:tcW w:w="525" w:type="pct"/>
            <w:vAlign w:val="center"/>
          </w:tcPr>
          <w:p w14:paraId="748828E2">
            <w:pPr>
              <w:widowControl/>
              <w:spacing w:after="0" w:line="300" w:lineRule="auto"/>
              <w:jc w:val="center"/>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89个</w:t>
            </w:r>
          </w:p>
        </w:tc>
        <w:tc>
          <w:tcPr>
            <w:tcW w:w="475" w:type="pct"/>
            <w:vAlign w:val="center"/>
          </w:tcPr>
          <w:p w14:paraId="3AE6ACDD">
            <w:pPr>
              <w:widowControl/>
              <w:spacing w:after="0" w:line="300" w:lineRule="auto"/>
              <w:jc w:val="center"/>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bidi="ar"/>
              </w:rPr>
              <w:t>/</w:t>
            </w:r>
          </w:p>
        </w:tc>
        <w:tc>
          <w:tcPr>
            <w:tcW w:w="670" w:type="pct"/>
            <w:vAlign w:val="center"/>
          </w:tcPr>
          <w:p w14:paraId="4E283B2C">
            <w:pPr>
              <w:widowControl/>
              <w:spacing w:after="0" w:line="300" w:lineRule="auto"/>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sz w:val="24"/>
                <w:szCs w:val="24"/>
                <w:highlight w:val="none"/>
              </w:rPr>
              <w:t>根据实际需求安排</w:t>
            </w:r>
          </w:p>
        </w:tc>
      </w:tr>
      <w:tr w14:paraId="0A13A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8" w:type="pct"/>
            <w:vAlign w:val="center"/>
          </w:tcPr>
          <w:p w14:paraId="2D01FB80">
            <w:pPr>
              <w:widowControl/>
              <w:spacing w:after="0" w:line="30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bidi="ar"/>
              </w:rPr>
              <w:t>7</w:t>
            </w:r>
          </w:p>
        </w:tc>
        <w:tc>
          <w:tcPr>
            <w:tcW w:w="772" w:type="pct"/>
            <w:vAlign w:val="center"/>
          </w:tcPr>
          <w:p w14:paraId="66EA16C6">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地表水应急监测</w:t>
            </w:r>
          </w:p>
        </w:tc>
        <w:tc>
          <w:tcPr>
            <w:tcW w:w="2097" w:type="pct"/>
            <w:vAlign w:val="center"/>
          </w:tcPr>
          <w:p w14:paraId="4F381CC4">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525" w:type="pct"/>
            <w:vAlign w:val="center"/>
          </w:tcPr>
          <w:p w14:paraId="5D91E10B">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475" w:type="pct"/>
            <w:vAlign w:val="center"/>
          </w:tcPr>
          <w:p w14:paraId="2507C62C">
            <w:pPr>
              <w:widowControl/>
              <w:spacing w:after="0"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w:t>
            </w:r>
          </w:p>
        </w:tc>
        <w:tc>
          <w:tcPr>
            <w:tcW w:w="670" w:type="pct"/>
            <w:vAlign w:val="center"/>
          </w:tcPr>
          <w:p w14:paraId="1ACDEB65">
            <w:pPr>
              <w:spacing w:after="0" w:line="30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根据实际需求安排</w:t>
            </w:r>
          </w:p>
        </w:tc>
      </w:tr>
      <w:tr w14:paraId="692E9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8" w:type="pct"/>
            <w:vAlign w:val="center"/>
          </w:tcPr>
          <w:p w14:paraId="50A1DF77">
            <w:pPr>
              <w:widowControl/>
              <w:spacing w:after="0" w:line="300" w:lineRule="auto"/>
              <w:jc w:val="center"/>
              <w:textAlignment w:val="center"/>
              <w:rPr>
                <w:rFonts w:hint="default" w:ascii="宋体" w:hAnsi="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8</w:t>
            </w:r>
          </w:p>
        </w:tc>
        <w:tc>
          <w:tcPr>
            <w:tcW w:w="772" w:type="pct"/>
            <w:vAlign w:val="center"/>
          </w:tcPr>
          <w:p w14:paraId="6D6BEBAB">
            <w:pPr>
              <w:widowControl/>
              <w:spacing w:after="0" w:line="300" w:lineRule="auto"/>
              <w:jc w:val="center"/>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市监测计划及上级部门安排的监测任务</w:t>
            </w:r>
          </w:p>
        </w:tc>
        <w:tc>
          <w:tcPr>
            <w:tcW w:w="2097" w:type="pct"/>
            <w:vAlign w:val="center"/>
          </w:tcPr>
          <w:p w14:paraId="1722C349">
            <w:pPr>
              <w:widowControl/>
              <w:spacing w:after="0" w:line="300" w:lineRule="auto"/>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525" w:type="pct"/>
            <w:vAlign w:val="center"/>
          </w:tcPr>
          <w:p w14:paraId="358B5A50">
            <w:pPr>
              <w:widowControl/>
              <w:spacing w:after="0" w:line="300" w:lineRule="auto"/>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475" w:type="pct"/>
            <w:vAlign w:val="center"/>
          </w:tcPr>
          <w:p w14:paraId="60B39CC9">
            <w:pPr>
              <w:widowControl/>
              <w:spacing w:after="0" w:line="300" w:lineRule="auto"/>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sz w:val="24"/>
                <w:szCs w:val="24"/>
                <w:highlight w:val="none"/>
              </w:rPr>
              <w:t>/</w:t>
            </w:r>
          </w:p>
        </w:tc>
        <w:tc>
          <w:tcPr>
            <w:tcW w:w="670" w:type="pct"/>
            <w:vAlign w:val="center"/>
          </w:tcPr>
          <w:p w14:paraId="12770F04">
            <w:pPr>
              <w:spacing w:after="0" w:line="30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根据实际需求安排</w:t>
            </w:r>
          </w:p>
        </w:tc>
      </w:tr>
    </w:tbl>
    <w:p w14:paraId="636D39B7">
      <w:pPr>
        <w:rPr>
          <w:rFonts w:hint="eastAsia"/>
          <w:color w:val="auto"/>
          <w:highlight w:val="none"/>
          <w:lang w:eastAsia="zh-CN"/>
        </w:rPr>
      </w:pPr>
    </w:p>
    <w:p w14:paraId="68C33855">
      <w:pPr>
        <w:pStyle w:val="31"/>
        <w:pageBreakBefore w:val="0"/>
        <w:kinsoku/>
        <w:wordWrap/>
        <w:overflowPunct/>
        <w:topLinePunct w:val="0"/>
        <w:autoSpaceDE/>
        <w:autoSpaceDN/>
        <w:bidi w:val="0"/>
        <w:adjustRightInd/>
        <w:snapToGrid w:val="0"/>
        <w:spacing w:line="360" w:lineRule="auto"/>
        <w:ind w:left="0" w:leftChars="0" w:firstLine="480" w:firstLineChars="200"/>
        <w:jc w:val="both"/>
        <w:rPr>
          <w:rFonts w:ascii="宋体" w:hAnsi="宋体" w:cs="宋体"/>
          <w:color w:val="auto"/>
          <w:szCs w:val="24"/>
          <w:highlight w:val="none"/>
        </w:rPr>
      </w:pPr>
      <w:r>
        <w:rPr>
          <w:rFonts w:hint="eastAsia" w:ascii="宋体" w:hAnsi="宋体" w:cs="宋体"/>
          <w:color w:val="auto"/>
          <w:szCs w:val="24"/>
          <w:highlight w:val="none"/>
        </w:rPr>
        <w:t>1.</w:t>
      </w:r>
      <w:r>
        <w:rPr>
          <w:rFonts w:hint="eastAsia" w:ascii="宋体" w:hAnsi="宋体" w:cs="宋体"/>
          <w:color w:val="auto"/>
          <w:szCs w:val="24"/>
          <w:highlight w:val="none"/>
          <w:lang w:val="en-US" w:eastAsia="zh-CN"/>
        </w:rPr>
        <w:t>4实验室质量管理体系</w:t>
      </w:r>
    </w:p>
    <w:tbl>
      <w:tblPr>
        <w:tblStyle w:val="34"/>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705"/>
        <w:gridCol w:w="740"/>
        <w:gridCol w:w="5220"/>
      </w:tblGrid>
      <w:tr w14:paraId="0273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75DA2BE7">
            <w:pPr>
              <w:widowControl/>
              <w:spacing w:line="300" w:lineRule="auto"/>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序号</w:t>
            </w:r>
          </w:p>
        </w:tc>
        <w:tc>
          <w:tcPr>
            <w:tcW w:w="1012" w:type="pct"/>
            <w:tcBorders>
              <w:top w:val="single" w:color="auto" w:sz="4" w:space="0"/>
              <w:left w:val="single" w:color="auto" w:sz="4" w:space="0"/>
              <w:bottom w:val="single" w:color="auto" w:sz="4" w:space="0"/>
              <w:right w:val="single" w:color="auto" w:sz="4" w:space="0"/>
            </w:tcBorders>
            <w:vAlign w:val="center"/>
          </w:tcPr>
          <w:p w14:paraId="56F5E602">
            <w:pPr>
              <w:widowControl/>
              <w:spacing w:line="300" w:lineRule="auto"/>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内容</w:t>
            </w:r>
          </w:p>
        </w:tc>
        <w:tc>
          <w:tcPr>
            <w:tcW w:w="439" w:type="pct"/>
            <w:tcBorders>
              <w:top w:val="single" w:color="auto" w:sz="4" w:space="0"/>
              <w:left w:val="single" w:color="auto" w:sz="4" w:space="0"/>
              <w:bottom w:val="single" w:color="auto" w:sz="4" w:space="0"/>
              <w:right w:val="single" w:color="auto" w:sz="4" w:space="0"/>
            </w:tcBorders>
            <w:vAlign w:val="center"/>
          </w:tcPr>
          <w:p w14:paraId="6B51196D">
            <w:pPr>
              <w:widowControl/>
              <w:spacing w:line="300" w:lineRule="auto"/>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单位</w:t>
            </w:r>
          </w:p>
        </w:tc>
        <w:tc>
          <w:tcPr>
            <w:tcW w:w="3098" w:type="pct"/>
            <w:tcBorders>
              <w:top w:val="single" w:color="auto" w:sz="4" w:space="0"/>
              <w:left w:val="single" w:color="auto" w:sz="4" w:space="0"/>
              <w:bottom w:val="single" w:color="auto" w:sz="4" w:space="0"/>
              <w:right w:val="single" w:color="auto" w:sz="4" w:space="0"/>
            </w:tcBorders>
            <w:vAlign w:val="center"/>
          </w:tcPr>
          <w:p w14:paraId="6212DBB6">
            <w:pPr>
              <w:widowControl/>
              <w:spacing w:line="300" w:lineRule="auto"/>
              <w:jc w:val="center"/>
              <w:textAlignment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kern w:val="0"/>
                <w:sz w:val="24"/>
                <w:szCs w:val="24"/>
                <w:highlight w:val="none"/>
                <w:lang w:val="en-US" w:eastAsia="zh-CN"/>
              </w:rPr>
              <w:t>备注</w:t>
            </w:r>
          </w:p>
        </w:tc>
      </w:tr>
      <w:tr w14:paraId="3EEF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36655752">
            <w:pPr>
              <w:widowControl/>
              <w:spacing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rPr>
              <w:t>1</w:t>
            </w:r>
          </w:p>
        </w:tc>
        <w:tc>
          <w:tcPr>
            <w:tcW w:w="1012" w:type="pct"/>
            <w:tcBorders>
              <w:top w:val="single" w:color="auto" w:sz="4" w:space="0"/>
              <w:left w:val="single" w:color="auto" w:sz="4" w:space="0"/>
              <w:bottom w:val="single" w:color="auto" w:sz="4" w:space="0"/>
              <w:right w:val="single" w:color="auto" w:sz="4" w:space="0"/>
            </w:tcBorders>
            <w:vAlign w:val="center"/>
          </w:tcPr>
          <w:p w14:paraId="56796BBC">
            <w:pPr>
              <w:keepNext w:val="0"/>
              <w:keepLines w:val="0"/>
              <w:widowControl/>
              <w:suppressLineNumbers w:val="0"/>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年度质量控制</w:t>
            </w:r>
          </w:p>
        </w:tc>
        <w:tc>
          <w:tcPr>
            <w:tcW w:w="439" w:type="pct"/>
            <w:tcBorders>
              <w:top w:val="single" w:color="auto" w:sz="4" w:space="0"/>
              <w:left w:val="single" w:color="auto" w:sz="4" w:space="0"/>
              <w:bottom w:val="single" w:color="auto" w:sz="4" w:space="0"/>
              <w:right w:val="single" w:color="auto" w:sz="4" w:space="0"/>
            </w:tcBorders>
            <w:vAlign w:val="center"/>
          </w:tcPr>
          <w:p w14:paraId="75C995EB">
            <w:pPr>
              <w:widowControl/>
              <w:spacing w:line="30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次</w:t>
            </w:r>
          </w:p>
        </w:tc>
        <w:tc>
          <w:tcPr>
            <w:tcW w:w="3098" w:type="pct"/>
            <w:tcBorders>
              <w:top w:val="single" w:color="auto" w:sz="4" w:space="0"/>
              <w:left w:val="single" w:color="auto" w:sz="4" w:space="0"/>
              <w:bottom w:val="single" w:color="auto" w:sz="4" w:space="0"/>
              <w:right w:val="single" w:color="auto" w:sz="4" w:space="0"/>
            </w:tcBorders>
            <w:vAlign w:val="center"/>
          </w:tcPr>
          <w:p w14:paraId="6449238E">
            <w:pPr>
              <w:widowControl/>
              <w:spacing w:line="30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每年度</w:t>
            </w:r>
            <w:r>
              <w:rPr>
                <w:rFonts w:hint="eastAsia" w:ascii="宋体" w:hAnsi="宋体" w:cs="宋体"/>
                <w:color w:val="auto"/>
                <w:sz w:val="24"/>
                <w:szCs w:val="24"/>
                <w:highlight w:val="none"/>
                <w:lang w:eastAsia="zh-CN"/>
              </w:rPr>
              <w:t>至少</w:t>
            </w:r>
            <w:r>
              <w:rPr>
                <w:rFonts w:hint="eastAsia" w:ascii="宋体" w:hAnsi="宋体" w:cs="宋体"/>
                <w:color w:val="auto"/>
                <w:sz w:val="24"/>
                <w:szCs w:val="24"/>
                <w:highlight w:val="none"/>
              </w:rPr>
              <w:t>考核</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次，包括盲样考核、人员比对、仪器比对、加标测试，覆盖指标20项</w:t>
            </w:r>
          </w:p>
        </w:tc>
      </w:tr>
      <w:tr w14:paraId="3AE48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37B4251B">
            <w:pPr>
              <w:widowControl/>
              <w:spacing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rPr>
              <w:t>2</w:t>
            </w:r>
          </w:p>
        </w:tc>
        <w:tc>
          <w:tcPr>
            <w:tcW w:w="1012" w:type="pct"/>
            <w:tcBorders>
              <w:top w:val="single" w:color="auto" w:sz="4" w:space="0"/>
              <w:left w:val="single" w:color="auto" w:sz="4" w:space="0"/>
              <w:bottom w:val="single" w:color="auto" w:sz="4" w:space="0"/>
              <w:right w:val="single" w:color="auto" w:sz="4" w:space="0"/>
            </w:tcBorders>
            <w:vAlign w:val="center"/>
          </w:tcPr>
          <w:p w14:paraId="63AF2ECD">
            <w:pPr>
              <w:keepNext w:val="0"/>
              <w:keepLines w:val="0"/>
              <w:widowControl/>
              <w:suppressLineNumbers w:val="0"/>
              <w:spacing w:line="360" w:lineRule="auto"/>
              <w:jc w:val="center"/>
              <w:textAlignment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盲样考核</w:t>
            </w:r>
          </w:p>
        </w:tc>
        <w:tc>
          <w:tcPr>
            <w:tcW w:w="439" w:type="pct"/>
            <w:tcBorders>
              <w:top w:val="single" w:color="auto" w:sz="4" w:space="0"/>
              <w:left w:val="single" w:color="auto" w:sz="4" w:space="0"/>
              <w:bottom w:val="single" w:color="auto" w:sz="4" w:space="0"/>
              <w:right w:val="single" w:color="auto" w:sz="4" w:space="0"/>
            </w:tcBorders>
            <w:vAlign w:val="center"/>
          </w:tcPr>
          <w:p w14:paraId="14940BAE">
            <w:pPr>
              <w:widowControl/>
              <w:spacing w:line="30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次</w:t>
            </w:r>
          </w:p>
        </w:tc>
        <w:tc>
          <w:tcPr>
            <w:tcW w:w="3098" w:type="pct"/>
            <w:tcBorders>
              <w:top w:val="single" w:color="auto" w:sz="4" w:space="0"/>
              <w:left w:val="single" w:color="auto" w:sz="4" w:space="0"/>
              <w:bottom w:val="single" w:color="auto" w:sz="4" w:space="0"/>
              <w:right w:val="single" w:color="auto" w:sz="4" w:space="0"/>
            </w:tcBorders>
            <w:vAlign w:val="center"/>
          </w:tcPr>
          <w:p w14:paraId="19CEB2D8">
            <w:pPr>
              <w:widowControl/>
              <w:spacing w:line="300" w:lineRule="auto"/>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每年度</w:t>
            </w:r>
            <w:r>
              <w:rPr>
                <w:rFonts w:hint="eastAsia" w:ascii="宋体" w:hAnsi="宋体" w:cs="宋体"/>
                <w:color w:val="auto"/>
                <w:sz w:val="24"/>
                <w:szCs w:val="24"/>
                <w:highlight w:val="none"/>
                <w:lang w:eastAsia="zh-CN"/>
              </w:rPr>
              <w:t>至少</w:t>
            </w:r>
            <w:r>
              <w:rPr>
                <w:rFonts w:hint="eastAsia" w:ascii="宋体" w:hAnsi="宋体" w:cs="宋体"/>
                <w:color w:val="auto"/>
                <w:sz w:val="24"/>
                <w:szCs w:val="24"/>
                <w:highlight w:val="none"/>
              </w:rPr>
              <w:t>考核</w:t>
            </w: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次，覆盖指标20项</w:t>
            </w:r>
          </w:p>
        </w:tc>
      </w:tr>
      <w:tr w14:paraId="1A9C1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30B5019F">
            <w:pPr>
              <w:widowControl/>
              <w:spacing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rPr>
              <w:t>3</w:t>
            </w:r>
          </w:p>
        </w:tc>
        <w:tc>
          <w:tcPr>
            <w:tcW w:w="1012" w:type="pct"/>
            <w:tcBorders>
              <w:top w:val="single" w:color="auto" w:sz="4" w:space="0"/>
              <w:left w:val="single" w:color="auto" w:sz="4" w:space="0"/>
              <w:bottom w:val="single" w:color="auto" w:sz="4" w:space="0"/>
              <w:right w:val="single" w:color="auto" w:sz="4" w:space="0"/>
            </w:tcBorders>
            <w:vAlign w:val="center"/>
          </w:tcPr>
          <w:p w14:paraId="7B329B58">
            <w:pPr>
              <w:keepNext w:val="0"/>
              <w:keepLines w:val="0"/>
              <w:widowControl/>
              <w:suppressLineNumbers w:val="0"/>
              <w:spacing w:line="360" w:lineRule="auto"/>
              <w:jc w:val="center"/>
              <w:textAlignment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能力验证</w:t>
            </w:r>
          </w:p>
        </w:tc>
        <w:tc>
          <w:tcPr>
            <w:tcW w:w="439" w:type="pct"/>
            <w:tcBorders>
              <w:top w:val="single" w:color="auto" w:sz="4" w:space="0"/>
              <w:left w:val="single" w:color="auto" w:sz="4" w:space="0"/>
              <w:bottom w:val="single" w:color="auto" w:sz="4" w:space="0"/>
              <w:right w:val="single" w:color="auto" w:sz="4" w:space="0"/>
            </w:tcBorders>
            <w:vAlign w:val="center"/>
          </w:tcPr>
          <w:p w14:paraId="4763806B">
            <w:pPr>
              <w:widowControl/>
              <w:spacing w:line="30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w:t>
            </w:r>
          </w:p>
        </w:tc>
        <w:tc>
          <w:tcPr>
            <w:tcW w:w="3098" w:type="pct"/>
            <w:tcBorders>
              <w:top w:val="single" w:color="auto" w:sz="4" w:space="0"/>
              <w:left w:val="single" w:color="auto" w:sz="4" w:space="0"/>
              <w:bottom w:val="single" w:color="auto" w:sz="4" w:space="0"/>
              <w:right w:val="single" w:color="auto" w:sz="4" w:space="0"/>
            </w:tcBorders>
            <w:vAlign w:val="center"/>
          </w:tcPr>
          <w:p w14:paraId="3DD82A53">
            <w:pPr>
              <w:widowControl/>
              <w:spacing w:line="300" w:lineRule="auto"/>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根据实验室实际情况安排</w:t>
            </w:r>
          </w:p>
        </w:tc>
      </w:tr>
      <w:tr w14:paraId="6816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64E58A9B">
            <w:pPr>
              <w:widowControl/>
              <w:spacing w:line="300" w:lineRule="auto"/>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rPr>
              <w:t>4</w:t>
            </w:r>
          </w:p>
        </w:tc>
        <w:tc>
          <w:tcPr>
            <w:tcW w:w="1012" w:type="pct"/>
            <w:tcBorders>
              <w:top w:val="single" w:color="auto" w:sz="4" w:space="0"/>
              <w:left w:val="single" w:color="auto" w:sz="4" w:space="0"/>
              <w:bottom w:val="single" w:color="auto" w:sz="4" w:space="0"/>
              <w:right w:val="single" w:color="auto" w:sz="4" w:space="0"/>
            </w:tcBorders>
            <w:vAlign w:val="center"/>
          </w:tcPr>
          <w:p w14:paraId="37D58897">
            <w:pPr>
              <w:keepNext w:val="0"/>
              <w:keepLines w:val="0"/>
              <w:widowControl/>
              <w:suppressLineNumbers w:val="0"/>
              <w:spacing w:line="360" w:lineRule="auto"/>
              <w:jc w:val="center"/>
              <w:textAlignment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质量监督</w:t>
            </w:r>
          </w:p>
        </w:tc>
        <w:tc>
          <w:tcPr>
            <w:tcW w:w="439" w:type="pct"/>
            <w:tcBorders>
              <w:top w:val="single" w:color="auto" w:sz="4" w:space="0"/>
              <w:left w:val="single" w:color="auto" w:sz="4" w:space="0"/>
              <w:bottom w:val="single" w:color="auto" w:sz="4" w:space="0"/>
              <w:right w:val="single" w:color="auto" w:sz="4" w:space="0"/>
            </w:tcBorders>
            <w:vAlign w:val="center"/>
          </w:tcPr>
          <w:p w14:paraId="10B80E64">
            <w:pPr>
              <w:widowControl/>
              <w:spacing w:line="30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w:t>
            </w:r>
          </w:p>
        </w:tc>
        <w:tc>
          <w:tcPr>
            <w:tcW w:w="3098" w:type="pct"/>
            <w:tcBorders>
              <w:top w:val="single" w:color="auto" w:sz="4" w:space="0"/>
              <w:left w:val="single" w:color="auto" w:sz="4" w:space="0"/>
              <w:bottom w:val="single" w:color="auto" w:sz="4" w:space="0"/>
              <w:right w:val="single" w:color="auto" w:sz="4" w:space="0"/>
            </w:tcBorders>
            <w:vAlign w:val="center"/>
          </w:tcPr>
          <w:p w14:paraId="75536789">
            <w:pPr>
              <w:widowControl/>
              <w:spacing w:line="300" w:lineRule="auto"/>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开展人员监督，覆盖各参数考核及样品室管理、耗材试剂验收、危废易制毒易制爆管理、标准物质管理、检测标准技术规范查新</w:t>
            </w:r>
            <w:r>
              <w:rPr>
                <w:rFonts w:hint="eastAsia" w:ascii="宋体" w:hAnsi="宋体" w:cs="宋体"/>
                <w:color w:val="auto"/>
                <w:sz w:val="24"/>
                <w:szCs w:val="24"/>
                <w:highlight w:val="none"/>
                <w:lang w:val="en-US" w:eastAsia="zh-CN"/>
              </w:rPr>
              <w:t>等</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根据实验室实际情况安排</w:t>
            </w:r>
            <w:r>
              <w:rPr>
                <w:rFonts w:hint="eastAsia" w:ascii="宋体" w:hAnsi="宋体" w:cs="宋体"/>
                <w:color w:val="auto"/>
                <w:sz w:val="24"/>
                <w:szCs w:val="24"/>
                <w:highlight w:val="none"/>
                <w:lang w:eastAsia="zh-CN"/>
              </w:rPr>
              <w:t>）</w:t>
            </w:r>
          </w:p>
        </w:tc>
      </w:tr>
      <w:tr w14:paraId="716AE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476D5803">
            <w:pPr>
              <w:widowControl/>
              <w:spacing w:line="30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rPr>
              <w:t>5</w:t>
            </w:r>
          </w:p>
        </w:tc>
        <w:tc>
          <w:tcPr>
            <w:tcW w:w="1012" w:type="pct"/>
            <w:tcBorders>
              <w:top w:val="single" w:color="auto" w:sz="4" w:space="0"/>
              <w:left w:val="single" w:color="auto" w:sz="4" w:space="0"/>
              <w:bottom w:val="single" w:color="auto" w:sz="4" w:space="0"/>
              <w:right w:val="single" w:color="auto" w:sz="4" w:space="0"/>
            </w:tcBorders>
            <w:vAlign w:val="center"/>
          </w:tcPr>
          <w:p w14:paraId="258AF5C6">
            <w:pPr>
              <w:keepNext w:val="0"/>
              <w:keepLines w:val="0"/>
              <w:widowControl/>
              <w:suppressLineNumbers w:val="0"/>
              <w:spacing w:line="360" w:lineRule="auto"/>
              <w:jc w:val="center"/>
              <w:textAlignment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计量检定</w:t>
            </w:r>
          </w:p>
        </w:tc>
        <w:tc>
          <w:tcPr>
            <w:tcW w:w="439" w:type="pct"/>
            <w:tcBorders>
              <w:top w:val="single" w:color="auto" w:sz="4" w:space="0"/>
              <w:left w:val="single" w:color="auto" w:sz="4" w:space="0"/>
              <w:bottom w:val="single" w:color="auto" w:sz="4" w:space="0"/>
              <w:right w:val="single" w:color="auto" w:sz="4" w:space="0"/>
            </w:tcBorders>
            <w:vAlign w:val="center"/>
          </w:tcPr>
          <w:p w14:paraId="1A783240">
            <w:pPr>
              <w:widowControl/>
              <w:spacing w:line="30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次</w:t>
            </w:r>
          </w:p>
        </w:tc>
        <w:tc>
          <w:tcPr>
            <w:tcW w:w="3098" w:type="pct"/>
            <w:tcBorders>
              <w:top w:val="single" w:color="auto" w:sz="4" w:space="0"/>
              <w:left w:val="single" w:color="auto" w:sz="4" w:space="0"/>
              <w:bottom w:val="single" w:color="auto" w:sz="4" w:space="0"/>
              <w:right w:val="single" w:color="auto" w:sz="4" w:space="0"/>
            </w:tcBorders>
            <w:vAlign w:val="center"/>
          </w:tcPr>
          <w:p w14:paraId="28B45D0F">
            <w:pPr>
              <w:widowControl/>
              <w:spacing w:line="300" w:lineRule="auto"/>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每年</w:t>
            </w:r>
            <w:r>
              <w:rPr>
                <w:rFonts w:hint="eastAsia" w:ascii="宋体" w:hAnsi="宋体" w:cs="宋体"/>
                <w:color w:val="auto"/>
                <w:sz w:val="24"/>
                <w:szCs w:val="24"/>
                <w:highlight w:val="none"/>
                <w:lang w:val="en-US" w:eastAsia="zh-CN"/>
              </w:rPr>
              <w:t>配合</w:t>
            </w:r>
            <w:r>
              <w:rPr>
                <w:rFonts w:hint="eastAsia" w:ascii="宋体" w:hAnsi="宋体" w:cs="宋体"/>
                <w:color w:val="auto"/>
                <w:sz w:val="24"/>
                <w:szCs w:val="24"/>
                <w:highlight w:val="none"/>
              </w:rPr>
              <w:t>开展</w:t>
            </w:r>
            <w:r>
              <w:rPr>
                <w:rFonts w:hint="eastAsia" w:ascii="宋体" w:hAnsi="宋体" w:cs="宋体"/>
                <w:color w:val="auto"/>
                <w:sz w:val="24"/>
                <w:szCs w:val="24"/>
                <w:highlight w:val="none"/>
                <w:lang w:val="en-US" w:eastAsia="zh-CN"/>
              </w:rPr>
              <w:t>1次仪器设备</w:t>
            </w:r>
            <w:r>
              <w:rPr>
                <w:rFonts w:hint="eastAsia" w:ascii="宋体" w:hAnsi="宋体" w:cs="宋体"/>
                <w:color w:val="auto"/>
                <w:sz w:val="24"/>
                <w:szCs w:val="24"/>
                <w:highlight w:val="none"/>
              </w:rPr>
              <w:t>计量检定</w:t>
            </w:r>
          </w:p>
        </w:tc>
      </w:tr>
      <w:tr w14:paraId="042EB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06CACA8F">
            <w:pPr>
              <w:widowControl/>
              <w:spacing w:line="30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rPr>
              <w:t>6</w:t>
            </w:r>
          </w:p>
        </w:tc>
        <w:tc>
          <w:tcPr>
            <w:tcW w:w="1012" w:type="pct"/>
            <w:tcBorders>
              <w:top w:val="single" w:color="auto" w:sz="4" w:space="0"/>
              <w:left w:val="single" w:color="auto" w:sz="4" w:space="0"/>
              <w:bottom w:val="single" w:color="auto" w:sz="4" w:space="0"/>
              <w:right w:val="single" w:color="auto" w:sz="4" w:space="0"/>
            </w:tcBorders>
            <w:vAlign w:val="center"/>
          </w:tcPr>
          <w:p w14:paraId="3D8D067E">
            <w:pPr>
              <w:keepNext w:val="0"/>
              <w:keepLines w:val="0"/>
              <w:widowControl/>
              <w:suppressLineNumbers w:val="0"/>
              <w:spacing w:line="360" w:lineRule="auto"/>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人员培训</w:t>
            </w:r>
          </w:p>
        </w:tc>
        <w:tc>
          <w:tcPr>
            <w:tcW w:w="439" w:type="pct"/>
            <w:tcBorders>
              <w:top w:val="single" w:color="auto" w:sz="4" w:space="0"/>
              <w:left w:val="single" w:color="auto" w:sz="4" w:space="0"/>
              <w:bottom w:val="single" w:color="auto" w:sz="4" w:space="0"/>
              <w:right w:val="single" w:color="auto" w:sz="4" w:space="0"/>
            </w:tcBorders>
            <w:vAlign w:val="center"/>
          </w:tcPr>
          <w:p w14:paraId="563C8B6D">
            <w:pPr>
              <w:widowControl/>
              <w:spacing w:line="30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次</w:t>
            </w:r>
          </w:p>
        </w:tc>
        <w:tc>
          <w:tcPr>
            <w:tcW w:w="3098" w:type="pct"/>
            <w:tcBorders>
              <w:top w:val="single" w:color="auto" w:sz="4" w:space="0"/>
              <w:left w:val="single" w:color="auto" w:sz="4" w:space="0"/>
              <w:bottom w:val="single" w:color="auto" w:sz="4" w:space="0"/>
              <w:right w:val="single" w:color="auto" w:sz="4" w:space="0"/>
            </w:tcBorders>
            <w:vAlign w:val="center"/>
          </w:tcPr>
          <w:p w14:paraId="708AD557">
            <w:pPr>
              <w:widowControl/>
              <w:spacing w:line="300" w:lineRule="auto"/>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每年</w:t>
            </w:r>
            <w:r>
              <w:rPr>
                <w:rFonts w:hint="eastAsia" w:ascii="宋体" w:hAnsi="宋体" w:cs="宋体"/>
                <w:color w:val="auto"/>
                <w:sz w:val="24"/>
                <w:szCs w:val="24"/>
                <w:highlight w:val="none"/>
                <w:lang w:eastAsia="zh-CN"/>
              </w:rPr>
              <w:t>至少</w:t>
            </w:r>
            <w:r>
              <w:rPr>
                <w:rFonts w:hint="eastAsia" w:ascii="宋体" w:hAnsi="宋体" w:cs="宋体"/>
                <w:color w:val="auto"/>
                <w:sz w:val="24"/>
                <w:szCs w:val="24"/>
                <w:highlight w:val="none"/>
              </w:rPr>
              <w:t>开展</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次人员培训</w:t>
            </w:r>
          </w:p>
        </w:tc>
      </w:tr>
      <w:tr w14:paraId="175C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02CDD97D">
            <w:pPr>
              <w:widowControl/>
              <w:spacing w:line="30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w:t>
            </w:r>
          </w:p>
        </w:tc>
        <w:tc>
          <w:tcPr>
            <w:tcW w:w="1012" w:type="pct"/>
            <w:tcBorders>
              <w:top w:val="single" w:color="auto" w:sz="4" w:space="0"/>
              <w:left w:val="single" w:color="auto" w:sz="4" w:space="0"/>
              <w:bottom w:val="single" w:color="auto" w:sz="4" w:space="0"/>
              <w:right w:val="single" w:color="auto" w:sz="4" w:space="0"/>
            </w:tcBorders>
            <w:vAlign w:val="center"/>
          </w:tcPr>
          <w:p w14:paraId="5F408242">
            <w:pPr>
              <w:widowControl/>
              <w:spacing w:line="300" w:lineRule="auto"/>
              <w:jc w:val="center"/>
              <w:textAlignment w:val="center"/>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期间核查</w:t>
            </w:r>
          </w:p>
        </w:tc>
        <w:tc>
          <w:tcPr>
            <w:tcW w:w="439" w:type="pct"/>
            <w:tcBorders>
              <w:top w:val="single" w:color="auto" w:sz="4" w:space="0"/>
              <w:left w:val="single" w:color="auto" w:sz="4" w:space="0"/>
              <w:bottom w:val="single" w:color="auto" w:sz="4" w:space="0"/>
              <w:right w:val="single" w:color="auto" w:sz="4" w:space="0"/>
            </w:tcBorders>
            <w:vAlign w:val="center"/>
          </w:tcPr>
          <w:p w14:paraId="352B7D9F">
            <w:pPr>
              <w:widowControl/>
              <w:spacing w:line="30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次</w:t>
            </w:r>
          </w:p>
        </w:tc>
        <w:tc>
          <w:tcPr>
            <w:tcW w:w="3098" w:type="pct"/>
            <w:tcBorders>
              <w:top w:val="single" w:color="auto" w:sz="4" w:space="0"/>
              <w:left w:val="single" w:color="auto" w:sz="4" w:space="0"/>
              <w:bottom w:val="single" w:color="auto" w:sz="4" w:space="0"/>
              <w:right w:val="single" w:color="auto" w:sz="4" w:space="0"/>
            </w:tcBorders>
            <w:vAlign w:val="center"/>
          </w:tcPr>
          <w:p w14:paraId="3F8E4082">
            <w:pPr>
              <w:widowControl/>
              <w:spacing w:line="300" w:lineRule="auto"/>
              <w:jc w:val="center"/>
              <w:textAlignment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每年开展</w:t>
            </w:r>
            <w:r>
              <w:rPr>
                <w:rFonts w:hint="eastAsia" w:ascii="宋体" w:hAnsi="宋体" w:cs="宋体"/>
                <w:color w:val="auto"/>
                <w:kern w:val="0"/>
                <w:sz w:val="24"/>
                <w:szCs w:val="24"/>
                <w:highlight w:val="none"/>
                <w:lang w:val="en-US" w:eastAsia="zh-CN"/>
              </w:rPr>
              <w:t>1次现有仪器设备期间核查工作</w:t>
            </w:r>
          </w:p>
        </w:tc>
      </w:tr>
      <w:tr w14:paraId="37E2D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32A8D605">
            <w:pPr>
              <w:widowControl/>
              <w:spacing w:line="30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p>
        </w:tc>
        <w:tc>
          <w:tcPr>
            <w:tcW w:w="1012" w:type="pct"/>
            <w:tcBorders>
              <w:top w:val="single" w:color="auto" w:sz="4" w:space="0"/>
              <w:left w:val="single" w:color="auto" w:sz="4" w:space="0"/>
              <w:bottom w:val="single" w:color="auto" w:sz="4" w:space="0"/>
              <w:right w:val="single" w:color="auto" w:sz="4" w:space="0"/>
            </w:tcBorders>
            <w:vAlign w:val="center"/>
          </w:tcPr>
          <w:p w14:paraId="0BD5CB1D">
            <w:pPr>
              <w:widowControl/>
              <w:spacing w:line="300" w:lineRule="auto"/>
              <w:jc w:val="center"/>
              <w:textAlignment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内审</w:t>
            </w:r>
          </w:p>
        </w:tc>
        <w:tc>
          <w:tcPr>
            <w:tcW w:w="439" w:type="pct"/>
            <w:tcBorders>
              <w:top w:val="single" w:color="auto" w:sz="4" w:space="0"/>
              <w:left w:val="single" w:color="auto" w:sz="4" w:space="0"/>
              <w:bottom w:val="single" w:color="auto" w:sz="4" w:space="0"/>
              <w:right w:val="single" w:color="auto" w:sz="4" w:space="0"/>
            </w:tcBorders>
            <w:vAlign w:val="center"/>
          </w:tcPr>
          <w:p w14:paraId="38D68C3E">
            <w:pPr>
              <w:widowControl/>
              <w:spacing w:line="30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次</w:t>
            </w:r>
          </w:p>
        </w:tc>
        <w:tc>
          <w:tcPr>
            <w:tcW w:w="3098" w:type="pct"/>
            <w:tcBorders>
              <w:top w:val="single" w:color="auto" w:sz="4" w:space="0"/>
              <w:left w:val="single" w:color="auto" w:sz="4" w:space="0"/>
              <w:bottom w:val="single" w:color="auto" w:sz="4" w:space="0"/>
              <w:right w:val="single" w:color="auto" w:sz="4" w:space="0"/>
            </w:tcBorders>
            <w:vAlign w:val="center"/>
          </w:tcPr>
          <w:p w14:paraId="27CDDF79">
            <w:pPr>
              <w:widowControl/>
              <w:spacing w:line="300" w:lineRule="auto"/>
              <w:jc w:val="center"/>
              <w:textAlignment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每年开展</w:t>
            </w:r>
            <w:r>
              <w:rPr>
                <w:rFonts w:hint="eastAsia" w:ascii="宋体" w:hAnsi="宋体" w:cs="宋体"/>
                <w:color w:val="auto"/>
                <w:kern w:val="0"/>
                <w:sz w:val="24"/>
                <w:szCs w:val="24"/>
                <w:highlight w:val="none"/>
                <w:lang w:val="en-US" w:eastAsia="zh-CN"/>
              </w:rPr>
              <w:t>1次内部审核</w:t>
            </w:r>
          </w:p>
        </w:tc>
      </w:tr>
      <w:tr w14:paraId="317D9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449" w:type="pct"/>
            <w:tcBorders>
              <w:top w:val="single" w:color="auto" w:sz="4" w:space="0"/>
              <w:left w:val="single" w:color="auto" w:sz="4" w:space="0"/>
              <w:bottom w:val="single" w:color="auto" w:sz="4" w:space="0"/>
              <w:right w:val="single" w:color="auto" w:sz="4" w:space="0"/>
            </w:tcBorders>
            <w:vAlign w:val="center"/>
          </w:tcPr>
          <w:p w14:paraId="5E1610B6">
            <w:pPr>
              <w:widowControl/>
              <w:spacing w:line="300" w:lineRule="auto"/>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9</w:t>
            </w:r>
          </w:p>
        </w:tc>
        <w:tc>
          <w:tcPr>
            <w:tcW w:w="1012" w:type="pct"/>
            <w:tcBorders>
              <w:top w:val="single" w:color="auto" w:sz="4" w:space="0"/>
              <w:left w:val="single" w:color="auto" w:sz="4" w:space="0"/>
              <w:bottom w:val="single" w:color="auto" w:sz="4" w:space="0"/>
              <w:right w:val="single" w:color="auto" w:sz="4" w:space="0"/>
            </w:tcBorders>
            <w:vAlign w:val="center"/>
          </w:tcPr>
          <w:p w14:paraId="7DE09645">
            <w:pPr>
              <w:widowControl/>
              <w:spacing w:line="300" w:lineRule="auto"/>
              <w:jc w:val="center"/>
              <w:textAlignment w:val="center"/>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管审</w:t>
            </w:r>
          </w:p>
        </w:tc>
        <w:tc>
          <w:tcPr>
            <w:tcW w:w="439" w:type="pct"/>
            <w:tcBorders>
              <w:top w:val="single" w:color="auto" w:sz="4" w:space="0"/>
              <w:left w:val="single" w:color="auto" w:sz="4" w:space="0"/>
              <w:bottom w:val="single" w:color="auto" w:sz="4" w:space="0"/>
              <w:right w:val="single" w:color="auto" w:sz="4" w:space="0"/>
            </w:tcBorders>
            <w:vAlign w:val="center"/>
          </w:tcPr>
          <w:p w14:paraId="77C97C8A">
            <w:pPr>
              <w:widowControl/>
              <w:spacing w:line="30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次</w:t>
            </w:r>
          </w:p>
        </w:tc>
        <w:tc>
          <w:tcPr>
            <w:tcW w:w="3098" w:type="pct"/>
            <w:tcBorders>
              <w:top w:val="single" w:color="auto" w:sz="4" w:space="0"/>
              <w:left w:val="single" w:color="auto" w:sz="4" w:space="0"/>
              <w:bottom w:val="single" w:color="auto" w:sz="4" w:space="0"/>
              <w:right w:val="single" w:color="auto" w:sz="4" w:space="0"/>
            </w:tcBorders>
            <w:vAlign w:val="center"/>
          </w:tcPr>
          <w:p w14:paraId="60C5C690">
            <w:pPr>
              <w:widowControl/>
              <w:spacing w:line="300" w:lineRule="auto"/>
              <w:jc w:val="center"/>
              <w:textAlignment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每年开展</w:t>
            </w:r>
            <w:r>
              <w:rPr>
                <w:rFonts w:hint="eastAsia" w:ascii="宋体" w:hAnsi="宋体" w:cs="宋体"/>
                <w:color w:val="auto"/>
                <w:kern w:val="0"/>
                <w:sz w:val="24"/>
                <w:szCs w:val="24"/>
                <w:highlight w:val="none"/>
                <w:lang w:val="en-US" w:eastAsia="zh-CN"/>
              </w:rPr>
              <w:t>1次</w:t>
            </w:r>
            <w:r>
              <w:rPr>
                <w:rFonts w:hint="eastAsia" w:ascii="宋体" w:hAnsi="宋体" w:cs="宋体"/>
                <w:color w:val="auto"/>
                <w:kern w:val="0"/>
                <w:sz w:val="24"/>
                <w:szCs w:val="24"/>
                <w:highlight w:val="none"/>
              </w:rPr>
              <w:t>管理评审</w:t>
            </w:r>
          </w:p>
        </w:tc>
      </w:tr>
    </w:tbl>
    <w:p w14:paraId="481B4A75">
      <w:pPr>
        <w:pStyle w:val="31"/>
        <w:pageBreakBefore w:val="0"/>
        <w:kinsoku/>
        <w:wordWrap/>
        <w:overflowPunct/>
        <w:topLinePunct w:val="0"/>
        <w:autoSpaceDE/>
        <w:autoSpaceDN/>
        <w:bidi w:val="0"/>
        <w:adjustRightInd/>
        <w:snapToGrid w:val="0"/>
        <w:spacing w:line="360" w:lineRule="auto"/>
        <w:ind w:left="0" w:leftChars="0" w:firstLine="480" w:firstLineChars="200"/>
        <w:jc w:val="both"/>
        <w:rPr>
          <w:rFonts w:hint="eastAsia" w:ascii="宋体" w:hAnsi="宋体" w:cs="宋体"/>
          <w:bCs/>
          <w:color w:val="auto"/>
          <w:szCs w:val="24"/>
          <w:highlight w:val="none"/>
        </w:rPr>
      </w:pPr>
    </w:p>
    <w:p w14:paraId="659C71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firstLine="480" w:firstLineChars="20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1.5项目技术要求及有关说明</w:t>
      </w:r>
    </w:p>
    <w:p w14:paraId="250BA5E9">
      <w:pPr>
        <w:numPr>
          <w:ilvl w:val="0"/>
          <w:numId w:val="0"/>
        </w:numPr>
        <w:spacing w:line="360" w:lineRule="auto"/>
        <w:ind w:leftChars="0" w:firstLine="480" w:firstLineChars="200"/>
        <w:outlineLvl w:val="1"/>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1.</w:t>
      </w:r>
      <w:r>
        <w:rPr>
          <w:rFonts w:hint="eastAsia" w:cs="Times New Roman"/>
          <w:color w:val="auto"/>
          <w:sz w:val="24"/>
          <w:highlight w:val="none"/>
          <w:lang w:val="en-US" w:eastAsia="zh-CN" w:bidi="ar-SA"/>
        </w:rPr>
        <w:t>5</w:t>
      </w:r>
      <w:r>
        <w:rPr>
          <w:rFonts w:hint="eastAsia" w:ascii="Times New Roman" w:hAnsi="Times New Roman" w:eastAsia="宋体" w:cs="Times New Roman"/>
          <w:color w:val="auto"/>
          <w:sz w:val="24"/>
          <w:highlight w:val="none"/>
          <w:lang w:val="en-US" w:eastAsia="zh-CN" w:bidi="ar-SA"/>
        </w:rPr>
        <w:t>.</w:t>
      </w:r>
      <w:r>
        <w:rPr>
          <w:rFonts w:hint="eastAsia" w:cs="Times New Roman"/>
          <w:color w:val="auto"/>
          <w:sz w:val="24"/>
          <w:highlight w:val="none"/>
          <w:lang w:val="en-US" w:eastAsia="zh-CN" w:bidi="ar-SA"/>
        </w:rPr>
        <w:t>1每日工作</w:t>
      </w:r>
      <w:r>
        <w:rPr>
          <w:rFonts w:hint="eastAsia" w:ascii="Times New Roman" w:hAnsi="Times New Roman" w:eastAsia="宋体" w:cs="Times New Roman"/>
          <w:color w:val="auto"/>
          <w:sz w:val="24"/>
          <w:highlight w:val="none"/>
          <w:lang w:val="en-US" w:eastAsia="zh-CN" w:bidi="ar-SA"/>
        </w:rPr>
        <w:t>要求</w:t>
      </w:r>
    </w:p>
    <w:p w14:paraId="630A8A30">
      <w:pPr>
        <w:numPr>
          <w:ilvl w:val="0"/>
          <w:numId w:val="3"/>
        </w:numPr>
        <w:spacing w:line="360" w:lineRule="auto"/>
        <w:ind w:leftChars="0" w:firstLine="480" w:firstLineChars="200"/>
        <w:outlineLvl w:val="2"/>
        <w:rPr>
          <w:rFonts w:hint="eastAsia" w:cs="Times New Roman"/>
          <w:color w:val="auto"/>
          <w:sz w:val="24"/>
          <w:highlight w:val="none"/>
          <w:lang w:val="en-US" w:eastAsia="zh-CN"/>
        </w:rPr>
      </w:pPr>
      <w:r>
        <w:rPr>
          <w:rFonts w:hint="eastAsia" w:cs="Times New Roman"/>
          <w:color w:val="auto"/>
          <w:sz w:val="24"/>
          <w:highlight w:val="none"/>
          <w:lang w:val="en-US" w:eastAsia="zh-CN"/>
        </w:rPr>
        <w:t>样品采集</w:t>
      </w:r>
    </w:p>
    <w:p w14:paraId="6FCE5222">
      <w:pPr>
        <w:numPr>
          <w:ilvl w:val="0"/>
          <w:numId w:val="0"/>
        </w:numPr>
        <w:spacing w:line="360" w:lineRule="auto"/>
        <w:ind w:leftChars="200"/>
        <w:outlineLvl w:val="2"/>
        <w:rPr>
          <w:rFonts w:hint="default" w:cs="Times New Roman"/>
          <w:color w:val="auto"/>
          <w:sz w:val="24"/>
          <w:highlight w:val="none"/>
          <w:lang w:val="en-US" w:eastAsia="zh-CN"/>
        </w:rPr>
      </w:pPr>
      <w:r>
        <w:rPr>
          <w:rFonts w:hint="eastAsia" w:cs="Times New Roman"/>
          <w:color w:val="auto"/>
          <w:sz w:val="24"/>
          <w:highlight w:val="none"/>
          <w:lang w:val="en-US" w:eastAsia="zh-CN"/>
        </w:rPr>
        <w:t>打印标签，下发平台任务，进行水样采集工作。</w:t>
      </w:r>
    </w:p>
    <w:p w14:paraId="729AAFC4">
      <w:pPr>
        <w:numPr>
          <w:ilvl w:val="0"/>
          <w:numId w:val="0"/>
        </w:numPr>
        <w:spacing w:line="360" w:lineRule="auto"/>
        <w:ind w:leftChars="0" w:firstLine="480" w:firstLineChars="200"/>
        <w:outlineLvl w:val="2"/>
        <w:rPr>
          <w:rFonts w:hint="default" w:eastAsia="宋体" w:cs="Times New Roman"/>
          <w:color w:val="auto"/>
          <w:sz w:val="24"/>
          <w:highlight w:val="none"/>
          <w:lang w:val="en-US"/>
        </w:rPr>
      </w:pPr>
      <w:r>
        <w:rPr>
          <w:rFonts w:hint="eastAsia" w:eastAsia="宋体" w:cs="Times New Roman"/>
          <w:color w:val="auto"/>
          <w:sz w:val="24"/>
          <w:highlight w:val="none"/>
          <w:lang w:val="en-US" w:eastAsia="zh-CN"/>
        </w:rPr>
        <w:t>2）</w:t>
      </w:r>
      <w:r>
        <w:rPr>
          <w:rFonts w:hint="eastAsia" w:cs="Times New Roman"/>
          <w:color w:val="auto"/>
          <w:sz w:val="24"/>
          <w:highlight w:val="none"/>
          <w:lang w:val="en-US" w:eastAsia="zh-CN"/>
        </w:rPr>
        <w:t>样品测试</w:t>
      </w:r>
    </w:p>
    <w:p w14:paraId="729E2AEA">
      <w:pPr>
        <w:numPr>
          <w:ilvl w:val="0"/>
          <w:numId w:val="0"/>
        </w:numPr>
        <w:spacing w:line="360" w:lineRule="auto"/>
        <w:ind w:leftChars="0" w:firstLine="480" w:firstLineChars="200"/>
        <w:rPr>
          <w:rFonts w:hint="eastAsia" w:cs="Times New Roman"/>
          <w:color w:val="auto"/>
          <w:sz w:val="24"/>
          <w:highlight w:val="none"/>
          <w:lang w:eastAsia="zh-CN"/>
        </w:rPr>
      </w:pPr>
      <w:r>
        <w:rPr>
          <w:rFonts w:hint="eastAsia" w:cs="Times New Roman"/>
          <w:color w:val="auto"/>
          <w:sz w:val="24"/>
          <w:highlight w:val="none"/>
          <w:lang w:val="en-US" w:eastAsia="zh-CN"/>
        </w:rPr>
        <w:t>水样交接，进行样品测试。</w:t>
      </w:r>
      <w:r>
        <w:rPr>
          <w:rFonts w:eastAsia="宋体" w:cs="Times New Roman"/>
          <w:color w:val="auto"/>
          <w:sz w:val="24"/>
          <w:highlight w:val="none"/>
        </w:rPr>
        <w:t>整体把控样品检测的进度，确保样品在规定时限内完成检测</w:t>
      </w:r>
      <w:r>
        <w:rPr>
          <w:rFonts w:hint="eastAsia" w:cs="Times New Roman"/>
          <w:color w:val="auto"/>
          <w:sz w:val="24"/>
          <w:highlight w:val="none"/>
          <w:lang w:eastAsia="zh-CN"/>
        </w:rPr>
        <w:t>。</w:t>
      </w:r>
    </w:p>
    <w:p w14:paraId="2E8A0821">
      <w:pPr>
        <w:numPr>
          <w:ilvl w:val="0"/>
          <w:numId w:val="0"/>
        </w:numPr>
        <w:spacing w:line="360" w:lineRule="auto"/>
        <w:ind w:leftChars="200"/>
        <w:rPr>
          <w:rFonts w:hint="default" w:cs="Times New Roman"/>
          <w:color w:val="auto"/>
          <w:sz w:val="24"/>
          <w:highlight w:val="none"/>
          <w:lang w:val="en-US" w:eastAsia="zh-CN"/>
        </w:rPr>
      </w:pPr>
      <w:r>
        <w:rPr>
          <w:rFonts w:hint="eastAsia" w:cs="Times New Roman"/>
          <w:color w:val="auto"/>
          <w:sz w:val="24"/>
          <w:highlight w:val="none"/>
          <w:lang w:val="en-US" w:eastAsia="zh-CN"/>
        </w:rPr>
        <w:t>3）前级质控</w:t>
      </w:r>
    </w:p>
    <w:p w14:paraId="24DF3F6D">
      <w:pPr>
        <w:numPr>
          <w:ilvl w:val="0"/>
          <w:numId w:val="0"/>
        </w:numPr>
        <w:spacing w:line="360" w:lineRule="auto"/>
        <w:ind w:leftChars="0" w:firstLine="480" w:firstLineChars="200"/>
        <w:rPr>
          <w:rFonts w:hint="eastAsia"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每台分析模块</w:t>
      </w:r>
      <w:r>
        <w:rPr>
          <w:rFonts w:hint="eastAsia" w:ascii="Times New Roman" w:hAnsi="Times New Roman" w:eastAsia="宋体" w:cs="Times New Roman"/>
          <w:color w:val="auto"/>
          <w:sz w:val="24"/>
          <w:highlight w:val="none"/>
          <w:lang w:val="en-US" w:eastAsia="zh-CN"/>
        </w:rPr>
        <w:t>每天</w:t>
      </w:r>
      <w:r>
        <w:rPr>
          <w:rFonts w:hint="default" w:ascii="Times New Roman" w:hAnsi="Times New Roman" w:eastAsia="宋体" w:cs="Times New Roman"/>
          <w:color w:val="auto"/>
          <w:sz w:val="24"/>
          <w:highlight w:val="none"/>
          <w:lang w:val="en-US" w:eastAsia="zh-CN"/>
        </w:rPr>
        <w:t>必须进行一次线下标样和线下空白的测试</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均合格后方可进行水样测试</w:t>
      </w:r>
      <w:r>
        <w:rPr>
          <w:rFonts w:hint="eastAsia" w:ascii="Times New Roman" w:hAnsi="Times New Roman" w:eastAsia="宋体" w:cs="Times New Roman"/>
          <w:color w:val="auto"/>
          <w:sz w:val="24"/>
          <w:highlight w:val="none"/>
          <w:lang w:val="en-US" w:eastAsia="zh-CN"/>
        </w:rPr>
        <w:t>。</w:t>
      </w:r>
    </w:p>
    <w:p w14:paraId="17489F21">
      <w:pPr>
        <w:numPr>
          <w:ilvl w:val="0"/>
          <w:numId w:val="0"/>
        </w:numPr>
        <w:spacing w:line="360" w:lineRule="auto"/>
        <w:ind w:left="420" w:leftChars="200"/>
        <w:rPr>
          <w:rFonts w:hint="eastAsia"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bidi="ar-SA"/>
        </w:rPr>
        <w:t>4）</w:t>
      </w:r>
      <w:r>
        <w:rPr>
          <w:rFonts w:hint="eastAsia" w:cs="Times New Roman"/>
          <w:color w:val="auto"/>
          <w:sz w:val="24"/>
          <w:highlight w:val="none"/>
          <w:lang w:val="en-US" w:eastAsia="zh-CN"/>
        </w:rPr>
        <w:t>批次质控</w:t>
      </w:r>
    </w:p>
    <w:p w14:paraId="5C6C81DE">
      <w:pPr>
        <w:numPr>
          <w:ilvl w:val="0"/>
          <w:numId w:val="0"/>
        </w:numPr>
        <w:spacing w:line="360" w:lineRule="auto"/>
        <w:ind w:leftChars="0" w:firstLine="480" w:firstLineChars="20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按照当日测试样品量，按照10%的要求进行平行、空白、质控测试。保证当日测试水样均符合批次质控要求。</w:t>
      </w:r>
    </w:p>
    <w:p w14:paraId="361E3D3B">
      <w:pPr>
        <w:numPr>
          <w:ilvl w:val="0"/>
          <w:numId w:val="0"/>
        </w:numPr>
        <w:spacing w:line="360" w:lineRule="auto"/>
        <w:ind w:leftChars="0" w:firstLine="480" w:firstLineChars="200"/>
        <w:outlineLvl w:val="2"/>
        <w:rPr>
          <w:rFonts w:hint="default" w:eastAsia="宋体" w:cs="Times New Roman"/>
          <w:color w:val="auto"/>
          <w:sz w:val="24"/>
          <w:highlight w:val="none"/>
          <w:lang w:val="en-US" w:eastAsia="zh-CN"/>
        </w:rPr>
      </w:pPr>
      <w:r>
        <w:rPr>
          <w:rFonts w:hint="eastAsia" w:cs="Times New Roman"/>
          <w:color w:val="auto"/>
          <w:sz w:val="24"/>
          <w:highlight w:val="none"/>
          <w:lang w:val="en-US" w:eastAsia="zh-CN"/>
        </w:rPr>
        <w:t>5</w:t>
      </w:r>
      <w:r>
        <w:rPr>
          <w:rFonts w:hint="eastAsia" w:eastAsia="宋体" w:cs="Times New Roman"/>
          <w:color w:val="auto"/>
          <w:sz w:val="24"/>
          <w:highlight w:val="none"/>
          <w:lang w:val="en-US" w:eastAsia="zh-CN"/>
        </w:rPr>
        <w:t>）</w:t>
      </w:r>
      <w:r>
        <w:rPr>
          <w:rFonts w:eastAsia="宋体" w:cs="Times New Roman"/>
          <w:color w:val="auto"/>
          <w:sz w:val="24"/>
          <w:highlight w:val="none"/>
        </w:rPr>
        <w:t>数据审核</w:t>
      </w:r>
      <w:r>
        <w:rPr>
          <w:rFonts w:hint="eastAsia" w:cs="Times New Roman"/>
          <w:color w:val="auto"/>
          <w:sz w:val="24"/>
          <w:highlight w:val="none"/>
          <w:lang w:val="en-US" w:eastAsia="zh-CN"/>
        </w:rPr>
        <w:t>及报送</w:t>
      </w:r>
    </w:p>
    <w:p w14:paraId="370DC3A3">
      <w:pPr>
        <w:numPr>
          <w:ilvl w:val="0"/>
          <w:numId w:val="0"/>
        </w:numPr>
        <w:spacing w:line="360" w:lineRule="auto"/>
        <w:ind w:leftChars="0" w:firstLine="480" w:firstLineChars="200"/>
        <w:rPr>
          <w:rFonts w:hint="default" w:eastAsia="宋体" w:cs="Times New Roman"/>
          <w:color w:val="auto"/>
          <w:sz w:val="24"/>
          <w:highlight w:val="none"/>
          <w:lang w:val="en-US" w:eastAsia="zh-CN"/>
        </w:rPr>
      </w:pPr>
      <w:r>
        <w:rPr>
          <w:rFonts w:eastAsia="宋体" w:cs="Times New Roman"/>
          <w:color w:val="auto"/>
          <w:sz w:val="24"/>
          <w:highlight w:val="none"/>
        </w:rPr>
        <w:t>负责对操作员一级审核完成的检测数据进行二级审核；将审核通过的检测数据提交至</w:t>
      </w:r>
      <w:r>
        <w:rPr>
          <w:rFonts w:hint="eastAsia" w:cs="Times New Roman"/>
          <w:color w:val="auto"/>
          <w:sz w:val="24"/>
          <w:highlight w:val="none"/>
          <w:lang w:val="en-US" w:eastAsia="zh-CN"/>
        </w:rPr>
        <w:t>实验室</w:t>
      </w:r>
      <w:r>
        <w:rPr>
          <w:rFonts w:eastAsia="宋体" w:cs="Times New Roman"/>
          <w:color w:val="auto"/>
          <w:sz w:val="24"/>
          <w:highlight w:val="none"/>
        </w:rPr>
        <w:t>管理平台，审核不通过的检测数据返回给操作员。</w:t>
      </w:r>
      <w:r>
        <w:rPr>
          <w:rFonts w:hint="eastAsia" w:cs="Times New Roman"/>
          <w:color w:val="auto"/>
          <w:sz w:val="24"/>
          <w:highlight w:val="none"/>
          <w:lang w:val="en-US" w:eastAsia="zh-CN"/>
        </w:rPr>
        <w:t>按照任务要求，形成数据报表，上报至委托单位。</w:t>
      </w:r>
    </w:p>
    <w:p w14:paraId="744C2ACC">
      <w:pPr>
        <w:numPr>
          <w:ilvl w:val="0"/>
          <w:numId w:val="0"/>
        </w:numPr>
        <w:spacing w:line="360" w:lineRule="auto"/>
        <w:ind w:left="420" w:leftChars="200" w:firstLine="0" w:firstLineChars="0"/>
        <w:rPr>
          <w:rFonts w:hint="eastAsia" w:cs="Times New Roman"/>
          <w:color w:val="auto"/>
          <w:sz w:val="24"/>
          <w:highlight w:val="none"/>
          <w:lang w:val="en-US" w:eastAsia="zh-CN"/>
        </w:rPr>
      </w:pPr>
      <w:r>
        <w:rPr>
          <w:rFonts w:hint="eastAsia" w:cs="Times New Roman"/>
          <w:color w:val="auto"/>
          <w:sz w:val="24"/>
          <w:highlight w:val="none"/>
          <w:lang w:val="en-US" w:eastAsia="zh-CN" w:bidi="ar-SA"/>
        </w:rPr>
        <w:t>6</w:t>
      </w:r>
      <w:r>
        <w:rPr>
          <w:rFonts w:hint="eastAsia" w:ascii="Times New Roman" w:hAnsi="Times New Roman" w:eastAsia="宋体" w:cs="Times New Roman"/>
          <w:color w:val="auto"/>
          <w:sz w:val="24"/>
          <w:highlight w:val="none"/>
          <w:lang w:val="en-US" w:eastAsia="zh-CN" w:bidi="ar-SA"/>
        </w:rPr>
        <w:t>）</w:t>
      </w:r>
      <w:r>
        <w:rPr>
          <w:rFonts w:hint="eastAsia" w:cs="Times New Roman"/>
          <w:color w:val="auto"/>
          <w:sz w:val="24"/>
          <w:highlight w:val="none"/>
          <w:lang w:val="en-US" w:eastAsia="zh-CN"/>
        </w:rPr>
        <w:t>日常记录填报</w:t>
      </w:r>
    </w:p>
    <w:p w14:paraId="1B2D3F14">
      <w:pPr>
        <w:numPr>
          <w:ilvl w:val="0"/>
          <w:numId w:val="0"/>
        </w:numPr>
        <w:spacing w:line="360" w:lineRule="auto"/>
        <w:ind w:leftChars="0"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完成实验室日常用水监测记录、环境温湿度记录、冰箱温湿度记录、仪器使用记录，设备原始数据及记录等</w:t>
      </w:r>
    </w:p>
    <w:p w14:paraId="01819352">
      <w:pPr>
        <w:numPr>
          <w:ilvl w:val="0"/>
          <w:numId w:val="4"/>
        </w:numPr>
        <w:spacing w:line="360" w:lineRule="auto"/>
        <w:ind w:leftChars="0"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体系管理</w:t>
      </w:r>
    </w:p>
    <w:p w14:paraId="42029D81">
      <w:pPr>
        <w:numPr>
          <w:ilvl w:val="0"/>
          <w:numId w:val="0"/>
        </w:numPr>
        <w:spacing w:line="360" w:lineRule="auto"/>
        <w:ind w:leftChars="0" w:firstLine="480" w:firstLineChars="20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按照质量手册及程序文件规定要求，完成各项计划内实施内容，以确保实验室符合体系管理规定。</w:t>
      </w:r>
    </w:p>
    <w:p w14:paraId="40E73DB6">
      <w:pPr>
        <w:numPr>
          <w:ilvl w:val="0"/>
          <w:numId w:val="0"/>
        </w:numPr>
        <w:spacing w:line="360" w:lineRule="auto"/>
        <w:ind w:leftChars="0" w:firstLine="480" w:firstLineChars="200"/>
        <w:outlineLvl w:val="2"/>
        <w:rPr>
          <w:rFonts w:eastAsia="宋体" w:cs="Times New Roman"/>
          <w:color w:val="auto"/>
          <w:sz w:val="24"/>
          <w:highlight w:val="none"/>
        </w:rPr>
      </w:pPr>
      <w:bookmarkStart w:id="31" w:name="_Toc90285432"/>
      <w:r>
        <w:rPr>
          <w:rFonts w:hint="eastAsia" w:cs="Times New Roman"/>
          <w:color w:val="auto"/>
          <w:sz w:val="24"/>
          <w:highlight w:val="none"/>
          <w:lang w:val="en-US" w:eastAsia="zh-CN"/>
        </w:rPr>
        <w:t>8</w:t>
      </w:r>
      <w:r>
        <w:rPr>
          <w:rFonts w:hint="eastAsia" w:eastAsia="宋体" w:cs="Times New Roman"/>
          <w:color w:val="auto"/>
          <w:sz w:val="24"/>
          <w:highlight w:val="none"/>
          <w:lang w:val="en-US" w:eastAsia="zh-CN"/>
        </w:rPr>
        <w:t>）</w:t>
      </w:r>
      <w:r>
        <w:rPr>
          <w:rFonts w:hint="eastAsia" w:cs="Times New Roman"/>
          <w:color w:val="auto"/>
          <w:sz w:val="24"/>
          <w:highlight w:val="none"/>
          <w:lang w:val="en-US" w:eastAsia="zh-CN"/>
        </w:rPr>
        <w:t>实验室</w:t>
      </w:r>
      <w:r>
        <w:rPr>
          <w:rFonts w:eastAsia="宋体" w:cs="Times New Roman"/>
          <w:color w:val="auto"/>
          <w:sz w:val="24"/>
          <w:highlight w:val="none"/>
        </w:rPr>
        <w:t>系统管理</w:t>
      </w:r>
      <w:bookmarkEnd w:id="31"/>
    </w:p>
    <w:p w14:paraId="68E91DA8">
      <w:pPr>
        <w:numPr>
          <w:ilvl w:val="0"/>
          <w:numId w:val="0"/>
        </w:numPr>
        <w:spacing w:line="360" w:lineRule="auto"/>
        <w:ind w:leftChars="0" w:firstLine="480" w:firstLineChars="200"/>
        <w:rPr>
          <w:rFonts w:eastAsia="宋体" w:cs="Times New Roman"/>
          <w:color w:val="auto"/>
          <w:sz w:val="24"/>
          <w:highlight w:val="none"/>
        </w:rPr>
      </w:pPr>
      <w:r>
        <w:rPr>
          <w:rFonts w:eastAsia="宋体" w:cs="Times New Roman"/>
          <w:color w:val="auto"/>
          <w:sz w:val="24"/>
          <w:highlight w:val="none"/>
        </w:rPr>
        <w:t>保证</w:t>
      </w:r>
      <w:r>
        <w:rPr>
          <w:rFonts w:hint="eastAsia" w:ascii="宋体" w:cs="宋体"/>
          <w:b w:val="0"/>
          <w:color w:val="auto"/>
          <w:spacing w:val="0"/>
          <w:sz w:val="24"/>
          <w:szCs w:val="24"/>
          <w:highlight w:val="none"/>
          <w:lang w:val="en-US" w:eastAsia="zh-CN"/>
        </w:rPr>
        <w:t>实验室运行管理系统</w:t>
      </w:r>
      <w:r>
        <w:rPr>
          <w:rFonts w:eastAsia="宋体" w:cs="Times New Roman"/>
          <w:color w:val="auto"/>
          <w:sz w:val="24"/>
          <w:highlight w:val="none"/>
        </w:rPr>
        <w:t>稳定运行，及时修复</w:t>
      </w:r>
      <w:r>
        <w:rPr>
          <w:rFonts w:hint="eastAsia" w:cs="Times New Roman"/>
          <w:color w:val="auto"/>
          <w:sz w:val="24"/>
          <w:highlight w:val="none"/>
          <w:lang w:val="en-US" w:eastAsia="zh-CN"/>
        </w:rPr>
        <w:t>运行过程中出现的</w:t>
      </w:r>
      <w:r>
        <w:rPr>
          <w:rFonts w:eastAsia="宋体" w:cs="Times New Roman"/>
          <w:color w:val="auto"/>
          <w:sz w:val="24"/>
          <w:highlight w:val="none"/>
        </w:rPr>
        <w:t>故障与漏洞。</w:t>
      </w:r>
    </w:p>
    <w:p w14:paraId="7F112E47">
      <w:pPr>
        <w:numPr>
          <w:ilvl w:val="0"/>
          <w:numId w:val="0"/>
        </w:numPr>
        <w:spacing w:line="360" w:lineRule="auto"/>
        <w:ind w:leftChars="0" w:firstLine="480" w:firstLineChars="200"/>
        <w:outlineLvl w:val="1"/>
        <w:rPr>
          <w:rFonts w:hint="eastAsia"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1.</w:t>
      </w:r>
      <w:r>
        <w:rPr>
          <w:rFonts w:hint="eastAsia" w:cs="Times New Roman"/>
          <w:color w:val="auto"/>
          <w:sz w:val="24"/>
          <w:highlight w:val="none"/>
          <w:lang w:val="en-US" w:eastAsia="zh-CN" w:bidi="ar-SA"/>
        </w:rPr>
        <w:t>5</w:t>
      </w:r>
      <w:r>
        <w:rPr>
          <w:rFonts w:hint="eastAsia" w:ascii="Times New Roman" w:hAnsi="Times New Roman" w:eastAsia="宋体" w:cs="Times New Roman"/>
          <w:color w:val="auto"/>
          <w:sz w:val="24"/>
          <w:highlight w:val="none"/>
          <w:lang w:val="en-US" w:eastAsia="zh-CN" w:bidi="ar-SA"/>
        </w:rPr>
        <w:t>.</w:t>
      </w:r>
      <w:r>
        <w:rPr>
          <w:rFonts w:hint="eastAsia" w:cs="Times New Roman"/>
          <w:color w:val="auto"/>
          <w:sz w:val="24"/>
          <w:highlight w:val="none"/>
          <w:lang w:val="en-US" w:eastAsia="zh-CN" w:bidi="ar-SA"/>
        </w:rPr>
        <w:t>2</w:t>
      </w:r>
      <w:r>
        <w:rPr>
          <w:rFonts w:hint="eastAsia" w:ascii="Times New Roman" w:hAnsi="Times New Roman" w:eastAsia="宋体" w:cs="Times New Roman"/>
          <w:color w:val="auto"/>
          <w:sz w:val="24"/>
          <w:highlight w:val="none"/>
          <w:lang w:val="en-US" w:eastAsia="zh-CN" w:bidi="ar-SA"/>
        </w:rPr>
        <w:t>维护保养</w:t>
      </w:r>
    </w:p>
    <w:p w14:paraId="104C9189">
      <w:pPr>
        <w:numPr>
          <w:ilvl w:val="0"/>
          <w:numId w:val="0"/>
        </w:numPr>
        <w:spacing w:line="360" w:lineRule="auto"/>
        <w:ind w:leftChars="200"/>
        <w:outlineLvl w:val="2"/>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每周维护内容</w:t>
      </w:r>
    </w:p>
    <w:p w14:paraId="53FEEBF3">
      <w:pPr>
        <w:numPr>
          <w:ilvl w:val="0"/>
          <w:numId w:val="5"/>
        </w:numPr>
        <w:spacing w:line="360" w:lineRule="auto"/>
        <w:ind w:leftChars="0" w:firstLine="480" w:firstLineChars="200"/>
        <w:outlineLvl w:val="2"/>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保持整个设备系统干净整洁，每周至少打扫一次所有设备；</w:t>
      </w:r>
    </w:p>
    <w:p w14:paraId="4FA4B5E6">
      <w:pPr>
        <w:numPr>
          <w:ilvl w:val="0"/>
          <w:numId w:val="5"/>
        </w:numPr>
        <w:spacing w:line="360" w:lineRule="auto"/>
        <w:ind w:leftChars="0" w:firstLine="480" w:firstLineChars="200"/>
        <w:outlineLvl w:val="2"/>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每日查看试剂余量</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应及时更换或添加试剂</w:t>
      </w:r>
      <w:r>
        <w:rPr>
          <w:rFonts w:hint="eastAsia" w:ascii="Times New Roman" w:hAnsi="Times New Roman" w:eastAsia="宋体" w:cs="Times New Roman"/>
          <w:color w:val="auto"/>
          <w:sz w:val="24"/>
          <w:highlight w:val="none"/>
          <w:lang w:val="en-US" w:eastAsia="zh-CN"/>
        </w:rPr>
        <w:t>。</w:t>
      </w:r>
    </w:p>
    <w:p w14:paraId="6BE6D3C9">
      <w:pPr>
        <w:numPr>
          <w:ilvl w:val="0"/>
          <w:numId w:val="0"/>
        </w:numPr>
        <w:spacing w:line="360" w:lineRule="auto"/>
        <w:ind w:leftChars="200"/>
        <w:outlineLvl w:val="2"/>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每月维护内容</w:t>
      </w:r>
    </w:p>
    <w:p w14:paraId="1AFCAC6D">
      <w:pPr>
        <w:numPr>
          <w:ilvl w:val="0"/>
          <w:numId w:val="6"/>
        </w:numPr>
        <w:spacing w:line="360" w:lineRule="auto"/>
        <w:ind w:leftChars="200"/>
        <w:jc w:val="left"/>
        <w:outlineLvl w:val="2"/>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定期查看分析模块与进样器间的管路，定期清除进样针附着的沉积物。</w:t>
      </w:r>
    </w:p>
    <w:p w14:paraId="73D6D2EF">
      <w:pPr>
        <w:numPr>
          <w:ilvl w:val="0"/>
          <w:numId w:val="6"/>
        </w:numPr>
        <w:spacing w:line="360" w:lineRule="auto"/>
        <w:ind w:leftChars="200"/>
        <w:outlineLvl w:val="2"/>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清洁仪器外观（纯水机、废液系统）</w:t>
      </w:r>
      <w:r>
        <w:rPr>
          <w:rFonts w:hint="eastAsia" w:ascii="Times New Roman" w:hAnsi="Times New Roman" w:eastAsia="宋体" w:cs="Times New Roman"/>
          <w:color w:val="auto"/>
          <w:sz w:val="24"/>
          <w:highlight w:val="none"/>
          <w:lang w:val="en-US" w:eastAsia="zh-CN"/>
        </w:rPr>
        <w:t>，</w:t>
      </w:r>
      <w:r>
        <w:rPr>
          <w:rFonts w:hint="eastAsia" w:eastAsia="宋体" w:cs="Times New Roman"/>
          <w:color w:val="auto"/>
          <w:sz w:val="24"/>
          <w:highlight w:val="none"/>
        </w:rPr>
        <w:t>保持整个设备系统干净整洁</w:t>
      </w:r>
      <w:r>
        <w:rPr>
          <w:rFonts w:hint="eastAsia" w:eastAsia="宋体" w:cs="Times New Roman"/>
          <w:color w:val="auto"/>
          <w:sz w:val="24"/>
          <w:highlight w:val="none"/>
          <w:lang w:eastAsia="zh-CN"/>
        </w:rPr>
        <w:t>。</w:t>
      </w:r>
    </w:p>
    <w:p w14:paraId="4E1E5AF3">
      <w:pPr>
        <w:numPr>
          <w:ilvl w:val="0"/>
          <w:numId w:val="6"/>
        </w:numPr>
        <w:spacing w:line="360" w:lineRule="auto"/>
        <w:ind w:leftChars="200"/>
        <w:outlineLvl w:val="2"/>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清洗高锰仪器液位管；检查高锰搅拌子是否发黑，及时清洗。</w:t>
      </w:r>
    </w:p>
    <w:p w14:paraId="608FE53B">
      <w:pPr>
        <w:numPr>
          <w:ilvl w:val="0"/>
          <w:numId w:val="6"/>
        </w:numPr>
        <w:spacing w:line="360" w:lineRule="auto"/>
        <w:ind w:left="420" w:leftChars="200" w:firstLine="0" w:firstLineChars="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按照当月水样测试要求，完成相应仪器设备的曲线配制及标定，确保测试设备数据准确。</w:t>
      </w:r>
    </w:p>
    <w:p w14:paraId="7A6BFDD6">
      <w:pPr>
        <w:numPr>
          <w:ilvl w:val="0"/>
          <w:numId w:val="0"/>
        </w:numPr>
        <w:spacing w:line="360" w:lineRule="auto"/>
        <w:ind w:left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每季度维护内容</w:t>
      </w:r>
    </w:p>
    <w:p w14:paraId="34488B3B">
      <w:pPr>
        <w:numPr>
          <w:ilvl w:val="0"/>
          <w:numId w:val="7"/>
        </w:numPr>
        <w:spacing w:line="360" w:lineRule="auto"/>
        <w:ind w:left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检查设备试剂管、水样管，及时更换发黑管路。</w:t>
      </w:r>
    </w:p>
    <w:p w14:paraId="462A6D4D">
      <w:pPr>
        <w:numPr>
          <w:ilvl w:val="0"/>
          <w:numId w:val="7"/>
        </w:numPr>
        <w:spacing w:line="360" w:lineRule="auto"/>
        <w:ind w:leftChars="20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检查管件接口，</w:t>
      </w:r>
      <w:r>
        <w:rPr>
          <w:rFonts w:hint="default" w:ascii="Times New Roman" w:hAnsi="Times New Roman" w:eastAsia="宋体" w:cs="Times New Roman"/>
          <w:color w:val="auto"/>
          <w:sz w:val="24"/>
          <w:highlight w:val="none"/>
          <w:lang w:val="en-US" w:eastAsia="zh-CN"/>
        </w:rPr>
        <w:t>紧固三通、电源口、网口等管件接口</w:t>
      </w:r>
      <w:r>
        <w:rPr>
          <w:rFonts w:hint="eastAsia" w:ascii="Times New Roman" w:hAnsi="Times New Roman" w:eastAsia="宋体" w:cs="Times New Roman"/>
          <w:color w:val="auto"/>
          <w:sz w:val="24"/>
          <w:highlight w:val="none"/>
          <w:lang w:val="en-US" w:eastAsia="zh-CN"/>
        </w:rPr>
        <w:t>。</w:t>
      </w:r>
    </w:p>
    <w:p w14:paraId="7F656167">
      <w:pPr>
        <w:numPr>
          <w:ilvl w:val="0"/>
          <w:numId w:val="7"/>
        </w:numPr>
        <w:spacing w:line="360" w:lineRule="auto"/>
        <w:ind w:left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清洗所有仪器液位管</w:t>
      </w:r>
      <w:r>
        <w:rPr>
          <w:rFonts w:hint="eastAsia" w:ascii="Times New Roman" w:hAnsi="Times New Roman" w:eastAsia="宋体" w:cs="Times New Roman"/>
          <w:color w:val="auto"/>
          <w:sz w:val="24"/>
          <w:highlight w:val="none"/>
          <w:lang w:val="en-US" w:eastAsia="zh-CN"/>
        </w:rPr>
        <w:t>，保持干净。</w:t>
      </w:r>
    </w:p>
    <w:p w14:paraId="720FB732">
      <w:pPr>
        <w:numPr>
          <w:ilvl w:val="0"/>
          <w:numId w:val="0"/>
        </w:numPr>
        <w:spacing w:line="360" w:lineRule="auto"/>
        <w:ind w:left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每半年维护内容</w:t>
      </w:r>
    </w:p>
    <w:p w14:paraId="3FA45921">
      <w:pPr>
        <w:numPr>
          <w:ilvl w:val="0"/>
          <w:numId w:val="8"/>
        </w:numPr>
        <w:spacing w:line="360" w:lineRule="auto"/>
        <w:ind w:left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检查</w:t>
      </w:r>
      <w:r>
        <w:rPr>
          <w:rFonts w:hint="default" w:ascii="Times New Roman" w:hAnsi="Times New Roman" w:eastAsia="宋体" w:cs="Times New Roman"/>
          <w:color w:val="auto"/>
          <w:sz w:val="24"/>
          <w:highlight w:val="none"/>
          <w:lang w:val="en-US" w:eastAsia="zh-CN"/>
        </w:rPr>
        <w:t>上下样机器人、门丝杆上油</w:t>
      </w:r>
      <w:r>
        <w:rPr>
          <w:rFonts w:hint="eastAsia" w:ascii="Times New Roman" w:hAnsi="Times New Roman" w:eastAsia="宋体" w:cs="Times New Roman"/>
          <w:color w:val="auto"/>
          <w:sz w:val="24"/>
          <w:highlight w:val="none"/>
          <w:lang w:val="en-US" w:eastAsia="zh-CN"/>
        </w:rPr>
        <w:t>。</w:t>
      </w:r>
    </w:p>
    <w:p w14:paraId="05B257CA">
      <w:pPr>
        <w:numPr>
          <w:ilvl w:val="0"/>
          <w:numId w:val="8"/>
        </w:numPr>
        <w:spacing w:line="360" w:lineRule="auto"/>
        <w:ind w:leftChars="20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检查设备，</w:t>
      </w:r>
      <w:r>
        <w:rPr>
          <w:rFonts w:hint="default" w:ascii="Times New Roman" w:hAnsi="Times New Roman" w:eastAsia="宋体" w:cs="Times New Roman"/>
          <w:color w:val="auto"/>
          <w:sz w:val="24"/>
          <w:highlight w:val="none"/>
          <w:lang w:val="en-US" w:eastAsia="zh-CN"/>
        </w:rPr>
        <w:t>底座螺丝紧固；</w:t>
      </w:r>
    </w:p>
    <w:p w14:paraId="28300E09">
      <w:pPr>
        <w:numPr>
          <w:ilvl w:val="0"/>
          <w:numId w:val="8"/>
        </w:numPr>
        <w:spacing w:line="360" w:lineRule="auto"/>
        <w:ind w:left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检查锁扣紧密度；</w:t>
      </w:r>
    </w:p>
    <w:p w14:paraId="092C3FFA">
      <w:pPr>
        <w:numPr>
          <w:ilvl w:val="0"/>
          <w:numId w:val="8"/>
        </w:numPr>
        <w:spacing w:line="360" w:lineRule="auto"/>
        <w:ind w:left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检查传感器单点控制（样筐、零位、纯水、废液）；</w:t>
      </w:r>
    </w:p>
    <w:p w14:paraId="2BB28AE9">
      <w:pPr>
        <w:numPr>
          <w:ilvl w:val="0"/>
          <w:numId w:val="8"/>
        </w:numPr>
        <w:spacing w:line="360" w:lineRule="auto"/>
        <w:ind w:leftChars="20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检查</w:t>
      </w:r>
      <w:r>
        <w:rPr>
          <w:rFonts w:hint="default" w:ascii="Times New Roman" w:hAnsi="Times New Roman" w:eastAsia="宋体" w:cs="Times New Roman"/>
          <w:color w:val="auto"/>
          <w:sz w:val="24"/>
          <w:highlight w:val="none"/>
          <w:lang w:val="en-US" w:eastAsia="zh-CN"/>
        </w:rPr>
        <w:t>转盘螺丝紧固，清洗流水线履带。</w:t>
      </w:r>
    </w:p>
    <w:p w14:paraId="3E75FA4D">
      <w:pPr>
        <w:numPr>
          <w:ilvl w:val="0"/>
          <w:numId w:val="0"/>
        </w:numPr>
        <w:spacing w:line="360" w:lineRule="auto"/>
        <w:ind w:left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每年维护内容</w:t>
      </w:r>
    </w:p>
    <w:p w14:paraId="79E1D190">
      <w:pPr>
        <w:numPr>
          <w:ilvl w:val="0"/>
          <w:numId w:val="9"/>
        </w:numPr>
        <w:spacing w:line="360" w:lineRule="auto"/>
        <w:ind w:left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中控/上下样单元</w:t>
      </w:r>
      <w:r>
        <w:rPr>
          <w:rFonts w:hint="eastAsia" w:ascii="Times New Roman" w:hAnsi="Times New Roman" w:eastAsia="宋体" w:cs="Times New Roman"/>
          <w:color w:val="auto"/>
          <w:sz w:val="24"/>
          <w:highlight w:val="none"/>
          <w:lang w:val="en-US" w:eastAsia="zh-CN"/>
        </w:rPr>
        <w:t>：检查调整机械爪坐标；检查机械爪胶套是否磨损，及时更换；检查/更换线路；检查样品框灵敏度。</w:t>
      </w:r>
    </w:p>
    <w:p w14:paraId="7A803F70">
      <w:pPr>
        <w:numPr>
          <w:ilvl w:val="0"/>
          <w:numId w:val="9"/>
        </w:numPr>
        <w:spacing w:line="360" w:lineRule="auto"/>
        <w:ind w:leftChars="200"/>
        <w:rPr>
          <w:rFonts w:hint="eastAsia"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流转单元</w:t>
      </w:r>
      <w:r>
        <w:rPr>
          <w:rFonts w:hint="eastAsia" w:ascii="Times New Roman" w:hAnsi="Times New Roman" w:eastAsia="宋体" w:cs="Times New Roman"/>
          <w:color w:val="auto"/>
          <w:sz w:val="24"/>
          <w:highlight w:val="none"/>
          <w:lang w:val="en-US" w:eastAsia="zh-CN"/>
        </w:rPr>
        <w:t>：坐标检查（履带、零位、工位）；检查调整龙门架/电推杆；</w:t>
      </w:r>
    </w:p>
    <w:p w14:paraId="5800909E">
      <w:pPr>
        <w:numPr>
          <w:ilvl w:val="0"/>
          <w:numId w:val="0"/>
        </w:num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检查链条弹度。</w:t>
      </w:r>
    </w:p>
    <w:p w14:paraId="228BB9E1">
      <w:pPr>
        <w:numPr>
          <w:ilvl w:val="0"/>
          <w:numId w:val="9"/>
        </w:numPr>
        <w:spacing w:line="360" w:lineRule="auto"/>
        <w:ind w:left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进样/检测单元</w:t>
      </w:r>
      <w:r>
        <w:rPr>
          <w:rFonts w:hint="eastAsia" w:ascii="Times New Roman" w:hAnsi="Times New Roman" w:eastAsia="宋体" w:cs="Times New Roman"/>
          <w:color w:val="auto"/>
          <w:sz w:val="24"/>
          <w:highlight w:val="none"/>
          <w:lang w:val="en-US" w:eastAsia="zh-CN"/>
        </w:rPr>
        <w:t>：清洗和更换试剂/样品管路；调整与更换进样针；清洗与更换测池/液位管/电磁阀；检查进样推杆位置与灵敏度</w:t>
      </w:r>
    </w:p>
    <w:p w14:paraId="105AB93B">
      <w:pPr>
        <w:numPr>
          <w:ilvl w:val="0"/>
          <w:numId w:val="9"/>
        </w:numPr>
        <w:spacing w:line="360" w:lineRule="auto"/>
        <w:ind w:left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纯水/试剂供应单元</w:t>
      </w:r>
      <w:r>
        <w:rPr>
          <w:rFonts w:hint="eastAsia" w:ascii="Times New Roman" w:hAnsi="Times New Roman" w:eastAsia="宋体" w:cs="Times New Roman"/>
          <w:color w:val="auto"/>
          <w:sz w:val="24"/>
          <w:highlight w:val="none"/>
          <w:lang w:val="en-US" w:eastAsia="zh-CN"/>
        </w:rPr>
        <w:t>：清洗纯水管路；检查试剂冰箱性能；检查纯水机状态及供水水质；更换纯水机滤芯。</w:t>
      </w:r>
    </w:p>
    <w:p w14:paraId="4B185C3E">
      <w:pPr>
        <w:numPr>
          <w:ilvl w:val="0"/>
          <w:numId w:val="9"/>
        </w:numPr>
        <w:spacing w:line="360" w:lineRule="auto"/>
        <w:ind w:left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废液处理单元</w:t>
      </w:r>
      <w:r>
        <w:rPr>
          <w:rFonts w:hint="eastAsia" w:ascii="Times New Roman" w:hAnsi="Times New Roman" w:eastAsia="宋体" w:cs="Times New Roman"/>
          <w:color w:val="auto"/>
          <w:sz w:val="24"/>
          <w:highlight w:val="none"/>
          <w:lang w:val="en-US" w:eastAsia="zh-CN"/>
        </w:rPr>
        <w:t>：检查更换泵管；检查与校准pH计；检查液位感应器灵敏度。</w:t>
      </w:r>
    </w:p>
    <w:p w14:paraId="2935C9EE">
      <w:pPr>
        <w:numPr>
          <w:ilvl w:val="0"/>
          <w:numId w:val="0"/>
        </w:numPr>
        <w:spacing w:line="360" w:lineRule="auto"/>
        <w:ind w:firstLine="480"/>
        <w:rPr>
          <w:rFonts w:hint="eastAsia" w:cs="Times New Roman"/>
          <w:color w:val="auto"/>
          <w:sz w:val="24"/>
          <w:highlight w:val="none"/>
          <w:lang w:val="en-US" w:eastAsia="zh-CN"/>
        </w:rPr>
      </w:pPr>
      <w:r>
        <w:rPr>
          <w:rFonts w:hint="eastAsia" w:cs="Times New Roman"/>
          <w:color w:val="auto"/>
          <w:sz w:val="24"/>
          <w:highlight w:val="none"/>
          <w:lang w:val="en-US" w:eastAsia="zh-CN"/>
        </w:rPr>
        <w:t>1.5.3仪器故障及维修</w:t>
      </w:r>
    </w:p>
    <w:p w14:paraId="3580B32B">
      <w:pPr>
        <w:numPr>
          <w:ilvl w:val="0"/>
          <w:numId w:val="0"/>
        </w:numPr>
        <w:spacing w:line="360" w:lineRule="auto"/>
        <w:ind w:leftChars="0" w:firstLine="480" w:firstLineChars="200"/>
        <w:rPr>
          <w:rFonts w:hint="eastAsia" w:eastAsia="宋体" w:cs="Times New Roman"/>
          <w:color w:val="auto"/>
          <w:sz w:val="24"/>
          <w:highlight w:val="none"/>
        </w:rPr>
      </w:pPr>
      <w:r>
        <w:rPr>
          <w:rFonts w:hint="eastAsia" w:cs="Times New Roman"/>
          <w:color w:val="auto"/>
          <w:sz w:val="24"/>
          <w:highlight w:val="none"/>
          <w:lang w:eastAsia="zh-CN"/>
        </w:rPr>
        <w:t>（</w:t>
      </w:r>
      <w:r>
        <w:rPr>
          <w:rFonts w:hint="eastAsia" w:cs="Times New Roman"/>
          <w:color w:val="auto"/>
          <w:sz w:val="24"/>
          <w:highlight w:val="none"/>
          <w:lang w:val="en-US" w:eastAsia="zh-CN"/>
        </w:rPr>
        <w:t>1</w:t>
      </w:r>
      <w:r>
        <w:rPr>
          <w:rFonts w:hint="eastAsia" w:cs="Times New Roman"/>
          <w:color w:val="auto"/>
          <w:sz w:val="24"/>
          <w:highlight w:val="none"/>
          <w:lang w:eastAsia="zh-CN"/>
        </w:rPr>
        <w:t>）供应商</w:t>
      </w:r>
      <w:r>
        <w:rPr>
          <w:rFonts w:hint="eastAsia" w:eastAsia="宋体" w:cs="Times New Roman"/>
          <w:color w:val="auto"/>
          <w:sz w:val="24"/>
          <w:highlight w:val="none"/>
        </w:rPr>
        <w:t>接到报修电话，1小时内响应，24小时内处理完毕。</w:t>
      </w:r>
    </w:p>
    <w:p w14:paraId="02774875">
      <w:pPr>
        <w:numPr>
          <w:ilvl w:val="0"/>
          <w:numId w:val="0"/>
        </w:numPr>
        <w:spacing w:line="360" w:lineRule="auto"/>
        <w:ind w:leftChars="0" w:firstLine="480" w:firstLineChars="200"/>
        <w:rPr>
          <w:rFonts w:hint="eastAsia" w:eastAsia="宋体" w:cs="Times New Roman"/>
          <w:color w:val="auto"/>
          <w:sz w:val="24"/>
          <w:highlight w:val="none"/>
        </w:rPr>
      </w:pPr>
      <w:r>
        <w:rPr>
          <w:rFonts w:hint="eastAsia" w:cs="Times New Roman"/>
          <w:color w:val="auto"/>
          <w:sz w:val="24"/>
          <w:highlight w:val="none"/>
          <w:lang w:eastAsia="zh-CN"/>
        </w:rPr>
        <w:t>（</w:t>
      </w:r>
      <w:r>
        <w:rPr>
          <w:rFonts w:hint="eastAsia" w:cs="Times New Roman"/>
          <w:color w:val="auto"/>
          <w:sz w:val="24"/>
          <w:highlight w:val="none"/>
          <w:lang w:val="en-US" w:eastAsia="zh-CN"/>
        </w:rPr>
        <w:t>2</w:t>
      </w:r>
      <w:r>
        <w:rPr>
          <w:rFonts w:hint="eastAsia" w:cs="Times New Roman"/>
          <w:color w:val="auto"/>
          <w:sz w:val="24"/>
          <w:highlight w:val="none"/>
          <w:lang w:eastAsia="zh-CN"/>
        </w:rPr>
        <w:t>）</w:t>
      </w:r>
      <w:r>
        <w:rPr>
          <w:rFonts w:hint="eastAsia" w:eastAsia="宋体" w:cs="Times New Roman"/>
          <w:color w:val="auto"/>
          <w:sz w:val="24"/>
          <w:highlight w:val="none"/>
        </w:rPr>
        <w:t>对于疑难故障问题需联系厂家售后部门维修的，设备的修复时间以厂家维修进度为准。</w:t>
      </w:r>
    </w:p>
    <w:p w14:paraId="3C921B55">
      <w:pPr>
        <w:numPr>
          <w:ilvl w:val="0"/>
          <w:numId w:val="0"/>
        </w:numPr>
        <w:spacing w:line="360" w:lineRule="auto"/>
        <w:ind w:leftChars="0" w:firstLine="480" w:firstLineChars="200"/>
        <w:rPr>
          <w:rFonts w:hint="eastAsia" w:eastAsia="宋体" w:cs="Times New Roman"/>
          <w:color w:val="auto"/>
          <w:sz w:val="24"/>
          <w:highlight w:val="none"/>
        </w:rPr>
      </w:pPr>
      <w:r>
        <w:rPr>
          <w:rFonts w:hint="eastAsia" w:cs="Times New Roman"/>
          <w:color w:val="auto"/>
          <w:sz w:val="24"/>
          <w:highlight w:val="none"/>
          <w:lang w:eastAsia="zh-CN"/>
        </w:rPr>
        <w:t>（</w:t>
      </w:r>
      <w:r>
        <w:rPr>
          <w:rFonts w:hint="eastAsia" w:cs="Times New Roman"/>
          <w:color w:val="auto"/>
          <w:sz w:val="24"/>
          <w:highlight w:val="none"/>
          <w:lang w:val="en-US" w:eastAsia="zh-CN"/>
        </w:rPr>
        <w:t>3</w:t>
      </w:r>
      <w:r>
        <w:rPr>
          <w:rFonts w:hint="eastAsia" w:cs="Times New Roman"/>
          <w:color w:val="auto"/>
          <w:sz w:val="24"/>
          <w:highlight w:val="none"/>
          <w:lang w:eastAsia="zh-CN"/>
        </w:rPr>
        <w:t>）</w:t>
      </w:r>
      <w:r>
        <w:rPr>
          <w:rFonts w:hint="eastAsia" w:eastAsia="宋体" w:cs="Times New Roman"/>
          <w:color w:val="auto"/>
          <w:sz w:val="24"/>
          <w:highlight w:val="none"/>
        </w:rPr>
        <w:t>确保</w:t>
      </w:r>
      <w:r>
        <w:rPr>
          <w:rFonts w:hint="eastAsia" w:cs="Times New Roman"/>
          <w:color w:val="auto"/>
          <w:sz w:val="24"/>
          <w:highlight w:val="none"/>
          <w:lang w:eastAsia="zh-CN"/>
        </w:rPr>
        <w:t>运维</w:t>
      </w:r>
      <w:r>
        <w:rPr>
          <w:rFonts w:hint="eastAsia" w:eastAsia="宋体" w:cs="Times New Roman"/>
          <w:color w:val="auto"/>
          <w:sz w:val="24"/>
          <w:highlight w:val="none"/>
        </w:rPr>
        <w:t>工程师对专业技术熟练，对安全规范操作熟知，避免造成设备损坏或财产损失。</w:t>
      </w:r>
    </w:p>
    <w:p w14:paraId="287397A8">
      <w:pPr>
        <w:numPr>
          <w:ilvl w:val="0"/>
          <w:numId w:val="0"/>
        </w:numPr>
        <w:spacing w:line="360" w:lineRule="auto"/>
        <w:ind w:leftChars="0" w:firstLine="480" w:firstLineChars="200"/>
        <w:rPr>
          <w:rFonts w:eastAsia="宋体" w:cs="Times New Roman"/>
          <w:color w:val="auto"/>
          <w:sz w:val="24"/>
          <w:highlight w:val="none"/>
        </w:rPr>
      </w:pPr>
      <w:r>
        <w:rPr>
          <w:rFonts w:hint="eastAsia" w:cs="Times New Roman"/>
          <w:color w:val="auto"/>
          <w:sz w:val="24"/>
          <w:highlight w:val="none"/>
          <w:lang w:eastAsia="zh-CN"/>
        </w:rPr>
        <w:t>（</w:t>
      </w:r>
      <w:r>
        <w:rPr>
          <w:rFonts w:hint="eastAsia" w:cs="Times New Roman"/>
          <w:color w:val="auto"/>
          <w:sz w:val="24"/>
          <w:highlight w:val="none"/>
          <w:lang w:val="en-US" w:eastAsia="zh-CN"/>
        </w:rPr>
        <w:t>4</w:t>
      </w:r>
      <w:r>
        <w:rPr>
          <w:rFonts w:hint="eastAsia" w:cs="Times New Roman"/>
          <w:color w:val="auto"/>
          <w:sz w:val="24"/>
          <w:highlight w:val="none"/>
          <w:lang w:eastAsia="zh-CN"/>
        </w:rPr>
        <w:t>）</w:t>
      </w:r>
      <w:r>
        <w:rPr>
          <w:rFonts w:hint="eastAsia" w:eastAsia="宋体" w:cs="Times New Roman"/>
          <w:color w:val="auto"/>
          <w:sz w:val="24"/>
          <w:highlight w:val="none"/>
        </w:rPr>
        <w:t>疑难故障维修过程需要厂家售后的，由</w:t>
      </w:r>
      <w:r>
        <w:rPr>
          <w:rFonts w:hint="eastAsia" w:cs="Times New Roman"/>
          <w:color w:val="auto"/>
          <w:sz w:val="24"/>
          <w:highlight w:val="none"/>
          <w:lang w:eastAsia="zh-CN"/>
        </w:rPr>
        <w:t>供应商</w:t>
      </w:r>
      <w:r>
        <w:rPr>
          <w:rFonts w:hint="eastAsia" w:eastAsia="宋体" w:cs="Times New Roman"/>
          <w:color w:val="auto"/>
          <w:sz w:val="24"/>
          <w:highlight w:val="none"/>
        </w:rPr>
        <w:t>负责联系厂家，其中包含仪器的供应商售后服务人员与仪器生产厂家售后部门等。</w:t>
      </w:r>
    </w:p>
    <w:p w14:paraId="4D9431D9">
      <w:pPr>
        <w:numPr>
          <w:ilvl w:val="0"/>
          <w:numId w:val="0"/>
        </w:numPr>
        <w:spacing w:line="360" w:lineRule="auto"/>
        <w:ind w:firstLine="480"/>
        <w:rPr>
          <w:rFonts w:hint="default" w:cs="Times New Roman"/>
          <w:color w:val="auto"/>
          <w:sz w:val="24"/>
          <w:highlight w:val="none"/>
          <w:lang w:val="en-US" w:eastAsia="zh-CN"/>
        </w:rPr>
      </w:pPr>
      <w:r>
        <w:rPr>
          <w:rFonts w:hint="eastAsia" w:cs="Times New Roman"/>
          <w:color w:val="auto"/>
          <w:sz w:val="24"/>
          <w:highlight w:val="none"/>
          <w:lang w:val="en-US" w:eastAsia="zh-CN"/>
        </w:rPr>
        <w:t>（5）仪器设备维修需要更换零部件或提供备用设备时，须购买符合要求的原厂配件，相关更换费用由供应商承担。</w:t>
      </w:r>
    </w:p>
    <w:p w14:paraId="28AB7A0B">
      <w:pPr>
        <w:numPr>
          <w:ilvl w:val="0"/>
          <w:numId w:val="0"/>
        </w:numPr>
        <w:spacing w:line="360" w:lineRule="auto"/>
        <w:ind w:firstLine="480"/>
        <w:rPr>
          <w:rFonts w:hint="eastAsia" w:cs="Times New Roman"/>
          <w:color w:val="auto"/>
          <w:sz w:val="24"/>
          <w:highlight w:val="none"/>
          <w:lang w:val="en-US" w:eastAsia="zh-CN"/>
        </w:rPr>
      </w:pPr>
      <w:r>
        <w:rPr>
          <w:rFonts w:hint="eastAsia" w:cs="Times New Roman"/>
          <w:color w:val="auto"/>
          <w:sz w:val="24"/>
          <w:highlight w:val="none"/>
          <w:lang w:val="en-US" w:eastAsia="zh-CN"/>
        </w:rPr>
        <w:t>1.5.4智慧实验室设备清单（如遇设备更新或升级，以实际为准）</w:t>
      </w:r>
    </w:p>
    <w:tbl>
      <w:tblPr>
        <w:tblStyle w:val="34"/>
        <w:tblW w:w="8637"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108" w:type="dxa"/>
          <w:bottom w:w="0" w:type="dxa"/>
          <w:right w:w="108" w:type="dxa"/>
        </w:tblCellMar>
      </w:tblPr>
      <w:tblGrid>
        <w:gridCol w:w="832"/>
        <w:gridCol w:w="2800"/>
        <w:gridCol w:w="966"/>
        <w:gridCol w:w="994"/>
        <w:gridCol w:w="3045"/>
      </w:tblGrid>
      <w:tr w14:paraId="0EFCA1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842" w:hRule="atLeast"/>
        </w:trPr>
        <w:tc>
          <w:tcPr>
            <w:tcW w:w="832" w:type="dxa"/>
            <w:tcBorders>
              <w:tl2br w:val="nil"/>
              <w:tr2bl w:val="nil"/>
            </w:tcBorders>
            <w:shd w:val="clear" w:color="auto" w:fill="auto"/>
            <w:vAlign w:val="center"/>
          </w:tcPr>
          <w:p w14:paraId="1CDDCDCB">
            <w:pPr>
              <w:keepNext w:val="0"/>
              <w:keepLines w:val="0"/>
              <w:widowControl/>
              <w:suppressLineNumbers w:val="0"/>
              <w:spacing w:line="360" w:lineRule="auto"/>
              <w:jc w:val="center"/>
              <w:textAlignment w:val="center"/>
              <w:rPr>
                <w:rFonts w:hint="default" w:ascii="Times New Roman" w:hAnsi="Times New Roman" w:eastAsia="方正仿宋_GB2312" w:cs="Times New Roman"/>
                <w:b/>
                <w:bCs/>
                <w:i w:val="0"/>
                <w:iCs w:val="0"/>
                <w:color w:val="auto"/>
                <w:sz w:val="21"/>
                <w:szCs w:val="21"/>
                <w:highlight w:val="none"/>
                <w:u w:val="none"/>
                <w:lang w:val="en-US" w:eastAsia="zh-CN"/>
              </w:rPr>
            </w:pPr>
            <w:r>
              <w:rPr>
                <w:rFonts w:hint="default" w:ascii="Times New Roman" w:hAnsi="Times New Roman" w:eastAsia="方正仿宋_GB2312" w:cs="Times New Roman"/>
                <w:b/>
                <w:bCs/>
                <w:i w:val="0"/>
                <w:iCs w:val="0"/>
                <w:color w:val="auto"/>
                <w:sz w:val="21"/>
                <w:szCs w:val="21"/>
                <w:highlight w:val="none"/>
                <w:u w:val="none"/>
                <w:lang w:val="en-US" w:eastAsia="zh-CN"/>
              </w:rPr>
              <w:t>序号</w:t>
            </w:r>
          </w:p>
        </w:tc>
        <w:tc>
          <w:tcPr>
            <w:tcW w:w="2800" w:type="dxa"/>
            <w:tcBorders>
              <w:tl2br w:val="nil"/>
              <w:tr2bl w:val="nil"/>
            </w:tcBorders>
            <w:shd w:val="clear" w:color="auto" w:fill="auto"/>
            <w:vAlign w:val="center"/>
          </w:tcPr>
          <w:p w14:paraId="6D1088B4">
            <w:pPr>
              <w:keepNext w:val="0"/>
              <w:keepLines w:val="0"/>
              <w:widowControl/>
              <w:suppressLineNumbers w:val="0"/>
              <w:spacing w:line="360" w:lineRule="auto"/>
              <w:jc w:val="center"/>
              <w:textAlignment w:val="center"/>
              <w:rPr>
                <w:rFonts w:hint="default" w:ascii="Times New Roman" w:hAnsi="Times New Roman" w:eastAsia="方正仿宋_GB2312" w:cs="Times New Roman"/>
                <w:b/>
                <w:bCs/>
                <w:i w:val="0"/>
                <w:iCs w:val="0"/>
                <w:color w:val="auto"/>
                <w:sz w:val="21"/>
                <w:szCs w:val="21"/>
                <w:highlight w:val="none"/>
                <w:u w:val="none"/>
              </w:rPr>
            </w:pPr>
            <w:r>
              <w:rPr>
                <w:rFonts w:hint="default" w:ascii="Times New Roman" w:hAnsi="Times New Roman" w:eastAsia="方正仿宋_GB2312" w:cs="Times New Roman"/>
                <w:b/>
                <w:bCs/>
                <w:i w:val="0"/>
                <w:iCs w:val="0"/>
                <w:color w:val="auto"/>
                <w:kern w:val="0"/>
                <w:sz w:val="21"/>
                <w:szCs w:val="21"/>
                <w:highlight w:val="none"/>
                <w:u w:val="none"/>
                <w:lang w:val="en-US" w:eastAsia="zh-CN" w:bidi="ar"/>
              </w:rPr>
              <w:t>设备</w:t>
            </w:r>
          </w:p>
        </w:tc>
        <w:tc>
          <w:tcPr>
            <w:tcW w:w="966" w:type="dxa"/>
            <w:tcBorders>
              <w:tl2br w:val="nil"/>
              <w:tr2bl w:val="nil"/>
            </w:tcBorders>
            <w:shd w:val="clear" w:color="auto" w:fill="auto"/>
            <w:vAlign w:val="center"/>
          </w:tcPr>
          <w:p w14:paraId="48479449">
            <w:pPr>
              <w:keepNext w:val="0"/>
              <w:keepLines w:val="0"/>
              <w:widowControl/>
              <w:suppressLineNumbers w:val="0"/>
              <w:spacing w:line="360" w:lineRule="auto"/>
              <w:jc w:val="center"/>
              <w:textAlignment w:val="center"/>
              <w:rPr>
                <w:rFonts w:hint="default" w:ascii="Times New Roman" w:hAnsi="Times New Roman" w:eastAsia="方正仿宋_GB2312" w:cs="Times New Roman"/>
                <w:b/>
                <w:bCs/>
                <w:i w:val="0"/>
                <w:iCs w:val="0"/>
                <w:color w:val="auto"/>
                <w:sz w:val="21"/>
                <w:szCs w:val="21"/>
                <w:highlight w:val="none"/>
                <w:u w:val="none"/>
              </w:rPr>
            </w:pPr>
            <w:r>
              <w:rPr>
                <w:rFonts w:hint="default" w:ascii="Times New Roman" w:hAnsi="Times New Roman" w:eastAsia="方正仿宋_GB2312" w:cs="Times New Roman"/>
                <w:b/>
                <w:bCs/>
                <w:i w:val="0"/>
                <w:iCs w:val="0"/>
                <w:color w:val="auto"/>
                <w:kern w:val="0"/>
                <w:sz w:val="21"/>
                <w:szCs w:val="21"/>
                <w:highlight w:val="none"/>
                <w:u w:val="none"/>
                <w:lang w:val="en-US" w:eastAsia="zh-CN" w:bidi="ar"/>
              </w:rPr>
              <w:t>规格</w:t>
            </w:r>
          </w:p>
        </w:tc>
        <w:tc>
          <w:tcPr>
            <w:tcW w:w="994" w:type="dxa"/>
            <w:tcBorders>
              <w:tl2br w:val="nil"/>
              <w:tr2bl w:val="nil"/>
            </w:tcBorders>
            <w:shd w:val="clear" w:color="auto" w:fill="auto"/>
            <w:vAlign w:val="center"/>
          </w:tcPr>
          <w:p w14:paraId="12655EFB">
            <w:pPr>
              <w:keepNext w:val="0"/>
              <w:keepLines w:val="0"/>
              <w:widowControl/>
              <w:suppressLineNumbers w:val="0"/>
              <w:spacing w:line="360" w:lineRule="auto"/>
              <w:jc w:val="center"/>
              <w:textAlignment w:val="center"/>
              <w:rPr>
                <w:rFonts w:hint="default" w:ascii="Times New Roman" w:hAnsi="Times New Roman" w:eastAsia="方正仿宋_GB2312" w:cs="Times New Roman"/>
                <w:b/>
                <w:bCs/>
                <w:i w:val="0"/>
                <w:iCs w:val="0"/>
                <w:color w:val="auto"/>
                <w:sz w:val="21"/>
                <w:szCs w:val="21"/>
                <w:highlight w:val="none"/>
                <w:u w:val="none"/>
              </w:rPr>
            </w:pPr>
            <w:r>
              <w:rPr>
                <w:rFonts w:hint="default" w:ascii="Times New Roman" w:hAnsi="Times New Roman" w:eastAsia="方正仿宋_GB2312" w:cs="Times New Roman"/>
                <w:b/>
                <w:bCs/>
                <w:i w:val="0"/>
                <w:iCs w:val="0"/>
                <w:color w:val="auto"/>
                <w:kern w:val="0"/>
                <w:sz w:val="21"/>
                <w:szCs w:val="21"/>
                <w:highlight w:val="none"/>
                <w:u w:val="none"/>
                <w:lang w:val="en-US" w:eastAsia="zh-CN" w:bidi="ar"/>
              </w:rPr>
              <w:t>数量</w:t>
            </w:r>
          </w:p>
        </w:tc>
        <w:tc>
          <w:tcPr>
            <w:tcW w:w="3045" w:type="dxa"/>
            <w:tcBorders>
              <w:tl2br w:val="nil"/>
              <w:tr2bl w:val="nil"/>
            </w:tcBorders>
            <w:shd w:val="clear" w:color="auto" w:fill="auto"/>
            <w:vAlign w:val="center"/>
          </w:tcPr>
          <w:p w14:paraId="7F6B5BB8">
            <w:pPr>
              <w:keepNext w:val="0"/>
              <w:keepLines w:val="0"/>
              <w:widowControl/>
              <w:suppressLineNumbers w:val="0"/>
              <w:spacing w:line="360" w:lineRule="auto"/>
              <w:jc w:val="center"/>
              <w:textAlignment w:val="center"/>
              <w:rPr>
                <w:rFonts w:hint="default" w:ascii="Times New Roman" w:hAnsi="Times New Roman" w:eastAsia="方正仿宋_GB2312" w:cs="Times New Roman"/>
                <w:b/>
                <w:bCs/>
                <w:i w:val="0"/>
                <w:iCs w:val="0"/>
                <w:color w:val="auto"/>
                <w:sz w:val="21"/>
                <w:szCs w:val="21"/>
                <w:highlight w:val="none"/>
                <w:u w:val="none"/>
              </w:rPr>
            </w:pPr>
            <w:r>
              <w:rPr>
                <w:rFonts w:hint="default" w:ascii="Times New Roman" w:hAnsi="Times New Roman" w:eastAsia="方正仿宋_GB2312" w:cs="Times New Roman"/>
                <w:b/>
                <w:bCs/>
                <w:i w:val="0"/>
                <w:iCs w:val="0"/>
                <w:color w:val="auto"/>
                <w:kern w:val="0"/>
                <w:sz w:val="21"/>
                <w:szCs w:val="21"/>
                <w:highlight w:val="none"/>
                <w:u w:val="none"/>
                <w:lang w:val="en-US" w:eastAsia="zh-CN" w:bidi="ar"/>
              </w:rPr>
              <w:t>型号</w:t>
            </w:r>
          </w:p>
        </w:tc>
      </w:tr>
      <w:tr w14:paraId="1E27CE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6AC1B93B">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2800" w:type="dxa"/>
            <w:vMerge w:val="restart"/>
            <w:tcBorders>
              <w:tl2br w:val="nil"/>
              <w:tr2bl w:val="nil"/>
            </w:tcBorders>
            <w:shd w:val="clear" w:color="auto" w:fill="auto"/>
            <w:noWrap/>
            <w:vAlign w:val="center"/>
          </w:tcPr>
          <w:p w14:paraId="6186E923">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上下样单元</w:t>
            </w:r>
          </w:p>
        </w:tc>
        <w:tc>
          <w:tcPr>
            <w:tcW w:w="966" w:type="dxa"/>
            <w:vMerge w:val="restart"/>
            <w:tcBorders>
              <w:tl2br w:val="nil"/>
              <w:tr2bl w:val="nil"/>
            </w:tcBorders>
            <w:shd w:val="clear" w:color="auto" w:fill="auto"/>
            <w:noWrap/>
            <w:vAlign w:val="center"/>
          </w:tcPr>
          <w:p w14:paraId="3C5357A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套</w:t>
            </w:r>
          </w:p>
        </w:tc>
        <w:tc>
          <w:tcPr>
            <w:tcW w:w="994" w:type="dxa"/>
            <w:vMerge w:val="restart"/>
            <w:tcBorders>
              <w:tl2br w:val="nil"/>
              <w:tr2bl w:val="nil"/>
            </w:tcBorders>
            <w:shd w:val="clear" w:color="auto" w:fill="auto"/>
            <w:noWrap/>
            <w:vAlign w:val="center"/>
          </w:tcPr>
          <w:p w14:paraId="6F552FE7">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7D44A69C">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/IDLIN700</w:t>
            </w:r>
          </w:p>
        </w:tc>
      </w:tr>
      <w:tr w14:paraId="723B63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255D52BA">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524ECB9F">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4BE439DB">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317D5BFB">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588D2036">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2B6E19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4CEC6AD3">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2</w:t>
            </w:r>
          </w:p>
        </w:tc>
        <w:tc>
          <w:tcPr>
            <w:tcW w:w="2800" w:type="dxa"/>
            <w:vMerge w:val="restart"/>
            <w:tcBorders>
              <w:tl2br w:val="nil"/>
              <w:tr2bl w:val="nil"/>
            </w:tcBorders>
            <w:shd w:val="clear" w:color="auto" w:fill="auto"/>
            <w:vAlign w:val="center"/>
          </w:tcPr>
          <w:p w14:paraId="7268667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全自动样品</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传送系统</w:t>
            </w:r>
          </w:p>
        </w:tc>
        <w:tc>
          <w:tcPr>
            <w:tcW w:w="966" w:type="dxa"/>
            <w:vMerge w:val="restart"/>
            <w:tcBorders>
              <w:tl2br w:val="nil"/>
              <w:tr2bl w:val="nil"/>
            </w:tcBorders>
            <w:shd w:val="clear" w:color="auto" w:fill="auto"/>
            <w:noWrap/>
            <w:vAlign w:val="center"/>
          </w:tcPr>
          <w:p w14:paraId="3665CBA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条</w:t>
            </w:r>
          </w:p>
        </w:tc>
        <w:tc>
          <w:tcPr>
            <w:tcW w:w="994" w:type="dxa"/>
            <w:vMerge w:val="restart"/>
            <w:tcBorders>
              <w:tl2br w:val="nil"/>
              <w:tr2bl w:val="nil"/>
            </w:tcBorders>
            <w:shd w:val="clear" w:color="auto" w:fill="auto"/>
            <w:noWrap/>
            <w:vAlign w:val="center"/>
          </w:tcPr>
          <w:p w14:paraId="7BB5F80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05AB311B">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力合科技/IDLIN700</w:t>
            </w:r>
          </w:p>
        </w:tc>
      </w:tr>
      <w:tr w14:paraId="29F284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2B86C15F">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vAlign w:val="center"/>
          </w:tcPr>
          <w:p w14:paraId="1BD71A91">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5CCFB9AB">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60E4330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574466E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391A58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154A126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3</w:t>
            </w:r>
          </w:p>
        </w:tc>
        <w:tc>
          <w:tcPr>
            <w:tcW w:w="2800" w:type="dxa"/>
            <w:vMerge w:val="restart"/>
            <w:tcBorders>
              <w:tl2br w:val="nil"/>
              <w:tr2bl w:val="nil"/>
            </w:tcBorders>
            <w:shd w:val="clear" w:color="auto" w:fill="auto"/>
            <w:vAlign w:val="center"/>
          </w:tcPr>
          <w:p w14:paraId="67EBDAA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全自动进样系统</w:t>
            </w:r>
          </w:p>
        </w:tc>
        <w:tc>
          <w:tcPr>
            <w:tcW w:w="966" w:type="dxa"/>
            <w:vMerge w:val="restart"/>
            <w:tcBorders>
              <w:tl2br w:val="nil"/>
              <w:tr2bl w:val="nil"/>
            </w:tcBorders>
            <w:shd w:val="clear" w:color="auto" w:fill="auto"/>
            <w:noWrap/>
            <w:vAlign w:val="center"/>
          </w:tcPr>
          <w:p w14:paraId="5E8441F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套</w:t>
            </w:r>
          </w:p>
        </w:tc>
        <w:tc>
          <w:tcPr>
            <w:tcW w:w="994" w:type="dxa"/>
            <w:vMerge w:val="restart"/>
            <w:tcBorders>
              <w:tl2br w:val="nil"/>
              <w:tr2bl w:val="nil"/>
            </w:tcBorders>
            <w:shd w:val="clear" w:color="auto" w:fill="auto"/>
            <w:noWrap/>
            <w:vAlign w:val="center"/>
          </w:tcPr>
          <w:p w14:paraId="1C4A1925">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10</w:t>
            </w:r>
          </w:p>
        </w:tc>
        <w:tc>
          <w:tcPr>
            <w:tcW w:w="3045" w:type="dxa"/>
            <w:vMerge w:val="restart"/>
            <w:tcBorders>
              <w:tl2br w:val="nil"/>
              <w:tr2bl w:val="nil"/>
            </w:tcBorders>
            <w:shd w:val="clear" w:color="auto" w:fill="auto"/>
            <w:vAlign w:val="center"/>
          </w:tcPr>
          <w:p w14:paraId="374E691B">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力合科技/IDLIN700</w:t>
            </w:r>
          </w:p>
        </w:tc>
      </w:tr>
      <w:tr w14:paraId="562F92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79" w:hRule="atLeast"/>
        </w:trPr>
        <w:tc>
          <w:tcPr>
            <w:tcW w:w="832" w:type="dxa"/>
            <w:vMerge w:val="continue"/>
            <w:tcBorders>
              <w:tl2br w:val="nil"/>
              <w:tr2bl w:val="nil"/>
            </w:tcBorders>
            <w:shd w:val="clear" w:color="auto" w:fill="auto"/>
            <w:noWrap/>
            <w:vAlign w:val="center"/>
          </w:tcPr>
          <w:p w14:paraId="3F5FF429">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vAlign w:val="center"/>
          </w:tcPr>
          <w:p w14:paraId="1C95CF3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5B88A8B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6E572066">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759B5237">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08BBFA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3B550A16">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4</w:t>
            </w:r>
          </w:p>
        </w:tc>
        <w:tc>
          <w:tcPr>
            <w:tcW w:w="2800" w:type="dxa"/>
            <w:vMerge w:val="restart"/>
            <w:tcBorders>
              <w:tl2br w:val="nil"/>
              <w:tr2bl w:val="nil"/>
            </w:tcBorders>
            <w:shd w:val="clear" w:color="auto" w:fill="auto"/>
            <w:noWrap/>
            <w:vAlign w:val="center"/>
          </w:tcPr>
          <w:p w14:paraId="0FF7F118">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中控系统</w:t>
            </w:r>
          </w:p>
        </w:tc>
        <w:tc>
          <w:tcPr>
            <w:tcW w:w="966" w:type="dxa"/>
            <w:vMerge w:val="restart"/>
            <w:tcBorders>
              <w:tl2br w:val="nil"/>
              <w:tr2bl w:val="nil"/>
            </w:tcBorders>
            <w:shd w:val="clear" w:color="auto" w:fill="auto"/>
            <w:noWrap/>
            <w:vAlign w:val="center"/>
          </w:tcPr>
          <w:p w14:paraId="645D9AC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套</w:t>
            </w:r>
          </w:p>
        </w:tc>
        <w:tc>
          <w:tcPr>
            <w:tcW w:w="994" w:type="dxa"/>
            <w:vMerge w:val="restart"/>
            <w:tcBorders>
              <w:tl2br w:val="nil"/>
              <w:tr2bl w:val="nil"/>
            </w:tcBorders>
            <w:shd w:val="clear" w:color="auto" w:fill="auto"/>
            <w:noWrap/>
            <w:vAlign w:val="center"/>
          </w:tcPr>
          <w:p w14:paraId="60962B99">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72C7E98A">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力合科技/IDLIN700</w:t>
            </w:r>
          </w:p>
        </w:tc>
      </w:tr>
      <w:tr w14:paraId="17021D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9" w:hRule="atLeast"/>
        </w:trPr>
        <w:tc>
          <w:tcPr>
            <w:tcW w:w="832" w:type="dxa"/>
            <w:vMerge w:val="continue"/>
            <w:tcBorders>
              <w:tl2br w:val="nil"/>
              <w:tr2bl w:val="nil"/>
            </w:tcBorders>
            <w:shd w:val="clear" w:color="auto" w:fill="auto"/>
            <w:noWrap/>
            <w:vAlign w:val="center"/>
          </w:tcPr>
          <w:p w14:paraId="6EA42DB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4418FDD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6FFEFDC8">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07E04DD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435DF3BF">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0883AF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2124C7DF">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5</w:t>
            </w:r>
          </w:p>
        </w:tc>
        <w:tc>
          <w:tcPr>
            <w:tcW w:w="2800" w:type="dxa"/>
            <w:vMerge w:val="restart"/>
            <w:tcBorders>
              <w:tl2br w:val="nil"/>
              <w:tr2bl w:val="nil"/>
            </w:tcBorders>
            <w:shd w:val="clear" w:color="auto" w:fill="auto"/>
            <w:vAlign w:val="center"/>
          </w:tcPr>
          <w:p w14:paraId="07912B3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检测辅助单元</w:t>
            </w:r>
          </w:p>
        </w:tc>
        <w:tc>
          <w:tcPr>
            <w:tcW w:w="966" w:type="dxa"/>
            <w:vMerge w:val="restart"/>
            <w:tcBorders>
              <w:tl2br w:val="nil"/>
              <w:tr2bl w:val="nil"/>
            </w:tcBorders>
            <w:shd w:val="clear" w:color="auto" w:fill="auto"/>
            <w:noWrap/>
            <w:vAlign w:val="center"/>
          </w:tcPr>
          <w:p w14:paraId="38EF9D67">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套</w:t>
            </w:r>
          </w:p>
        </w:tc>
        <w:tc>
          <w:tcPr>
            <w:tcW w:w="994" w:type="dxa"/>
            <w:vMerge w:val="restart"/>
            <w:tcBorders>
              <w:tl2br w:val="nil"/>
              <w:tr2bl w:val="nil"/>
            </w:tcBorders>
            <w:shd w:val="clear" w:color="auto" w:fill="auto"/>
            <w:noWrap/>
            <w:vAlign w:val="center"/>
          </w:tcPr>
          <w:p w14:paraId="3B4E82A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10</w:t>
            </w:r>
          </w:p>
        </w:tc>
        <w:tc>
          <w:tcPr>
            <w:tcW w:w="3045" w:type="dxa"/>
            <w:vMerge w:val="restart"/>
            <w:tcBorders>
              <w:tl2br w:val="nil"/>
              <w:tr2bl w:val="nil"/>
            </w:tcBorders>
            <w:shd w:val="clear" w:color="auto" w:fill="auto"/>
            <w:vAlign w:val="center"/>
          </w:tcPr>
          <w:p w14:paraId="61D1FEE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力合科技/IDLIN700</w:t>
            </w:r>
          </w:p>
        </w:tc>
      </w:tr>
      <w:tr w14:paraId="44C161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9" w:hRule="atLeast"/>
        </w:trPr>
        <w:tc>
          <w:tcPr>
            <w:tcW w:w="832" w:type="dxa"/>
            <w:vMerge w:val="continue"/>
            <w:tcBorders>
              <w:tl2br w:val="nil"/>
              <w:tr2bl w:val="nil"/>
            </w:tcBorders>
            <w:shd w:val="clear" w:color="auto" w:fill="auto"/>
            <w:noWrap/>
            <w:vAlign w:val="center"/>
          </w:tcPr>
          <w:p w14:paraId="009C7836">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vAlign w:val="center"/>
          </w:tcPr>
          <w:p w14:paraId="523B80A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1E2CB17B">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6D3E65F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4A0F8DA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069A62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468B98E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6</w:t>
            </w:r>
          </w:p>
        </w:tc>
        <w:tc>
          <w:tcPr>
            <w:tcW w:w="2800" w:type="dxa"/>
            <w:vMerge w:val="restart"/>
            <w:tcBorders>
              <w:tl2br w:val="nil"/>
              <w:tr2bl w:val="nil"/>
            </w:tcBorders>
            <w:shd w:val="clear" w:color="auto" w:fill="auto"/>
            <w:vAlign w:val="center"/>
          </w:tcPr>
          <w:p w14:paraId="0F269850">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智能辅助系统</w:t>
            </w:r>
          </w:p>
        </w:tc>
        <w:tc>
          <w:tcPr>
            <w:tcW w:w="966" w:type="dxa"/>
            <w:vMerge w:val="restart"/>
            <w:tcBorders>
              <w:tl2br w:val="nil"/>
              <w:tr2bl w:val="nil"/>
            </w:tcBorders>
            <w:shd w:val="clear" w:color="auto" w:fill="auto"/>
            <w:noWrap/>
            <w:vAlign w:val="center"/>
          </w:tcPr>
          <w:p w14:paraId="7FEBBD17">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套</w:t>
            </w:r>
          </w:p>
        </w:tc>
        <w:tc>
          <w:tcPr>
            <w:tcW w:w="994" w:type="dxa"/>
            <w:vMerge w:val="restart"/>
            <w:tcBorders>
              <w:tl2br w:val="nil"/>
              <w:tr2bl w:val="nil"/>
            </w:tcBorders>
            <w:shd w:val="clear" w:color="auto" w:fill="auto"/>
            <w:noWrap/>
            <w:vAlign w:val="center"/>
          </w:tcPr>
          <w:p w14:paraId="0397A74A">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7CE39E2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/IDLIN700</w:t>
            </w:r>
          </w:p>
        </w:tc>
      </w:tr>
      <w:tr w14:paraId="21B861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2BB4A002">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vAlign w:val="center"/>
          </w:tcPr>
          <w:p w14:paraId="16EA58F9">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68D3396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186A3995">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6A7B082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7D1485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2C41FEC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7</w:t>
            </w:r>
          </w:p>
        </w:tc>
        <w:tc>
          <w:tcPr>
            <w:tcW w:w="2800" w:type="dxa"/>
            <w:vMerge w:val="restart"/>
            <w:tcBorders>
              <w:tl2br w:val="nil"/>
              <w:tr2bl w:val="nil"/>
            </w:tcBorders>
            <w:shd w:val="clear" w:color="auto" w:fill="auto"/>
            <w:noWrap/>
            <w:vAlign w:val="center"/>
          </w:tcPr>
          <w:p w14:paraId="5534798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氨氮</w:t>
            </w:r>
          </w:p>
        </w:tc>
        <w:tc>
          <w:tcPr>
            <w:tcW w:w="966" w:type="dxa"/>
            <w:vMerge w:val="restart"/>
            <w:tcBorders>
              <w:tl2br w:val="nil"/>
              <w:tr2bl w:val="nil"/>
            </w:tcBorders>
            <w:shd w:val="clear" w:color="auto" w:fill="auto"/>
            <w:noWrap/>
            <w:vAlign w:val="center"/>
          </w:tcPr>
          <w:p w14:paraId="2A193BD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71B7B450">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5</w:t>
            </w:r>
          </w:p>
        </w:tc>
        <w:tc>
          <w:tcPr>
            <w:tcW w:w="3045" w:type="dxa"/>
            <w:vMerge w:val="restart"/>
            <w:tcBorders>
              <w:tl2br w:val="nil"/>
              <w:tr2bl w:val="nil"/>
            </w:tcBorders>
            <w:shd w:val="clear" w:color="auto" w:fill="auto"/>
            <w:vAlign w:val="center"/>
          </w:tcPr>
          <w:p w14:paraId="254EA333">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 /LFSM-2014(NH)</w:t>
            </w:r>
          </w:p>
        </w:tc>
      </w:tr>
      <w:tr w14:paraId="4EB845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9" w:hRule="atLeast"/>
        </w:trPr>
        <w:tc>
          <w:tcPr>
            <w:tcW w:w="832" w:type="dxa"/>
            <w:vMerge w:val="continue"/>
            <w:tcBorders>
              <w:tl2br w:val="nil"/>
              <w:tr2bl w:val="nil"/>
            </w:tcBorders>
            <w:shd w:val="clear" w:color="auto" w:fill="auto"/>
            <w:noWrap/>
            <w:vAlign w:val="center"/>
          </w:tcPr>
          <w:p w14:paraId="23490A1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03E418E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3FAB78D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17D50AC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025D940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7B5A0C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1F25069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8</w:t>
            </w:r>
          </w:p>
        </w:tc>
        <w:tc>
          <w:tcPr>
            <w:tcW w:w="2800" w:type="dxa"/>
            <w:vMerge w:val="restart"/>
            <w:tcBorders>
              <w:tl2br w:val="nil"/>
              <w:tr2bl w:val="nil"/>
            </w:tcBorders>
            <w:shd w:val="clear" w:color="auto" w:fill="auto"/>
            <w:noWrap/>
            <w:vAlign w:val="center"/>
          </w:tcPr>
          <w:p w14:paraId="4F2F28E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总磷</w:t>
            </w:r>
          </w:p>
        </w:tc>
        <w:tc>
          <w:tcPr>
            <w:tcW w:w="966" w:type="dxa"/>
            <w:vMerge w:val="restart"/>
            <w:tcBorders>
              <w:tl2br w:val="nil"/>
              <w:tr2bl w:val="nil"/>
            </w:tcBorders>
            <w:shd w:val="clear" w:color="auto" w:fill="auto"/>
            <w:noWrap/>
            <w:vAlign w:val="center"/>
          </w:tcPr>
          <w:p w14:paraId="67D9DAF8">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7A11140F">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5</w:t>
            </w:r>
          </w:p>
        </w:tc>
        <w:tc>
          <w:tcPr>
            <w:tcW w:w="3045" w:type="dxa"/>
            <w:vMerge w:val="restart"/>
            <w:tcBorders>
              <w:tl2br w:val="nil"/>
              <w:tr2bl w:val="nil"/>
            </w:tcBorders>
            <w:shd w:val="clear" w:color="auto" w:fill="auto"/>
            <w:vAlign w:val="center"/>
          </w:tcPr>
          <w:p w14:paraId="333517EF">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/LFSM-2014(TP)</w:t>
            </w:r>
          </w:p>
        </w:tc>
      </w:tr>
      <w:tr w14:paraId="7C640B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1C4D1DE2">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7F779BC5">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43C68B7B">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16238ED0">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136AEAC7">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6180D4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79" w:hRule="atLeast"/>
        </w:trPr>
        <w:tc>
          <w:tcPr>
            <w:tcW w:w="832" w:type="dxa"/>
            <w:vMerge w:val="restart"/>
            <w:tcBorders>
              <w:tl2br w:val="nil"/>
              <w:tr2bl w:val="nil"/>
            </w:tcBorders>
            <w:shd w:val="clear" w:color="auto" w:fill="auto"/>
            <w:noWrap/>
            <w:vAlign w:val="center"/>
          </w:tcPr>
          <w:p w14:paraId="0B3CC98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9</w:t>
            </w:r>
          </w:p>
        </w:tc>
        <w:tc>
          <w:tcPr>
            <w:tcW w:w="2800" w:type="dxa"/>
            <w:vMerge w:val="restart"/>
            <w:tcBorders>
              <w:tl2br w:val="nil"/>
              <w:tr2bl w:val="nil"/>
            </w:tcBorders>
            <w:shd w:val="clear" w:color="auto" w:fill="auto"/>
            <w:noWrap/>
            <w:vAlign w:val="center"/>
          </w:tcPr>
          <w:p w14:paraId="35803693">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总氮</w:t>
            </w:r>
          </w:p>
        </w:tc>
        <w:tc>
          <w:tcPr>
            <w:tcW w:w="966" w:type="dxa"/>
            <w:vMerge w:val="restart"/>
            <w:tcBorders>
              <w:tl2br w:val="nil"/>
              <w:tr2bl w:val="nil"/>
            </w:tcBorders>
            <w:shd w:val="clear" w:color="auto" w:fill="auto"/>
            <w:noWrap/>
            <w:vAlign w:val="center"/>
          </w:tcPr>
          <w:p w14:paraId="732C6A43">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36D28A0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5</w:t>
            </w:r>
          </w:p>
        </w:tc>
        <w:tc>
          <w:tcPr>
            <w:tcW w:w="3045" w:type="dxa"/>
            <w:vMerge w:val="restart"/>
            <w:tcBorders>
              <w:tl2br w:val="nil"/>
              <w:tr2bl w:val="nil"/>
            </w:tcBorders>
            <w:shd w:val="clear" w:color="auto" w:fill="auto"/>
            <w:vAlign w:val="center"/>
          </w:tcPr>
          <w:p w14:paraId="2438902C">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/LFSM-2014(TN)</w:t>
            </w:r>
          </w:p>
        </w:tc>
      </w:tr>
      <w:tr w14:paraId="3831D1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63" w:hRule="atLeast"/>
        </w:trPr>
        <w:tc>
          <w:tcPr>
            <w:tcW w:w="832" w:type="dxa"/>
            <w:vMerge w:val="continue"/>
            <w:tcBorders>
              <w:tl2br w:val="nil"/>
              <w:tr2bl w:val="nil"/>
            </w:tcBorders>
            <w:shd w:val="clear" w:color="auto" w:fill="auto"/>
            <w:noWrap/>
            <w:vAlign w:val="center"/>
          </w:tcPr>
          <w:p w14:paraId="7B7FCB1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0BCB81E9">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60206757">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03A373B7">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107C8CB0">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25560D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9" w:hRule="atLeast"/>
        </w:trPr>
        <w:tc>
          <w:tcPr>
            <w:tcW w:w="832" w:type="dxa"/>
            <w:vMerge w:val="restart"/>
            <w:tcBorders>
              <w:tl2br w:val="nil"/>
              <w:tr2bl w:val="nil"/>
            </w:tcBorders>
            <w:shd w:val="clear" w:color="auto" w:fill="auto"/>
            <w:noWrap/>
            <w:vAlign w:val="center"/>
          </w:tcPr>
          <w:p w14:paraId="2F088467">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10</w:t>
            </w:r>
          </w:p>
        </w:tc>
        <w:tc>
          <w:tcPr>
            <w:tcW w:w="2800" w:type="dxa"/>
            <w:vMerge w:val="restart"/>
            <w:tcBorders>
              <w:tl2br w:val="nil"/>
              <w:tr2bl w:val="nil"/>
            </w:tcBorders>
            <w:shd w:val="clear" w:color="auto" w:fill="auto"/>
            <w:noWrap/>
            <w:vAlign w:val="center"/>
          </w:tcPr>
          <w:p w14:paraId="7DDCB349">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高锰酸盐指数</w:t>
            </w:r>
          </w:p>
        </w:tc>
        <w:tc>
          <w:tcPr>
            <w:tcW w:w="966" w:type="dxa"/>
            <w:vMerge w:val="restart"/>
            <w:tcBorders>
              <w:tl2br w:val="nil"/>
              <w:tr2bl w:val="nil"/>
            </w:tcBorders>
            <w:shd w:val="clear" w:color="auto" w:fill="auto"/>
            <w:noWrap/>
            <w:vAlign w:val="center"/>
          </w:tcPr>
          <w:p w14:paraId="6BC5D1E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4C26E81C">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5</w:t>
            </w:r>
          </w:p>
        </w:tc>
        <w:tc>
          <w:tcPr>
            <w:tcW w:w="3045" w:type="dxa"/>
            <w:vMerge w:val="restart"/>
            <w:tcBorders>
              <w:tl2br w:val="nil"/>
              <w:tr2bl w:val="nil"/>
            </w:tcBorders>
            <w:shd w:val="clear" w:color="auto" w:fill="auto"/>
            <w:vAlign w:val="center"/>
          </w:tcPr>
          <w:p w14:paraId="4060F345">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/LFSM-2014(CODMn)</w:t>
            </w:r>
          </w:p>
        </w:tc>
      </w:tr>
      <w:tr w14:paraId="2D1C41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18" w:hRule="atLeast"/>
        </w:trPr>
        <w:tc>
          <w:tcPr>
            <w:tcW w:w="832" w:type="dxa"/>
            <w:vMerge w:val="continue"/>
            <w:tcBorders>
              <w:tl2br w:val="nil"/>
              <w:tr2bl w:val="nil"/>
            </w:tcBorders>
            <w:shd w:val="clear" w:color="auto" w:fill="auto"/>
            <w:noWrap/>
            <w:vAlign w:val="center"/>
          </w:tcPr>
          <w:p w14:paraId="0F20BAF8">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688069EF">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3834F0F0">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35EAA620">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1F365790">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1DE1B2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8" w:hRule="atLeast"/>
        </w:trPr>
        <w:tc>
          <w:tcPr>
            <w:tcW w:w="832" w:type="dxa"/>
            <w:vMerge w:val="continue"/>
            <w:tcBorders>
              <w:tl2br w:val="nil"/>
              <w:tr2bl w:val="nil"/>
            </w:tcBorders>
            <w:shd w:val="clear" w:color="auto" w:fill="auto"/>
            <w:noWrap/>
            <w:vAlign w:val="center"/>
          </w:tcPr>
          <w:p w14:paraId="20797FF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2F265197">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38D39FCF">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30BB040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22366E91">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6ECEC7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45B61EF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11</w:t>
            </w:r>
          </w:p>
        </w:tc>
        <w:tc>
          <w:tcPr>
            <w:tcW w:w="2800" w:type="dxa"/>
            <w:vMerge w:val="restart"/>
            <w:tcBorders>
              <w:tl2br w:val="nil"/>
              <w:tr2bl w:val="nil"/>
            </w:tcBorders>
            <w:shd w:val="clear" w:color="auto" w:fill="auto"/>
            <w:noWrap/>
            <w:vAlign w:val="center"/>
          </w:tcPr>
          <w:p w14:paraId="612B4DDB">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化学需氧量</w:t>
            </w:r>
          </w:p>
        </w:tc>
        <w:tc>
          <w:tcPr>
            <w:tcW w:w="966" w:type="dxa"/>
            <w:vMerge w:val="restart"/>
            <w:tcBorders>
              <w:tl2br w:val="nil"/>
              <w:tr2bl w:val="nil"/>
            </w:tcBorders>
            <w:shd w:val="clear" w:color="auto" w:fill="auto"/>
            <w:noWrap/>
            <w:vAlign w:val="center"/>
          </w:tcPr>
          <w:p w14:paraId="6B32A7F8">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1C532CB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5</w:t>
            </w:r>
          </w:p>
        </w:tc>
        <w:tc>
          <w:tcPr>
            <w:tcW w:w="3045" w:type="dxa"/>
            <w:vMerge w:val="restart"/>
            <w:tcBorders>
              <w:tl2br w:val="nil"/>
              <w:tr2bl w:val="nil"/>
            </w:tcBorders>
            <w:shd w:val="clear" w:color="auto" w:fill="auto"/>
            <w:vAlign w:val="center"/>
          </w:tcPr>
          <w:p w14:paraId="335249EF">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/LFS-2002(COD)</w:t>
            </w:r>
          </w:p>
        </w:tc>
      </w:tr>
      <w:tr w14:paraId="72141D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35A97121">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6665F9E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4963E27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2F57BEE7">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4200DFF8">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30B592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44FA306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12</w:t>
            </w:r>
          </w:p>
        </w:tc>
        <w:tc>
          <w:tcPr>
            <w:tcW w:w="2800" w:type="dxa"/>
            <w:vMerge w:val="restart"/>
            <w:tcBorders>
              <w:tl2br w:val="nil"/>
              <w:tr2bl w:val="nil"/>
            </w:tcBorders>
            <w:shd w:val="clear" w:color="auto" w:fill="auto"/>
            <w:noWrap/>
            <w:vAlign w:val="center"/>
          </w:tcPr>
          <w:p w14:paraId="6149AD79">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六价铬</w:t>
            </w:r>
          </w:p>
        </w:tc>
        <w:tc>
          <w:tcPr>
            <w:tcW w:w="966" w:type="dxa"/>
            <w:vMerge w:val="restart"/>
            <w:tcBorders>
              <w:tl2br w:val="nil"/>
              <w:tr2bl w:val="nil"/>
            </w:tcBorders>
            <w:shd w:val="clear" w:color="auto" w:fill="auto"/>
            <w:noWrap/>
            <w:vAlign w:val="center"/>
          </w:tcPr>
          <w:p w14:paraId="2AF92937">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5CE44937">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31A94EA7">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/LFS-2002(Cr)</w:t>
            </w:r>
          </w:p>
        </w:tc>
      </w:tr>
      <w:tr w14:paraId="3E3770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5EF04496">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5188AB6B">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3868DD10">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3C9F8946">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6D71A3D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371DAE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13CB8FFA">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13</w:t>
            </w:r>
          </w:p>
        </w:tc>
        <w:tc>
          <w:tcPr>
            <w:tcW w:w="2800" w:type="dxa"/>
            <w:vMerge w:val="restart"/>
            <w:tcBorders>
              <w:tl2br w:val="nil"/>
              <w:tr2bl w:val="nil"/>
            </w:tcBorders>
            <w:shd w:val="clear" w:color="auto" w:fill="auto"/>
            <w:noWrap/>
            <w:vAlign w:val="center"/>
          </w:tcPr>
          <w:p w14:paraId="5130E967">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color w:val="auto"/>
                <w:sz w:val="22"/>
                <w:szCs w:val="22"/>
                <w:highlight w:val="none"/>
                <w:u w:val="none"/>
                <w:lang w:val="en-US" w:eastAsia="zh-CN" w:bidi="ar"/>
              </w:rPr>
              <w:t>镉/铅/铜/锌</w:t>
            </w:r>
          </w:p>
        </w:tc>
        <w:tc>
          <w:tcPr>
            <w:tcW w:w="966" w:type="dxa"/>
            <w:vMerge w:val="restart"/>
            <w:tcBorders>
              <w:tl2br w:val="nil"/>
              <w:tr2bl w:val="nil"/>
            </w:tcBorders>
            <w:shd w:val="clear" w:color="auto" w:fill="auto"/>
            <w:noWrap/>
            <w:vAlign w:val="center"/>
          </w:tcPr>
          <w:p w14:paraId="06CF23D9">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00AE5E0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2</w:t>
            </w:r>
          </w:p>
        </w:tc>
        <w:tc>
          <w:tcPr>
            <w:tcW w:w="3045" w:type="dxa"/>
            <w:vMerge w:val="restart"/>
            <w:tcBorders>
              <w:tl2br w:val="nil"/>
              <w:tr2bl w:val="nil"/>
            </w:tcBorders>
            <w:shd w:val="clear" w:color="auto" w:fill="auto"/>
            <w:vAlign w:val="center"/>
          </w:tcPr>
          <w:p w14:paraId="739DAF3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/LFEC-2006</w:t>
            </w:r>
          </w:p>
        </w:tc>
      </w:tr>
      <w:tr w14:paraId="576A05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1FD65A5F">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4A215420">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3F3D50B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3437A43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050E0D4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4CAF2B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425D37BC">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14</w:t>
            </w:r>
          </w:p>
        </w:tc>
        <w:tc>
          <w:tcPr>
            <w:tcW w:w="2800" w:type="dxa"/>
            <w:vMerge w:val="restart"/>
            <w:tcBorders>
              <w:tl2br w:val="nil"/>
              <w:tr2bl w:val="nil"/>
            </w:tcBorders>
            <w:shd w:val="clear" w:color="auto" w:fill="auto"/>
            <w:noWrap/>
            <w:vAlign w:val="center"/>
          </w:tcPr>
          <w:p w14:paraId="2F5A286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汞</w:t>
            </w:r>
          </w:p>
        </w:tc>
        <w:tc>
          <w:tcPr>
            <w:tcW w:w="966" w:type="dxa"/>
            <w:vMerge w:val="restart"/>
            <w:tcBorders>
              <w:tl2br w:val="nil"/>
              <w:tr2bl w:val="nil"/>
            </w:tcBorders>
            <w:shd w:val="clear" w:color="auto" w:fill="auto"/>
            <w:noWrap/>
            <w:vAlign w:val="center"/>
          </w:tcPr>
          <w:p w14:paraId="680AF1C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75EA9AC3">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32FB29C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/LFS-2002(Hg)</w:t>
            </w:r>
          </w:p>
        </w:tc>
      </w:tr>
      <w:tr w14:paraId="4A17FD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2B55CDBB">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6959108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63A2BBF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30CCE5C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11397F5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62F8B8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41887CF0">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15</w:t>
            </w:r>
          </w:p>
        </w:tc>
        <w:tc>
          <w:tcPr>
            <w:tcW w:w="2800" w:type="dxa"/>
            <w:vMerge w:val="restart"/>
            <w:tcBorders>
              <w:tl2br w:val="nil"/>
              <w:tr2bl w:val="nil"/>
            </w:tcBorders>
            <w:shd w:val="clear" w:color="auto" w:fill="auto"/>
            <w:noWrap/>
            <w:vAlign w:val="center"/>
          </w:tcPr>
          <w:p w14:paraId="78CF3FB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氟化物</w:t>
            </w:r>
          </w:p>
        </w:tc>
        <w:tc>
          <w:tcPr>
            <w:tcW w:w="966" w:type="dxa"/>
            <w:vMerge w:val="restart"/>
            <w:tcBorders>
              <w:tl2br w:val="nil"/>
              <w:tr2bl w:val="nil"/>
            </w:tcBorders>
            <w:shd w:val="clear" w:color="auto" w:fill="auto"/>
            <w:noWrap/>
            <w:vAlign w:val="center"/>
          </w:tcPr>
          <w:p w14:paraId="2A006A4C">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562A42F8">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313D73EE">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/LFEC-2006（F）</w:t>
            </w:r>
          </w:p>
        </w:tc>
      </w:tr>
      <w:tr w14:paraId="02AA4D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64D23F38">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14CC781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2076E50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00DFCD31">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7A254466">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4C7935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1FCCF766">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16</w:t>
            </w:r>
          </w:p>
        </w:tc>
        <w:tc>
          <w:tcPr>
            <w:tcW w:w="2800" w:type="dxa"/>
            <w:vMerge w:val="restart"/>
            <w:tcBorders>
              <w:tl2br w:val="nil"/>
              <w:tr2bl w:val="nil"/>
            </w:tcBorders>
            <w:shd w:val="clear" w:color="auto" w:fill="auto"/>
            <w:noWrap/>
            <w:vAlign w:val="center"/>
          </w:tcPr>
          <w:p w14:paraId="745D780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氰化物</w:t>
            </w:r>
          </w:p>
        </w:tc>
        <w:tc>
          <w:tcPr>
            <w:tcW w:w="966" w:type="dxa"/>
            <w:vMerge w:val="restart"/>
            <w:tcBorders>
              <w:tl2br w:val="nil"/>
              <w:tr2bl w:val="nil"/>
            </w:tcBorders>
            <w:shd w:val="clear" w:color="auto" w:fill="auto"/>
            <w:noWrap/>
            <w:vAlign w:val="center"/>
          </w:tcPr>
          <w:p w14:paraId="24EC37D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3B84272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5A3DABBE">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/LFS-2002(CN)</w:t>
            </w:r>
          </w:p>
        </w:tc>
      </w:tr>
      <w:tr w14:paraId="62E7D1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11D0952F">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5CF620C7">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5D5DF43E">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500C1155">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37D21D88">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117ABB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5633C6F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17</w:t>
            </w:r>
          </w:p>
        </w:tc>
        <w:tc>
          <w:tcPr>
            <w:tcW w:w="2800" w:type="dxa"/>
            <w:vMerge w:val="restart"/>
            <w:tcBorders>
              <w:tl2br w:val="nil"/>
              <w:tr2bl w:val="nil"/>
            </w:tcBorders>
            <w:shd w:val="clear" w:color="auto" w:fill="auto"/>
            <w:noWrap/>
            <w:vAlign w:val="center"/>
          </w:tcPr>
          <w:p w14:paraId="640969E5">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挥发酚</w:t>
            </w:r>
          </w:p>
        </w:tc>
        <w:tc>
          <w:tcPr>
            <w:tcW w:w="966" w:type="dxa"/>
            <w:vMerge w:val="restart"/>
            <w:tcBorders>
              <w:tl2br w:val="nil"/>
              <w:tr2bl w:val="nil"/>
            </w:tcBorders>
            <w:shd w:val="clear" w:color="auto" w:fill="auto"/>
            <w:noWrap/>
            <w:vAlign w:val="center"/>
          </w:tcPr>
          <w:p w14:paraId="60875B05">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718F0A98">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2B47D199">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力合科技/LFS-2002（Phe）-I</w:t>
            </w:r>
          </w:p>
        </w:tc>
      </w:tr>
      <w:tr w14:paraId="4554DC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79" w:hRule="atLeast"/>
        </w:trPr>
        <w:tc>
          <w:tcPr>
            <w:tcW w:w="832" w:type="dxa"/>
            <w:vMerge w:val="continue"/>
            <w:tcBorders>
              <w:tl2br w:val="nil"/>
              <w:tr2bl w:val="nil"/>
            </w:tcBorders>
            <w:shd w:val="clear" w:color="auto" w:fill="auto"/>
            <w:noWrap/>
            <w:vAlign w:val="center"/>
          </w:tcPr>
          <w:p w14:paraId="7B3E436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44DCC92A">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26EA0F79">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3EFE78D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0557A54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7CF5F6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75B7007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18</w:t>
            </w:r>
          </w:p>
        </w:tc>
        <w:tc>
          <w:tcPr>
            <w:tcW w:w="2800" w:type="dxa"/>
            <w:vMerge w:val="restart"/>
            <w:tcBorders>
              <w:tl2br w:val="nil"/>
              <w:tr2bl w:val="nil"/>
            </w:tcBorders>
            <w:shd w:val="clear" w:color="auto" w:fill="auto"/>
            <w:vAlign w:val="center"/>
          </w:tcPr>
          <w:p w14:paraId="7DC83EA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阴离子表面 活性剂</w:t>
            </w:r>
          </w:p>
        </w:tc>
        <w:tc>
          <w:tcPr>
            <w:tcW w:w="966" w:type="dxa"/>
            <w:vMerge w:val="restart"/>
            <w:tcBorders>
              <w:tl2br w:val="nil"/>
              <w:tr2bl w:val="nil"/>
            </w:tcBorders>
            <w:shd w:val="clear" w:color="auto" w:fill="auto"/>
            <w:noWrap/>
            <w:vAlign w:val="center"/>
          </w:tcPr>
          <w:p w14:paraId="292CACB8">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55E30C8E">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591DE285">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/LFS-2002(LAS)</w:t>
            </w:r>
          </w:p>
        </w:tc>
      </w:tr>
      <w:tr w14:paraId="59F7EE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633D9F60">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vAlign w:val="center"/>
          </w:tcPr>
          <w:p w14:paraId="32B7615E">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00E3795E">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5A9E1D3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4761D85F">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3D466F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7881D9B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19</w:t>
            </w:r>
          </w:p>
        </w:tc>
        <w:tc>
          <w:tcPr>
            <w:tcW w:w="2800" w:type="dxa"/>
            <w:vMerge w:val="restart"/>
            <w:tcBorders>
              <w:tl2br w:val="nil"/>
              <w:tr2bl w:val="nil"/>
            </w:tcBorders>
            <w:shd w:val="clear" w:color="auto" w:fill="auto"/>
            <w:noWrap/>
            <w:vAlign w:val="center"/>
          </w:tcPr>
          <w:p w14:paraId="71F4479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砷</w:t>
            </w:r>
          </w:p>
        </w:tc>
        <w:tc>
          <w:tcPr>
            <w:tcW w:w="966" w:type="dxa"/>
            <w:vMerge w:val="restart"/>
            <w:tcBorders>
              <w:tl2br w:val="nil"/>
              <w:tr2bl w:val="nil"/>
            </w:tcBorders>
            <w:shd w:val="clear" w:color="auto" w:fill="auto"/>
            <w:noWrap/>
            <w:vAlign w:val="center"/>
          </w:tcPr>
          <w:p w14:paraId="064209EE">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4983ECF9">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5FBE9CEB">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/LFS-2002（As）-I</w:t>
            </w:r>
          </w:p>
        </w:tc>
      </w:tr>
      <w:tr w14:paraId="5A001B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354C6325">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7B8E0DF7">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3C9EDC72">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16F4F5FA">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69C38945">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14270D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58508B0C">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20</w:t>
            </w:r>
          </w:p>
        </w:tc>
        <w:tc>
          <w:tcPr>
            <w:tcW w:w="2800" w:type="dxa"/>
            <w:vMerge w:val="restart"/>
            <w:tcBorders>
              <w:tl2br w:val="nil"/>
              <w:tr2bl w:val="nil"/>
            </w:tcBorders>
            <w:shd w:val="clear" w:color="auto" w:fill="auto"/>
            <w:noWrap/>
            <w:vAlign w:val="center"/>
          </w:tcPr>
          <w:p w14:paraId="11051E5C">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硒</w:t>
            </w:r>
          </w:p>
        </w:tc>
        <w:tc>
          <w:tcPr>
            <w:tcW w:w="966" w:type="dxa"/>
            <w:vMerge w:val="restart"/>
            <w:tcBorders>
              <w:tl2br w:val="nil"/>
              <w:tr2bl w:val="nil"/>
            </w:tcBorders>
            <w:shd w:val="clear" w:color="auto" w:fill="auto"/>
            <w:noWrap/>
            <w:vAlign w:val="center"/>
          </w:tcPr>
          <w:p w14:paraId="67CB9B4D">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7F8942A8">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4B245E6B">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 /LFAF-2016</w:t>
            </w:r>
          </w:p>
        </w:tc>
      </w:tr>
      <w:tr w14:paraId="18AC2F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79" w:hRule="atLeast"/>
        </w:trPr>
        <w:tc>
          <w:tcPr>
            <w:tcW w:w="832" w:type="dxa"/>
            <w:vMerge w:val="continue"/>
            <w:tcBorders>
              <w:tl2br w:val="nil"/>
              <w:tr2bl w:val="nil"/>
            </w:tcBorders>
            <w:shd w:val="clear" w:color="auto" w:fill="auto"/>
            <w:noWrap/>
            <w:vAlign w:val="center"/>
          </w:tcPr>
          <w:p w14:paraId="6AF1A451">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15B083F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00FF4D56">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3BC9DD89">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06F8153E">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72FDE2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3DB16129">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21</w:t>
            </w:r>
          </w:p>
        </w:tc>
        <w:tc>
          <w:tcPr>
            <w:tcW w:w="2800" w:type="dxa"/>
            <w:vMerge w:val="restart"/>
            <w:tcBorders>
              <w:tl2br w:val="nil"/>
              <w:tr2bl w:val="nil"/>
            </w:tcBorders>
            <w:shd w:val="clear" w:color="auto" w:fill="auto"/>
            <w:noWrap/>
            <w:vAlign w:val="center"/>
          </w:tcPr>
          <w:p w14:paraId="192B507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硫化物</w:t>
            </w:r>
          </w:p>
        </w:tc>
        <w:tc>
          <w:tcPr>
            <w:tcW w:w="966" w:type="dxa"/>
            <w:vMerge w:val="restart"/>
            <w:tcBorders>
              <w:tl2br w:val="nil"/>
              <w:tr2bl w:val="nil"/>
            </w:tcBorders>
            <w:shd w:val="clear" w:color="auto" w:fill="auto"/>
            <w:noWrap/>
            <w:vAlign w:val="center"/>
          </w:tcPr>
          <w:p w14:paraId="56882C25">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0CE9AF2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19AA978C">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/LFS-2002（S）</w:t>
            </w:r>
          </w:p>
        </w:tc>
      </w:tr>
      <w:tr w14:paraId="0FFAB5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6745E8C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3F4F57D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08817AA5">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431C3D18">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465C4F41">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552145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4A7AD7D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22</w:t>
            </w:r>
          </w:p>
        </w:tc>
        <w:tc>
          <w:tcPr>
            <w:tcW w:w="2800" w:type="dxa"/>
            <w:vMerge w:val="restart"/>
            <w:tcBorders>
              <w:tl2br w:val="nil"/>
              <w:tr2bl w:val="nil"/>
            </w:tcBorders>
            <w:shd w:val="clear" w:color="auto" w:fill="auto"/>
            <w:noWrap/>
            <w:vAlign w:val="center"/>
          </w:tcPr>
          <w:p w14:paraId="31037D4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石油类</w:t>
            </w:r>
          </w:p>
        </w:tc>
        <w:tc>
          <w:tcPr>
            <w:tcW w:w="966" w:type="dxa"/>
            <w:vMerge w:val="restart"/>
            <w:tcBorders>
              <w:tl2br w:val="nil"/>
              <w:tr2bl w:val="nil"/>
            </w:tcBorders>
            <w:shd w:val="clear" w:color="auto" w:fill="auto"/>
            <w:noWrap/>
            <w:vAlign w:val="center"/>
          </w:tcPr>
          <w:p w14:paraId="258A29D8">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0A28DABF">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778BF91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/LFS-2016（Oil）</w:t>
            </w:r>
          </w:p>
        </w:tc>
      </w:tr>
      <w:tr w14:paraId="1B01A4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1B7A5F49">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74663B1A">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48E8FDE1">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5AAF3969">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0D83BBB5">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3E00BB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5BB8AFEB">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23</w:t>
            </w:r>
          </w:p>
        </w:tc>
        <w:tc>
          <w:tcPr>
            <w:tcW w:w="2800" w:type="dxa"/>
            <w:vMerge w:val="restart"/>
            <w:tcBorders>
              <w:tl2br w:val="nil"/>
              <w:tr2bl w:val="nil"/>
            </w:tcBorders>
            <w:shd w:val="clear" w:color="auto" w:fill="auto"/>
            <w:vAlign w:val="center"/>
          </w:tcPr>
          <w:p w14:paraId="3AA59D5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五日生化需氧量</w:t>
            </w:r>
          </w:p>
        </w:tc>
        <w:tc>
          <w:tcPr>
            <w:tcW w:w="966" w:type="dxa"/>
            <w:vMerge w:val="restart"/>
            <w:tcBorders>
              <w:tl2br w:val="nil"/>
              <w:tr2bl w:val="nil"/>
            </w:tcBorders>
            <w:shd w:val="clear" w:color="auto" w:fill="auto"/>
            <w:noWrap/>
            <w:vAlign w:val="center"/>
          </w:tcPr>
          <w:p w14:paraId="4F8C0D4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50D9395F">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3</w:t>
            </w:r>
          </w:p>
        </w:tc>
        <w:tc>
          <w:tcPr>
            <w:tcW w:w="3045" w:type="dxa"/>
            <w:vMerge w:val="restart"/>
            <w:tcBorders>
              <w:tl2br w:val="nil"/>
              <w:tr2bl w:val="nil"/>
            </w:tcBorders>
            <w:shd w:val="clear" w:color="auto" w:fill="auto"/>
            <w:vAlign w:val="center"/>
          </w:tcPr>
          <w:p w14:paraId="5871B512">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/LFBOD5-2015</w:t>
            </w:r>
          </w:p>
        </w:tc>
      </w:tr>
      <w:tr w14:paraId="702EDA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33BB3B8E">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vAlign w:val="center"/>
          </w:tcPr>
          <w:p w14:paraId="00698C5C">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723FCEF2">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568FD0ED">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001C1DF8">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08039B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8" w:hRule="atLeast"/>
        </w:trPr>
        <w:tc>
          <w:tcPr>
            <w:tcW w:w="832" w:type="dxa"/>
            <w:vMerge w:val="restart"/>
            <w:tcBorders>
              <w:tl2br w:val="nil"/>
              <w:tr2bl w:val="nil"/>
            </w:tcBorders>
            <w:shd w:val="clear" w:color="auto" w:fill="auto"/>
            <w:noWrap/>
            <w:vAlign w:val="center"/>
          </w:tcPr>
          <w:p w14:paraId="517F6BEE">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24</w:t>
            </w:r>
          </w:p>
        </w:tc>
        <w:tc>
          <w:tcPr>
            <w:tcW w:w="2800" w:type="dxa"/>
            <w:vMerge w:val="restart"/>
            <w:tcBorders>
              <w:tl2br w:val="nil"/>
              <w:tr2bl w:val="nil"/>
            </w:tcBorders>
            <w:shd w:val="clear" w:color="auto" w:fill="auto"/>
            <w:noWrap/>
            <w:vAlign w:val="center"/>
          </w:tcPr>
          <w:p w14:paraId="3C4ADD87">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大肠菌群</w:t>
            </w:r>
          </w:p>
        </w:tc>
        <w:tc>
          <w:tcPr>
            <w:tcW w:w="966" w:type="dxa"/>
            <w:vMerge w:val="restart"/>
            <w:tcBorders>
              <w:tl2br w:val="nil"/>
              <w:tr2bl w:val="nil"/>
            </w:tcBorders>
            <w:shd w:val="clear" w:color="auto" w:fill="auto"/>
            <w:noWrap/>
            <w:vAlign w:val="center"/>
          </w:tcPr>
          <w:p w14:paraId="332776D4">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7AD8255C">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1</w:t>
            </w:r>
          </w:p>
        </w:tc>
        <w:tc>
          <w:tcPr>
            <w:tcW w:w="3045" w:type="dxa"/>
            <w:vMerge w:val="restart"/>
            <w:tcBorders>
              <w:tl2br w:val="nil"/>
              <w:tr2bl w:val="nil"/>
            </w:tcBorders>
            <w:shd w:val="clear" w:color="auto" w:fill="auto"/>
            <w:vAlign w:val="center"/>
          </w:tcPr>
          <w:p w14:paraId="45336535">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/LFFColi-2016</w:t>
            </w:r>
          </w:p>
        </w:tc>
      </w:tr>
      <w:tr w14:paraId="78E833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04" w:hRule="atLeast"/>
        </w:trPr>
        <w:tc>
          <w:tcPr>
            <w:tcW w:w="832" w:type="dxa"/>
            <w:vMerge w:val="continue"/>
            <w:tcBorders>
              <w:tl2br w:val="nil"/>
              <w:tr2bl w:val="nil"/>
            </w:tcBorders>
            <w:shd w:val="clear" w:color="auto" w:fill="auto"/>
            <w:noWrap/>
            <w:vAlign w:val="center"/>
          </w:tcPr>
          <w:p w14:paraId="37F96145">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noWrap/>
            <w:vAlign w:val="center"/>
          </w:tcPr>
          <w:p w14:paraId="2C00A581">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6F8E7748">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47E9FF13">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02CED9D6">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33F4A1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9" w:hRule="atLeast"/>
        </w:trPr>
        <w:tc>
          <w:tcPr>
            <w:tcW w:w="832" w:type="dxa"/>
            <w:vMerge w:val="restart"/>
            <w:tcBorders>
              <w:tl2br w:val="nil"/>
              <w:tr2bl w:val="nil"/>
            </w:tcBorders>
            <w:shd w:val="clear" w:color="auto" w:fill="auto"/>
            <w:noWrap/>
            <w:vAlign w:val="center"/>
          </w:tcPr>
          <w:p w14:paraId="0DD926AA">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25</w:t>
            </w:r>
          </w:p>
        </w:tc>
        <w:tc>
          <w:tcPr>
            <w:tcW w:w="2800" w:type="dxa"/>
            <w:vMerge w:val="restart"/>
            <w:tcBorders>
              <w:tl2br w:val="nil"/>
              <w:tr2bl w:val="nil"/>
            </w:tcBorders>
            <w:shd w:val="clear" w:color="auto" w:fill="auto"/>
            <w:vAlign w:val="center"/>
          </w:tcPr>
          <w:p w14:paraId="70BD0B4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color w:val="auto"/>
                <w:sz w:val="22"/>
                <w:szCs w:val="22"/>
                <w:highlight w:val="none"/>
                <w:u w:val="none"/>
                <w:lang w:val="en-US" w:eastAsia="zh-CN" w:bidi="ar"/>
              </w:rPr>
              <w:t>Ph/水温/溶解氧</w:t>
            </w:r>
          </w:p>
        </w:tc>
        <w:tc>
          <w:tcPr>
            <w:tcW w:w="966" w:type="dxa"/>
            <w:vMerge w:val="restart"/>
            <w:tcBorders>
              <w:tl2br w:val="nil"/>
              <w:tr2bl w:val="nil"/>
            </w:tcBorders>
            <w:shd w:val="clear" w:color="auto" w:fill="auto"/>
            <w:noWrap/>
            <w:vAlign w:val="center"/>
          </w:tcPr>
          <w:p w14:paraId="785BA2A0">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台</w:t>
            </w:r>
          </w:p>
        </w:tc>
        <w:tc>
          <w:tcPr>
            <w:tcW w:w="994" w:type="dxa"/>
            <w:vMerge w:val="restart"/>
            <w:tcBorders>
              <w:tl2br w:val="nil"/>
              <w:tr2bl w:val="nil"/>
            </w:tcBorders>
            <w:shd w:val="clear" w:color="auto" w:fill="auto"/>
            <w:noWrap/>
            <w:vAlign w:val="center"/>
          </w:tcPr>
          <w:p w14:paraId="044AD11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2</w:t>
            </w:r>
          </w:p>
        </w:tc>
        <w:tc>
          <w:tcPr>
            <w:tcW w:w="3045" w:type="dxa"/>
            <w:vMerge w:val="restart"/>
            <w:tcBorders>
              <w:tl2br w:val="nil"/>
              <w:tr2bl w:val="nil"/>
            </w:tcBorders>
            <w:shd w:val="clear" w:color="auto" w:fill="auto"/>
            <w:vAlign w:val="center"/>
          </w:tcPr>
          <w:p w14:paraId="7C6DEB28">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力合科技</w:t>
            </w:r>
            <w:r>
              <w:rPr>
                <w:rFonts w:hint="default" w:ascii="Times New Roman" w:hAnsi="Times New Roman" w:eastAsia="方正仿宋_GB2312" w:cs="Times New Roman"/>
                <w:i w:val="0"/>
                <w:iCs w:val="0"/>
                <w:color w:val="auto"/>
                <w:kern w:val="0"/>
                <w:sz w:val="21"/>
                <w:szCs w:val="21"/>
                <w:highlight w:val="none"/>
                <w:u w:val="none"/>
                <w:lang w:val="en-US" w:eastAsia="zh-CN" w:bidi="ar"/>
              </w:rPr>
              <w:br w:type="textWrapping"/>
            </w:r>
            <w:r>
              <w:rPr>
                <w:rFonts w:hint="default" w:ascii="Times New Roman" w:hAnsi="Times New Roman" w:eastAsia="方正仿宋_GB2312" w:cs="Times New Roman"/>
                <w:i w:val="0"/>
                <w:iCs w:val="0"/>
                <w:color w:val="auto"/>
                <w:kern w:val="0"/>
                <w:sz w:val="21"/>
                <w:szCs w:val="21"/>
                <w:highlight w:val="none"/>
                <w:u w:val="none"/>
                <w:lang w:val="en-US" w:eastAsia="zh-CN" w:bidi="ar"/>
              </w:rPr>
              <w:t>/LFWCS-2008</w:t>
            </w:r>
          </w:p>
        </w:tc>
      </w:tr>
      <w:tr w14:paraId="54D781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63" w:hRule="atLeast"/>
        </w:trPr>
        <w:tc>
          <w:tcPr>
            <w:tcW w:w="832" w:type="dxa"/>
            <w:vMerge w:val="continue"/>
            <w:tcBorders>
              <w:tl2br w:val="nil"/>
              <w:tr2bl w:val="nil"/>
            </w:tcBorders>
            <w:shd w:val="clear" w:color="auto" w:fill="auto"/>
            <w:noWrap/>
            <w:vAlign w:val="center"/>
          </w:tcPr>
          <w:p w14:paraId="64DECAB6">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2800" w:type="dxa"/>
            <w:vMerge w:val="continue"/>
            <w:tcBorders>
              <w:tl2br w:val="nil"/>
              <w:tr2bl w:val="nil"/>
            </w:tcBorders>
            <w:shd w:val="clear" w:color="auto" w:fill="auto"/>
            <w:vAlign w:val="center"/>
          </w:tcPr>
          <w:p w14:paraId="428C4C94">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66" w:type="dxa"/>
            <w:vMerge w:val="continue"/>
            <w:tcBorders>
              <w:tl2br w:val="nil"/>
              <w:tr2bl w:val="nil"/>
            </w:tcBorders>
            <w:shd w:val="clear" w:color="auto" w:fill="auto"/>
            <w:noWrap/>
            <w:vAlign w:val="center"/>
          </w:tcPr>
          <w:p w14:paraId="5F81D12B">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994" w:type="dxa"/>
            <w:vMerge w:val="continue"/>
            <w:tcBorders>
              <w:tl2br w:val="nil"/>
              <w:tr2bl w:val="nil"/>
            </w:tcBorders>
            <w:shd w:val="clear" w:color="auto" w:fill="auto"/>
            <w:noWrap/>
            <w:vAlign w:val="center"/>
          </w:tcPr>
          <w:p w14:paraId="66104382">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c>
          <w:tcPr>
            <w:tcW w:w="3045" w:type="dxa"/>
            <w:vMerge w:val="continue"/>
            <w:tcBorders>
              <w:tl2br w:val="nil"/>
              <w:tr2bl w:val="nil"/>
            </w:tcBorders>
            <w:shd w:val="clear" w:color="auto" w:fill="auto"/>
            <w:vAlign w:val="center"/>
          </w:tcPr>
          <w:p w14:paraId="78F4F092">
            <w:pPr>
              <w:spacing w:line="360" w:lineRule="auto"/>
              <w:jc w:val="center"/>
              <w:rPr>
                <w:rFonts w:hint="default" w:ascii="Times New Roman" w:hAnsi="Times New Roman" w:eastAsia="方正仿宋_GB2312" w:cs="Times New Roman"/>
                <w:i w:val="0"/>
                <w:iCs w:val="0"/>
                <w:color w:val="auto"/>
                <w:sz w:val="21"/>
                <w:szCs w:val="21"/>
                <w:highlight w:val="none"/>
                <w:u w:val="none"/>
              </w:rPr>
            </w:pPr>
          </w:p>
        </w:tc>
      </w:tr>
      <w:tr w14:paraId="6E4499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60" w:hRule="atLeast"/>
        </w:trPr>
        <w:tc>
          <w:tcPr>
            <w:tcW w:w="4598" w:type="dxa"/>
            <w:gridSpan w:val="3"/>
            <w:tcBorders>
              <w:tl2br w:val="nil"/>
              <w:tr2bl w:val="nil"/>
            </w:tcBorders>
            <w:shd w:val="clear" w:color="auto" w:fill="auto"/>
            <w:noWrap/>
            <w:vAlign w:val="center"/>
          </w:tcPr>
          <w:p w14:paraId="1A9611B3">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合计</w:t>
            </w:r>
          </w:p>
        </w:tc>
        <w:tc>
          <w:tcPr>
            <w:tcW w:w="994" w:type="dxa"/>
            <w:tcBorders>
              <w:tl2br w:val="nil"/>
              <w:tr2bl w:val="nil"/>
            </w:tcBorders>
            <w:shd w:val="clear" w:color="auto" w:fill="auto"/>
            <w:noWrap/>
            <w:vAlign w:val="center"/>
          </w:tcPr>
          <w:p w14:paraId="18C831A1">
            <w:pPr>
              <w:keepNext w:val="0"/>
              <w:keepLines w:val="0"/>
              <w:widowControl/>
              <w:suppressLineNumbers w:val="0"/>
              <w:spacing w:line="360" w:lineRule="auto"/>
              <w:jc w:val="center"/>
              <w:textAlignment w:val="center"/>
              <w:rPr>
                <w:rFonts w:hint="default" w:ascii="Times New Roman" w:hAnsi="Times New Roman" w:eastAsia="方正仿宋_GB2312" w:cs="Times New Roman"/>
                <w:i w:val="0"/>
                <w:iCs w:val="0"/>
                <w:color w:val="auto"/>
                <w:sz w:val="21"/>
                <w:szCs w:val="21"/>
                <w:highlight w:val="none"/>
                <w:u w:val="none"/>
              </w:rPr>
            </w:pPr>
            <w:r>
              <w:rPr>
                <w:rFonts w:hint="default" w:ascii="Times New Roman" w:hAnsi="Times New Roman" w:eastAsia="方正仿宋_GB2312" w:cs="Times New Roman"/>
                <w:i w:val="0"/>
                <w:iCs w:val="0"/>
                <w:color w:val="auto"/>
                <w:kern w:val="0"/>
                <w:sz w:val="21"/>
                <w:szCs w:val="21"/>
                <w:highlight w:val="none"/>
                <w:u w:val="none"/>
                <w:lang w:val="en-US" w:eastAsia="zh-CN" w:bidi="ar"/>
              </w:rPr>
              <w:t>43</w:t>
            </w:r>
          </w:p>
        </w:tc>
        <w:tc>
          <w:tcPr>
            <w:tcW w:w="3045" w:type="dxa"/>
            <w:tcBorders>
              <w:tl2br w:val="nil"/>
              <w:tr2bl w:val="nil"/>
            </w:tcBorders>
            <w:shd w:val="clear" w:color="auto" w:fill="auto"/>
            <w:noWrap/>
            <w:vAlign w:val="center"/>
          </w:tcPr>
          <w:p w14:paraId="18DBD69F">
            <w:pPr>
              <w:spacing w:line="360" w:lineRule="auto"/>
              <w:jc w:val="center"/>
              <w:rPr>
                <w:rFonts w:hint="eastAsia" w:ascii="Times New Roman" w:hAnsi="Times New Roman" w:eastAsia="方正仿宋_GB2312" w:cs="Times New Roman"/>
                <w:i w:val="0"/>
                <w:iCs w:val="0"/>
                <w:color w:val="auto"/>
                <w:sz w:val="21"/>
                <w:szCs w:val="21"/>
                <w:highlight w:val="none"/>
                <w:u w:val="none"/>
                <w:lang w:val="en-US" w:eastAsia="zh-CN"/>
              </w:rPr>
            </w:pPr>
            <w:r>
              <w:rPr>
                <w:rFonts w:hint="eastAsia" w:ascii="Times New Roman" w:hAnsi="Times New Roman" w:eastAsia="方正仿宋_GB2312" w:cs="Times New Roman"/>
                <w:i w:val="0"/>
                <w:iCs w:val="0"/>
                <w:color w:val="auto"/>
                <w:sz w:val="21"/>
                <w:szCs w:val="21"/>
                <w:highlight w:val="none"/>
                <w:u w:val="none"/>
                <w:lang w:val="en-US" w:eastAsia="zh-CN"/>
              </w:rPr>
              <w:t>/</w:t>
            </w:r>
          </w:p>
        </w:tc>
      </w:tr>
    </w:tbl>
    <w:p w14:paraId="35D39EB7">
      <w:pPr>
        <w:numPr>
          <w:ilvl w:val="0"/>
          <w:numId w:val="0"/>
        </w:numPr>
        <w:spacing w:line="360" w:lineRule="auto"/>
        <w:ind w:leftChars="0" w:firstLine="480" w:firstLineChars="200"/>
        <w:outlineLvl w:val="1"/>
        <w:rPr>
          <w:rFonts w:hint="eastAsia"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1.</w:t>
      </w:r>
      <w:r>
        <w:rPr>
          <w:rFonts w:hint="eastAsia" w:cs="Times New Roman"/>
          <w:color w:val="auto"/>
          <w:sz w:val="24"/>
          <w:highlight w:val="none"/>
          <w:lang w:val="en-US" w:eastAsia="zh-CN" w:bidi="ar-SA"/>
        </w:rPr>
        <w:t>5</w:t>
      </w:r>
      <w:r>
        <w:rPr>
          <w:rFonts w:hint="eastAsia" w:ascii="Times New Roman" w:hAnsi="Times New Roman" w:eastAsia="宋体" w:cs="Times New Roman"/>
          <w:color w:val="auto"/>
          <w:sz w:val="24"/>
          <w:highlight w:val="none"/>
          <w:lang w:val="en-US" w:eastAsia="zh-CN" w:bidi="ar-SA"/>
        </w:rPr>
        <w:t>.</w:t>
      </w:r>
      <w:r>
        <w:rPr>
          <w:rFonts w:hint="eastAsia" w:cs="Times New Roman"/>
          <w:color w:val="auto"/>
          <w:sz w:val="24"/>
          <w:highlight w:val="none"/>
          <w:lang w:val="en-US" w:eastAsia="zh-CN" w:bidi="ar-SA"/>
        </w:rPr>
        <w:t>5备品备件及试剂</w:t>
      </w:r>
    </w:p>
    <w:p w14:paraId="230D75BF">
      <w:pPr>
        <w:numPr>
          <w:ilvl w:val="0"/>
          <w:numId w:val="0"/>
        </w:numPr>
        <w:spacing w:line="360" w:lineRule="auto"/>
        <w:ind w:leftChars="0" w:firstLine="480" w:firstLineChars="200"/>
        <w:outlineLvl w:val="1"/>
        <w:rPr>
          <w:rFonts w:hint="default" w:cs="Times New Roman"/>
          <w:color w:val="auto"/>
          <w:sz w:val="24"/>
          <w:highlight w:val="none"/>
          <w:lang w:val="en-US" w:eastAsia="zh-CN" w:bidi="ar-SA"/>
        </w:rPr>
      </w:pPr>
      <w:r>
        <w:rPr>
          <w:rFonts w:hint="eastAsia" w:cs="Times New Roman"/>
          <w:color w:val="auto"/>
          <w:sz w:val="24"/>
          <w:highlight w:val="none"/>
          <w:lang w:val="en-US" w:eastAsia="zh-CN" w:bidi="ar-SA"/>
        </w:rPr>
        <w:t>2025年智慧实验室常规水样及质控样品总和为个28605个（仅供参考），备品备件及试剂耗材可根据样品数量核算。</w:t>
      </w:r>
    </w:p>
    <w:tbl>
      <w:tblPr>
        <w:tblStyle w:val="3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5572"/>
        <w:gridCol w:w="865"/>
        <w:gridCol w:w="1141"/>
      </w:tblGrid>
      <w:tr w14:paraId="36AEE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1E1DE62C">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常规备品备件及耗材（满足日常使用需求，5个工作日内响应）</w:t>
            </w:r>
          </w:p>
        </w:tc>
      </w:tr>
      <w:tr w14:paraId="22C78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shd w:val="clear" w:color="auto" w:fill="auto"/>
            <w:vAlign w:val="center"/>
          </w:tcPr>
          <w:p w14:paraId="46A504C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序号</w:t>
            </w:r>
          </w:p>
        </w:tc>
        <w:tc>
          <w:tcPr>
            <w:tcW w:w="5572" w:type="dxa"/>
            <w:shd w:val="clear" w:color="auto" w:fill="auto"/>
            <w:vAlign w:val="center"/>
          </w:tcPr>
          <w:p w14:paraId="6F9CFF9F">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名称</w:t>
            </w:r>
          </w:p>
        </w:tc>
        <w:tc>
          <w:tcPr>
            <w:tcW w:w="865" w:type="dxa"/>
            <w:shd w:val="clear" w:color="auto" w:fill="auto"/>
            <w:vAlign w:val="center"/>
          </w:tcPr>
          <w:p w14:paraId="7D770E26">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单位</w:t>
            </w:r>
          </w:p>
        </w:tc>
        <w:tc>
          <w:tcPr>
            <w:tcW w:w="1141" w:type="dxa"/>
            <w:shd w:val="clear" w:color="auto" w:fill="auto"/>
            <w:vAlign w:val="center"/>
          </w:tcPr>
          <w:p w14:paraId="1B4C1B83">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数量</w:t>
            </w:r>
          </w:p>
        </w:tc>
      </w:tr>
      <w:tr w14:paraId="5800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55ED4846">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w:t>
            </w:r>
          </w:p>
        </w:tc>
        <w:tc>
          <w:tcPr>
            <w:tcW w:w="5572" w:type="dxa"/>
            <w:vAlign w:val="center"/>
          </w:tcPr>
          <w:p w14:paraId="5EEDF226">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水样管三通接头</w:t>
            </w:r>
          </w:p>
        </w:tc>
        <w:tc>
          <w:tcPr>
            <w:tcW w:w="865" w:type="dxa"/>
            <w:vAlign w:val="center"/>
          </w:tcPr>
          <w:p w14:paraId="16297C0E">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23F3DCF8">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30</w:t>
            </w:r>
          </w:p>
        </w:tc>
      </w:tr>
      <w:tr w14:paraId="4B483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3809564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c>
          <w:tcPr>
            <w:tcW w:w="5572" w:type="dxa"/>
            <w:vAlign w:val="center"/>
          </w:tcPr>
          <w:p w14:paraId="789D8429">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纯水预处理</w:t>
            </w:r>
            <w:r>
              <w:rPr>
                <w:rFonts w:hint="default" w:cs="Times New Roman"/>
                <w:color w:val="auto"/>
                <w:sz w:val="24"/>
                <w:highlight w:val="none"/>
                <w:vertAlign w:val="baseline"/>
                <w:lang w:val="en-US" w:eastAsia="zh-CN" w:bidi="ar-SA"/>
              </w:rPr>
              <w:t>滤芯</w:t>
            </w:r>
          </w:p>
        </w:tc>
        <w:tc>
          <w:tcPr>
            <w:tcW w:w="865" w:type="dxa"/>
            <w:vAlign w:val="center"/>
          </w:tcPr>
          <w:p w14:paraId="27564253">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22B78932">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0FDC7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44F805E">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3</w:t>
            </w:r>
          </w:p>
        </w:tc>
        <w:tc>
          <w:tcPr>
            <w:tcW w:w="5572" w:type="dxa"/>
            <w:vAlign w:val="center"/>
          </w:tcPr>
          <w:p w14:paraId="0B3F0441">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default" w:cs="Times New Roman"/>
                <w:color w:val="auto"/>
                <w:sz w:val="24"/>
                <w:highlight w:val="none"/>
                <w:vertAlign w:val="baseline"/>
                <w:lang w:val="en-US" w:eastAsia="zh-CN" w:bidi="ar-SA"/>
              </w:rPr>
              <w:t>特氟龙管</w:t>
            </w:r>
          </w:p>
        </w:tc>
        <w:tc>
          <w:tcPr>
            <w:tcW w:w="865" w:type="dxa"/>
            <w:vAlign w:val="center"/>
          </w:tcPr>
          <w:p w14:paraId="647D0890">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米</w:t>
            </w:r>
          </w:p>
        </w:tc>
        <w:tc>
          <w:tcPr>
            <w:tcW w:w="1141" w:type="dxa"/>
            <w:vAlign w:val="center"/>
          </w:tcPr>
          <w:p w14:paraId="3F6AE03B">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5</w:t>
            </w:r>
          </w:p>
        </w:tc>
      </w:tr>
      <w:tr w14:paraId="0BE6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60B3905E">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4</w:t>
            </w:r>
          </w:p>
        </w:tc>
        <w:tc>
          <w:tcPr>
            <w:tcW w:w="5572" w:type="dxa"/>
            <w:vAlign w:val="center"/>
          </w:tcPr>
          <w:p w14:paraId="47C45D5D">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default" w:cs="Times New Roman"/>
                <w:color w:val="auto"/>
                <w:sz w:val="24"/>
                <w:highlight w:val="none"/>
                <w:vertAlign w:val="baseline"/>
                <w:lang w:val="en-US" w:eastAsia="zh-CN" w:bidi="ar-SA"/>
              </w:rPr>
              <w:t>耐酸管</w:t>
            </w:r>
          </w:p>
        </w:tc>
        <w:tc>
          <w:tcPr>
            <w:tcW w:w="865" w:type="dxa"/>
            <w:vAlign w:val="center"/>
          </w:tcPr>
          <w:p w14:paraId="3B8C84AD">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0F20E091">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20</w:t>
            </w:r>
          </w:p>
        </w:tc>
      </w:tr>
      <w:tr w14:paraId="77358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6074976">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5</w:t>
            </w:r>
          </w:p>
        </w:tc>
        <w:tc>
          <w:tcPr>
            <w:tcW w:w="5572" w:type="dxa"/>
            <w:vAlign w:val="center"/>
          </w:tcPr>
          <w:p w14:paraId="0DCCE636">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default" w:cs="Times New Roman"/>
                <w:color w:val="auto"/>
                <w:sz w:val="24"/>
                <w:highlight w:val="none"/>
                <w:vertAlign w:val="baseline"/>
                <w:lang w:val="en-US" w:eastAsia="zh-CN" w:bidi="ar-SA"/>
              </w:rPr>
              <w:t>试剂管固定座</w:t>
            </w:r>
          </w:p>
        </w:tc>
        <w:tc>
          <w:tcPr>
            <w:tcW w:w="865" w:type="dxa"/>
            <w:vAlign w:val="center"/>
          </w:tcPr>
          <w:p w14:paraId="38CCC25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6050EDA4">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20</w:t>
            </w:r>
          </w:p>
        </w:tc>
      </w:tr>
      <w:tr w14:paraId="0431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3061F947">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6</w:t>
            </w:r>
          </w:p>
        </w:tc>
        <w:tc>
          <w:tcPr>
            <w:tcW w:w="5572" w:type="dxa"/>
            <w:vAlign w:val="center"/>
          </w:tcPr>
          <w:p w14:paraId="55E90207">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废液处理离子柱</w:t>
            </w:r>
          </w:p>
        </w:tc>
        <w:tc>
          <w:tcPr>
            <w:tcW w:w="865" w:type="dxa"/>
            <w:vAlign w:val="center"/>
          </w:tcPr>
          <w:p w14:paraId="606CEF3A">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7DE1A9FE">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5D6D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3BDB9AD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7</w:t>
            </w:r>
          </w:p>
        </w:tc>
        <w:tc>
          <w:tcPr>
            <w:tcW w:w="5572" w:type="dxa"/>
            <w:vAlign w:val="center"/>
          </w:tcPr>
          <w:p w14:paraId="4C7E7B39">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default" w:cs="Times New Roman"/>
                <w:color w:val="auto"/>
                <w:sz w:val="24"/>
                <w:highlight w:val="none"/>
                <w:vertAlign w:val="baseline"/>
                <w:lang w:val="en-US" w:eastAsia="zh-CN" w:bidi="ar-SA"/>
              </w:rPr>
              <w:t>AI水检进样器推杆</w:t>
            </w:r>
          </w:p>
        </w:tc>
        <w:tc>
          <w:tcPr>
            <w:tcW w:w="865" w:type="dxa"/>
            <w:vAlign w:val="center"/>
          </w:tcPr>
          <w:p w14:paraId="650B5E43">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70E5FA3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5</w:t>
            </w:r>
          </w:p>
        </w:tc>
      </w:tr>
      <w:tr w14:paraId="4DE92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2E255429">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8</w:t>
            </w:r>
          </w:p>
        </w:tc>
        <w:tc>
          <w:tcPr>
            <w:tcW w:w="5572" w:type="dxa"/>
            <w:vAlign w:val="center"/>
          </w:tcPr>
          <w:p w14:paraId="4FFC64E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总磷光源</w:t>
            </w:r>
          </w:p>
        </w:tc>
        <w:tc>
          <w:tcPr>
            <w:tcW w:w="865" w:type="dxa"/>
            <w:vAlign w:val="center"/>
          </w:tcPr>
          <w:p w14:paraId="6F9DD8AE">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5831BC26">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2846B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5117683A">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9</w:t>
            </w:r>
          </w:p>
        </w:tc>
        <w:tc>
          <w:tcPr>
            <w:tcW w:w="5572" w:type="dxa"/>
            <w:vAlign w:val="center"/>
          </w:tcPr>
          <w:p w14:paraId="35C62DB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氨氮光源</w:t>
            </w:r>
          </w:p>
        </w:tc>
        <w:tc>
          <w:tcPr>
            <w:tcW w:w="865" w:type="dxa"/>
            <w:vAlign w:val="center"/>
          </w:tcPr>
          <w:p w14:paraId="53C51DBD">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2DEB8B7E">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4D940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521AA12E">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10</w:t>
            </w:r>
          </w:p>
        </w:tc>
        <w:tc>
          <w:tcPr>
            <w:tcW w:w="5572" w:type="dxa"/>
            <w:vAlign w:val="center"/>
          </w:tcPr>
          <w:p w14:paraId="74FC7119">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高锰酸盐指数光源</w:t>
            </w:r>
          </w:p>
        </w:tc>
        <w:tc>
          <w:tcPr>
            <w:tcW w:w="865" w:type="dxa"/>
            <w:vAlign w:val="center"/>
          </w:tcPr>
          <w:p w14:paraId="5C33E495">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609A39AA">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41FA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721EE188">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11</w:t>
            </w:r>
          </w:p>
        </w:tc>
        <w:tc>
          <w:tcPr>
            <w:tcW w:w="5572" w:type="dxa"/>
            <w:vAlign w:val="center"/>
          </w:tcPr>
          <w:p w14:paraId="53C1C3F8">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COD光源</w:t>
            </w:r>
          </w:p>
        </w:tc>
        <w:tc>
          <w:tcPr>
            <w:tcW w:w="865" w:type="dxa"/>
            <w:vAlign w:val="center"/>
          </w:tcPr>
          <w:p w14:paraId="56E2CB67">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169C7CA9">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7242D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68A37674">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12</w:t>
            </w:r>
          </w:p>
        </w:tc>
        <w:tc>
          <w:tcPr>
            <w:tcW w:w="5572" w:type="dxa"/>
            <w:vAlign w:val="center"/>
          </w:tcPr>
          <w:p w14:paraId="2B0762E1">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通用光敏</w:t>
            </w:r>
          </w:p>
        </w:tc>
        <w:tc>
          <w:tcPr>
            <w:tcW w:w="865" w:type="dxa"/>
            <w:vAlign w:val="center"/>
          </w:tcPr>
          <w:p w14:paraId="369C203F">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07031A93">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370CA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D679A18">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13</w:t>
            </w:r>
          </w:p>
        </w:tc>
        <w:tc>
          <w:tcPr>
            <w:tcW w:w="5572" w:type="dxa"/>
            <w:vAlign w:val="center"/>
          </w:tcPr>
          <w:p w14:paraId="4F68E0C5">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总氮光源</w:t>
            </w:r>
          </w:p>
        </w:tc>
        <w:tc>
          <w:tcPr>
            <w:tcW w:w="865" w:type="dxa"/>
            <w:vAlign w:val="center"/>
          </w:tcPr>
          <w:p w14:paraId="4F7CCAA9">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4D0D082B">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2C5B1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6BF7622">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14</w:t>
            </w:r>
          </w:p>
        </w:tc>
        <w:tc>
          <w:tcPr>
            <w:tcW w:w="5572" w:type="dxa"/>
            <w:vAlign w:val="center"/>
          </w:tcPr>
          <w:p w14:paraId="1D0BF445">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default" w:cs="Times New Roman"/>
                <w:color w:val="auto"/>
                <w:sz w:val="24"/>
                <w:highlight w:val="none"/>
                <w:vertAlign w:val="baseline"/>
                <w:lang w:val="en-US" w:eastAsia="zh-CN" w:bidi="ar-SA"/>
              </w:rPr>
              <w:t>宝帝电磁阀</w:t>
            </w:r>
          </w:p>
        </w:tc>
        <w:tc>
          <w:tcPr>
            <w:tcW w:w="865" w:type="dxa"/>
            <w:vAlign w:val="center"/>
          </w:tcPr>
          <w:p w14:paraId="43F93F39">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42156093">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1A5FE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77D41E25">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15</w:t>
            </w:r>
          </w:p>
        </w:tc>
        <w:tc>
          <w:tcPr>
            <w:tcW w:w="5572" w:type="dxa"/>
            <w:vAlign w:val="center"/>
          </w:tcPr>
          <w:p w14:paraId="1C4439F0">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联动控制板</w:t>
            </w:r>
          </w:p>
        </w:tc>
        <w:tc>
          <w:tcPr>
            <w:tcW w:w="865" w:type="dxa"/>
            <w:vAlign w:val="center"/>
          </w:tcPr>
          <w:p w14:paraId="1EF24695">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7CC5F4A1">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5</w:t>
            </w:r>
          </w:p>
        </w:tc>
      </w:tr>
      <w:tr w14:paraId="5AB8E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6EE806CA">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16</w:t>
            </w:r>
          </w:p>
        </w:tc>
        <w:tc>
          <w:tcPr>
            <w:tcW w:w="5572" w:type="dxa"/>
            <w:vAlign w:val="center"/>
          </w:tcPr>
          <w:p w14:paraId="3D1B5107">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比色法检测板</w:t>
            </w:r>
          </w:p>
        </w:tc>
        <w:tc>
          <w:tcPr>
            <w:tcW w:w="865" w:type="dxa"/>
            <w:vAlign w:val="center"/>
          </w:tcPr>
          <w:p w14:paraId="429CB369">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48AC0263">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0157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F2A03A1">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17</w:t>
            </w:r>
          </w:p>
        </w:tc>
        <w:tc>
          <w:tcPr>
            <w:tcW w:w="5572" w:type="dxa"/>
            <w:vAlign w:val="center"/>
          </w:tcPr>
          <w:p w14:paraId="0F10E370">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驱动器</w:t>
            </w:r>
          </w:p>
        </w:tc>
        <w:tc>
          <w:tcPr>
            <w:tcW w:w="865" w:type="dxa"/>
            <w:vAlign w:val="center"/>
          </w:tcPr>
          <w:p w14:paraId="5A9BBA67">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4BEA2E5D">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0104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21C6E4EA">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18</w:t>
            </w:r>
          </w:p>
        </w:tc>
        <w:tc>
          <w:tcPr>
            <w:tcW w:w="5572" w:type="dxa"/>
            <w:vAlign w:val="center"/>
          </w:tcPr>
          <w:p w14:paraId="5C91C0A0">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柱塞泵</w:t>
            </w:r>
          </w:p>
        </w:tc>
        <w:tc>
          <w:tcPr>
            <w:tcW w:w="865" w:type="dxa"/>
            <w:vAlign w:val="center"/>
          </w:tcPr>
          <w:p w14:paraId="469E052F">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20B98E7F">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278E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43224F00">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19</w:t>
            </w:r>
          </w:p>
        </w:tc>
        <w:tc>
          <w:tcPr>
            <w:tcW w:w="5572" w:type="dxa"/>
            <w:vAlign w:val="center"/>
          </w:tcPr>
          <w:p w14:paraId="13E632CD">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柱塞泵-导向柱</w:t>
            </w:r>
          </w:p>
        </w:tc>
        <w:tc>
          <w:tcPr>
            <w:tcW w:w="865" w:type="dxa"/>
            <w:vAlign w:val="center"/>
          </w:tcPr>
          <w:p w14:paraId="4AA10058">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78235257">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1613E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5F575E7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20</w:t>
            </w:r>
          </w:p>
        </w:tc>
        <w:tc>
          <w:tcPr>
            <w:tcW w:w="5572" w:type="dxa"/>
            <w:vAlign w:val="center"/>
          </w:tcPr>
          <w:p w14:paraId="41835A6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COD外加热消解池</w:t>
            </w:r>
          </w:p>
        </w:tc>
        <w:tc>
          <w:tcPr>
            <w:tcW w:w="865" w:type="dxa"/>
            <w:vAlign w:val="center"/>
          </w:tcPr>
          <w:p w14:paraId="1769C84D">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2D02481B">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482F2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48F93B3E">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21</w:t>
            </w:r>
          </w:p>
        </w:tc>
        <w:tc>
          <w:tcPr>
            <w:tcW w:w="5572" w:type="dxa"/>
            <w:vAlign w:val="center"/>
          </w:tcPr>
          <w:p w14:paraId="2B2009CE">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比色法氨氮检测池</w:t>
            </w:r>
          </w:p>
        </w:tc>
        <w:tc>
          <w:tcPr>
            <w:tcW w:w="865" w:type="dxa"/>
            <w:vAlign w:val="center"/>
          </w:tcPr>
          <w:p w14:paraId="694C465F">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79B81853">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6FBF0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8F3CCE8">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22</w:t>
            </w:r>
          </w:p>
        </w:tc>
        <w:tc>
          <w:tcPr>
            <w:tcW w:w="5572" w:type="dxa"/>
            <w:vAlign w:val="center"/>
          </w:tcPr>
          <w:p w14:paraId="0492E5BF">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电感式接近开关</w:t>
            </w:r>
          </w:p>
        </w:tc>
        <w:tc>
          <w:tcPr>
            <w:tcW w:w="865" w:type="dxa"/>
            <w:vAlign w:val="center"/>
          </w:tcPr>
          <w:p w14:paraId="4908CCE4">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226CABF6">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086A7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57B2FF9E">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23</w:t>
            </w:r>
          </w:p>
        </w:tc>
        <w:tc>
          <w:tcPr>
            <w:tcW w:w="5572" w:type="dxa"/>
            <w:vAlign w:val="center"/>
          </w:tcPr>
          <w:p w14:paraId="1A2935A5">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电容传感器</w:t>
            </w:r>
          </w:p>
        </w:tc>
        <w:tc>
          <w:tcPr>
            <w:tcW w:w="865" w:type="dxa"/>
            <w:vAlign w:val="center"/>
          </w:tcPr>
          <w:p w14:paraId="5D9ABE56">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4FE974F0">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5FBB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709544DB">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24</w:t>
            </w:r>
          </w:p>
        </w:tc>
        <w:tc>
          <w:tcPr>
            <w:tcW w:w="5572" w:type="dxa"/>
            <w:vAlign w:val="center"/>
          </w:tcPr>
          <w:p w14:paraId="543AD7B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高锰酸盐指数检测池</w:t>
            </w:r>
          </w:p>
        </w:tc>
        <w:tc>
          <w:tcPr>
            <w:tcW w:w="865" w:type="dxa"/>
            <w:vAlign w:val="center"/>
          </w:tcPr>
          <w:p w14:paraId="1BED710B">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624089FA">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r>
      <w:tr w14:paraId="2C1B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944" w:type="dxa"/>
            <w:vAlign w:val="center"/>
          </w:tcPr>
          <w:p w14:paraId="71752DB9">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25</w:t>
            </w:r>
          </w:p>
        </w:tc>
        <w:tc>
          <w:tcPr>
            <w:tcW w:w="5572" w:type="dxa"/>
            <w:vAlign w:val="center"/>
          </w:tcPr>
          <w:p w14:paraId="5111BFF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自动进样器-吸水针</w:t>
            </w:r>
          </w:p>
        </w:tc>
        <w:tc>
          <w:tcPr>
            <w:tcW w:w="865" w:type="dxa"/>
            <w:vAlign w:val="center"/>
          </w:tcPr>
          <w:p w14:paraId="07B28C9D">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个</w:t>
            </w:r>
          </w:p>
        </w:tc>
        <w:tc>
          <w:tcPr>
            <w:tcW w:w="1141" w:type="dxa"/>
            <w:vAlign w:val="center"/>
          </w:tcPr>
          <w:p w14:paraId="2F1DFC34">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5</w:t>
            </w:r>
          </w:p>
        </w:tc>
      </w:tr>
      <w:tr w14:paraId="065CB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6FC64BA5">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设备试剂（满足日常使用需求，5个工作日内响应）</w:t>
            </w:r>
          </w:p>
        </w:tc>
      </w:tr>
      <w:tr w14:paraId="389FA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29DB1320">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w:t>
            </w:r>
          </w:p>
        </w:tc>
        <w:tc>
          <w:tcPr>
            <w:tcW w:w="5572" w:type="dxa"/>
            <w:vAlign w:val="center"/>
          </w:tcPr>
          <w:p w14:paraId="0DEE6652">
            <w:pPr>
              <w:numPr>
                <w:ilvl w:val="0"/>
                <w:numId w:val="0"/>
              </w:numPr>
              <w:spacing w:after="0" w:line="360" w:lineRule="auto"/>
              <w:jc w:val="center"/>
              <w:outlineLvl w:val="1"/>
              <w:rPr>
                <w:rFonts w:hint="default" w:eastAsia="宋体" w:cs="Times New Roman"/>
                <w:color w:val="auto"/>
                <w:sz w:val="24"/>
                <w:highlight w:val="none"/>
                <w:vertAlign w:val="baseline"/>
                <w:lang w:val="en-US" w:eastAsia="zh-CN" w:bidi="ar-SA"/>
              </w:rPr>
            </w:pPr>
            <w:r>
              <w:rPr>
                <w:rFonts w:hint="eastAsia"/>
                <w:color w:val="auto"/>
                <w:sz w:val="24"/>
                <w:highlight w:val="none"/>
              </w:rPr>
              <w:t>氨氮</w:t>
            </w:r>
            <w:r>
              <w:rPr>
                <w:rFonts w:hint="eastAsia" w:ascii="Times New Roman" w:eastAsia="宋体"/>
                <w:color w:val="auto"/>
                <w:sz w:val="24"/>
                <w:highlight w:val="none"/>
                <w:lang w:val="en-US" w:eastAsia="zh-CN"/>
              </w:rPr>
              <w:t>配套试剂</w:t>
            </w:r>
          </w:p>
        </w:tc>
        <w:tc>
          <w:tcPr>
            <w:tcW w:w="865" w:type="dxa"/>
            <w:vAlign w:val="center"/>
          </w:tcPr>
          <w:p w14:paraId="51842D98">
            <w:pPr>
              <w:numPr>
                <w:ilvl w:val="0"/>
                <w:numId w:val="0"/>
              </w:numPr>
              <w:spacing w:after="0" w:line="360" w:lineRule="auto"/>
              <w:jc w:val="center"/>
              <w:outlineLvl w:val="1"/>
              <w:rPr>
                <w:rFonts w:hint="eastAsia" w:eastAsia="宋体"/>
                <w:color w:val="auto"/>
                <w:sz w:val="24"/>
                <w:highlight w:val="none"/>
                <w:lang w:val="en-US" w:eastAsia="zh-CN"/>
              </w:rPr>
            </w:pPr>
            <w:r>
              <w:rPr>
                <w:rFonts w:hint="eastAsia" w:ascii="Times New Roman" w:eastAsia="宋体"/>
                <w:color w:val="auto"/>
                <w:sz w:val="24"/>
                <w:highlight w:val="none"/>
                <w:lang w:val="en-US" w:eastAsia="zh-CN"/>
              </w:rPr>
              <w:t>套</w:t>
            </w:r>
          </w:p>
        </w:tc>
        <w:tc>
          <w:tcPr>
            <w:tcW w:w="1141" w:type="dxa"/>
            <w:vAlign w:val="center"/>
          </w:tcPr>
          <w:p w14:paraId="36E677C2">
            <w:pPr>
              <w:numPr>
                <w:ilvl w:val="0"/>
                <w:numId w:val="0"/>
              </w:numPr>
              <w:spacing w:after="0" w:line="360" w:lineRule="auto"/>
              <w:jc w:val="center"/>
              <w:outlineLvl w:val="1"/>
              <w:rPr>
                <w:rFonts w:hint="default" w:eastAsia="宋体"/>
                <w:color w:val="auto"/>
                <w:sz w:val="24"/>
                <w:highlight w:val="none"/>
                <w:lang w:val="en-US" w:eastAsia="zh-CN"/>
              </w:rPr>
            </w:pPr>
            <w:r>
              <w:rPr>
                <w:rFonts w:hint="eastAsia" w:ascii="Times New Roman" w:eastAsia="宋体"/>
                <w:color w:val="auto"/>
                <w:sz w:val="24"/>
                <w:highlight w:val="none"/>
                <w:lang w:val="en-US" w:eastAsia="zh-CN"/>
              </w:rPr>
              <w:t>20</w:t>
            </w:r>
          </w:p>
        </w:tc>
      </w:tr>
      <w:tr w14:paraId="02115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196DA162">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2</w:t>
            </w:r>
          </w:p>
        </w:tc>
        <w:tc>
          <w:tcPr>
            <w:tcW w:w="5572" w:type="dxa"/>
            <w:vAlign w:val="center"/>
          </w:tcPr>
          <w:p w14:paraId="73ECECFC">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总磷</w:t>
            </w:r>
            <w:r>
              <w:rPr>
                <w:rFonts w:hint="eastAsia" w:ascii="Times New Roman" w:eastAsia="宋体"/>
                <w:color w:val="auto"/>
                <w:sz w:val="24"/>
                <w:highlight w:val="none"/>
                <w:lang w:val="en-US" w:eastAsia="zh-CN"/>
              </w:rPr>
              <w:t>配套试剂</w:t>
            </w:r>
          </w:p>
        </w:tc>
        <w:tc>
          <w:tcPr>
            <w:tcW w:w="865" w:type="dxa"/>
            <w:vAlign w:val="center"/>
          </w:tcPr>
          <w:p w14:paraId="6C847D0C">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42C2CEDD">
            <w:pPr>
              <w:numPr>
                <w:ilvl w:val="0"/>
                <w:numId w:val="0"/>
              </w:numPr>
              <w:spacing w:after="0" w:line="360" w:lineRule="auto"/>
              <w:jc w:val="center"/>
              <w:outlineLvl w:val="1"/>
              <w:rPr>
                <w:rFonts w:hint="default" w:eastAsia="宋体"/>
                <w:color w:val="auto"/>
                <w:sz w:val="24"/>
                <w:highlight w:val="none"/>
                <w:lang w:val="en-US" w:eastAsia="zh-CN"/>
              </w:rPr>
            </w:pPr>
            <w:r>
              <w:rPr>
                <w:rFonts w:hint="eastAsia" w:ascii="Times New Roman" w:eastAsia="宋体"/>
                <w:color w:val="auto"/>
                <w:sz w:val="24"/>
                <w:highlight w:val="none"/>
                <w:lang w:val="en-US" w:eastAsia="zh-CN"/>
              </w:rPr>
              <w:t>20</w:t>
            </w:r>
          </w:p>
        </w:tc>
      </w:tr>
      <w:tr w14:paraId="28F43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5DB455B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3</w:t>
            </w:r>
          </w:p>
        </w:tc>
        <w:tc>
          <w:tcPr>
            <w:tcW w:w="5572" w:type="dxa"/>
            <w:vAlign w:val="center"/>
          </w:tcPr>
          <w:p w14:paraId="5A2A7527">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总氮</w:t>
            </w:r>
            <w:r>
              <w:rPr>
                <w:rFonts w:hint="eastAsia" w:ascii="Times New Roman" w:eastAsia="宋体"/>
                <w:color w:val="auto"/>
                <w:sz w:val="24"/>
                <w:highlight w:val="none"/>
                <w:lang w:val="en-US" w:eastAsia="zh-CN"/>
              </w:rPr>
              <w:t>配套试剂</w:t>
            </w:r>
          </w:p>
        </w:tc>
        <w:tc>
          <w:tcPr>
            <w:tcW w:w="865" w:type="dxa"/>
            <w:vAlign w:val="center"/>
          </w:tcPr>
          <w:p w14:paraId="50CAAB21">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6AEF5DE5">
            <w:pPr>
              <w:numPr>
                <w:ilvl w:val="0"/>
                <w:numId w:val="0"/>
              </w:numPr>
              <w:spacing w:after="0" w:line="360" w:lineRule="auto"/>
              <w:jc w:val="center"/>
              <w:outlineLvl w:val="1"/>
              <w:rPr>
                <w:rFonts w:hint="default" w:eastAsia="宋体"/>
                <w:color w:val="auto"/>
                <w:sz w:val="24"/>
                <w:highlight w:val="none"/>
                <w:lang w:val="en-US" w:eastAsia="zh-CN"/>
              </w:rPr>
            </w:pPr>
            <w:r>
              <w:rPr>
                <w:rFonts w:hint="eastAsia" w:ascii="Times New Roman" w:eastAsia="宋体"/>
                <w:color w:val="auto"/>
                <w:sz w:val="24"/>
                <w:highlight w:val="none"/>
                <w:lang w:val="en-US" w:eastAsia="zh-CN"/>
              </w:rPr>
              <w:t>20</w:t>
            </w:r>
          </w:p>
        </w:tc>
      </w:tr>
      <w:tr w14:paraId="46C07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EF6B4DD">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4</w:t>
            </w:r>
          </w:p>
        </w:tc>
        <w:tc>
          <w:tcPr>
            <w:tcW w:w="5572" w:type="dxa"/>
            <w:vAlign w:val="center"/>
          </w:tcPr>
          <w:p w14:paraId="02866934">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高锰酸盐指数</w:t>
            </w:r>
            <w:r>
              <w:rPr>
                <w:rFonts w:hint="eastAsia" w:ascii="Times New Roman" w:eastAsia="宋体"/>
                <w:color w:val="auto"/>
                <w:sz w:val="24"/>
                <w:highlight w:val="none"/>
                <w:lang w:val="en-US" w:eastAsia="zh-CN"/>
              </w:rPr>
              <w:t>配套试剂</w:t>
            </w:r>
          </w:p>
        </w:tc>
        <w:tc>
          <w:tcPr>
            <w:tcW w:w="865" w:type="dxa"/>
            <w:vAlign w:val="center"/>
          </w:tcPr>
          <w:p w14:paraId="46136C64">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5E5E0320">
            <w:pPr>
              <w:numPr>
                <w:ilvl w:val="0"/>
                <w:numId w:val="0"/>
              </w:numPr>
              <w:spacing w:after="0" w:line="360" w:lineRule="auto"/>
              <w:jc w:val="center"/>
              <w:outlineLvl w:val="1"/>
              <w:rPr>
                <w:rFonts w:hint="default" w:eastAsia="宋体"/>
                <w:color w:val="auto"/>
                <w:sz w:val="24"/>
                <w:highlight w:val="none"/>
                <w:lang w:val="en-US" w:eastAsia="zh-CN"/>
              </w:rPr>
            </w:pPr>
            <w:r>
              <w:rPr>
                <w:rFonts w:hint="eastAsia" w:ascii="Times New Roman" w:eastAsia="宋体"/>
                <w:color w:val="auto"/>
                <w:sz w:val="24"/>
                <w:highlight w:val="none"/>
                <w:lang w:val="en-US" w:eastAsia="zh-CN"/>
              </w:rPr>
              <w:t>20</w:t>
            </w:r>
          </w:p>
        </w:tc>
      </w:tr>
      <w:tr w14:paraId="0FC7E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5B73AC19">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5</w:t>
            </w:r>
          </w:p>
        </w:tc>
        <w:tc>
          <w:tcPr>
            <w:tcW w:w="5572" w:type="dxa"/>
            <w:vAlign w:val="center"/>
          </w:tcPr>
          <w:p w14:paraId="4B622CE3">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化学需氧量</w:t>
            </w:r>
            <w:r>
              <w:rPr>
                <w:rFonts w:hint="eastAsia" w:ascii="Times New Roman" w:eastAsia="宋体"/>
                <w:color w:val="auto"/>
                <w:sz w:val="24"/>
                <w:highlight w:val="none"/>
                <w:lang w:val="en-US" w:eastAsia="zh-CN"/>
              </w:rPr>
              <w:t>配套试剂</w:t>
            </w:r>
          </w:p>
        </w:tc>
        <w:tc>
          <w:tcPr>
            <w:tcW w:w="865" w:type="dxa"/>
            <w:vAlign w:val="center"/>
          </w:tcPr>
          <w:p w14:paraId="76B26617">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432D3754">
            <w:pPr>
              <w:numPr>
                <w:ilvl w:val="0"/>
                <w:numId w:val="0"/>
              </w:numPr>
              <w:spacing w:after="0" w:line="360" w:lineRule="auto"/>
              <w:jc w:val="center"/>
              <w:outlineLvl w:val="1"/>
              <w:rPr>
                <w:rFonts w:hint="default" w:eastAsia="宋体"/>
                <w:color w:val="auto"/>
                <w:sz w:val="24"/>
                <w:highlight w:val="none"/>
                <w:lang w:val="en-US" w:eastAsia="zh-CN"/>
              </w:rPr>
            </w:pPr>
            <w:r>
              <w:rPr>
                <w:rFonts w:hint="eastAsia" w:ascii="Times New Roman" w:eastAsia="宋体"/>
                <w:color w:val="auto"/>
                <w:sz w:val="24"/>
                <w:highlight w:val="none"/>
                <w:lang w:val="en-US" w:eastAsia="zh-CN"/>
              </w:rPr>
              <w:t>20</w:t>
            </w:r>
          </w:p>
        </w:tc>
      </w:tr>
      <w:tr w14:paraId="036EF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874A1DB">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6</w:t>
            </w:r>
          </w:p>
        </w:tc>
        <w:tc>
          <w:tcPr>
            <w:tcW w:w="5572" w:type="dxa"/>
            <w:vAlign w:val="center"/>
          </w:tcPr>
          <w:p w14:paraId="383393E0">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氰化物</w:t>
            </w:r>
            <w:r>
              <w:rPr>
                <w:rFonts w:hint="eastAsia" w:ascii="Times New Roman" w:eastAsia="宋体"/>
                <w:color w:val="auto"/>
                <w:sz w:val="24"/>
                <w:highlight w:val="none"/>
                <w:lang w:val="en-US" w:eastAsia="zh-CN"/>
              </w:rPr>
              <w:t>配套试剂</w:t>
            </w:r>
          </w:p>
        </w:tc>
        <w:tc>
          <w:tcPr>
            <w:tcW w:w="865" w:type="dxa"/>
            <w:vAlign w:val="center"/>
          </w:tcPr>
          <w:p w14:paraId="7951E32C">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6C7BA560">
            <w:pPr>
              <w:numPr>
                <w:ilvl w:val="0"/>
                <w:numId w:val="0"/>
              </w:numPr>
              <w:spacing w:after="0" w:line="360" w:lineRule="auto"/>
              <w:jc w:val="center"/>
              <w:outlineLvl w:val="1"/>
              <w:rPr>
                <w:rFonts w:hint="eastAsia" w:eastAsia="宋体"/>
                <w:color w:val="auto"/>
                <w:sz w:val="24"/>
                <w:highlight w:val="none"/>
                <w:lang w:val="en-US" w:eastAsia="zh-CN"/>
              </w:rPr>
            </w:pPr>
            <w:r>
              <w:rPr>
                <w:rFonts w:hint="eastAsia" w:ascii="Times New Roman" w:eastAsia="宋体"/>
                <w:color w:val="auto"/>
                <w:sz w:val="24"/>
                <w:highlight w:val="none"/>
                <w:lang w:val="en-US" w:eastAsia="zh-CN"/>
              </w:rPr>
              <w:t>5</w:t>
            </w:r>
          </w:p>
        </w:tc>
      </w:tr>
      <w:tr w14:paraId="2D53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11B9FCEF">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7</w:t>
            </w:r>
          </w:p>
        </w:tc>
        <w:tc>
          <w:tcPr>
            <w:tcW w:w="5572" w:type="dxa"/>
            <w:vAlign w:val="center"/>
          </w:tcPr>
          <w:p w14:paraId="2835A1E1">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六价铬</w:t>
            </w:r>
            <w:r>
              <w:rPr>
                <w:rFonts w:hint="eastAsia" w:ascii="Times New Roman" w:eastAsia="宋体"/>
                <w:color w:val="auto"/>
                <w:sz w:val="24"/>
                <w:highlight w:val="none"/>
                <w:lang w:val="en-US" w:eastAsia="zh-CN"/>
              </w:rPr>
              <w:t>配套试剂</w:t>
            </w:r>
          </w:p>
        </w:tc>
        <w:tc>
          <w:tcPr>
            <w:tcW w:w="865" w:type="dxa"/>
            <w:vAlign w:val="center"/>
          </w:tcPr>
          <w:p w14:paraId="6641F663">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420198A5">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1F86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40B47546">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8</w:t>
            </w:r>
          </w:p>
        </w:tc>
        <w:tc>
          <w:tcPr>
            <w:tcW w:w="5572" w:type="dxa"/>
            <w:vAlign w:val="center"/>
          </w:tcPr>
          <w:p w14:paraId="635A4895">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氟化物</w:t>
            </w:r>
            <w:r>
              <w:rPr>
                <w:rFonts w:hint="eastAsia" w:ascii="Times New Roman" w:eastAsia="宋体"/>
                <w:color w:val="auto"/>
                <w:sz w:val="24"/>
                <w:highlight w:val="none"/>
                <w:lang w:val="en-US" w:eastAsia="zh-CN"/>
              </w:rPr>
              <w:t>配套试剂</w:t>
            </w:r>
          </w:p>
        </w:tc>
        <w:tc>
          <w:tcPr>
            <w:tcW w:w="865" w:type="dxa"/>
            <w:vAlign w:val="center"/>
          </w:tcPr>
          <w:p w14:paraId="023461EA">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3028EEF5">
            <w:pPr>
              <w:numPr>
                <w:ilvl w:val="0"/>
                <w:numId w:val="0"/>
              </w:numPr>
              <w:spacing w:after="0" w:line="360" w:lineRule="auto"/>
              <w:jc w:val="center"/>
              <w:outlineLvl w:val="1"/>
              <w:rPr>
                <w:rFonts w:hint="default" w:eastAsia="宋体"/>
                <w:color w:val="auto"/>
                <w:sz w:val="24"/>
                <w:highlight w:val="none"/>
                <w:lang w:val="en-US" w:eastAsia="zh-CN"/>
              </w:rPr>
            </w:pPr>
            <w:r>
              <w:rPr>
                <w:rFonts w:hint="eastAsia" w:ascii="Times New Roman" w:eastAsia="宋体"/>
                <w:color w:val="auto"/>
                <w:sz w:val="24"/>
                <w:highlight w:val="none"/>
                <w:lang w:val="en-US" w:eastAsia="zh-CN"/>
              </w:rPr>
              <w:t>10</w:t>
            </w:r>
          </w:p>
        </w:tc>
      </w:tr>
      <w:tr w14:paraId="67A5B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4C007F35">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9</w:t>
            </w:r>
          </w:p>
        </w:tc>
        <w:tc>
          <w:tcPr>
            <w:tcW w:w="5572" w:type="dxa"/>
            <w:vAlign w:val="center"/>
          </w:tcPr>
          <w:p w14:paraId="54BA235E">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砷</w:t>
            </w:r>
            <w:r>
              <w:rPr>
                <w:rFonts w:hint="eastAsia" w:ascii="Times New Roman" w:eastAsia="宋体"/>
                <w:color w:val="auto"/>
                <w:sz w:val="24"/>
                <w:highlight w:val="none"/>
                <w:lang w:val="en-US" w:eastAsia="zh-CN"/>
              </w:rPr>
              <w:t>配套试剂</w:t>
            </w:r>
          </w:p>
        </w:tc>
        <w:tc>
          <w:tcPr>
            <w:tcW w:w="865" w:type="dxa"/>
            <w:vAlign w:val="center"/>
          </w:tcPr>
          <w:p w14:paraId="6D4C1DAB">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69087EDA">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73350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2814C0DC">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10</w:t>
            </w:r>
          </w:p>
        </w:tc>
        <w:tc>
          <w:tcPr>
            <w:tcW w:w="5572" w:type="dxa"/>
            <w:vAlign w:val="center"/>
          </w:tcPr>
          <w:p w14:paraId="6C92D517">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硫化物</w:t>
            </w:r>
            <w:r>
              <w:rPr>
                <w:rFonts w:hint="eastAsia" w:ascii="Times New Roman" w:eastAsia="宋体"/>
                <w:color w:val="auto"/>
                <w:sz w:val="24"/>
                <w:highlight w:val="none"/>
                <w:lang w:val="en-US" w:eastAsia="zh-CN"/>
              </w:rPr>
              <w:t>配套试剂</w:t>
            </w:r>
          </w:p>
        </w:tc>
        <w:tc>
          <w:tcPr>
            <w:tcW w:w="865" w:type="dxa"/>
            <w:vAlign w:val="center"/>
          </w:tcPr>
          <w:p w14:paraId="415A9EF1">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608D4B8A">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3046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4A95BEB3">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11</w:t>
            </w:r>
          </w:p>
        </w:tc>
        <w:tc>
          <w:tcPr>
            <w:tcW w:w="5572" w:type="dxa"/>
            <w:vAlign w:val="center"/>
          </w:tcPr>
          <w:p w14:paraId="6C161E51">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铅镉锌铜</w:t>
            </w:r>
            <w:r>
              <w:rPr>
                <w:rFonts w:hint="eastAsia" w:ascii="Times New Roman" w:eastAsia="宋体"/>
                <w:color w:val="auto"/>
                <w:sz w:val="24"/>
                <w:highlight w:val="none"/>
                <w:lang w:val="en-US" w:eastAsia="zh-CN"/>
              </w:rPr>
              <w:t>配套试剂</w:t>
            </w:r>
          </w:p>
        </w:tc>
        <w:tc>
          <w:tcPr>
            <w:tcW w:w="865" w:type="dxa"/>
            <w:vAlign w:val="center"/>
          </w:tcPr>
          <w:p w14:paraId="4E47A36D">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6A0A4A38">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680BB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344AB092">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12</w:t>
            </w:r>
          </w:p>
        </w:tc>
        <w:tc>
          <w:tcPr>
            <w:tcW w:w="5572" w:type="dxa"/>
            <w:vAlign w:val="center"/>
          </w:tcPr>
          <w:p w14:paraId="27BD8766">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阴离子</w:t>
            </w:r>
            <w:r>
              <w:rPr>
                <w:rFonts w:hint="eastAsia" w:ascii="Times New Roman" w:eastAsia="宋体"/>
                <w:color w:val="auto"/>
                <w:sz w:val="24"/>
                <w:highlight w:val="none"/>
                <w:lang w:val="en-US" w:eastAsia="zh-CN"/>
              </w:rPr>
              <w:t>配套试剂</w:t>
            </w:r>
          </w:p>
        </w:tc>
        <w:tc>
          <w:tcPr>
            <w:tcW w:w="865" w:type="dxa"/>
            <w:vAlign w:val="center"/>
          </w:tcPr>
          <w:p w14:paraId="6764783B">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32DD6B4B">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4478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2E07D7B4">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13</w:t>
            </w:r>
          </w:p>
        </w:tc>
        <w:tc>
          <w:tcPr>
            <w:tcW w:w="5572" w:type="dxa"/>
            <w:vAlign w:val="center"/>
          </w:tcPr>
          <w:p w14:paraId="289F90D6">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汞</w:t>
            </w:r>
            <w:r>
              <w:rPr>
                <w:rFonts w:hint="eastAsia" w:ascii="Times New Roman" w:eastAsia="宋体"/>
                <w:color w:val="auto"/>
                <w:sz w:val="24"/>
                <w:highlight w:val="none"/>
                <w:lang w:val="en-US" w:eastAsia="zh-CN"/>
              </w:rPr>
              <w:t>配套试剂</w:t>
            </w:r>
          </w:p>
        </w:tc>
        <w:tc>
          <w:tcPr>
            <w:tcW w:w="865" w:type="dxa"/>
            <w:vAlign w:val="center"/>
          </w:tcPr>
          <w:p w14:paraId="4873691B">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6A19C319">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0DA0F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7042A5A0">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14</w:t>
            </w:r>
          </w:p>
        </w:tc>
        <w:tc>
          <w:tcPr>
            <w:tcW w:w="5572" w:type="dxa"/>
            <w:vAlign w:val="center"/>
          </w:tcPr>
          <w:p w14:paraId="3B4D45C4">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挥发酚</w:t>
            </w:r>
            <w:r>
              <w:rPr>
                <w:rFonts w:hint="eastAsia" w:ascii="Times New Roman" w:eastAsia="宋体"/>
                <w:color w:val="auto"/>
                <w:sz w:val="24"/>
                <w:highlight w:val="none"/>
                <w:lang w:val="en-US" w:eastAsia="zh-CN"/>
              </w:rPr>
              <w:t>配套试剂</w:t>
            </w:r>
          </w:p>
        </w:tc>
        <w:tc>
          <w:tcPr>
            <w:tcW w:w="865" w:type="dxa"/>
            <w:vAlign w:val="center"/>
          </w:tcPr>
          <w:p w14:paraId="6D97D835">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5D547CCD">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25B3C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0EE7E9B">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15</w:t>
            </w:r>
          </w:p>
        </w:tc>
        <w:tc>
          <w:tcPr>
            <w:tcW w:w="5572" w:type="dxa"/>
            <w:vAlign w:val="center"/>
          </w:tcPr>
          <w:p w14:paraId="533867A0">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硒</w:t>
            </w:r>
            <w:r>
              <w:rPr>
                <w:rFonts w:hint="eastAsia" w:ascii="Times New Roman" w:eastAsia="宋体"/>
                <w:color w:val="auto"/>
                <w:sz w:val="24"/>
                <w:highlight w:val="none"/>
                <w:lang w:val="en-US" w:eastAsia="zh-CN"/>
              </w:rPr>
              <w:t>配套试剂</w:t>
            </w:r>
          </w:p>
        </w:tc>
        <w:tc>
          <w:tcPr>
            <w:tcW w:w="865" w:type="dxa"/>
            <w:vAlign w:val="center"/>
          </w:tcPr>
          <w:p w14:paraId="14D3CAAC">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0B84740B">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3C7BF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40DE3D67">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16</w:t>
            </w:r>
          </w:p>
        </w:tc>
        <w:tc>
          <w:tcPr>
            <w:tcW w:w="5572" w:type="dxa"/>
            <w:vAlign w:val="center"/>
          </w:tcPr>
          <w:p w14:paraId="474BA253">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石油类</w:t>
            </w:r>
            <w:r>
              <w:rPr>
                <w:rFonts w:hint="eastAsia" w:ascii="Times New Roman" w:eastAsia="宋体"/>
                <w:color w:val="auto"/>
                <w:sz w:val="24"/>
                <w:highlight w:val="none"/>
                <w:lang w:val="en-US" w:eastAsia="zh-CN"/>
              </w:rPr>
              <w:t>配套试剂</w:t>
            </w:r>
          </w:p>
        </w:tc>
        <w:tc>
          <w:tcPr>
            <w:tcW w:w="865" w:type="dxa"/>
            <w:vAlign w:val="center"/>
          </w:tcPr>
          <w:p w14:paraId="04E6DE7D">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4F0EE58D">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66E5B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0D0C6431">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17</w:t>
            </w:r>
          </w:p>
        </w:tc>
        <w:tc>
          <w:tcPr>
            <w:tcW w:w="5572" w:type="dxa"/>
            <w:vAlign w:val="center"/>
          </w:tcPr>
          <w:p w14:paraId="4E5E3891">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粪大肠菌</w:t>
            </w:r>
            <w:r>
              <w:rPr>
                <w:rFonts w:hint="eastAsia" w:ascii="Times New Roman" w:eastAsia="宋体"/>
                <w:color w:val="auto"/>
                <w:sz w:val="24"/>
                <w:highlight w:val="none"/>
                <w:lang w:val="en-US" w:eastAsia="zh-CN"/>
              </w:rPr>
              <w:t>配套试剂</w:t>
            </w:r>
          </w:p>
        </w:tc>
        <w:tc>
          <w:tcPr>
            <w:tcW w:w="865" w:type="dxa"/>
            <w:vAlign w:val="center"/>
          </w:tcPr>
          <w:p w14:paraId="098A62FF">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56C72A2B">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r w14:paraId="01161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687766CF">
            <w:pPr>
              <w:numPr>
                <w:ilvl w:val="0"/>
                <w:numId w:val="0"/>
              </w:numPr>
              <w:spacing w:after="0" w:line="360" w:lineRule="auto"/>
              <w:jc w:val="center"/>
              <w:outlineLvl w:val="1"/>
              <w:rPr>
                <w:rFonts w:hint="default" w:cs="Times New Roman"/>
                <w:color w:val="auto"/>
                <w:sz w:val="24"/>
                <w:highlight w:val="none"/>
                <w:vertAlign w:val="baseline"/>
                <w:lang w:val="en-US" w:eastAsia="zh-CN" w:bidi="ar-SA"/>
              </w:rPr>
            </w:pPr>
            <w:r>
              <w:rPr>
                <w:rFonts w:hint="eastAsia" w:cs="Times New Roman"/>
                <w:color w:val="auto"/>
                <w:sz w:val="24"/>
                <w:highlight w:val="none"/>
                <w:vertAlign w:val="baseline"/>
                <w:lang w:val="en-US" w:eastAsia="zh-CN" w:bidi="ar-SA"/>
              </w:rPr>
              <w:t>18</w:t>
            </w:r>
          </w:p>
        </w:tc>
        <w:tc>
          <w:tcPr>
            <w:tcW w:w="5572" w:type="dxa"/>
            <w:vAlign w:val="center"/>
          </w:tcPr>
          <w:p w14:paraId="6B86C4E4">
            <w:pPr>
              <w:numPr>
                <w:ilvl w:val="0"/>
                <w:numId w:val="0"/>
              </w:numPr>
              <w:spacing w:after="0" w:line="360" w:lineRule="auto"/>
              <w:jc w:val="center"/>
              <w:outlineLvl w:val="1"/>
              <w:rPr>
                <w:rFonts w:hint="eastAsia" w:cs="Times New Roman"/>
                <w:color w:val="auto"/>
                <w:sz w:val="24"/>
                <w:highlight w:val="none"/>
                <w:vertAlign w:val="baseline"/>
                <w:lang w:val="en-US" w:eastAsia="zh-CN" w:bidi="ar-SA"/>
              </w:rPr>
            </w:pPr>
            <w:r>
              <w:rPr>
                <w:rFonts w:hint="eastAsia"/>
                <w:color w:val="auto"/>
                <w:sz w:val="24"/>
                <w:highlight w:val="none"/>
              </w:rPr>
              <w:t>五日生化需氧量</w:t>
            </w:r>
            <w:r>
              <w:rPr>
                <w:rFonts w:hint="eastAsia" w:ascii="Times New Roman" w:eastAsia="宋体"/>
                <w:color w:val="auto"/>
                <w:sz w:val="24"/>
                <w:highlight w:val="none"/>
                <w:lang w:val="en-US" w:eastAsia="zh-CN"/>
              </w:rPr>
              <w:t>配套试剂</w:t>
            </w:r>
          </w:p>
        </w:tc>
        <w:tc>
          <w:tcPr>
            <w:tcW w:w="865" w:type="dxa"/>
            <w:vAlign w:val="center"/>
          </w:tcPr>
          <w:p w14:paraId="0516F1B3">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套</w:t>
            </w:r>
          </w:p>
        </w:tc>
        <w:tc>
          <w:tcPr>
            <w:tcW w:w="1141" w:type="dxa"/>
            <w:vAlign w:val="center"/>
          </w:tcPr>
          <w:p w14:paraId="3126025A">
            <w:pPr>
              <w:numPr>
                <w:ilvl w:val="0"/>
                <w:numId w:val="0"/>
              </w:numPr>
              <w:spacing w:after="0" w:line="360" w:lineRule="auto"/>
              <w:jc w:val="center"/>
              <w:outlineLvl w:val="1"/>
              <w:rPr>
                <w:rFonts w:hint="eastAsia"/>
                <w:color w:val="auto"/>
                <w:sz w:val="24"/>
                <w:highlight w:val="none"/>
              </w:rPr>
            </w:pPr>
            <w:r>
              <w:rPr>
                <w:rFonts w:hint="eastAsia" w:ascii="Times New Roman" w:eastAsia="宋体"/>
                <w:color w:val="auto"/>
                <w:sz w:val="24"/>
                <w:highlight w:val="none"/>
                <w:lang w:val="en-US" w:eastAsia="zh-CN"/>
              </w:rPr>
              <w:t>5</w:t>
            </w:r>
          </w:p>
        </w:tc>
      </w:tr>
    </w:tbl>
    <w:p w14:paraId="7718C1EF">
      <w:pPr>
        <w:keepNext/>
        <w:widowControl w:val="0"/>
        <w:spacing w:line="300" w:lineRule="auto"/>
        <w:ind w:firstLine="482" w:firstLineChars="200"/>
        <w:jc w:val="both"/>
        <w:outlineLvl w:val="0"/>
        <w:rPr>
          <w:rFonts w:hint="eastAsia" w:ascii="宋体" w:hAnsi="宋体" w:eastAsia="宋体" w:cs="宋体"/>
          <w:b/>
          <w:strike w:val="0"/>
          <w:dstrike w:val="0"/>
          <w:color w:val="auto"/>
          <w:kern w:val="0"/>
          <w:sz w:val="24"/>
          <w:szCs w:val="24"/>
          <w:highlight w:val="none"/>
          <w:lang w:val="en-US" w:eastAsia="zh-CN" w:bidi="ar-SA"/>
        </w:rPr>
      </w:pPr>
      <w:r>
        <w:rPr>
          <w:rFonts w:hint="eastAsia" w:ascii="宋体" w:hAnsi="宋体" w:eastAsia="宋体" w:cs="宋体"/>
          <w:b/>
          <w:strike w:val="0"/>
          <w:dstrike w:val="0"/>
          <w:color w:val="auto"/>
          <w:kern w:val="0"/>
          <w:sz w:val="24"/>
          <w:szCs w:val="24"/>
          <w:highlight w:val="none"/>
          <w:lang w:val="en-US" w:eastAsia="zh-CN" w:bidi="ar-SA"/>
        </w:rPr>
        <w:t>三、验收标准</w:t>
      </w:r>
    </w:p>
    <w:p w14:paraId="46128B59">
      <w:pPr>
        <w:spacing w:line="300" w:lineRule="auto"/>
        <w:ind w:firstLine="480" w:firstLineChars="200"/>
        <w:rPr>
          <w:rFonts w:hint="eastAsia" w:ascii="宋体" w:hAnsi="宋体" w:cs="宋体"/>
          <w:strike w:val="0"/>
          <w:dstrike w:val="0"/>
          <w:color w:val="auto"/>
          <w:sz w:val="24"/>
          <w:szCs w:val="24"/>
          <w:highlight w:val="none"/>
        </w:rPr>
      </w:pPr>
      <w:r>
        <w:rPr>
          <w:rFonts w:hint="eastAsia" w:ascii="宋体" w:hAnsi="宋体" w:cs="宋体"/>
          <w:strike w:val="0"/>
          <w:dstrike w:val="0"/>
          <w:color w:val="auto"/>
          <w:sz w:val="24"/>
          <w:szCs w:val="24"/>
          <w:highlight w:val="none"/>
          <w:lang w:val="en-US" w:eastAsia="zh-CN"/>
        </w:rPr>
        <w:t>本项目服务期结束后开展验收，验收要求如下</w:t>
      </w:r>
      <w:r>
        <w:rPr>
          <w:rFonts w:hint="eastAsia" w:ascii="宋体" w:hAnsi="宋体" w:cs="宋体"/>
          <w:strike w:val="0"/>
          <w:dstrike w:val="0"/>
          <w:color w:val="auto"/>
          <w:sz w:val="24"/>
          <w:szCs w:val="24"/>
          <w:highlight w:val="none"/>
        </w:rPr>
        <w:t>：</w:t>
      </w:r>
    </w:p>
    <w:p w14:paraId="12499AB1">
      <w:pPr>
        <w:spacing w:line="300" w:lineRule="auto"/>
        <w:ind w:firstLine="480" w:firstLineChars="200"/>
        <w:rPr>
          <w:rFonts w:hint="eastAsia" w:ascii="宋体" w:hAnsi="宋体" w:cs="宋体"/>
          <w:strike w:val="0"/>
          <w:dstrike w:val="0"/>
          <w:color w:val="auto"/>
          <w:sz w:val="24"/>
          <w:szCs w:val="24"/>
          <w:highlight w:val="none"/>
          <w:lang w:val="en-US" w:eastAsia="zh-CN"/>
        </w:rPr>
      </w:pPr>
      <w:r>
        <w:rPr>
          <w:rFonts w:hint="eastAsia" w:ascii="宋体" w:hAnsi="宋体" w:cs="宋体"/>
          <w:strike w:val="0"/>
          <w:dstrike w:val="0"/>
          <w:color w:val="auto"/>
          <w:sz w:val="24"/>
          <w:szCs w:val="24"/>
          <w:highlight w:val="none"/>
          <w:lang w:val="en-US" w:eastAsia="zh-CN"/>
        </w:rPr>
        <w:t>1、按照要求配合甲方完成每年度新吴区例行监测任务；</w:t>
      </w:r>
    </w:p>
    <w:p w14:paraId="63E375BD">
      <w:pPr>
        <w:spacing w:line="300" w:lineRule="auto"/>
        <w:ind w:firstLine="480" w:firstLineChars="200"/>
        <w:rPr>
          <w:rFonts w:hint="eastAsia" w:ascii="宋体" w:hAnsi="宋体" w:cs="宋体"/>
          <w:strike w:val="0"/>
          <w:dstrike w:val="0"/>
          <w:color w:val="auto"/>
          <w:sz w:val="24"/>
          <w:szCs w:val="24"/>
          <w:highlight w:val="none"/>
          <w:lang w:val="en-US" w:eastAsia="zh-CN"/>
        </w:rPr>
      </w:pPr>
      <w:r>
        <w:rPr>
          <w:rFonts w:hint="eastAsia" w:ascii="宋体" w:hAnsi="宋体" w:cs="宋体"/>
          <w:strike w:val="0"/>
          <w:dstrike w:val="0"/>
          <w:color w:val="auto"/>
          <w:sz w:val="24"/>
          <w:szCs w:val="24"/>
          <w:highlight w:val="none"/>
          <w:lang w:val="en-US" w:eastAsia="zh-CN"/>
        </w:rPr>
        <w:t>2、实验室质量管理体系运行正常，保障</w:t>
      </w:r>
      <w:r>
        <w:rPr>
          <w:rFonts w:hint="eastAsia" w:ascii="宋体" w:cs="宋体"/>
          <w:b w:val="0"/>
          <w:color w:val="auto"/>
          <w:spacing w:val="0"/>
          <w:sz w:val="24"/>
          <w:szCs w:val="24"/>
          <w:highlight w:val="none"/>
          <w:lang w:val="en-US" w:eastAsia="zh-CN"/>
        </w:rPr>
        <w:t>实验室管理系统</w:t>
      </w:r>
      <w:r>
        <w:rPr>
          <w:rFonts w:hint="eastAsia" w:ascii="宋体" w:hAnsi="宋体" w:cs="宋体"/>
          <w:strike w:val="0"/>
          <w:dstrike w:val="0"/>
          <w:color w:val="auto"/>
          <w:sz w:val="24"/>
          <w:szCs w:val="24"/>
          <w:highlight w:val="none"/>
          <w:lang w:val="en-US" w:eastAsia="zh-CN"/>
        </w:rPr>
        <w:t>服务期内稳定运行。</w:t>
      </w:r>
    </w:p>
    <w:p w14:paraId="0AD62A56">
      <w:pPr>
        <w:spacing w:line="300" w:lineRule="auto"/>
        <w:ind w:firstLine="480" w:firstLineChars="200"/>
        <w:rPr>
          <w:rFonts w:hint="default" w:ascii="宋体" w:hAnsi="宋体" w:cs="宋体"/>
          <w:strike w:val="0"/>
          <w:dstrike w:val="0"/>
          <w:color w:val="auto"/>
          <w:sz w:val="24"/>
          <w:szCs w:val="24"/>
          <w:highlight w:val="none"/>
          <w:lang w:val="en-US" w:eastAsia="zh-CN"/>
        </w:rPr>
      </w:pPr>
      <w:r>
        <w:rPr>
          <w:rFonts w:hint="eastAsia" w:ascii="宋体" w:hAnsi="宋体" w:cs="宋体"/>
          <w:strike w:val="0"/>
          <w:dstrike w:val="0"/>
          <w:color w:val="auto"/>
          <w:sz w:val="24"/>
          <w:szCs w:val="24"/>
          <w:highlight w:val="none"/>
          <w:lang w:val="en-US" w:eastAsia="zh-CN"/>
        </w:rPr>
        <w:t>3、按照要求配合甲方完成定量任务及实验室操作系统运行。</w:t>
      </w:r>
    </w:p>
    <w:p w14:paraId="16B68202">
      <w:pPr>
        <w:keepNext/>
        <w:widowControl w:val="0"/>
        <w:spacing w:line="300" w:lineRule="auto"/>
        <w:ind w:firstLine="482" w:firstLineChars="200"/>
        <w:jc w:val="both"/>
        <w:outlineLvl w:val="0"/>
        <w:rPr>
          <w:rFonts w:hint="eastAsia" w:ascii="宋体" w:hAnsi="宋体" w:eastAsia="宋体" w:cs="宋体"/>
          <w:b/>
          <w:color w:val="auto"/>
          <w:kern w:val="0"/>
          <w:sz w:val="24"/>
          <w:szCs w:val="24"/>
          <w:highlight w:val="none"/>
          <w:lang w:val="en-US" w:eastAsia="zh-CN" w:bidi="ar-SA"/>
        </w:rPr>
      </w:pPr>
      <w:bookmarkStart w:id="32" w:name="_Toc91522175"/>
      <w:bookmarkStart w:id="33" w:name="_Toc90371838"/>
      <w:bookmarkStart w:id="34" w:name="_Toc95489664"/>
      <w:bookmarkStart w:id="35" w:name="_Toc89421134"/>
      <w:r>
        <w:rPr>
          <w:rFonts w:hint="eastAsia" w:ascii="宋体" w:hAnsi="宋体" w:eastAsia="宋体" w:cs="宋体"/>
          <w:b/>
          <w:color w:val="auto"/>
          <w:kern w:val="0"/>
          <w:sz w:val="24"/>
          <w:szCs w:val="24"/>
          <w:highlight w:val="none"/>
          <w:lang w:val="en-US" w:eastAsia="zh-CN" w:bidi="ar-SA"/>
        </w:rPr>
        <w:t>四、售后服务</w:t>
      </w:r>
      <w:bookmarkEnd w:id="32"/>
      <w:bookmarkEnd w:id="33"/>
      <w:bookmarkEnd w:id="34"/>
      <w:bookmarkEnd w:id="35"/>
    </w:p>
    <w:p w14:paraId="4BA28A90">
      <w:pPr>
        <w:widowControl/>
        <w:spacing w:line="30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售后服务应包括但不限于仪器日常维护、服务机构及专业技术人员配置、售后服务响应及保障计划和设备使用情况、驻站人员安排、客户疑难问题解答、定时回访等相关事宜等内容。根据项目技术文件要求和评分要求，供应商须编制售后服务方案，并且在应答中书面承诺，</w:t>
      </w:r>
      <w:r>
        <w:rPr>
          <w:rFonts w:hint="eastAsia" w:ascii="宋体" w:hAnsi="宋体" w:cs="宋体"/>
          <w:color w:val="auto"/>
          <w:sz w:val="24"/>
          <w:szCs w:val="24"/>
          <w:highlight w:val="none"/>
          <w:lang w:val="en-US" w:eastAsia="zh-CN"/>
        </w:rPr>
        <w:t>提供原厂备件承诺书。</w:t>
      </w:r>
    </w:p>
    <w:p w14:paraId="3B36BBDA">
      <w:pPr>
        <w:keepNext/>
        <w:widowControl w:val="0"/>
        <w:numPr>
          <w:ilvl w:val="0"/>
          <w:numId w:val="0"/>
        </w:numPr>
        <w:spacing w:line="300" w:lineRule="auto"/>
        <w:ind w:firstLine="482" w:firstLineChars="200"/>
        <w:jc w:val="both"/>
        <w:outlineLvl w:val="0"/>
        <w:rPr>
          <w:rFonts w:hint="default" w:ascii="楷体_GB2312" w:hAnsi="Times New Roman" w:eastAsia="宋体" w:cs="Times New Roman"/>
          <w:b/>
          <w:color w:val="auto"/>
          <w:kern w:val="0"/>
          <w:sz w:val="28"/>
          <w:highlight w:val="none"/>
          <w:lang w:val="en-US" w:eastAsia="zh-CN" w:bidi="ar-SA"/>
        </w:rPr>
      </w:pPr>
      <w:r>
        <w:rPr>
          <w:rFonts w:hint="eastAsia" w:ascii="宋体" w:hAnsi="宋体" w:eastAsia="宋体" w:cs="宋体"/>
          <w:b/>
          <w:color w:val="auto"/>
          <w:kern w:val="0"/>
          <w:sz w:val="24"/>
          <w:szCs w:val="24"/>
          <w:highlight w:val="none"/>
          <w:lang w:val="en-US" w:eastAsia="zh-CN" w:bidi="ar-SA"/>
        </w:rPr>
        <w:t>五、有关说明</w:t>
      </w:r>
    </w:p>
    <w:p w14:paraId="29942A39">
      <w:pPr>
        <w:widowControl/>
        <w:spacing w:line="30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.付款方式：</w:t>
      </w:r>
      <w:r>
        <w:rPr>
          <w:rFonts w:hint="eastAsia" w:ascii="宋体" w:hAnsi="宋体" w:cs="宋体"/>
          <w:color w:val="auto"/>
          <w:sz w:val="24"/>
          <w:szCs w:val="24"/>
          <w:highlight w:val="none"/>
          <w:lang w:val="en-US" w:eastAsia="zh-CN"/>
        </w:rPr>
        <w:t>暂定</w:t>
      </w:r>
      <w:r>
        <w:rPr>
          <w:rFonts w:hint="eastAsia" w:ascii="宋体" w:hAnsi="宋体" w:cs="宋体"/>
          <w:color w:val="auto"/>
          <w:sz w:val="24"/>
          <w:szCs w:val="24"/>
          <w:highlight w:val="none"/>
          <w:u w:val="single"/>
        </w:rPr>
        <w:t>签订合同后</w:t>
      </w:r>
      <w:r>
        <w:rPr>
          <w:rFonts w:hint="eastAsia" w:ascii="宋体" w:hAnsi="宋体" w:cs="宋体"/>
          <w:color w:val="auto"/>
          <w:sz w:val="24"/>
          <w:szCs w:val="24"/>
          <w:highlight w:val="none"/>
          <w:u w:val="single"/>
          <w:lang w:val="en-US" w:eastAsia="zh-CN"/>
        </w:rPr>
        <w:t>2027年11月30日前支付项目首付款122.75万元，2028-2029年每年11月30日前支付项目进度款140万元，2030年整体项目验收后支付项目尾款</w:t>
      </w:r>
      <w:r>
        <w:rPr>
          <w:rFonts w:hint="eastAsia" w:ascii="宋体" w:hAnsi="宋体" w:cs="宋体"/>
          <w:color w:val="auto"/>
          <w:sz w:val="24"/>
          <w:szCs w:val="24"/>
          <w:highlight w:val="none"/>
        </w:rPr>
        <w:t>。</w:t>
      </w:r>
    </w:p>
    <w:p w14:paraId="6CF41412">
      <w:pPr>
        <w:widowControl/>
        <w:spacing w:line="30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.本项目投标总报价包括设备、软件及配件的包装、运杂、支架等辅材以及安装与设备调试安装调试、售后服务、监测服务等从项目中标起到项目正式交付以及质保期内所发生的一切费用。</w:t>
      </w:r>
    </w:p>
    <w:p w14:paraId="3B9039B7">
      <w:pPr>
        <w:widowControl/>
        <w:spacing w:line="30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6F8A413E">
      <w:pPr>
        <w:widowControl/>
        <w:spacing w:line="30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.投标人必须在满足招标文件要求的基础上进行报价，如有技术偏离请于技术偏离表中说明。</w:t>
      </w:r>
    </w:p>
    <w:p w14:paraId="6C4D3C21">
      <w:pPr>
        <w:widowControl/>
        <w:spacing w:line="30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p>
    <w:p w14:paraId="7798F641">
      <w:pPr>
        <w:keepNext w:val="0"/>
        <w:keepLines w:val="0"/>
        <w:pageBreakBefore w:val="0"/>
        <w:widowControl w:val="0"/>
        <w:numPr>
          <w:ilvl w:val="0"/>
          <w:numId w:val="0"/>
        </w:numPr>
        <w:shd w:val="clear" w:color="auto" w:fill="auto"/>
        <w:tabs>
          <w:tab w:val="left" w:pos="525"/>
          <w:tab w:val="left" w:pos="630"/>
          <w:tab w:val="left" w:pos="735"/>
          <w:tab w:val="left" w:pos="945"/>
        </w:tabs>
        <w:kinsoku/>
        <w:wordWrap/>
        <w:overflowPunct/>
        <w:topLinePunct w:val="0"/>
        <w:autoSpaceDE/>
        <w:autoSpaceDN/>
        <w:bidi w:val="0"/>
        <w:adjustRightInd/>
        <w:snapToGrid w:val="0"/>
        <w:spacing w:line="360" w:lineRule="auto"/>
        <w:ind w:left="0" w:leftChars="0" w:firstLine="480"/>
        <w:jc w:val="left"/>
        <w:textAlignment w:val="auto"/>
        <w:rPr>
          <w:rFonts w:hint="eastAsia" w:ascii="宋体" w:hAnsi="宋体" w:eastAsia="宋体" w:cs="宋体"/>
          <w:bCs/>
          <w:snapToGrid/>
          <w:color w:val="auto"/>
          <w:sz w:val="24"/>
          <w:szCs w:val="24"/>
          <w:highlight w:val="none"/>
          <w:lang w:val="en-US" w:eastAsia="zh-CN" w:bidi="ar-SA"/>
        </w:rPr>
      </w:pPr>
      <w:r>
        <w:rPr>
          <w:rFonts w:ascii="宋体" w:hAnsi="宋体" w:cs="宋体"/>
          <w:color w:val="auto"/>
          <w:sz w:val="24"/>
          <w:szCs w:val="24"/>
          <w:highlight w:val="none"/>
        </w:rPr>
        <w:t>6</w:t>
      </w:r>
      <w:r>
        <w:rPr>
          <w:rFonts w:hint="eastAsia" w:ascii="宋体" w:hAnsi="宋体" w:cs="宋体"/>
          <w:color w:val="auto"/>
          <w:sz w:val="24"/>
          <w:szCs w:val="24"/>
          <w:highlight w:val="none"/>
        </w:rPr>
        <w:t>.涉及采购文件的补充说明或修正，均以采购代理机构邮件或书面依据为准。</w:t>
      </w:r>
    </w:p>
    <w:p w14:paraId="130F7AAE">
      <w:pPr>
        <w:widowControl w:val="0"/>
        <w:kinsoku/>
        <w:autoSpaceDE/>
        <w:autoSpaceDN/>
        <w:adjustRightInd/>
        <w:snapToGrid/>
        <w:jc w:val="both"/>
        <w:textAlignment w:val="auto"/>
        <w:rPr>
          <w:rFonts w:hint="eastAsia" w:ascii="Calibri" w:hAnsi="Calibri" w:eastAsia="Arial" w:cs="Times New Roman"/>
          <w:snapToGrid/>
          <w:color w:val="auto"/>
          <w:szCs w:val="22"/>
          <w:highlight w:val="none"/>
        </w:rPr>
      </w:pPr>
    </w:p>
    <w:p w14:paraId="60928582">
      <w:pPr>
        <w:rPr>
          <w:rFonts w:hint="eastAsia" w:ascii="宋体" w:hAnsi="宋体" w:eastAsia="Arial" w:cs="Times New Roman"/>
          <w:b/>
          <w:snapToGrid/>
          <w:color w:val="auto"/>
          <w:sz w:val="30"/>
          <w:szCs w:val="30"/>
          <w:highlight w:val="none"/>
        </w:rPr>
      </w:pPr>
      <w:r>
        <w:rPr>
          <w:rFonts w:hint="eastAsia" w:ascii="宋体" w:hAnsi="宋体" w:eastAsia="Arial" w:cs="Times New Roman"/>
          <w:b/>
          <w:snapToGrid/>
          <w:color w:val="auto"/>
          <w:sz w:val="30"/>
          <w:szCs w:val="30"/>
          <w:highlight w:val="none"/>
        </w:rPr>
        <w:br w:type="page"/>
      </w:r>
    </w:p>
    <w:p w14:paraId="3FE3606B">
      <w:pPr>
        <w:rPr>
          <w:rFonts w:hint="eastAsia" w:hAnsi="宋体" w:cs="宋体"/>
          <w:b/>
          <w:bCs/>
          <w:color w:val="auto"/>
          <w:sz w:val="36"/>
          <w:szCs w:val="36"/>
          <w:highlight w:val="none"/>
        </w:rPr>
      </w:pPr>
    </w:p>
    <w:p w14:paraId="0F0725B0">
      <w:pPr>
        <w:spacing w:line="360" w:lineRule="auto"/>
        <w:jc w:val="center"/>
        <w:outlineLvl w:val="0"/>
        <w:rPr>
          <w:rFonts w:hint="eastAsia" w:hAnsi="宋体" w:cs="宋体"/>
          <w:b/>
          <w:bCs/>
          <w:color w:val="auto"/>
          <w:sz w:val="36"/>
          <w:szCs w:val="36"/>
          <w:highlight w:val="none"/>
        </w:rPr>
      </w:pPr>
      <w:r>
        <w:rPr>
          <w:rFonts w:hint="eastAsia" w:hAnsi="宋体" w:cs="宋体"/>
          <w:b/>
          <w:bCs/>
          <w:color w:val="auto"/>
          <w:sz w:val="36"/>
          <w:szCs w:val="36"/>
          <w:highlight w:val="none"/>
        </w:rPr>
        <w:t>四、合同书（格式文本）</w:t>
      </w:r>
      <w:bookmarkEnd w:id="28"/>
      <w:bookmarkEnd w:id="29"/>
      <w:bookmarkEnd w:id="30"/>
    </w:p>
    <w:p w14:paraId="74649448">
      <w:pPr>
        <w:spacing w:line="360" w:lineRule="auto"/>
        <w:ind w:firstLine="480"/>
        <w:rPr>
          <w:rFonts w:hint="eastAsia" w:hAnsi="宋体" w:eastAsia="宋体"/>
          <w:bCs/>
          <w:color w:val="auto"/>
          <w:sz w:val="24"/>
          <w:highlight w:val="none"/>
          <w:lang w:eastAsia="zh-CN"/>
        </w:rPr>
      </w:pPr>
      <w:bookmarkStart w:id="36" w:name="_Toc17918"/>
      <w:bookmarkStart w:id="37" w:name="_Toc4709"/>
      <w:r>
        <w:rPr>
          <w:rFonts w:hint="eastAsia" w:hAnsi="宋体"/>
          <w:bCs/>
          <w:color w:val="auto"/>
          <w:sz w:val="24"/>
          <w:highlight w:val="none"/>
        </w:rPr>
        <w:t>甲方：</w:t>
      </w:r>
      <w:r>
        <w:rPr>
          <w:rFonts w:hint="eastAsia" w:hAnsi="宋体"/>
          <w:bCs/>
          <w:color w:val="auto"/>
          <w:sz w:val="24"/>
          <w:highlight w:val="none"/>
          <w:u w:val="single"/>
          <w:lang w:eastAsia="zh-CN"/>
        </w:rPr>
        <w:t>无锡市新吴生态环境局</w:t>
      </w:r>
    </w:p>
    <w:p w14:paraId="6FBDFDB9">
      <w:pPr>
        <w:spacing w:line="360" w:lineRule="auto"/>
        <w:ind w:firstLine="480"/>
        <w:rPr>
          <w:rFonts w:hAnsi="宋体"/>
          <w:bCs/>
          <w:color w:val="auto"/>
          <w:sz w:val="24"/>
          <w:highlight w:val="none"/>
        </w:rPr>
      </w:pPr>
      <w:r>
        <w:rPr>
          <w:rFonts w:hint="eastAsia" w:hAnsi="宋体"/>
          <w:bCs/>
          <w:color w:val="auto"/>
          <w:sz w:val="24"/>
          <w:highlight w:val="none"/>
        </w:rPr>
        <w:t>乙方：</w:t>
      </w:r>
      <w:r>
        <w:rPr>
          <w:rFonts w:hint="eastAsia" w:hAnsi="宋体"/>
          <w:bCs/>
          <w:color w:val="auto"/>
          <w:sz w:val="24"/>
          <w:highlight w:val="none"/>
          <w:u w:val="single"/>
        </w:rPr>
        <w:t xml:space="preserve">                     </w:t>
      </w:r>
    </w:p>
    <w:p w14:paraId="4B7472CA">
      <w:pPr>
        <w:spacing w:line="360" w:lineRule="auto"/>
        <w:ind w:firstLine="480"/>
        <w:rPr>
          <w:rFonts w:hAnsi="宋体"/>
          <w:bCs/>
          <w:color w:val="auto"/>
          <w:sz w:val="24"/>
          <w:highlight w:val="none"/>
        </w:rPr>
      </w:pPr>
      <w:r>
        <w:rPr>
          <w:rFonts w:hint="eastAsia" w:hAnsi="宋体"/>
          <w:bCs/>
          <w:color w:val="auto"/>
          <w:sz w:val="24"/>
          <w:highlight w:val="none"/>
        </w:rPr>
        <w:t>根据</w:t>
      </w:r>
      <w:r>
        <w:rPr>
          <w:rFonts w:hint="eastAsia" w:hAnsi="宋体"/>
          <w:bCs/>
          <w:color w:val="auto"/>
          <w:sz w:val="24"/>
          <w:highlight w:val="none"/>
          <w:lang w:eastAsia="zh-CN"/>
        </w:rPr>
        <w:t>江苏朝阳工程管理咨询有限责任公司</w:t>
      </w:r>
      <w:r>
        <w:rPr>
          <w:rFonts w:hint="eastAsia" w:hAnsi="宋体"/>
          <w:bCs/>
          <w:color w:val="auto"/>
          <w:sz w:val="24"/>
          <w:highlight w:val="none"/>
        </w:rPr>
        <w:t>编号</w:t>
      </w:r>
      <w:r>
        <w:rPr>
          <w:rFonts w:hint="eastAsia" w:hAnsi="宋体"/>
          <w:bCs/>
          <w:color w:val="auto"/>
          <w:sz w:val="24"/>
          <w:highlight w:val="none"/>
          <w:u w:val="single"/>
          <w:lang w:val="en-US" w:eastAsia="zh-CN"/>
        </w:rPr>
        <w:t xml:space="preserve">         </w:t>
      </w:r>
      <w:r>
        <w:rPr>
          <w:rFonts w:hint="eastAsia" w:hAnsi="宋体"/>
          <w:bCs/>
          <w:color w:val="auto"/>
          <w:sz w:val="24"/>
          <w:highlight w:val="none"/>
        </w:rPr>
        <w:t>招标文件和该文件的中标通知书及投标文件，甲乙双方就此次</w:t>
      </w:r>
      <w:r>
        <w:rPr>
          <w:rFonts w:hint="eastAsia" w:hAnsi="宋体"/>
          <w:bCs/>
          <w:color w:val="auto"/>
          <w:sz w:val="24"/>
          <w:highlight w:val="none"/>
          <w:u w:val="single"/>
        </w:rPr>
        <w:t xml:space="preserve"> </w:t>
      </w:r>
      <w:r>
        <w:rPr>
          <w:rFonts w:hint="eastAsia" w:hAnsi="宋体"/>
          <w:bCs/>
          <w:color w:val="auto"/>
          <w:sz w:val="24"/>
          <w:highlight w:val="none"/>
          <w:u w:val="single"/>
          <w:lang w:eastAsia="zh-CN"/>
        </w:rPr>
        <w:t>智慧监测实验室运行及维护服务项目（2026.7-2028.12）</w:t>
      </w:r>
      <w:r>
        <w:rPr>
          <w:rFonts w:hint="eastAsia" w:hAnsi="宋体"/>
          <w:bCs/>
          <w:color w:val="auto"/>
          <w:sz w:val="24"/>
          <w:highlight w:val="none"/>
          <w:u w:val="single"/>
        </w:rPr>
        <w:t xml:space="preserve"> </w:t>
      </w:r>
      <w:r>
        <w:rPr>
          <w:rFonts w:hint="eastAsia" w:hAnsi="宋体"/>
          <w:bCs/>
          <w:color w:val="auto"/>
          <w:sz w:val="24"/>
          <w:highlight w:val="none"/>
        </w:rPr>
        <w:t>及相关问题，同意按下列条款规定执行。</w:t>
      </w:r>
    </w:p>
    <w:p w14:paraId="1C128C8C">
      <w:pPr>
        <w:numPr>
          <w:ilvl w:val="0"/>
          <w:numId w:val="0"/>
        </w:numPr>
        <w:tabs>
          <w:tab w:val="left" w:pos="540"/>
        </w:tabs>
        <w:spacing w:line="360" w:lineRule="auto"/>
        <w:ind w:left="0" w:leftChars="0" w:firstLine="482" w:firstLineChars="0"/>
        <w:rPr>
          <w:rFonts w:hAnsi="宋体" w:cs="宋体"/>
          <w:b/>
          <w:color w:val="auto"/>
          <w:sz w:val="24"/>
          <w:highlight w:val="none"/>
        </w:rPr>
      </w:pPr>
      <w:bookmarkStart w:id="38" w:name="五．合同条款"/>
      <w:bookmarkEnd w:id="38"/>
      <w:r>
        <w:rPr>
          <w:rFonts w:hint="eastAsia" w:ascii="Times New Roman" w:hAnsi="宋体" w:eastAsia="宋体" w:cs="宋体"/>
          <w:b/>
          <w:color w:val="auto"/>
          <w:sz w:val="24"/>
          <w:highlight w:val="none"/>
          <w:lang w:val="en-US" w:eastAsia="zh-CN" w:bidi="ar-SA"/>
        </w:rPr>
        <w:t>1.</w:t>
      </w:r>
      <w:r>
        <w:rPr>
          <w:rFonts w:hint="eastAsia" w:hAnsi="宋体" w:cs="宋体"/>
          <w:b/>
          <w:color w:val="auto"/>
          <w:sz w:val="24"/>
          <w:highlight w:val="none"/>
        </w:rPr>
        <w:t>合同价格</w:t>
      </w:r>
    </w:p>
    <w:p w14:paraId="79DADD3C">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1.1</w:t>
      </w:r>
      <w:r>
        <w:rPr>
          <w:rFonts w:hint="eastAsia" w:hAnsi="宋体" w:cs="宋体"/>
          <w:color w:val="auto"/>
          <w:sz w:val="24"/>
          <w:highlight w:val="none"/>
        </w:rPr>
        <w:t>合同暂定总价格</w:t>
      </w:r>
      <w:r>
        <w:rPr>
          <w:rFonts w:hint="eastAsia" w:hAnsi="宋体" w:cs="仿宋_GB2312"/>
          <w:color w:val="auto"/>
          <w:sz w:val="24"/>
          <w:highlight w:val="none"/>
        </w:rPr>
        <w:t>（大写）人民币</w:t>
      </w:r>
      <w:r>
        <w:rPr>
          <w:rFonts w:hAnsi="宋体" w:cs="仿宋_GB2312"/>
          <w:color w:val="auto"/>
          <w:sz w:val="24"/>
          <w:highlight w:val="none"/>
          <w:u w:val="single"/>
        </w:rPr>
        <w:t xml:space="preserve">        </w:t>
      </w:r>
      <w:r>
        <w:rPr>
          <w:rFonts w:hint="eastAsia" w:hAnsi="宋体" w:cs="仿宋_GB2312"/>
          <w:color w:val="auto"/>
          <w:sz w:val="24"/>
          <w:highlight w:val="none"/>
        </w:rPr>
        <w:t>元（￥：</w:t>
      </w:r>
      <w:r>
        <w:rPr>
          <w:rFonts w:hAnsi="宋体" w:cs="仿宋_GB2312"/>
          <w:color w:val="auto"/>
          <w:sz w:val="24"/>
          <w:highlight w:val="none"/>
          <w:u w:val="single"/>
        </w:rPr>
        <w:t xml:space="preserve">   </w:t>
      </w:r>
      <w:r>
        <w:rPr>
          <w:rFonts w:hint="eastAsia" w:hAnsi="宋体" w:cs="仿宋_GB2312"/>
          <w:color w:val="auto"/>
          <w:sz w:val="24"/>
          <w:highlight w:val="none"/>
          <w:u w:val="single"/>
        </w:rPr>
        <w:t xml:space="preserve">    </w:t>
      </w:r>
      <w:r>
        <w:rPr>
          <w:rFonts w:hint="eastAsia" w:hAnsi="宋体" w:cs="仿宋_GB2312"/>
          <w:color w:val="auto"/>
          <w:sz w:val="24"/>
          <w:highlight w:val="none"/>
        </w:rPr>
        <w:t>）。</w:t>
      </w:r>
      <w:r>
        <w:rPr>
          <w:rFonts w:hint="eastAsia" w:hAnsi="宋体" w:cs="宋体"/>
          <w:color w:val="auto"/>
          <w:sz w:val="24"/>
          <w:highlight w:val="none"/>
        </w:rPr>
        <w:t>合同价格</w:t>
      </w:r>
      <w:r>
        <w:rPr>
          <w:rFonts w:hint="eastAsia" w:hAnsi="宋体" w:cs="宋体"/>
          <w:color w:val="auto"/>
          <w:spacing w:val="15"/>
          <w:sz w:val="24"/>
          <w:highlight w:val="none"/>
        </w:rPr>
        <w:t>包含</w:t>
      </w:r>
      <w:r>
        <w:rPr>
          <w:rFonts w:hint="eastAsia" w:hAnsi="宋体"/>
          <w:color w:val="auto"/>
          <w:sz w:val="24"/>
          <w:highlight w:val="none"/>
        </w:rPr>
        <w:t>人工管理费、劳务薪金、车贴、加班费、餐费、税金</w:t>
      </w:r>
      <w:r>
        <w:rPr>
          <w:rFonts w:hint="eastAsia" w:hAnsi="宋体" w:cs="宋体"/>
          <w:color w:val="auto"/>
          <w:sz w:val="24"/>
          <w:highlight w:val="none"/>
        </w:rPr>
        <w:t>等政策性文件规定及合同包含的所有风险、责任等各项应有费用。</w:t>
      </w:r>
    </w:p>
    <w:p w14:paraId="6A52C2C9">
      <w:pPr>
        <w:spacing w:line="360" w:lineRule="auto"/>
        <w:ind w:firstLine="480"/>
        <w:rPr>
          <w:rFonts w:hAnsi="宋体"/>
          <w:color w:val="auto"/>
          <w:sz w:val="24"/>
          <w:highlight w:val="none"/>
        </w:rPr>
      </w:pPr>
      <w:r>
        <w:rPr>
          <w:rFonts w:hint="eastAsia" w:hAnsi="宋体" w:cs="宋体"/>
          <w:color w:val="auto"/>
          <w:sz w:val="24"/>
          <w:highlight w:val="none"/>
          <w:lang w:val="en-US" w:eastAsia="zh-CN"/>
        </w:rPr>
        <w:t xml:space="preserve">1.2 </w:t>
      </w:r>
      <w:r>
        <w:rPr>
          <w:rFonts w:hint="eastAsia" w:hAnsi="宋体" w:cs="宋体"/>
          <w:color w:val="auto"/>
          <w:sz w:val="24"/>
          <w:highlight w:val="none"/>
        </w:rPr>
        <w:t>合同价格包括设备、软件及配件的包装、运杂、支架等辅材以及安装与设备调试安装调试、售后服务、监测服务等从项目中标起到项目正式交付以及质保期内所发生的一切费用。</w:t>
      </w:r>
    </w:p>
    <w:p w14:paraId="1C2C6A10">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2.</w:t>
      </w:r>
      <w:r>
        <w:rPr>
          <w:rFonts w:hint="eastAsia" w:hAnsi="宋体" w:cs="宋体"/>
          <w:b/>
          <w:color w:val="auto"/>
          <w:sz w:val="24"/>
          <w:highlight w:val="none"/>
        </w:rPr>
        <w:t>服务范围</w:t>
      </w:r>
    </w:p>
    <w:p w14:paraId="01B3039E">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2.1</w:t>
      </w:r>
      <w:r>
        <w:rPr>
          <w:rFonts w:hint="eastAsia" w:hAnsi="宋体" w:cs="宋体"/>
          <w:b/>
          <w:bCs/>
          <w:color w:val="auto"/>
          <w:sz w:val="24"/>
          <w:highlight w:val="none"/>
        </w:rPr>
        <w:t>甲方聘请乙方提供以下服务</w:t>
      </w:r>
      <w:r>
        <w:rPr>
          <w:rFonts w:hint="eastAsia" w:hAnsi="宋体" w:cs="宋体"/>
          <w:color w:val="auto"/>
          <w:sz w:val="24"/>
          <w:highlight w:val="none"/>
        </w:rPr>
        <w:t>：</w:t>
      </w:r>
    </w:p>
    <w:p w14:paraId="42582124">
      <w:pPr>
        <w:spacing w:line="360" w:lineRule="auto"/>
        <w:ind w:firstLine="480"/>
        <w:rPr>
          <w:rFonts w:hAnsi="宋体" w:cs="宋体"/>
          <w:color w:val="auto"/>
          <w:sz w:val="24"/>
          <w:highlight w:val="none"/>
        </w:rPr>
      </w:pPr>
      <w:r>
        <w:rPr>
          <w:rFonts w:hint="eastAsia" w:hAnsi="宋体" w:cs="宋体"/>
          <w:color w:val="auto"/>
          <w:sz w:val="24"/>
          <w:highlight w:val="none"/>
        </w:rPr>
        <w:t>（1）服务内容、方式和要求：</w:t>
      </w:r>
    </w:p>
    <w:p w14:paraId="4DFAA1B6">
      <w:pPr>
        <w:spacing w:line="360" w:lineRule="auto"/>
        <w:ind w:firstLine="480"/>
        <w:rPr>
          <w:rFonts w:hint="eastAsia" w:hAnsi="宋体" w:cs="宋体"/>
          <w:color w:val="auto"/>
          <w:sz w:val="24"/>
          <w:highlight w:val="none"/>
        </w:rPr>
      </w:pPr>
      <w:r>
        <w:rPr>
          <w:rFonts w:hint="eastAsia" w:hAnsi="宋体" w:cs="宋体"/>
          <w:color w:val="auto"/>
          <w:sz w:val="24"/>
          <w:highlight w:val="none"/>
        </w:rPr>
        <w:t>服务内容包括：</w:t>
      </w:r>
    </w:p>
    <w:p w14:paraId="4CF69888">
      <w:pPr>
        <w:spacing w:line="360" w:lineRule="auto"/>
        <w:ind w:firstLine="480"/>
        <w:rPr>
          <w:rFonts w:hint="eastAsia" w:hAnsi="宋体" w:cs="宋体"/>
          <w:color w:val="auto"/>
          <w:sz w:val="24"/>
          <w:highlight w:val="none"/>
          <w:u w:val="single"/>
        </w:rPr>
      </w:pPr>
      <w:r>
        <w:rPr>
          <w:rFonts w:hint="eastAsia" w:hAnsi="宋体" w:cs="宋体"/>
          <w:color w:val="auto"/>
          <w:sz w:val="24"/>
          <w:highlight w:val="none"/>
          <w:u w:val="single"/>
        </w:rPr>
        <w:t>1.确保现有智慧水质监测实验室日常稳定运行，包含日常运维、维修、备品备件耗材供应及售后等工作，配合甲方完成定量任务及实验室操作系统运行。</w:t>
      </w:r>
    </w:p>
    <w:p w14:paraId="6AF96B26">
      <w:pPr>
        <w:spacing w:line="360" w:lineRule="auto"/>
        <w:ind w:firstLine="480"/>
        <w:rPr>
          <w:rFonts w:hint="eastAsia" w:hAnsi="宋体" w:cs="宋体"/>
          <w:color w:val="auto"/>
          <w:sz w:val="24"/>
          <w:highlight w:val="none"/>
          <w:u w:val="single"/>
        </w:rPr>
      </w:pPr>
      <w:r>
        <w:rPr>
          <w:rFonts w:hint="eastAsia" w:hAnsi="宋体" w:cs="宋体"/>
          <w:color w:val="auto"/>
          <w:sz w:val="24"/>
          <w:highlight w:val="none"/>
          <w:u w:val="single"/>
          <w:lang w:val="en-US" w:eastAsia="zh-CN"/>
        </w:rPr>
        <w:t>2</w:t>
      </w:r>
      <w:r>
        <w:rPr>
          <w:rFonts w:hint="eastAsia" w:hAnsi="宋体" w:cs="宋体"/>
          <w:color w:val="auto"/>
          <w:sz w:val="24"/>
          <w:highlight w:val="none"/>
          <w:u w:val="single"/>
        </w:rPr>
        <w:t>.配合甲方开展现有实验室质量管理体系运行期间数据报告等技术文件材料的编制、核查及实验室日常质量管理工作，完成相关电子记录的编制及上传。确保现行实验室运行管理系统的正常运行。</w:t>
      </w:r>
    </w:p>
    <w:p w14:paraId="761BA79F">
      <w:pPr>
        <w:spacing w:line="360" w:lineRule="auto"/>
        <w:ind w:firstLine="480"/>
        <w:rPr>
          <w:rFonts w:hint="eastAsia" w:hAnsi="宋体" w:eastAsia="宋体" w:cs="宋体"/>
          <w:strike/>
          <w:color w:val="auto"/>
          <w:sz w:val="24"/>
          <w:highlight w:val="none"/>
          <w:u w:val="single"/>
          <w:lang w:eastAsia="zh-CN"/>
        </w:rPr>
      </w:pPr>
      <w:r>
        <w:rPr>
          <w:rFonts w:hint="eastAsia" w:hAnsi="宋体" w:cs="宋体"/>
          <w:color w:val="auto"/>
          <w:sz w:val="24"/>
          <w:highlight w:val="none"/>
          <w:u w:val="single"/>
        </w:rPr>
        <w:t>3</w:t>
      </w:r>
      <w:r>
        <w:rPr>
          <w:rFonts w:hint="eastAsia" w:hAnsi="宋体" w:cs="宋体"/>
          <w:color w:val="auto"/>
          <w:sz w:val="24"/>
          <w:highlight w:val="none"/>
          <w:u w:val="single"/>
          <w:lang w:val="en-US" w:eastAsia="zh-CN"/>
        </w:rPr>
        <w:t>.</w:t>
      </w:r>
      <w:r>
        <w:rPr>
          <w:rFonts w:hint="eastAsia" w:hAnsi="宋体" w:cs="宋体"/>
          <w:color w:val="auto"/>
          <w:sz w:val="24"/>
          <w:highlight w:val="none"/>
          <w:u w:val="single"/>
        </w:rPr>
        <w:t>实验室投入运行后，中标方须完成采购人每年度的地表水例行监测任务（监测任务依据为无锡市、新吴区下达年度监测计划，根据每年实际下达任务情况调整）。</w:t>
      </w:r>
    </w:p>
    <w:p w14:paraId="163B8D04">
      <w:pPr>
        <w:spacing w:line="360" w:lineRule="auto"/>
        <w:ind w:firstLine="480"/>
        <w:rPr>
          <w:rFonts w:hint="eastAsia" w:hAnsi="宋体" w:cs="宋体"/>
          <w:color w:val="auto"/>
          <w:sz w:val="24"/>
          <w:highlight w:val="none"/>
        </w:rPr>
      </w:pPr>
      <w:r>
        <w:rPr>
          <w:rFonts w:hint="eastAsia" w:hAnsi="宋体" w:cs="宋体"/>
          <w:color w:val="auto"/>
          <w:sz w:val="24"/>
          <w:highlight w:val="none"/>
        </w:rPr>
        <w:t>（2）服务期限：2026年7月至2028年12月。</w:t>
      </w:r>
    </w:p>
    <w:p w14:paraId="610A885E">
      <w:pPr>
        <w:spacing w:line="360" w:lineRule="auto"/>
        <w:ind w:firstLine="480"/>
        <w:rPr>
          <w:rFonts w:hint="eastAsia" w:hAnsi="宋体" w:cs="宋体"/>
          <w:color w:val="auto"/>
          <w:sz w:val="24"/>
          <w:highlight w:val="none"/>
          <w:lang w:val="en-US" w:eastAsia="zh-CN"/>
        </w:rPr>
      </w:pPr>
      <w:r>
        <w:rPr>
          <w:rFonts w:hint="eastAsia" w:hAnsi="宋体" w:cs="宋体"/>
          <w:b/>
          <w:bCs/>
          <w:color w:val="auto"/>
          <w:sz w:val="24"/>
          <w:highlight w:val="none"/>
          <w:lang w:val="en-US" w:eastAsia="zh-CN"/>
        </w:rPr>
        <w:t>2.2 供货安装及时间节点</w:t>
      </w:r>
      <w:r>
        <w:rPr>
          <w:rFonts w:hint="eastAsia" w:hAnsi="宋体" w:cs="宋体"/>
          <w:color w:val="auto"/>
          <w:sz w:val="24"/>
          <w:highlight w:val="none"/>
          <w:lang w:val="en-US" w:eastAsia="zh-CN"/>
        </w:rPr>
        <w:t>：实验室管理系统安装时间：合同签订后60天内，按甲方要求时间完成软件部署，同时开始安排人员驻现场负责完善，由甲方组织初验，初验合格后60天内，按甲方要求完善软件，并向甲方提出终验申请。</w:t>
      </w:r>
    </w:p>
    <w:p w14:paraId="70596257">
      <w:pPr>
        <w:spacing w:line="360" w:lineRule="auto"/>
        <w:ind w:firstLine="480"/>
        <w:rPr>
          <w:rFonts w:hint="eastAsia" w:hAnsi="宋体" w:cs="宋体"/>
          <w:color w:val="auto"/>
          <w:sz w:val="24"/>
          <w:highlight w:val="none"/>
          <w:lang w:val="en-US" w:eastAsia="zh-CN"/>
        </w:rPr>
      </w:pPr>
      <w:r>
        <w:rPr>
          <w:rFonts w:hint="eastAsia" w:hAnsi="宋体" w:cs="宋体"/>
          <w:b/>
          <w:bCs/>
          <w:color w:val="auto"/>
          <w:sz w:val="24"/>
          <w:highlight w:val="none"/>
          <w:lang w:val="en-US" w:eastAsia="zh-CN"/>
        </w:rPr>
        <w:t>2.3验收标准</w:t>
      </w:r>
      <w:r>
        <w:rPr>
          <w:rFonts w:hint="eastAsia" w:hAnsi="宋体" w:cs="宋体"/>
          <w:color w:val="auto"/>
          <w:sz w:val="24"/>
          <w:highlight w:val="none"/>
          <w:lang w:val="en-US" w:eastAsia="zh-CN"/>
        </w:rPr>
        <w:t>：本项目服务期结束后开展验收，验收要求如下：</w:t>
      </w:r>
    </w:p>
    <w:p w14:paraId="5F866694">
      <w:pPr>
        <w:spacing w:line="360" w:lineRule="auto"/>
        <w:ind w:firstLine="480"/>
        <w:rPr>
          <w:rFonts w:hint="eastAsia" w:hAnsi="宋体" w:cs="宋体"/>
          <w:color w:val="auto"/>
          <w:sz w:val="24"/>
          <w:highlight w:val="none"/>
          <w:lang w:val="en-US" w:eastAsia="zh-CN"/>
        </w:rPr>
      </w:pPr>
      <w:r>
        <w:rPr>
          <w:rFonts w:hint="eastAsia" w:hAnsi="宋体" w:cs="宋体"/>
          <w:color w:val="auto"/>
          <w:sz w:val="24"/>
          <w:highlight w:val="none"/>
          <w:lang w:val="en-US" w:eastAsia="zh-CN"/>
        </w:rPr>
        <w:t>1、按照要求配合甲方完成每年度新吴区例行监测任务；</w:t>
      </w:r>
    </w:p>
    <w:p w14:paraId="027ECCFC">
      <w:pPr>
        <w:spacing w:line="360" w:lineRule="auto"/>
        <w:ind w:firstLine="480"/>
        <w:rPr>
          <w:rFonts w:hint="eastAsia" w:hAnsi="宋体" w:cs="宋体"/>
          <w:color w:val="auto"/>
          <w:sz w:val="24"/>
          <w:highlight w:val="none"/>
          <w:lang w:val="en-US" w:eastAsia="zh-CN"/>
        </w:rPr>
      </w:pPr>
      <w:r>
        <w:rPr>
          <w:rFonts w:hint="eastAsia" w:hAnsi="宋体" w:cs="宋体"/>
          <w:color w:val="auto"/>
          <w:sz w:val="24"/>
          <w:highlight w:val="none"/>
          <w:lang w:val="en-US" w:eastAsia="zh-CN"/>
        </w:rPr>
        <w:t>2、实验室质量管理体系运行正常，保障实验室管理系统服务期内稳定运行。</w:t>
      </w:r>
    </w:p>
    <w:p w14:paraId="4F669432">
      <w:pPr>
        <w:spacing w:line="360" w:lineRule="auto"/>
        <w:ind w:firstLine="480"/>
        <w:rPr>
          <w:rFonts w:hint="eastAsia" w:hAnsi="宋体" w:cs="宋体"/>
          <w:color w:val="auto"/>
          <w:sz w:val="24"/>
          <w:highlight w:val="none"/>
          <w:lang w:val="en-US" w:eastAsia="zh-CN"/>
        </w:rPr>
      </w:pPr>
      <w:r>
        <w:rPr>
          <w:rFonts w:hint="eastAsia" w:hAnsi="宋体" w:cs="宋体"/>
          <w:color w:val="auto"/>
          <w:sz w:val="24"/>
          <w:highlight w:val="none"/>
          <w:lang w:val="en-US" w:eastAsia="zh-CN"/>
        </w:rPr>
        <w:t>3、按照要求配合甲方完成定量任务及实验室操作系统运行。</w:t>
      </w:r>
    </w:p>
    <w:p w14:paraId="5C77A56C">
      <w:pPr>
        <w:spacing w:line="360" w:lineRule="auto"/>
        <w:ind w:firstLine="480"/>
        <w:rPr>
          <w:rFonts w:hint="eastAsia" w:hAnsi="宋体" w:cs="宋体"/>
          <w:color w:val="auto"/>
          <w:sz w:val="24"/>
          <w:highlight w:val="none"/>
          <w:lang w:val="en-US" w:eastAsia="zh-CN"/>
        </w:rPr>
      </w:pPr>
      <w:r>
        <w:rPr>
          <w:rFonts w:hint="eastAsia" w:hAnsi="宋体" w:cs="宋体"/>
          <w:b/>
          <w:bCs/>
          <w:color w:val="auto"/>
          <w:sz w:val="24"/>
          <w:highlight w:val="none"/>
          <w:lang w:val="en-US" w:eastAsia="zh-CN"/>
        </w:rPr>
        <w:t>2.4售后服务</w:t>
      </w:r>
    </w:p>
    <w:p w14:paraId="5D303A0B">
      <w:pPr>
        <w:spacing w:line="360" w:lineRule="auto"/>
        <w:ind w:firstLine="480"/>
        <w:rPr>
          <w:rFonts w:hint="default" w:hAnsi="宋体" w:cs="宋体"/>
          <w:color w:val="auto"/>
          <w:sz w:val="24"/>
          <w:highlight w:val="none"/>
          <w:lang w:val="en-US" w:eastAsia="zh-CN"/>
        </w:rPr>
      </w:pPr>
      <w:r>
        <w:rPr>
          <w:rFonts w:hint="eastAsia" w:hAnsi="宋体" w:cs="宋体"/>
          <w:color w:val="auto"/>
          <w:sz w:val="24"/>
          <w:highlight w:val="none"/>
          <w:lang w:val="en-US" w:eastAsia="zh-CN"/>
        </w:rPr>
        <w:t>售后服务应包括但不限于仪器日常维护、服务机构及专业技术人员配置、售后服务响应及保障计划和设备使用情况、驻站人员安排、客户疑难问题解答、定时回访等相关事宜等内容。根据项目技术文件要求和评分要求，供应商须编制售后服务方案，并且在应答中书面承诺，提供原厂备件承诺书。</w:t>
      </w:r>
    </w:p>
    <w:p w14:paraId="3FF1794C">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3.</w:t>
      </w:r>
      <w:r>
        <w:rPr>
          <w:rFonts w:hint="eastAsia" w:hAnsi="宋体" w:cs="宋体"/>
          <w:b/>
          <w:color w:val="auto"/>
          <w:sz w:val="24"/>
          <w:highlight w:val="none"/>
        </w:rPr>
        <w:t>合同价格支付</w:t>
      </w:r>
    </w:p>
    <w:p w14:paraId="3EA99B86">
      <w:pPr>
        <w:numPr>
          <w:ilvl w:val="1"/>
          <w:numId w:val="0"/>
        </w:numPr>
        <w:tabs>
          <w:tab w:val="left" w:pos="540"/>
        </w:tabs>
        <w:spacing w:line="360" w:lineRule="auto"/>
        <w:ind w:left="0" w:leftChars="0" w:firstLine="480" w:firstLineChars="0"/>
        <w:rPr>
          <w:rFonts w:hint="eastAsia" w:hAnsi="宋体" w:cs="宋体"/>
          <w:color w:val="auto"/>
          <w:sz w:val="24"/>
          <w:highlight w:val="none"/>
        </w:rPr>
      </w:pPr>
      <w:r>
        <w:rPr>
          <w:rFonts w:hint="eastAsia" w:ascii="Times New Roman" w:hAnsi="宋体" w:eastAsia="宋体" w:cs="宋体"/>
          <w:b w:val="0"/>
          <w:color w:val="auto"/>
          <w:sz w:val="24"/>
          <w:highlight w:val="none"/>
          <w:lang w:val="en-US" w:eastAsia="zh-CN" w:bidi="ar-SA"/>
        </w:rPr>
        <w:t>3.1</w:t>
      </w:r>
      <w:r>
        <w:rPr>
          <w:rFonts w:hint="eastAsia" w:hAnsi="宋体" w:cs="宋体"/>
          <w:color w:val="auto"/>
          <w:sz w:val="24"/>
          <w:highlight w:val="none"/>
        </w:rPr>
        <w:t>合同价款及付款方式：</w:t>
      </w:r>
      <w:r>
        <w:rPr>
          <w:rFonts w:hint="eastAsia" w:hAnsi="宋体" w:cs="宋体"/>
          <w:color w:val="auto"/>
          <w:sz w:val="24"/>
          <w:highlight w:val="none"/>
          <w:lang w:val="en-US" w:eastAsia="zh-CN"/>
        </w:rPr>
        <w:t>暂定</w:t>
      </w:r>
      <w:r>
        <w:rPr>
          <w:rFonts w:hint="eastAsia" w:hAnsi="宋体" w:cs="宋体"/>
          <w:color w:val="auto"/>
          <w:sz w:val="24"/>
          <w:highlight w:val="none"/>
        </w:rPr>
        <w:t>签订合同后2027年11月30日前支付项目首付款122.75万元，2028-2029年每年11月30日前支付项目进度款140万元，2030年整体项目验收后支付项目尾款。</w:t>
      </w:r>
    </w:p>
    <w:p w14:paraId="6E845F9B">
      <w:pPr>
        <w:numPr>
          <w:ilvl w:val="1"/>
          <w:numId w:val="0"/>
        </w:numPr>
        <w:tabs>
          <w:tab w:val="left" w:pos="540"/>
        </w:tabs>
        <w:spacing w:line="360" w:lineRule="auto"/>
        <w:ind w:left="0" w:leftChars="0" w:firstLine="480" w:firstLineChars="0"/>
        <w:rPr>
          <w:rFonts w:hint="default" w:hAnsi="宋体" w:eastAsia="宋体" w:cs="宋体"/>
          <w:color w:val="auto"/>
          <w:sz w:val="24"/>
          <w:highlight w:val="none"/>
          <w:lang w:val="en-US" w:eastAsia="zh-CN"/>
        </w:rPr>
      </w:pPr>
      <w:r>
        <w:rPr>
          <w:rFonts w:hint="eastAsia" w:hAnsi="宋体" w:cs="宋体"/>
          <w:color w:val="auto"/>
          <w:sz w:val="24"/>
          <w:highlight w:val="none"/>
          <w:lang w:val="en-US" w:eastAsia="zh-CN"/>
        </w:rPr>
        <w:t>3.2.本项目合同总报价包括设备、软件及配件的包装、运杂、支架等辅材以及安装与设备调试安装调试、售后服务、监测服务等从项目中标起到项目正式交付以及质保期内所发生的一切费用。</w:t>
      </w:r>
    </w:p>
    <w:p w14:paraId="0DF4D0F7">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3.</w:t>
      </w:r>
      <w:r>
        <w:rPr>
          <w:rFonts w:hint="eastAsia" w:hAnsi="宋体" w:cs="宋体"/>
          <w:b w:val="0"/>
          <w:color w:val="auto"/>
          <w:sz w:val="24"/>
          <w:highlight w:val="none"/>
          <w:lang w:val="en-US" w:eastAsia="zh-CN" w:bidi="ar-SA"/>
        </w:rPr>
        <w:t>3</w:t>
      </w:r>
      <w:r>
        <w:rPr>
          <w:rFonts w:hint="eastAsia" w:hAnsi="宋体" w:cs="宋体"/>
          <w:color w:val="auto"/>
          <w:sz w:val="24"/>
          <w:highlight w:val="none"/>
        </w:rPr>
        <w:t>乙方要求付款应提供以下资料：</w:t>
      </w:r>
    </w:p>
    <w:p w14:paraId="2727484D">
      <w:pPr>
        <w:numPr>
          <w:ilvl w:val="3"/>
          <w:numId w:val="10"/>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lang w:val="en-US" w:eastAsia="zh-CN"/>
        </w:rPr>
        <w:t>符合甲方税务要求的</w:t>
      </w:r>
      <w:r>
        <w:rPr>
          <w:rFonts w:hint="eastAsia" w:hAnsi="宋体" w:cs="宋体"/>
          <w:color w:val="auto"/>
          <w:sz w:val="24"/>
          <w:highlight w:val="none"/>
        </w:rPr>
        <w:t>专业发票。（乙方未能在甲方支付任一期价款前向其开具对应金额的发票的，甲方有权延迟付款，无需承担任何违约责任。）</w:t>
      </w:r>
    </w:p>
    <w:p w14:paraId="71F7250B">
      <w:pPr>
        <w:numPr>
          <w:ilvl w:val="3"/>
          <w:numId w:val="10"/>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其他（若有）。</w:t>
      </w:r>
    </w:p>
    <w:p w14:paraId="20E5D7D5">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3.</w:t>
      </w:r>
      <w:r>
        <w:rPr>
          <w:rFonts w:hint="eastAsia" w:hAnsi="宋体" w:cs="宋体"/>
          <w:b w:val="0"/>
          <w:color w:val="auto"/>
          <w:sz w:val="24"/>
          <w:highlight w:val="none"/>
          <w:lang w:val="en-US" w:eastAsia="zh-CN" w:bidi="ar-SA"/>
        </w:rPr>
        <w:t>4</w:t>
      </w:r>
      <w:r>
        <w:rPr>
          <w:rFonts w:hint="eastAsia" w:hAnsi="宋体" w:cs="宋体"/>
          <w:color w:val="auto"/>
          <w:sz w:val="24"/>
          <w:highlight w:val="none"/>
        </w:rPr>
        <w:t>支付方式：转账。</w:t>
      </w:r>
    </w:p>
    <w:p w14:paraId="7B79CAA3">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4.</w:t>
      </w:r>
      <w:r>
        <w:rPr>
          <w:rFonts w:hint="eastAsia" w:hAnsi="宋体" w:cs="宋体"/>
          <w:b/>
          <w:color w:val="auto"/>
          <w:sz w:val="24"/>
          <w:highlight w:val="none"/>
        </w:rPr>
        <w:t>保密条款</w:t>
      </w:r>
    </w:p>
    <w:p w14:paraId="6598DDAE">
      <w:pPr>
        <w:numPr>
          <w:ilvl w:val="1"/>
          <w:numId w:val="0"/>
        </w:numPr>
        <w:spacing w:line="360" w:lineRule="auto"/>
        <w:ind w:left="0" w:leftChars="0" w:firstLine="480" w:firstLineChars="0"/>
        <w:rPr>
          <w:rFonts w:hAnsi="宋体" w:cs="宋体"/>
          <w:b/>
          <w:color w:val="auto"/>
          <w:sz w:val="24"/>
          <w:highlight w:val="none"/>
        </w:rPr>
      </w:pPr>
      <w:r>
        <w:rPr>
          <w:rFonts w:hint="eastAsia" w:ascii="Times New Roman" w:hAnsi="宋体" w:eastAsia="宋体" w:cs="宋体"/>
          <w:b w:val="0"/>
          <w:color w:val="auto"/>
          <w:sz w:val="24"/>
          <w:highlight w:val="none"/>
          <w:lang w:val="en-US" w:eastAsia="zh-CN" w:bidi="ar-SA"/>
        </w:rPr>
        <w:t>4.1</w:t>
      </w:r>
      <w:r>
        <w:rPr>
          <w:rFonts w:hint="eastAsia" w:hAnsi="宋体" w:cs="宋体"/>
          <w:color w:val="auto"/>
          <w:sz w:val="24"/>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46B3B270">
      <w:pPr>
        <w:numPr>
          <w:ilvl w:val="1"/>
          <w:numId w:val="0"/>
        </w:numPr>
        <w:spacing w:line="360" w:lineRule="auto"/>
        <w:ind w:left="0" w:leftChars="0" w:firstLine="480" w:firstLineChars="0"/>
        <w:rPr>
          <w:rFonts w:hAnsi="宋体" w:cs="宋体"/>
          <w:b/>
          <w:color w:val="auto"/>
          <w:sz w:val="24"/>
          <w:highlight w:val="none"/>
        </w:rPr>
      </w:pPr>
      <w:r>
        <w:rPr>
          <w:rFonts w:hint="eastAsia" w:ascii="Times New Roman" w:hAnsi="宋体" w:eastAsia="宋体" w:cs="宋体"/>
          <w:b w:val="0"/>
          <w:color w:val="auto"/>
          <w:sz w:val="24"/>
          <w:highlight w:val="none"/>
          <w:lang w:val="en-US" w:eastAsia="zh-CN" w:bidi="ar-SA"/>
        </w:rPr>
        <w:t>4.2</w:t>
      </w:r>
      <w:r>
        <w:rPr>
          <w:rFonts w:hint="eastAsia" w:hAnsi="宋体" w:cs="宋体"/>
          <w:color w:val="auto"/>
          <w:sz w:val="24"/>
          <w:highlight w:val="none"/>
        </w:rPr>
        <w:t>乙方应与其安全保障服务的人员签订保密协议，并进行备案。</w:t>
      </w:r>
    </w:p>
    <w:p w14:paraId="2B2F7AEC">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5.</w:t>
      </w:r>
      <w:r>
        <w:rPr>
          <w:rFonts w:hint="eastAsia" w:hAnsi="宋体" w:cs="宋体"/>
          <w:b/>
          <w:color w:val="auto"/>
          <w:sz w:val="24"/>
          <w:highlight w:val="none"/>
        </w:rPr>
        <w:t>违约责任</w:t>
      </w:r>
    </w:p>
    <w:p w14:paraId="31DE4169">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5.1</w:t>
      </w:r>
      <w:r>
        <w:rPr>
          <w:rFonts w:hint="eastAsia" w:hAnsi="宋体" w:cs="宋体"/>
          <w:color w:val="auto"/>
          <w:sz w:val="24"/>
          <w:highlight w:val="none"/>
        </w:rPr>
        <w:t>甲方违约责任及违约金支付：</w:t>
      </w:r>
    </w:p>
    <w:p w14:paraId="241EF273">
      <w:pPr>
        <w:numPr>
          <w:ilvl w:val="0"/>
          <w:numId w:val="11"/>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 xml:space="preserve">甲方违反合同规定，拒绝接受乙方提供维护服务，应当承担乙方由此造成的损失：                                         </w:t>
      </w:r>
    </w:p>
    <w:p w14:paraId="7CEA1D72">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5.2</w:t>
      </w:r>
      <w:r>
        <w:rPr>
          <w:rFonts w:hint="eastAsia" w:hAnsi="宋体" w:cs="宋体"/>
          <w:color w:val="auto"/>
          <w:sz w:val="24"/>
          <w:highlight w:val="none"/>
        </w:rPr>
        <w:t>乙方违约责任及违约金支付：</w:t>
      </w:r>
    </w:p>
    <w:p w14:paraId="5920025D">
      <w:pPr>
        <w:numPr>
          <w:ilvl w:val="0"/>
          <w:numId w:val="12"/>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乙方不能提供维护服务的，或维护服务不合格从而影响甲方按期正常使用的，应向甲方偿付合同总价款5%的违约金，违约金不足以补偿损失的甲方有权要求乙方补足。</w:t>
      </w:r>
    </w:p>
    <w:p w14:paraId="0DEF37F5">
      <w:pPr>
        <w:numPr>
          <w:ilvl w:val="0"/>
          <w:numId w:val="12"/>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乙方逾期提供维护服务的，应与甲方和政府采购管理部门协商，甲方仍有需求的，乙方应立即提供维护服务，且每逾期一日按合同总额的万分之四支付逾期违约金，同时承担甲方因此遭致的损失费用。</w:t>
      </w:r>
    </w:p>
    <w:p w14:paraId="7328F58C">
      <w:pPr>
        <w:numPr>
          <w:ilvl w:val="0"/>
          <w:numId w:val="12"/>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乙方承诺其具备履行本协议项下约定的一切许可和资质，其履行协议的行为满足双方约定、甲方的实际需求及相应国家、行业标准。乙方违反本协议任何一项约定的，应在甲方限期内整改。未能如期整改完成的，甲方有权单方面解除本协议，不支付任何费用，要求乙方赔偿合同总金额30%的违约金，并赔偿由此给甲方及其他任何第三方造成的全部损失（包括但不限于诉讼费、律师费、保全费、差旅费等）；该等情况下，甲方有权委托第三方履行乙方本协议项下义务，由此产生的费用由乙方承担。</w:t>
      </w:r>
    </w:p>
    <w:p w14:paraId="4AAE0757">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6.</w:t>
      </w:r>
      <w:r>
        <w:rPr>
          <w:rFonts w:hint="eastAsia" w:hAnsi="宋体" w:cs="宋体"/>
          <w:b/>
          <w:color w:val="auto"/>
          <w:sz w:val="24"/>
          <w:highlight w:val="none"/>
        </w:rPr>
        <w:t>不可抗力</w:t>
      </w:r>
    </w:p>
    <w:p w14:paraId="1597577B">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6.1</w:t>
      </w:r>
      <w:r>
        <w:rPr>
          <w:rFonts w:hint="eastAsia" w:hAnsi="宋体" w:cs="宋体"/>
          <w:color w:val="auto"/>
          <w:sz w:val="24"/>
          <w:highlight w:val="none"/>
        </w:rPr>
        <w:t>因不可抗力不能履行合同的，根据不可抗力的影响，部分或者全部免除责任。但合同一方延迟履行后发生不可抗力的，不能免除责任。</w:t>
      </w:r>
    </w:p>
    <w:p w14:paraId="06FE7E71">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6.2</w:t>
      </w:r>
      <w:r>
        <w:rPr>
          <w:rFonts w:hint="eastAsia" w:hAnsi="宋体" w:cs="宋体"/>
          <w:color w:val="auto"/>
          <w:sz w:val="24"/>
          <w:highlight w:val="none"/>
        </w:rPr>
        <w:t>合同一方因不可抗力不能履行合同的，应当及时通知对方，以减轻可能给对方造成的损失，并应当在合理期限内提供证明。</w:t>
      </w:r>
    </w:p>
    <w:p w14:paraId="622D86F9">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7.</w:t>
      </w:r>
      <w:r>
        <w:rPr>
          <w:rFonts w:hint="eastAsia" w:hAnsi="宋体" w:cs="宋体"/>
          <w:b/>
          <w:color w:val="auto"/>
          <w:sz w:val="24"/>
          <w:highlight w:val="none"/>
        </w:rPr>
        <w:t>合同修改</w:t>
      </w:r>
    </w:p>
    <w:p w14:paraId="4EAC6A4F">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7.1</w:t>
      </w:r>
      <w:r>
        <w:rPr>
          <w:rFonts w:hint="eastAsia" w:hAnsi="宋体" w:cs="宋体"/>
          <w:color w:val="auto"/>
          <w:sz w:val="24"/>
          <w:highlight w:val="none"/>
        </w:rPr>
        <w:t>甲方和乙方都不得擅自变更本合同，但合同继续履行将损害国家和社会公共利益的除外。</w:t>
      </w:r>
    </w:p>
    <w:p w14:paraId="7BB11ACE">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8.</w:t>
      </w:r>
      <w:r>
        <w:rPr>
          <w:rFonts w:hint="eastAsia" w:hAnsi="宋体" w:cs="宋体"/>
          <w:b/>
          <w:color w:val="auto"/>
          <w:sz w:val="24"/>
          <w:highlight w:val="none"/>
        </w:rPr>
        <w:t>转让和分包</w:t>
      </w:r>
    </w:p>
    <w:p w14:paraId="689303B6">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8.1</w:t>
      </w:r>
      <w:r>
        <w:rPr>
          <w:rFonts w:hint="eastAsia" w:hAnsi="宋体" w:cs="宋体"/>
          <w:color w:val="auto"/>
          <w:sz w:val="24"/>
          <w:highlight w:val="none"/>
        </w:rPr>
        <w:t>政府采购合同的部分和全部都不得转让。</w:t>
      </w:r>
    </w:p>
    <w:p w14:paraId="4D2D00E4">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8.2</w:t>
      </w:r>
      <w:r>
        <w:rPr>
          <w:rFonts w:hint="eastAsia" w:hAnsi="宋体" w:cs="宋体"/>
          <w:color w:val="auto"/>
          <w:sz w:val="24"/>
          <w:highlight w:val="none"/>
        </w:rPr>
        <w:t>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14:paraId="413B718A">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9.</w:t>
      </w:r>
      <w:r>
        <w:rPr>
          <w:rFonts w:hint="eastAsia" w:hAnsi="宋体" w:cs="宋体"/>
          <w:b/>
          <w:color w:val="auto"/>
          <w:sz w:val="24"/>
          <w:highlight w:val="none"/>
        </w:rPr>
        <w:t>合同的解除</w:t>
      </w:r>
    </w:p>
    <w:p w14:paraId="429900BA">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9.1</w:t>
      </w:r>
      <w:r>
        <w:rPr>
          <w:rFonts w:hint="eastAsia" w:hAnsi="宋体" w:cs="宋体"/>
          <w:color w:val="auto"/>
          <w:sz w:val="24"/>
          <w:highlight w:val="none"/>
        </w:rPr>
        <w:t>有下列情形之一，合同一方可以解除合同：</w:t>
      </w:r>
    </w:p>
    <w:p w14:paraId="20601A65">
      <w:pPr>
        <w:numPr>
          <w:ilvl w:val="0"/>
          <w:numId w:val="13"/>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因不可抗力致使不能实现合同目的，未受不可抗力影响的一方有权解除合同；</w:t>
      </w:r>
    </w:p>
    <w:p w14:paraId="25A92DDC">
      <w:pPr>
        <w:numPr>
          <w:ilvl w:val="0"/>
          <w:numId w:val="13"/>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因合同一方违约导致合同不能履行，另一方有权解除合同。</w:t>
      </w:r>
    </w:p>
    <w:p w14:paraId="183D7C8B">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9.2</w:t>
      </w:r>
      <w:r>
        <w:rPr>
          <w:rFonts w:hint="eastAsia" w:hAnsi="宋体" w:cs="宋体"/>
          <w:color w:val="auto"/>
          <w:sz w:val="24"/>
          <w:highlight w:val="none"/>
        </w:rPr>
        <w:t>有权解除合同的一方，应当书面通知对方以主张解除合同，合同在书面通知到达对方时解除。</w:t>
      </w:r>
    </w:p>
    <w:p w14:paraId="6F7090BC">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10.</w:t>
      </w:r>
      <w:r>
        <w:rPr>
          <w:rFonts w:hint="eastAsia" w:hAnsi="宋体" w:cs="宋体"/>
          <w:b/>
          <w:color w:val="auto"/>
          <w:sz w:val="24"/>
          <w:highlight w:val="none"/>
        </w:rPr>
        <w:t>争议解决办法</w:t>
      </w:r>
    </w:p>
    <w:p w14:paraId="51B034EB">
      <w:pPr>
        <w:spacing w:line="360" w:lineRule="auto"/>
        <w:ind w:firstLine="480"/>
        <w:rPr>
          <w:rFonts w:hAnsi="宋体" w:cs="宋体"/>
          <w:color w:val="auto"/>
          <w:sz w:val="24"/>
          <w:highlight w:val="none"/>
        </w:rPr>
      </w:pPr>
      <w:r>
        <w:rPr>
          <w:rFonts w:hint="eastAsia" w:hAnsi="宋体" w:cs="宋体"/>
          <w:color w:val="auto"/>
          <w:sz w:val="24"/>
          <w:highlight w:val="none"/>
        </w:rPr>
        <w:t>因本合同或与本合同有关的一切事项发生争议，由双方友好协商解决。协商不成的，任何一方均可选择以下方式解决：</w:t>
      </w:r>
      <w:r>
        <w:rPr>
          <w:rFonts w:hint="eastAsia" w:hAnsi="宋体" w:cs="宋体"/>
          <w:color w:val="auto"/>
          <w:sz w:val="24"/>
          <w:highlight w:val="none"/>
          <w:u w:val="single"/>
        </w:rPr>
        <w:t>方式二</w:t>
      </w:r>
    </w:p>
    <w:p w14:paraId="02C7EB45">
      <w:pPr>
        <w:spacing w:line="360" w:lineRule="auto"/>
        <w:ind w:firstLine="480"/>
        <w:jc w:val="left"/>
        <w:rPr>
          <w:rFonts w:hAnsi="宋体" w:cs="宋体"/>
          <w:color w:val="auto"/>
          <w:sz w:val="24"/>
          <w:highlight w:val="none"/>
        </w:rPr>
      </w:pPr>
      <w:r>
        <w:rPr>
          <w:rFonts w:hint="eastAsia" w:hAnsi="宋体" w:cs="宋体"/>
          <w:color w:val="auto"/>
          <w:sz w:val="24"/>
          <w:highlight w:val="none"/>
        </w:rPr>
        <w:t>方式一：双方达成仲裁协议，向约定的仲裁委员会申请仲裁，本合同约定的仲裁委员会是</w:t>
      </w:r>
      <w:r>
        <w:rPr>
          <w:rFonts w:hint="eastAsia" w:hAnsi="宋体" w:cs="宋体"/>
          <w:color w:val="auto"/>
          <w:sz w:val="24"/>
          <w:highlight w:val="none"/>
          <w:u w:val="single"/>
        </w:rPr>
        <w:t>合同履行地仲裁机构</w:t>
      </w:r>
      <w:r>
        <w:rPr>
          <w:rFonts w:hint="eastAsia" w:hAnsi="宋体" w:cs="宋体"/>
          <w:color w:val="auto"/>
          <w:sz w:val="24"/>
          <w:highlight w:val="none"/>
        </w:rPr>
        <w:t>；</w:t>
      </w:r>
    </w:p>
    <w:p w14:paraId="557A0A13">
      <w:pPr>
        <w:spacing w:line="360" w:lineRule="auto"/>
        <w:ind w:firstLine="480"/>
        <w:rPr>
          <w:rFonts w:hAnsi="宋体" w:cs="宋体"/>
          <w:color w:val="auto"/>
          <w:sz w:val="24"/>
          <w:highlight w:val="none"/>
        </w:rPr>
      </w:pPr>
      <w:r>
        <w:rPr>
          <w:rFonts w:hint="eastAsia" w:hAnsi="宋体" w:cs="宋体"/>
          <w:color w:val="auto"/>
          <w:sz w:val="24"/>
          <w:highlight w:val="none"/>
        </w:rPr>
        <w:t>方式二：</w:t>
      </w:r>
      <w:r>
        <w:rPr>
          <w:rFonts w:hint="eastAsia" w:hAnsi="宋体" w:cs="宋体"/>
          <w:color w:val="auto"/>
          <w:sz w:val="24"/>
          <w:highlight w:val="none"/>
          <w:u w:val="single"/>
        </w:rPr>
        <w:t>向甲方所在地的人民法院起诉</w:t>
      </w:r>
      <w:r>
        <w:rPr>
          <w:rFonts w:hint="eastAsia" w:hAnsi="宋体" w:cs="宋体"/>
          <w:color w:val="auto"/>
          <w:sz w:val="24"/>
          <w:highlight w:val="none"/>
        </w:rPr>
        <w:t>。</w:t>
      </w:r>
    </w:p>
    <w:p w14:paraId="5EB44F45">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11.</w:t>
      </w:r>
      <w:r>
        <w:rPr>
          <w:rFonts w:hint="eastAsia" w:hAnsi="宋体" w:cs="宋体"/>
          <w:b/>
          <w:color w:val="auto"/>
          <w:sz w:val="24"/>
          <w:highlight w:val="none"/>
        </w:rPr>
        <w:t>合同生效及其他</w:t>
      </w:r>
    </w:p>
    <w:p w14:paraId="5EFF6FAC">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11.1</w:t>
      </w:r>
      <w:r>
        <w:rPr>
          <w:rFonts w:hint="eastAsia" w:hAnsi="宋体" w:cs="宋体"/>
          <w:color w:val="auto"/>
          <w:sz w:val="24"/>
          <w:highlight w:val="none"/>
        </w:rPr>
        <w:t>本合同经甲乙双方法定（授权）代表人签字并加盖公章，</w:t>
      </w:r>
      <w:r>
        <w:rPr>
          <w:rFonts w:hint="eastAsia" w:hAnsi="宋体"/>
          <w:bCs/>
          <w:color w:val="auto"/>
          <w:sz w:val="24"/>
          <w:highlight w:val="none"/>
        </w:rPr>
        <w:t>经采购代理机构见证后</w:t>
      </w:r>
      <w:r>
        <w:rPr>
          <w:rFonts w:hint="eastAsia" w:hAnsi="宋体" w:cs="宋体"/>
          <w:color w:val="auto"/>
          <w:sz w:val="24"/>
          <w:highlight w:val="none"/>
        </w:rPr>
        <w:t>生效，同时须送政府采购监督管理部门备案。</w:t>
      </w:r>
    </w:p>
    <w:p w14:paraId="55472528">
      <w:pPr>
        <w:numPr>
          <w:ilvl w:val="1"/>
          <w:numId w:val="0"/>
        </w:numPr>
        <w:tabs>
          <w:tab w:val="left" w:pos="540"/>
        </w:tabs>
        <w:spacing w:line="360" w:lineRule="auto"/>
        <w:ind w:left="0" w:leftChars="0" w:firstLine="480" w:firstLineChars="0"/>
        <w:rPr>
          <w:rFonts w:hAnsi="宋体" w:cs="宋体"/>
          <w:color w:val="auto"/>
          <w:sz w:val="24"/>
          <w:highlight w:val="none"/>
        </w:rPr>
      </w:pPr>
      <w:r>
        <w:rPr>
          <w:rFonts w:hint="eastAsia" w:ascii="Times New Roman" w:hAnsi="宋体" w:eastAsia="宋体" w:cs="宋体"/>
          <w:b w:val="0"/>
          <w:color w:val="auto"/>
          <w:sz w:val="24"/>
          <w:highlight w:val="none"/>
          <w:lang w:val="en-US" w:eastAsia="zh-CN" w:bidi="ar-SA"/>
        </w:rPr>
        <w:t>11.2</w:t>
      </w:r>
      <w:r>
        <w:rPr>
          <w:rFonts w:hint="eastAsia" w:hAnsi="宋体" w:cs="宋体"/>
          <w:color w:val="auto"/>
          <w:sz w:val="24"/>
          <w:highlight w:val="none"/>
        </w:rPr>
        <w:t>下列文件为本合同不可分割部分：</w:t>
      </w:r>
    </w:p>
    <w:p w14:paraId="0596BFDE">
      <w:pPr>
        <w:numPr>
          <w:ilvl w:val="0"/>
          <w:numId w:val="14"/>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成交通知书；</w:t>
      </w:r>
    </w:p>
    <w:p w14:paraId="5626202E">
      <w:pPr>
        <w:numPr>
          <w:ilvl w:val="0"/>
          <w:numId w:val="14"/>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乙方响应文件；</w:t>
      </w:r>
    </w:p>
    <w:p w14:paraId="7DDAE90F">
      <w:pPr>
        <w:numPr>
          <w:ilvl w:val="0"/>
          <w:numId w:val="14"/>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采购文件；</w:t>
      </w:r>
    </w:p>
    <w:p w14:paraId="32FBBC3C">
      <w:pPr>
        <w:numPr>
          <w:ilvl w:val="0"/>
          <w:numId w:val="14"/>
        </w:numPr>
        <w:tabs>
          <w:tab w:val="left" w:pos="1080"/>
        </w:tabs>
        <w:spacing w:line="360" w:lineRule="auto"/>
        <w:ind w:left="0" w:firstLine="480"/>
        <w:rPr>
          <w:rFonts w:hAnsi="宋体" w:cs="宋体"/>
          <w:color w:val="auto"/>
          <w:sz w:val="24"/>
          <w:highlight w:val="none"/>
        </w:rPr>
      </w:pPr>
      <w:r>
        <w:rPr>
          <w:rFonts w:hint="eastAsia" w:hAnsi="宋体" w:cs="宋体"/>
          <w:color w:val="auto"/>
          <w:sz w:val="24"/>
          <w:highlight w:val="none"/>
        </w:rPr>
        <w:t>乙方在招投标过程中所作的其他承诺、声明、书面澄清等。</w:t>
      </w:r>
    </w:p>
    <w:p w14:paraId="0ECF5A76">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12.</w:t>
      </w:r>
      <w:r>
        <w:rPr>
          <w:rFonts w:hint="eastAsia" w:hAnsi="宋体" w:cs="宋体"/>
          <w:b/>
          <w:color w:val="auto"/>
          <w:sz w:val="24"/>
          <w:highlight w:val="none"/>
        </w:rPr>
        <w:t>未尽事宜</w:t>
      </w:r>
    </w:p>
    <w:p w14:paraId="5ED010D9">
      <w:pPr>
        <w:spacing w:line="360" w:lineRule="auto"/>
        <w:ind w:firstLine="480"/>
        <w:rPr>
          <w:rFonts w:hAnsi="宋体" w:cs="宋体"/>
          <w:color w:val="auto"/>
          <w:sz w:val="24"/>
          <w:highlight w:val="none"/>
        </w:rPr>
      </w:pPr>
      <w:r>
        <w:rPr>
          <w:rFonts w:hint="eastAsia" w:hAnsi="宋体" w:cs="宋体"/>
          <w:color w:val="auto"/>
          <w:sz w:val="24"/>
          <w:highlight w:val="none"/>
        </w:rPr>
        <w:t>未尽事宜应按照《中华人民共和国民法典》《中华人民共和国政府采购法》等相关法律法规之规定解释。</w:t>
      </w:r>
    </w:p>
    <w:p w14:paraId="452260A6">
      <w:pPr>
        <w:numPr>
          <w:ilvl w:val="0"/>
          <w:numId w:val="0"/>
        </w:numPr>
        <w:tabs>
          <w:tab w:val="left" w:pos="540"/>
        </w:tabs>
        <w:spacing w:line="360" w:lineRule="auto"/>
        <w:ind w:left="0" w:leftChars="0" w:firstLine="482" w:firstLineChars="0"/>
        <w:rPr>
          <w:rFonts w:hAnsi="宋体" w:cs="宋体"/>
          <w:b/>
          <w:color w:val="auto"/>
          <w:sz w:val="24"/>
          <w:highlight w:val="none"/>
        </w:rPr>
      </w:pPr>
      <w:r>
        <w:rPr>
          <w:rFonts w:hint="eastAsia" w:ascii="Times New Roman" w:hAnsi="宋体" w:eastAsia="宋体" w:cs="宋体"/>
          <w:b/>
          <w:color w:val="auto"/>
          <w:sz w:val="24"/>
          <w:highlight w:val="none"/>
          <w:lang w:val="en-US" w:eastAsia="zh-CN" w:bidi="ar-SA"/>
        </w:rPr>
        <w:t>13.</w:t>
      </w:r>
      <w:r>
        <w:rPr>
          <w:rFonts w:hint="eastAsia" w:hAnsi="宋体" w:cs="宋体"/>
          <w:b/>
          <w:color w:val="auto"/>
          <w:sz w:val="24"/>
          <w:highlight w:val="none"/>
        </w:rPr>
        <w:t>附则</w:t>
      </w:r>
    </w:p>
    <w:p w14:paraId="021CB486">
      <w:pPr>
        <w:spacing w:line="360" w:lineRule="auto"/>
        <w:ind w:firstLine="480"/>
        <w:rPr>
          <w:rFonts w:hAnsi="宋体" w:cs="宋体"/>
          <w:color w:val="auto"/>
          <w:sz w:val="24"/>
          <w:highlight w:val="none"/>
        </w:rPr>
      </w:pPr>
      <w:r>
        <w:rPr>
          <w:rFonts w:hint="eastAsia" w:hAnsi="宋体"/>
          <w:bCs/>
          <w:color w:val="auto"/>
          <w:sz w:val="24"/>
          <w:highlight w:val="none"/>
        </w:rPr>
        <w:t>合同一式伍份，甲乙双方各执贰份，采购代理机构壹份</w:t>
      </w:r>
      <w:r>
        <w:rPr>
          <w:rFonts w:hint="eastAsia" w:hAnsi="宋体" w:cs="宋体"/>
          <w:color w:val="auto"/>
          <w:sz w:val="24"/>
          <w:highlight w:val="none"/>
        </w:rPr>
        <w:t>。</w:t>
      </w:r>
    </w:p>
    <w:p w14:paraId="1143A6C5">
      <w:pPr>
        <w:spacing w:line="360" w:lineRule="auto"/>
        <w:ind w:left="680" w:firstLine="240"/>
        <w:rPr>
          <w:rFonts w:hAnsi="宋体"/>
          <w:bCs/>
          <w:color w:val="auto"/>
          <w:sz w:val="24"/>
          <w:highlight w:val="none"/>
        </w:rPr>
      </w:pPr>
    </w:p>
    <w:p w14:paraId="409BEDA5">
      <w:pPr>
        <w:spacing w:line="360" w:lineRule="auto"/>
        <w:rPr>
          <w:rFonts w:hAnsi="宋体"/>
          <w:bCs/>
          <w:color w:val="auto"/>
          <w:sz w:val="24"/>
          <w:highlight w:val="none"/>
          <w:u w:val="single"/>
        </w:rPr>
      </w:pPr>
      <w:r>
        <w:rPr>
          <w:rFonts w:hint="eastAsia" w:hAnsi="宋体"/>
          <w:bCs/>
          <w:color w:val="auto"/>
          <w:sz w:val="24"/>
          <w:highlight w:val="none"/>
        </w:rPr>
        <w:t>甲方（采购人）：</w:t>
      </w:r>
      <w:r>
        <w:rPr>
          <w:rFonts w:hint="eastAsia" w:hAnsi="宋体"/>
          <w:bCs/>
          <w:color w:val="auto"/>
          <w:sz w:val="24"/>
          <w:highlight w:val="none"/>
          <w:u w:val="single"/>
        </w:rPr>
        <w:t xml:space="preserve">                </w:t>
      </w:r>
      <w:r>
        <w:rPr>
          <w:rFonts w:hint="eastAsia" w:hAnsi="宋体"/>
          <w:bCs/>
          <w:color w:val="auto"/>
          <w:sz w:val="24"/>
          <w:highlight w:val="none"/>
        </w:rPr>
        <w:t>（盖章）   乙方（成交方）：</w:t>
      </w:r>
      <w:r>
        <w:rPr>
          <w:rFonts w:hint="eastAsia" w:hAnsi="宋体"/>
          <w:bCs/>
          <w:color w:val="auto"/>
          <w:sz w:val="24"/>
          <w:highlight w:val="none"/>
          <w:u w:val="single"/>
        </w:rPr>
        <w:t xml:space="preserve">           </w:t>
      </w:r>
      <w:r>
        <w:rPr>
          <w:rFonts w:hint="eastAsia" w:hAnsi="宋体"/>
          <w:bCs/>
          <w:color w:val="auto"/>
          <w:sz w:val="24"/>
          <w:highlight w:val="none"/>
        </w:rPr>
        <w:t>（盖章）</w:t>
      </w:r>
    </w:p>
    <w:p w14:paraId="42A3A284">
      <w:pPr>
        <w:spacing w:line="360" w:lineRule="auto"/>
        <w:rPr>
          <w:rFonts w:hAnsi="宋体"/>
          <w:bCs/>
          <w:color w:val="auto"/>
          <w:sz w:val="24"/>
          <w:highlight w:val="none"/>
          <w:u w:val="single"/>
        </w:rPr>
      </w:pPr>
      <w:r>
        <w:rPr>
          <w:rFonts w:hint="eastAsia" w:hAnsi="宋体"/>
          <w:bCs/>
          <w:color w:val="auto"/>
          <w:sz w:val="24"/>
          <w:highlight w:val="none"/>
        </w:rPr>
        <w:t>法定（授权）代表人：</w:t>
      </w:r>
      <w:r>
        <w:rPr>
          <w:rFonts w:hint="eastAsia" w:hAnsi="宋体"/>
          <w:bCs/>
          <w:color w:val="auto"/>
          <w:sz w:val="24"/>
          <w:highlight w:val="none"/>
          <w:u w:val="single"/>
        </w:rPr>
        <w:t xml:space="preserve">                  </w:t>
      </w:r>
      <w:r>
        <w:rPr>
          <w:rFonts w:hint="eastAsia" w:hAnsi="宋体"/>
          <w:bCs/>
          <w:color w:val="auto"/>
          <w:sz w:val="24"/>
          <w:highlight w:val="none"/>
        </w:rPr>
        <w:t xml:space="preserve">     法定（授权）代表人：</w:t>
      </w:r>
      <w:r>
        <w:rPr>
          <w:rFonts w:hint="eastAsia" w:hAnsi="宋体"/>
          <w:bCs/>
          <w:color w:val="auto"/>
          <w:sz w:val="24"/>
          <w:highlight w:val="none"/>
          <w:u w:val="single"/>
        </w:rPr>
        <w:t xml:space="preserve">                   </w:t>
      </w:r>
    </w:p>
    <w:p w14:paraId="6D00E545">
      <w:pPr>
        <w:spacing w:line="360" w:lineRule="auto"/>
        <w:ind w:firstLine="1440"/>
        <w:rPr>
          <w:rFonts w:hAnsi="宋体"/>
          <w:bCs/>
          <w:color w:val="auto"/>
          <w:sz w:val="24"/>
          <w:highlight w:val="none"/>
          <w:u w:val="single"/>
        </w:rPr>
      </w:pPr>
      <w:r>
        <w:rPr>
          <w:rFonts w:hint="eastAsia" w:hAnsi="宋体"/>
          <w:bCs/>
          <w:color w:val="auto"/>
          <w:sz w:val="24"/>
          <w:highlight w:val="none"/>
          <w:u w:val="single"/>
        </w:rPr>
        <w:t xml:space="preserve">        </w:t>
      </w:r>
      <w:r>
        <w:rPr>
          <w:rFonts w:hint="eastAsia" w:hAnsi="宋体"/>
          <w:bCs/>
          <w:color w:val="auto"/>
          <w:sz w:val="24"/>
          <w:highlight w:val="none"/>
        </w:rPr>
        <w:t>年</w:t>
      </w:r>
      <w:r>
        <w:rPr>
          <w:rFonts w:hint="eastAsia" w:hAnsi="宋体"/>
          <w:bCs/>
          <w:color w:val="auto"/>
          <w:sz w:val="24"/>
          <w:highlight w:val="none"/>
          <w:u w:val="single"/>
        </w:rPr>
        <w:t xml:space="preserve">      </w:t>
      </w:r>
      <w:r>
        <w:rPr>
          <w:rFonts w:hint="eastAsia" w:hAnsi="宋体"/>
          <w:bCs/>
          <w:color w:val="auto"/>
          <w:sz w:val="24"/>
          <w:highlight w:val="none"/>
        </w:rPr>
        <w:t>月</w:t>
      </w:r>
      <w:r>
        <w:rPr>
          <w:rFonts w:hint="eastAsia" w:hAnsi="宋体"/>
          <w:bCs/>
          <w:color w:val="auto"/>
          <w:sz w:val="24"/>
          <w:highlight w:val="none"/>
          <w:u w:val="single"/>
        </w:rPr>
        <w:t xml:space="preserve">       </w:t>
      </w:r>
      <w:r>
        <w:rPr>
          <w:rFonts w:hint="eastAsia" w:hAnsi="宋体"/>
          <w:bCs/>
          <w:color w:val="auto"/>
          <w:sz w:val="24"/>
          <w:highlight w:val="none"/>
        </w:rPr>
        <w:t xml:space="preserve">日       </w:t>
      </w:r>
      <w:r>
        <w:rPr>
          <w:rFonts w:hint="eastAsia" w:hAnsi="宋体"/>
          <w:bCs/>
          <w:color w:val="auto"/>
          <w:sz w:val="24"/>
          <w:highlight w:val="none"/>
          <w:u w:val="single"/>
        </w:rPr>
        <w:t xml:space="preserve">        </w:t>
      </w:r>
      <w:r>
        <w:rPr>
          <w:rFonts w:hint="eastAsia" w:hAnsi="宋体"/>
          <w:bCs/>
          <w:color w:val="auto"/>
          <w:sz w:val="24"/>
          <w:highlight w:val="none"/>
        </w:rPr>
        <w:t>年</w:t>
      </w:r>
      <w:r>
        <w:rPr>
          <w:rFonts w:hint="eastAsia" w:hAnsi="宋体"/>
          <w:bCs/>
          <w:color w:val="auto"/>
          <w:sz w:val="24"/>
          <w:highlight w:val="none"/>
          <w:u w:val="single"/>
        </w:rPr>
        <w:t xml:space="preserve">      </w:t>
      </w:r>
      <w:r>
        <w:rPr>
          <w:rFonts w:hint="eastAsia" w:hAnsi="宋体"/>
          <w:bCs/>
          <w:color w:val="auto"/>
          <w:sz w:val="24"/>
          <w:highlight w:val="none"/>
        </w:rPr>
        <w:t>月</w:t>
      </w:r>
      <w:r>
        <w:rPr>
          <w:rFonts w:hint="eastAsia" w:hAnsi="宋体"/>
          <w:bCs/>
          <w:color w:val="auto"/>
          <w:sz w:val="24"/>
          <w:highlight w:val="none"/>
          <w:u w:val="single"/>
        </w:rPr>
        <w:t xml:space="preserve">       </w:t>
      </w:r>
      <w:r>
        <w:rPr>
          <w:rFonts w:hint="eastAsia" w:hAnsi="宋体"/>
          <w:bCs/>
          <w:color w:val="auto"/>
          <w:sz w:val="24"/>
          <w:highlight w:val="none"/>
        </w:rPr>
        <w:t>日</w:t>
      </w:r>
    </w:p>
    <w:p w14:paraId="6B2CDE64">
      <w:pPr>
        <w:spacing w:line="360" w:lineRule="auto"/>
        <w:ind w:firstLine="480"/>
        <w:rPr>
          <w:rFonts w:hAnsi="宋体"/>
          <w:bCs/>
          <w:color w:val="auto"/>
          <w:sz w:val="24"/>
          <w:highlight w:val="none"/>
          <w:u w:val="single"/>
        </w:rPr>
      </w:pPr>
      <w:r>
        <w:rPr>
          <w:rFonts w:hint="eastAsia" w:hAnsi="宋体"/>
          <w:bCs/>
          <w:color w:val="auto"/>
          <w:sz w:val="24"/>
          <w:highlight w:val="none"/>
        </w:rPr>
        <w:t xml:space="preserve">                               </w:t>
      </w:r>
    </w:p>
    <w:p w14:paraId="7870A844">
      <w:pPr>
        <w:spacing w:line="360" w:lineRule="auto"/>
        <w:rPr>
          <w:rFonts w:hAnsi="宋体"/>
          <w:bCs/>
          <w:color w:val="auto"/>
          <w:sz w:val="24"/>
          <w:highlight w:val="none"/>
          <w:u w:val="single"/>
        </w:rPr>
      </w:pPr>
      <w:r>
        <w:rPr>
          <w:rFonts w:hint="eastAsia" w:hAnsi="宋体"/>
          <w:bCs/>
          <w:color w:val="auto"/>
          <w:sz w:val="24"/>
          <w:highlight w:val="none"/>
        </w:rPr>
        <w:t>见证方：</w:t>
      </w:r>
      <w:r>
        <w:rPr>
          <w:rFonts w:hint="eastAsia" w:hAnsi="宋体"/>
          <w:bCs/>
          <w:color w:val="auto"/>
          <w:sz w:val="24"/>
          <w:highlight w:val="none"/>
          <w:u w:val="single"/>
        </w:rPr>
        <w:t xml:space="preserve">            （</w:t>
      </w:r>
      <w:r>
        <w:rPr>
          <w:rFonts w:hint="eastAsia" w:hAnsi="宋体"/>
          <w:bCs/>
          <w:color w:val="auto"/>
          <w:sz w:val="24"/>
          <w:highlight w:val="none"/>
        </w:rPr>
        <w:t>盖章）               乙方户名：</w:t>
      </w:r>
      <w:r>
        <w:rPr>
          <w:rFonts w:hint="eastAsia" w:hAnsi="宋体"/>
          <w:bCs/>
          <w:color w:val="auto"/>
          <w:sz w:val="24"/>
          <w:highlight w:val="none"/>
          <w:u w:val="single"/>
        </w:rPr>
        <w:t xml:space="preserve">                             </w:t>
      </w:r>
    </w:p>
    <w:p w14:paraId="3BD30880">
      <w:pPr>
        <w:spacing w:line="360" w:lineRule="auto"/>
        <w:rPr>
          <w:rFonts w:hAnsi="宋体"/>
          <w:bCs/>
          <w:color w:val="auto"/>
          <w:sz w:val="24"/>
          <w:highlight w:val="none"/>
          <w:u w:val="single"/>
        </w:rPr>
      </w:pPr>
      <w:r>
        <w:rPr>
          <w:rFonts w:hint="eastAsia" w:hAnsi="宋体"/>
          <w:bCs/>
          <w:color w:val="auto"/>
          <w:sz w:val="24"/>
          <w:highlight w:val="none"/>
          <w:lang w:val="en-US" w:eastAsia="zh-CN"/>
        </w:rPr>
        <w:t xml:space="preserve">                       </w:t>
      </w:r>
      <w:r>
        <w:rPr>
          <w:rFonts w:hint="eastAsia" w:hAnsi="宋体"/>
          <w:bCs/>
          <w:color w:val="auto"/>
          <w:sz w:val="24"/>
          <w:highlight w:val="none"/>
        </w:rPr>
        <w:t xml:space="preserve">                    乙方开户银行：</w:t>
      </w:r>
      <w:r>
        <w:rPr>
          <w:rFonts w:hint="eastAsia" w:hAnsi="宋体"/>
          <w:bCs/>
          <w:color w:val="auto"/>
          <w:sz w:val="24"/>
          <w:highlight w:val="none"/>
          <w:u w:val="single"/>
        </w:rPr>
        <w:t xml:space="preserve">                             </w:t>
      </w:r>
    </w:p>
    <w:p w14:paraId="55D40349">
      <w:pPr>
        <w:spacing w:line="360" w:lineRule="auto"/>
        <w:rPr>
          <w:rFonts w:hAnsi="宋体"/>
          <w:bCs/>
          <w:color w:val="auto"/>
          <w:sz w:val="24"/>
          <w:highlight w:val="none"/>
          <w:u w:val="single"/>
        </w:rPr>
      </w:pPr>
      <w:r>
        <w:rPr>
          <w:rFonts w:hint="eastAsia" w:hAnsi="宋体"/>
          <w:bCs/>
          <w:color w:val="auto"/>
          <w:sz w:val="24"/>
          <w:highlight w:val="none"/>
        </w:rPr>
        <w:t xml:space="preserve">                                           乙方账号：</w:t>
      </w:r>
      <w:r>
        <w:rPr>
          <w:rFonts w:hint="eastAsia" w:hAnsi="宋体"/>
          <w:bCs/>
          <w:color w:val="auto"/>
          <w:sz w:val="24"/>
          <w:highlight w:val="none"/>
          <w:u w:val="single"/>
        </w:rPr>
        <w:t xml:space="preserve">                             </w:t>
      </w:r>
    </w:p>
    <w:p w14:paraId="31E4DF57">
      <w:pPr>
        <w:spacing w:line="360" w:lineRule="auto"/>
        <w:ind w:firstLine="1440"/>
        <w:rPr>
          <w:rFonts w:hAnsi="宋体"/>
          <w:bCs/>
          <w:color w:val="auto"/>
          <w:sz w:val="24"/>
          <w:highlight w:val="none"/>
        </w:rPr>
      </w:pPr>
      <w:r>
        <w:rPr>
          <w:rFonts w:hint="eastAsia" w:hAnsi="宋体"/>
          <w:bCs/>
          <w:color w:val="auto"/>
          <w:sz w:val="24"/>
          <w:highlight w:val="none"/>
          <w:u w:val="single"/>
        </w:rPr>
        <w:t xml:space="preserve">        </w:t>
      </w:r>
      <w:r>
        <w:rPr>
          <w:rFonts w:hint="eastAsia" w:hAnsi="宋体"/>
          <w:bCs/>
          <w:color w:val="auto"/>
          <w:sz w:val="24"/>
          <w:highlight w:val="none"/>
        </w:rPr>
        <w:t>年</w:t>
      </w:r>
      <w:r>
        <w:rPr>
          <w:rFonts w:hint="eastAsia" w:hAnsi="宋体"/>
          <w:bCs/>
          <w:color w:val="auto"/>
          <w:sz w:val="24"/>
          <w:highlight w:val="none"/>
          <w:u w:val="single"/>
        </w:rPr>
        <w:t xml:space="preserve">      </w:t>
      </w:r>
      <w:r>
        <w:rPr>
          <w:rFonts w:hint="eastAsia" w:hAnsi="宋体"/>
          <w:bCs/>
          <w:color w:val="auto"/>
          <w:sz w:val="24"/>
          <w:highlight w:val="none"/>
        </w:rPr>
        <w:t>月</w:t>
      </w:r>
      <w:r>
        <w:rPr>
          <w:rFonts w:hint="eastAsia" w:hAnsi="宋体"/>
          <w:bCs/>
          <w:color w:val="auto"/>
          <w:sz w:val="24"/>
          <w:highlight w:val="none"/>
          <w:u w:val="single"/>
        </w:rPr>
        <w:t xml:space="preserve">       </w:t>
      </w:r>
      <w:r>
        <w:rPr>
          <w:rFonts w:hint="eastAsia" w:hAnsi="宋体"/>
          <w:bCs/>
          <w:color w:val="auto"/>
          <w:sz w:val="24"/>
          <w:highlight w:val="none"/>
        </w:rPr>
        <w:t xml:space="preserve">日 </w:t>
      </w:r>
    </w:p>
    <w:p w14:paraId="49C3FAC1">
      <w:pPr>
        <w:spacing w:line="360" w:lineRule="auto"/>
        <w:ind w:firstLine="1440"/>
        <w:rPr>
          <w:rFonts w:hAnsi="宋体"/>
          <w:bCs/>
          <w:color w:val="auto"/>
          <w:sz w:val="24"/>
          <w:highlight w:val="none"/>
        </w:rPr>
      </w:pPr>
    </w:p>
    <w:p w14:paraId="071306B7">
      <w:pPr>
        <w:spacing w:line="360" w:lineRule="auto"/>
        <w:jc w:val="center"/>
        <w:outlineLvl w:val="0"/>
        <w:rPr>
          <w:rFonts w:hint="eastAsia" w:hAnsi="宋体"/>
          <w:bCs/>
          <w:color w:val="auto"/>
          <w:sz w:val="24"/>
          <w:highlight w:val="none"/>
        </w:rPr>
      </w:pPr>
      <w:r>
        <w:rPr>
          <w:rFonts w:hint="eastAsia" w:hAnsi="宋体"/>
          <w:bCs/>
          <w:color w:val="auto"/>
          <w:sz w:val="24"/>
          <w:highlight w:val="none"/>
        </w:rPr>
        <w:t>★</w:t>
      </w:r>
      <w:r>
        <w:rPr>
          <w:rFonts w:hint="eastAsia" w:hAnsi="宋体"/>
          <w:b/>
          <w:bCs/>
          <w:color w:val="auto"/>
          <w:sz w:val="24"/>
          <w:highlight w:val="none"/>
        </w:rPr>
        <w:t>备注：</w:t>
      </w:r>
      <w:r>
        <w:rPr>
          <w:rFonts w:hint="eastAsia" w:hAnsi="宋体"/>
          <w:bCs/>
          <w:color w:val="auto"/>
          <w:sz w:val="24"/>
          <w:highlight w:val="none"/>
        </w:rPr>
        <w:t>供需双方必须以本格式文本，按照合同条款拟订合同。</w:t>
      </w:r>
    </w:p>
    <w:p w14:paraId="05D33376">
      <w:pPr>
        <w:rPr>
          <w:rFonts w:hint="eastAsia" w:hAnsi="宋体"/>
          <w:bCs/>
          <w:color w:val="auto"/>
          <w:sz w:val="24"/>
          <w:highlight w:val="none"/>
        </w:rPr>
      </w:pPr>
      <w:r>
        <w:rPr>
          <w:rFonts w:hint="eastAsia" w:hAnsi="宋体"/>
          <w:bCs/>
          <w:color w:val="auto"/>
          <w:sz w:val="24"/>
          <w:highlight w:val="none"/>
        </w:rPr>
        <w:br w:type="page"/>
      </w:r>
    </w:p>
    <w:p w14:paraId="4576E720">
      <w:pPr>
        <w:spacing w:line="360" w:lineRule="auto"/>
        <w:jc w:val="center"/>
        <w:outlineLvl w:val="0"/>
        <w:rPr>
          <w:rFonts w:hint="eastAsia" w:hAnsi="宋体" w:cs="宋体"/>
          <w:b/>
          <w:bCs/>
          <w:color w:val="auto"/>
          <w:sz w:val="32"/>
          <w:szCs w:val="32"/>
          <w:highlight w:val="none"/>
        </w:rPr>
      </w:pPr>
      <w:r>
        <w:rPr>
          <w:rFonts w:hint="eastAsia" w:ascii="宋体" w:hAnsi="宋体" w:cs="宋体"/>
          <w:color w:val="auto"/>
          <w:sz w:val="24"/>
          <w:szCs w:val="24"/>
          <w:highlight w:val="none"/>
          <w:lang w:val="en-US" w:eastAsia="zh-CN"/>
        </w:rPr>
        <w:t xml:space="preserve"> </w:t>
      </w:r>
      <w:bookmarkStart w:id="39" w:name="_Toc24961"/>
      <w:r>
        <w:rPr>
          <w:rFonts w:hint="eastAsia" w:hAnsi="宋体" w:cs="宋体"/>
          <w:b/>
          <w:bCs/>
          <w:color w:val="auto"/>
          <w:sz w:val="32"/>
          <w:szCs w:val="32"/>
          <w:highlight w:val="none"/>
        </w:rPr>
        <w:t>五、附件</w:t>
      </w:r>
      <w:bookmarkEnd w:id="36"/>
      <w:bookmarkEnd w:id="37"/>
      <w:bookmarkEnd w:id="39"/>
    </w:p>
    <w:p w14:paraId="5C3E0B6E">
      <w:pPr>
        <w:tabs>
          <w:tab w:val="left" w:pos="525"/>
          <w:tab w:val="left" w:pos="1050"/>
        </w:tabs>
        <w:spacing w:line="300" w:lineRule="auto"/>
        <w:ind w:left="141" w:hanging="141"/>
        <w:rPr>
          <w:rFonts w:hint="eastAsia" w:ascii="宋体" w:hAnsi="宋体"/>
          <w:bCs/>
          <w:color w:val="auto"/>
          <w:sz w:val="24"/>
          <w:highlight w:val="none"/>
        </w:rPr>
      </w:pPr>
      <w:r>
        <w:rPr>
          <w:rFonts w:hint="eastAsia" w:ascii="宋体" w:hAnsi="宋体"/>
          <w:b/>
          <w:bCs/>
          <w:color w:val="auto"/>
          <w:sz w:val="24"/>
          <w:szCs w:val="24"/>
          <w:highlight w:val="none"/>
        </w:rPr>
        <w:t>附件一：评分</w:t>
      </w:r>
      <w:r>
        <w:rPr>
          <w:rFonts w:ascii="宋体" w:hAnsi="宋体"/>
          <w:b/>
          <w:bCs/>
          <w:color w:val="auto"/>
          <w:sz w:val="24"/>
          <w:szCs w:val="24"/>
          <w:highlight w:val="none"/>
        </w:rPr>
        <w:t>标准：</w:t>
      </w:r>
    </w:p>
    <w:p w14:paraId="3AB84ECB">
      <w:pPr>
        <w:tabs>
          <w:tab w:val="left" w:pos="1365"/>
        </w:tabs>
        <w:spacing w:line="360" w:lineRule="auto"/>
        <w:ind w:firstLine="480"/>
        <w:rPr>
          <w:rFonts w:hint="eastAsia" w:ascii="宋体" w:hAnsi="宋体"/>
          <w:bCs/>
          <w:color w:val="auto"/>
          <w:sz w:val="24"/>
          <w:highlight w:val="none"/>
        </w:rPr>
      </w:pPr>
      <w:r>
        <w:rPr>
          <w:rFonts w:ascii="宋体" w:hAnsi="宋体"/>
          <w:b/>
          <w:bCs/>
          <w:color w:val="auto"/>
          <w:sz w:val="24"/>
          <w:highlight w:val="none"/>
        </w:rPr>
        <w:t>比较与评价</w:t>
      </w:r>
      <w:r>
        <w:rPr>
          <w:rFonts w:hint="eastAsia" w:ascii="宋体" w:hAnsi="宋体"/>
          <w:b/>
          <w:bCs/>
          <w:color w:val="auto"/>
          <w:sz w:val="24"/>
          <w:highlight w:val="none"/>
        </w:rPr>
        <w:t>采用综合评分法（计分均保留2位小数），评审委员会遵循公平、公正、择优原则，独立按照评分标准分别评定投标供应商的分值；</w:t>
      </w:r>
      <w:r>
        <w:rPr>
          <w:rFonts w:ascii="宋体" w:hAnsi="宋体"/>
          <w:b/>
          <w:bCs/>
          <w:color w:val="auto"/>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hint="eastAsia" w:ascii="宋体" w:hAnsi="宋体"/>
          <w:b/>
          <w:bCs/>
          <w:color w:val="auto"/>
          <w:sz w:val="24"/>
          <w:highlight w:val="none"/>
          <w:lang w:eastAsia="zh-CN"/>
        </w:rPr>
        <w:t>，</w:t>
      </w:r>
      <w:r>
        <w:rPr>
          <w:rFonts w:hint="eastAsia" w:ascii="宋体" w:hAnsi="宋体"/>
          <w:b/>
          <w:color w:val="auto"/>
          <w:sz w:val="24"/>
          <w:highlight w:val="none"/>
        </w:rPr>
        <w:t>评审得分相同的，按照</w:t>
      </w:r>
      <w:r>
        <w:rPr>
          <w:rFonts w:hint="eastAsia" w:ascii="宋体" w:hAnsi="宋体"/>
          <w:b/>
          <w:color w:val="auto"/>
          <w:sz w:val="24"/>
          <w:highlight w:val="none"/>
          <w:lang w:val="en-US" w:eastAsia="zh-CN"/>
        </w:rPr>
        <w:t>投标报价</w:t>
      </w:r>
      <w:r>
        <w:rPr>
          <w:rFonts w:hint="eastAsia" w:ascii="宋体" w:hAnsi="宋体"/>
          <w:b/>
          <w:color w:val="auto"/>
          <w:sz w:val="24"/>
          <w:highlight w:val="none"/>
        </w:rPr>
        <w:t>由低到高的顺序推荐</w:t>
      </w:r>
      <w:r>
        <w:rPr>
          <w:rFonts w:hint="eastAsia" w:ascii="宋体" w:hAnsi="宋体"/>
          <w:b/>
          <w:color w:val="auto"/>
          <w:sz w:val="24"/>
          <w:highlight w:val="none"/>
          <w:lang w:eastAsia="zh-CN"/>
        </w:rPr>
        <w:t>，</w:t>
      </w:r>
      <w:r>
        <w:rPr>
          <w:rFonts w:hint="eastAsia" w:ascii="宋体" w:hAnsi="宋体"/>
          <w:b/>
          <w:color w:val="auto"/>
          <w:sz w:val="24"/>
          <w:highlight w:val="none"/>
        </w:rPr>
        <w:t>评审得分且最后报价相同的，按照技术指标（服务方案）优劣顺序推荐。</w:t>
      </w:r>
      <w:r>
        <w:rPr>
          <w:rFonts w:hint="eastAsia" w:ascii="宋体" w:hAnsi="宋体"/>
          <w:b/>
          <w:bCs/>
          <w:color w:val="auto"/>
          <w:sz w:val="24"/>
          <w:highlight w:val="none"/>
        </w:rPr>
        <w:t>未列入本评分标准的其他条件不作为评分内容</w:t>
      </w:r>
      <w:r>
        <w:rPr>
          <w:rFonts w:hint="eastAsia" w:ascii="宋体" w:hAnsi="宋体"/>
          <w:bCs/>
          <w:color w:val="auto"/>
          <w:sz w:val="24"/>
          <w:highlight w:val="none"/>
        </w:rPr>
        <w:t>。</w:t>
      </w:r>
    </w:p>
    <w:p w14:paraId="14B67561">
      <w:pPr>
        <w:tabs>
          <w:tab w:val="left" w:pos="525"/>
          <w:tab w:val="left" w:pos="1050"/>
        </w:tabs>
        <w:spacing w:line="300" w:lineRule="auto"/>
        <w:ind w:left="220" w:firstLine="316"/>
        <w:rPr>
          <w:rFonts w:hint="eastAsia" w:ascii="宋体" w:hAnsi="宋体"/>
          <w:b/>
          <w:bCs/>
          <w:color w:val="auto"/>
          <w:sz w:val="24"/>
          <w:szCs w:val="24"/>
          <w:highlight w:val="none"/>
        </w:rPr>
      </w:pPr>
      <w:r>
        <w:rPr>
          <w:rFonts w:hint="eastAsia" w:ascii="宋体" w:hAnsi="宋体"/>
          <w:b/>
          <w:bCs/>
          <w:color w:val="auto"/>
          <w:sz w:val="24"/>
          <w:szCs w:val="24"/>
          <w:highlight w:val="none"/>
        </w:rPr>
        <w:t>评分项目及分值</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（总分100分）</w:t>
      </w:r>
    </w:p>
    <w:p w14:paraId="230C74AE">
      <w:pPr>
        <w:pStyle w:val="45"/>
        <w:numPr>
          <w:ilvl w:val="0"/>
          <w:numId w:val="15"/>
        </w:numPr>
        <w:tabs>
          <w:tab w:val="left" w:pos="312"/>
          <w:tab w:val="clear" w:pos="732"/>
        </w:tabs>
        <w:spacing w:line="360" w:lineRule="auto"/>
        <w:ind w:left="420" w:leftChars="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投标报价          </w:t>
      </w:r>
      <w:r>
        <w:rPr>
          <w:rFonts w:hint="eastAsia" w:hAnsi="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lang w:val="en-US" w:eastAsia="zh-CN"/>
        </w:rPr>
        <w:t xml:space="preserve">       </w:t>
      </w:r>
      <w:r>
        <w:rPr>
          <w:rFonts w:hint="eastAsia" w:hAnsi="宋体" w:cs="Times New Roman"/>
          <w:b/>
          <w:bCs/>
          <w:color w:val="auto"/>
          <w:sz w:val="24"/>
          <w:szCs w:val="24"/>
          <w:highlight w:val="none"/>
          <w:lang w:val="en-US" w:eastAsia="zh-CN"/>
        </w:rPr>
        <w:t>30</w:t>
      </w:r>
      <w:r>
        <w:rPr>
          <w:rFonts w:hint="eastAsia" w:ascii="宋体" w:hAnsi="宋体" w:eastAsia="宋体" w:cs="Times New Roman"/>
          <w:b/>
          <w:bCs/>
          <w:color w:val="auto"/>
          <w:sz w:val="24"/>
          <w:szCs w:val="24"/>
          <w:highlight w:val="none"/>
          <w:lang w:val="en-US" w:eastAsia="zh-CN"/>
        </w:rPr>
        <w:t>分</w:t>
      </w:r>
    </w:p>
    <w:p w14:paraId="4B86DCFC">
      <w:pPr>
        <w:pStyle w:val="45"/>
        <w:numPr>
          <w:ilvl w:val="0"/>
          <w:numId w:val="15"/>
        </w:numPr>
        <w:tabs>
          <w:tab w:val="left" w:pos="312"/>
          <w:tab w:val="clear" w:pos="732"/>
        </w:tabs>
        <w:spacing w:line="360" w:lineRule="auto"/>
        <w:ind w:left="420" w:leftChars="0"/>
        <w:rPr>
          <w:rFonts w:hint="eastAsia" w:ascii="宋体" w:hAnsi="宋体" w:eastAsia="宋体" w:cs="Times New Roman"/>
          <w:b/>
          <w:bCs/>
          <w:color w:val="auto"/>
          <w:sz w:val="24"/>
          <w:szCs w:val="24"/>
          <w:highlight w:val="none"/>
          <w:lang w:val="en-US" w:eastAsia="zh-CN"/>
        </w:rPr>
      </w:pPr>
      <w:r>
        <w:rPr>
          <w:rFonts w:hint="eastAsia" w:hAnsi="宋体" w:cs="Times New Roman"/>
          <w:b/>
          <w:bCs/>
          <w:color w:val="auto"/>
          <w:sz w:val="24"/>
          <w:szCs w:val="24"/>
          <w:highlight w:val="none"/>
          <w:lang w:val="en-US" w:eastAsia="zh-CN"/>
        </w:rPr>
        <w:t xml:space="preserve">服务能力  </w:t>
      </w:r>
      <w:r>
        <w:rPr>
          <w:rFonts w:hint="eastAsia" w:ascii="宋体" w:hAnsi="宋体" w:eastAsia="宋体" w:cs="Times New Roman"/>
          <w:b/>
          <w:bCs/>
          <w:color w:val="auto"/>
          <w:sz w:val="24"/>
          <w:szCs w:val="24"/>
          <w:highlight w:val="none"/>
          <w:lang w:val="en-US" w:eastAsia="zh-CN"/>
        </w:rPr>
        <w:t xml:space="preserve">                </w:t>
      </w:r>
      <w:r>
        <w:rPr>
          <w:rFonts w:hint="eastAsia" w:hAnsi="宋体" w:cs="Times New Roman"/>
          <w:b/>
          <w:bCs/>
          <w:color w:val="auto"/>
          <w:sz w:val="24"/>
          <w:szCs w:val="24"/>
          <w:highlight w:val="none"/>
          <w:lang w:val="en-US" w:eastAsia="zh-CN"/>
        </w:rPr>
        <w:t>24</w:t>
      </w:r>
      <w:r>
        <w:rPr>
          <w:rFonts w:hint="eastAsia" w:ascii="宋体" w:hAnsi="宋体" w:eastAsia="宋体" w:cs="Times New Roman"/>
          <w:b/>
          <w:bCs/>
          <w:color w:val="auto"/>
          <w:sz w:val="24"/>
          <w:szCs w:val="24"/>
          <w:highlight w:val="none"/>
          <w:lang w:val="en-US" w:eastAsia="zh-CN"/>
        </w:rPr>
        <w:t>分</w:t>
      </w:r>
    </w:p>
    <w:p w14:paraId="36E18B80">
      <w:pPr>
        <w:pStyle w:val="45"/>
        <w:numPr>
          <w:ilvl w:val="0"/>
          <w:numId w:val="15"/>
        </w:numPr>
        <w:tabs>
          <w:tab w:val="left" w:pos="312"/>
          <w:tab w:val="clear" w:pos="732"/>
        </w:tabs>
        <w:spacing w:line="360" w:lineRule="auto"/>
        <w:ind w:left="420" w:leftChars="0"/>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技术标部分</w:t>
      </w:r>
      <w:r>
        <w:rPr>
          <w:rFonts w:hint="eastAsia" w:hAnsi="宋体" w:cs="Times New Roman"/>
          <w:b/>
          <w:bCs/>
          <w:color w:val="auto"/>
          <w:sz w:val="24"/>
          <w:szCs w:val="24"/>
          <w:highlight w:val="none"/>
          <w:lang w:val="en-US" w:eastAsia="zh-CN"/>
        </w:rPr>
        <w:t>（暗标）</w:t>
      </w:r>
      <w:r>
        <w:rPr>
          <w:rFonts w:hint="eastAsia" w:ascii="宋体" w:hAnsi="宋体" w:eastAsia="宋体" w:cs="Times New Roman"/>
          <w:b/>
          <w:bCs/>
          <w:color w:val="auto"/>
          <w:sz w:val="24"/>
          <w:szCs w:val="24"/>
          <w:highlight w:val="none"/>
          <w:lang w:val="en-US" w:eastAsia="zh-CN"/>
        </w:rPr>
        <w:t xml:space="preserve">        </w:t>
      </w:r>
      <w:r>
        <w:rPr>
          <w:rFonts w:hint="eastAsia" w:hAnsi="宋体" w:cs="Times New Roman"/>
          <w:b/>
          <w:bCs/>
          <w:color w:val="auto"/>
          <w:sz w:val="24"/>
          <w:szCs w:val="24"/>
          <w:highlight w:val="none"/>
          <w:lang w:val="en-US" w:eastAsia="zh-CN"/>
        </w:rPr>
        <w:t>46</w:t>
      </w:r>
      <w:r>
        <w:rPr>
          <w:rFonts w:hint="eastAsia" w:ascii="宋体" w:hAnsi="宋体" w:eastAsia="宋体" w:cs="Times New Roman"/>
          <w:b/>
          <w:bCs/>
          <w:color w:val="auto"/>
          <w:sz w:val="24"/>
          <w:szCs w:val="24"/>
          <w:highlight w:val="none"/>
          <w:lang w:val="en-US" w:eastAsia="zh-CN"/>
        </w:rPr>
        <w:t>分</w:t>
      </w:r>
    </w:p>
    <w:p w14:paraId="1A10963C">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投标报价（</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0624ACF8">
      <w:pPr>
        <w:numPr>
          <w:ilvl w:val="0"/>
          <w:numId w:val="0"/>
        </w:numPr>
        <w:spacing w:line="360" w:lineRule="auto"/>
        <w:ind w:firstLine="480" w:firstLineChars="200"/>
        <w:rPr>
          <w:rFonts w:hint="eastAsia" w:ascii="宋体" w:hAnsi="宋体" w:eastAsia="Arial" w:cs="宋体"/>
          <w:bCs/>
          <w:snapToGrid w:val="0"/>
          <w:color w:val="auto"/>
          <w:kern w:val="0"/>
          <w:sz w:val="24"/>
          <w:szCs w:val="24"/>
          <w:highlight w:val="none"/>
          <w:lang w:eastAsia="en-US"/>
        </w:rPr>
      </w:pPr>
      <w:r>
        <w:rPr>
          <w:rFonts w:hint="eastAsia" w:ascii="宋体" w:hAnsi="宋体" w:eastAsia="Arial" w:cs="宋体"/>
          <w:bCs/>
          <w:snapToGrid w:val="0"/>
          <w:color w:val="auto"/>
          <w:kern w:val="0"/>
          <w:sz w:val="24"/>
          <w:szCs w:val="24"/>
          <w:highlight w:val="none"/>
          <w:lang w:eastAsia="en-US"/>
        </w:rPr>
        <w:t>采用低价优先法计算，即满足招标文件要求且投标价格最低的投标报价为评 标基准价，其价格分为满分。其他投标人的价格分统一按照下列公式计算：</w:t>
      </w:r>
    </w:p>
    <w:p w14:paraId="72E9F015">
      <w:pPr>
        <w:numPr>
          <w:ilvl w:val="0"/>
          <w:numId w:val="0"/>
        </w:numPr>
        <w:spacing w:line="360" w:lineRule="auto"/>
        <w:ind w:firstLine="480" w:firstLineChars="200"/>
        <w:rPr>
          <w:rFonts w:hint="eastAsia" w:ascii="宋体" w:hAnsi="宋体" w:eastAsia="Arial" w:cs="宋体"/>
          <w:bCs/>
          <w:snapToGrid w:val="0"/>
          <w:color w:val="auto"/>
          <w:kern w:val="0"/>
          <w:sz w:val="24"/>
          <w:szCs w:val="24"/>
          <w:highlight w:val="none"/>
          <w:lang w:eastAsia="en-US"/>
        </w:rPr>
      </w:pPr>
      <w:r>
        <w:rPr>
          <w:rFonts w:hint="eastAsia" w:ascii="宋体" w:hAnsi="宋体" w:eastAsia="Arial" w:cs="宋体"/>
          <w:bCs/>
          <w:snapToGrid w:val="0"/>
          <w:color w:val="auto"/>
          <w:kern w:val="0"/>
          <w:sz w:val="24"/>
          <w:szCs w:val="24"/>
          <w:highlight w:val="none"/>
          <w:lang w:eastAsia="en-US"/>
        </w:rPr>
        <w:t>投标报价得分=(评标基准价/投标报价)×价格权值×100，结果保留两位小数。</w:t>
      </w:r>
    </w:p>
    <w:p w14:paraId="3BFB644D">
      <w:pPr>
        <w:numPr>
          <w:ilvl w:val="0"/>
          <w:numId w:val="0"/>
        </w:numPr>
        <w:spacing w:line="360" w:lineRule="auto"/>
        <w:ind w:firstLine="480" w:firstLineChars="200"/>
        <w:rPr>
          <w:rFonts w:hint="eastAsia" w:ascii="宋体" w:hAnsi="宋体" w:eastAsia="Arial" w:cs="宋体"/>
          <w:bCs/>
          <w:snapToGrid w:val="0"/>
          <w:color w:val="auto"/>
          <w:kern w:val="0"/>
          <w:sz w:val="24"/>
          <w:szCs w:val="24"/>
          <w:highlight w:val="none"/>
          <w:lang w:eastAsia="en-US"/>
        </w:rPr>
      </w:pPr>
      <w:r>
        <w:rPr>
          <w:rFonts w:hint="eastAsia" w:ascii="宋体" w:hAnsi="宋体" w:eastAsia="Arial" w:cs="宋体"/>
          <w:bCs/>
          <w:snapToGrid w:val="0"/>
          <w:color w:val="auto"/>
          <w:kern w:val="0"/>
          <w:sz w:val="24"/>
          <w:szCs w:val="24"/>
          <w:highlight w:val="none"/>
          <w:lang w:eastAsia="en-US"/>
        </w:rPr>
        <w:t>价格扣除</w:t>
      </w:r>
      <w:r>
        <w:rPr>
          <w:rFonts w:hint="eastAsia" w:ascii="宋体" w:hAnsi="宋体" w:eastAsia="宋体" w:cs="宋体"/>
          <w:bCs/>
          <w:snapToGrid w:val="0"/>
          <w:color w:val="auto"/>
          <w:kern w:val="0"/>
          <w:sz w:val="24"/>
          <w:szCs w:val="24"/>
          <w:highlight w:val="none"/>
          <w:lang w:eastAsia="zh-CN"/>
        </w:rPr>
        <w:t>（</w:t>
      </w:r>
      <w:r>
        <w:rPr>
          <w:rFonts w:hint="eastAsia" w:ascii="宋体" w:hAnsi="宋体" w:eastAsia="宋体" w:cs="宋体"/>
          <w:bCs/>
          <w:snapToGrid w:val="0"/>
          <w:color w:val="auto"/>
          <w:kern w:val="0"/>
          <w:sz w:val="24"/>
          <w:szCs w:val="24"/>
          <w:highlight w:val="none"/>
          <w:lang w:val="en-US" w:eastAsia="zh-CN"/>
        </w:rPr>
        <w:t>本项目不涉及</w:t>
      </w:r>
      <w:r>
        <w:rPr>
          <w:rFonts w:hint="eastAsia" w:ascii="宋体" w:hAnsi="宋体" w:eastAsia="宋体" w:cs="宋体"/>
          <w:bCs/>
          <w:snapToGrid w:val="0"/>
          <w:color w:val="auto"/>
          <w:kern w:val="0"/>
          <w:sz w:val="24"/>
          <w:szCs w:val="24"/>
          <w:highlight w:val="none"/>
          <w:lang w:eastAsia="zh-CN"/>
        </w:rPr>
        <w:t>）</w:t>
      </w:r>
      <w:r>
        <w:rPr>
          <w:rFonts w:hint="eastAsia" w:ascii="宋体" w:hAnsi="宋体" w:eastAsia="Arial" w:cs="宋体"/>
          <w:bCs/>
          <w:snapToGrid w:val="0"/>
          <w:color w:val="auto"/>
          <w:kern w:val="0"/>
          <w:sz w:val="24"/>
          <w:szCs w:val="24"/>
          <w:highlight w:val="none"/>
          <w:lang w:eastAsia="en-US"/>
        </w:rPr>
        <w:t>：按照《政府采购促进中小企业发展管理办法》(财库〔2022〕19 号)的规定，对小型和微型企业产品价格给予20%的扣除，用扣除后的价格参与评审。(供应商《中小企业声明函》。如未按要求填写和提供有效证明或相关内容表述不清的，不得享受价格扣除。)</w:t>
      </w:r>
    </w:p>
    <w:p w14:paraId="59E0A207">
      <w:pPr>
        <w:numPr>
          <w:ilvl w:val="0"/>
          <w:numId w:val="0"/>
        </w:numPr>
        <w:spacing w:line="360" w:lineRule="auto"/>
        <w:ind w:firstLine="480" w:firstLineChars="200"/>
        <w:rPr>
          <w:rFonts w:hint="eastAsia" w:ascii="宋体" w:hAnsi="宋体" w:eastAsia="Arial" w:cs="宋体"/>
          <w:bCs/>
          <w:snapToGrid w:val="0"/>
          <w:color w:val="auto"/>
          <w:kern w:val="0"/>
          <w:sz w:val="24"/>
          <w:szCs w:val="24"/>
          <w:highlight w:val="none"/>
          <w:lang w:eastAsia="en-US"/>
        </w:rPr>
      </w:pPr>
      <w:r>
        <w:rPr>
          <w:rFonts w:hint="eastAsia" w:ascii="宋体" w:hAnsi="宋体" w:eastAsia="Arial" w:cs="宋体"/>
          <w:bCs/>
          <w:snapToGrid w:val="0"/>
          <w:color w:val="auto"/>
          <w:kern w:val="0"/>
          <w:sz w:val="24"/>
          <w:szCs w:val="24"/>
          <w:highlight w:val="none"/>
          <w:lang w:eastAsia="en-US"/>
        </w:rPr>
        <w:t>按照《财政部司法部关于政府采购支持监狱企业发展有关问题的通知》(财 库(2014)68号)文件规定，在政府采购活动中，监狱企业视同小型、微型企 业，享受评审中价格扣除的政府采购政策。</w:t>
      </w:r>
    </w:p>
    <w:p w14:paraId="39C59BDD">
      <w:pPr>
        <w:numPr>
          <w:ilvl w:val="0"/>
          <w:numId w:val="0"/>
        </w:numPr>
        <w:spacing w:line="360" w:lineRule="auto"/>
        <w:ind w:firstLine="480" w:firstLineChars="200"/>
        <w:rPr>
          <w:rFonts w:hint="eastAsia" w:ascii="宋体" w:hAnsi="宋体" w:eastAsia="Arial" w:cs="宋体"/>
          <w:bCs/>
          <w:snapToGrid w:val="0"/>
          <w:color w:val="auto"/>
          <w:kern w:val="0"/>
          <w:sz w:val="24"/>
          <w:szCs w:val="24"/>
          <w:highlight w:val="none"/>
          <w:lang w:eastAsia="en-US"/>
        </w:rPr>
      </w:pPr>
      <w:r>
        <w:rPr>
          <w:rFonts w:hint="eastAsia" w:ascii="宋体" w:hAnsi="宋体" w:eastAsia="Arial" w:cs="宋体"/>
          <w:bCs/>
          <w:snapToGrid w:val="0"/>
          <w:color w:val="auto"/>
          <w:kern w:val="0"/>
          <w:sz w:val="24"/>
          <w:szCs w:val="24"/>
          <w:highlight w:val="none"/>
          <w:lang w:eastAsia="en-US"/>
        </w:rPr>
        <w:t>按照《财政部司法部中国残疾人联合会关于促进残疾人就业政府采购政策的通知》,残疾人福利性单位视同小型、微型企业，享受评审中价格扣除的政府采购政策，残疾人福利性单位属于小型、微型企业的，不重复享受政策。</w:t>
      </w:r>
    </w:p>
    <w:p w14:paraId="65A282B9">
      <w:pPr>
        <w:numPr>
          <w:ilvl w:val="0"/>
          <w:numId w:val="0"/>
        </w:numPr>
        <w:spacing w:line="360" w:lineRule="auto"/>
        <w:ind w:firstLine="480" w:firstLineChars="200"/>
        <w:rPr>
          <w:rFonts w:hint="eastAsia" w:ascii="宋体" w:hAnsi="宋体" w:eastAsia="Arial" w:cs="宋体"/>
          <w:bCs/>
          <w:snapToGrid w:val="0"/>
          <w:color w:val="auto"/>
          <w:kern w:val="0"/>
          <w:sz w:val="24"/>
          <w:szCs w:val="24"/>
          <w:highlight w:val="none"/>
          <w:lang w:eastAsia="en-US"/>
        </w:rPr>
      </w:pPr>
      <w:r>
        <w:rPr>
          <w:rFonts w:hint="eastAsia" w:ascii="宋体" w:hAnsi="宋体" w:eastAsia="Arial" w:cs="宋体"/>
          <w:bCs/>
          <w:snapToGrid w:val="0"/>
          <w:color w:val="auto"/>
          <w:kern w:val="0"/>
          <w:sz w:val="24"/>
          <w:szCs w:val="24"/>
          <w:highlight w:val="none"/>
          <w:lang w:eastAsia="en-US"/>
        </w:rPr>
        <w:t>参加报价的监狱企业，应当按照《关于政府采购支持监狱企业发展有关问题的通知》(财库[2014]68号)的规定由省级以上监狱管理局、戒毒管理局(含新疆生产建设兵团)出具的属于监狱企业的证明文件。</w:t>
      </w:r>
    </w:p>
    <w:p w14:paraId="744448DB">
      <w:pPr>
        <w:numPr>
          <w:ilvl w:val="0"/>
          <w:numId w:val="0"/>
        </w:numPr>
        <w:spacing w:line="360" w:lineRule="auto"/>
        <w:ind w:firstLine="480" w:firstLineChars="200"/>
        <w:rPr>
          <w:rFonts w:hint="eastAsia" w:ascii="宋体" w:hAnsi="宋体" w:eastAsia="Arial" w:cs="宋体"/>
          <w:bCs/>
          <w:snapToGrid w:val="0"/>
          <w:color w:val="auto"/>
          <w:kern w:val="0"/>
          <w:sz w:val="24"/>
          <w:szCs w:val="24"/>
          <w:highlight w:val="none"/>
          <w:lang w:eastAsia="en-US"/>
        </w:rPr>
      </w:pPr>
      <w:r>
        <w:rPr>
          <w:rFonts w:hint="eastAsia" w:ascii="宋体" w:hAnsi="宋体" w:eastAsia="Arial" w:cs="宋体"/>
          <w:bCs/>
          <w:snapToGrid w:val="0"/>
          <w:color w:val="auto"/>
          <w:kern w:val="0"/>
          <w:sz w:val="24"/>
          <w:szCs w:val="24"/>
          <w:highlight w:val="none"/>
          <w:lang w:eastAsia="en-US"/>
        </w:rPr>
        <w:t>参加报价的残疾人福利性单位，应当按照《财政部、民政部、中国残疾人联合会关于促进残疾人就业政府采购政策的通知》(财库〔2017〕141号)的规定填写《残疾人福利性单位声明函》。</w:t>
      </w:r>
    </w:p>
    <w:p w14:paraId="7BBEFF65">
      <w:pPr>
        <w:numPr>
          <w:ilvl w:val="0"/>
          <w:numId w:val="0"/>
        </w:num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（二）服务能力(</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4分)</w:t>
      </w:r>
    </w:p>
    <w:p w14:paraId="6669B484">
      <w:pPr>
        <w:adjustRightInd w:val="0"/>
        <w:snapToGrid w:val="0"/>
        <w:spacing w:line="360" w:lineRule="auto"/>
        <w:ind w:firstLine="498" w:firstLineChars="200"/>
        <w:rPr>
          <w:rFonts w:hint="eastAsia" w:ascii="宋体" w:hAnsi="宋体" w:cs="宋体"/>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1)投标人综合情况(8分)</w:t>
      </w:r>
    </w:p>
    <w:p w14:paraId="3C5A6E9E">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①投标人具有在有效期内的质量管理体系认证证书、环境管理体系认证证书、职业健康安全管理体系认证证书的，每有一个得1分，最高得3分。（提供证书扫描件放入投标文件，不提供不得分。）</w:t>
      </w:r>
    </w:p>
    <w:p w14:paraId="08977736">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②投标人具有在有效期内的信息安全服务资质认证证书的，得1分。（提供证书扫描件放入投标文件，不提供不得分。）</w:t>
      </w:r>
    </w:p>
    <w:p w14:paraId="12BA894E">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③投标人具有在有效期内的电子与智能化系统集成服务企业资质等级证书的，得1分。（提供证书扫描件放入投标文件，不提供不得分。）</w:t>
      </w:r>
    </w:p>
    <w:p w14:paraId="60F995EF">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④投标人自2023年1月1日(合同落款日期至本项目发布招标公告首日计算)以来承接过水质仪表供应或维护项目的，每提供一份得1分，最多得3分。（提供相对应有效合同扫描件放入投标文件中。)</w:t>
      </w:r>
    </w:p>
    <w:p w14:paraId="19340D23">
      <w:pPr>
        <w:adjustRightInd w:val="0"/>
        <w:snapToGrid w:val="0"/>
        <w:spacing w:line="360" w:lineRule="auto"/>
        <w:ind w:firstLine="498" w:firstLineChars="200"/>
        <w:rPr>
          <w:rFonts w:hint="eastAsia" w:ascii="宋体" w:hAnsi="宋体" w:cs="宋体"/>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2) 项目团队管理能力(6分)</w:t>
      </w:r>
    </w:p>
    <w:p w14:paraId="21821226">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①项目负责人(3分)。为保障投标人项目负责人的技术专业性，项目负责人具有水相关高级职称的，得1分；项目负责人具有注册给排水工程师，得1分；项目负责人具有二级建造师（或以上）相关证书的，得1分，本项最高得3分。(提供项目负责人相关证书扫描件、与企业所签订的劳动合同扫描件、由社保机构出具的投标人为其缴纳的近六个月中(不含开标当月)任一月的缴费证明，如企业成立年限不足6个月的，则按企业实际成立时间提供社保缴费相关证明加盖公章)。</w:t>
      </w:r>
    </w:p>
    <w:p w14:paraId="6B751716">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②项目组技术骨干(3分)。为保障投标人项目团队整体的专业性、针对性，项目组技术骨干中具备计算机类高级职称的，得1分；技术骨干中具有工程管理相关职称证书的，得1分；具有信息安全相关证书的，得1分，本项最高得3分。(提供相关人员相关证书扫描件、与企业所签订的劳动合同扫描件、由社保机构出具的投标人为其缴纳的近三个月中(不含开标当月)任一月的缴费证明，如企业成立年限不足3个月的，则按企业实际成立时间提供社保缴费相关证明加盖公章)</w:t>
      </w:r>
    </w:p>
    <w:p w14:paraId="59F97D3E">
      <w:pPr>
        <w:adjustRightInd w:val="0"/>
        <w:snapToGrid w:val="0"/>
        <w:spacing w:line="360" w:lineRule="auto"/>
        <w:ind w:firstLine="498" w:firstLineChars="200"/>
        <w:rPr>
          <w:rFonts w:hint="eastAsia" w:ascii="宋体" w:hAnsi="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3)配件供应与保障(5分)</w:t>
      </w:r>
    </w:p>
    <w:p w14:paraId="36C20EDB">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投标供应商具备完善的仪表配件供应渠道，提供实验室仪器的原厂家或原集成商或国内区域代理的备品备件的供货协议，或提供与现有仪器适配的备品备件的供货协议，本项最高5分【投标时提供供货协议扫描件或承诺中标后合同签订前配置符合仪器设备的供货协议的承诺书并加盖投标人公章，未按要求提供不得分】</w:t>
      </w:r>
    </w:p>
    <w:p w14:paraId="10CD6097">
      <w:pPr>
        <w:adjustRightInd w:val="0"/>
        <w:snapToGrid w:val="0"/>
        <w:spacing w:line="360" w:lineRule="auto"/>
        <w:ind w:firstLine="498" w:firstLineChars="200"/>
        <w:rPr>
          <w:rFonts w:hint="eastAsia" w:ascii="宋体" w:hAnsi="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4)质保承诺函(5分)</w:t>
      </w:r>
    </w:p>
    <w:p w14:paraId="6DB1CCE8">
      <w:pPr>
        <w:adjustRightInd w:val="0"/>
        <w:snapToGrid w:val="0"/>
        <w:spacing w:line="360" w:lineRule="auto"/>
        <w:ind w:firstLine="496" w:firstLineChars="200"/>
        <w:rPr>
          <w:rFonts w:hint="eastAsia" w:ascii="宋体" w:hAnsi="宋体" w:eastAsia="宋体" w:cs="宋体"/>
          <w:b/>
          <w:bCs w:val="0"/>
          <w:color w:val="auto"/>
          <w:sz w:val="24"/>
          <w:szCs w:val="24"/>
          <w:highlight w:val="none"/>
          <w:lang w:val="en-US" w:eastAsia="zh-CN"/>
        </w:rPr>
      </w:pPr>
      <w:r>
        <w:rPr>
          <w:rFonts w:hint="eastAsia" w:ascii="宋体" w:hAnsi="宋体" w:cs="宋体"/>
          <w:color w:val="auto"/>
          <w:spacing w:val="4"/>
          <w:sz w:val="24"/>
          <w:szCs w:val="24"/>
          <w:highlight w:val="none"/>
          <w:lang w:val="en-US" w:eastAsia="zh-CN"/>
        </w:rPr>
        <w:t>投标供应商提供实验室仪器原厂家的质保承诺函，本项最高5分。【投标时提供质保承诺函扫描件或承诺中标后合同签订质保协议的承诺书并加盖投标人公章，未按要求提供不得分】</w:t>
      </w:r>
    </w:p>
    <w:p w14:paraId="32A59A46">
      <w:pPr>
        <w:widowControl w:val="0"/>
        <w:spacing w:line="360" w:lineRule="auto"/>
        <w:ind w:firstLine="420"/>
        <w:jc w:val="both"/>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en-US" w:eastAsia="zh-CN"/>
        </w:rPr>
        <w:t>（三）技术标部分</w:t>
      </w:r>
      <w:r>
        <w:rPr>
          <w:rFonts w:hint="eastAsia" w:ascii="宋体" w:hAnsi="宋体" w:cs="宋体"/>
          <w:b/>
          <w:bCs/>
          <w:color w:val="auto"/>
          <w:sz w:val="24"/>
          <w:szCs w:val="24"/>
          <w:highlight w:val="none"/>
          <w:lang w:val="en-US" w:eastAsia="zh-CN"/>
        </w:rPr>
        <w:t>（暗标）</w:t>
      </w:r>
      <w:r>
        <w:rPr>
          <w:rFonts w:hint="eastAsia" w:ascii="宋体" w:hAnsi="宋体" w:eastAsia="宋体" w:cs="宋体"/>
          <w:b/>
          <w:bCs/>
          <w:color w:val="auto"/>
          <w:sz w:val="24"/>
          <w:szCs w:val="24"/>
          <w:highlight w:val="none"/>
          <w:lang w:eastAsia="en-US"/>
        </w:rPr>
        <w:t>（</w:t>
      </w:r>
      <w:r>
        <w:rPr>
          <w:rFonts w:hint="eastAsia" w:ascii="宋体" w:hAnsi="宋体" w:cs="宋体"/>
          <w:b/>
          <w:bCs/>
          <w:color w:val="auto"/>
          <w:sz w:val="24"/>
          <w:szCs w:val="24"/>
          <w:highlight w:val="none"/>
          <w:lang w:val="en-US" w:eastAsia="zh-CN"/>
        </w:rPr>
        <w:t>46</w:t>
      </w:r>
      <w:r>
        <w:rPr>
          <w:rFonts w:hint="eastAsia" w:ascii="宋体" w:hAnsi="宋体" w:eastAsia="宋体" w:cs="宋体"/>
          <w:b/>
          <w:bCs/>
          <w:color w:val="auto"/>
          <w:sz w:val="24"/>
          <w:szCs w:val="24"/>
          <w:highlight w:val="none"/>
          <w:lang w:eastAsia="en-US"/>
        </w:rPr>
        <w:t>分）</w:t>
      </w:r>
    </w:p>
    <w:p w14:paraId="16726A79">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(1)</w:t>
      </w:r>
      <w:r>
        <w:rPr>
          <w:rFonts w:hint="eastAsia" w:ascii="宋体" w:hAnsi="宋体" w:cs="宋体"/>
          <w:b/>
          <w:bCs/>
          <w:color w:val="auto"/>
          <w:spacing w:val="4"/>
          <w:sz w:val="24"/>
          <w:szCs w:val="24"/>
          <w:highlight w:val="none"/>
          <w:lang w:val="en-US" w:eastAsia="zh-CN"/>
        </w:rPr>
        <w:t>项目实施方案和进度计划</w:t>
      </w:r>
      <w:r>
        <w:rPr>
          <w:rFonts w:hint="eastAsia" w:ascii="宋体" w:hAnsi="宋体" w:cs="宋体"/>
          <w:color w:val="auto"/>
          <w:spacing w:val="4"/>
          <w:sz w:val="24"/>
          <w:szCs w:val="24"/>
          <w:highlight w:val="none"/>
          <w:lang w:val="en-US" w:eastAsia="zh-CN"/>
        </w:rPr>
        <w:t>(12分)</w:t>
      </w:r>
    </w:p>
    <w:p w14:paraId="475E635E">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针对采购需求提供项目实施方案和进度计划内容。应包含但不限于①项目进 度实施计划、②任务分工及人员安排、③智能化管理平台设计方案、④质量管理计划、⑤验收计划、⑥软件调试方案及操作规程等内容。提供了针对本项目需求内容翔实、逻辑清晰、计划周密合理有序、设计科学合理的总体实施方案，方案贴合需求、阐述目标准确，完全满足招标要求，可操作性、针对性强。以上每条内容不存在瑕疵的得2分；以上每条内容存在1处瑕疵的得1分;以上每条内容存在2处及以上瑕疵的得0分;本项最高得12分。</w:t>
      </w:r>
    </w:p>
    <w:p w14:paraId="142FE945">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(2)</w:t>
      </w:r>
      <w:r>
        <w:rPr>
          <w:rFonts w:hint="eastAsia" w:ascii="宋体" w:hAnsi="宋体" w:cs="宋体"/>
          <w:b/>
          <w:bCs/>
          <w:color w:val="auto"/>
          <w:spacing w:val="4"/>
          <w:sz w:val="24"/>
          <w:szCs w:val="24"/>
          <w:highlight w:val="none"/>
          <w:lang w:val="en-US" w:eastAsia="zh-CN"/>
        </w:rPr>
        <w:t>运行维护方案</w:t>
      </w:r>
      <w:r>
        <w:rPr>
          <w:rFonts w:hint="eastAsia" w:ascii="宋体" w:hAnsi="宋体" w:cs="宋体"/>
          <w:color w:val="auto"/>
          <w:spacing w:val="4"/>
          <w:sz w:val="24"/>
          <w:szCs w:val="24"/>
          <w:highlight w:val="none"/>
          <w:lang w:val="en-US" w:eastAsia="zh-CN"/>
        </w:rPr>
        <w:t>(12分)</w:t>
      </w:r>
    </w:p>
    <w:p w14:paraId="06B32EC9">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运行维护方案应包括但不限于①日常运维工作内容、②人员配备及保障、③质量管理计划、④备品备件配备和⑤常见问题解决方案等内容。根据提供的运行维护方案方案进行评分：提供的运行维护方案科学、合理、具体，常见问题处理方式方法明确，可实施性强。以上每条内容不存在瑕疵的得2.4分；以上每条内容存在1处瑕疵的得1.2分;以上每条内容存在2处及以上瑕疵的得0分;本项最高得12分。</w:t>
      </w:r>
    </w:p>
    <w:p w14:paraId="1EDD1EAD">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(3)</w:t>
      </w:r>
      <w:r>
        <w:rPr>
          <w:rFonts w:hint="eastAsia" w:ascii="宋体" w:hAnsi="宋体" w:cs="宋体"/>
          <w:b/>
          <w:bCs/>
          <w:color w:val="auto"/>
          <w:spacing w:val="4"/>
          <w:sz w:val="24"/>
          <w:szCs w:val="24"/>
          <w:highlight w:val="none"/>
          <w:lang w:val="en-US" w:eastAsia="zh-CN"/>
        </w:rPr>
        <w:t>售后服务方案</w:t>
      </w:r>
      <w:r>
        <w:rPr>
          <w:rFonts w:hint="eastAsia" w:ascii="宋体" w:hAnsi="宋体" w:cs="宋体"/>
          <w:color w:val="auto"/>
          <w:spacing w:val="4"/>
          <w:sz w:val="24"/>
          <w:szCs w:val="24"/>
          <w:highlight w:val="none"/>
          <w:lang w:val="en-US" w:eastAsia="zh-CN"/>
        </w:rPr>
        <w:t>(12分)</w:t>
      </w:r>
    </w:p>
    <w:p w14:paraId="7DFBB9BA">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售后服务方案应包括但不限于①售后服务范围、②售后服务机构及专业技术人员配置、③售后服务响应及保障计划、④售后服务承诺书和⑤设备使用情况回访计划等内容。根据提供的售后服务方案评分：提供的售后服务方案详细合理，分析严谨周密，针对性强，切实可行，且安排专业技术人员运维，能保证快速响应。以上每条内容不存在瑕疵的得2.4分；以上每条内容存在1处瑕疵的得1.2分;以上每条内容存在2处及以上瑕疵的得0分;本项最高得12分。</w:t>
      </w:r>
    </w:p>
    <w:p w14:paraId="2C3161A0">
      <w:pPr>
        <w:adjustRightInd w:val="0"/>
        <w:snapToGrid w:val="0"/>
        <w:spacing w:line="360" w:lineRule="auto"/>
        <w:ind w:firstLine="496" w:firstLineChars="200"/>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(4)</w:t>
      </w:r>
      <w:r>
        <w:rPr>
          <w:rFonts w:hint="eastAsia" w:ascii="宋体" w:hAnsi="宋体" w:cs="宋体"/>
          <w:b/>
          <w:bCs/>
          <w:color w:val="auto"/>
          <w:spacing w:val="4"/>
          <w:sz w:val="24"/>
          <w:szCs w:val="24"/>
          <w:highlight w:val="none"/>
          <w:lang w:val="en-US" w:eastAsia="zh-CN"/>
        </w:rPr>
        <w:t>技术培训方案</w:t>
      </w:r>
      <w:r>
        <w:rPr>
          <w:rFonts w:hint="eastAsia" w:ascii="宋体" w:hAnsi="宋体" w:cs="宋体"/>
          <w:color w:val="auto"/>
          <w:spacing w:val="4"/>
          <w:sz w:val="24"/>
          <w:szCs w:val="24"/>
          <w:highlight w:val="none"/>
          <w:lang w:val="en-US" w:eastAsia="zh-CN"/>
        </w:rPr>
        <w:t>(10分)</w:t>
      </w:r>
    </w:p>
    <w:p w14:paraId="5F007B25">
      <w:pPr>
        <w:adjustRightInd w:val="0"/>
        <w:snapToGrid w:val="0"/>
        <w:spacing w:line="360" w:lineRule="auto"/>
        <w:ind w:firstLine="496" w:firstLineChars="200"/>
        <w:rPr>
          <w:rFonts w:hint="eastAsia" w:ascii="宋体" w:hAnsi="宋体" w:eastAsia="宋体" w:cs="宋体"/>
          <w:color w:val="auto"/>
          <w:sz w:val="24"/>
          <w:szCs w:val="24"/>
          <w:highlight w:val="none"/>
          <w:lang w:val="zh-CN" w:eastAsia="en-US"/>
        </w:rPr>
      </w:pPr>
      <w:bookmarkStart w:id="53" w:name="_GoBack"/>
      <w:r>
        <w:rPr>
          <w:rFonts w:hint="eastAsia" w:ascii="宋体" w:hAnsi="宋体" w:cs="宋体"/>
          <w:color w:val="auto"/>
          <w:spacing w:val="4"/>
          <w:sz w:val="24"/>
          <w:szCs w:val="24"/>
          <w:highlight w:val="none"/>
          <w:lang w:val="en-US" w:eastAsia="zh-CN"/>
        </w:rPr>
        <w:t>技术培训方案内容应包括但不限于①培训计划、②培训人员数量、③培训组织时间及地点、④设备及软件的安装及操作、⑤设备维护及故障排除等内容。根据提供的技术培训方案评分：提供的技术培训方案详细合理，分析严谨周密，针对性强，切实可行。以上每条内容不存在瑕疵的得2分；以上每条内容存在1处瑕疵的得1分;以上每条内容存在2处及以上瑕疵的得0分;本项最高得10分。</w:t>
      </w:r>
      <w:bookmarkEnd w:id="53"/>
    </w:p>
    <w:p w14:paraId="3885AB13">
      <w:pPr>
        <w:tabs>
          <w:tab w:val="left" w:pos="945"/>
          <w:tab w:val="left" w:pos="1155"/>
        </w:tabs>
        <w:spacing w:line="360" w:lineRule="auto"/>
        <w:ind w:firstLine="480"/>
        <w:jc w:val="left"/>
        <w:rPr>
          <w:rFonts w:hint="eastAsia" w:ascii="宋体" w:hAnsi="宋体" w:cs="宋体"/>
          <w:bCs/>
          <w:color w:val="auto"/>
          <w:sz w:val="24"/>
          <w:szCs w:val="24"/>
          <w:highlight w:val="none"/>
        </w:rPr>
        <w:sectPr>
          <w:footerReference r:id="rId14" w:type="first"/>
          <w:headerReference r:id="rId12" w:type="default"/>
          <w:footerReference r:id="rId13" w:type="default"/>
          <w:pgSz w:w="11906" w:h="16838"/>
          <w:pgMar w:top="1440" w:right="1800" w:bottom="1440" w:left="1800" w:header="624" w:footer="907" w:gutter="0"/>
          <w:cols w:space="720" w:num="1"/>
          <w:titlePg/>
          <w:docGrid w:linePitch="360" w:charSpace="0"/>
        </w:sectPr>
      </w:pPr>
    </w:p>
    <w:p w14:paraId="46C15917">
      <w:pPr>
        <w:spacing w:line="360" w:lineRule="auto"/>
        <w:jc w:val="left"/>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附件二：投标文件格式</w:t>
      </w:r>
    </w:p>
    <w:p w14:paraId="16F9A7FB">
      <w:pPr>
        <w:rPr>
          <w:rFonts w:ascii="黑体" w:eastAsia="黑体"/>
          <w:bCs/>
          <w:color w:val="auto"/>
          <w:sz w:val="32"/>
          <w:highlight w:val="none"/>
        </w:rPr>
      </w:pPr>
    </w:p>
    <w:p w14:paraId="5DC945B7">
      <w:pPr>
        <w:rPr>
          <w:rFonts w:ascii="黑体" w:eastAsia="黑体"/>
          <w:bCs/>
          <w:color w:val="auto"/>
          <w:sz w:val="32"/>
          <w:highlight w:val="none"/>
        </w:rPr>
      </w:pPr>
    </w:p>
    <w:p w14:paraId="518FE78E">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投</w:t>
      </w:r>
    </w:p>
    <w:p w14:paraId="1B29E0D8">
      <w:pPr>
        <w:jc w:val="center"/>
        <w:rPr>
          <w:rFonts w:hint="eastAsia" w:ascii="宋体" w:hAnsi="宋体" w:cs="宋体"/>
          <w:b/>
          <w:color w:val="auto"/>
          <w:sz w:val="72"/>
          <w:highlight w:val="none"/>
        </w:rPr>
      </w:pPr>
    </w:p>
    <w:p w14:paraId="3D5969D5">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标</w:t>
      </w:r>
    </w:p>
    <w:p w14:paraId="517173FE">
      <w:pPr>
        <w:jc w:val="center"/>
        <w:rPr>
          <w:rFonts w:hint="eastAsia" w:ascii="宋体" w:hAnsi="宋体" w:cs="宋体"/>
          <w:b/>
          <w:color w:val="auto"/>
          <w:sz w:val="72"/>
          <w:highlight w:val="none"/>
        </w:rPr>
      </w:pPr>
    </w:p>
    <w:p w14:paraId="4053D911">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文</w:t>
      </w:r>
    </w:p>
    <w:p w14:paraId="269310FB">
      <w:pPr>
        <w:jc w:val="center"/>
        <w:rPr>
          <w:rFonts w:hint="eastAsia" w:ascii="宋体" w:hAnsi="宋体" w:cs="宋体"/>
          <w:b/>
          <w:color w:val="auto"/>
          <w:sz w:val="52"/>
          <w:szCs w:val="52"/>
          <w:highlight w:val="none"/>
        </w:rPr>
      </w:pPr>
    </w:p>
    <w:p w14:paraId="613F6EBB">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件</w:t>
      </w:r>
    </w:p>
    <w:p w14:paraId="1CA85B71">
      <w:pPr>
        <w:pStyle w:val="228"/>
        <w:rPr>
          <w:rFonts w:hint="eastAsia" w:ascii="宋体" w:hAnsi="宋体" w:cs="宋体"/>
          <w:bCs/>
          <w:color w:val="auto"/>
          <w:sz w:val="52"/>
          <w:szCs w:val="52"/>
          <w:highlight w:val="none"/>
        </w:rPr>
      </w:pPr>
    </w:p>
    <w:p w14:paraId="39739215">
      <w:pPr>
        <w:rPr>
          <w:rFonts w:hint="eastAsia" w:ascii="宋体" w:hAnsi="宋体" w:cs="宋体"/>
          <w:color w:val="auto"/>
          <w:highlight w:val="none"/>
        </w:rPr>
      </w:pPr>
    </w:p>
    <w:p w14:paraId="5F7C85BB">
      <w:pPr>
        <w:spacing w:line="500" w:lineRule="exact"/>
        <w:ind w:firstLine="840"/>
        <w:rPr>
          <w:rFonts w:eastAsia="黑体"/>
          <w:bCs/>
          <w:color w:val="auto"/>
          <w:sz w:val="28"/>
          <w:szCs w:val="28"/>
          <w:highlight w:val="none"/>
        </w:rPr>
      </w:pPr>
      <w:r>
        <w:rPr>
          <w:rFonts w:eastAsia="黑体"/>
          <w:bCs/>
          <w:color w:val="auto"/>
          <w:sz w:val="28"/>
          <w:szCs w:val="28"/>
          <w:highlight w:val="none"/>
        </w:rPr>
        <w:t>政府采购编号：</w:t>
      </w:r>
      <w:r>
        <w:rPr>
          <w:rFonts w:hint="eastAsia" w:eastAsia="黑体"/>
          <w:bCs/>
          <w:color w:val="auto"/>
          <w:sz w:val="28"/>
          <w:szCs w:val="28"/>
          <w:highlight w:val="none"/>
        </w:rPr>
        <w:t xml:space="preserve"> </w:t>
      </w:r>
    </w:p>
    <w:p w14:paraId="2F947EAB">
      <w:pPr>
        <w:spacing w:line="500" w:lineRule="exact"/>
        <w:ind w:firstLine="840"/>
        <w:rPr>
          <w:rFonts w:hint="eastAsia" w:eastAsia="黑体"/>
          <w:bCs/>
          <w:color w:val="auto"/>
          <w:sz w:val="28"/>
          <w:szCs w:val="28"/>
          <w:highlight w:val="none"/>
        </w:rPr>
      </w:pPr>
      <w:r>
        <w:rPr>
          <w:rFonts w:eastAsia="黑体"/>
          <w:bCs/>
          <w:color w:val="auto"/>
          <w:sz w:val="28"/>
          <w:szCs w:val="28"/>
          <w:highlight w:val="none"/>
        </w:rPr>
        <w:t>采购项目名称</w:t>
      </w:r>
      <w:r>
        <w:rPr>
          <w:rFonts w:eastAsia="黑体"/>
          <w:bCs/>
          <w:color w:val="auto"/>
          <w:sz w:val="24"/>
          <w:szCs w:val="24"/>
          <w:highlight w:val="none"/>
        </w:rPr>
        <w:t>：</w:t>
      </w:r>
    </w:p>
    <w:p w14:paraId="14357411">
      <w:pPr>
        <w:spacing w:line="500" w:lineRule="exact"/>
        <w:ind w:left="1118" w:hanging="280"/>
        <w:rPr>
          <w:rFonts w:eastAsia="黑体"/>
          <w:bCs/>
          <w:color w:val="auto"/>
          <w:sz w:val="28"/>
          <w:szCs w:val="28"/>
          <w:highlight w:val="none"/>
        </w:rPr>
      </w:pPr>
      <w:r>
        <w:rPr>
          <w:rFonts w:eastAsia="黑体"/>
          <w:bCs/>
          <w:color w:val="auto"/>
          <w:sz w:val="28"/>
          <w:szCs w:val="28"/>
          <w:highlight w:val="none"/>
        </w:rPr>
        <w:t>投标人：</w:t>
      </w:r>
    </w:p>
    <w:p w14:paraId="4575255A">
      <w:pPr>
        <w:rPr>
          <w:rFonts w:hint="eastAsia" w:ascii="宋体" w:hAnsi="宋体" w:cs="宋体"/>
          <w:bCs/>
          <w:color w:val="auto"/>
          <w:sz w:val="28"/>
          <w:szCs w:val="28"/>
          <w:highlight w:val="none"/>
        </w:rPr>
      </w:pPr>
    </w:p>
    <w:p w14:paraId="165CFA3B">
      <w:pPr>
        <w:rPr>
          <w:rFonts w:hint="eastAsia" w:ascii="宋体" w:hAnsi="宋体" w:cs="宋体"/>
          <w:bCs/>
          <w:color w:val="auto"/>
          <w:sz w:val="28"/>
          <w:szCs w:val="28"/>
          <w:highlight w:val="none"/>
        </w:rPr>
      </w:pPr>
    </w:p>
    <w:p w14:paraId="01AFE82A">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年  月  日</w:t>
      </w:r>
      <w:bookmarkStart w:id="40" w:name="一．报价函（格式）"/>
      <w:bookmarkEnd w:id="40"/>
    </w:p>
    <w:p w14:paraId="35100C2D">
      <w:pPr>
        <w:jc w:val="center"/>
        <w:rPr>
          <w:rFonts w:hint="eastAsia" w:ascii="宋体" w:hAnsi="宋体" w:cs="宋体"/>
          <w:bCs/>
          <w:color w:val="auto"/>
          <w:sz w:val="28"/>
          <w:szCs w:val="28"/>
          <w:highlight w:val="none"/>
        </w:rPr>
        <w:sectPr>
          <w:pgSz w:w="11906" w:h="16838"/>
          <w:pgMar w:top="1440" w:right="1800" w:bottom="1440" w:left="1800" w:header="624" w:footer="907" w:gutter="0"/>
          <w:cols w:space="720" w:num="1"/>
          <w:titlePg/>
          <w:docGrid w:linePitch="360" w:charSpace="0"/>
        </w:sectPr>
      </w:pPr>
    </w:p>
    <w:p w14:paraId="3F8C8C20">
      <w:pPr>
        <w:outlineLvl w:val="0"/>
        <w:rPr>
          <w:rFonts w:ascii="黑体" w:hAnsi="宋体" w:eastAsia="黑体"/>
          <w:bCs/>
          <w:color w:val="auto"/>
          <w:sz w:val="24"/>
          <w:szCs w:val="24"/>
          <w:highlight w:val="none"/>
        </w:rPr>
      </w:pPr>
      <w:bookmarkStart w:id="41" w:name="_Toc23010"/>
      <w:r>
        <w:rPr>
          <w:rFonts w:hint="eastAsia" w:ascii="黑体" w:hAnsi="宋体" w:eastAsia="黑体"/>
          <w:bCs/>
          <w:color w:val="auto"/>
          <w:sz w:val="24"/>
          <w:szCs w:val="24"/>
          <w:highlight w:val="none"/>
        </w:rPr>
        <w:t>（一）投标函（格式）：</w:t>
      </w:r>
      <w:bookmarkEnd w:id="41"/>
    </w:p>
    <w:p w14:paraId="32D9ED93">
      <w:pPr>
        <w:outlineLvl w:val="0"/>
        <w:rPr>
          <w:rFonts w:ascii="宋体"/>
          <w:b/>
          <w:bCs/>
          <w:color w:val="auto"/>
          <w:sz w:val="24"/>
          <w:szCs w:val="24"/>
          <w:highlight w:val="none"/>
        </w:rPr>
      </w:pPr>
    </w:p>
    <w:p w14:paraId="71D04D45">
      <w:pPr>
        <w:spacing w:line="360" w:lineRule="auto"/>
        <w:jc w:val="center"/>
        <w:rPr>
          <w:rFonts w:ascii="宋体" w:hAnsi="宋体"/>
          <w:bCs/>
          <w:color w:val="auto"/>
          <w:sz w:val="24"/>
          <w:szCs w:val="24"/>
          <w:highlight w:val="none"/>
        </w:rPr>
      </w:pPr>
      <w:r>
        <w:rPr>
          <w:rFonts w:ascii="宋体" w:hAnsi="宋体"/>
          <w:bCs/>
          <w:color w:val="auto"/>
          <w:sz w:val="28"/>
          <w:szCs w:val="28"/>
          <w:highlight w:val="none"/>
        </w:rPr>
        <w:t>投  标  函</w:t>
      </w:r>
    </w:p>
    <w:p w14:paraId="30F56600">
      <w:pPr>
        <w:spacing w:line="360" w:lineRule="auto"/>
        <w:rPr>
          <w:rFonts w:ascii="宋体" w:hAnsi="宋体"/>
          <w:bCs/>
          <w:color w:val="auto"/>
          <w:sz w:val="24"/>
          <w:szCs w:val="24"/>
          <w:highlight w:val="none"/>
        </w:rPr>
      </w:pPr>
      <w:r>
        <w:rPr>
          <w:rFonts w:ascii="宋体" w:hAnsi="宋体"/>
          <w:bCs/>
          <w:color w:val="auto"/>
          <w:sz w:val="24"/>
          <w:szCs w:val="24"/>
          <w:highlight w:val="none"/>
        </w:rPr>
        <w:t>致</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w:t>
      </w:r>
    </w:p>
    <w:p w14:paraId="46BC671F">
      <w:pPr>
        <w:widowControl/>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我方</w:t>
      </w:r>
      <w:r>
        <w:rPr>
          <w:rFonts w:ascii="宋体" w:hAnsi="宋体"/>
          <w:bCs/>
          <w:color w:val="auto"/>
          <w:sz w:val="24"/>
          <w:szCs w:val="24"/>
          <w:highlight w:val="none"/>
        </w:rPr>
        <w:t>收到</w:t>
      </w:r>
      <w:r>
        <w:rPr>
          <w:rFonts w:hint="eastAsia" w:ascii="宋体" w:hAnsi="宋体"/>
          <w:bCs/>
          <w:color w:val="auto"/>
          <w:sz w:val="24"/>
          <w:szCs w:val="24"/>
          <w:highlight w:val="none"/>
        </w:rPr>
        <w:t>贵方</w:t>
      </w:r>
      <w:r>
        <w:rPr>
          <w:rFonts w:ascii="宋体" w:hAnsi="宋体"/>
          <w:bCs/>
          <w:color w:val="auto"/>
          <w:sz w:val="24"/>
          <w:szCs w:val="24"/>
          <w:highlight w:val="none"/>
        </w:rPr>
        <w:t>编号</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招标文件，经仔细阅读和研究，</w:t>
      </w:r>
      <w:r>
        <w:rPr>
          <w:rFonts w:hint="eastAsia" w:ascii="宋体" w:hAnsi="宋体"/>
          <w:bCs/>
          <w:color w:val="auto"/>
          <w:sz w:val="24"/>
          <w:szCs w:val="24"/>
          <w:highlight w:val="none"/>
        </w:rPr>
        <w:t>我方</w:t>
      </w:r>
      <w:r>
        <w:rPr>
          <w:rFonts w:ascii="宋体" w:hAnsi="宋体"/>
          <w:bCs/>
          <w:color w:val="auto"/>
          <w:sz w:val="24"/>
          <w:szCs w:val="24"/>
          <w:highlight w:val="none"/>
        </w:rPr>
        <w:t>决定参加此次</w:t>
      </w:r>
      <w:r>
        <w:rPr>
          <w:rFonts w:hint="eastAsia" w:ascii="宋体" w:hAnsi="宋体"/>
          <w:bCs/>
          <w:color w:val="auto"/>
          <w:sz w:val="24"/>
          <w:szCs w:val="24"/>
          <w:highlight w:val="none"/>
        </w:rPr>
        <w:t>项目</w:t>
      </w:r>
      <w:r>
        <w:rPr>
          <w:rFonts w:ascii="宋体" w:hAnsi="宋体"/>
          <w:bCs/>
          <w:color w:val="auto"/>
          <w:sz w:val="24"/>
          <w:szCs w:val="24"/>
          <w:highlight w:val="none"/>
        </w:rPr>
        <w:t>的投标。</w:t>
      </w:r>
    </w:p>
    <w:p w14:paraId="499D4880">
      <w:pPr>
        <w:tabs>
          <w:tab w:val="left" w:pos="315"/>
          <w:tab w:val="left" w:pos="840"/>
          <w:tab w:val="left" w:pos="945"/>
          <w:tab w:val="left" w:pos="1050"/>
          <w:tab w:val="left" w:pos="126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7E61F511">
      <w:pPr>
        <w:tabs>
          <w:tab w:val="left" w:pos="0"/>
          <w:tab w:val="left" w:pos="315"/>
          <w:tab w:val="left" w:pos="525"/>
          <w:tab w:val="left" w:pos="840"/>
          <w:tab w:val="left" w:pos="945"/>
          <w:tab w:val="left" w:pos="1050"/>
        </w:tabs>
        <w:spacing w:line="360" w:lineRule="auto"/>
        <w:ind w:firstLine="480"/>
        <w:rPr>
          <w:rStyle w:val="247"/>
          <w:bCs/>
          <w:color w:val="auto"/>
          <w:highlight w:val="none"/>
        </w:rPr>
      </w:pPr>
      <w:r>
        <w:rPr>
          <w:rFonts w:hint="eastAsia" w:ascii="宋体" w:hAnsi="宋体"/>
          <w:bCs/>
          <w:color w:val="auto"/>
          <w:sz w:val="24"/>
          <w:szCs w:val="24"/>
          <w:highlight w:val="none"/>
        </w:rPr>
        <w:t>二、我方愿意提供</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在招标文件中要求的文件、资料。</w:t>
      </w:r>
    </w:p>
    <w:p w14:paraId="30A8E09F">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35C285F4">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0FB4CE76">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五、我方愿意遵守《中华人民共和国政府采购法》，并按《中华人民共和国民法典》、财政部《政府采购货物和服务招标投标管理办法》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73CEC73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六、我方愿意向贵方提供任何与本项报价有关的数据、情况和技术资料。若贵方需要，我方愿意提供我方做出的一切承诺的证明材料。</w:t>
      </w:r>
    </w:p>
    <w:p w14:paraId="08D5917B">
      <w:pPr>
        <w:spacing w:line="360" w:lineRule="auto"/>
        <w:ind w:firstLine="480"/>
        <w:rPr>
          <w:color w:val="auto"/>
          <w:highlight w:val="none"/>
        </w:rPr>
      </w:pPr>
      <w:r>
        <w:rPr>
          <w:rFonts w:hint="eastAsia" w:ascii="宋体" w:hAnsi="宋体"/>
          <w:bCs/>
          <w:color w:val="auto"/>
          <w:sz w:val="24"/>
          <w:szCs w:val="24"/>
          <w:highlight w:val="none"/>
        </w:rPr>
        <w:t>七、我方与其他供应商不存在单位负责人为同一人或者存在直接控股、管理关系。</w:t>
      </w:r>
    </w:p>
    <w:p w14:paraId="3CA5C0E7">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八、我方认可并遵守招标文件的所有规定，放弃对招标文件提出质疑的权利。</w:t>
      </w:r>
    </w:p>
    <w:p w14:paraId="7FEB37A5">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九、如我方在投标截止期后撤回投标及中标后拒绝遵守投标承诺或拒绝在规定的时间内与采购人签订合同，则接受政府采购监督管理部门的处理。</w:t>
      </w:r>
    </w:p>
    <w:p w14:paraId="3FAC86B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十、我方承诺不非法转包、分包。</w:t>
      </w:r>
    </w:p>
    <w:p w14:paraId="705C200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十</w:t>
      </w:r>
      <w:r>
        <w:rPr>
          <w:rFonts w:hint="eastAsia" w:ascii="宋体" w:hAnsi="宋体"/>
          <w:bCs/>
          <w:color w:val="auto"/>
          <w:sz w:val="24"/>
          <w:szCs w:val="24"/>
          <w:highlight w:val="none"/>
          <w:lang w:val="en-US" w:eastAsia="zh-CN"/>
        </w:rPr>
        <w:t>一</w:t>
      </w:r>
      <w:r>
        <w:rPr>
          <w:rFonts w:hint="eastAsia" w:ascii="宋体" w:hAnsi="宋体"/>
          <w:bCs/>
          <w:color w:val="auto"/>
          <w:sz w:val="24"/>
          <w:szCs w:val="24"/>
          <w:highlight w:val="none"/>
        </w:rPr>
        <w:t>、我方不存在为本项目提供整体设计、规范编制或者项目管理、监理、检测等服务。</w:t>
      </w:r>
    </w:p>
    <w:p w14:paraId="58AAD31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十</w:t>
      </w:r>
      <w:r>
        <w:rPr>
          <w:rFonts w:hint="eastAsia" w:ascii="宋体" w:hAnsi="宋体"/>
          <w:bCs/>
          <w:color w:val="auto"/>
          <w:sz w:val="24"/>
          <w:szCs w:val="24"/>
          <w:highlight w:val="none"/>
          <w:lang w:val="en-US" w:eastAsia="zh-CN"/>
        </w:rPr>
        <w:t>二</w:t>
      </w:r>
      <w:r>
        <w:rPr>
          <w:rFonts w:hint="eastAsia" w:ascii="宋体" w:hAnsi="宋体"/>
          <w:bCs/>
          <w:color w:val="auto"/>
          <w:sz w:val="24"/>
          <w:szCs w:val="24"/>
          <w:highlight w:val="none"/>
        </w:rPr>
        <w:t>、我方绝不提供虚假材料谋取中标、绝不采取不正当手段诋毁、排挤其他供应商、绝不与采购人、其</w:t>
      </w:r>
      <w:r>
        <w:rPr>
          <w:rFonts w:hint="eastAsia" w:ascii="宋体" w:hAnsi="宋体"/>
          <w:bCs/>
          <w:color w:val="auto"/>
          <w:sz w:val="24"/>
          <w:szCs w:val="24"/>
          <w:highlight w:val="none"/>
          <w:lang w:val="en-US" w:eastAsia="zh-CN"/>
        </w:rPr>
        <w:t>他</w:t>
      </w:r>
      <w:r>
        <w:rPr>
          <w:rFonts w:hint="eastAsia" w:ascii="宋体" w:hAnsi="宋体"/>
          <w:bCs/>
          <w:color w:val="auto"/>
          <w:sz w:val="24"/>
          <w:szCs w:val="24"/>
          <w:highlight w:val="none"/>
        </w:rPr>
        <w:t>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p>
    <w:p w14:paraId="45080EF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十</w:t>
      </w:r>
      <w:r>
        <w:rPr>
          <w:rFonts w:hint="eastAsia" w:ascii="宋体" w:hAnsi="宋体"/>
          <w:bCs/>
          <w:color w:val="auto"/>
          <w:sz w:val="24"/>
          <w:szCs w:val="24"/>
          <w:highlight w:val="none"/>
          <w:lang w:val="en-US" w:eastAsia="zh-CN"/>
        </w:rPr>
        <w:t>三</w:t>
      </w:r>
      <w:r>
        <w:rPr>
          <w:rFonts w:hint="eastAsia" w:ascii="宋体" w:hAnsi="宋体"/>
          <w:bCs/>
          <w:color w:val="auto"/>
          <w:sz w:val="24"/>
          <w:szCs w:val="24"/>
          <w:highlight w:val="none"/>
        </w:rPr>
        <w:t>、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auto"/>
          <w:sz w:val="24"/>
          <w:szCs w:val="24"/>
          <w:highlight w:val="none"/>
          <w:lang w:val="en-US" w:eastAsia="zh-CN"/>
        </w:rPr>
        <w:t>作</w:t>
      </w:r>
      <w:r>
        <w:rPr>
          <w:rFonts w:hint="eastAsia" w:ascii="宋体" w:hAnsi="宋体"/>
          <w:bCs/>
          <w:color w:val="auto"/>
          <w:sz w:val="24"/>
          <w:szCs w:val="24"/>
          <w:highlight w:val="none"/>
        </w:rPr>
        <w:t>出的行政处罚。</w:t>
      </w:r>
    </w:p>
    <w:p w14:paraId="4C3E5D53">
      <w:pPr>
        <w:tabs>
          <w:tab w:val="left" w:pos="0"/>
          <w:tab w:val="left" w:pos="315"/>
          <w:tab w:val="left" w:pos="525"/>
          <w:tab w:val="left" w:pos="945"/>
          <w:tab w:val="left" w:pos="1050"/>
        </w:tabs>
        <w:spacing w:line="360" w:lineRule="auto"/>
        <w:ind w:firstLine="480"/>
        <w:rPr>
          <w:rFonts w:hint="eastAsia" w:ascii="宋体" w:hAnsi="宋体"/>
          <w:bCs/>
          <w:color w:val="auto"/>
          <w:sz w:val="24"/>
          <w:szCs w:val="24"/>
          <w:highlight w:val="none"/>
        </w:rPr>
      </w:pPr>
    </w:p>
    <w:p w14:paraId="521E596E">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以上条款，如有违反，愿依照国家相关法律处理，并承担由此给采购人带来的损失</w:t>
      </w:r>
      <w:r>
        <w:rPr>
          <w:rFonts w:hint="eastAsia" w:ascii="宋体" w:hAnsi="宋体"/>
          <w:bCs/>
          <w:color w:val="auto"/>
          <w:sz w:val="24"/>
          <w:highlight w:val="none"/>
        </w:rPr>
        <w:t>。</w:t>
      </w:r>
    </w:p>
    <w:p w14:paraId="3C8A20C1">
      <w:pPr>
        <w:pStyle w:val="213"/>
        <w:rPr>
          <w:color w:val="auto"/>
          <w:highlight w:val="none"/>
        </w:rPr>
      </w:pPr>
    </w:p>
    <w:p w14:paraId="2296D17F">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投标人</w:t>
      </w:r>
      <w:r>
        <w:rPr>
          <w:rFonts w:hint="eastAsia" w:ascii="宋体" w:hAnsi="宋体"/>
          <w:bCs/>
          <w:color w:val="auto"/>
          <w:sz w:val="24"/>
          <w:szCs w:val="24"/>
          <w:highlight w:val="none"/>
          <w:lang w:eastAsia="zh-CN"/>
        </w:rPr>
        <w:t>（</w:t>
      </w:r>
      <w:r>
        <w:rPr>
          <w:rFonts w:ascii="宋体" w:hAnsi="宋体"/>
          <w:bCs/>
          <w:color w:val="auto"/>
          <w:sz w:val="24"/>
          <w:szCs w:val="24"/>
          <w:highlight w:val="none"/>
        </w:rPr>
        <w:t>盖章</w:t>
      </w:r>
      <w:r>
        <w:rPr>
          <w:rFonts w:hint="eastAsia" w:ascii="宋体" w:hAnsi="宋体"/>
          <w:bCs/>
          <w:color w:val="auto"/>
          <w:sz w:val="24"/>
          <w:szCs w:val="24"/>
          <w:highlight w:val="none"/>
          <w:lang w:eastAsia="zh-CN"/>
        </w:rPr>
        <w:t>）</w:t>
      </w:r>
      <w:r>
        <w:rPr>
          <w:rFonts w:ascii="宋体" w:hAnsi="宋体"/>
          <w:bCs/>
          <w:color w:val="auto"/>
          <w:sz w:val="24"/>
          <w:szCs w:val="24"/>
          <w:highlight w:val="none"/>
        </w:rPr>
        <w:t xml:space="preserve">：     </w:t>
      </w:r>
    </w:p>
    <w:p w14:paraId="7C1E5A06">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法定代表人或法定代表人授权代表签字或盖章：</w:t>
      </w:r>
    </w:p>
    <w:p w14:paraId="14CE781D">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电话：                              传真：</w:t>
      </w:r>
    </w:p>
    <w:p w14:paraId="53E9FBA1">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通讯地址：                          邮编：</w:t>
      </w:r>
    </w:p>
    <w:p w14:paraId="24BD7534">
      <w:pPr>
        <w:spacing w:line="360" w:lineRule="auto"/>
        <w:outlineLvl w:val="0"/>
        <w:rPr>
          <w:rFonts w:eastAsia="黑体"/>
          <w:bCs/>
          <w:color w:val="auto"/>
          <w:sz w:val="24"/>
          <w:szCs w:val="24"/>
          <w:highlight w:val="none"/>
        </w:rPr>
      </w:pPr>
      <w:r>
        <w:rPr>
          <w:rFonts w:ascii="宋体" w:hAnsi="宋体"/>
          <w:bCs/>
          <w:color w:val="auto"/>
          <w:sz w:val="24"/>
          <w:szCs w:val="24"/>
          <w:highlight w:val="none"/>
        </w:rPr>
        <w:br w:type="page" w:clear="all"/>
      </w:r>
      <w:bookmarkStart w:id="42" w:name="_Toc20376"/>
      <w:r>
        <w:rPr>
          <w:rFonts w:hint="eastAsia" w:eastAsia="黑体"/>
          <w:bCs/>
          <w:color w:val="auto"/>
          <w:sz w:val="24"/>
          <w:szCs w:val="24"/>
          <w:highlight w:val="none"/>
        </w:rPr>
        <w:t>（二）</w:t>
      </w:r>
      <w:r>
        <w:rPr>
          <w:rFonts w:eastAsia="黑体"/>
          <w:bCs/>
          <w:color w:val="auto"/>
          <w:sz w:val="24"/>
          <w:szCs w:val="24"/>
          <w:highlight w:val="none"/>
        </w:rPr>
        <w:t>关于资格的声明函</w:t>
      </w:r>
      <w:r>
        <w:rPr>
          <w:rFonts w:hint="eastAsia" w:eastAsia="黑体"/>
          <w:bCs/>
          <w:color w:val="auto"/>
          <w:sz w:val="24"/>
          <w:szCs w:val="24"/>
          <w:highlight w:val="none"/>
          <w:lang w:eastAsia="zh-CN"/>
        </w:rPr>
        <w:t>（</w:t>
      </w:r>
      <w:r>
        <w:rPr>
          <w:rFonts w:eastAsia="黑体"/>
          <w:bCs/>
          <w:color w:val="auto"/>
          <w:sz w:val="24"/>
          <w:szCs w:val="24"/>
          <w:highlight w:val="none"/>
        </w:rPr>
        <w:t>格式</w:t>
      </w:r>
      <w:r>
        <w:rPr>
          <w:rFonts w:hint="eastAsia" w:eastAsia="黑体"/>
          <w:bCs/>
          <w:color w:val="auto"/>
          <w:sz w:val="24"/>
          <w:szCs w:val="24"/>
          <w:highlight w:val="none"/>
          <w:lang w:eastAsia="zh-CN"/>
        </w:rPr>
        <w:t>）</w:t>
      </w:r>
      <w:r>
        <w:rPr>
          <w:rFonts w:eastAsia="黑体"/>
          <w:bCs/>
          <w:color w:val="auto"/>
          <w:sz w:val="24"/>
          <w:szCs w:val="24"/>
          <w:highlight w:val="none"/>
        </w:rPr>
        <w:t>：</w:t>
      </w:r>
      <w:bookmarkEnd w:id="42"/>
    </w:p>
    <w:p w14:paraId="6F8D72CE">
      <w:pPr>
        <w:spacing w:line="360" w:lineRule="auto"/>
        <w:jc w:val="center"/>
        <w:outlineLvl w:val="0"/>
        <w:rPr>
          <w:rFonts w:eastAsia="黑体"/>
          <w:bCs/>
          <w:color w:val="auto"/>
          <w:sz w:val="28"/>
          <w:szCs w:val="28"/>
          <w:highlight w:val="none"/>
        </w:rPr>
      </w:pPr>
      <w:bookmarkStart w:id="43" w:name="报价方关于资格的声明函（格式）"/>
      <w:bookmarkEnd w:id="43"/>
      <w:bookmarkStart w:id="44" w:name="_Toc22170"/>
      <w:r>
        <w:rPr>
          <w:rFonts w:eastAsia="黑体"/>
          <w:bCs/>
          <w:color w:val="auto"/>
          <w:sz w:val="28"/>
          <w:szCs w:val="28"/>
          <w:highlight w:val="none"/>
        </w:rPr>
        <w:t>关于资格的声明函</w:t>
      </w:r>
      <w:bookmarkEnd w:id="44"/>
    </w:p>
    <w:p w14:paraId="4E43EC73">
      <w:pPr>
        <w:spacing w:line="360" w:lineRule="auto"/>
        <w:jc w:val="center"/>
        <w:rPr>
          <w:rFonts w:eastAsia="黑体"/>
          <w:bCs/>
          <w:color w:val="auto"/>
          <w:sz w:val="32"/>
          <w:highlight w:val="none"/>
        </w:rPr>
      </w:pPr>
    </w:p>
    <w:p w14:paraId="3D92324A">
      <w:pPr>
        <w:spacing w:line="360" w:lineRule="auto"/>
        <w:jc w:val="center"/>
        <w:rPr>
          <w:rFonts w:hint="eastAsia"/>
          <w:bCs/>
          <w:color w:val="auto"/>
          <w:sz w:val="24"/>
          <w:szCs w:val="24"/>
          <w:highlight w:val="none"/>
        </w:rPr>
      </w:pPr>
      <w:r>
        <w:rPr>
          <w:bCs/>
          <w:color w:val="auto"/>
          <w:sz w:val="24"/>
          <w:szCs w:val="24"/>
          <w:highlight w:val="none"/>
        </w:rPr>
        <w:t>政府采购编号：</w:t>
      </w:r>
      <w:r>
        <w:rPr>
          <w:rFonts w:hint="eastAsia"/>
          <w:bCs/>
          <w:color w:val="auto"/>
          <w:sz w:val="24"/>
          <w:szCs w:val="24"/>
          <w:highlight w:val="none"/>
        </w:rPr>
        <w:t xml:space="preserve"> </w:t>
      </w:r>
    </w:p>
    <w:p w14:paraId="1A1B58E6">
      <w:pPr>
        <w:tabs>
          <w:tab w:val="left" w:pos="6300"/>
        </w:tabs>
        <w:spacing w:line="360" w:lineRule="auto"/>
        <w:jc w:val="center"/>
        <w:rPr>
          <w:bCs/>
          <w:color w:val="auto"/>
          <w:sz w:val="24"/>
          <w:szCs w:val="24"/>
          <w:highlight w:val="none"/>
        </w:rPr>
      </w:pPr>
      <w:r>
        <w:rPr>
          <w:bCs/>
          <w:color w:val="auto"/>
          <w:sz w:val="24"/>
          <w:szCs w:val="24"/>
          <w:highlight w:val="none"/>
        </w:rPr>
        <w:t>日期：</w:t>
      </w:r>
    </w:p>
    <w:p w14:paraId="55014599">
      <w:pPr>
        <w:spacing w:line="360" w:lineRule="auto"/>
        <w:rPr>
          <w:bCs/>
          <w:color w:val="auto"/>
          <w:sz w:val="24"/>
          <w:szCs w:val="24"/>
          <w:highlight w:val="none"/>
        </w:rPr>
      </w:pPr>
      <w:r>
        <w:rPr>
          <w:rFonts w:hint="eastAsia" w:ascii="宋体" w:hAnsi="宋体"/>
          <w:bCs/>
          <w:color w:val="auto"/>
          <w:sz w:val="24"/>
          <w:szCs w:val="24"/>
          <w:highlight w:val="none"/>
          <w:lang w:val="en-US" w:eastAsia="zh-CN"/>
        </w:rPr>
        <w:t>江苏朝阳工程管理咨询有限责任公司</w:t>
      </w:r>
      <w:r>
        <w:rPr>
          <w:bCs/>
          <w:color w:val="auto"/>
          <w:sz w:val="24"/>
          <w:szCs w:val="24"/>
          <w:highlight w:val="none"/>
        </w:rPr>
        <w:t>：</w:t>
      </w:r>
    </w:p>
    <w:p w14:paraId="1A9887F6">
      <w:pPr>
        <w:spacing w:line="360" w:lineRule="auto"/>
        <w:rPr>
          <w:bCs/>
          <w:color w:val="auto"/>
          <w:sz w:val="24"/>
          <w:szCs w:val="24"/>
          <w:highlight w:val="none"/>
        </w:rPr>
      </w:pPr>
    </w:p>
    <w:p w14:paraId="4E0F8952">
      <w:pPr>
        <w:spacing w:line="360" w:lineRule="auto"/>
        <w:ind w:firstLine="480"/>
        <w:rPr>
          <w:bCs/>
          <w:color w:val="auto"/>
          <w:sz w:val="24"/>
          <w:szCs w:val="24"/>
          <w:highlight w:val="none"/>
        </w:rPr>
      </w:pPr>
      <w:r>
        <w:rPr>
          <w:bCs/>
          <w:color w:val="auto"/>
          <w:sz w:val="24"/>
          <w:szCs w:val="24"/>
          <w:highlight w:val="none"/>
        </w:rPr>
        <w:t>我公司</w:t>
      </w:r>
      <w:r>
        <w:rPr>
          <w:rFonts w:hint="eastAsia"/>
          <w:bCs/>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bCs/>
          <w:color w:val="auto"/>
          <w:sz w:val="24"/>
          <w:szCs w:val="24"/>
          <w:highlight w:val="none"/>
        </w:rPr>
        <w:t>愿针对本次项目</w:t>
      </w:r>
      <w:r>
        <w:rPr>
          <w:rFonts w:hint="eastAsia"/>
          <w:bCs/>
          <w:color w:val="auto"/>
          <w:sz w:val="24"/>
          <w:szCs w:val="24"/>
          <w:highlight w:val="none"/>
          <w:u w:val="single"/>
        </w:rPr>
        <w:t xml:space="preserve">                            </w:t>
      </w:r>
      <w:r>
        <w:rPr>
          <w:bCs/>
          <w:color w:val="auto"/>
          <w:sz w:val="24"/>
          <w:szCs w:val="24"/>
          <w:highlight w:val="none"/>
        </w:rPr>
        <w:t>进行投标。</w:t>
      </w:r>
    </w:p>
    <w:p w14:paraId="10FC5274">
      <w:pPr>
        <w:spacing w:line="360" w:lineRule="auto"/>
        <w:ind w:firstLine="480"/>
        <w:rPr>
          <w:color w:val="auto"/>
          <w:sz w:val="24"/>
          <w:szCs w:val="24"/>
          <w:highlight w:val="none"/>
        </w:rPr>
      </w:pPr>
      <w:r>
        <w:rPr>
          <w:color w:val="auto"/>
          <w:sz w:val="24"/>
          <w:szCs w:val="24"/>
          <w:highlight w:val="none"/>
        </w:rPr>
        <w:t>我公司</w:t>
      </w:r>
      <w:r>
        <w:rPr>
          <w:rFonts w:hint="eastAsia"/>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color w:val="auto"/>
          <w:sz w:val="24"/>
          <w:szCs w:val="24"/>
          <w:highlight w:val="none"/>
        </w:rPr>
        <w:t>符合《中华人民共和国政府采购法》第二十二条的规定，在此郑重承诺具备以下条件：</w:t>
      </w:r>
    </w:p>
    <w:p w14:paraId="0A9B21BD">
      <w:pPr>
        <w:spacing w:line="360" w:lineRule="auto"/>
        <w:ind w:firstLine="480"/>
        <w:rPr>
          <w:color w:val="auto"/>
          <w:sz w:val="24"/>
          <w:szCs w:val="24"/>
          <w:highlight w:val="none"/>
        </w:rPr>
      </w:pPr>
      <w:r>
        <w:rPr>
          <w:rFonts w:hint="eastAsia"/>
          <w:color w:val="auto"/>
          <w:sz w:val="24"/>
          <w:szCs w:val="24"/>
          <w:highlight w:val="none"/>
          <w:lang w:eastAsia="zh-CN"/>
        </w:rPr>
        <w:t>（一）</w:t>
      </w:r>
      <w:r>
        <w:rPr>
          <w:color w:val="auto"/>
          <w:sz w:val="24"/>
          <w:szCs w:val="24"/>
          <w:highlight w:val="none"/>
        </w:rPr>
        <w:t>具有独立承担民事责任的能力；</w:t>
      </w:r>
    </w:p>
    <w:p w14:paraId="1DC39F8A">
      <w:pPr>
        <w:spacing w:line="360" w:lineRule="auto"/>
        <w:ind w:firstLine="480"/>
        <w:rPr>
          <w:color w:val="auto"/>
          <w:sz w:val="24"/>
          <w:szCs w:val="24"/>
          <w:highlight w:val="none"/>
        </w:rPr>
      </w:pPr>
      <w:r>
        <w:rPr>
          <w:rFonts w:hint="eastAsia"/>
          <w:color w:val="auto"/>
          <w:sz w:val="24"/>
          <w:szCs w:val="24"/>
          <w:highlight w:val="none"/>
          <w:lang w:eastAsia="zh-CN"/>
        </w:rPr>
        <w:t>（二）</w:t>
      </w:r>
      <w:r>
        <w:rPr>
          <w:color w:val="auto"/>
          <w:sz w:val="24"/>
          <w:szCs w:val="24"/>
          <w:highlight w:val="none"/>
        </w:rPr>
        <w:t>具有良好的商业信誉和健全的财务会计制度；</w:t>
      </w:r>
    </w:p>
    <w:p w14:paraId="785CF050">
      <w:pPr>
        <w:spacing w:line="360" w:lineRule="auto"/>
        <w:ind w:firstLine="480"/>
        <w:rPr>
          <w:color w:val="auto"/>
          <w:sz w:val="24"/>
          <w:szCs w:val="24"/>
          <w:highlight w:val="none"/>
        </w:rPr>
      </w:pPr>
      <w:r>
        <w:rPr>
          <w:rFonts w:hint="eastAsia"/>
          <w:color w:val="auto"/>
          <w:sz w:val="24"/>
          <w:szCs w:val="24"/>
          <w:highlight w:val="none"/>
          <w:lang w:eastAsia="zh-CN"/>
        </w:rPr>
        <w:t>（三）</w:t>
      </w:r>
      <w:r>
        <w:rPr>
          <w:color w:val="auto"/>
          <w:sz w:val="24"/>
          <w:szCs w:val="24"/>
          <w:highlight w:val="none"/>
        </w:rPr>
        <w:t>具有履行合同所必需的设备和专业技术能力；</w:t>
      </w:r>
    </w:p>
    <w:p w14:paraId="303DFCFA">
      <w:pPr>
        <w:spacing w:line="360" w:lineRule="auto"/>
        <w:ind w:firstLine="480"/>
        <w:rPr>
          <w:color w:val="auto"/>
          <w:sz w:val="24"/>
          <w:szCs w:val="24"/>
          <w:highlight w:val="none"/>
        </w:rPr>
      </w:pPr>
      <w:r>
        <w:rPr>
          <w:rFonts w:hint="eastAsia"/>
          <w:color w:val="auto"/>
          <w:sz w:val="24"/>
          <w:szCs w:val="24"/>
          <w:highlight w:val="none"/>
          <w:lang w:eastAsia="zh-CN"/>
        </w:rPr>
        <w:t>（四）</w:t>
      </w:r>
      <w:r>
        <w:rPr>
          <w:color w:val="auto"/>
          <w:sz w:val="24"/>
          <w:szCs w:val="24"/>
          <w:highlight w:val="none"/>
        </w:rPr>
        <w:t>有依法缴纳税收和社会保障资金的良好记录；</w:t>
      </w:r>
    </w:p>
    <w:p w14:paraId="5B9E3D01">
      <w:pPr>
        <w:spacing w:line="360" w:lineRule="auto"/>
        <w:ind w:firstLine="480"/>
        <w:rPr>
          <w:color w:val="auto"/>
          <w:sz w:val="24"/>
          <w:szCs w:val="24"/>
          <w:highlight w:val="none"/>
        </w:rPr>
      </w:pPr>
      <w:r>
        <w:rPr>
          <w:rFonts w:hint="eastAsia"/>
          <w:color w:val="auto"/>
          <w:sz w:val="24"/>
          <w:szCs w:val="24"/>
          <w:highlight w:val="none"/>
          <w:lang w:eastAsia="zh-CN"/>
        </w:rPr>
        <w:t>（五）</w:t>
      </w:r>
      <w:r>
        <w:rPr>
          <w:color w:val="auto"/>
          <w:sz w:val="24"/>
          <w:szCs w:val="24"/>
          <w:highlight w:val="none"/>
        </w:rPr>
        <w:t>近三年内，在经营活动中没有重大违法记录；</w:t>
      </w:r>
    </w:p>
    <w:p w14:paraId="5B243F05">
      <w:pPr>
        <w:spacing w:line="360" w:lineRule="auto"/>
        <w:ind w:firstLine="480"/>
        <w:rPr>
          <w:bCs/>
          <w:color w:val="auto"/>
          <w:sz w:val="24"/>
          <w:szCs w:val="24"/>
          <w:highlight w:val="none"/>
        </w:rPr>
      </w:pPr>
      <w:r>
        <w:rPr>
          <w:rFonts w:hint="eastAsia"/>
          <w:bCs/>
          <w:color w:val="auto"/>
          <w:sz w:val="24"/>
          <w:szCs w:val="24"/>
          <w:highlight w:val="none"/>
          <w:lang w:eastAsia="zh-CN"/>
        </w:rPr>
        <w:t>（六）</w:t>
      </w:r>
      <w:r>
        <w:rPr>
          <w:bCs/>
          <w:color w:val="auto"/>
          <w:sz w:val="24"/>
          <w:szCs w:val="24"/>
          <w:highlight w:val="none"/>
        </w:rPr>
        <w:t>投标文件中所有关于投标资格的文件、证明、陈述均是真实的、准确的。</w:t>
      </w:r>
    </w:p>
    <w:p w14:paraId="4100658F">
      <w:pPr>
        <w:spacing w:line="360" w:lineRule="auto"/>
        <w:ind w:firstLine="480"/>
        <w:rPr>
          <w:bCs/>
          <w:color w:val="auto"/>
          <w:sz w:val="24"/>
          <w:szCs w:val="24"/>
          <w:highlight w:val="none"/>
        </w:rPr>
      </w:pPr>
      <w:r>
        <w:rPr>
          <w:bCs/>
          <w:color w:val="auto"/>
          <w:sz w:val="24"/>
          <w:szCs w:val="24"/>
          <w:highlight w:val="none"/>
        </w:rPr>
        <w:t>若有违背，我公司</w:t>
      </w:r>
      <w:r>
        <w:rPr>
          <w:rFonts w:hint="eastAsia"/>
          <w:bCs/>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bCs/>
          <w:color w:val="auto"/>
          <w:sz w:val="24"/>
          <w:szCs w:val="24"/>
          <w:highlight w:val="none"/>
        </w:rPr>
        <w:t>愿意承担由此而产生的一切后果。</w:t>
      </w:r>
    </w:p>
    <w:p w14:paraId="769ADB40">
      <w:pPr>
        <w:spacing w:line="360" w:lineRule="auto"/>
        <w:rPr>
          <w:bCs/>
          <w:color w:val="auto"/>
          <w:sz w:val="24"/>
          <w:szCs w:val="24"/>
          <w:highlight w:val="none"/>
        </w:rPr>
      </w:pPr>
    </w:p>
    <w:p w14:paraId="4A139191">
      <w:pPr>
        <w:spacing w:line="360" w:lineRule="auto"/>
        <w:rPr>
          <w:bCs/>
          <w:color w:val="auto"/>
          <w:sz w:val="24"/>
          <w:szCs w:val="24"/>
          <w:highlight w:val="none"/>
        </w:rPr>
      </w:pPr>
    </w:p>
    <w:p w14:paraId="007F78AE">
      <w:pPr>
        <w:spacing w:line="360" w:lineRule="auto"/>
        <w:rPr>
          <w:bCs/>
          <w:color w:val="auto"/>
          <w:sz w:val="24"/>
          <w:szCs w:val="24"/>
          <w:highlight w:val="none"/>
        </w:rPr>
      </w:pPr>
      <w:r>
        <w:rPr>
          <w:bCs/>
          <w:color w:val="auto"/>
          <w:sz w:val="24"/>
          <w:szCs w:val="24"/>
          <w:highlight w:val="none"/>
        </w:rPr>
        <w:t>投标人</w:t>
      </w:r>
      <w:r>
        <w:rPr>
          <w:rFonts w:hint="eastAsia"/>
          <w:bCs/>
          <w:color w:val="auto"/>
          <w:sz w:val="24"/>
          <w:szCs w:val="24"/>
          <w:highlight w:val="none"/>
          <w:lang w:eastAsia="zh-CN"/>
        </w:rPr>
        <w:t>（</w:t>
      </w:r>
      <w:r>
        <w:rPr>
          <w:bCs/>
          <w:color w:val="auto"/>
          <w:sz w:val="24"/>
          <w:szCs w:val="24"/>
          <w:highlight w:val="none"/>
        </w:rPr>
        <w:t>盖章</w:t>
      </w:r>
      <w:r>
        <w:rPr>
          <w:rFonts w:hint="eastAsia"/>
          <w:bCs/>
          <w:color w:val="auto"/>
          <w:sz w:val="24"/>
          <w:szCs w:val="24"/>
          <w:highlight w:val="none"/>
          <w:lang w:eastAsia="zh-CN"/>
        </w:rPr>
        <w:t>）</w:t>
      </w:r>
      <w:r>
        <w:rPr>
          <w:bCs/>
          <w:color w:val="auto"/>
          <w:sz w:val="24"/>
          <w:szCs w:val="24"/>
          <w:highlight w:val="none"/>
        </w:rPr>
        <w:t>：</w:t>
      </w:r>
    </w:p>
    <w:p w14:paraId="430A8ECC">
      <w:pPr>
        <w:spacing w:line="360" w:lineRule="auto"/>
        <w:rPr>
          <w:bCs/>
          <w:color w:val="auto"/>
          <w:sz w:val="24"/>
          <w:szCs w:val="24"/>
          <w:highlight w:val="none"/>
        </w:rPr>
      </w:pPr>
      <w:r>
        <w:rPr>
          <w:bCs/>
          <w:color w:val="auto"/>
          <w:sz w:val="24"/>
          <w:szCs w:val="24"/>
          <w:highlight w:val="none"/>
        </w:rPr>
        <w:t>法定代表人</w:t>
      </w:r>
      <w:r>
        <w:rPr>
          <w:rFonts w:hint="eastAsia"/>
          <w:bCs/>
          <w:color w:val="auto"/>
          <w:sz w:val="24"/>
          <w:szCs w:val="24"/>
          <w:highlight w:val="none"/>
          <w:lang w:eastAsia="zh-CN"/>
        </w:rPr>
        <w:t>（</w:t>
      </w:r>
      <w:r>
        <w:rPr>
          <w:bCs/>
          <w:color w:val="auto"/>
          <w:sz w:val="24"/>
          <w:szCs w:val="24"/>
          <w:highlight w:val="none"/>
        </w:rPr>
        <w:t>签字或盖章</w:t>
      </w:r>
      <w:r>
        <w:rPr>
          <w:rFonts w:hint="eastAsia"/>
          <w:bCs/>
          <w:color w:val="auto"/>
          <w:sz w:val="24"/>
          <w:szCs w:val="24"/>
          <w:highlight w:val="none"/>
          <w:lang w:eastAsia="zh-CN"/>
        </w:rPr>
        <w:t>）</w:t>
      </w:r>
      <w:r>
        <w:rPr>
          <w:bCs/>
          <w:color w:val="auto"/>
          <w:sz w:val="24"/>
          <w:szCs w:val="24"/>
          <w:highlight w:val="none"/>
        </w:rPr>
        <w:t>：</w:t>
      </w:r>
    </w:p>
    <w:p w14:paraId="48DAD3F2">
      <w:pPr>
        <w:rPr>
          <w:color w:val="auto"/>
          <w:highlight w:val="none"/>
        </w:rPr>
      </w:pPr>
    </w:p>
    <w:p w14:paraId="3D7A2E43">
      <w:pPr>
        <w:pStyle w:val="219"/>
        <w:ind w:left="1260"/>
        <w:rPr>
          <w:color w:val="auto"/>
          <w:highlight w:val="none"/>
        </w:rPr>
      </w:pPr>
    </w:p>
    <w:p w14:paraId="4F6158BE">
      <w:pPr>
        <w:rPr>
          <w:color w:val="auto"/>
          <w:highlight w:val="none"/>
        </w:rPr>
      </w:pPr>
    </w:p>
    <w:p w14:paraId="39F40936">
      <w:pPr>
        <w:pStyle w:val="219"/>
        <w:ind w:left="0"/>
        <w:rPr>
          <w:color w:val="auto"/>
          <w:highlight w:val="none"/>
        </w:rPr>
      </w:pPr>
    </w:p>
    <w:p w14:paraId="3D60B1AB">
      <w:pPr>
        <w:rPr>
          <w:bCs/>
          <w:color w:val="auto"/>
          <w:sz w:val="24"/>
          <w:szCs w:val="24"/>
          <w:highlight w:val="none"/>
        </w:rPr>
      </w:pPr>
      <w:r>
        <w:rPr>
          <w:rFonts w:hint="eastAsia"/>
          <w:bCs/>
          <w:color w:val="auto"/>
          <w:sz w:val="24"/>
          <w:szCs w:val="24"/>
          <w:highlight w:val="none"/>
        </w:rPr>
        <w:t>备注：上述所称“重大违法记录”，是指供应商因违法经营受到刑事处罚或者责令停产停业、吊销许可证或者执照、较大数额罚款等行政处罚。[</w:t>
      </w:r>
      <w:r>
        <w:rPr>
          <w:bCs/>
          <w:color w:val="auto"/>
          <w:sz w:val="24"/>
          <w:szCs w:val="24"/>
          <w:highlight w:val="none"/>
        </w:rPr>
        <w:t>“</w:t>
      </w:r>
      <w:r>
        <w:rPr>
          <w:rFonts w:hint="eastAsia"/>
          <w:bCs/>
          <w:color w:val="auto"/>
          <w:sz w:val="24"/>
          <w:szCs w:val="24"/>
          <w:highlight w:val="none"/>
        </w:rPr>
        <w:t>较大数额罚款</w:t>
      </w:r>
      <w:r>
        <w:rPr>
          <w:bCs/>
          <w:color w:val="auto"/>
          <w:sz w:val="24"/>
          <w:szCs w:val="24"/>
          <w:highlight w:val="none"/>
        </w:rPr>
        <w:t>”</w:t>
      </w:r>
      <w:r>
        <w:rPr>
          <w:rFonts w:hint="eastAsia"/>
          <w:bCs/>
          <w:color w:val="auto"/>
          <w:sz w:val="24"/>
          <w:szCs w:val="24"/>
          <w:highlight w:val="none"/>
        </w:rPr>
        <w:t>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bCs/>
          <w:color w:val="auto"/>
          <w:sz w:val="24"/>
          <w:szCs w:val="24"/>
          <w:highlight w:val="none"/>
          <w:lang w:eastAsia="zh-CN"/>
        </w:rPr>
        <w:t>〔2022〕3号</w:t>
      </w:r>
      <w:r>
        <w:rPr>
          <w:rFonts w:hint="eastAsia"/>
          <w:bCs/>
          <w:color w:val="auto"/>
          <w:sz w:val="24"/>
          <w:szCs w:val="24"/>
          <w:highlight w:val="none"/>
        </w:rPr>
        <w:t>为准]</w:t>
      </w:r>
    </w:p>
    <w:p w14:paraId="0AA4ECCF">
      <w:pPr>
        <w:spacing w:line="360" w:lineRule="auto"/>
        <w:rPr>
          <w:rFonts w:eastAsia="黑体"/>
          <w:bCs/>
          <w:color w:val="auto"/>
          <w:sz w:val="32"/>
          <w:highlight w:val="none"/>
        </w:rPr>
      </w:pPr>
      <w:r>
        <w:rPr>
          <w:rFonts w:eastAsia="黑体"/>
          <w:bCs/>
          <w:color w:val="auto"/>
          <w:sz w:val="24"/>
          <w:szCs w:val="24"/>
          <w:highlight w:val="none"/>
        </w:rPr>
        <w:br w:type="page" w:clear="all"/>
      </w:r>
      <w:r>
        <w:rPr>
          <w:rFonts w:hint="eastAsia" w:eastAsia="黑体"/>
          <w:bCs/>
          <w:color w:val="auto"/>
          <w:sz w:val="24"/>
          <w:szCs w:val="24"/>
          <w:highlight w:val="none"/>
        </w:rPr>
        <w:t>（三）</w:t>
      </w:r>
      <w:r>
        <w:rPr>
          <w:rFonts w:eastAsia="黑体"/>
          <w:bCs/>
          <w:color w:val="auto"/>
          <w:sz w:val="24"/>
          <w:szCs w:val="24"/>
          <w:highlight w:val="none"/>
        </w:rPr>
        <w:t>法定代表人授权委托书</w:t>
      </w:r>
      <w:r>
        <w:rPr>
          <w:rFonts w:hint="eastAsia" w:eastAsia="黑体"/>
          <w:bCs/>
          <w:color w:val="auto"/>
          <w:sz w:val="24"/>
          <w:szCs w:val="24"/>
          <w:highlight w:val="none"/>
          <w:lang w:eastAsia="zh-CN"/>
        </w:rPr>
        <w:t>（</w:t>
      </w:r>
      <w:r>
        <w:rPr>
          <w:rFonts w:eastAsia="黑体"/>
          <w:bCs/>
          <w:color w:val="auto"/>
          <w:sz w:val="24"/>
          <w:szCs w:val="24"/>
          <w:highlight w:val="none"/>
        </w:rPr>
        <w:t>格式</w:t>
      </w:r>
      <w:r>
        <w:rPr>
          <w:rFonts w:hint="eastAsia" w:eastAsia="黑体"/>
          <w:bCs/>
          <w:color w:val="auto"/>
          <w:sz w:val="24"/>
          <w:szCs w:val="24"/>
          <w:highlight w:val="none"/>
          <w:lang w:eastAsia="zh-CN"/>
        </w:rPr>
        <w:t>）</w:t>
      </w:r>
      <w:r>
        <w:rPr>
          <w:rFonts w:eastAsia="黑体"/>
          <w:bCs/>
          <w:color w:val="auto"/>
          <w:sz w:val="24"/>
          <w:szCs w:val="24"/>
          <w:highlight w:val="none"/>
        </w:rPr>
        <w:t>：</w:t>
      </w:r>
    </w:p>
    <w:p w14:paraId="32D2B2FE">
      <w:pPr>
        <w:spacing w:line="360" w:lineRule="auto"/>
        <w:rPr>
          <w:rFonts w:eastAsia="黑体"/>
          <w:bCs/>
          <w:color w:val="auto"/>
          <w:sz w:val="28"/>
          <w:szCs w:val="28"/>
          <w:highlight w:val="none"/>
        </w:rPr>
      </w:pPr>
    </w:p>
    <w:p w14:paraId="718E34B5">
      <w:pPr>
        <w:spacing w:line="360" w:lineRule="auto"/>
        <w:jc w:val="center"/>
        <w:outlineLvl w:val="0"/>
        <w:rPr>
          <w:rFonts w:eastAsia="黑体"/>
          <w:bCs/>
          <w:color w:val="auto"/>
          <w:sz w:val="28"/>
          <w:szCs w:val="28"/>
          <w:highlight w:val="none"/>
        </w:rPr>
      </w:pPr>
      <w:bookmarkStart w:id="45" w:name="_Toc15128"/>
      <w:r>
        <w:rPr>
          <w:rFonts w:eastAsia="黑体"/>
          <w:bCs/>
          <w:color w:val="auto"/>
          <w:sz w:val="28"/>
          <w:szCs w:val="28"/>
          <w:highlight w:val="none"/>
        </w:rPr>
        <w:t>法定代表人授权委托书</w:t>
      </w:r>
      <w:bookmarkEnd w:id="45"/>
    </w:p>
    <w:p w14:paraId="76CFA5D7">
      <w:pPr>
        <w:spacing w:line="360" w:lineRule="auto"/>
        <w:jc w:val="center"/>
        <w:outlineLvl w:val="0"/>
        <w:rPr>
          <w:rFonts w:eastAsia="黑体"/>
          <w:bCs/>
          <w:color w:val="auto"/>
          <w:sz w:val="28"/>
          <w:szCs w:val="28"/>
          <w:highlight w:val="none"/>
        </w:rPr>
      </w:pPr>
    </w:p>
    <w:p w14:paraId="6E7B7600">
      <w:pPr>
        <w:spacing w:line="360" w:lineRule="auto"/>
        <w:rPr>
          <w:rFonts w:hint="eastAsia"/>
          <w:bCs/>
          <w:color w:val="auto"/>
          <w:sz w:val="24"/>
          <w:szCs w:val="24"/>
          <w:highlight w:val="none"/>
        </w:rPr>
      </w:pPr>
      <w:r>
        <w:rPr>
          <w:bCs/>
          <w:color w:val="auto"/>
          <w:sz w:val="24"/>
          <w:szCs w:val="24"/>
          <w:highlight w:val="none"/>
        </w:rPr>
        <w:t>政府采购编号：</w:t>
      </w:r>
      <w:r>
        <w:rPr>
          <w:rFonts w:hint="eastAsia"/>
          <w:bCs/>
          <w:color w:val="auto"/>
          <w:sz w:val="24"/>
          <w:szCs w:val="24"/>
          <w:highlight w:val="none"/>
        </w:rPr>
        <w:t xml:space="preserve"> </w:t>
      </w:r>
    </w:p>
    <w:p w14:paraId="79EFFE10">
      <w:pPr>
        <w:spacing w:line="360" w:lineRule="auto"/>
        <w:rPr>
          <w:bCs/>
          <w:color w:val="auto"/>
          <w:sz w:val="24"/>
          <w:szCs w:val="24"/>
          <w:highlight w:val="none"/>
        </w:rPr>
      </w:pPr>
      <w:r>
        <w:rPr>
          <w:bCs/>
          <w:color w:val="auto"/>
          <w:sz w:val="24"/>
          <w:szCs w:val="24"/>
          <w:highlight w:val="none"/>
        </w:rPr>
        <w:t>日期：</w:t>
      </w:r>
    </w:p>
    <w:p w14:paraId="398C6A4D">
      <w:pPr>
        <w:spacing w:line="360" w:lineRule="auto"/>
        <w:rPr>
          <w:bCs/>
          <w:color w:val="auto"/>
          <w:sz w:val="24"/>
          <w:szCs w:val="24"/>
          <w:highlight w:val="none"/>
        </w:rPr>
      </w:pPr>
    </w:p>
    <w:p w14:paraId="0073A41D">
      <w:pPr>
        <w:spacing w:line="360" w:lineRule="auto"/>
        <w:rPr>
          <w:bCs/>
          <w:color w:val="auto"/>
          <w:sz w:val="24"/>
          <w:szCs w:val="24"/>
          <w:highlight w:val="none"/>
        </w:rPr>
      </w:pPr>
      <w:r>
        <w:rPr>
          <w:rFonts w:hint="eastAsia"/>
          <w:bCs/>
          <w:color w:val="auto"/>
          <w:sz w:val="24"/>
          <w:szCs w:val="24"/>
          <w:highlight w:val="none"/>
          <w:lang w:eastAsia="zh-CN"/>
        </w:rPr>
        <w:t>江苏朝阳工程管理咨询有限责任公司</w:t>
      </w:r>
      <w:r>
        <w:rPr>
          <w:bCs/>
          <w:color w:val="auto"/>
          <w:sz w:val="24"/>
          <w:szCs w:val="24"/>
          <w:highlight w:val="none"/>
        </w:rPr>
        <w:t>：</w:t>
      </w:r>
    </w:p>
    <w:p w14:paraId="313A86C5">
      <w:pPr>
        <w:spacing w:line="360" w:lineRule="auto"/>
        <w:ind w:firstLine="240"/>
        <w:rPr>
          <w:bCs/>
          <w:color w:val="auto"/>
          <w:sz w:val="24"/>
          <w:szCs w:val="24"/>
          <w:highlight w:val="none"/>
        </w:rPr>
      </w:pPr>
      <w:r>
        <w:rPr>
          <w:rFonts w:hint="eastAsia"/>
          <w:bCs/>
          <w:color w:val="auto"/>
          <w:sz w:val="24"/>
          <w:szCs w:val="24"/>
          <w:highlight w:val="none"/>
          <w:u w:val="single"/>
        </w:rPr>
        <w:t xml:space="preserve">              </w:t>
      </w:r>
      <w:r>
        <w:rPr>
          <w:bCs/>
          <w:color w:val="auto"/>
          <w:sz w:val="24"/>
          <w:szCs w:val="24"/>
          <w:highlight w:val="none"/>
        </w:rPr>
        <w:t>系中华人民共和国合法企业</w:t>
      </w:r>
      <w:r>
        <w:rPr>
          <w:rFonts w:hint="eastAsia"/>
          <w:bCs/>
          <w:color w:val="auto"/>
          <w:sz w:val="24"/>
          <w:szCs w:val="24"/>
          <w:highlight w:val="none"/>
        </w:rPr>
        <w:t>（单位）</w:t>
      </w:r>
      <w:r>
        <w:rPr>
          <w:bCs/>
          <w:color w:val="auto"/>
          <w:sz w:val="24"/>
          <w:szCs w:val="24"/>
          <w:highlight w:val="none"/>
        </w:rPr>
        <w:t>，特授权</w:t>
      </w:r>
      <w:r>
        <w:rPr>
          <w:rFonts w:hint="eastAsia"/>
          <w:bCs/>
          <w:color w:val="auto"/>
          <w:sz w:val="24"/>
          <w:szCs w:val="24"/>
          <w:highlight w:val="none"/>
          <w:u w:val="single"/>
        </w:rPr>
        <w:t xml:space="preserve">       </w:t>
      </w:r>
      <w:r>
        <w:rPr>
          <w:bCs/>
          <w:color w:val="auto"/>
          <w:sz w:val="24"/>
          <w:szCs w:val="24"/>
          <w:highlight w:val="none"/>
        </w:rPr>
        <w:t>代表我公司</w:t>
      </w:r>
      <w:r>
        <w:rPr>
          <w:rFonts w:hint="eastAsia"/>
          <w:bCs/>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bCs/>
          <w:color w:val="auto"/>
          <w:sz w:val="24"/>
          <w:szCs w:val="24"/>
          <w:highlight w:val="none"/>
        </w:rPr>
        <w:t>全权办理针对本项目</w:t>
      </w:r>
      <w:r>
        <w:rPr>
          <w:rFonts w:hint="eastAsia"/>
          <w:bCs/>
          <w:color w:val="auto"/>
          <w:sz w:val="24"/>
          <w:szCs w:val="24"/>
          <w:highlight w:val="none"/>
          <w:u w:val="single"/>
        </w:rPr>
        <w:t xml:space="preserve">                               </w:t>
      </w:r>
      <w:r>
        <w:rPr>
          <w:bCs/>
          <w:color w:val="auto"/>
          <w:sz w:val="24"/>
          <w:szCs w:val="24"/>
          <w:highlight w:val="none"/>
        </w:rPr>
        <w:t>的投标、参与开标、评标、签约等具体工作，并签署全部有关的文件、协议及合同。</w:t>
      </w:r>
    </w:p>
    <w:p w14:paraId="4A879060">
      <w:pPr>
        <w:spacing w:line="360" w:lineRule="auto"/>
        <w:ind w:firstLine="480"/>
        <w:rPr>
          <w:bCs/>
          <w:color w:val="auto"/>
          <w:sz w:val="24"/>
          <w:szCs w:val="24"/>
          <w:highlight w:val="none"/>
        </w:rPr>
      </w:pPr>
      <w:r>
        <w:rPr>
          <w:bCs/>
          <w:color w:val="auto"/>
          <w:sz w:val="24"/>
          <w:szCs w:val="24"/>
          <w:highlight w:val="none"/>
        </w:rPr>
        <w:t>我公司</w:t>
      </w:r>
      <w:r>
        <w:rPr>
          <w:rFonts w:hint="eastAsia"/>
          <w:bCs/>
          <w:color w:val="auto"/>
          <w:sz w:val="24"/>
          <w:szCs w:val="24"/>
          <w:highlight w:val="none"/>
          <w:lang w:eastAsia="zh-CN"/>
        </w:rPr>
        <w:t>（</w:t>
      </w:r>
      <w:r>
        <w:rPr>
          <w:bCs/>
          <w:color w:val="auto"/>
          <w:sz w:val="24"/>
          <w:szCs w:val="24"/>
          <w:highlight w:val="none"/>
        </w:rPr>
        <w:t>单位</w:t>
      </w:r>
      <w:r>
        <w:rPr>
          <w:rFonts w:hint="eastAsia"/>
          <w:bCs/>
          <w:color w:val="auto"/>
          <w:sz w:val="24"/>
          <w:szCs w:val="24"/>
          <w:highlight w:val="none"/>
          <w:lang w:eastAsia="zh-CN"/>
        </w:rPr>
        <w:t>）</w:t>
      </w:r>
      <w:r>
        <w:rPr>
          <w:bCs/>
          <w:color w:val="auto"/>
          <w:sz w:val="24"/>
          <w:szCs w:val="24"/>
          <w:highlight w:val="none"/>
        </w:rPr>
        <w:t>对被授权人的签名负全部责任。</w:t>
      </w:r>
    </w:p>
    <w:p w14:paraId="31006F48">
      <w:pPr>
        <w:spacing w:line="360" w:lineRule="auto"/>
        <w:ind w:firstLine="480"/>
        <w:rPr>
          <w:bCs/>
          <w:color w:val="auto"/>
          <w:sz w:val="24"/>
          <w:szCs w:val="24"/>
          <w:highlight w:val="none"/>
        </w:rPr>
      </w:pPr>
      <w:r>
        <w:rPr>
          <w:bCs/>
          <w:color w:val="auto"/>
          <w:sz w:val="24"/>
          <w:szCs w:val="24"/>
          <w:highlight w:val="none"/>
        </w:rPr>
        <w:t>在撤销授权的书面通知送达你处以前，本授权书一直有效，被授权人签署的所有文件</w:t>
      </w:r>
      <w:r>
        <w:rPr>
          <w:rFonts w:hint="eastAsia"/>
          <w:bCs/>
          <w:color w:val="auto"/>
          <w:sz w:val="24"/>
          <w:szCs w:val="24"/>
          <w:highlight w:val="none"/>
          <w:lang w:eastAsia="zh-CN"/>
        </w:rPr>
        <w:t>（</w:t>
      </w:r>
      <w:r>
        <w:rPr>
          <w:bCs/>
          <w:color w:val="auto"/>
          <w:sz w:val="24"/>
          <w:szCs w:val="24"/>
          <w:highlight w:val="none"/>
        </w:rPr>
        <w:t>在授权书有效期内签署的</w:t>
      </w:r>
      <w:r>
        <w:rPr>
          <w:rFonts w:hint="eastAsia"/>
          <w:bCs/>
          <w:color w:val="auto"/>
          <w:sz w:val="24"/>
          <w:szCs w:val="24"/>
          <w:highlight w:val="none"/>
          <w:lang w:eastAsia="zh-CN"/>
        </w:rPr>
        <w:t>）</w:t>
      </w:r>
      <w:r>
        <w:rPr>
          <w:bCs/>
          <w:color w:val="auto"/>
          <w:sz w:val="24"/>
          <w:szCs w:val="24"/>
          <w:highlight w:val="none"/>
        </w:rPr>
        <w:t>不因授权的撤销而失效。</w:t>
      </w:r>
    </w:p>
    <w:p w14:paraId="64D109FC">
      <w:pPr>
        <w:spacing w:line="360" w:lineRule="auto"/>
        <w:ind w:firstLine="480"/>
        <w:rPr>
          <w:bCs/>
          <w:color w:val="auto"/>
          <w:sz w:val="24"/>
          <w:szCs w:val="24"/>
          <w:highlight w:val="none"/>
        </w:rPr>
      </w:pPr>
      <w:r>
        <w:rPr>
          <w:bCs/>
          <w:color w:val="auto"/>
          <w:sz w:val="24"/>
          <w:szCs w:val="24"/>
          <w:highlight w:val="none"/>
        </w:rPr>
        <w:t>被授权人情况：</w:t>
      </w:r>
    </w:p>
    <w:p w14:paraId="3FFA06E0">
      <w:pPr>
        <w:spacing w:line="360" w:lineRule="auto"/>
        <w:ind w:firstLine="480"/>
        <w:rPr>
          <w:bCs/>
          <w:color w:val="auto"/>
          <w:sz w:val="24"/>
          <w:szCs w:val="24"/>
          <w:highlight w:val="none"/>
        </w:rPr>
      </w:pPr>
      <w:r>
        <w:rPr>
          <w:bCs/>
          <w:color w:val="auto"/>
          <w:sz w:val="24"/>
          <w:szCs w:val="24"/>
          <w:highlight w:val="none"/>
        </w:rPr>
        <w:t>姓名：</w:t>
      </w:r>
      <w:r>
        <w:rPr>
          <w:rFonts w:hint="eastAsia"/>
          <w:bCs/>
          <w:color w:val="auto"/>
          <w:sz w:val="24"/>
          <w:szCs w:val="24"/>
          <w:highlight w:val="none"/>
          <w:lang w:val="en-US" w:eastAsia="zh-CN"/>
        </w:rPr>
        <w:t xml:space="preserve">  </w:t>
      </w:r>
      <w:r>
        <w:rPr>
          <w:bCs/>
          <w:color w:val="auto"/>
          <w:sz w:val="24"/>
          <w:szCs w:val="24"/>
          <w:highlight w:val="none"/>
        </w:rPr>
        <w:t>性别：</w:t>
      </w:r>
      <w:r>
        <w:rPr>
          <w:rFonts w:hint="eastAsia"/>
          <w:bCs/>
          <w:color w:val="auto"/>
          <w:sz w:val="24"/>
          <w:szCs w:val="24"/>
          <w:highlight w:val="none"/>
          <w:lang w:val="en-US" w:eastAsia="zh-CN"/>
        </w:rPr>
        <w:t xml:space="preserve">  </w:t>
      </w:r>
      <w:r>
        <w:rPr>
          <w:bCs/>
          <w:color w:val="auto"/>
          <w:sz w:val="24"/>
          <w:szCs w:val="24"/>
          <w:highlight w:val="none"/>
        </w:rPr>
        <w:t>电话：</w:t>
      </w:r>
    </w:p>
    <w:p w14:paraId="671DF01F">
      <w:pPr>
        <w:pStyle w:val="45"/>
        <w:ind w:firstLine="468" w:firstLineChars="195"/>
        <w:rPr>
          <w:color w:val="auto"/>
          <w:highlight w:val="none"/>
        </w:rPr>
      </w:pPr>
      <w:r>
        <w:rPr>
          <w:rFonts w:hint="eastAsia" w:ascii="宋体" w:hAnsi="宋体" w:eastAsia="宋体" w:cs="宋体"/>
          <w:color w:val="auto"/>
          <w:sz w:val="24"/>
          <w:szCs w:val="24"/>
          <w:highlight w:val="none"/>
        </w:rPr>
        <w:t>被授权人的身份证号码：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none"/>
          <w:lang w:val="en-US" w:eastAsia="zh-CN"/>
        </w:rPr>
        <w:t xml:space="preserve">         </w:t>
      </w:r>
    </w:p>
    <w:p w14:paraId="1619363B">
      <w:pPr>
        <w:spacing w:line="360" w:lineRule="auto"/>
        <w:ind w:firstLine="480"/>
        <w:rPr>
          <w:bCs/>
          <w:color w:val="auto"/>
          <w:sz w:val="24"/>
          <w:szCs w:val="24"/>
          <w:highlight w:val="none"/>
        </w:rPr>
      </w:pPr>
    </w:p>
    <w:p w14:paraId="059B416E">
      <w:pPr>
        <w:spacing w:line="360" w:lineRule="auto"/>
        <w:ind w:firstLine="480"/>
        <w:rPr>
          <w:bCs/>
          <w:color w:val="auto"/>
          <w:sz w:val="24"/>
          <w:szCs w:val="24"/>
          <w:highlight w:val="none"/>
        </w:rPr>
      </w:pPr>
    </w:p>
    <w:p w14:paraId="59787327">
      <w:pPr>
        <w:spacing w:line="360" w:lineRule="auto"/>
        <w:ind w:firstLine="480"/>
        <w:rPr>
          <w:bCs/>
          <w:color w:val="auto"/>
          <w:sz w:val="24"/>
          <w:szCs w:val="24"/>
          <w:highlight w:val="none"/>
        </w:rPr>
      </w:pPr>
      <w:r>
        <w:rPr>
          <w:bCs/>
          <w:color w:val="auto"/>
          <w:sz w:val="24"/>
          <w:szCs w:val="24"/>
          <w:highlight w:val="none"/>
        </w:rPr>
        <w:t>单位名称</w:t>
      </w:r>
      <w:r>
        <w:rPr>
          <w:rFonts w:hint="eastAsia"/>
          <w:bCs/>
          <w:color w:val="auto"/>
          <w:sz w:val="24"/>
          <w:szCs w:val="24"/>
          <w:highlight w:val="none"/>
          <w:lang w:eastAsia="zh-CN"/>
        </w:rPr>
        <w:t>（</w:t>
      </w:r>
      <w:r>
        <w:rPr>
          <w:bCs/>
          <w:color w:val="auto"/>
          <w:sz w:val="24"/>
          <w:szCs w:val="24"/>
          <w:highlight w:val="none"/>
        </w:rPr>
        <w:t>盖章</w:t>
      </w:r>
      <w:r>
        <w:rPr>
          <w:rFonts w:hint="eastAsia"/>
          <w:bCs/>
          <w:color w:val="auto"/>
          <w:sz w:val="24"/>
          <w:szCs w:val="24"/>
          <w:highlight w:val="none"/>
          <w:lang w:eastAsia="zh-CN"/>
        </w:rPr>
        <w:t>）</w:t>
      </w:r>
      <w:r>
        <w:rPr>
          <w:bCs/>
          <w:color w:val="auto"/>
          <w:sz w:val="24"/>
          <w:szCs w:val="24"/>
          <w:highlight w:val="none"/>
        </w:rPr>
        <w:t>：</w:t>
      </w:r>
    </w:p>
    <w:p w14:paraId="469FEAC6">
      <w:pPr>
        <w:spacing w:line="360" w:lineRule="auto"/>
        <w:ind w:firstLine="480"/>
        <w:rPr>
          <w:bCs/>
          <w:color w:val="auto"/>
          <w:sz w:val="24"/>
          <w:szCs w:val="24"/>
          <w:highlight w:val="none"/>
        </w:rPr>
      </w:pPr>
      <w:r>
        <w:rPr>
          <w:bCs/>
          <w:color w:val="auto"/>
          <w:sz w:val="24"/>
          <w:szCs w:val="24"/>
          <w:highlight w:val="none"/>
        </w:rPr>
        <w:t>法定代表人</w:t>
      </w:r>
      <w:r>
        <w:rPr>
          <w:rFonts w:hint="eastAsia"/>
          <w:bCs/>
          <w:color w:val="auto"/>
          <w:sz w:val="24"/>
          <w:szCs w:val="24"/>
          <w:highlight w:val="none"/>
          <w:lang w:eastAsia="zh-CN"/>
        </w:rPr>
        <w:t>（</w:t>
      </w:r>
      <w:r>
        <w:rPr>
          <w:bCs/>
          <w:color w:val="auto"/>
          <w:sz w:val="24"/>
          <w:szCs w:val="24"/>
          <w:highlight w:val="none"/>
        </w:rPr>
        <w:t>签字或盖章</w:t>
      </w:r>
      <w:r>
        <w:rPr>
          <w:rFonts w:hint="eastAsia"/>
          <w:bCs/>
          <w:color w:val="auto"/>
          <w:sz w:val="24"/>
          <w:szCs w:val="24"/>
          <w:highlight w:val="none"/>
          <w:lang w:eastAsia="zh-CN"/>
        </w:rPr>
        <w:t>）</w:t>
      </w:r>
      <w:r>
        <w:rPr>
          <w:bCs/>
          <w:color w:val="auto"/>
          <w:sz w:val="24"/>
          <w:szCs w:val="24"/>
          <w:highlight w:val="none"/>
        </w:rPr>
        <w:t>：</w:t>
      </w:r>
    </w:p>
    <w:p w14:paraId="4DC050A8">
      <w:pPr>
        <w:rPr>
          <w:bCs/>
          <w:color w:val="auto"/>
          <w:sz w:val="24"/>
          <w:szCs w:val="24"/>
          <w:highlight w:val="none"/>
        </w:rPr>
      </w:pPr>
      <w:r>
        <w:rPr>
          <w:bCs/>
          <w:color w:val="auto"/>
          <w:sz w:val="24"/>
          <w:szCs w:val="24"/>
          <w:highlight w:val="none"/>
        </w:rPr>
        <w:br w:type="page" w:clear="all"/>
      </w:r>
      <w:r>
        <w:rPr>
          <w:bCs/>
          <w:color w:val="auto"/>
          <w:sz w:val="24"/>
          <w:szCs w:val="24"/>
          <w:highlight w:val="none"/>
        </w:rPr>
        <w:t>投标人法定代表人身份证</w:t>
      </w:r>
      <w:r>
        <w:rPr>
          <w:rFonts w:hint="eastAsia"/>
          <w:bCs/>
          <w:color w:val="auto"/>
          <w:sz w:val="24"/>
          <w:szCs w:val="24"/>
          <w:highlight w:val="none"/>
        </w:rPr>
        <w:t>扫描件：</w:t>
      </w:r>
    </w:p>
    <w:p w14:paraId="2FE03786">
      <w:pPr>
        <w:rPr>
          <w:bCs/>
          <w:color w:val="auto"/>
          <w:sz w:val="24"/>
          <w:szCs w:val="24"/>
          <w:highlight w:val="none"/>
        </w:rPr>
      </w:pPr>
    </w:p>
    <w:p w14:paraId="4F52F7CD">
      <w:pPr>
        <w:rPr>
          <w:bCs/>
          <w:color w:val="auto"/>
          <w:sz w:val="24"/>
          <w:szCs w:val="24"/>
          <w:highlight w:val="none"/>
        </w:rPr>
      </w:pPr>
      <w:r>
        <w:rPr>
          <w:bCs/>
          <w:color w:val="auto"/>
          <w:sz w:val="24"/>
          <w:szCs w:val="24"/>
          <w:highlight w:val="none"/>
        </w:rPr>
        <mc:AlternateContent>
          <mc:Choice Requires="wps">
            <w:drawing>
              <wp:inline distT="0" distB="0" distL="0" distR="0">
                <wp:extent cx="2807335" cy="1642110"/>
                <wp:effectExtent l="0" t="0" r="0" b="0"/>
                <wp:docPr id="15" name="文本框 15"/>
                <wp:cNvGraphicFramePr/>
                <a:graphic xmlns:a="http://schemas.openxmlformats.org/drawingml/2006/main">
                  <a:graphicData uri="http://schemas.microsoft.com/office/word/2010/wordprocessingShape">
                    <wps:wsp>
                      <wps:cNvSpPr txBox="1"/>
                      <wps:spPr bwMode="auto">
                        <a:xfrm>
                          <a:off x="0" y="0"/>
                          <a:ext cx="2807334" cy="1642110"/>
                        </a:xfrm>
                        <a:prstGeom prst="rect">
                          <a:avLst/>
                        </a:prstGeom>
                        <a:solidFill>
                          <a:srgbClr val="FFFFFF"/>
                        </a:solidFill>
                        <a:ln>
                          <a:solidFill>
                            <a:srgbClr val="000000"/>
                          </a:solidFill>
                        </a:ln>
                      </wps:spPr>
                      <wps:txbx>
                        <w:txbxContent>
                          <w:p w14:paraId="43138EC1">
                            <w:pPr>
                              <w:jc w:val="center"/>
                              <w:rPr>
                                <w:rFonts w:ascii="黑体" w:eastAsia="黑体"/>
                                <w:sz w:val="32"/>
                                <w:szCs w:val="32"/>
                              </w:rPr>
                            </w:pPr>
                          </w:p>
                          <w:p w14:paraId="7B844AD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012E121B">
                            <w:pPr>
                              <w:jc w:val="center"/>
                              <w:rPr>
                                <w:rFonts w:ascii="黑体" w:eastAsia="黑体"/>
                                <w:color w:val="000000"/>
                                <w:sz w:val="32"/>
                                <w:szCs w:val="32"/>
                              </w:rPr>
                            </w:pPr>
                            <w:r>
                              <w:rPr>
                                <w:rFonts w:hint="eastAsia" w:ascii="黑体" w:eastAsia="黑体"/>
                                <w:color w:val="000000"/>
                                <w:sz w:val="32"/>
                                <w:szCs w:val="32"/>
                              </w:rPr>
                              <w:t>（正面）</w:t>
                            </w:r>
                          </w:p>
                          <w:p w14:paraId="3DAAC45D"/>
                        </w:txbxContent>
                      </wps:txbx>
                      <wps:bodyPr wrap="square" upright="1"/>
                    </wps:wsp>
                  </a:graphicData>
                </a:graphic>
              </wp:inline>
            </w:drawing>
          </mc:Choice>
          <mc:Fallback>
            <w:pict>
              <v:shape id="_x0000_s1026" o:spid="_x0000_s1026" o:spt="202" type="#_x0000_t202" style="height:129.3pt;width:221.05pt;" fillcolor="#FFFFFF" filled="t" stroked="t" coordsize="21600,21600" o:gfxdata="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98UkyNYAAAAFAQAADwAAAAAA&#10;AAABACAAAAAiAAAAZHJzL2Rvd25yZXYueG1sUEsBAhQAFAAAAAgAh07iQBpDjkbcAQAAvwMAAA4A&#10;AAAAAAAAAQAgAAAAJQEAAGRycy9lMm9Eb2MueG1sUEsFBgAAAAAGAAYAWQEAAHMFAAAAAA==&#10;">
                <v:fill on="t" focussize="0,0"/>
                <v:stroke color="#000000" joinstyle="round"/>
                <v:imagedata o:title=""/>
                <o:lock v:ext="edit" aspectratio="f"/>
                <v:textbox>
                  <w:txbxContent>
                    <w:p w14:paraId="43138EC1">
                      <w:pPr>
                        <w:jc w:val="center"/>
                        <w:rPr>
                          <w:rFonts w:ascii="黑体" w:eastAsia="黑体"/>
                          <w:sz w:val="32"/>
                          <w:szCs w:val="32"/>
                        </w:rPr>
                      </w:pPr>
                    </w:p>
                    <w:p w14:paraId="7B844AD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012E121B">
                      <w:pPr>
                        <w:jc w:val="center"/>
                        <w:rPr>
                          <w:rFonts w:ascii="黑体" w:eastAsia="黑体"/>
                          <w:color w:val="000000"/>
                          <w:sz w:val="32"/>
                          <w:szCs w:val="32"/>
                        </w:rPr>
                      </w:pPr>
                      <w:r>
                        <w:rPr>
                          <w:rFonts w:hint="eastAsia" w:ascii="黑体" w:eastAsia="黑体"/>
                          <w:color w:val="000000"/>
                          <w:sz w:val="32"/>
                          <w:szCs w:val="32"/>
                        </w:rPr>
                        <w:t>（正面）</w:t>
                      </w:r>
                    </w:p>
                    <w:p w14:paraId="3DAAC45D"/>
                  </w:txbxContent>
                </v:textbox>
                <w10:wrap type="none"/>
                <w10:anchorlock/>
              </v:shape>
            </w:pict>
          </mc:Fallback>
        </mc:AlternateContent>
      </w:r>
      <w:r>
        <w:rPr>
          <w:bCs/>
          <w:color w:val="auto"/>
          <w:sz w:val="24"/>
          <w:szCs w:val="24"/>
          <w:highlight w:val="none"/>
        </w:rPr>
        <mc:AlternateContent>
          <mc:Choice Requires="wps">
            <w:drawing>
              <wp:inline distT="0" distB="0" distL="0" distR="0">
                <wp:extent cx="2804160" cy="1638300"/>
                <wp:effectExtent l="0" t="0" r="0" b="0"/>
                <wp:docPr id="16" name="文本框 16"/>
                <wp:cNvGraphicFramePr/>
                <a:graphic xmlns:a="http://schemas.openxmlformats.org/drawingml/2006/main">
                  <a:graphicData uri="http://schemas.microsoft.com/office/word/2010/wordprocessingShape">
                    <wps:wsp>
                      <wps:cNvSpPr txBox="1"/>
                      <wps:spPr bwMode="auto">
                        <a:xfrm>
                          <a:off x="0" y="0"/>
                          <a:ext cx="2804160" cy="1638300"/>
                        </a:xfrm>
                        <a:prstGeom prst="rect">
                          <a:avLst/>
                        </a:prstGeom>
                        <a:solidFill>
                          <a:srgbClr val="FFFFFF"/>
                        </a:solidFill>
                        <a:ln>
                          <a:solidFill>
                            <a:srgbClr val="000000"/>
                          </a:solidFill>
                        </a:ln>
                      </wps:spPr>
                      <wps:txbx>
                        <w:txbxContent>
                          <w:p w14:paraId="35A23DA7">
                            <w:pPr>
                              <w:jc w:val="center"/>
                              <w:rPr>
                                <w:rFonts w:ascii="黑体" w:eastAsia="黑体"/>
                                <w:sz w:val="32"/>
                                <w:szCs w:val="32"/>
                              </w:rPr>
                            </w:pPr>
                          </w:p>
                          <w:p w14:paraId="5CD6D5F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4D0A728">
                            <w:pPr>
                              <w:jc w:val="center"/>
                              <w:rPr>
                                <w:rFonts w:ascii="黑体" w:eastAsia="黑体"/>
                                <w:color w:val="000000"/>
                                <w:sz w:val="32"/>
                                <w:szCs w:val="32"/>
                              </w:rPr>
                            </w:pPr>
                            <w:r>
                              <w:rPr>
                                <w:rFonts w:hint="eastAsia" w:ascii="黑体" w:eastAsia="黑体"/>
                                <w:color w:val="000000"/>
                                <w:sz w:val="32"/>
                                <w:szCs w:val="32"/>
                              </w:rPr>
                              <w:t>（反面）</w:t>
                            </w:r>
                          </w:p>
                          <w:p w14:paraId="3809601C"/>
                        </w:txbxContent>
                      </wps:txbx>
                      <wps:bodyPr wrap="square" upright="1"/>
                    </wps:wsp>
                  </a:graphicData>
                </a:graphic>
              </wp:inline>
            </w:drawing>
          </mc:Choice>
          <mc:Fallback>
            <w:pict>
              <v:shape id="_x0000_s1026" o:spid="_x0000_s1026" o:spt="202" type="#_x0000_t202" style="height:129pt;width:220.8pt;" fillcolor="#FFFFFF" filled="t" stroked="t" coordsize="21600,21600" o:gfxdata="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bVvn01gAAAAUBAAAPAAAAAAAA&#10;AAEAIAAAACIAAABkcnMvZG93bnJldi54bWxQSwECFAAUAAAACACHTuJAj2SgXdsBAAC/AwAADgAA&#10;AAAAAAABACAAAAAlAQAAZHJzL2Uyb0RvYy54bWxQSwUGAAAAAAYABgBZAQAAcgUAAAAA&#10;">
                <v:fill on="t" focussize="0,0"/>
                <v:stroke color="#000000" joinstyle="round"/>
                <v:imagedata o:title=""/>
                <o:lock v:ext="edit" aspectratio="f"/>
                <v:textbox>
                  <w:txbxContent>
                    <w:p w14:paraId="35A23DA7">
                      <w:pPr>
                        <w:jc w:val="center"/>
                        <w:rPr>
                          <w:rFonts w:ascii="黑体" w:eastAsia="黑体"/>
                          <w:sz w:val="32"/>
                          <w:szCs w:val="32"/>
                        </w:rPr>
                      </w:pPr>
                    </w:p>
                    <w:p w14:paraId="5CD6D5F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4D0A728">
                      <w:pPr>
                        <w:jc w:val="center"/>
                        <w:rPr>
                          <w:rFonts w:ascii="黑体" w:eastAsia="黑体"/>
                          <w:color w:val="000000"/>
                          <w:sz w:val="32"/>
                          <w:szCs w:val="32"/>
                        </w:rPr>
                      </w:pPr>
                      <w:r>
                        <w:rPr>
                          <w:rFonts w:hint="eastAsia" w:ascii="黑体" w:eastAsia="黑体"/>
                          <w:color w:val="000000"/>
                          <w:sz w:val="32"/>
                          <w:szCs w:val="32"/>
                        </w:rPr>
                        <w:t>（反面）</w:t>
                      </w:r>
                    </w:p>
                    <w:p w14:paraId="3809601C"/>
                  </w:txbxContent>
                </v:textbox>
                <w10:wrap type="none"/>
                <w10:anchorlock/>
              </v:shape>
            </w:pict>
          </mc:Fallback>
        </mc:AlternateContent>
      </w:r>
    </w:p>
    <w:p w14:paraId="0A4787E9">
      <w:pPr>
        <w:rPr>
          <w:bCs/>
          <w:color w:val="auto"/>
          <w:sz w:val="24"/>
          <w:szCs w:val="24"/>
          <w:highlight w:val="none"/>
        </w:rPr>
      </w:pPr>
      <w:r>
        <w:rPr>
          <w:bCs/>
          <w:color w:val="auto"/>
          <w:sz w:val="24"/>
          <w:szCs w:val="24"/>
          <w:highlight w:val="none"/>
        </w:rPr>
        <w:t>法定代表人授权代表身份证</w:t>
      </w:r>
      <w:r>
        <w:rPr>
          <w:rFonts w:hint="eastAsia"/>
          <w:bCs/>
          <w:color w:val="auto"/>
          <w:sz w:val="24"/>
          <w:szCs w:val="24"/>
          <w:highlight w:val="none"/>
        </w:rPr>
        <w:t>扫描件：</w:t>
      </w:r>
      <w:r>
        <w:rPr>
          <w:rFonts w:hint="eastAsia"/>
          <w:b/>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677DA6EA">
      <w:pPr>
        <w:rPr>
          <w:rFonts w:ascii="黑体" w:eastAsia="黑体"/>
          <w:color w:val="auto"/>
          <w:sz w:val="32"/>
          <w:szCs w:val="32"/>
          <w:highlight w:val="none"/>
        </w:rPr>
      </w:pPr>
      <w:r>
        <w:rPr>
          <w:bCs/>
          <w:color w:val="auto"/>
          <w:sz w:val="24"/>
          <w:szCs w:val="24"/>
          <w:highlight w:val="none"/>
        </w:rPr>
        <mc:AlternateContent>
          <mc:Choice Requires="wps">
            <w:drawing>
              <wp:inline distT="0" distB="0" distL="0" distR="0">
                <wp:extent cx="2804160" cy="1584960"/>
                <wp:effectExtent l="0" t="0" r="0" b="0"/>
                <wp:docPr id="17" name="文本框 17"/>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round/>
                        </a:ln>
                      </wps:spPr>
                      <wps:txbx>
                        <w:txbxContent>
                          <w:p w14:paraId="2B5F0F8C">
                            <w:pPr>
                              <w:jc w:val="center"/>
                              <w:rPr>
                                <w:rFonts w:ascii="黑体" w:eastAsia="黑体"/>
                                <w:sz w:val="32"/>
                                <w:szCs w:val="32"/>
                              </w:rPr>
                            </w:pPr>
                          </w:p>
                          <w:p w14:paraId="3A07DF09">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CBA48FA">
                            <w:pPr>
                              <w:jc w:val="center"/>
                              <w:rPr>
                                <w:rFonts w:ascii="黑体" w:eastAsia="黑体"/>
                                <w:color w:val="000000"/>
                                <w:sz w:val="32"/>
                                <w:szCs w:val="32"/>
                              </w:rPr>
                            </w:pPr>
                            <w:r>
                              <w:rPr>
                                <w:rFonts w:hint="eastAsia" w:ascii="黑体" w:eastAsia="黑体"/>
                                <w:color w:val="000000"/>
                                <w:sz w:val="32"/>
                                <w:szCs w:val="32"/>
                              </w:rPr>
                              <w:t>（正面）</w:t>
                            </w:r>
                          </w:p>
                          <w:p w14:paraId="51457C8B"/>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EOWYk9YAAAAFAQAADwAAAAAA&#10;AAABACAAAAAiAAAAZHJzL2Rvd25yZXYueG1sUEsBAhQAFAAAAAgAh07iQPU5UIPcAQAAyQMAAA4A&#10;AAAAAAAAAQAgAAAAJQEAAGRycy9lMm9Eb2MueG1sUEsFBgAAAAAGAAYAWQEAAHMFAAAAAA==&#10;">
                <v:fill on="t" focussize="0,0"/>
                <v:stroke color="#000000" joinstyle="round"/>
                <v:imagedata o:title=""/>
                <o:lock v:ext="edit" aspectratio="f"/>
                <v:textbox>
                  <w:txbxContent>
                    <w:p w14:paraId="2B5F0F8C">
                      <w:pPr>
                        <w:jc w:val="center"/>
                        <w:rPr>
                          <w:rFonts w:ascii="黑体" w:eastAsia="黑体"/>
                          <w:sz w:val="32"/>
                          <w:szCs w:val="32"/>
                        </w:rPr>
                      </w:pPr>
                    </w:p>
                    <w:p w14:paraId="3A07DF09">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CBA48FA">
                      <w:pPr>
                        <w:jc w:val="center"/>
                        <w:rPr>
                          <w:rFonts w:ascii="黑体" w:eastAsia="黑体"/>
                          <w:color w:val="000000"/>
                          <w:sz w:val="32"/>
                          <w:szCs w:val="32"/>
                        </w:rPr>
                      </w:pPr>
                      <w:r>
                        <w:rPr>
                          <w:rFonts w:hint="eastAsia" w:ascii="黑体" w:eastAsia="黑体"/>
                          <w:color w:val="000000"/>
                          <w:sz w:val="32"/>
                          <w:szCs w:val="32"/>
                        </w:rPr>
                        <w:t>（正面）</w:t>
                      </w:r>
                    </w:p>
                    <w:p w14:paraId="51457C8B"/>
                  </w:txbxContent>
                </v:textbox>
                <w10:wrap type="none"/>
                <w10:anchorlock/>
              </v:shape>
            </w:pict>
          </mc:Fallback>
        </mc:AlternateContent>
      </w:r>
      <w:r>
        <w:rPr>
          <w:bCs/>
          <w:color w:val="auto"/>
          <w:sz w:val="24"/>
          <w:szCs w:val="24"/>
          <w:highlight w:val="none"/>
        </w:rPr>
        <mc:AlternateContent>
          <mc:Choice Requires="wps">
            <w:drawing>
              <wp:inline distT="0" distB="0" distL="0" distR="0">
                <wp:extent cx="2804160" cy="1584960"/>
                <wp:effectExtent l="0" t="0" r="0" b="0"/>
                <wp:docPr id="18" name="文本框 18"/>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round/>
                        </a:ln>
                      </wps:spPr>
                      <wps:txbx>
                        <w:txbxContent>
                          <w:p w14:paraId="70D15CBF">
                            <w:pPr>
                              <w:jc w:val="center"/>
                              <w:rPr>
                                <w:rFonts w:ascii="黑体" w:eastAsia="黑体"/>
                                <w:sz w:val="32"/>
                                <w:szCs w:val="32"/>
                              </w:rPr>
                            </w:pPr>
                          </w:p>
                          <w:p w14:paraId="320D3C71">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5EEE3D82">
                            <w:pPr>
                              <w:jc w:val="center"/>
                              <w:rPr>
                                <w:rFonts w:ascii="黑体" w:eastAsia="黑体"/>
                                <w:color w:val="000000"/>
                                <w:sz w:val="32"/>
                                <w:szCs w:val="32"/>
                              </w:rPr>
                            </w:pPr>
                            <w:r>
                              <w:rPr>
                                <w:rFonts w:hint="eastAsia" w:ascii="黑体" w:eastAsia="黑体"/>
                                <w:color w:val="000000"/>
                                <w:sz w:val="32"/>
                                <w:szCs w:val="32"/>
                              </w:rPr>
                              <w:t>（反面）</w:t>
                            </w:r>
                          </w:p>
                          <w:p w14:paraId="431858DF"/>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Q5ZiT1gAAAAUBAAAPAAAAAAAA&#10;AAEAIAAAACIAAABkcnMvZG93bnJldi54bWxQSwECFAAUAAAACACHTuJAZhi15tsBAADJAwAADgAA&#10;AAAAAAABACAAAAAlAQAAZHJzL2Uyb0RvYy54bWxQSwUGAAAAAAYABgBZAQAAcgUAAAAA&#10;">
                <v:fill on="t" focussize="0,0"/>
                <v:stroke color="#000000" joinstyle="round"/>
                <v:imagedata o:title=""/>
                <o:lock v:ext="edit" aspectratio="f"/>
                <v:textbox>
                  <w:txbxContent>
                    <w:p w14:paraId="70D15CBF">
                      <w:pPr>
                        <w:jc w:val="center"/>
                        <w:rPr>
                          <w:rFonts w:ascii="黑体" w:eastAsia="黑体"/>
                          <w:sz w:val="32"/>
                          <w:szCs w:val="32"/>
                        </w:rPr>
                      </w:pPr>
                    </w:p>
                    <w:p w14:paraId="320D3C71">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5EEE3D82">
                      <w:pPr>
                        <w:jc w:val="center"/>
                        <w:rPr>
                          <w:rFonts w:ascii="黑体" w:eastAsia="黑体"/>
                          <w:color w:val="000000"/>
                          <w:sz w:val="32"/>
                          <w:szCs w:val="32"/>
                        </w:rPr>
                      </w:pPr>
                      <w:r>
                        <w:rPr>
                          <w:rFonts w:hint="eastAsia" w:ascii="黑体" w:eastAsia="黑体"/>
                          <w:color w:val="000000"/>
                          <w:sz w:val="32"/>
                          <w:szCs w:val="32"/>
                        </w:rPr>
                        <w:t>（反面）</w:t>
                      </w:r>
                    </w:p>
                    <w:p w14:paraId="431858DF"/>
                  </w:txbxContent>
                </v:textbox>
                <w10:wrap type="none"/>
                <w10:anchorlock/>
              </v:shape>
            </w:pict>
          </mc:Fallback>
        </mc:AlternateContent>
      </w:r>
    </w:p>
    <w:p w14:paraId="7A3A30F0">
      <w:pPr>
        <w:outlineLvl w:val="2"/>
        <w:rPr>
          <w:rFonts w:hint="eastAsia" w:ascii="宋体" w:hAnsi="宋体" w:cs="宋体"/>
          <w:b/>
          <w:color w:val="auto"/>
          <w:sz w:val="24"/>
          <w:szCs w:val="24"/>
          <w:highlight w:val="none"/>
        </w:rPr>
      </w:pPr>
      <w:r>
        <w:rPr>
          <w:rFonts w:ascii="宋体" w:hAnsi="宋体"/>
          <w:b/>
          <w:color w:val="auto"/>
          <w:sz w:val="28"/>
          <w:szCs w:val="28"/>
          <w:highlight w:val="none"/>
        </w:rPr>
        <w:br w:type="page" w:clear="all"/>
      </w:r>
      <w:r>
        <w:rPr>
          <w:rFonts w:hint="eastAsia" w:ascii="宋体" w:hAnsi="宋体" w:cs="宋体"/>
          <w:b/>
          <w:color w:val="auto"/>
          <w:sz w:val="24"/>
          <w:szCs w:val="24"/>
          <w:highlight w:val="none"/>
        </w:rPr>
        <w:t>法定代表人亲自参加投标的需提供：</w:t>
      </w:r>
    </w:p>
    <w:p w14:paraId="4357215F">
      <w:pPr>
        <w:spacing w:line="360" w:lineRule="auto"/>
        <w:jc w:val="center"/>
        <w:rPr>
          <w:rFonts w:hint="eastAsia" w:ascii="宋体" w:hAnsi="宋体"/>
          <w:b/>
          <w:color w:val="auto"/>
          <w:sz w:val="28"/>
          <w:szCs w:val="28"/>
          <w:highlight w:val="none"/>
        </w:rPr>
      </w:pPr>
    </w:p>
    <w:p w14:paraId="4F912CE2">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7B8EAC52">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 xml:space="preserve">                                    </w:t>
      </w:r>
    </w:p>
    <w:p w14:paraId="7A758486">
      <w:pPr>
        <w:spacing w:line="360" w:lineRule="auto"/>
        <w:ind w:firstLine="612"/>
        <w:rPr>
          <w:rFonts w:ascii="宋体" w:hAnsi="宋体"/>
          <w:color w:val="auto"/>
          <w:sz w:val="24"/>
          <w:szCs w:val="24"/>
          <w:highlight w:val="none"/>
        </w:rPr>
      </w:pPr>
    </w:p>
    <w:p w14:paraId="680F2BA1">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rPr>
        <w:t xml:space="preserve">                                    </w:t>
      </w:r>
    </w:p>
    <w:p w14:paraId="47BDCF73">
      <w:pPr>
        <w:spacing w:line="360" w:lineRule="auto"/>
        <w:ind w:firstLine="610"/>
        <w:rPr>
          <w:rFonts w:ascii="宋体" w:hAnsi="宋体"/>
          <w:color w:val="auto"/>
          <w:sz w:val="24"/>
          <w:szCs w:val="24"/>
          <w:highlight w:val="none"/>
        </w:rPr>
      </w:pPr>
    </w:p>
    <w:p w14:paraId="05050140">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xml:space="preserve">                                    </w:t>
      </w:r>
    </w:p>
    <w:p w14:paraId="3ADD8016">
      <w:pPr>
        <w:spacing w:line="360" w:lineRule="auto"/>
        <w:ind w:firstLine="610"/>
        <w:rPr>
          <w:rFonts w:ascii="宋体" w:hAnsi="宋体"/>
          <w:color w:val="auto"/>
          <w:sz w:val="24"/>
          <w:szCs w:val="24"/>
          <w:highlight w:val="none"/>
        </w:rPr>
      </w:pPr>
    </w:p>
    <w:p w14:paraId="6B1DA0B5">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1BC977CE">
      <w:pPr>
        <w:spacing w:line="360" w:lineRule="auto"/>
        <w:ind w:firstLine="610"/>
        <w:rPr>
          <w:rFonts w:ascii="宋体" w:hAnsi="宋体"/>
          <w:color w:val="auto"/>
          <w:sz w:val="24"/>
          <w:szCs w:val="24"/>
          <w:highlight w:val="none"/>
        </w:rPr>
      </w:pPr>
    </w:p>
    <w:p w14:paraId="1D7714BD">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rPr>
        <w:t xml:space="preserve">                                    </w:t>
      </w:r>
    </w:p>
    <w:p w14:paraId="73A46A1A">
      <w:pPr>
        <w:spacing w:line="360" w:lineRule="auto"/>
        <w:ind w:firstLine="610"/>
        <w:rPr>
          <w:rFonts w:ascii="宋体" w:hAnsi="宋体"/>
          <w:color w:val="auto"/>
          <w:sz w:val="24"/>
          <w:szCs w:val="24"/>
          <w:highlight w:val="none"/>
        </w:rPr>
      </w:pPr>
    </w:p>
    <w:p w14:paraId="62A91905">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性别：</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职务：</w:t>
      </w:r>
      <w:r>
        <w:rPr>
          <w:rFonts w:hint="eastAsia" w:ascii="宋体" w:hAnsi="宋体"/>
          <w:color w:val="auto"/>
          <w:sz w:val="24"/>
          <w:szCs w:val="24"/>
          <w:highlight w:val="none"/>
          <w:u w:val="single"/>
        </w:rPr>
        <w:t xml:space="preserve">        </w:t>
      </w:r>
    </w:p>
    <w:p w14:paraId="0C0CA9C0">
      <w:pPr>
        <w:spacing w:line="360" w:lineRule="auto"/>
        <w:ind w:firstLine="610"/>
        <w:rPr>
          <w:rFonts w:ascii="宋体" w:hAnsi="宋体"/>
          <w:color w:val="auto"/>
          <w:sz w:val="24"/>
          <w:szCs w:val="24"/>
          <w:highlight w:val="none"/>
        </w:rPr>
      </w:pPr>
    </w:p>
    <w:p w14:paraId="6AF57778">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系的法定代表人。</w:t>
      </w:r>
    </w:p>
    <w:p w14:paraId="032A7835">
      <w:pPr>
        <w:spacing w:line="360" w:lineRule="auto"/>
        <w:ind w:firstLine="610"/>
        <w:rPr>
          <w:rFonts w:ascii="宋体" w:hAnsi="宋体"/>
          <w:color w:val="auto"/>
          <w:sz w:val="24"/>
          <w:szCs w:val="24"/>
          <w:highlight w:val="none"/>
        </w:rPr>
      </w:pPr>
    </w:p>
    <w:p w14:paraId="3CAB1CF1">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78B392D5">
      <w:pPr>
        <w:tabs>
          <w:tab w:val="left" w:pos="720"/>
          <w:tab w:val="left" w:pos="900"/>
        </w:tabs>
        <w:spacing w:line="600" w:lineRule="auto"/>
        <w:ind w:firstLine="432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27E01C18">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p w14:paraId="29B72E27">
      <w:pPr>
        <w:rPr>
          <w:rFonts w:hint="eastAsia" w:ascii="宋体" w:hAnsi="宋体" w:cs="宋体"/>
          <w:bCs/>
          <w:color w:val="auto"/>
          <w:sz w:val="24"/>
          <w:szCs w:val="24"/>
          <w:highlight w:val="none"/>
        </w:rPr>
      </w:pPr>
    </w:p>
    <w:p w14:paraId="6A531276">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投标人法定代表人身份证扫描件：</w:t>
      </w:r>
    </w:p>
    <w:p w14:paraId="0ADC53DB">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mc:AlternateContent>
          <mc:Choice Requires="wps">
            <w:drawing>
              <wp:inline distT="0" distB="0" distL="0" distR="0">
                <wp:extent cx="2400935" cy="1373505"/>
                <wp:effectExtent l="0" t="0" r="0" b="0"/>
                <wp:docPr id="19" name="文本框 19"/>
                <wp:cNvGraphicFramePr/>
                <a:graphic xmlns:a="http://schemas.openxmlformats.org/drawingml/2006/main">
                  <a:graphicData uri="http://schemas.microsoft.com/office/word/2010/wordprocessingShape">
                    <wps:wsp>
                      <wps:cNvSpPr txBox="1"/>
                      <wps:spPr bwMode="auto">
                        <a:xfrm>
                          <a:off x="0" y="0"/>
                          <a:ext cx="2400935" cy="1373505"/>
                        </a:xfrm>
                        <a:prstGeom prst="rect">
                          <a:avLst/>
                        </a:prstGeom>
                        <a:solidFill>
                          <a:srgbClr val="FFFFFF"/>
                        </a:solidFill>
                        <a:ln>
                          <a:solidFill>
                            <a:srgbClr val="000000"/>
                          </a:solidFill>
                        </a:ln>
                      </wps:spPr>
                      <wps:txbx>
                        <w:txbxContent>
                          <w:p w14:paraId="309C8FC4">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7FA69B57">
                            <w:pPr>
                              <w:jc w:val="center"/>
                              <w:rPr>
                                <w:rFonts w:hint="eastAsia" w:ascii="黑体" w:eastAsia="黑体"/>
                                <w:color w:val="000000"/>
                                <w:sz w:val="32"/>
                                <w:szCs w:val="32"/>
                              </w:rPr>
                            </w:pPr>
                            <w:r>
                              <w:rPr>
                                <w:rFonts w:hint="eastAsia" w:ascii="黑体" w:eastAsia="黑体"/>
                                <w:color w:val="000000"/>
                                <w:sz w:val="32"/>
                                <w:szCs w:val="32"/>
                              </w:rPr>
                              <w:t>扫描件</w:t>
                            </w:r>
                          </w:p>
                          <w:p w14:paraId="66C9F522">
                            <w:pPr>
                              <w:jc w:val="center"/>
                              <w:rPr>
                                <w:rFonts w:ascii="黑体" w:eastAsia="黑体"/>
                                <w:color w:val="000000"/>
                                <w:sz w:val="32"/>
                                <w:szCs w:val="32"/>
                              </w:rPr>
                            </w:pPr>
                            <w:r>
                              <w:rPr>
                                <w:rFonts w:hint="eastAsia" w:ascii="黑体" w:eastAsia="黑体"/>
                                <w:color w:val="000000"/>
                                <w:sz w:val="32"/>
                                <w:szCs w:val="32"/>
                              </w:rPr>
                              <w:t>（正面）</w:t>
                            </w:r>
                          </w:p>
                          <w:p w14:paraId="34B605AE"/>
                        </w:txbxContent>
                      </wps:txbx>
                      <wps:bodyPr wrap="square" upright="1"/>
                    </wps:wsp>
                  </a:graphicData>
                </a:graphic>
              </wp:inline>
            </w:drawing>
          </mc:Choice>
          <mc:Fallback>
            <w:pict>
              <v:shape id="_x0000_s1026" o:spid="_x0000_s1026" o:spt="202" type="#_x0000_t202" style="height:108.15pt;width:189.05pt;" fillcolor="#FFFFFF" filled="t" stroked="t" coordsize="21600,21600" o:gfxdata="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FTPavnWAAAABQEAAA8AAAAAAAAA&#10;AQAgAAAAIgAAAGRycy9kb3ducmV2LnhtbFBLAQIUABQAAAAIAIdO4kD4lkkl2gEAAL8DAAAOAAAA&#10;AAAAAAEAIAAAACUBAABkcnMvZTJvRG9jLnhtbFBLBQYAAAAABgAGAFkBAABxBQAAAAA=&#10;">
                <v:fill on="t" focussize="0,0"/>
                <v:stroke color="#000000" joinstyle="round"/>
                <v:imagedata o:title=""/>
                <o:lock v:ext="edit" aspectratio="f"/>
                <v:textbox>
                  <w:txbxContent>
                    <w:p w14:paraId="309C8FC4">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7FA69B57">
                      <w:pPr>
                        <w:jc w:val="center"/>
                        <w:rPr>
                          <w:rFonts w:hint="eastAsia" w:ascii="黑体" w:eastAsia="黑体"/>
                          <w:color w:val="000000"/>
                          <w:sz w:val="32"/>
                          <w:szCs w:val="32"/>
                        </w:rPr>
                      </w:pPr>
                      <w:r>
                        <w:rPr>
                          <w:rFonts w:hint="eastAsia" w:ascii="黑体" w:eastAsia="黑体"/>
                          <w:color w:val="000000"/>
                          <w:sz w:val="32"/>
                          <w:szCs w:val="32"/>
                        </w:rPr>
                        <w:t>扫描件</w:t>
                      </w:r>
                    </w:p>
                    <w:p w14:paraId="66C9F522">
                      <w:pPr>
                        <w:jc w:val="center"/>
                        <w:rPr>
                          <w:rFonts w:ascii="黑体" w:eastAsia="黑体"/>
                          <w:color w:val="000000"/>
                          <w:sz w:val="32"/>
                          <w:szCs w:val="32"/>
                        </w:rPr>
                      </w:pPr>
                      <w:r>
                        <w:rPr>
                          <w:rFonts w:hint="eastAsia" w:ascii="黑体" w:eastAsia="黑体"/>
                          <w:color w:val="000000"/>
                          <w:sz w:val="32"/>
                          <w:szCs w:val="32"/>
                        </w:rPr>
                        <w:t>（正面）</w:t>
                      </w:r>
                    </w:p>
                    <w:p w14:paraId="34B605AE"/>
                  </w:txbxContent>
                </v:textbox>
                <w10:wrap type="none"/>
                <w10:anchorlock/>
              </v:shape>
            </w:pict>
          </mc:Fallback>
        </mc:AlternateConten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rPr>
        <mc:AlternateContent>
          <mc:Choice Requires="wps">
            <w:drawing>
              <wp:inline distT="0" distB="0" distL="0" distR="0">
                <wp:extent cx="2401570" cy="1375410"/>
                <wp:effectExtent l="0" t="0" r="0" b="0"/>
                <wp:docPr id="20" name="文本框 20"/>
                <wp:cNvGraphicFramePr/>
                <a:graphic xmlns:a="http://schemas.openxmlformats.org/drawingml/2006/main">
                  <a:graphicData uri="http://schemas.microsoft.com/office/word/2010/wordprocessingShape">
                    <wps:wsp>
                      <wps:cNvSpPr txBox="1"/>
                      <wps:spPr bwMode="auto">
                        <a:xfrm>
                          <a:off x="0" y="0"/>
                          <a:ext cx="2401570" cy="1375410"/>
                        </a:xfrm>
                        <a:prstGeom prst="rect">
                          <a:avLst/>
                        </a:prstGeom>
                        <a:solidFill>
                          <a:srgbClr val="FFFFFF"/>
                        </a:solidFill>
                        <a:ln>
                          <a:solidFill>
                            <a:srgbClr val="000000"/>
                          </a:solidFill>
                        </a:ln>
                      </wps:spPr>
                      <wps:txbx>
                        <w:txbxContent>
                          <w:p w14:paraId="3211D68A">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097BF2CB">
                            <w:pPr>
                              <w:jc w:val="center"/>
                              <w:rPr>
                                <w:rFonts w:hint="eastAsia" w:ascii="黑体" w:eastAsia="黑体"/>
                                <w:color w:val="000000"/>
                                <w:sz w:val="32"/>
                                <w:szCs w:val="32"/>
                              </w:rPr>
                            </w:pPr>
                            <w:r>
                              <w:rPr>
                                <w:rFonts w:hint="eastAsia" w:ascii="黑体" w:eastAsia="黑体"/>
                                <w:color w:val="000000"/>
                                <w:sz w:val="32"/>
                                <w:szCs w:val="32"/>
                              </w:rPr>
                              <w:t>扫描件</w:t>
                            </w:r>
                          </w:p>
                          <w:p w14:paraId="0C0FA5ED">
                            <w:pPr>
                              <w:jc w:val="center"/>
                              <w:rPr>
                                <w:rFonts w:ascii="黑体" w:eastAsia="黑体"/>
                                <w:color w:val="000000"/>
                                <w:sz w:val="32"/>
                                <w:szCs w:val="32"/>
                              </w:rPr>
                            </w:pPr>
                            <w:r>
                              <w:rPr>
                                <w:rFonts w:hint="eastAsia" w:ascii="黑体" w:eastAsia="黑体"/>
                                <w:color w:val="000000"/>
                                <w:sz w:val="32"/>
                                <w:szCs w:val="32"/>
                              </w:rPr>
                              <w:t>（反面）</w:t>
                            </w:r>
                          </w:p>
                          <w:p w14:paraId="3764AB9A"/>
                        </w:txbxContent>
                      </wps:txbx>
                      <wps:bodyPr wrap="square" upright="1"/>
                    </wps:wsp>
                  </a:graphicData>
                </a:graphic>
              </wp:inline>
            </w:drawing>
          </mc:Choice>
          <mc:Fallback>
            <w:pict>
              <v:shape id="_x0000_s1026" o:spid="_x0000_s1026" o:spt="202" type="#_x0000_t202" style="height:108.3pt;width:189.1pt;" fillcolor="#FFFFFF" filled="t" stroked="t" coordsize="21600,21600" o:gfxdata="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JRT7F1gAAAAUBAAAPAAAAAAAA&#10;AAEAIAAAACIAAABkcnMvZG93bnJldi54bWxQSwECFAAUAAAACACHTuJAJM9kvtsBAAC/AwAADgAA&#10;AAAAAAABACAAAAAlAQAAZHJzL2Uyb0RvYy54bWxQSwUGAAAAAAYABgBZAQAAcgUAAAAA&#10;">
                <v:fill on="t" focussize="0,0"/>
                <v:stroke color="#000000" joinstyle="round"/>
                <v:imagedata o:title=""/>
                <o:lock v:ext="edit" aspectratio="f"/>
                <v:textbox>
                  <w:txbxContent>
                    <w:p w14:paraId="3211D68A">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097BF2CB">
                      <w:pPr>
                        <w:jc w:val="center"/>
                        <w:rPr>
                          <w:rFonts w:hint="eastAsia" w:ascii="黑体" w:eastAsia="黑体"/>
                          <w:color w:val="000000"/>
                          <w:sz w:val="32"/>
                          <w:szCs w:val="32"/>
                        </w:rPr>
                      </w:pPr>
                      <w:r>
                        <w:rPr>
                          <w:rFonts w:hint="eastAsia" w:ascii="黑体" w:eastAsia="黑体"/>
                          <w:color w:val="000000"/>
                          <w:sz w:val="32"/>
                          <w:szCs w:val="32"/>
                        </w:rPr>
                        <w:t>扫描件</w:t>
                      </w:r>
                    </w:p>
                    <w:p w14:paraId="0C0FA5ED">
                      <w:pPr>
                        <w:jc w:val="center"/>
                        <w:rPr>
                          <w:rFonts w:ascii="黑体" w:eastAsia="黑体"/>
                          <w:color w:val="000000"/>
                          <w:sz w:val="32"/>
                          <w:szCs w:val="32"/>
                        </w:rPr>
                      </w:pPr>
                      <w:r>
                        <w:rPr>
                          <w:rFonts w:hint="eastAsia" w:ascii="黑体" w:eastAsia="黑体"/>
                          <w:color w:val="000000"/>
                          <w:sz w:val="32"/>
                          <w:szCs w:val="32"/>
                        </w:rPr>
                        <w:t>（反面）</w:t>
                      </w:r>
                    </w:p>
                    <w:p w14:paraId="3764AB9A"/>
                  </w:txbxContent>
                </v:textbox>
                <w10:wrap type="none"/>
                <w10:anchorlock/>
              </v:shape>
            </w:pict>
          </mc:Fallback>
        </mc:AlternateContent>
      </w:r>
    </w:p>
    <w:p w14:paraId="21B71270">
      <w:pPr>
        <w:rPr>
          <w:rFonts w:hint="eastAsia" w:eastAsia="黑体"/>
          <w:bCs/>
          <w:color w:val="auto"/>
          <w:sz w:val="24"/>
          <w:szCs w:val="24"/>
          <w:highlight w:val="none"/>
        </w:rPr>
      </w:pPr>
      <w:r>
        <w:rPr>
          <w:rFonts w:ascii="宋体" w:hAnsi="宋体" w:cs="宋体"/>
          <w:bCs/>
          <w:color w:val="auto"/>
          <w:sz w:val="24"/>
          <w:szCs w:val="24"/>
          <w:highlight w:val="none"/>
        </w:rPr>
        <w:br w:type="page" w:clear="all"/>
      </w:r>
      <w:r>
        <w:rPr>
          <w:rFonts w:hint="eastAsia" w:eastAsia="黑体"/>
          <w:bCs/>
          <w:color w:val="auto"/>
          <w:sz w:val="24"/>
          <w:szCs w:val="24"/>
          <w:highlight w:val="none"/>
        </w:rPr>
        <w:t>（四）承诺书</w:t>
      </w:r>
      <w:r>
        <w:rPr>
          <w:rFonts w:hint="eastAsia" w:eastAsia="黑体"/>
          <w:bCs/>
          <w:color w:val="auto"/>
          <w:sz w:val="24"/>
          <w:szCs w:val="24"/>
          <w:highlight w:val="none"/>
          <w:lang w:eastAsia="zh-CN"/>
        </w:rPr>
        <w:t>（</w:t>
      </w:r>
      <w:r>
        <w:rPr>
          <w:rFonts w:hint="eastAsia" w:eastAsia="黑体"/>
          <w:bCs/>
          <w:color w:val="auto"/>
          <w:sz w:val="24"/>
          <w:szCs w:val="24"/>
          <w:highlight w:val="none"/>
        </w:rPr>
        <w:t>格式</w:t>
      </w:r>
      <w:r>
        <w:rPr>
          <w:rFonts w:hint="eastAsia" w:eastAsia="黑体"/>
          <w:bCs/>
          <w:color w:val="auto"/>
          <w:sz w:val="24"/>
          <w:szCs w:val="24"/>
          <w:highlight w:val="none"/>
          <w:lang w:eastAsia="zh-CN"/>
        </w:rPr>
        <w:t>）</w:t>
      </w:r>
      <w:r>
        <w:rPr>
          <w:rFonts w:hint="eastAsia" w:eastAsia="黑体"/>
          <w:bCs/>
          <w:color w:val="auto"/>
          <w:sz w:val="24"/>
          <w:szCs w:val="24"/>
          <w:highlight w:val="none"/>
        </w:rPr>
        <w:t>：</w:t>
      </w:r>
    </w:p>
    <w:p w14:paraId="2C1B6E0E">
      <w:pPr>
        <w:jc w:val="center"/>
        <w:rPr>
          <w:rFonts w:hAnsi="宋体"/>
          <w:b/>
          <w:bCs/>
          <w:color w:val="auto"/>
          <w:sz w:val="36"/>
          <w:szCs w:val="36"/>
          <w:highlight w:val="none"/>
        </w:rPr>
      </w:pPr>
      <w:r>
        <w:rPr>
          <w:rFonts w:hAnsi="宋体"/>
          <w:b/>
          <w:bCs/>
          <w:color w:val="auto"/>
          <w:sz w:val="36"/>
          <w:szCs w:val="36"/>
          <w:highlight w:val="none"/>
        </w:rPr>
        <w:t>承诺书</w:t>
      </w:r>
    </w:p>
    <w:p w14:paraId="63D5375C">
      <w:pPr>
        <w:spacing w:line="480" w:lineRule="auto"/>
        <w:rPr>
          <w:rFonts w:asci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名称）在此承诺：</w:t>
      </w:r>
    </w:p>
    <w:p w14:paraId="6632FE4C">
      <w:pPr>
        <w:spacing w:line="480" w:lineRule="auto"/>
        <w:ind w:firstLine="480"/>
        <w:rPr>
          <w:rFonts w:ascii="宋体"/>
          <w:color w:val="auto"/>
          <w:sz w:val="24"/>
          <w:szCs w:val="24"/>
          <w:highlight w:val="none"/>
        </w:rPr>
      </w:pPr>
    </w:p>
    <w:p w14:paraId="6FEFD726">
      <w:pPr>
        <w:tabs>
          <w:tab w:val="left" w:pos="945"/>
        </w:tabs>
        <w:spacing w:line="360" w:lineRule="auto"/>
        <w:ind w:firstLine="465"/>
        <w:rPr>
          <w:rFonts w:ascii="宋体" w:hAnsi="宋体"/>
          <w:b/>
          <w:bCs/>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olor w:val="auto"/>
          <w:sz w:val="24"/>
          <w:szCs w:val="24"/>
          <w:highlight w:val="none"/>
        </w:rPr>
        <w:t>本公司（单位）</w:t>
      </w:r>
      <w:r>
        <w:rPr>
          <w:rFonts w:hint="eastAsia" w:ascii="宋体" w:hAnsi="宋体" w:cs="宋体"/>
          <w:color w:val="auto"/>
          <w:sz w:val="24"/>
          <w:szCs w:val="24"/>
          <w:highlight w:val="none"/>
        </w:rPr>
        <w:t>具有独立承担民事责任的能力；</w:t>
      </w:r>
    </w:p>
    <w:p w14:paraId="52B5A83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olor w:val="auto"/>
          <w:sz w:val="24"/>
          <w:szCs w:val="24"/>
          <w:highlight w:val="none"/>
        </w:rPr>
        <w:t>本公司（单位）</w:t>
      </w:r>
      <w:r>
        <w:rPr>
          <w:rFonts w:hint="eastAsia" w:ascii="宋体" w:hAnsi="宋体" w:cs="宋体"/>
          <w:color w:val="auto"/>
          <w:sz w:val="24"/>
          <w:szCs w:val="24"/>
          <w:highlight w:val="none"/>
        </w:rPr>
        <w:t>具有良好的商业信誉和健全的财务会计制度；</w:t>
      </w:r>
    </w:p>
    <w:p w14:paraId="6076C70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具备履行合同所必备的设备和专业技术能力；</w:t>
      </w:r>
    </w:p>
    <w:p w14:paraId="4680A31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olor w:val="auto"/>
          <w:sz w:val="24"/>
          <w:szCs w:val="24"/>
          <w:highlight w:val="none"/>
        </w:rPr>
        <w:t>本公司（单位）</w:t>
      </w:r>
      <w:r>
        <w:rPr>
          <w:rFonts w:hint="eastAsia" w:ascii="宋体" w:hAnsi="宋体" w:cs="宋体"/>
          <w:color w:val="auto"/>
          <w:sz w:val="24"/>
          <w:szCs w:val="24"/>
          <w:highlight w:val="none"/>
        </w:rPr>
        <w:t>具有依法缴纳税收和社会保障资金的良好记录；</w:t>
      </w:r>
    </w:p>
    <w:p w14:paraId="3E94D8D0">
      <w:pPr>
        <w:tabs>
          <w:tab w:val="left" w:pos="945"/>
        </w:tabs>
        <w:spacing w:line="360" w:lineRule="auto"/>
        <w:ind w:firstLine="465"/>
        <w:rPr>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color w:val="auto"/>
          <w:sz w:val="24"/>
          <w:szCs w:val="24"/>
          <w:highlight w:val="none"/>
        </w:rPr>
        <w:t>本公司（单位）参加本次政府采购活动前三年内，在经营活动中没有重大违法记录；</w:t>
      </w:r>
    </w:p>
    <w:p w14:paraId="61BACEC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6.</w:t>
      </w:r>
      <w:r>
        <w:rPr>
          <w:rFonts w:hint="eastAsia" w:ascii="宋体" w:hAnsi="宋体"/>
          <w:bCs/>
          <w:color w:val="auto"/>
          <w:sz w:val="24"/>
          <w:szCs w:val="24"/>
          <w:highlight w:val="none"/>
        </w:rPr>
        <w:t>本公司（单位）对本项目（ ）所提供的货物和服务均满足招标文件</w:t>
      </w:r>
    </w:p>
    <w:p w14:paraId="7ADC8B9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7.</w:t>
      </w:r>
      <w:r>
        <w:rPr>
          <w:rFonts w:hint="eastAsia" w:ascii="宋体" w:hAnsi="宋体"/>
          <w:color w:val="auto"/>
          <w:sz w:val="24"/>
          <w:szCs w:val="24"/>
          <w:highlight w:val="none"/>
        </w:rPr>
        <w:t>本公司（单位）</w:t>
      </w:r>
      <w:r>
        <w:rPr>
          <w:rFonts w:hint="eastAsia" w:ascii="宋体" w:hAnsi="宋体"/>
          <w:bCs/>
          <w:color w:val="auto"/>
          <w:sz w:val="24"/>
          <w:szCs w:val="24"/>
          <w:highlight w:val="none"/>
        </w:rPr>
        <w:t>能够接受采购方为保证政府投资审核独立性和不重复委托而提出的回避原则。承诺在中标后不再接受由建设单位或其他单位委托的与本项目建设投资或工程造价有关的工作（包括但不限于招标代理、清单编制、造价审核</w:t>
      </w:r>
      <w:r>
        <w:rPr>
          <w:rFonts w:hint="eastAsia" w:ascii="宋体" w:hAnsi="宋体"/>
          <w:color w:val="auto"/>
          <w:sz w:val="24"/>
          <w:szCs w:val="24"/>
          <w:highlight w:val="none"/>
        </w:rPr>
        <w:t>（</w:t>
      </w:r>
      <w:r>
        <w:rPr>
          <w:rFonts w:ascii="宋体" w:hAnsi="宋体"/>
          <w:color w:val="auto"/>
          <w:sz w:val="24"/>
          <w:szCs w:val="24"/>
          <w:highlight w:val="none"/>
        </w:rPr>
        <w:t>不</w:t>
      </w:r>
      <w:r>
        <w:rPr>
          <w:rFonts w:hint="eastAsia" w:ascii="宋体" w:hAnsi="宋体"/>
          <w:color w:val="auto"/>
          <w:sz w:val="24"/>
          <w:szCs w:val="24"/>
          <w:highlight w:val="none"/>
        </w:rPr>
        <w:t>含标底审核）等</w:t>
      </w:r>
      <w:r>
        <w:rPr>
          <w:rFonts w:hint="eastAsia" w:ascii="宋体" w:hAnsi="宋体"/>
          <w:bCs/>
          <w:color w:val="auto"/>
          <w:sz w:val="24"/>
          <w:szCs w:val="24"/>
          <w:highlight w:val="none"/>
        </w:rPr>
        <w:t>）。</w:t>
      </w:r>
    </w:p>
    <w:p w14:paraId="77F4E8C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w:t>
      </w:r>
      <w:r>
        <w:rPr>
          <w:rFonts w:ascii="宋体" w:hAnsi="宋体"/>
          <w:bCs/>
          <w:color w:val="auto"/>
          <w:sz w:val="24"/>
          <w:szCs w:val="24"/>
          <w:highlight w:val="none"/>
        </w:rPr>
        <w:t>…………………</w:t>
      </w:r>
    </w:p>
    <w:p w14:paraId="14D8F658">
      <w:pPr>
        <w:spacing w:line="36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54925C1E">
      <w:pPr>
        <w:spacing w:line="480" w:lineRule="auto"/>
        <w:rPr>
          <w:rFonts w:ascii="宋体"/>
          <w:color w:val="auto"/>
          <w:sz w:val="24"/>
          <w:highlight w:val="none"/>
        </w:rPr>
      </w:pPr>
    </w:p>
    <w:p w14:paraId="17633558">
      <w:pPr>
        <w:spacing w:line="480" w:lineRule="auto"/>
        <w:ind w:firstLine="5400"/>
        <w:rPr>
          <w:rFonts w:ascii="宋体"/>
          <w:bCs/>
          <w:color w:val="auto"/>
          <w:sz w:val="24"/>
          <w:szCs w:val="24"/>
          <w:highlight w:val="none"/>
        </w:rPr>
      </w:pPr>
    </w:p>
    <w:p w14:paraId="4B87795B">
      <w:pPr>
        <w:spacing w:line="480" w:lineRule="auto"/>
        <w:ind w:firstLine="3720"/>
        <w:rPr>
          <w:rFonts w:ascii="宋体"/>
          <w:bCs/>
          <w:color w:val="auto"/>
          <w:sz w:val="24"/>
          <w:szCs w:val="24"/>
          <w:highlight w:val="none"/>
        </w:rPr>
      </w:pPr>
      <w:r>
        <w:rPr>
          <w:rFonts w:hint="eastAsia" w:ascii="宋体" w:hAnsi="宋体"/>
          <w:bCs/>
          <w:color w:val="auto"/>
          <w:sz w:val="24"/>
          <w:szCs w:val="24"/>
          <w:highlight w:val="none"/>
        </w:rPr>
        <w:t>投标人（盖章）：</w:t>
      </w:r>
    </w:p>
    <w:p w14:paraId="0D2036C3">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66FB6F81">
      <w:pPr>
        <w:spacing w:line="48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注：以上内容由投标单位根据采购要求自行完善。</w:t>
      </w:r>
    </w:p>
    <w:p w14:paraId="36980949">
      <w:pPr>
        <w:pStyle w:val="235"/>
        <w:tabs>
          <w:tab w:val="left" w:pos="540"/>
        </w:tabs>
        <w:rPr>
          <w:rFonts w:eastAsia="黑体"/>
          <w:bCs/>
          <w:color w:val="auto"/>
          <w:sz w:val="24"/>
          <w:szCs w:val="24"/>
          <w:highlight w:val="none"/>
        </w:rPr>
      </w:pPr>
      <w:r>
        <w:rPr>
          <w:rFonts w:eastAsia="黑体"/>
          <w:bCs/>
          <w:color w:val="auto"/>
          <w:sz w:val="24"/>
          <w:szCs w:val="24"/>
          <w:highlight w:val="none"/>
        </w:rPr>
        <w:br w:type="page" w:clear="all"/>
      </w:r>
    </w:p>
    <w:p w14:paraId="3942B4B0">
      <w:pPr>
        <w:pStyle w:val="235"/>
        <w:tabs>
          <w:tab w:val="left" w:pos="540"/>
        </w:tabs>
        <w:rPr>
          <w:rFonts w:hint="eastAsia" w:ascii="Arial" w:hAnsi="Arial" w:eastAsia="黑体"/>
          <w:bCs/>
          <w:color w:val="auto"/>
          <w:sz w:val="24"/>
          <w:szCs w:val="32"/>
          <w:highlight w:val="none"/>
        </w:rPr>
        <w:sectPr>
          <w:footerReference r:id="rId17" w:type="first"/>
          <w:headerReference r:id="rId15" w:type="default"/>
          <w:footerReference r:id="rId16" w:type="default"/>
          <w:pgSz w:w="11906" w:h="16838"/>
          <w:pgMar w:top="1417" w:right="1417" w:bottom="1417" w:left="1418" w:header="624" w:footer="907" w:gutter="0"/>
          <w:cols w:space="720" w:num="1"/>
          <w:titlePg/>
          <w:docGrid w:linePitch="360" w:charSpace="0"/>
        </w:sectPr>
      </w:pPr>
    </w:p>
    <w:p w14:paraId="698E90A7">
      <w:pPr>
        <w:pStyle w:val="235"/>
        <w:tabs>
          <w:tab w:val="left" w:pos="540"/>
        </w:tabs>
        <w:rPr>
          <w:rFonts w:ascii="Arial" w:hAnsi="Arial" w:eastAsia="黑体"/>
          <w:bCs/>
          <w:color w:val="auto"/>
          <w:sz w:val="24"/>
          <w:szCs w:val="32"/>
          <w:highlight w:val="none"/>
        </w:rPr>
      </w:pPr>
      <w:r>
        <w:rPr>
          <w:rFonts w:hint="eastAsia" w:ascii="Arial" w:hAnsi="Arial" w:eastAsia="黑体"/>
          <w:bCs/>
          <w:color w:val="auto"/>
          <w:sz w:val="24"/>
          <w:szCs w:val="32"/>
          <w:highlight w:val="none"/>
        </w:rPr>
        <w:t>（五）中小企业声明函</w:t>
      </w:r>
      <w:r>
        <w:rPr>
          <w:rFonts w:hint="eastAsia" w:ascii="黑体" w:eastAsia="黑体"/>
          <w:bCs/>
          <w:color w:val="auto"/>
          <w:sz w:val="24"/>
          <w:highlight w:val="none"/>
        </w:rPr>
        <w:t>（格式）</w:t>
      </w:r>
    </w:p>
    <w:p w14:paraId="202A3633">
      <w:pPr>
        <w:rPr>
          <w:color w:val="auto"/>
          <w:highlight w:val="none"/>
        </w:rPr>
      </w:pPr>
    </w:p>
    <w:p w14:paraId="01CC540E">
      <w:pPr>
        <w:jc w:val="center"/>
        <w:rPr>
          <w:rFonts w:ascii="黑体" w:hAnsi="黑体" w:eastAsia="黑体"/>
          <w:bCs/>
          <w:color w:val="auto"/>
          <w:sz w:val="28"/>
          <w:szCs w:val="28"/>
          <w:highlight w:val="none"/>
        </w:rPr>
      </w:pPr>
      <w:r>
        <w:rPr>
          <w:rFonts w:hint="eastAsia" w:ascii="黑体" w:hAnsi="黑体" w:eastAsia="黑体"/>
          <w:bCs/>
          <w:color w:val="auto"/>
          <w:sz w:val="28"/>
          <w:szCs w:val="28"/>
          <w:highlight w:val="none"/>
        </w:rPr>
        <w:t>中小企业声明函（服务）</w:t>
      </w:r>
    </w:p>
    <w:p w14:paraId="0CBB8FCA">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本公司（联合体）郑重声明，根据《政府采购促进中小企业发展管理办法》（财库﹝2020﹞46号）的规定，本公司</w:t>
      </w:r>
      <w:r>
        <w:rPr>
          <w:rFonts w:hint="eastAsia" w:ascii="宋体" w:hAnsi="宋体"/>
          <w:bCs/>
          <w:color w:val="auto"/>
          <w:sz w:val="24"/>
          <w:szCs w:val="24"/>
          <w:highlight w:val="none"/>
          <w:u w:val="single"/>
        </w:rPr>
        <w:t>（联合体）</w:t>
      </w:r>
      <w:r>
        <w:rPr>
          <w:rFonts w:hint="eastAsia" w:ascii="宋体" w:hAnsi="宋体"/>
          <w:bCs/>
          <w:color w:val="auto"/>
          <w:sz w:val="24"/>
          <w:szCs w:val="24"/>
          <w:highlight w:val="none"/>
        </w:rPr>
        <w:t>参加</w:t>
      </w:r>
      <w:r>
        <w:rPr>
          <w:rFonts w:hint="eastAsia" w:ascii="宋体" w:hAnsi="宋体"/>
          <w:bCs/>
          <w:color w:val="auto"/>
          <w:sz w:val="24"/>
          <w:szCs w:val="24"/>
          <w:highlight w:val="none"/>
          <w:u w:val="single"/>
        </w:rPr>
        <w:t>（单位名称）</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（项目名称）</w:t>
      </w:r>
      <w:r>
        <w:rPr>
          <w:rFonts w:hint="eastAsia"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5A3DB272">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u w:val="single"/>
        </w:rPr>
        <w:t xml:space="preserve"> （标的名称） </w:t>
      </w:r>
      <w:r>
        <w:rPr>
          <w:rFonts w:hint="eastAsia" w:ascii="宋体" w:hAnsi="宋体"/>
          <w:bCs/>
          <w:color w:val="auto"/>
          <w:sz w:val="24"/>
          <w:szCs w:val="24"/>
          <w:highlight w:val="none"/>
        </w:rPr>
        <w:t>，属于</w:t>
      </w:r>
      <w:r>
        <w:rPr>
          <w:rFonts w:hint="eastAsia" w:ascii="宋体" w:hAnsi="宋体"/>
          <w:bCs/>
          <w:color w:val="auto"/>
          <w:sz w:val="24"/>
          <w:szCs w:val="24"/>
          <w:highlight w:val="none"/>
          <w:u w:val="single"/>
        </w:rPr>
        <w:t>（采购文件中明确的所属行业）</w:t>
      </w:r>
      <w:r>
        <w:rPr>
          <w:rFonts w:hint="eastAsia" w:ascii="宋体" w:hAnsi="宋体"/>
          <w:bCs/>
          <w:color w:val="auto"/>
          <w:sz w:val="24"/>
          <w:szCs w:val="24"/>
          <w:highlight w:val="none"/>
        </w:rPr>
        <w:t>； 承建（承接）企业为</w:t>
      </w:r>
      <w:r>
        <w:rPr>
          <w:rFonts w:hint="eastAsia" w:ascii="宋体" w:hAnsi="宋体"/>
          <w:bCs/>
          <w:color w:val="auto"/>
          <w:sz w:val="24"/>
          <w:szCs w:val="24"/>
          <w:highlight w:val="none"/>
          <w:u w:val="single"/>
        </w:rPr>
        <w:t>（企业名称）</w:t>
      </w:r>
      <w:r>
        <w:rPr>
          <w:rFonts w:hint="eastAsia"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万元，属于</w:t>
      </w:r>
      <w:r>
        <w:rPr>
          <w:rFonts w:hint="eastAsia" w:ascii="宋体" w:hAnsi="宋体"/>
          <w:bCs/>
          <w:color w:val="auto"/>
          <w:sz w:val="24"/>
          <w:szCs w:val="24"/>
          <w:highlight w:val="none"/>
          <w:u w:val="single"/>
        </w:rPr>
        <w:t>（中型企业、 小型企业、微型企业）</w:t>
      </w:r>
      <w:r>
        <w:rPr>
          <w:rFonts w:hint="eastAsia" w:ascii="宋体" w:hAnsi="宋体"/>
          <w:bCs/>
          <w:color w:val="auto"/>
          <w:sz w:val="24"/>
          <w:szCs w:val="24"/>
          <w:highlight w:val="none"/>
        </w:rPr>
        <w:t>；</w:t>
      </w:r>
    </w:p>
    <w:p w14:paraId="69EB8376">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u w:val="single"/>
        </w:rPr>
        <w:t xml:space="preserve"> （标的名称） </w:t>
      </w:r>
      <w:r>
        <w:rPr>
          <w:rFonts w:hint="eastAsia" w:ascii="宋体" w:hAnsi="宋体"/>
          <w:bCs/>
          <w:color w:val="auto"/>
          <w:sz w:val="24"/>
          <w:szCs w:val="24"/>
          <w:highlight w:val="none"/>
        </w:rPr>
        <w:t>，属于</w:t>
      </w:r>
      <w:r>
        <w:rPr>
          <w:rFonts w:hint="eastAsia" w:ascii="宋体" w:hAnsi="宋体"/>
          <w:bCs/>
          <w:color w:val="auto"/>
          <w:sz w:val="24"/>
          <w:szCs w:val="24"/>
          <w:highlight w:val="none"/>
          <w:u w:val="single"/>
        </w:rPr>
        <w:t>（采购文件中明确的所属行业）</w:t>
      </w:r>
      <w:r>
        <w:rPr>
          <w:rFonts w:hint="eastAsia" w:ascii="宋体" w:hAnsi="宋体"/>
          <w:bCs/>
          <w:color w:val="auto"/>
          <w:sz w:val="24"/>
          <w:szCs w:val="24"/>
          <w:highlight w:val="none"/>
        </w:rPr>
        <w:t>；承建（承接）企业为</w:t>
      </w:r>
      <w:r>
        <w:rPr>
          <w:rFonts w:hint="eastAsia" w:ascii="宋体" w:hAnsi="宋体"/>
          <w:bCs/>
          <w:color w:val="auto"/>
          <w:sz w:val="24"/>
          <w:szCs w:val="24"/>
          <w:highlight w:val="none"/>
          <w:u w:val="single"/>
        </w:rPr>
        <w:t>（企业名称）</w:t>
      </w:r>
      <w:r>
        <w:rPr>
          <w:rFonts w:hint="eastAsia"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万元，属于</w:t>
      </w:r>
      <w:r>
        <w:rPr>
          <w:rFonts w:hint="eastAsia" w:ascii="宋体" w:hAnsi="宋体"/>
          <w:bCs/>
          <w:color w:val="auto"/>
          <w:sz w:val="24"/>
          <w:szCs w:val="24"/>
          <w:highlight w:val="none"/>
          <w:u w:val="single"/>
        </w:rPr>
        <w:t>（中型企业、 小型企业、微型企业）</w:t>
      </w:r>
      <w:r>
        <w:rPr>
          <w:rFonts w:hint="eastAsia" w:ascii="宋体" w:hAnsi="宋体"/>
          <w:bCs/>
          <w:color w:val="auto"/>
          <w:sz w:val="24"/>
          <w:szCs w:val="24"/>
          <w:highlight w:val="none"/>
        </w:rPr>
        <w:t>；</w:t>
      </w:r>
    </w:p>
    <w:p w14:paraId="554CBA58">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p>
    <w:p w14:paraId="746C25A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1DE33640">
      <w:pPr>
        <w:widowControl/>
        <w:spacing w:line="360" w:lineRule="auto"/>
        <w:ind w:firstLine="480"/>
        <w:jc w:val="left"/>
        <w:rPr>
          <w:rFonts w:hint="eastAsia" w:ascii="宋体" w:hAnsi="宋体" w:cs="Courier New"/>
          <w:color w:val="auto"/>
          <w:sz w:val="24"/>
          <w:highlight w:val="none"/>
        </w:rPr>
      </w:pPr>
      <w:r>
        <w:rPr>
          <w:rFonts w:hint="eastAsia" w:ascii="宋体" w:hAnsi="宋体" w:cs="Courier New"/>
          <w:color w:val="auto"/>
          <w:sz w:val="24"/>
          <w:highlight w:val="none"/>
          <w:lang w:bidi="ar"/>
        </w:rPr>
        <w:t xml:space="preserve"> </w:t>
      </w:r>
    </w:p>
    <w:p w14:paraId="2E48205C">
      <w:pPr>
        <w:widowControl/>
        <w:spacing w:line="360" w:lineRule="auto"/>
        <w:ind w:firstLine="5760"/>
        <w:jc w:val="left"/>
        <w:rPr>
          <w:rFonts w:hint="eastAsia" w:ascii="宋体" w:hAnsi="宋体" w:cs="Courier New"/>
          <w:color w:val="auto"/>
          <w:sz w:val="24"/>
          <w:highlight w:val="none"/>
          <w:lang w:bidi="ar"/>
        </w:rPr>
      </w:pPr>
    </w:p>
    <w:p w14:paraId="037F36FB">
      <w:pPr>
        <w:widowControl/>
        <w:spacing w:line="360" w:lineRule="auto"/>
        <w:ind w:firstLine="5760"/>
        <w:jc w:val="left"/>
        <w:rPr>
          <w:rFonts w:hint="eastAsia" w:ascii="宋体" w:hAnsi="宋体" w:cs="Courier New"/>
          <w:color w:val="auto"/>
          <w:sz w:val="24"/>
          <w:highlight w:val="none"/>
        </w:rPr>
      </w:pPr>
      <w:r>
        <w:rPr>
          <w:rFonts w:hint="eastAsia" w:ascii="宋体" w:hAnsi="宋体" w:cs="Courier New"/>
          <w:color w:val="auto"/>
          <w:sz w:val="24"/>
          <w:highlight w:val="none"/>
          <w:lang w:bidi="ar"/>
        </w:rPr>
        <w:t xml:space="preserve">企业名称（盖章）： </w:t>
      </w:r>
    </w:p>
    <w:p w14:paraId="076DC6FF">
      <w:pPr>
        <w:widowControl/>
        <w:spacing w:line="360" w:lineRule="auto"/>
        <w:ind w:firstLine="5760"/>
        <w:jc w:val="left"/>
        <w:rPr>
          <w:rFonts w:hint="eastAsia" w:ascii="宋体" w:hAnsi="宋体" w:cs="Courier New"/>
          <w:color w:val="auto"/>
          <w:sz w:val="24"/>
          <w:highlight w:val="none"/>
          <w:lang w:bidi="ar"/>
        </w:rPr>
      </w:pPr>
      <w:r>
        <w:rPr>
          <w:rFonts w:hint="eastAsia" w:ascii="宋体" w:hAnsi="宋体" w:cs="Courier New"/>
          <w:color w:val="auto"/>
          <w:sz w:val="24"/>
          <w:highlight w:val="none"/>
          <w:lang w:bidi="ar"/>
        </w:rPr>
        <w:t>日 期：</w:t>
      </w:r>
    </w:p>
    <w:p w14:paraId="47AFB5F8">
      <w:pPr>
        <w:rPr>
          <w:rFonts w:ascii="宋体" w:hAnsi="宋体" w:cs="Courier New"/>
          <w:color w:val="auto"/>
          <w:sz w:val="24"/>
          <w:highlight w:val="none"/>
        </w:rPr>
      </w:pPr>
      <w:r>
        <w:rPr>
          <w:rFonts w:ascii="宋体" w:hAnsi="宋体" w:cs="Courier New"/>
          <w:color w:val="auto"/>
          <w:sz w:val="24"/>
          <w:highlight w:val="none"/>
        </w:rPr>
        <w:t xml:space="preserve">说明： </w:t>
      </w:r>
    </w:p>
    <w:p w14:paraId="27895BF8">
      <w:pPr>
        <w:ind w:right="-216"/>
        <w:jc w:val="left"/>
        <w:rPr>
          <w:rFonts w:ascii="宋体" w:hAnsi="宋体" w:cs="Courier New"/>
          <w:color w:val="auto"/>
          <w:sz w:val="24"/>
          <w:highlight w:val="none"/>
        </w:rPr>
      </w:pPr>
      <w:r>
        <w:rPr>
          <w:rFonts w:hint="eastAsia" w:ascii="宋体" w:hAnsi="宋体" w:cs="Courier New"/>
          <w:color w:val="auto"/>
          <w:sz w:val="24"/>
          <w:highlight w:val="none"/>
        </w:rPr>
        <w:t>1.</w:t>
      </w:r>
      <w:r>
        <w:rPr>
          <w:rFonts w:ascii="宋体" w:hAnsi="宋体" w:cs="Courier New"/>
          <w:color w:val="auto"/>
          <w:sz w:val="24"/>
          <w:highlight w:val="none"/>
        </w:rPr>
        <w:t xml:space="preserve">从业人员、营业收入、资产总额填报上一年度数据，无上一年度数据的新成立企业可不填报。 </w:t>
      </w:r>
    </w:p>
    <w:p w14:paraId="361B40D5">
      <w:pPr>
        <w:ind w:right="-216"/>
        <w:jc w:val="left"/>
        <w:rPr>
          <w:rFonts w:ascii="宋体" w:hAnsi="宋体" w:cs="Courier New"/>
          <w:color w:val="auto"/>
          <w:sz w:val="24"/>
          <w:highlight w:val="none"/>
        </w:rPr>
      </w:pPr>
      <w:r>
        <w:rPr>
          <w:rFonts w:hint="eastAsia" w:ascii="宋体" w:hAnsi="宋体" w:cs="Courier New"/>
          <w:color w:val="auto"/>
          <w:sz w:val="24"/>
          <w:highlight w:val="none"/>
        </w:rPr>
        <w:t>2.</w:t>
      </w:r>
      <w:r>
        <w:rPr>
          <w:rFonts w:ascii="宋体" w:hAnsi="宋体" w:cs="Courier New"/>
          <w:color w:val="auto"/>
          <w:sz w:val="24"/>
          <w:highlight w:val="none"/>
        </w:rPr>
        <w:t>供应商根据《工业和信息化部、国家统计局、国家发展和改革委员会、财政部关于印发中小企业划型标准规定的通知》（工信部联企业</w:t>
      </w:r>
      <w:r>
        <w:rPr>
          <w:rFonts w:hint="eastAsia" w:ascii="宋体" w:hAnsi="宋体" w:cs="Courier New"/>
          <w:color w:val="auto"/>
          <w:sz w:val="24"/>
          <w:highlight w:val="none"/>
          <w:lang w:eastAsia="zh-CN"/>
        </w:rPr>
        <w:t>〔2011〕</w:t>
      </w:r>
      <w:r>
        <w:rPr>
          <w:rFonts w:ascii="宋体" w:hAnsi="宋体" w:cs="Courier New"/>
          <w:color w:val="auto"/>
          <w:sz w:val="24"/>
          <w:highlight w:val="none"/>
        </w:rPr>
        <w:t>300 号）规定的划分标准填写中小企业声明函。</w:t>
      </w:r>
    </w:p>
    <w:p w14:paraId="7D8FAA83">
      <w:pPr>
        <w:ind w:right="-216"/>
        <w:jc w:val="left"/>
        <w:rPr>
          <w:rFonts w:hint="eastAsia" w:ascii="宋体" w:hAnsi="宋体"/>
          <w:bCs/>
          <w:color w:val="auto"/>
          <w:sz w:val="28"/>
          <w:szCs w:val="28"/>
          <w:highlight w:val="none"/>
        </w:rPr>
      </w:pPr>
      <w:r>
        <w:rPr>
          <w:rFonts w:hint="eastAsia" w:ascii="宋体" w:hAnsi="宋体" w:cs="Courier New"/>
          <w:color w:val="auto"/>
          <w:sz w:val="24"/>
          <w:highlight w:val="none"/>
        </w:rPr>
        <w:t>3</w:t>
      </w:r>
      <w:r>
        <w:rPr>
          <w:rFonts w:ascii="宋体" w:hAnsi="宋体" w:cs="Courier New"/>
          <w:color w:val="auto"/>
          <w:sz w:val="24"/>
          <w:highlight w:val="none"/>
        </w:rPr>
        <w:t>.供应商提供的声明函与事实不符的，依照《</w:t>
      </w:r>
      <w:r>
        <w:rPr>
          <w:rFonts w:hint="eastAsia" w:ascii="宋体" w:hAnsi="宋体" w:cs="Courier New"/>
          <w:color w:val="auto"/>
          <w:sz w:val="24"/>
          <w:highlight w:val="none"/>
          <w:lang w:eastAsia="zh-CN"/>
        </w:rPr>
        <w:t>中华人民共和国政府采购法</w:t>
      </w:r>
      <w:r>
        <w:rPr>
          <w:rFonts w:ascii="宋体" w:hAnsi="宋体" w:cs="Courier New"/>
          <w:color w:val="auto"/>
          <w:sz w:val="24"/>
          <w:highlight w:val="none"/>
        </w:rPr>
        <w:t>》第七十七条第一款的规定追究法律责任。</w:t>
      </w:r>
    </w:p>
    <w:p w14:paraId="2103621D">
      <w:pPr>
        <w:spacing w:line="360" w:lineRule="auto"/>
        <w:rPr>
          <w:color w:val="auto"/>
          <w:highlight w:val="none"/>
        </w:rPr>
      </w:pPr>
      <w:r>
        <w:rPr>
          <w:rFonts w:hint="eastAsia" w:ascii="黑体" w:eastAsia="黑体"/>
          <w:bCs/>
          <w:color w:val="auto"/>
          <w:sz w:val="24"/>
          <w:szCs w:val="24"/>
          <w:highlight w:val="none"/>
        </w:rPr>
        <w:t>（六）残疾人福利性单位声明函（格式）：</w:t>
      </w:r>
    </w:p>
    <w:p w14:paraId="04BC6B0E">
      <w:pPr>
        <w:spacing w:line="588" w:lineRule="exact"/>
        <w:rPr>
          <w:rFonts w:ascii="仿宋_GB2312" w:eastAsia="仿宋_GB2312"/>
          <w:b/>
          <w:color w:val="auto"/>
          <w:spacing w:val="6"/>
          <w:sz w:val="30"/>
          <w:szCs w:val="30"/>
          <w:highlight w:val="none"/>
        </w:rPr>
      </w:pPr>
    </w:p>
    <w:p w14:paraId="5DB863CF">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5CFCF4FC">
      <w:pPr>
        <w:jc w:val="center"/>
        <w:rPr>
          <w:rFonts w:ascii="黑体" w:eastAsia="黑体"/>
          <w:bCs/>
          <w:color w:val="auto"/>
          <w:sz w:val="28"/>
          <w:szCs w:val="28"/>
          <w:highlight w:val="none"/>
        </w:rPr>
      </w:pPr>
    </w:p>
    <w:p w14:paraId="6CF1E995">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本单位郑重声明，根据《财政部民政部中国残疾人联合会关于促进残疾人就业政府采购政策的通知》（财库</w:t>
      </w:r>
      <w:r>
        <w:rPr>
          <w:rFonts w:hint="eastAsia" w:ascii="宋体" w:hAnsi="宋体"/>
          <w:bCs/>
          <w:color w:val="auto"/>
          <w:sz w:val="24"/>
          <w:szCs w:val="24"/>
          <w:highlight w:val="none"/>
          <w:lang w:eastAsia="zh-CN"/>
        </w:rPr>
        <w:t>〔2017〕141号</w:t>
      </w:r>
      <w:r>
        <w:rPr>
          <w:rFonts w:hint="eastAsia" w:ascii="宋体" w:hAnsi="宋体"/>
          <w:bCs/>
          <w:color w:val="auto"/>
          <w:sz w:val="24"/>
          <w:szCs w:val="24"/>
          <w:highlight w:val="none"/>
        </w:rPr>
        <w:t>）的规定，本单位为符合条件的残疾人福利性单位，且本单位参加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单位的</w:t>
      </w:r>
      <w:r>
        <w:rPr>
          <w:rFonts w:hint="eastAsia" w:ascii="宋体" w:hAnsi="宋体"/>
          <w:b/>
          <w:bCs/>
          <w:color w:val="auto"/>
          <w:sz w:val="24"/>
          <w:szCs w:val="24"/>
          <w:highlight w:val="none"/>
          <w:u w:val="single"/>
        </w:rPr>
        <w:t xml:space="preserve">                  </w:t>
      </w:r>
      <w:r>
        <w:rPr>
          <w:rFonts w:hint="eastAsia" w:ascii="宋体" w:hAnsi="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1F2C5CF1">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27F36842">
      <w:pPr>
        <w:spacing w:line="580" w:lineRule="exact"/>
        <w:ind w:firstLine="480"/>
        <w:rPr>
          <w:rFonts w:ascii="宋体" w:hAnsi="宋体"/>
          <w:bCs/>
          <w:color w:val="auto"/>
          <w:sz w:val="24"/>
          <w:szCs w:val="24"/>
          <w:highlight w:val="none"/>
        </w:rPr>
      </w:pPr>
    </w:p>
    <w:p w14:paraId="639557E1">
      <w:pPr>
        <w:spacing w:line="580" w:lineRule="exact"/>
        <w:ind w:firstLine="480"/>
        <w:rPr>
          <w:rFonts w:ascii="宋体" w:hAnsi="宋体"/>
          <w:bCs/>
          <w:color w:val="auto"/>
          <w:sz w:val="24"/>
          <w:szCs w:val="24"/>
          <w:highlight w:val="none"/>
        </w:rPr>
      </w:pPr>
    </w:p>
    <w:p w14:paraId="092CA550">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7BDCB6F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28D94E53">
      <w:pPr>
        <w:outlineLvl w:val="0"/>
        <w:rPr>
          <w:rFonts w:eastAsia="黑体"/>
          <w:bCs/>
          <w:color w:val="auto"/>
          <w:sz w:val="28"/>
          <w:szCs w:val="28"/>
          <w:highlight w:val="none"/>
        </w:rPr>
      </w:pPr>
      <w:r>
        <w:rPr>
          <w:rFonts w:eastAsia="黑体"/>
          <w:bCs/>
          <w:color w:val="auto"/>
          <w:sz w:val="24"/>
          <w:szCs w:val="24"/>
          <w:highlight w:val="none"/>
        </w:rPr>
        <w:br w:type="page" w:clear="all"/>
      </w:r>
      <w:bookmarkStart w:id="46" w:name="_Toc19263"/>
      <w:r>
        <w:rPr>
          <w:rFonts w:hint="eastAsia" w:eastAsia="黑体"/>
          <w:bCs/>
          <w:color w:val="auto"/>
          <w:sz w:val="24"/>
          <w:szCs w:val="24"/>
          <w:highlight w:val="none"/>
        </w:rPr>
        <w:t>（七）</w:t>
      </w:r>
      <w:r>
        <w:rPr>
          <w:rFonts w:eastAsia="黑体"/>
          <w:bCs/>
          <w:color w:val="auto"/>
          <w:sz w:val="24"/>
          <w:szCs w:val="24"/>
          <w:highlight w:val="none"/>
        </w:rPr>
        <w:t>开标一览表</w:t>
      </w:r>
      <w:r>
        <w:rPr>
          <w:rFonts w:hint="eastAsia" w:eastAsia="黑体"/>
          <w:bCs/>
          <w:color w:val="auto"/>
          <w:sz w:val="24"/>
          <w:szCs w:val="24"/>
          <w:highlight w:val="none"/>
          <w:lang w:eastAsia="zh-CN"/>
        </w:rPr>
        <w:t>（</w:t>
      </w:r>
      <w:r>
        <w:rPr>
          <w:rFonts w:eastAsia="黑体"/>
          <w:bCs/>
          <w:color w:val="auto"/>
          <w:sz w:val="24"/>
          <w:szCs w:val="24"/>
          <w:highlight w:val="none"/>
        </w:rPr>
        <w:t>格式</w:t>
      </w:r>
      <w:r>
        <w:rPr>
          <w:rFonts w:hint="eastAsia" w:eastAsia="黑体"/>
          <w:bCs/>
          <w:color w:val="auto"/>
          <w:sz w:val="24"/>
          <w:szCs w:val="24"/>
          <w:highlight w:val="none"/>
          <w:lang w:eastAsia="zh-CN"/>
        </w:rPr>
        <w:t>）</w:t>
      </w:r>
      <w:r>
        <w:rPr>
          <w:rFonts w:eastAsia="黑体"/>
          <w:bCs/>
          <w:color w:val="auto"/>
          <w:sz w:val="24"/>
          <w:szCs w:val="24"/>
          <w:highlight w:val="none"/>
        </w:rPr>
        <w:t>：</w:t>
      </w:r>
      <w:bookmarkEnd w:id="46"/>
    </w:p>
    <w:p w14:paraId="3C6D32F3">
      <w:pPr>
        <w:jc w:val="center"/>
        <w:outlineLvl w:val="0"/>
        <w:rPr>
          <w:rFonts w:eastAsia="黑体"/>
          <w:bCs/>
          <w:color w:val="auto"/>
          <w:sz w:val="28"/>
          <w:szCs w:val="24"/>
          <w:highlight w:val="none"/>
        </w:rPr>
      </w:pPr>
      <w:bookmarkStart w:id="47" w:name="_Toc9046"/>
      <w:r>
        <w:rPr>
          <w:rFonts w:eastAsia="黑体"/>
          <w:bCs/>
          <w:color w:val="auto"/>
          <w:sz w:val="28"/>
          <w:szCs w:val="24"/>
          <w:highlight w:val="none"/>
        </w:rPr>
        <w:t>开标一览表</w:t>
      </w:r>
      <w:bookmarkEnd w:id="47"/>
    </w:p>
    <w:p w14:paraId="2DAD5668">
      <w:pPr>
        <w:pStyle w:val="43"/>
        <w:keepNext w:val="0"/>
        <w:keepLines w:val="0"/>
        <w:pageBreakBefore w:val="0"/>
        <w:kinsoku w:val="0"/>
        <w:wordWrap/>
        <w:overflowPunct/>
        <w:topLinePunct w:val="0"/>
        <w:autoSpaceDE w:val="0"/>
        <w:autoSpaceDN w:val="0"/>
        <w:bidi w:val="0"/>
        <w:adjustRightInd w:val="0"/>
        <w:snapToGrid w:val="0"/>
        <w:spacing w:line="360" w:lineRule="auto"/>
        <w:ind w:left="0" w:firstLine="0"/>
        <w:textAlignment w:val="baseline"/>
        <w:rPr>
          <w:rFonts w:hint="eastAsia" w:eastAsia="黑体"/>
          <w:bCs/>
          <w:color w:val="auto"/>
          <w:sz w:val="28"/>
          <w:szCs w:val="24"/>
          <w:highlight w:val="none"/>
          <w:lang w:val="en-US" w:eastAsia="zh-CN"/>
        </w:rPr>
      </w:pPr>
    </w:p>
    <w:p w14:paraId="6733216D">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采购项目编号：</w:t>
      </w:r>
      <w:r>
        <w:rPr>
          <w:rFonts w:hint="eastAsia" w:ascii="黑体" w:eastAsia="黑体"/>
          <w:bCs/>
          <w:color w:val="auto"/>
          <w:sz w:val="24"/>
          <w:szCs w:val="24"/>
          <w:highlight w:val="none"/>
          <w:lang w:eastAsia="zh-CN"/>
        </w:rPr>
        <w:t>JSZC-320214-CYZR-G2026-0003</w:t>
      </w:r>
    </w:p>
    <w:tbl>
      <w:tblPr>
        <w:tblStyle w:val="34"/>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0"/>
        <w:gridCol w:w="6969"/>
      </w:tblGrid>
      <w:tr w14:paraId="3D91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230" w:type="dxa"/>
            <w:noWrap w:val="0"/>
            <w:vAlign w:val="center"/>
          </w:tcPr>
          <w:p w14:paraId="55233F30">
            <w:pPr>
              <w:spacing w:line="360" w:lineRule="auto"/>
              <w:jc w:val="center"/>
              <w:rPr>
                <w:rFonts w:ascii="宋体" w:hAnsi="宋体"/>
                <w:color w:val="auto"/>
                <w:sz w:val="24"/>
                <w:highlight w:val="none"/>
              </w:rPr>
            </w:pPr>
            <w:r>
              <w:rPr>
                <w:rFonts w:ascii="宋体" w:hAnsi="宋体"/>
                <w:color w:val="auto"/>
                <w:sz w:val="24"/>
                <w:highlight w:val="none"/>
              </w:rPr>
              <w:t>项目名称</w:t>
            </w:r>
          </w:p>
        </w:tc>
        <w:tc>
          <w:tcPr>
            <w:tcW w:w="6969" w:type="dxa"/>
            <w:noWrap w:val="0"/>
            <w:vAlign w:val="center"/>
          </w:tcPr>
          <w:p w14:paraId="39CB4801">
            <w:pPr>
              <w:spacing w:line="360" w:lineRule="auto"/>
              <w:jc w:val="left"/>
              <w:rPr>
                <w:rFonts w:hint="eastAsia" w:ascii="宋体" w:hAnsi="宋体"/>
                <w:color w:val="auto"/>
                <w:sz w:val="24"/>
                <w:highlight w:val="none"/>
              </w:rPr>
            </w:pPr>
            <w:r>
              <w:rPr>
                <w:rFonts w:hint="eastAsia" w:ascii="宋体" w:hAnsi="宋体" w:cs="宋体"/>
                <w:color w:val="auto"/>
                <w:sz w:val="24"/>
                <w:szCs w:val="24"/>
                <w:highlight w:val="none"/>
                <w:lang w:eastAsia="zh-CN"/>
              </w:rPr>
              <w:t>智慧监测实验室运行及维护服务项目（2026.7-2028.12）</w:t>
            </w:r>
            <w:r>
              <w:rPr>
                <w:rFonts w:hint="eastAsia" w:ascii="宋体" w:hAnsi="宋体"/>
                <w:color w:val="auto"/>
                <w:sz w:val="24"/>
                <w:highlight w:val="none"/>
              </w:rPr>
              <w:t xml:space="preserve"> </w:t>
            </w:r>
          </w:p>
        </w:tc>
      </w:tr>
      <w:tr w14:paraId="1289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2230" w:type="dxa"/>
            <w:noWrap w:val="0"/>
            <w:vAlign w:val="center"/>
          </w:tcPr>
          <w:p w14:paraId="506F5889">
            <w:pPr>
              <w:spacing w:line="360" w:lineRule="auto"/>
              <w:jc w:val="center"/>
              <w:rPr>
                <w:rFonts w:ascii="宋体" w:hAnsi="宋体"/>
                <w:color w:val="auto"/>
                <w:sz w:val="24"/>
                <w:highlight w:val="none"/>
              </w:rPr>
            </w:pPr>
            <w:r>
              <w:rPr>
                <w:rFonts w:hint="eastAsia" w:ascii="宋体" w:hAnsi="宋体"/>
                <w:color w:val="auto"/>
                <w:sz w:val="24"/>
                <w:highlight w:val="none"/>
              </w:rPr>
              <w:t>投标总报价</w:t>
            </w:r>
          </w:p>
        </w:tc>
        <w:tc>
          <w:tcPr>
            <w:tcW w:w="6969" w:type="dxa"/>
            <w:noWrap w:val="0"/>
            <w:vAlign w:val="center"/>
          </w:tcPr>
          <w:p w14:paraId="0847D65F">
            <w:pPr>
              <w:spacing w:line="360" w:lineRule="auto"/>
              <w:rPr>
                <w:rFonts w:hint="eastAsia" w:ascii="宋体" w:hAnsi="宋体"/>
                <w:color w:val="auto"/>
                <w:sz w:val="24"/>
                <w:highlight w:val="none"/>
              </w:rPr>
            </w:pPr>
            <w:r>
              <w:rPr>
                <w:rFonts w:ascii="宋体" w:hAnsi="宋体"/>
                <w:color w:val="auto"/>
                <w:sz w:val="24"/>
                <w:highlight w:val="none"/>
              </w:rPr>
              <w:t>人民币(</w:t>
            </w:r>
            <w:r>
              <w:rPr>
                <w:rFonts w:hint="eastAsia" w:ascii="宋体" w:hAnsi="宋体"/>
                <w:color w:val="auto"/>
                <w:sz w:val="24"/>
                <w:highlight w:val="none"/>
              </w:rPr>
              <w:t>小</w:t>
            </w:r>
            <w:r>
              <w:rPr>
                <w:rFonts w:ascii="宋体" w:hAnsi="宋体"/>
                <w:color w:val="auto"/>
                <w:sz w:val="24"/>
                <w:highlight w:val="none"/>
              </w:rPr>
              <w:t>写)：</w:t>
            </w:r>
            <w:r>
              <w:rPr>
                <w:rFonts w:ascii="宋体" w:hAnsi="宋体"/>
                <w:color w:val="auto"/>
                <w:sz w:val="24"/>
                <w:highlight w:val="none"/>
                <w:u w:val="single"/>
              </w:rPr>
              <w:t xml:space="preserve">              </w:t>
            </w:r>
            <w:r>
              <w:rPr>
                <w:rFonts w:hint="eastAsia" w:ascii="宋体" w:hAnsi="宋体"/>
                <w:color w:val="auto"/>
                <w:sz w:val="24"/>
                <w:highlight w:val="none"/>
              </w:rPr>
              <w:t>元</w:t>
            </w:r>
          </w:p>
          <w:p w14:paraId="0A1ECB18">
            <w:pPr>
              <w:spacing w:line="360" w:lineRule="auto"/>
              <w:rPr>
                <w:rFonts w:hint="eastAsia" w:ascii="宋体" w:hAnsi="宋体"/>
                <w:color w:val="auto"/>
                <w:sz w:val="24"/>
                <w:highlight w:val="none"/>
              </w:rPr>
            </w:pPr>
            <w:r>
              <w:rPr>
                <w:rFonts w:ascii="宋体" w:hAnsi="宋体"/>
                <w:color w:val="auto"/>
                <w:sz w:val="24"/>
                <w:highlight w:val="none"/>
              </w:rPr>
              <w:t>人民币(</w:t>
            </w:r>
            <w:r>
              <w:rPr>
                <w:rFonts w:hint="eastAsia" w:ascii="宋体" w:hAnsi="宋体"/>
                <w:color w:val="auto"/>
                <w:sz w:val="24"/>
                <w:highlight w:val="none"/>
              </w:rPr>
              <w:t>大</w:t>
            </w:r>
            <w:r>
              <w:rPr>
                <w:rFonts w:ascii="宋体" w:hAnsi="宋体"/>
                <w:color w:val="auto"/>
                <w:sz w:val="24"/>
                <w:highlight w:val="none"/>
              </w:rPr>
              <w:t>写)：</w:t>
            </w:r>
            <w:r>
              <w:rPr>
                <w:rFonts w:ascii="宋体" w:hAnsi="宋体"/>
                <w:color w:val="auto"/>
                <w:sz w:val="24"/>
                <w:highlight w:val="none"/>
                <w:u w:val="single"/>
              </w:rPr>
              <w:t xml:space="preserve">              </w:t>
            </w:r>
            <w:r>
              <w:rPr>
                <w:rFonts w:hint="eastAsia" w:ascii="宋体" w:hAnsi="宋体"/>
                <w:color w:val="auto"/>
                <w:sz w:val="24"/>
                <w:highlight w:val="none"/>
              </w:rPr>
              <w:t>元</w:t>
            </w:r>
          </w:p>
        </w:tc>
      </w:tr>
      <w:tr w14:paraId="63251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2230" w:type="dxa"/>
            <w:noWrap w:val="0"/>
            <w:vAlign w:val="center"/>
          </w:tcPr>
          <w:p w14:paraId="620B9830">
            <w:pPr>
              <w:spacing w:line="360" w:lineRule="auto"/>
              <w:jc w:val="center"/>
              <w:rPr>
                <w:rFonts w:ascii="宋体" w:hAnsi="宋体"/>
                <w:color w:val="auto"/>
                <w:sz w:val="24"/>
                <w:highlight w:val="none"/>
              </w:rPr>
            </w:pPr>
            <w:r>
              <w:rPr>
                <w:rFonts w:hint="eastAsia" w:ascii="宋体" w:hAnsi="宋体"/>
                <w:color w:val="auto"/>
                <w:sz w:val="24"/>
                <w:highlight w:val="none"/>
              </w:rPr>
              <w:t>服务期</w:t>
            </w:r>
          </w:p>
        </w:tc>
        <w:tc>
          <w:tcPr>
            <w:tcW w:w="6969" w:type="dxa"/>
            <w:noWrap w:val="0"/>
            <w:vAlign w:val="center"/>
          </w:tcPr>
          <w:p w14:paraId="08CF7FC3">
            <w:pPr>
              <w:pStyle w:val="40"/>
              <w:ind w:firstLine="0"/>
              <w:rPr>
                <w:rFonts w:ascii="宋体" w:hAnsi="宋体"/>
                <w:color w:val="auto"/>
                <w:sz w:val="24"/>
                <w:highlight w:val="none"/>
              </w:rPr>
            </w:pPr>
            <w:r>
              <w:rPr>
                <w:rFonts w:hint="eastAsia" w:ascii="宋体" w:hAnsi="宋体"/>
                <w:color w:val="auto"/>
                <w:sz w:val="24"/>
                <w:highlight w:val="none"/>
                <w:lang w:val="en-US" w:eastAsia="zh-CN"/>
              </w:rPr>
              <w:t>2026年7月至2028年12月</w:t>
            </w:r>
          </w:p>
        </w:tc>
      </w:tr>
      <w:tr w14:paraId="0A168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2230" w:type="dxa"/>
            <w:noWrap w:val="0"/>
            <w:vAlign w:val="center"/>
          </w:tcPr>
          <w:p w14:paraId="72A5BCDC">
            <w:pPr>
              <w:spacing w:line="360" w:lineRule="auto"/>
              <w:jc w:val="center"/>
              <w:rPr>
                <w:rFonts w:hint="eastAsia" w:ascii="宋体" w:hAnsi="宋体"/>
                <w:color w:val="auto"/>
                <w:sz w:val="24"/>
                <w:highlight w:val="none"/>
              </w:rPr>
            </w:pPr>
            <w:r>
              <w:rPr>
                <w:rFonts w:hint="eastAsia" w:ascii="宋体" w:hAnsi="宋体"/>
                <w:color w:val="auto"/>
                <w:sz w:val="24"/>
                <w:highlight w:val="none"/>
              </w:rPr>
              <w:t>项目负责人</w:t>
            </w:r>
          </w:p>
        </w:tc>
        <w:tc>
          <w:tcPr>
            <w:tcW w:w="6969" w:type="dxa"/>
            <w:noWrap w:val="0"/>
            <w:vAlign w:val="center"/>
          </w:tcPr>
          <w:p w14:paraId="60FF7110">
            <w:pPr>
              <w:pStyle w:val="40"/>
              <w:ind w:firstLine="0"/>
              <w:rPr>
                <w:rFonts w:ascii="宋体" w:hAnsi="宋体"/>
                <w:color w:val="auto"/>
                <w:sz w:val="24"/>
                <w:highlight w:val="none"/>
              </w:rPr>
            </w:pPr>
          </w:p>
        </w:tc>
      </w:tr>
    </w:tbl>
    <w:p w14:paraId="32DAD62F">
      <w:pPr>
        <w:rPr>
          <w:rFonts w:hint="eastAsia" w:ascii="宋体" w:hAnsi="宋体"/>
          <w:color w:val="auto"/>
          <w:sz w:val="22"/>
          <w:highlight w:val="none"/>
        </w:rPr>
      </w:pPr>
    </w:p>
    <w:p w14:paraId="01B6E04D">
      <w:pPr>
        <w:spacing w:line="360" w:lineRule="auto"/>
        <w:ind w:right="480" w:firstLine="5640"/>
        <w:rPr>
          <w:rFonts w:ascii="宋体" w:hAnsi="宋体" w:cs="宋体"/>
          <w:color w:val="auto"/>
          <w:sz w:val="24"/>
          <w:szCs w:val="24"/>
          <w:highlight w:val="none"/>
        </w:rPr>
      </w:pPr>
      <w:r>
        <w:rPr>
          <w:rFonts w:ascii="宋体" w:hAnsi="宋体"/>
          <w:bCs/>
          <w:color w:val="auto"/>
          <w:sz w:val="24"/>
          <w:szCs w:val="24"/>
          <w:highlight w:val="none"/>
        </w:rPr>
        <w:t xml:space="preserve">   </w:t>
      </w:r>
      <w:r>
        <w:rPr>
          <w:rFonts w:hint="eastAsia" w:hAnsi="宋体" w:cs="宋体"/>
          <w:color w:val="auto"/>
          <w:sz w:val="24"/>
          <w:szCs w:val="24"/>
          <w:highlight w:val="none"/>
          <w:lang w:bidi="ar"/>
        </w:rPr>
        <w:t>投标人</w:t>
      </w:r>
      <w:r>
        <w:rPr>
          <w:rFonts w:hint="eastAsia" w:ascii="宋体" w:hAnsi="宋体" w:cs="宋体"/>
          <w:color w:val="auto"/>
          <w:sz w:val="24"/>
          <w:szCs w:val="24"/>
          <w:highlight w:val="none"/>
          <w:lang w:bidi="ar"/>
        </w:rPr>
        <w:t>：（盖章）</w:t>
      </w:r>
    </w:p>
    <w:p w14:paraId="08C8F79C">
      <w:pPr>
        <w:spacing w:line="360" w:lineRule="auto"/>
        <w:ind w:right="480" w:firstLine="564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法定代表人签名或盖章：</w:t>
      </w:r>
    </w:p>
    <w:p w14:paraId="31A2D1CF">
      <w:pPr>
        <w:spacing w:line="360" w:lineRule="auto"/>
        <w:jc w:val="right"/>
        <w:rPr>
          <w:rFonts w:ascii="宋体" w:hAnsi="宋体"/>
          <w:bCs/>
          <w:color w:val="auto"/>
          <w:sz w:val="24"/>
          <w:szCs w:val="24"/>
          <w:highlight w:val="none"/>
        </w:rPr>
      </w:pP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年   月  日</w:t>
      </w:r>
    </w:p>
    <w:p w14:paraId="2A013C3C">
      <w:pPr>
        <w:spacing w:before="5" w:line="360" w:lineRule="auto"/>
        <w:rPr>
          <w:rFonts w:ascii="宋体" w:hAnsi="宋体"/>
          <w:bCs/>
          <w:color w:val="auto"/>
          <w:sz w:val="24"/>
          <w:szCs w:val="24"/>
          <w:highlight w:val="none"/>
        </w:rPr>
        <w:sectPr>
          <w:pgSz w:w="11906" w:h="16838"/>
          <w:pgMar w:top="1417" w:right="1417" w:bottom="1417" w:left="1418" w:header="624" w:footer="907" w:gutter="0"/>
          <w:cols w:space="720" w:num="1"/>
          <w:titlePg/>
          <w:docGrid w:linePitch="360" w:charSpace="0"/>
        </w:sectPr>
      </w:pPr>
    </w:p>
    <w:p w14:paraId="08EEF730">
      <w:pPr>
        <w:outlineLvl w:val="0"/>
        <w:rPr>
          <w:rFonts w:hint="eastAsia" w:eastAsia="黑体"/>
          <w:bCs/>
          <w:color w:val="auto"/>
          <w:sz w:val="24"/>
          <w:szCs w:val="24"/>
          <w:highlight w:val="none"/>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八</w:t>
      </w:r>
      <w:r>
        <w:rPr>
          <w:rFonts w:hint="eastAsia" w:eastAsia="黑体"/>
          <w:bCs/>
          <w:color w:val="auto"/>
          <w:sz w:val="24"/>
          <w:szCs w:val="24"/>
          <w:highlight w:val="none"/>
          <w:lang w:eastAsia="zh-CN"/>
        </w:rPr>
        <w:t>）</w:t>
      </w:r>
      <w:r>
        <w:rPr>
          <w:rFonts w:hint="eastAsia" w:eastAsia="黑体"/>
          <w:bCs/>
          <w:color w:val="auto"/>
          <w:sz w:val="24"/>
          <w:szCs w:val="24"/>
          <w:highlight w:val="none"/>
        </w:rPr>
        <w:t>投标偏离表（格式）</w:t>
      </w:r>
    </w:p>
    <w:p w14:paraId="59AED193">
      <w:pPr>
        <w:spacing w:line="400" w:lineRule="exact"/>
        <w:jc w:val="center"/>
        <w:rPr>
          <w:rFonts w:hint="eastAsia" w:eastAsia="黑体"/>
          <w:bCs/>
          <w:color w:val="auto"/>
          <w:sz w:val="28"/>
          <w:szCs w:val="24"/>
          <w:highlight w:val="none"/>
        </w:rPr>
      </w:pPr>
      <w:r>
        <w:rPr>
          <w:rFonts w:hint="eastAsia" w:eastAsia="黑体"/>
          <w:bCs/>
          <w:color w:val="auto"/>
          <w:sz w:val="28"/>
          <w:szCs w:val="24"/>
          <w:highlight w:val="none"/>
        </w:rPr>
        <w:t>投标偏离表</w:t>
      </w:r>
    </w:p>
    <w:p w14:paraId="7AF4D57D">
      <w:pPr>
        <w:spacing w:line="400" w:lineRule="exact"/>
        <w:rPr>
          <w:rFonts w:ascii="黑体" w:eastAsia="黑体"/>
          <w:bCs/>
          <w:color w:val="auto"/>
          <w:sz w:val="24"/>
          <w:highlight w:val="none"/>
        </w:rPr>
      </w:pPr>
    </w:p>
    <w:p w14:paraId="2B84F644">
      <w:pPr>
        <w:spacing w:line="400" w:lineRule="exact"/>
        <w:rPr>
          <w:rFonts w:ascii="黑体" w:eastAsia="黑体"/>
          <w:bCs/>
          <w:color w:val="auto"/>
          <w:sz w:val="24"/>
          <w:highlight w:val="none"/>
        </w:rPr>
      </w:pPr>
      <w:r>
        <w:rPr>
          <w:rFonts w:hint="eastAsia" w:ascii="黑体" w:eastAsia="黑体"/>
          <w:bCs/>
          <w:color w:val="auto"/>
          <w:sz w:val="24"/>
          <w:highlight w:val="none"/>
        </w:rPr>
        <w:t>投标供应商名称（盖章）：                                政府采购编号：</w:t>
      </w:r>
    </w:p>
    <w:tbl>
      <w:tblPr>
        <w:tblStyle w:val="34"/>
        <w:tblW w:w="9617" w:type="dxa"/>
        <w:jc w:val="center"/>
        <w:tblLayout w:type="fixed"/>
        <w:tblCellMar>
          <w:top w:w="0" w:type="dxa"/>
          <w:left w:w="0" w:type="dxa"/>
          <w:bottom w:w="0" w:type="dxa"/>
          <w:right w:w="0" w:type="dxa"/>
        </w:tblCellMar>
      </w:tblPr>
      <w:tblGrid>
        <w:gridCol w:w="1853"/>
        <w:gridCol w:w="2758"/>
        <w:gridCol w:w="2758"/>
        <w:gridCol w:w="2248"/>
      </w:tblGrid>
      <w:tr w14:paraId="1CBBB2B6">
        <w:tblPrEx>
          <w:tblCellMar>
            <w:top w:w="0" w:type="dxa"/>
            <w:left w:w="0" w:type="dxa"/>
            <w:bottom w:w="0" w:type="dxa"/>
            <w:right w:w="0" w:type="dxa"/>
          </w:tblCellMar>
        </w:tblPrEx>
        <w:trPr>
          <w:cantSplit/>
          <w:trHeight w:val="571" w:hRule="atLeast"/>
          <w:jc w:val="center"/>
        </w:trPr>
        <w:tc>
          <w:tcPr>
            <w:tcW w:w="185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2A5ECAC">
            <w:pPr>
              <w:jc w:val="center"/>
              <w:rPr>
                <w:rFonts w:ascii="宋体"/>
                <w:b/>
                <w:bCs/>
                <w:color w:val="auto"/>
                <w:sz w:val="24"/>
                <w:highlight w:val="none"/>
              </w:rPr>
            </w:pPr>
            <w:r>
              <w:rPr>
                <w:rFonts w:hint="eastAsia" w:ascii="宋体" w:hAnsi="宋体"/>
                <w:b/>
                <w:bCs/>
                <w:color w:val="auto"/>
                <w:sz w:val="24"/>
                <w:highlight w:val="none"/>
              </w:rPr>
              <w:t>名称</w:t>
            </w:r>
          </w:p>
        </w:tc>
        <w:tc>
          <w:tcPr>
            <w:tcW w:w="2758" w:type="dxa"/>
            <w:tcBorders>
              <w:top w:val="single" w:color="auto" w:sz="4" w:space="0"/>
              <w:left w:val="single" w:color="auto" w:sz="4" w:space="0"/>
              <w:bottom w:val="single" w:color="auto" w:sz="4" w:space="0"/>
              <w:right w:val="single" w:color="auto" w:sz="4" w:space="0"/>
            </w:tcBorders>
            <w:noWrap/>
            <w:vAlign w:val="center"/>
          </w:tcPr>
          <w:p w14:paraId="57111A3E">
            <w:pPr>
              <w:jc w:val="center"/>
              <w:rPr>
                <w:rFonts w:ascii="宋体"/>
                <w:b/>
                <w:bCs/>
                <w:color w:val="auto"/>
                <w:sz w:val="24"/>
                <w:highlight w:val="none"/>
              </w:rPr>
            </w:pPr>
            <w:r>
              <w:rPr>
                <w:rFonts w:hint="eastAsia" w:ascii="宋体" w:hAnsi="宋体"/>
                <w:b/>
                <w:bCs/>
                <w:color w:val="auto"/>
                <w:sz w:val="24"/>
                <w:highlight w:val="none"/>
              </w:rPr>
              <w:t>采购要求</w:t>
            </w:r>
          </w:p>
        </w:tc>
        <w:tc>
          <w:tcPr>
            <w:tcW w:w="2758" w:type="dxa"/>
            <w:tcBorders>
              <w:top w:val="single" w:color="auto" w:sz="4" w:space="0"/>
              <w:left w:val="single" w:color="auto" w:sz="4" w:space="0"/>
              <w:bottom w:val="single" w:color="auto" w:sz="4" w:space="0"/>
              <w:right w:val="single" w:color="auto" w:sz="4" w:space="0"/>
            </w:tcBorders>
            <w:noWrap/>
            <w:vAlign w:val="center"/>
          </w:tcPr>
          <w:p w14:paraId="2669AC19">
            <w:pPr>
              <w:jc w:val="center"/>
              <w:rPr>
                <w:rFonts w:ascii="宋体"/>
                <w:b/>
                <w:bCs/>
                <w:color w:val="auto"/>
                <w:sz w:val="24"/>
                <w:highlight w:val="none"/>
              </w:rPr>
            </w:pPr>
            <w:r>
              <w:rPr>
                <w:rFonts w:hint="eastAsia" w:ascii="宋体" w:hAnsi="宋体"/>
                <w:b/>
                <w:bCs/>
                <w:color w:val="auto"/>
                <w:sz w:val="24"/>
                <w:highlight w:val="none"/>
              </w:rPr>
              <w:t>实报内容</w:t>
            </w:r>
          </w:p>
        </w:tc>
        <w:tc>
          <w:tcPr>
            <w:tcW w:w="2248" w:type="dxa"/>
            <w:tcBorders>
              <w:top w:val="single" w:color="auto" w:sz="4" w:space="0"/>
              <w:left w:val="single" w:color="auto" w:sz="4" w:space="0"/>
              <w:bottom w:val="single" w:color="auto" w:sz="4" w:space="0"/>
              <w:right w:val="single" w:color="auto" w:sz="4" w:space="0"/>
            </w:tcBorders>
            <w:noWrap/>
            <w:vAlign w:val="center"/>
          </w:tcPr>
          <w:p w14:paraId="62BECAAD">
            <w:pPr>
              <w:jc w:val="center"/>
              <w:rPr>
                <w:rFonts w:ascii="宋体"/>
                <w:b/>
                <w:bCs/>
                <w:color w:val="auto"/>
                <w:sz w:val="24"/>
                <w:highlight w:val="none"/>
              </w:rPr>
            </w:pPr>
            <w:r>
              <w:rPr>
                <w:rFonts w:hint="eastAsia" w:ascii="宋体" w:hAnsi="宋体"/>
                <w:b/>
                <w:bCs/>
                <w:color w:val="auto"/>
                <w:sz w:val="24"/>
                <w:highlight w:val="none"/>
              </w:rPr>
              <w:t>偏离说明</w:t>
            </w:r>
          </w:p>
        </w:tc>
      </w:tr>
      <w:tr w14:paraId="214EA60A">
        <w:tblPrEx>
          <w:tblCellMar>
            <w:top w:w="0" w:type="dxa"/>
            <w:left w:w="0" w:type="dxa"/>
            <w:bottom w:w="0" w:type="dxa"/>
            <w:right w:w="0" w:type="dxa"/>
          </w:tblCellMar>
        </w:tblPrEx>
        <w:trPr>
          <w:cantSplit/>
          <w:trHeight w:val="536" w:hRule="atLeast"/>
          <w:jc w:val="center"/>
        </w:trPr>
        <w:tc>
          <w:tcPr>
            <w:tcW w:w="185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DE0A763">
            <w:pPr>
              <w:jc w:val="center"/>
              <w:rPr>
                <w:rFonts w:ascii="宋体"/>
                <w:bCs/>
                <w:color w:val="auto"/>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541A54E6">
            <w:pPr>
              <w:rPr>
                <w:rFonts w:ascii="宋体"/>
                <w:bCs/>
                <w:color w:val="auto"/>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3935364E">
            <w:pPr>
              <w:jc w:val="center"/>
              <w:rPr>
                <w:rFonts w:ascii="宋体"/>
                <w:bCs/>
                <w:color w:val="auto"/>
                <w:highlight w:val="none"/>
              </w:rPr>
            </w:pPr>
          </w:p>
        </w:tc>
        <w:tc>
          <w:tcPr>
            <w:tcW w:w="2248" w:type="dxa"/>
            <w:tcBorders>
              <w:top w:val="single" w:color="auto" w:sz="4" w:space="0"/>
              <w:left w:val="single" w:color="auto" w:sz="4" w:space="0"/>
              <w:bottom w:val="single" w:color="auto" w:sz="4" w:space="0"/>
              <w:right w:val="single" w:color="auto" w:sz="4" w:space="0"/>
            </w:tcBorders>
            <w:noWrap/>
            <w:vAlign w:val="center"/>
          </w:tcPr>
          <w:p w14:paraId="30F3A122">
            <w:pPr>
              <w:jc w:val="center"/>
              <w:rPr>
                <w:rFonts w:ascii="宋体"/>
                <w:bCs/>
                <w:color w:val="auto"/>
                <w:highlight w:val="none"/>
              </w:rPr>
            </w:pPr>
          </w:p>
        </w:tc>
      </w:tr>
    </w:tbl>
    <w:p w14:paraId="4ED0D1BF">
      <w:pPr>
        <w:rPr>
          <w:b/>
          <w:bCs/>
          <w:color w:val="auto"/>
          <w:sz w:val="24"/>
          <w:highlight w:val="none"/>
        </w:rPr>
      </w:pPr>
      <w:r>
        <w:rPr>
          <w:rFonts w:hint="eastAsia" w:ascii="黑体" w:eastAsia="黑体"/>
          <w:bCs/>
          <w:color w:val="auto"/>
          <w:sz w:val="24"/>
          <w:highlight w:val="none"/>
        </w:rPr>
        <w:t>法定代表人或其授权代表（签字或盖章）：</w:t>
      </w:r>
    </w:p>
    <w:p w14:paraId="7512CBD2">
      <w:pPr>
        <w:rPr>
          <w:rFonts w:ascii="宋体"/>
          <w:bCs/>
          <w:color w:val="auto"/>
          <w:sz w:val="30"/>
          <w:highlight w:val="none"/>
        </w:rPr>
      </w:pPr>
    </w:p>
    <w:p w14:paraId="2E8A7670">
      <w:pPr>
        <w:ind w:firstLine="420"/>
        <w:outlineLvl w:val="0"/>
        <w:rPr>
          <w:rFonts w:hint="eastAsia" w:ascii="宋体" w:hAnsi="宋体"/>
          <w:bCs/>
          <w:color w:val="auto"/>
          <w:sz w:val="24"/>
          <w:highlight w:val="none"/>
        </w:rPr>
      </w:pPr>
      <w:bookmarkStart w:id="48" w:name="_Toc32029"/>
      <w:r>
        <w:rPr>
          <w:rFonts w:hint="eastAsia" w:ascii="宋体" w:hAnsi="宋体"/>
          <w:bCs/>
          <w:color w:val="auto"/>
          <w:sz w:val="24"/>
          <w:highlight w:val="none"/>
        </w:rPr>
        <w:t>注：</w:t>
      </w:r>
      <w:bookmarkEnd w:id="48"/>
    </w:p>
    <w:p w14:paraId="3C304AF1">
      <w:pPr>
        <w:ind w:firstLine="420"/>
        <w:outlineLvl w:val="0"/>
        <w:rPr>
          <w:rFonts w:hint="eastAsia" w:ascii="宋体" w:hAnsi="宋体"/>
          <w:bCs/>
          <w:color w:val="auto"/>
          <w:sz w:val="24"/>
          <w:highlight w:val="none"/>
        </w:rPr>
      </w:pPr>
      <w:bookmarkStart w:id="49" w:name="_Toc5773"/>
      <w:r>
        <w:rPr>
          <w:rFonts w:hint="eastAsia" w:ascii="宋体" w:hAnsi="宋体"/>
          <w:bCs/>
          <w:color w:val="auto"/>
          <w:sz w:val="24"/>
          <w:highlight w:val="none"/>
        </w:rPr>
        <w:t>（</w:t>
      </w:r>
      <w:r>
        <w:rPr>
          <w:rFonts w:ascii="宋体" w:hAnsi="宋体"/>
          <w:bCs/>
          <w:color w:val="auto"/>
          <w:sz w:val="24"/>
          <w:highlight w:val="none"/>
        </w:rPr>
        <w:t>1</w:t>
      </w:r>
      <w:r>
        <w:rPr>
          <w:rFonts w:hint="eastAsia" w:ascii="宋体" w:hAnsi="宋体"/>
          <w:bCs/>
          <w:color w:val="auto"/>
          <w:sz w:val="24"/>
          <w:highlight w:val="none"/>
        </w:rPr>
        <w:t>）本表不得删除；</w:t>
      </w:r>
      <w:bookmarkEnd w:id="49"/>
    </w:p>
    <w:p w14:paraId="40E7905B">
      <w:pPr>
        <w:ind w:firstLine="420"/>
        <w:outlineLvl w:val="0"/>
        <w:rPr>
          <w:rFonts w:hint="eastAsia" w:ascii="宋体" w:hAnsi="宋体"/>
          <w:bCs/>
          <w:color w:val="auto"/>
          <w:sz w:val="24"/>
          <w:highlight w:val="none"/>
        </w:rPr>
      </w:pPr>
      <w:bookmarkStart w:id="50" w:name="_Toc12064"/>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）如无任何偏离，请于本表“偏离说明”中注明“无偏离”；</w:t>
      </w:r>
      <w:bookmarkEnd w:id="50"/>
    </w:p>
    <w:p w14:paraId="7FCD65B9">
      <w:pPr>
        <w:ind w:firstLine="420"/>
        <w:outlineLvl w:val="0"/>
        <w:rPr>
          <w:rFonts w:ascii="宋体" w:hAnsi="宋体"/>
          <w:bCs/>
          <w:color w:val="auto"/>
          <w:sz w:val="24"/>
          <w:highlight w:val="none"/>
        </w:rPr>
      </w:pPr>
      <w:bookmarkStart w:id="51" w:name="_Toc27440"/>
      <w:r>
        <w:rPr>
          <w:rFonts w:hint="eastAsia" w:ascii="宋体" w:hAnsi="宋体"/>
          <w:bCs/>
          <w:color w:val="auto"/>
          <w:sz w:val="24"/>
          <w:highlight w:val="none"/>
        </w:rPr>
        <w:t>（3）如有偏离项，请于本表中列明偏离内容，如需要可自行延长，其余无偏离内容不须赘述。</w:t>
      </w:r>
      <w:bookmarkEnd w:id="51"/>
    </w:p>
    <w:p w14:paraId="00DAE78E">
      <w:pPr>
        <w:ind w:firstLine="900"/>
        <w:outlineLvl w:val="0"/>
        <w:rPr>
          <w:rFonts w:ascii="宋体" w:hAnsi="宋体"/>
          <w:bCs/>
          <w:color w:val="auto"/>
          <w:sz w:val="24"/>
          <w:highlight w:val="none"/>
        </w:rPr>
      </w:pPr>
    </w:p>
    <w:p w14:paraId="7B3F707D">
      <w:pPr>
        <w:ind w:firstLine="900"/>
        <w:outlineLvl w:val="0"/>
        <w:rPr>
          <w:rFonts w:ascii="宋体" w:hAnsi="宋体"/>
          <w:bCs/>
          <w:color w:val="auto"/>
          <w:sz w:val="24"/>
          <w:highlight w:val="none"/>
        </w:rPr>
      </w:pPr>
    </w:p>
    <w:p w14:paraId="67F66D8E">
      <w:pPr>
        <w:ind w:firstLine="900"/>
        <w:outlineLvl w:val="0"/>
        <w:rPr>
          <w:rFonts w:ascii="宋体" w:hAnsi="宋体"/>
          <w:bCs/>
          <w:color w:val="auto"/>
          <w:sz w:val="24"/>
          <w:highlight w:val="none"/>
        </w:rPr>
      </w:pPr>
    </w:p>
    <w:p w14:paraId="670511D4">
      <w:pPr>
        <w:rPr>
          <w:color w:val="auto"/>
          <w:highlight w:val="none"/>
        </w:rPr>
      </w:pPr>
    </w:p>
    <w:p w14:paraId="197422AC">
      <w:pPr>
        <w:rPr>
          <w:rFonts w:eastAsia="黑体"/>
          <w:bCs/>
          <w:color w:val="auto"/>
          <w:sz w:val="24"/>
          <w:szCs w:val="24"/>
          <w:highlight w:val="none"/>
        </w:rPr>
      </w:pPr>
    </w:p>
    <w:p w14:paraId="3EBEE49D">
      <w:pPr>
        <w:rPr>
          <w:rFonts w:eastAsia="黑体"/>
          <w:bCs/>
          <w:color w:val="auto"/>
          <w:sz w:val="24"/>
          <w:szCs w:val="24"/>
          <w:highlight w:val="none"/>
        </w:rPr>
      </w:pPr>
    </w:p>
    <w:p w14:paraId="6F748217">
      <w:pPr>
        <w:rPr>
          <w:rFonts w:eastAsia="黑体"/>
          <w:bCs/>
          <w:color w:val="auto"/>
          <w:sz w:val="24"/>
          <w:szCs w:val="24"/>
          <w:highlight w:val="none"/>
        </w:rPr>
      </w:pPr>
    </w:p>
    <w:p w14:paraId="343C8B6E">
      <w:pPr>
        <w:rPr>
          <w:rFonts w:eastAsia="黑体"/>
          <w:bCs/>
          <w:color w:val="auto"/>
          <w:sz w:val="24"/>
          <w:szCs w:val="24"/>
          <w:highlight w:val="none"/>
        </w:rPr>
      </w:pPr>
    </w:p>
    <w:p w14:paraId="5A07DA74">
      <w:pPr>
        <w:rPr>
          <w:rFonts w:eastAsia="黑体"/>
          <w:bCs/>
          <w:color w:val="auto"/>
          <w:sz w:val="24"/>
          <w:szCs w:val="24"/>
          <w:highlight w:val="none"/>
        </w:rPr>
      </w:pPr>
    </w:p>
    <w:p w14:paraId="501E306C">
      <w:pPr>
        <w:rPr>
          <w:rFonts w:eastAsia="黑体"/>
          <w:bCs/>
          <w:color w:val="auto"/>
          <w:sz w:val="24"/>
          <w:szCs w:val="24"/>
          <w:highlight w:val="none"/>
        </w:rPr>
      </w:pPr>
    </w:p>
    <w:p w14:paraId="07A4BCEA">
      <w:pPr>
        <w:rPr>
          <w:rFonts w:eastAsia="黑体"/>
          <w:bCs/>
          <w:color w:val="auto"/>
          <w:sz w:val="24"/>
          <w:szCs w:val="24"/>
          <w:highlight w:val="none"/>
        </w:rPr>
      </w:pPr>
    </w:p>
    <w:p w14:paraId="67C77DBB">
      <w:pPr>
        <w:rPr>
          <w:rFonts w:eastAsia="黑体"/>
          <w:bCs/>
          <w:color w:val="auto"/>
          <w:sz w:val="24"/>
          <w:szCs w:val="24"/>
          <w:highlight w:val="none"/>
        </w:rPr>
      </w:pPr>
    </w:p>
    <w:p w14:paraId="39E7F4FE">
      <w:pPr>
        <w:rPr>
          <w:rFonts w:eastAsia="黑体"/>
          <w:bCs/>
          <w:color w:val="auto"/>
          <w:sz w:val="24"/>
          <w:szCs w:val="24"/>
          <w:highlight w:val="none"/>
        </w:rPr>
      </w:pPr>
    </w:p>
    <w:p w14:paraId="21F6A226">
      <w:pPr>
        <w:rPr>
          <w:rFonts w:eastAsia="黑体"/>
          <w:bCs/>
          <w:color w:val="auto"/>
          <w:sz w:val="24"/>
          <w:szCs w:val="24"/>
          <w:highlight w:val="none"/>
        </w:rPr>
      </w:pPr>
    </w:p>
    <w:p w14:paraId="48F553D0">
      <w:pPr>
        <w:rPr>
          <w:rFonts w:eastAsia="黑体"/>
          <w:bCs/>
          <w:color w:val="auto"/>
          <w:sz w:val="24"/>
          <w:szCs w:val="24"/>
          <w:highlight w:val="none"/>
        </w:rPr>
      </w:pPr>
    </w:p>
    <w:p w14:paraId="4DFB44BD">
      <w:pPr>
        <w:rPr>
          <w:rFonts w:eastAsia="黑体"/>
          <w:bCs/>
          <w:color w:val="auto"/>
          <w:sz w:val="24"/>
          <w:szCs w:val="24"/>
          <w:highlight w:val="none"/>
        </w:rPr>
      </w:pPr>
    </w:p>
    <w:p w14:paraId="2E44BE37">
      <w:pPr>
        <w:rPr>
          <w:rFonts w:eastAsia="黑体"/>
          <w:bCs/>
          <w:color w:val="auto"/>
          <w:sz w:val="24"/>
          <w:szCs w:val="24"/>
          <w:highlight w:val="none"/>
        </w:rPr>
      </w:pPr>
    </w:p>
    <w:p w14:paraId="4A556F8D">
      <w:pPr>
        <w:rPr>
          <w:rFonts w:eastAsia="黑体"/>
          <w:bCs/>
          <w:color w:val="auto"/>
          <w:sz w:val="24"/>
          <w:szCs w:val="24"/>
          <w:highlight w:val="none"/>
        </w:rPr>
      </w:pPr>
    </w:p>
    <w:p w14:paraId="10A045E2">
      <w:pPr>
        <w:rPr>
          <w:rFonts w:eastAsia="黑体"/>
          <w:bCs/>
          <w:color w:val="auto"/>
          <w:sz w:val="24"/>
          <w:szCs w:val="24"/>
          <w:highlight w:val="none"/>
        </w:rPr>
      </w:pPr>
    </w:p>
    <w:p w14:paraId="7EB576E0">
      <w:pPr>
        <w:rPr>
          <w:rFonts w:eastAsia="黑体"/>
          <w:bCs/>
          <w:color w:val="auto"/>
          <w:sz w:val="24"/>
          <w:szCs w:val="24"/>
          <w:highlight w:val="none"/>
        </w:rPr>
      </w:pPr>
    </w:p>
    <w:p w14:paraId="3DB11AA4">
      <w:pPr>
        <w:rPr>
          <w:rFonts w:eastAsia="黑体"/>
          <w:bCs/>
          <w:color w:val="auto"/>
          <w:sz w:val="24"/>
          <w:szCs w:val="24"/>
          <w:highlight w:val="none"/>
        </w:rPr>
      </w:pPr>
    </w:p>
    <w:p w14:paraId="7C69355B">
      <w:pPr>
        <w:rPr>
          <w:rFonts w:eastAsia="黑体"/>
          <w:bCs/>
          <w:color w:val="auto"/>
          <w:sz w:val="24"/>
          <w:szCs w:val="24"/>
          <w:highlight w:val="none"/>
        </w:rPr>
      </w:pPr>
    </w:p>
    <w:p w14:paraId="7B4F2501">
      <w:pPr>
        <w:rPr>
          <w:rFonts w:eastAsia="黑体"/>
          <w:bCs/>
          <w:color w:val="auto"/>
          <w:sz w:val="24"/>
          <w:szCs w:val="24"/>
          <w:highlight w:val="none"/>
        </w:rPr>
      </w:pPr>
    </w:p>
    <w:p w14:paraId="14AE3665">
      <w:pPr>
        <w:rPr>
          <w:rFonts w:eastAsia="黑体"/>
          <w:bCs/>
          <w:color w:val="auto"/>
          <w:sz w:val="24"/>
          <w:szCs w:val="24"/>
          <w:highlight w:val="none"/>
        </w:rPr>
      </w:pPr>
    </w:p>
    <w:p w14:paraId="7CC2D6D9">
      <w:pPr>
        <w:rPr>
          <w:rFonts w:eastAsia="黑体"/>
          <w:bCs/>
          <w:color w:val="auto"/>
          <w:sz w:val="24"/>
          <w:szCs w:val="24"/>
          <w:highlight w:val="none"/>
        </w:rPr>
      </w:pPr>
    </w:p>
    <w:p w14:paraId="540ACF93">
      <w:pPr>
        <w:rPr>
          <w:rFonts w:eastAsia="黑体"/>
          <w:bCs/>
          <w:color w:val="auto"/>
          <w:sz w:val="24"/>
          <w:szCs w:val="24"/>
          <w:highlight w:val="none"/>
        </w:rPr>
      </w:pPr>
    </w:p>
    <w:p w14:paraId="7E433E3A">
      <w:pPr>
        <w:rPr>
          <w:rFonts w:eastAsia="黑体"/>
          <w:bCs/>
          <w:color w:val="auto"/>
          <w:sz w:val="24"/>
          <w:szCs w:val="24"/>
          <w:highlight w:val="none"/>
        </w:rPr>
      </w:pPr>
    </w:p>
    <w:p w14:paraId="40495832">
      <w:pPr>
        <w:rPr>
          <w:rFonts w:eastAsia="黑体"/>
          <w:bCs/>
          <w:color w:val="auto"/>
          <w:sz w:val="24"/>
          <w:szCs w:val="24"/>
          <w:highlight w:val="none"/>
        </w:rPr>
      </w:pPr>
    </w:p>
    <w:p w14:paraId="025892A5">
      <w:pPr>
        <w:rPr>
          <w:rFonts w:eastAsia="黑体"/>
          <w:bCs/>
          <w:color w:val="auto"/>
          <w:sz w:val="24"/>
          <w:szCs w:val="24"/>
          <w:highlight w:val="none"/>
        </w:rPr>
      </w:pPr>
    </w:p>
    <w:p w14:paraId="24979C96">
      <w:pPr>
        <w:rPr>
          <w:rFonts w:eastAsia="黑体"/>
          <w:bCs/>
          <w:color w:val="auto"/>
          <w:sz w:val="24"/>
          <w:szCs w:val="24"/>
          <w:highlight w:val="none"/>
        </w:rPr>
      </w:pPr>
    </w:p>
    <w:p w14:paraId="2E4703CB">
      <w:pPr>
        <w:rPr>
          <w:rFonts w:eastAsia="黑体"/>
          <w:bCs/>
          <w:color w:val="auto"/>
          <w:sz w:val="24"/>
          <w:szCs w:val="24"/>
          <w:highlight w:val="none"/>
        </w:rPr>
      </w:pPr>
    </w:p>
    <w:p w14:paraId="6762B23A">
      <w:pPr>
        <w:spacing w:line="360" w:lineRule="auto"/>
        <w:rPr>
          <w:rFonts w:hint="eastAsia" w:ascii="黑体" w:hAnsi="Times New Roman" w:eastAsia="黑体" w:cs="Times New Roman"/>
          <w:bCs/>
          <w:color w:val="auto"/>
          <w:sz w:val="24"/>
          <w:szCs w:val="24"/>
          <w:highlight w:val="none"/>
        </w:rPr>
      </w:pPr>
      <w:r>
        <w:rPr>
          <w:rFonts w:hint="eastAsia" w:ascii="黑体" w:eastAsia="黑体" w:cs="Times New Roman"/>
          <w:bCs/>
          <w:color w:val="auto"/>
          <w:sz w:val="24"/>
          <w:szCs w:val="24"/>
          <w:highlight w:val="none"/>
          <w:lang w:eastAsia="zh-CN"/>
        </w:rPr>
        <w:t>（九）</w:t>
      </w:r>
      <w:r>
        <w:rPr>
          <w:rFonts w:hint="eastAsia" w:ascii="黑体" w:hAnsi="Times New Roman" w:eastAsia="黑体" w:cs="Times New Roman"/>
          <w:bCs/>
          <w:color w:val="auto"/>
          <w:sz w:val="24"/>
          <w:szCs w:val="24"/>
          <w:highlight w:val="none"/>
        </w:rPr>
        <w:t>报价</w:t>
      </w:r>
      <w:r>
        <w:rPr>
          <w:rFonts w:hint="eastAsia" w:ascii="黑体" w:hAnsi="Times New Roman" w:eastAsia="黑体" w:cs="Times New Roman"/>
          <w:bCs/>
          <w:color w:val="auto"/>
          <w:sz w:val="24"/>
          <w:szCs w:val="24"/>
          <w:highlight w:val="none"/>
          <w:lang w:val="en-US" w:eastAsia="zh-CN"/>
        </w:rPr>
        <w:t>明细</w:t>
      </w:r>
      <w:r>
        <w:rPr>
          <w:rFonts w:hint="eastAsia" w:ascii="黑体" w:hAnsi="Times New Roman" w:eastAsia="黑体" w:cs="Times New Roman"/>
          <w:bCs/>
          <w:color w:val="auto"/>
          <w:sz w:val="24"/>
          <w:szCs w:val="24"/>
          <w:highlight w:val="none"/>
        </w:rPr>
        <w:t>表（格式）</w:t>
      </w:r>
    </w:p>
    <w:p w14:paraId="611A264C">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报价</w:t>
      </w:r>
      <w:r>
        <w:rPr>
          <w:rFonts w:hint="eastAsia" w:ascii="宋体" w:hAnsi="宋体" w:eastAsia="宋体" w:cs="宋体"/>
          <w:b/>
          <w:bCs/>
          <w:color w:val="auto"/>
          <w:sz w:val="32"/>
          <w:szCs w:val="32"/>
          <w:highlight w:val="none"/>
          <w:lang w:val="en-US" w:eastAsia="zh-CN"/>
        </w:rPr>
        <w:t>明细</w:t>
      </w:r>
      <w:r>
        <w:rPr>
          <w:rFonts w:hint="eastAsia" w:ascii="宋体" w:hAnsi="宋体" w:eastAsia="宋体" w:cs="宋体"/>
          <w:b/>
          <w:bCs/>
          <w:color w:val="auto"/>
          <w:sz w:val="32"/>
          <w:szCs w:val="32"/>
          <w:highlight w:val="none"/>
        </w:rPr>
        <w:t>表</w:t>
      </w:r>
    </w:p>
    <w:p w14:paraId="2C88CA17">
      <w:pPr>
        <w:spacing w:line="300" w:lineRule="auto"/>
        <w:jc w:val="center"/>
        <w:rPr>
          <w:rFonts w:hint="default" w:eastAsia="黑体"/>
          <w:bCs/>
          <w:color w:val="auto"/>
          <w:sz w:val="32"/>
          <w:szCs w:val="32"/>
          <w:highlight w:val="none"/>
          <w:lang w:val="en-US" w:eastAsia="zh-CN"/>
        </w:rPr>
      </w:pPr>
      <w:r>
        <w:rPr>
          <w:rFonts w:hint="eastAsia" w:eastAsia="黑体"/>
          <w:bCs/>
          <w:color w:val="auto"/>
          <w:sz w:val="32"/>
          <w:szCs w:val="32"/>
          <w:highlight w:val="none"/>
          <w:lang w:val="en-US" w:eastAsia="zh-CN"/>
        </w:rPr>
        <w:t>（格式自拟）</w:t>
      </w:r>
    </w:p>
    <w:p w14:paraId="18E12277">
      <w:pPr>
        <w:pBdr>
          <w:top w:val="none" w:color="000000" w:sz="0" w:space="0"/>
          <w:left w:val="none" w:color="000000" w:sz="0" w:space="0"/>
          <w:bottom w:val="none" w:color="000000" w:sz="0" w:space="0"/>
          <w:right w:val="none" w:color="000000" w:sz="0" w:space="0"/>
        </w:pBdr>
        <w:spacing w:before="5" w:line="360" w:lineRule="auto"/>
        <w:rPr>
          <w:rFonts w:ascii="Calibri" w:hAnsi="Calibri" w:eastAsia="Arial" w:cs="Times New Roman"/>
          <w:color w:val="auto"/>
          <w:szCs w:val="22"/>
          <w:highlight w:val="none"/>
        </w:rPr>
      </w:pPr>
      <w:r>
        <w:rPr>
          <w:rFonts w:hint="eastAsia" w:ascii="黑体" w:hAnsi="Calibri" w:eastAsia="黑体" w:cs="Times New Roman"/>
          <w:bCs/>
          <w:color w:val="auto"/>
          <w:sz w:val="24"/>
          <w:szCs w:val="24"/>
          <w:highlight w:val="none"/>
        </w:rPr>
        <w:t>供应商名称（盖章）：</w:t>
      </w:r>
    </w:p>
    <w:p w14:paraId="2E63D21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p>
    <w:p w14:paraId="479D8E97">
      <w:pPr>
        <w:spacing w:line="400" w:lineRule="exact"/>
        <w:outlineLvl w:val="0"/>
        <w:rPr>
          <w:rFonts w:hint="eastAsia" w:ascii="宋体" w:hAnsi="宋体" w:eastAsia="宋体" w:cs="宋体"/>
          <w:bCs/>
          <w:color w:val="auto"/>
          <w:szCs w:val="22"/>
          <w:highlight w:val="none"/>
        </w:rPr>
      </w:pPr>
      <w:r>
        <w:rPr>
          <w:rFonts w:hint="eastAsia" w:ascii="宋体" w:hAnsi="宋体" w:eastAsia="宋体" w:cs="宋体"/>
          <w:b/>
          <w:color w:val="auto"/>
          <w:szCs w:val="22"/>
          <w:highlight w:val="none"/>
        </w:rPr>
        <w:t>注：</w:t>
      </w:r>
      <w:r>
        <w:rPr>
          <w:rFonts w:hint="eastAsia" w:ascii="宋体" w:hAnsi="宋体" w:eastAsia="宋体" w:cs="宋体"/>
          <w:bCs/>
          <w:color w:val="auto"/>
          <w:szCs w:val="22"/>
          <w:highlight w:val="none"/>
        </w:rPr>
        <w:t>（1）本项目投标总报价包括设备、软件及配件的包装、运杂、支架等辅材以及安装与设备调试安装调试、售后服务、监测服务等从项目中标起到项目正式交付以及质保期内所发生的一切费用；</w:t>
      </w:r>
    </w:p>
    <w:p w14:paraId="485D2544">
      <w:pPr>
        <w:spacing w:line="400" w:lineRule="exact"/>
        <w:ind w:firstLine="315"/>
        <w:outlineLvl w:val="0"/>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（2）投标人应当根据“采购需求”的内容在上表中详细填写；</w:t>
      </w:r>
    </w:p>
    <w:p w14:paraId="0466F318">
      <w:pPr>
        <w:spacing w:line="400" w:lineRule="exact"/>
        <w:ind w:firstLine="315"/>
        <w:outlineLvl w:val="0"/>
        <w:rPr>
          <w:color w:val="auto"/>
          <w:highlight w:val="none"/>
        </w:rPr>
      </w:pPr>
      <w:r>
        <w:rPr>
          <w:rFonts w:hint="eastAsia" w:ascii="宋体" w:hAnsi="宋体" w:eastAsia="宋体" w:cs="宋体"/>
          <w:bCs/>
          <w:color w:val="auto"/>
          <w:szCs w:val="22"/>
          <w:highlight w:val="none"/>
        </w:rPr>
        <w:t>（3）表格不够可自行延长。</w:t>
      </w:r>
    </w:p>
    <w:p w14:paraId="2558DF73">
      <w:p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br w:type="page" w:clear="all"/>
      </w:r>
    </w:p>
    <w:p w14:paraId="4827439F">
      <w:pPr>
        <w:spacing w:line="360" w:lineRule="auto"/>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t>（</w:t>
      </w:r>
      <w:r>
        <w:rPr>
          <w:rFonts w:hint="eastAsia" w:ascii="黑体" w:eastAsia="黑体" w:cs="Times New Roman"/>
          <w:bCs/>
          <w:color w:val="auto"/>
          <w:sz w:val="24"/>
          <w:szCs w:val="24"/>
          <w:highlight w:val="none"/>
          <w:lang w:val="en-US" w:eastAsia="zh-CN"/>
        </w:rPr>
        <w:t>十</w:t>
      </w:r>
      <w:r>
        <w:rPr>
          <w:rFonts w:hint="eastAsia" w:ascii="黑体" w:hAnsi="Times New Roman" w:eastAsia="黑体" w:cs="Times New Roman"/>
          <w:bCs/>
          <w:color w:val="auto"/>
          <w:sz w:val="24"/>
          <w:szCs w:val="24"/>
          <w:highlight w:val="none"/>
        </w:rPr>
        <w:t>）项目人员配备表（格式）</w:t>
      </w:r>
    </w:p>
    <w:p w14:paraId="4C2C14FA">
      <w:pPr>
        <w:jc w:val="center"/>
        <w:rPr>
          <w:rFonts w:hint="eastAsia" w:ascii="宋体" w:hAnsi="宋体" w:eastAsia="宋体" w:cs="宋体"/>
          <w:b/>
          <w:color w:val="auto"/>
          <w:sz w:val="24"/>
          <w:szCs w:val="24"/>
          <w:highlight w:val="none"/>
        </w:rPr>
      </w:pPr>
    </w:p>
    <w:p w14:paraId="43AD8CF6">
      <w:pPr>
        <w:spacing w:line="360" w:lineRule="auto"/>
        <w:ind w:firstLine="490"/>
        <w:jc w:val="center"/>
        <w:outlineLvl w:val="0"/>
        <w:rPr>
          <w:rFonts w:ascii="黑体" w:hAnsi="宋体" w:eastAsia="黑体" w:cs="Times New Roman"/>
          <w:bCs/>
          <w:color w:val="auto"/>
          <w:sz w:val="24"/>
          <w:szCs w:val="24"/>
          <w:highlight w:val="none"/>
        </w:rPr>
      </w:pPr>
      <w:r>
        <w:rPr>
          <w:rFonts w:hint="eastAsia" w:ascii="黑体" w:hAnsi="Calibri" w:eastAsia="黑体" w:cs="Times New Roman"/>
          <w:bCs/>
          <w:color w:val="auto"/>
          <w:sz w:val="28"/>
          <w:szCs w:val="28"/>
          <w:highlight w:val="none"/>
        </w:rPr>
        <w:t>项目人员配备表</w:t>
      </w:r>
    </w:p>
    <w:p w14:paraId="51C5F0BA">
      <w:pPr>
        <w:spacing w:line="360" w:lineRule="auto"/>
        <w:jc w:val="center"/>
        <w:rPr>
          <w:rFonts w:ascii="黑体" w:hAnsi="Calibri" w:eastAsia="黑体" w:cs="Times New Roman"/>
          <w:bCs/>
          <w:color w:val="auto"/>
          <w:sz w:val="28"/>
          <w:szCs w:val="28"/>
          <w:highlight w:val="none"/>
        </w:rPr>
      </w:pPr>
    </w:p>
    <w:p w14:paraId="7B129569">
      <w:pPr>
        <w:spacing w:line="360" w:lineRule="auto"/>
        <w:ind w:firstLine="480"/>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项目编号：</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4D584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76E44BC7">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序号</w:t>
            </w:r>
          </w:p>
        </w:tc>
        <w:tc>
          <w:tcPr>
            <w:tcW w:w="1476" w:type="dxa"/>
            <w:noWrap w:val="0"/>
            <w:vAlign w:val="center"/>
          </w:tcPr>
          <w:p w14:paraId="0D0A8003">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姓名</w:t>
            </w:r>
          </w:p>
        </w:tc>
        <w:tc>
          <w:tcPr>
            <w:tcW w:w="720" w:type="dxa"/>
            <w:noWrap w:val="0"/>
            <w:vAlign w:val="center"/>
          </w:tcPr>
          <w:p w14:paraId="193E8C61">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年龄</w:t>
            </w:r>
          </w:p>
        </w:tc>
        <w:tc>
          <w:tcPr>
            <w:tcW w:w="2520" w:type="dxa"/>
            <w:noWrap w:val="0"/>
            <w:vAlign w:val="center"/>
          </w:tcPr>
          <w:p w14:paraId="0076FF9B">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本项目职责</w:t>
            </w:r>
          </w:p>
        </w:tc>
        <w:tc>
          <w:tcPr>
            <w:tcW w:w="3274" w:type="dxa"/>
            <w:noWrap w:val="0"/>
            <w:vAlign w:val="center"/>
          </w:tcPr>
          <w:p w14:paraId="730C5FD4">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人员证书名称</w:t>
            </w:r>
          </w:p>
        </w:tc>
      </w:tr>
      <w:tr w14:paraId="2B5AF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E614200">
            <w:pPr>
              <w:outlineLvl w:val="0"/>
              <w:rPr>
                <w:rFonts w:ascii="黑体" w:hAnsi="Calibri" w:eastAsia="黑体" w:cs="Times New Roman"/>
                <w:bCs/>
                <w:color w:val="auto"/>
                <w:sz w:val="24"/>
                <w:szCs w:val="24"/>
                <w:highlight w:val="none"/>
              </w:rPr>
            </w:pPr>
          </w:p>
        </w:tc>
        <w:tc>
          <w:tcPr>
            <w:tcW w:w="1476" w:type="dxa"/>
            <w:noWrap w:val="0"/>
            <w:vAlign w:val="top"/>
          </w:tcPr>
          <w:p w14:paraId="62772D8D">
            <w:pPr>
              <w:outlineLvl w:val="0"/>
              <w:rPr>
                <w:rFonts w:ascii="黑体" w:hAnsi="Calibri" w:eastAsia="黑体" w:cs="Times New Roman"/>
                <w:bCs/>
                <w:color w:val="auto"/>
                <w:sz w:val="24"/>
                <w:szCs w:val="24"/>
                <w:highlight w:val="none"/>
              </w:rPr>
            </w:pPr>
          </w:p>
        </w:tc>
        <w:tc>
          <w:tcPr>
            <w:tcW w:w="720" w:type="dxa"/>
            <w:noWrap w:val="0"/>
            <w:vAlign w:val="top"/>
          </w:tcPr>
          <w:p w14:paraId="05CFEBC3">
            <w:pPr>
              <w:outlineLvl w:val="0"/>
              <w:rPr>
                <w:rFonts w:ascii="黑体" w:hAnsi="Calibri" w:eastAsia="黑体" w:cs="Times New Roman"/>
                <w:bCs/>
                <w:color w:val="auto"/>
                <w:sz w:val="24"/>
                <w:szCs w:val="24"/>
                <w:highlight w:val="none"/>
              </w:rPr>
            </w:pPr>
          </w:p>
        </w:tc>
        <w:tc>
          <w:tcPr>
            <w:tcW w:w="2520" w:type="dxa"/>
            <w:noWrap w:val="0"/>
            <w:vAlign w:val="top"/>
          </w:tcPr>
          <w:p w14:paraId="054B1F78">
            <w:pPr>
              <w:outlineLvl w:val="0"/>
              <w:rPr>
                <w:rFonts w:ascii="黑体" w:hAnsi="Calibri" w:eastAsia="黑体" w:cs="Times New Roman"/>
                <w:bCs/>
                <w:color w:val="auto"/>
                <w:sz w:val="24"/>
                <w:szCs w:val="24"/>
                <w:highlight w:val="none"/>
              </w:rPr>
            </w:pPr>
          </w:p>
        </w:tc>
        <w:tc>
          <w:tcPr>
            <w:tcW w:w="3274" w:type="dxa"/>
            <w:noWrap w:val="0"/>
            <w:vAlign w:val="top"/>
          </w:tcPr>
          <w:p w14:paraId="15AC92E7">
            <w:pPr>
              <w:outlineLvl w:val="0"/>
              <w:rPr>
                <w:rFonts w:ascii="黑体" w:hAnsi="Calibri" w:eastAsia="黑体" w:cs="Times New Roman"/>
                <w:bCs/>
                <w:color w:val="auto"/>
                <w:sz w:val="24"/>
                <w:szCs w:val="24"/>
                <w:highlight w:val="none"/>
              </w:rPr>
            </w:pPr>
          </w:p>
        </w:tc>
      </w:tr>
      <w:tr w14:paraId="30339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2955E688">
            <w:pPr>
              <w:outlineLvl w:val="0"/>
              <w:rPr>
                <w:rFonts w:ascii="黑体" w:hAnsi="Calibri" w:eastAsia="黑体" w:cs="Times New Roman"/>
                <w:bCs/>
                <w:color w:val="auto"/>
                <w:sz w:val="24"/>
                <w:szCs w:val="24"/>
                <w:highlight w:val="none"/>
              </w:rPr>
            </w:pPr>
          </w:p>
        </w:tc>
        <w:tc>
          <w:tcPr>
            <w:tcW w:w="1476" w:type="dxa"/>
            <w:noWrap w:val="0"/>
            <w:vAlign w:val="top"/>
          </w:tcPr>
          <w:p w14:paraId="115B72FD">
            <w:pPr>
              <w:outlineLvl w:val="0"/>
              <w:rPr>
                <w:rFonts w:ascii="黑体" w:hAnsi="Calibri" w:eastAsia="黑体" w:cs="Times New Roman"/>
                <w:bCs/>
                <w:color w:val="auto"/>
                <w:sz w:val="24"/>
                <w:szCs w:val="24"/>
                <w:highlight w:val="none"/>
              </w:rPr>
            </w:pPr>
          </w:p>
        </w:tc>
        <w:tc>
          <w:tcPr>
            <w:tcW w:w="720" w:type="dxa"/>
            <w:noWrap w:val="0"/>
            <w:vAlign w:val="top"/>
          </w:tcPr>
          <w:p w14:paraId="68D52BC2">
            <w:pPr>
              <w:outlineLvl w:val="0"/>
              <w:rPr>
                <w:rFonts w:ascii="黑体" w:hAnsi="Calibri" w:eastAsia="黑体" w:cs="Times New Roman"/>
                <w:bCs/>
                <w:color w:val="auto"/>
                <w:sz w:val="24"/>
                <w:szCs w:val="24"/>
                <w:highlight w:val="none"/>
              </w:rPr>
            </w:pPr>
          </w:p>
        </w:tc>
        <w:tc>
          <w:tcPr>
            <w:tcW w:w="2520" w:type="dxa"/>
            <w:noWrap w:val="0"/>
            <w:vAlign w:val="top"/>
          </w:tcPr>
          <w:p w14:paraId="2398EDBE">
            <w:pPr>
              <w:outlineLvl w:val="0"/>
              <w:rPr>
                <w:rFonts w:ascii="黑体" w:hAnsi="Calibri" w:eastAsia="黑体" w:cs="Times New Roman"/>
                <w:bCs/>
                <w:color w:val="auto"/>
                <w:sz w:val="24"/>
                <w:szCs w:val="24"/>
                <w:highlight w:val="none"/>
              </w:rPr>
            </w:pPr>
          </w:p>
        </w:tc>
        <w:tc>
          <w:tcPr>
            <w:tcW w:w="3274" w:type="dxa"/>
            <w:noWrap w:val="0"/>
            <w:vAlign w:val="top"/>
          </w:tcPr>
          <w:p w14:paraId="4020353D">
            <w:pPr>
              <w:outlineLvl w:val="0"/>
              <w:rPr>
                <w:rFonts w:ascii="黑体" w:hAnsi="Calibri" w:eastAsia="黑体" w:cs="Times New Roman"/>
                <w:bCs/>
                <w:color w:val="auto"/>
                <w:sz w:val="24"/>
                <w:szCs w:val="24"/>
                <w:highlight w:val="none"/>
              </w:rPr>
            </w:pPr>
          </w:p>
        </w:tc>
      </w:tr>
      <w:tr w14:paraId="2E76A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CD7D21E">
            <w:pPr>
              <w:outlineLvl w:val="0"/>
              <w:rPr>
                <w:rFonts w:ascii="黑体" w:hAnsi="Calibri" w:eastAsia="黑体" w:cs="Times New Roman"/>
                <w:bCs/>
                <w:color w:val="auto"/>
                <w:sz w:val="24"/>
                <w:szCs w:val="24"/>
                <w:highlight w:val="none"/>
              </w:rPr>
            </w:pPr>
          </w:p>
        </w:tc>
        <w:tc>
          <w:tcPr>
            <w:tcW w:w="1476" w:type="dxa"/>
            <w:noWrap w:val="0"/>
            <w:vAlign w:val="top"/>
          </w:tcPr>
          <w:p w14:paraId="2FA39A99">
            <w:pPr>
              <w:outlineLvl w:val="0"/>
              <w:rPr>
                <w:rFonts w:ascii="黑体" w:hAnsi="Calibri" w:eastAsia="黑体" w:cs="Times New Roman"/>
                <w:bCs/>
                <w:color w:val="auto"/>
                <w:sz w:val="24"/>
                <w:szCs w:val="24"/>
                <w:highlight w:val="none"/>
              </w:rPr>
            </w:pPr>
          </w:p>
        </w:tc>
        <w:tc>
          <w:tcPr>
            <w:tcW w:w="720" w:type="dxa"/>
            <w:noWrap w:val="0"/>
            <w:vAlign w:val="top"/>
          </w:tcPr>
          <w:p w14:paraId="5C63DD8A">
            <w:pPr>
              <w:outlineLvl w:val="0"/>
              <w:rPr>
                <w:rFonts w:ascii="黑体" w:hAnsi="Calibri" w:eastAsia="黑体" w:cs="Times New Roman"/>
                <w:bCs/>
                <w:color w:val="auto"/>
                <w:sz w:val="24"/>
                <w:szCs w:val="24"/>
                <w:highlight w:val="none"/>
              </w:rPr>
            </w:pPr>
          </w:p>
        </w:tc>
        <w:tc>
          <w:tcPr>
            <w:tcW w:w="2520" w:type="dxa"/>
            <w:noWrap w:val="0"/>
            <w:vAlign w:val="top"/>
          </w:tcPr>
          <w:p w14:paraId="5164608F">
            <w:pPr>
              <w:outlineLvl w:val="0"/>
              <w:rPr>
                <w:rFonts w:ascii="黑体" w:hAnsi="Calibri" w:eastAsia="黑体" w:cs="Times New Roman"/>
                <w:bCs/>
                <w:color w:val="auto"/>
                <w:sz w:val="24"/>
                <w:szCs w:val="24"/>
                <w:highlight w:val="none"/>
              </w:rPr>
            </w:pPr>
          </w:p>
        </w:tc>
        <w:tc>
          <w:tcPr>
            <w:tcW w:w="3274" w:type="dxa"/>
            <w:noWrap w:val="0"/>
            <w:vAlign w:val="top"/>
          </w:tcPr>
          <w:p w14:paraId="659CCADD">
            <w:pPr>
              <w:outlineLvl w:val="0"/>
              <w:rPr>
                <w:rFonts w:ascii="黑体" w:hAnsi="Calibri" w:eastAsia="黑体" w:cs="Times New Roman"/>
                <w:bCs/>
                <w:color w:val="auto"/>
                <w:sz w:val="24"/>
                <w:szCs w:val="24"/>
                <w:highlight w:val="none"/>
              </w:rPr>
            </w:pPr>
          </w:p>
        </w:tc>
      </w:tr>
      <w:tr w14:paraId="4CCB0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9CEB7A7">
            <w:pPr>
              <w:outlineLvl w:val="0"/>
              <w:rPr>
                <w:rFonts w:ascii="黑体" w:hAnsi="Calibri" w:eastAsia="黑体" w:cs="Times New Roman"/>
                <w:bCs/>
                <w:color w:val="auto"/>
                <w:sz w:val="24"/>
                <w:szCs w:val="24"/>
                <w:highlight w:val="none"/>
              </w:rPr>
            </w:pPr>
          </w:p>
        </w:tc>
        <w:tc>
          <w:tcPr>
            <w:tcW w:w="1476" w:type="dxa"/>
            <w:noWrap w:val="0"/>
            <w:vAlign w:val="top"/>
          </w:tcPr>
          <w:p w14:paraId="168A6748">
            <w:pPr>
              <w:outlineLvl w:val="0"/>
              <w:rPr>
                <w:rFonts w:ascii="黑体" w:hAnsi="Calibri" w:eastAsia="黑体" w:cs="Times New Roman"/>
                <w:bCs/>
                <w:color w:val="auto"/>
                <w:sz w:val="24"/>
                <w:szCs w:val="24"/>
                <w:highlight w:val="none"/>
              </w:rPr>
            </w:pPr>
          </w:p>
        </w:tc>
        <w:tc>
          <w:tcPr>
            <w:tcW w:w="720" w:type="dxa"/>
            <w:noWrap w:val="0"/>
            <w:vAlign w:val="top"/>
          </w:tcPr>
          <w:p w14:paraId="6EE6B05B">
            <w:pPr>
              <w:outlineLvl w:val="0"/>
              <w:rPr>
                <w:rFonts w:ascii="黑体" w:hAnsi="Calibri" w:eastAsia="黑体" w:cs="Times New Roman"/>
                <w:bCs/>
                <w:color w:val="auto"/>
                <w:sz w:val="24"/>
                <w:szCs w:val="24"/>
                <w:highlight w:val="none"/>
              </w:rPr>
            </w:pPr>
          </w:p>
        </w:tc>
        <w:tc>
          <w:tcPr>
            <w:tcW w:w="2520" w:type="dxa"/>
            <w:noWrap w:val="0"/>
            <w:vAlign w:val="top"/>
          </w:tcPr>
          <w:p w14:paraId="6D81E28A">
            <w:pPr>
              <w:outlineLvl w:val="0"/>
              <w:rPr>
                <w:rFonts w:ascii="黑体" w:hAnsi="Calibri" w:eastAsia="黑体" w:cs="Times New Roman"/>
                <w:bCs/>
                <w:color w:val="auto"/>
                <w:sz w:val="24"/>
                <w:szCs w:val="24"/>
                <w:highlight w:val="none"/>
              </w:rPr>
            </w:pPr>
          </w:p>
        </w:tc>
        <w:tc>
          <w:tcPr>
            <w:tcW w:w="3274" w:type="dxa"/>
            <w:noWrap w:val="0"/>
            <w:vAlign w:val="top"/>
          </w:tcPr>
          <w:p w14:paraId="5AAF72B8">
            <w:pPr>
              <w:outlineLvl w:val="0"/>
              <w:rPr>
                <w:rFonts w:ascii="黑体" w:hAnsi="Calibri" w:eastAsia="黑体" w:cs="Times New Roman"/>
                <w:bCs/>
                <w:color w:val="auto"/>
                <w:sz w:val="24"/>
                <w:szCs w:val="24"/>
                <w:highlight w:val="none"/>
              </w:rPr>
            </w:pPr>
          </w:p>
        </w:tc>
      </w:tr>
      <w:tr w14:paraId="08F90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59DA6C1C">
            <w:pPr>
              <w:outlineLvl w:val="0"/>
              <w:rPr>
                <w:rFonts w:ascii="黑体" w:hAnsi="Calibri" w:eastAsia="黑体" w:cs="Times New Roman"/>
                <w:bCs/>
                <w:color w:val="auto"/>
                <w:sz w:val="24"/>
                <w:szCs w:val="24"/>
                <w:highlight w:val="none"/>
              </w:rPr>
            </w:pPr>
          </w:p>
        </w:tc>
        <w:tc>
          <w:tcPr>
            <w:tcW w:w="1476" w:type="dxa"/>
            <w:noWrap w:val="0"/>
            <w:vAlign w:val="top"/>
          </w:tcPr>
          <w:p w14:paraId="4AF005C3">
            <w:pPr>
              <w:outlineLvl w:val="0"/>
              <w:rPr>
                <w:rFonts w:ascii="黑体" w:hAnsi="Calibri" w:eastAsia="黑体" w:cs="Times New Roman"/>
                <w:bCs/>
                <w:color w:val="auto"/>
                <w:sz w:val="24"/>
                <w:szCs w:val="24"/>
                <w:highlight w:val="none"/>
              </w:rPr>
            </w:pPr>
          </w:p>
        </w:tc>
        <w:tc>
          <w:tcPr>
            <w:tcW w:w="720" w:type="dxa"/>
            <w:noWrap w:val="0"/>
            <w:vAlign w:val="top"/>
          </w:tcPr>
          <w:p w14:paraId="5AB8576D">
            <w:pPr>
              <w:outlineLvl w:val="0"/>
              <w:rPr>
                <w:rFonts w:ascii="黑体" w:hAnsi="Calibri" w:eastAsia="黑体" w:cs="Times New Roman"/>
                <w:bCs/>
                <w:color w:val="auto"/>
                <w:sz w:val="24"/>
                <w:szCs w:val="24"/>
                <w:highlight w:val="none"/>
              </w:rPr>
            </w:pPr>
          </w:p>
        </w:tc>
        <w:tc>
          <w:tcPr>
            <w:tcW w:w="2520" w:type="dxa"/>
            <w:noWrap w:val="0"/>
            <w:vAlign w:val="top"/>
          </w:tcPr>
          <w:p w14:paraId="083D77C7">
            <w:pPr>
              <w:outlineLvl w:val="0"/>
              <w:rPr>
                <w:rFonts w:ascii="黑体" w:hAnsi="Calibri" w:eastAsia="黑体" w:cs="Times New Roman"/>
                <w:bCs/>
                <w:color w:val="auto"/>
                <w:sz w:val="24"/>
                <w:szCs w:val="24"/>
                <w:highlight w:val="none"/>
              </w:rPr>
            </w:pPr>
          </w:p>
        </w:tc>
        <w:tc>
          <w:tcPr>
            <w:tcW w:w="3274" w:type="dxa"/>
            <w:noWrap w:val="0"/>
            <w:vAlign w:val="top"/>
          </w:tcPr>
          <w:p w14:paraId="17E3696F">
            <w:pPr>
              <w:outlineLvl w:val="0"/>
              <w:rPr>
                <w:rFonts w:ascii="黑体" w:hAnsi="Calibri" w:eastAsia="黑体" w:cs="Times New Roman"/>
                <w:bCs/>
                <w:color w:val="auto"/>
                <w:sz w:val="24"/>
                <w:szCs w:val="24"/>
                <w:highlight w:val="none"/>
              </w:rPr>
            </w:pPr>
          </w:p>
        </w:tc>
      </w:tr>
    </w:tbl>
    <w:p w14:paraId="7F82DCBB">
      <w:pPr>
        <w:spacing w:line="360" w:lineRule="auto"/>
        <w:rPr>
          <w:rFonts w:ascii="黑体" w:hAnsi="Calibri" w:eastAsia="黑体" w:cs="Times New Roman"/>
          <w:bCs/>
          <w:color w:val="auto"/>
          <w:sz w:val="24"/>
          <w:szCs w:val="24"/>
          <w:highlight w:val="none"/>
        </w:rPr>
      </w:pPr>
    </w:p>
    <w:p w14:paraId="5DE1D6D9">
      <w:pPr>
        <w:spacing w:line="360" w:lineRule="auto"/>
        <w:ind w:firstLine="720"/>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投标人名称（盖章）：</w:t>
      </w:r>
    </w:p>
    <w:p w14:paraId="3F4C7FE9">
      <w:pPr>
        <w:spacing w:line="360" w:lineRule="auto"/>
        <w:rPr>
          <w:rFonts w:ascii="宋体" w:hAnsi="宋体" w:eastAsia="Arial" w:cs="Times New Roman"/>
          <w:bCs/>
          <w:color w:val="auto"/>
          <w:szCs w:val="22"/>
          <w:highlight w:val="none"/>
        </w:rPr>
      </w:pPr>
    </w:p>
    <w:p w14:paraId="3BDDEF71">
      <w:pPr>
        <w:spacing w:line="360" w:lineRule="auto"/>
        <w:rPr>
          <w:rFonts w:ascii="宋体" w:hAnsi="宋体" w:eastAsia="Arial" w:cs="Times New Roman"/>
          <w:bCs/>
          <w:color w:val="auto"/>
          <w:szCs w:val="22"/>
          <w:highlight w:val="none"/>
        </w:rPr>
      </w:pPr>
      <w:r>
        <w:rPr>
          <w:rFonts w:hint="eastAsia" w:ascii="宋体" w:hAnsi="宋体" w:eastAsia="Arial" w:cs="Times New Roman"/>
          <w:bCs/>
          <w:color w:val="auto"/>
          <w:szCs w:val="22"/>
          <w:highlight w:val="none"/>
        </w:rPr>
        <w:t>注：本表对应项目人员配置情况，表格不够可自行延长。</w:t>
      </w:r>
    </w:p>
    <w:p w14:paraId="14575A59">
      <w:pPr>
        <w:spacing w:line="400" w:lineRule="exact"/>
        <w:jc w:val="center"/>
        <w:rPr>
          <w:rFonts w:hint="eastAsia" w:ascii="宋体" w:hAnsi="宋体" w:eastAsia="宋体" w:cs="宋体"/>
          <w:bCs/>
          <w:color w:val="auto"/>
          <w:sz w:val="24"/>
          <w:szCs w:val="24"/>
          <w:highlight w:val="none"/>
        </w:rPr>
      </w:pPr>
    </w:p>
    <w:p w14:paraId="770803E0">
      <w:pPr>
        <w:spacing w:line="400" w:lineRule="exact"/>
        <w:jc w:val="center"/>
        <w:rPr>
          <w:rFonts w:hint="eastAsia" w:ascii="宋体" w:hAnsi="宋体" w:eastAsia="宋体" w:cs="宋体"/>
          <w:bCs/>
          <w:color w:val="auto"/>
          <w:sz w:val="24"/>
          <w:szCs w:val="24"/>
          <w:highlight w:val="none"/>
        </w:rPr>
      </w:pPr>
    </w:p>
    <w:p w14:paraId="41863C48">
      <w:pPr>
        <w:spacing w:line="400" w:lineRule="exact"/>
        <w:jc w:val="center"/>
        <w:rPr>
          <w:rFonts w:hint="eastAsia" w:ascii="宋体" w:hAnsi="宋体" w:eastAsia="宋体" w:cs="宋体"/>
          <w:bCs/>
          <w:color w:val="auto"/>
          <w:sz w:val="24"/>
          <w:szCs w:val="24"/>
          <w:highlight w:val="none"/>
        </w:rPr>
      </w:pPr>
    </w:p>
    <w:p w14:paraId="6FC7DCD2">
      <w:pPr>
        <w:spacing w:line="400" w:lineRule="exact"/>
        <w:jc w:val="center"/>
        <w:rPr>
          <w:rFonts w:hint="eastAsia" w:ascii="宋体" w:hAnsi="宋体" w:eastAsia="宋体" w:cs="宋体"/>
          <w:bCs/>
          <w:color w:val="auto"/>
          <w:sz w:val="24"/>
          <w:szCs w:val="24"/>
          <w:highlight w:val="none"/>
        </w:rPr>
      </w:pPr>
    </w:p>
    <w:p w14:paraId="573C8F81">
      <w:pPr>
        <w:spacing w:line="400" w:lineRule="exact"/>
        <w:jc w:val="center"/>
        <w:rPr>
          <w:rFonts w:hint="eastAsia" w:ascii="宋体" w:hAnsi="宋体" w:eastAsia="宋体" w:cs="宋体"/>
          <w:bCs/>
          <w:color w:val="auto"/>
          <w:sz w:val="24"/>
          <w:szCs w:val="24"/>
          <w:highlight w:val="none"/>
        </w:rPr>
      </w:pPr>
    </w:p>
    <w:p w14:paraId="25686F2F">
      <w:pPr>
        <w:spacing w:line="400" w:lineRule="exact"/>
        <w:jc w:val="center"/>
        <w:rPr>
          <w:rFonts w:hint="eastAsia" w:ascii="宋体" w:hAnsi="宋体" w:eastAsia="宋体" w:cs="宋体"/>
          <w:bCs/>
          <w:color w:val="auto"/>
          <w:sz w:val="24"/>
          <w:szCs w:val="24"/>
          <w:highlight w:val="none"/>
        </w:rPr>
      </w:pPr>
    </w:p>
    <w:p w14:paraId="58223B62">
      <w:pPr>
        <w:spacing w:line="400" w:lineRule="exact"/>
        <w:jc w:val="center"/>
        <w:rPr>
          <w:rFonts w:hint="eastAsia" w:ascii="宋体" w:hAnsi="宋体" w:eastAsia="宋体" w:cs="宋体"/>
          <w:bCs/>
          <w:color w:val="auto"/>
          <w:sz w:val="24"/>
          <w:szCs w:val="24"/>
          <w:highlight w:val="none"/>
        </w:rPr>
      </w:pPr>
    </w:p>
    <w:p w14:paraId="2DC71881">
      <w:pPr>
        <w:spacing w:line="400" w:lineRule="exact"/>
        <w:jc w:val="center"/>
        <w:rPr>
          <w:rFonts w:hint="eastAsia" w:ascii="宋体" w:hAnsi="宋体" w:eastAsia="宋体" w:cs="宋体"/>
          <w:bCs/>
          <w:color w:val="auto"/>
          <w:sz w:val="24"/>
          <w:szCs w:val="24"/>
          <w:highlight w:val="none"/>
        </w:rPr>
      </w:pPr>
    </w:p>
    <w:p w14:paraId="0EF9A145">
      <w:pPr>
        <w:rPr>
          <w:rFonts w:hint="eastAsia" w:eastAsia="黑体"/>
          <w:bCs/>
          <w:color w:val="auto"/>
          <w:sz w:val="24"/>
          <w:szCs w:val="24"/>
          <w:highlight w:val="none"/>
        </w:rPr>
      </w:pPr>
    </w:p>
    <w:p w14:paraId="2FA6D09B">
      <w:pPr>
        <w:rPr>
          <w:rFonts w:hint="eastAsia" w:eastAsia="黑体"/>
          <w:bCs/>
          <w:color w:val="auto"/>
          <w:sz w:val="24"/>
          <w:szCs w:val="24"/>
          <w:highlight w:val="none"/>
        </w:rPr>
      </w:pPr>
      <w:r>
        <w:rPr>
          <w:rFonts w:hint="eastAsia" w:eastAsia="黑体"/>
          <w:bCs/>
          <w:color w:val="auto"/>
          <w:sz w:val="24"/>
          <w:szCs w:val="24"/>
          <w:highlight w:val="none"/>
        </w:rPr>
        <w:br w:type="page"/>
      </w:r>
    </w:p>
    <w:p w14:paraId="540D4BDB">
      <w:pPr>
        <w:spacing w:line="360" w:lineRule="auto"/>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t>（十</w:t>
      </w:r>
      <w:r>
        <w:rPr>
          <w:rFonts w:hint="eastAsia" w:ascii="黑体" w:eastAsia="黑体" w:cs="Times New Roman"/>
          <w:bCs/>
          <w:color w:val="auto"/>
          <w:sz w:val="24"/>
          <w:szCs w:val="24"/>
          <w:highlight w:val="none"/>
          <w:lang w:val="en-US" w:eastAsia="zh-CN"/>
        </w:rPr>
        <w:t>一</w:t>
      </w:r>
      <w:r>
        <w:rPr>
          <w:rFonts w:hint="eastAsia" w:ascii="黑体" w:hAnsi="Times New Roman" w:eastAsia="黑体" w:cs="Times New Roman"/>
          <w:bCs/>
          <w:color w:val="auto"/>
          <w:sz w:val="24"/>
          <w:szCs w:val="24"/>
          <w:highlight w:val="none"/>
        </w:rPr>
        <w:t>）评分标准中对应的所需证明材料（如有）及技术方案：</w:t>
      </w:r>
    </w:p>
    <w:p w14:paraId="3AE8E9FE">
      <w:pPr>
        <w:pStyle w:val="269"/>
        <w:rPr>
          <w:bCs/>
          <w:color w:val="auto"/>
          <w:highlight w:val="none"/>
        </w:rPr>
      </w:pPr>
    </w:p>
    <w:p w14:paraId="6F48074B">
      <w:pPr>
        <w:pStyle w:val="269"/>
        <w:rPr>
          <w:bCs/>
          <w:color w:val="auto"/>
          <w:highlight w:val="none"/>
        </w:rPr>
      </w:pPr>
    </w:p>
    <w:p w14:paraId="18FE14F0">
      <w:pPr>
        <w:pStyle w:val="269"/>
        <w:ind w:firstLine="480"/>
        <w:rPr>
          <w:rFonts w:ascii="宋体" w:hAnsi="宋体"/>
          <w:bCs/>
          <w:color w:val="auto"/>
          <w:sz w:val="24"/>
          <w:szCs w:val="24"/>
          <w:highlight w:val="none"/>
        </w:rPr>
      </w:pPr>
    </w:p>
    <w:p w14:paraId="738BB23F">
      <w:pPr>
        <w:pStyle w:val="269"/>
        <w:ind w:firstLine="0"/>
        <w:rPr>
          <w:rFonts w:hint="eastAsia" w:ascii="宋体" w:hAnsi="宋体"/>
          <w:bCs/>
          <w:color w:val="auto"/>
          <w:sz w:val="24"/>
          <w:szCs w:val="24"/>
          <w:highlight w:val="none"/>
        </w:rPr>
      </w:pPr>
      <w:r>
        <w:rPr>
          <w:rFonts w:hint="eastAsia" w:ascii="宋体" w:hAnsi="宋体"/>
          <w:bCs/>
          <w:color w:val="auto"/>
          <w:sz w:val="24"/>
          <w:szCs w:val="24"/>
          <w:highlight w:val="none"/>
        </w:rPr>
        <w:t>注：投标人应按评分点提供证明材料及编制完整的技术方案，以便评审。</w:t>
      </w:r>
    </w:p>
    <w:p w14:paraId="1E5918D9">
      <w:pPr>
        <w:spacing w:line="360" w:lineRule="auto"/>
        <w:rPr>
          <w:rFonts w:hint="eastAsia" w:ascii="黑体" w:eastAsia="黑体"/>
          <w:bCs/>
          <w:color w:val="auto"/>
          <w:sz w:val="24"/>
          <w:szCs w:val="24"/>
          <w:highlight w:val="none"/>
        </w:rPr>
      </w:pPr>
      <w:bookmarkStart w:id="52" w:name="_Toc112006949"/>
      <w:r>
        <w:rPr>
          <w:color w:val="auto"/>
          <w:szCs w:val="21"/>
          <w:highlight w:val="none"/>
        </w:rPr>
        <w:br w:type="page" w:clear="all"/>
      </w:r>
      <w:r>
        <w:rPr>
          <w:rFonts w:hint="eastAsia" w:ascii="黑体" w:eastAsia="黑体"/>
          <w:bCs/>
          <w:color w:val="auto"/>
          <w:sz w:val="24"/>
          <w:szCs w:val="24"/>
          <w:highlight w:val="none"/>
        </w:rPr>
        <w:t>（十</w:t>
      </w:r>
      <w:r>
        <w:rPr>
          <w:rFonts w:hint="eastAsia" w:ascii="黑体" w:eastAsia="黑体"/>
          <w:bCs/>
          <w:color w:val="auto"/>
          <w:sz w:val="24"/>
          <w:szCs w:val="24"/>
          <w:highlight w:val="none"/>
          <w:lang w:val="en-US" w:eastAsia="zh-CN"/>
        </w:rPr>
        <w:t>二</w:t>
      </w:r>
      <w:r>
        <w:rPr>
          <w:rFonts w:hint="eastAsia" w:ascii="黑体" w:eastAsia="黑体"/>
          <w:bCs/>
          <w:color w:val="auto"/>
          <w:sz w:val="24"/>
          <w:szCs w:val="24"/>
          <w:highlight w:val="none"/>
        </w:rPr>
        <w:t>）其他材料</w:t>
      </w:r>
      <w:bookmarkEnd w:id="52"/>
      <w:r>
        <w:rPr>
          <w:rFonts w:hint="eastAsia" w:ascii="黑体" w:eastAsia="黑体"/>
          <w:bCs/>
          <w:color w:val="auto"/>
          <w:sz w:val="24"/>
          <w:szCs w:val="24"/>
          <w:highlight w:val="none"/>
        </w:rPr>
        <w:t>：</w:t>
      </w:r>
    </w:p>
    <w:p w14:paraId="35F66344">
      <w:pPr>
        <w:spacing w:line="360" w:lineRule="auto"/>
        <w:rPr>
          <w:rFonts w:hint="eastAsia" w:ascii="宋体" w:hAnsi="宋体"/>
          <w:bCs/>
          <w:color w:val="auto"/>
          <w:sz w:val="24"/>
          <w:szCs w:val="24"/>
          <w:highlight w:val="none"/>
        </w:rPr>
      </w:pPr>
    </w:p>
    <w:p w14:paraId="7D33BB12">
      <w:pPr>
        <w:spacing w:line="360" w:lineRule="auto"/>
        <w:rPr>
          <w:rFonts w:hint="eastAsia" w:ascii="宋体" w:hAnsi="宋体"/>
          <w:bCs/>
          <w:color w:val="auto"/>
          <w:sz w:val="24"/>
          <w:szCs w:val="24"/>
          <w:highlight w:val="none"/>
        </w:rPr>
      </w:pPr>
    </w:p>
    <w:p w14:paraId="4FA66912">
      <w:pPr>
        <w:spacing w:line="360" w:lineRule="auto"/>
        <w:rPr>
          <w:rFonts w:hint="eastAsia" w:ascii="宋体" w:hAnsi="宋体"/>
          <w:bCs/>
          <w:color w:val="auto"/>
          <w:sz w:val="24"/>
          <w:szCs w:val="24"/>
          <w:highlight w:val="none"/>
        </w:rPr>
      </w:pPr>
    </w:p>
    <w:p w14:paraId="32C3A812">
      <w:pPr>
        <w:spacing w:line="360" w:lineRule="auto"/>
        <w:rPr>
          <w:rFonts w:hint="eastAsia" w:ascii="宋体" w:hAnsi="宋体"/>
          <w:bCs/>
          <w:color w:val="auto"/>
          <w:sz w:val="24"/>
          <w:szCs w:val="24"/>
          <w:highlight w:val="none"/>
        </w:rPr>
      </w:pPr>
    </w:p>
    <w:p w14:paraId="049DB49F">
      <w:pPr>
        <w:spacing w:line="360" w:lineRule="auto"/>
        <w:rPr>
          <w:rFonts w:hint="eastAsia" w:ascii="宋体" w:hAnsi="宋体"/>
          <w:bCs/>
          <w:color w:val="auto"/>
          <w:sz w:val="24"/>
          <w:szCs w:val="24"/>
          <w:highlight w:val="none"/>
        </w:rPr>
      </w:pPr>
    </w:p>
    <w:p w14:paraId="45D8390F">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投标人认为有必要提供的声明和文件，如有自拟并自行添加</w:t>
      </w:r>
    </w:p>
    <w:p w14:paraId="2AACBE31">
      <w:pPr>
        <w:spacing w:line="360" w:lineRule="auto"/>
        <w:rPr>
          <w:rFonts w:hint="eastAsia" w:ascii="宋体" w:hAnsi="宋体"/>
          <w:bCs/>
          <w:color w:val="auto"/>
          <w:sz w:val="24"/>
          <w:szCs w:val="24"/>
          <w:highlight w:val="none"/>
        </w:rPr>
      </w:pPr>
    </w:p>
    <w:p w14:paraId="7CB2FEAB">
      <w:pPr>
        <w:spacing w:line="360" w:lineRule="auto"/>
        <w:rPr>
          <w:rFonts w:hint="eastAsia" w:ascii="宋体" w:hAnsi="宋体"/>
          <w:bCs/>
          <w:color w:val="auto"/>
          <w:sz w:val="24"/>
          <w:szCs w:val="24"/>
          <w:highlight w:val="none"/>
        </w:rPr>
      </w:pPr>
    </w:p>
    <w:p w14:paraId="30FA406D">
      <w:pPr>
        <w:spacing w:line="360" w:lineRule="auto"/>
        <w:rPr>
          <w:rFonts w:hint="eastAsia" w:ascii="仿宋_GB2312" w:hAnsi="宋体" w:eastAsia="仿宋_GB2312"/>
          <w:color w:val="auto"/>
          <w:sz w:val="24"/>
          <w:szCs w:val="24"/>
          <w:highlight w:val="none"/>
        </w:rPr>
      </w:pPr>
    </w:p>
    <w:p w14:paraId="79EDBFAC">
      <w:pPr>
        <w:spacing w:line="360" w:lineRule="auto"/>
        <w:rPr>
          <w:rFonts w:hint="eastAsia" w:ascii="仿宋_GB2312" w:hAnsi="宋体" w:eastAsia="仿宋_GB2312"/>
          <w:color w:val="auto"/>
          <w:sz w:val="24"/>
          <w:szCs w:val="24"/>
          <w:highlight w:val="none"/>
        </w:rPr>
      </w:pPr>
    </w:p>
    <w:p w14:paraId="21952312">
      <w:pPr>
        <w:spacing w:line="360" w:lineRule="auto"/>
        <w:rPr>
          <w:rFonts w:hint="eastAsia" w:ascii="仿宋_GB2312" w:hAnsi="宋体" w:eastAsia="仿宋_GB2312"/>
          <w:color w:val="auto"/>
          <w:sz w:val="24"/>
          <w:szCs w:val="24"/>
          <w:highlight w:val="none"/>
        </w:rPr>
      </w:pPr>
    </w:p>
    <w:p w14:paraId="444F3882">
      <w:pPr>
        <w:spacing w:line="360" w:lineRule="auto"/>
        <w:rPr>
          <w:rFonts w:hint="eastAsia" w:ascii="仿宋_GB2312" w:hAnsi="宋体" w:eastAsia="仿宋_GB2312"/>
          <w:color w:val="auto"/>
          <w:sz w:val="24"/>
          <w:szCs w:val="24"/>
          <w:highlight w:val="none"/>
        </w:rPr>
      </w:pPr>
    </w:p>
    <w:p w14:paraId="71870CDD">
      <w:pPr>
        <w:spacing w:line="360" w:lineRule="auto"/>
        <w:ind w:firstLine="4440"/>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公章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0BA1B58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签字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73DD10AF">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p>
    <w:sectPr>
      <w:headerReference r:id="rId18" w:type="default"/>
      <w:footerReference r:id="rId19" w:type="default"/>
      <w:pgSz w:w="11907" w:h="16840"/>
      <w:pgMar w:top="1440" w:right="1417"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955E483-7E11-4716-96FB-66B6271C8D08}"/>
  </w:font>
  <w:font w:name="黑体">
    <w:panose1 w:val="02010609060101010101"/>
    <w:charset w:val="86"/>
    <w:family w:val="auto"/>
    <w:pitch w:val="default"/>
    <w:sig w:usb0="800002BF" w:usb1="38CF7CFA" w:usb2="00000016" w:usb3="00000000" w:csb0="00040001" w:csb1="00000000"/>
    <w:embedRegular r:id="rId2" w:fontKey="{B2F012EC-3569-40AD-9283-29B240C407DC}"/>
  </w:font>
  <w:font w:name="Courier New">
    <w:panose1 w:val="02070309020205020404"/>
    <w:charset w:val="01"/>
    <w:family w:val="modern"/>
    <w:pitch w:val="default"/>
    <w:sig w:usb0="E0002EFF" w:usb1="C0007843" w:usb2="00000009" w:usb3="00000000" w:csb0="400001FF" w:csb1="FFFF0000"/>
    <w:embedRegular r:id="rId3" w:fontKey="{E18CB41A-938D-46FD-A4F0-9953E5D5A5E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C4E62276-4A30-4A2E-B150-EEEA8668B150}"/>
  </w:font>
  <w:font w:name="仿宋_GB2312">
    <w:altName w:val="仿宋"/>
    <w:panose1 w:val="02010609030101010101"/>
    <w:charset w:val="86"/>
    <w:family w:val="auto"/>
    <w:pitch w:val="default"/>
    <w:sig w:usb0="00000000" w:usb1="00000000" w:usb2="00000000" w:usb3="00000000" w:csb0="00040000" w:csb1="00000000"/>
    <w:embedRegular r:id="rId5" w:fontKey="{6D07FDF2-C254-47C9-B9A1-F777A5E06FB9}"/>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embedRegular r:id="rId6" w:fontKey="{4AF93B3F-585B-4088-A47A-BE3C388C5101}"/>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embedRegular r:id="rId7" w:fontKey="{DA16D216-560E-4B24-8034-9DBFF49CAA6A}"/>
  </w:font>
  <w:font w:name="等线">
    <w:panose1 w:val="02010600030101010101"/>
    <w:charset w:val="86"/>
    <w:family w:val="auto"/>
    <w:pitch w:val="default"/>
    <w:sig w:usb0="A00002BF" w:usb1="38CF7CFA" w:usb2="00000016" w:usb3="00000000" w:csb0="0004000F" w:csb1="00000000"/>
    <w:embedRegular r:id="rId8" w:fontKey="{35D9E3BB-25CF-4FDB-80F3-2DD77A0E6EAD}"/>
  </w:font>
  <w:font w:name="Tahoma">
    <w:panose1 w:val="020B0604030504040204"/>
    <w:charset w:val="00"/>
    <w:family w:val="auto"/>
    <w:pitch w:val="default"/>
    <w:sig w:usb0="E1002EFF" w:usb1="C000605B" w:usb2="00000029" w:usb3="00000000" w:csb0="200101FF" w:csb1="20280000"/>
    <w:embedRegular r:id="rId9" w:fontKey="{CBAC27A6-26CC-4007-AFD0-9A2FA2114A98}"/>
  </w:font>
  <w:font w:name="方正仿宋_GB2312">
    <w:panose1 w:val="02000000000000000000"/>
    <w:charset w:val="86"/>
    <w:family w:val="auto"/>
    <w:pitch w:val="default"/>
    <w:sig w:usb0="A00002BF" w:usb1="184F6CFA" w:usb2="00000012" w:usb3="00000000" w:csb0="00040001" w:csb1="00000000"/>
    <w:embedRegular r:id="rId10" w:fontKey="{45AF8D7C-F3C5-494A-BD7E-90A132EFE71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70AFE">
    <w:pPr>
      <w:pStyle w:val="228"/>
      <w:jc w:val="cente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CABCC">
    <w:pPr>
      <w:pStyle w:val="22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41769">
    <w:pPr>
      <w:pStyle w:val="22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903A886">
                          <w:pPr>
                            <w:pStyle w:val="228"/>
                          </w:pPr>
                          <w:r>
                            <w:fldChar w:fldCharType="begin"/>
                          </w:r>
                          <w:r>
                            <w:instrText xml:space="preserve"> PAGE  \* MERGEFORMAT </w:instrText>
                          </w:r>
                          <w:r>
                            <w:fldChar w:fldCharType="separate"/>
                          </w:r>
                          <w:r>
                            <w:t>1</w:t>
                          </w:r>
                          <w:r>
                            <w:fldChar w:fldCharType="end"/>
                          </w:r>
                        </w:p>
                        <w:p w14:paraId="14DB709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903A886">
                    <w:pPr>
                      <w:pStyle w:val="228"/>
                    </w:pPr>
                    <w:r>
                      <w:fldChar w:fldCharType="begin"/>
                    </w:r>
                    <w:r>
                      <w:instrText xml:space="preserve"> PAGE  \* MERGEFORMAT </w:instrText>
                    </w:r>
                    <w:r>
                      <w:fldChar w:fldCharType="separate"/>
                    </w:r>
                    <w:r>
                      <w:t>1</w:t>
                    </w:r>
                    <w:r>
                      <w:fldChar w:fldCharType="end"/>
                    </w:r>
                  </w:p>
                  <w:p w14:paraId="14DB709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479F8">
    <w:pPr>
      <w:pStyle w:val="228"/>
      <w:framePr w:wrap="around" w:vAnchor="text" w:hAnchor="margin" w:xAlign="center" w:y="1"/>
      <w:rPr>
        <w:rStyle w:val="245"/>
      </w:rPr>
    </w:pPr>
    <w:r>
      <w:rPr>
        <w:rStyle w:val="245"/>
      </w:rPr>
      <w:fldChar w:fldCharType="begin"/>
    </w:r>
    <w:r>
      <w:rPr>
        <w:rStyle w:val="245"/>
      </w:rPr>
      <w:instrText xml:space="preserve">PAGE  </w:instrText>
    </w:r>
    <w:r>
      <w:rPr>
        <w:rStyle w:val="245"/>
      </w:rPr>
      <w:fldChar w:fldCharType="separate"/>
    </w:r>
    <w:r>
      <w:rPr>
        <w:rStyle w:val="245"/>
      </w:rPr>
      <w:t>1</w:t>
    </w:r>
    <w:r>
      <w:rPr>
        <w:rStyle w:val="245"/>
      </w:rPr>
      <w:fldChar w:fldCharType="end"/>
    </w:r>
  </w:p>
  <w:p w14:paraId="2D47B390">
    <w:pPr>
      <w:pStyle w:val="22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90FBF">
    <w:pPr>
      <w:pStyle w:val="22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217CB74">
                          <w:pPr>
                            <w:pStyle w:val="228"/>
                          </w:pPr>
                          <w:r>
                            <w:fldChar w:fldCharType="begin"/>
                          </w:r>
                          <w:r>
                            <w:instrText xml:space="preserve"> PAGE  \* MERGEFORMAT </w:instrText>
                          </w:r>
                          <w:r>
                            <w:fldChar w:fldCharType="separate"/>
                          </w:r>
                          <w:r>
                            <w:t>1</w:t>
                          </w:r>
                          <w:r>
                            <w:fldChar w:fldCharType="end"/>
                          </w:r>
                        </w:p>
                        <w:p w14:paraId="439FCE4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217CB74">
                    <w:pPr>
                      <w:pStyle w:val="228"/>
                    </w:pPr>
                    <w:r>
                      <w:fldChar w:fldCharType="begin"/>
                    </w:r>
                    <w:r>
                      <w:instrText xml:space="preserve"> PAGE  \* MERGEFORMAT </w:instrText>
                    </w:r>
                    <w:r>
                      <w:fldChar w:fldCharType="separate"/>
                    </w:r>
                    <w:r>
                      <w:t>1</w:t>
                    </w:r>
                    <w:r>
                      <w:fldChar w:fldCharType="end"/>
                    </w:r>
                  </w:p>
                  <w:p w14:paraId="439FCE4F"/>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AC9D3">
    <w:pPr>
      <w:pStyle w:val="2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9945F4">
                          <w:pPr>
                            <w:pStyle w:val="228"/>
                          </w:pPr>
                          <w:r>
                            <w:fldChar w:fldCharType="begin"/>
                          </w:r>
                          <w:r>
                            <w:instrText xml:space="preserve"> PAGE  \* MERGEFORMAT </w:instrText>
                          </w:r>
                          <w:r>
                            <w:fldChar w:fldCharType="separate"/>
                          </w:r>
                          <w:r>
                            <w:t>2</w:t>
                          </w:r>
                          <w:r>
                            <w:fldChar w:fldCharType="end"/>
                          </w:r>
                        </w:p>
                        <w:p w14:paraId="4E63824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79945F4">
                    <w:pPr>
                      <w:pStyle w:val="228"/>
                    </w:pPr>
                    <w:r>
                      <w:fldChar w:fldCharType="begin"/>
                    </w:r>
                    <w:r>
                      <w:instrText xml:space="preserve"> PAGE  \* MERGEFORMAT </w:instrText>
                    </w:r>
                    <w:r>
                      <w:fldChar w:fldCharType="separate"/>
                    </w:r>
                    <w:r>
                      <w:t>2</w:t>
                    </w:r>
                    <w:r>
                      <w:fldChar w:fldCharType="end"/>
                    </w:r>
                  </w:p>
                  <w:p w14:paraId="4E63824C"/>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A383F">
    <w:pPr>
      <w:pStyle w:val="228"/>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9D2640">
                          <w:pPr>
                            <w:pStyle w:val="228"/>
                          </w:pPr>
                          <w:r>
                            <w:fldChar w:fldCharType="begin"/>
                          </w:r>
                          <w:r>
                            <w:instrText xml:space="preserve"> PAGE  \* MERGEFORMAT </w:instrText>
                          </w:r>
                          <w:r>
                            <w:fldChar w:fldCharType="separate"/>
                          </w:r>
                          <w:r>
                            <w:t>34</w:t>
                          </w:r>
                          <w:r>
                            <w:fldChar w:fldCharType="end"/>
                          </w:r>
                        </w:p>
                        <w:p w14:paraId="5BA9043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289D2640">
                    <w:pPr>
                      <w:pStyle w:val="228"/>
                    </w:pPr>
                    <w:r>
                      <w:fldChar w:fldCharType="begin"/>
                    </w:r>
                    <w:r>
                      <w:instrText xml:space="preserve"> PAGE  \* MERGEFORMAT </w:instrText>
                    </w:r>
                    <w:r>
                      <w:fldChar w:fldCharType="separate"/>
                    </w:r>
                    <w:r>
                      <w:t>34</w:t>
                    </w:r>
                    <w:r>
                      <w:fldChar w:fldCharType="end"/>
                    </w:r>
                  </w:p>
                  <w:p w14:paraId="5BA90434"/>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44E29">
    <w:pPr>
      <w:pStyle w:val="22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F6C2A6">
                          <w:pPr>
                            <w:pStyle w:val="228"/>
                          </w:pPr>
                          <w:r>
                            <w:fldChar w:fldCharType="begin"/>
                          </w:r>
                          <w:r>
                            <w:instrText xml:space="preserve"> PAGE  \* MERGEFORMAT </w:instrText>
                          </w:r>
                          <w:r>
                            <w:fldChar w:fldCharType="separate"/>
                          </w:r>
                          <w:r>
                            <w:t>33</w:t>
                          </w:r>
                          <w:r>
                            <w:fldChar w:fldCharType="end"/>
                          </w:r>
                        </w:p>
                        <w:p w14:paraId="1E033CB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28F6C2A6">
                    <w:pPr>
                      <w:pStyle w:val="228"/>
                    </w:pPr>
                    <w:r>
                      <w:fldChar w:fldCharType="begin"/>
                    </w:r>
                    <w:r>
                      <w:instrText xml:space="preserve"> PAGE  \* MERGEFORMAT </w:instrText>
                    </w:r>
                    <w:r>
                      <w:fldChar w:fldCharType="separate"/>
                    </w:r>
                    <w:r>
                      <w:t>33</w:t>
                    </w:r>
                    <w:r>
                      <w:fldChar w:fldCharType="end"/>
                    </w:r>
                  </w:p>
                  <w:p w14:paraId="1E033CBE"/>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014E75"/>
                        <w:p w14:paraId="67D0F8E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65014E75"/>
                  <w:p w14:paraId="67D0F8E6"/>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B217900"/>
                        <w:p w14:paraId="3FF4B7B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7B217900"/>
                  <w:p w14:paraId="3FF4B7B5"/>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D27088A"/>
                        <w:p w14:paraId="19C2DF19"/>
                      </w:txbxContent>
                    </wps:txbx>
                    <wps:bodyPr wrap="none" lIns="0" tIns="0" rIns="0" bIns="0" upright="1">
                      <a:spAutoFit/>
                    </wps:bodyPr>
                  </wps:wsp>
                </a:graphicData>
              </a:graphic>
            </wp:anchor>
          </w:drawing>
        </mc:Choice>
        <mc:Fallback>
          <w:pict>
            <v:shape id="_x0000_s1026" o:spid="_x0000_s1026" o:spt="202" type="#_x0000_t202" style="position:absolute;left:0pt;margin-left:239.1pt;margin-top:-0.8pt;height:144pt;width:144pt;mso-position-horizontal-relative:margin;mso-wrap-style:none;z-index:251661312;mso-width-relative:page;mso-height-relative:page;" filled="f" stroked="f" coordsize="21600,21600" o:gfxdata="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sV0Rl1gAAAAoBAAAPAAAAAAAAAAEAIAAAACIA&#10;AABkcnMvZG93bnJldi54bWxQSwECFAAUAAAACACHTuJAA2S9stIBAACnAwAADgAAAAAAAAABACAA&#10;AAAlAQAAZHJzL2Uyb0RvYy54bWxQSwUGAAAAAAYABgBZAQAAaQUAAAAA&#10;">
              <v:fill on="f" focussize="0,0"/>
              <v:stroke on="f"/>
              <v:imagedata o:title=""/>
              <o:lock v:ext="edit" aspectratio="f"/>
              <v:textbox inset="0mm,0mm,0mm,0mm" style="mso-fit-shape-to-text:t;">
                <w:txbxContent>
                  <w:p w14:paraId="0D27088A"/>
                  <w:p w14:paraId="19C2DF19"/>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1D46A0"/>
                        <w:p w14:paraId="062F403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9OQdNMBAACnAwAADgAAAGRycy9lMm9Eb2MueG1srVNLjtswDN0X6B0E&#10;7Rs7WRQZ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9OQdNMBAACnAwAADgAAAAAAAAABACAAAAAeAQAA&#10;ZHJzL2Uyb0RvYy54bWxQSwUGAAAAAAYABgBZAQAAYwUAAAAA&#10;">
              <v:fill on="f" focussize="0,0"/>
              <v:stroke on="f"/>
              <v:imagedata o:title=""/>
              <o:lock v:ext="edit" aspectratio="f"/>
              <v:textbox inset="0mm,0mm,0mm,0mm" style="mso-fit-shape-to-text:t;">
                <w:txbxContent>
                  <w:p w14:paraId="421D46A0"/>
                  <w:p w14:paraId="062F4035"/>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A40B">
    <w:pPr>
      <w:pStyle w:val="228"/>
      <w:jc w:val="center"/>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B0F4B16">
                          <w:pPr>
                            <w:pStyle w:val="228"/>
                          </w:pPr>
                          <w:r>
                            <w:fldChar w:fldCharType="begin"/>
                          </w:r>
                          <w:r>
                            <w:instrText xml:space="preserve"> PAGE  \* MERGEFORMAT </w:instrText>
                          </w:r>
                          <w:r>
                            <w:fldChar w:fldCharType="separate"/>
                          </w:r>
                          <w:r>
                            <w:t>2</w:t>
                          </w:r>
                          <w:r>
                            <w:fldChar w:fldCharType="end"/>
                          </w:r>
                        </w:p>
                        <w:p w14:paraId="059F97C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Jtdb9IBAACp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SBLnLD04tfv364/fl1/fmWU&#10;I4N6jyX13XvqjMNrGKh5zmNK1v17aOiiOEXILgxtsMkN0seom5AvN7PVEJlMEJv1ZrOkkqTafKBp&#10;hSjn6z5gfKPAshRUPNBrZnhxfodxbJ1b0jQHB21MflHj/koQZsoUSUliPGqKQz1M8mpoLiSkp0Wo&#10;uKO958y8deQz8YtzEOagnoOTD/rYEbVV5oX+FTlw0JlbmjXCToPpBbO6advSivx5zl0Pf9ju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4m11v0gEAAKkDAAAOAAAAAAAAAAEAIAAAAB4BAABk&#10;cnMvZTJvRG9jLnhtbFBLBQYAAAAABgAGAFkBAABiBQAAAAA=&#10;">
              <v:fill on="f" focussize="0,0"/>
              <v:stroke on="f"/>
              <v:imagedata o:title=""/>
              <o:lock v:ext="edit" aspectratio="f"/>
              <v:textbox inset="0mm,0mm,0mm,0mm" style="mso-fit-shape-to-text:t;">
                <w:txbxContent>
                  <w:p w14:paraId="4B0F4B16">
                    <w:pPr>
                      <w:pStyle w:val="228"/>
                    </w:pPr>
                    <w:r>
                      <w:fldChar w:fldCharType="begin"/>
                    </w:r>
                    <w:r>
                      <w:instrText xml:space="preserve"> PAGE  \* MERGEFORMAT </w:instrText>
                    </w:r>
                    <w:r>
                      <w:fldChar w:fldCharType="separate"/>
                    </w:r>
                    <w:r>
                      <w:t>2</w:t>
                    </w:r>
                    <w:r>
                      <w:fldChar w:fldCharType="end"/>
                    </w:r>
                  </w:p>
                  <w:p w14:paraId="059F97CA"/>
                </w:txbxContent>
              </v:textbox>
            </v:shape>
          </w:pict>
        </mc:Fallback>
      </mc:AlternateContent>
    </w:r>
  </w:p>
  <w:p w14:paraId="24D702A1">
    <w:pPr>
      <w:rPr>
        <w:sz w:val="24"/>
        <w:szCs w:val="24"/>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0A685">
    <w:pPr>
      <w:pStyle w:val="22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7F88A7">
                          <w:pPr>
                            <w:pStyle w:val="228"/>
                          </w:pPr>
                          <w:r>
                            <w:fldChar w:fldCharType="begin"/>
                          </w:r>
                          <w:r>
                            <w:instrText xml:space="preserve"> PAGE  \* MERGEFORMAT </w:instrText>
                          </w:r>
                          <w:r>
                            <w:fldChar w:fldCharType="separate"/>
                          </w:r>
                          <w:r>
                            <w:t>1</w:t>
                          </w:r>
                          <w:r>
                            <w:fldChar w:fldCharType="end"/>
                          </w:r>
                        </w:p>
                        <w:p w14:paraId="11D7EA5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z8p9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x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Xzz8p9MBAACpAwAADgAAAAAAAAABACAAAAAeAQAA&#10;ZHJzL2Uyb0RvYy54bWxQSwUGAAAAAAYABgBZAQAAYwUAAAAA&#10;">
              <v:fill on="f" focussize="0,0"/>
              <v:stroke on="f"/>
              <v:imagedata o:title=""/>
              <o:lock v:ext="edit" aspectratio="f"/>
              <v:textbox inset="0mm,0mm,0mm,0mm" style="mso-fit-shape-to-text:t;">
                <w:txbxContent>
                  <w:p w14:paraId="287F88A7">
                    <w:pPr>
                      <w:pStyle w:val="228"/>
                    </w:pPr>
                    <w:r>
                      <w:fldChar w:fldCharType="begin"/>
                    </w:r>
                    <w:r>
                      <w:instrText xml:space="preserve"> PAGE  \* MERGEFORMAT </w:instrText>
                    </w:r>
                    <w:r>
                      <w:fldChar w:fldCharType="separate"/>
                    </w:r>
                    <w:r>
                      <w:t>1</w:t>
                    </w:r>
                    <w:r>
                      <w:fldChar w:fldCharType="end"/>
                    </w:r>
                  </w:p>
                  <w:p w14:paraId="11D7EA50"/>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16105">
    <w:pPr>
      <w:pStyle w:val="228"/>
      <w:jc w:val="center"/>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9EB878F">
                          <w:pPr>
                            <w:pStyle w:val="228"/>
                          </w:pPr>
                          <w:r>
                            <w:fldChar w:fldCharType="begin"/>
                          </w:r>
                          <w:r>
                            <w:instrText xml:space="preserve"> PAGE  \* MERGEFORMAT </w:instrText>
                          </w:r>
                          <w:r>
                            <w:fldChar w:fldCharType="separate"/>
                          </w:r>
                          <w:r>
                            <w:t>11</w:t>
                          </w:r>
                          <w:r>
                            <w:fldChar w:fldCharType="end"/>
                          </w:r>
                        </w:p>
                        <w:p w14:paraId="07AC539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9JvJd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z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9JvJdMBAACpAwAADgAAAAAAAAABACAAAAAeAQAA&#10;ZHJzL2Uyb0RvYy54bWxQSwUGAAAAAAYABgBZAQAAYwUAAAAA&#10;">
              <v:fill on="f" focussize="0,0"/>
              <v:stroke on="f"/>
              <v:imagedata o:title=""/>
              <o:lock v:ext="edit" aspectratio="f"/>
              <v:textbox inset="0mm,0mm,0mm,0mm" style="mso-fit-shape-to-text:t;">
                <w:txbxContent>
                  <w:p w14:paraId="09EB878F">
                    <w:pPr>
                      <w:pStyle w:val="228"/>
                    </w:pPr>
                    <w:r>
                      <w:fldChar w:fldCharType="begin"/>
                    </w:r>
                    <w:r>
                      <w:instrText xml:space="preserve"> PAGE  \* MERGEFORMAT </w:instrText>
                    </w:r>
                    <w:r>
                      <w:fldChar w:fldCharType="separate"/>
                    </w:r>
                    <w:r>
                      <w:t>11</w:t>
                    </w:r>
                    <w:r>
                      <w:fldChar w:fldCharType="end"/>
                    </w:r>
                  </w:p>
                  <w:p w14:paraId="07AC539D"/>
                </w:txbxContent>
              </v:textbox>
            </v:shape>
          </w:pict>
        </mc:Fallback>
      </mc:AlternateContent>
    </w:r>
  </w:p>
  <w:p w14:paraId="43F67680">
    <w:pPr>
      <w:rPr>
        <w:sz w:val="24"/>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0AF94">
    <w:pPr>
      <w:pStyle w:val="231"/>
      <w:pBdr>
        <w:bottom w:val="none" w:color="000000" w:sz="0" w:space="1"/>
      </w:pBdr>
      <w:jc w:val="both"/>
      <w:rPr>
        <w:rFonts w:hint="eastAsia" w:eastAsia="楷体_GB2312"/>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91B29">
    <w:pPr>
      <w:pStyle w:val="231"/>
      <w:pBdr>
        <w:bottom w:val="none" w:color="000000" w:sz="0" w:space="1"/>
      </w:pBdr>
      <w:ind w:firstLine="3410"/>
      <w:jc w:val="both"/>
      <w:rPr>
        <w:rFonts w:hint="eastAsia" w:eastAsia="楷体_GB2312"/>
      </w:rPr>
    </w:pPr>
    <w:r>
      <w:rPr>
        <w:rFonts w:hint="eastAsia" w:eastAsia="楷体_GB2312"/>
        <w:sz w:val="22"/>
        <w:szCs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00C78">
    <w:pPr>
      <w:pStyle w:val="231"/>
      <w:pBdr>
        <w:bottom w:val="none" w:color="000000" w:sz="0" w:space="1"/>
      </w:pBdr>
      <w:jc w:val="both"/>
      <w:rPr>
        <w:rFonts w:hint="eastAsia" w:ascii="等线" w:hAnsi="等线"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F83F0">
    <w:pPr>
      <w:pStyle w:val="231"/>
      <w:pBdr>
        <w:bottom w:val="none" w:color="000000" w:sz="0" w:space="1"/>
      </w:pBdr>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7B134">
    <w:pPr>
      <w:pStyle w:val="231"/>
      <w:pBdr>
        <w:bottom w:val="none" w:color="000000" w:sz="0" w:space="1"/>
      </w:pBdr>
      <w:jc w:val="both"/>
      <w:rPr>
        <w:rFonts w:hint="eastAsia" w:eastAsia="楷体_GB2312"/>
      </w:rPr>
    </w:pPr>
    <w:r>
      <w:rPr>
        <w:rFonts w:hint="eastAsia" w:eastAsia="楷体_GB2312"/>
        <w:color w:val="FF0000"/>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21128">
    <w:pPr>
      <w:pStyle w:val="231"/>
      <w:pBdr>
        <w:bottom w:val="none" w:color="000000" w:sz="0" w:space="1"/>
      </w:pBdr>
      <w:jc w:val="both"/>
      <w:rPr>
        <w:rFonts w:hint="eastAsia" w:eastAsia="楷体_GB2312"/>
      </w:rPr>
    </w:pPr>
    <w:r>
      <w:rPr>
        <w:rFonts w:hint="eastAsia" w:eastAsia="楷体_GB2312"/>
        <w:sz w:val="21"/>
      </w:rPr>
      <w:t xml:space="preserve"> </w:t>
    </w:r>
    <w:r>
      <w:rPr>
        <w:rFonts w:eastAsia="楷体_GB2312"/>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p>
  <w:p w14:paraId="7AE297FB">
    <w:pPr>
      <w:rPr>
        <w:rFonts w:hint="eastAsia"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decimal"/>
      <w:lvlText w:val="（%1）"/>
      <w:lvlJc w:val="left"/>
      <w:pPr>
        <w:tabs>
          <w:tab w:val="left" w:pos="1739"/>
        </w:tabs>
        <w:ind w:left="1739" w:hanging="420"/>
      </w:pPr>
      <w:rPr>
        <w:rFonts w:hint="eastAsia"/>
      </w:rPr>
    </w:lvl>
    <w:lvl w:ilvl="1" w:tentative="0">
      <w:start w:val="1"/>
      <w:numFmt w:val="lowerLetter"/>
      <w:lvlText w:val="%2)"/>
      <w:lvlJc w:val="left"/>
      <w:pPr>
        <w:tabs>
          <w:tab w:val="left" w:pos="1739"/>
        </w:tabs>
        <w:ind w:left="1739" w:hanging="420"/>
      </w:pPr>
    </w:lvl>
    <w:lvl w:ilvl="2" w:tentative="0">
      <w:start w:val="1"/>
      <w:numFmt w:val="lowerRoman"/>
      <w:lvlText w:val="%3."/>
      <w:lvlJc w:val="right"/>
      <w:pPr>
        <w:tabs>
          <w:tab w:val="left" w:pos="2159"/>
        </w:tabs>
        <w:ind w:left="2159" w:hanging="420"/>
      </w:pPr>
    </w:lvl>
    <w:lvl w:ilvl="3" w:tentative="0">
      <w:start w:val="1"/>
      <w:numFmt w:val="decimal"/>
      <w:lvlText w:val="（%4）"/>
      <w:lvlJc w:val="left"/>
      <w:pPr>
        <w:tabs>
          <w:tab w:val="left" w:pos="2579"/>
        </w:tabs>
        <w:ind w:left="2579" w:hanging="420"/>
      </w:pPr>
      <w:rPr>
        <w:rFonts w:hint="eastAsia"/>
      </w:rPr>
    </w:lvl>
    <w:lvl w:ilvl="4" w:tentative="0">
      <w:start w:val="1"/>
      <w:numFmt w:val="lowerLetter"/>
      <w:lvlText w:val="%5)"/>
      <w:lvlJc w:val="left"/>
      <w:pPr>
        <w:tabs>
          <w:tab w:val="left" w:pos="2999"/>
        </w:tabs>
        <w:ind w:left="2999" w:hanging="420"/>
      </w:pPr>
    </w:lvl>
    <w:lvl w:ilvl="5" w:tentative="0">
      <w:start w:val="1"/>
      <w:numFmt w:val="lowerRoman"/>
      <w:lvlText w:val="%6."/>
      <w:lvlJc w:val="right"/>
      <w:pPr>
        <w:tabs>
          <w:tab w:val="left" w:pos="3419"/>
        </w:tabs>
        <w:ind w:left="3419" w:hanging="420"/>
      </w:pPr>
    </w:lvl>
    <w:lvl w:ilvl="6" w:tentative="0">
      <w:start w:val="1"/>
      <w:numFmt w:val="decimal"/>
      <w:lvlText w:val="%7."/>
      <w:lvlJc w:val="left"/>
      <w:pPr>
        <w:tabs>
          <w:tab w:val="left" w:pos="3839"/>
        </w:tabs>
        <w:ind w:left="3839" w:hanging="420"/>
      </w:pPr>
    </w:lvl>
    <w:lvl w:ilvl="7" w:tentative="0">
      <w:start w:val="1"/>
      <w:numFmt w:val="lowerLetter"/>
      <w:lvlText w:val="%8)"/>
      <w:lvlJc w:val="left"/>
      <w:pPr>
        <w:tabs>
          <w:tab w:val="left" w:pos="4259"/>
        </w:tabs>
        <w:ind w:left="4259" w:hanging="420"/>
      </w:pPr>
    </w:lvl>
    <w:lvl w:ilvl="8" w:tentative="0">
      <w:start w:val="1"/>
      <w:numFmt w:val="lowerRoman"/>
      <w:lvlText w:val="%9."/>
      <w:lvlJc w:val="right"/>
      <w:pPr>
        <w:tabs>
          <w:tab w:val="left" w:pos="4679"/>
        </w:tabs>
        <w:ind w:left="4679" w:hanging="420"/>
      </w:pPr>
    </w:lvl>
  </w:abstractNum>
  <w:abstractNum w:abstractNumId="1">
    <w:nsid w:val="CF092B84"/>
    <w:multiLevelType w:val="multilevel"/>
    <w:tmpl w:val="CF092B84"/>
    <w:lvl w:ilvl="0" w:tentative="0">
      <w:start w:val="3"/>
      <w:numFmt w:val="chineseCounting"/>
      <w:pStyle w:val="42"/>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CBA6B53"/>
    <w:multiLevelType w:val="multilevel"/>
    <w:tmpl w:val="DCBA6B53"/>
    <w:lvl w:ilvl="0" w:tentative="0">
      <w:start w:val="1"/>
      <w:numFmt w:val="decimal"/>
      <w:lvlText w:val="（%1）"/>
      <w:lvlJc w:val="left"/>
      <w:pPr>
        <w:tabs>
          <w:tab w:val="left" w:pos="2579"/>
        </w:tabs>
        <w:ind w:left="2579" w:hanging="420"/>
      </w:pPr>
      <w:rPr>
        <w:rFonts w:hint="eastAsia"/>
      </w:rPr>
    </w:lvl>
    <w:lvl w:ilvl="1" w:tentative="0">
      <w:start w:val="1"/>
      <w:numFmt w:val="lowerLetter"/>
      <w:lvlText w:val="%2)"/>
      <w:lvlJc w:val="left"/>
      <w:pPr>
        <w:tabs>
          <w:tab w:val="left" w:pos="2579"/>
        </w:tabs>
        <w:ind w:left="2579" w:hanging="420"/>
      </w:pPr>
    </w:lvl>
    <w:lvl w:ilvl="2" w:tentative="0">
      <w:start w:val="1"/>
      <w:numFmt w:val="lowerRoman"/>
      <w:lvlText w:val="%3."/>
      <w:lvlJc w:val="right"/>
      <w:pPr>
        <w:tabs>
          <w:tab w:val="left" w:pos="2999"/>
        </w:tabs>
        <w:ind w:left="2999" w:hanging="420"/>
      </w:pPr>
    </w:lvl>
    <w:lvl w:ilvl="3" w:tentative="0">
      <w:start w:val="1"/>
      <w:numFmt w:val="decimal"/>
      <w:lvlText w:val="%4."/>
      <w:lvlJc w:val="left"/>
      <w:pPr>
        <w:tabs>
          <w:tab w:val="left" w:pos="3419"/>
        </w:tabs>
        <w:ind w:left="3419" w:hanging="420"/>
      </w:pPr>
    </w:lvl>
    <w:lvl w:ilvl="4" w:tentative="0">
      <w:start w:val="1"/>
      <w:numFmt w:val="lowerLetter"/>
      <w:lvlText w:val="%5)"/>
      <w:lvlJc w:val="left"/>
      <w:pPr>
        <w:tabs>
          <w:tab w:val="left" w:pos="3839"/>
        </w:tabs>
        <w:ind w:left="3839" w:hanging="420"/>
      </w:pPr>
    </w:lvl>
    <w:lvl w:ilvl="5" w:tentative="0">
      <w:start w:val="1"/>
      <w:numFmt w:val="lowerRoman"/>
      <w:lvlText w:val="%6."/>
      <w:lvlJc w:val="right"/>
      <w:pPr>
        <w:tabs>
          <w:tab w:val="left" w:pos="4259"/>
        </w:tabs>
        <w:ind w:left="4259" w:hanging="420"/>
      </w:pPr>
    </w:lvl>
    <w:lvl w:ilvl="6" w:tentative="0">
      <w:start w:val="1"/>
      <w:numFmt w:val="decimal"/>
      <w:lvlText w:val="%7."/>
      <w:lvlJc w:val="left"/>
      <w:pPr>
        <w:tabs>
          <w:tab w:val="left" w:pos="4679"/>
        </w:tabs>
        <w:ind w:left="4679" w:hanging="420"/>
      </w:pPr>
    </w:lvl>
    <w:lvl w:ilvl="7" w:tentative="0">
      <w:start w:val="1"/>
      <w:numFmt w:val="lowerLetter"/>
      <w:lvlText w:val="%8)"/>
      <w:lvlJc w:val="left"/>
      <w:pPr>
        <w:tabs>
          <w:tab w:val="left" w:pos="5099"/>
        </w:tabs>
        <w:ind w:left="5099" w:hanging="420"/>
      </w:pPr>
    </w:lvl>
    <w:lvl w:ilvl="8" w:tentative="0">
      <w:start w:val="1"/>
      <w:numFmt w:val="lowerRoman"/>
      <w:lvlText w:val="%9."/>
      <w:lvlJc w:val="right"/>
      <w:pPr>
        <w:tabs>
          <w:tab w:val="left" w:pos="5519"/>
        </w:tabs>
        <w:ind w:left="5519" w:hanging="420"/>
      </w:pPr>
    </w:lvl>
  </w:abstractNum>
  <w:abstractNum w:abstractNumId="3">
    <w:nsid w:val="EB67756C"/>
    <w:multiLevelType w:val="singleLevel"/>
    <w:tmpl w:val="EB67756C"/>
    <w:lvl w:ilvl="0" w:tentative="0">
      <w:start w:val="1"/>
      <w:numFmt w:val="decimal"/>
      <w:suff w:val="nothing"/>
      <w:lvlText w:val="（%1）"/>
      <w:lvlJc w:val="left"/>
    </w:lvl>
  </w:abstractNum>
  <w:abstractNum w:abstractNumId="4">
    <w:nsid w:val="F484D905"/>
    <w:multiLevelType w:val="singleLevel"/>
    <w:tmpl w:val="F484D905"/>
    <w:lvl w:ilvl="0" w:tentative="0">
      <w:start w:val="1"/>
      <w:numFmt w:val="decimal"/>
      <w:suff w:val="nothing"/>
      <w:lvlText w:val="（%1）"/>
      <w:lvlJc w:val="left"/>
    </w:lvl>
  </w:abstractNum>
  <w:abstractNum w:abstractNumId="5">
    <w:nsid w:val="F4B5D9F5"/>
    <w:multiLevelType w:val="multilevel"/>
    <w:tmpl w:val="F4B5D9F5"/>
    <w:lvl w:ilvl="0" w:tentative="0">
      <w:start w:val="1"/>
      <w:numFmt w:val="decimal"/>
      <w:lvlText w:val="（%1）"/>
      <w:lvlJc w:val="left"/>
      <w:pPr>
        <w:tabs>
          <w:tab w:val="left" w:pos="2579"/>
        </w:tabs>
        <w:ind w:left="2579" w:hanging="420"/>
      </w:pPr>
      <w:rPr>
        <w:rFonts w:hint="eastAsia"/>
      </w:rPr>
    </w:lvl>
    <w:lvl w:ilvl="1" w:tentative="0">
      <w:start w:val="1"/>
      <w:numFmt w:val="lowerLetter"/>
      <w:lvlText w:val="%2)"/>
      <w:lvlJc w:val="left"/>
      <w:pPr>
        <w:tabs>
          <w:tab w:val="left" w:pos="2579"/>
        </w:tabs>
        <w:ind w:left="2579" w:hanging="420"/>
      </w:pPr>
    </w:lvl>
    <w:lvl w:ilvl="2" w:tentative="0">
      <w:start w:val="1"/>
      <w:numFmt w:val="lowerRoman"/>
      <w:lvlText w:val="%3."/>
      <w:lvlJc w:val="right"/>
      <w:pPr>
        <w:tabs>
          <w:tab w:val="left" w:pos="2999"/>
        </w:tabs>
        <w:ind w:left="2999" w:hanging="420"/>
      </w:pPr>
    </w:lvl>
    <w:lvl w:ilvl="3" w:tentative="0">
      <w:start w:val="1"/>
      <w:numFmt w:val="decimal"/>
      <w:lvlText w:val="%4."/>
      <w:lvlJc w:val="left"/>
      <w:pPr>
        <w:tabs>
          <w:tab w:val="left" w:pos="3419"/>
        </w:tabs>
        <w:ind w:left="3419" w:hanging="420"/>
      </w:pPr>
    </w:lvl>
    <w:lvl w:ilvl="4" w:tentative="0">
      <w:start w:val="1"/>
      <w:numFmt w:val="lowerLetter"/>
      <w:lvlText w:val="%5)"/>
      <w:lvlJc w:val="left"/>
      <w:pPr>
        <w:tabs>
          <w:tab w:val="left" w:pos="3839"/>
        </w:tabs>
        <w:ind w:left="3839" w:hanging="420"/>
      </w:pPr>
    </w:lvl>
    <w:lvl w:ilvl="5" w:tentative="0">
      <w:start w:val="1"/>
      <w:numFmt w:val="lowerRoman"/>
      <w:lvlText w:val="%6."/>
      <w:lvlJc w:val="right"/>
      <w:pPr>
        <w:tabs>
          <w:tab w:val="left" w:pos="4259"/>
        </w:tabs>
        <w:ind w:left="4259" w:hanging="420"/>
      </w:pPr>
    </w:lvl>
    <w:lvl w:ilvl="6" w:tentative="0">
      <w:start w:val="1"/>
      <w:numFmt w:val="decimal"/>
      <w:lvlText w:val="%7."/>
      <w:lvlJc w:val="left"/>
      <w:pPr>
        <w:tabs>
          <w:tab w:val="left" w:pos="4679"/>
        </w:tabs>
        <w:ind w:left="4679" w:hanging="420"/>
      </w:pPr>
    </w:lvl>
    <w:lvl w:ilvl="7" w:tentative="0">
      <w:start w:val="1"/>
      <w:numFmt w:val="lowerLetter"/>
      <w:lvlText w:val="%8)"/>
      <w:lvlJc w:val="left"/>
      <w:pPr>
        <w:tabs>
          <w:tab w:val="left" w:pos="5099"/>
        </w:tabs>
        <w:ind w:left="5099" w:hanging="420"/>
      </w:pPr>
    </w:lvl>
    <w:lvl w:ilvl="8" w:tentative="0">
      <w:start w:val="1"/>
      <w:numFmt w:val="lowerRoman"/>
      <w:lvlText w:val="%9."/>
      <w:lvlJc w:val="right"/>
      <w:pPr>
        <w:tabs>
          <w:tab w:val="left" w:pos="5519"/>
        </w:tabs>
        <w:ind w:left="5519" w:hanging="420"/>
      </w:pPr>
    </w:lvl>
  </w:abstractNum>
  <w:abstractNum w:abstractNumId="6">
    <w:nsid w:val="0053208E"/>
    <w:multiLevelType w:val="multilevel"/>
    <w:tmpl w:val="0053208E"/>
    <w:lvl w:ilvl="0" w:tentative="0">
      <w:start w:val="1"/>
      <w:numFmt w:val="upperLetter"/>
      <w:pStyle w:val="199"/>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1266142F"/>
    <w:multiLevelType w:val="singleLevel"/>
    <w:tmpl w:val="1266142F"/>
    <w:lvl w:ilvl="0" w:tentative="0">
      <w:start w:val="7"/>
      <w:numFmt w:val="decimal"/>
      <w:suff w:val="nothing"/>
      <w:lvlText w:val="%1）"/>
      <w:lvlJc w:val="left"/>
    </w:lvl>
  </w:abstractNum>
  <w:abstractNum w:abstractNumId="8">
    <w:nsid w:val="19C2BD27"/>
    <w:multiLevelType w:val="singleLevel"/>
    <w:tmpl w:val="19C2BD27"/>
    <w:lvl w:ilvl="0" w:tentative="0">
      <w:start w:val="1"/>
      <w:numFmt w:val="decimal"/>
      <w:suff w:val="nothing"/>
      <w:lvlText w:val="（%1）"/>
      <w:lvlJc w:val="left"/>
    </w:lvl>
  </w:abstractNum>
  <w:abstractNum w:abstractNumId="9">
    <w:nsid w:val="245B2294"/>
    <w:multiLevelType w:val="singleLevel"/>
    <w:tmpl w:val="245B2294"/>
    <w:lvl w:ilvl="0" w:tentative="0">
      <w:start w:val="1"/>
      <w:numFmt w:val="decimal"/>
      <w:suff w:val="nothing"/>
      <w:lvlText w:val="（%1）"/>
      <w:lvlJc w:val="left"/>
    </w:lvl>
  </w:abstractNum>
  <w:abstractNum w:abstractNumId="10">
    <w:nsid w:val="2470EC97"/>
    <w:multiLevelType w:val="multilevel"/>
    <w:tmpl w:val="2470EC97"/>
    <w:lvl w:ilvl="0" w:tentative="0">
      <w:start w:val="1"/>
      <w:numFmt w:val="decimal"/>
      <w:lvlText w:val="（%1）"/>
      <w:lvlJc w:val="left"/>
      <w:pPr>
        <w:tabs>
          <w:tab w:val="left" w:pos="2579"/>
        </w:tabs>
        <w:ind w:left="2579" w:hanging="420"/>
      </w:pPr>
      <w:rPr>
        <w:rFonts w:hint="eastAsia"/>
      </w:rPr>
    </w:lvl>
    <w:lvl w:ilvl="1" w:tentative="0">
      <w:start w:val="1"/>
      <w:numFmt w:val="lowerLetter"/>
      <w:lvlText w:val="%2)"/>
      <w:lvlJc w:val="left"/>
      <w:pPr>
        <w:tabs>
          <w:tab w:val="left" w:pos="2579"/>
        </w:tabs>
        <w:ind w:left="2579" w:hanging="420"/>
      </w:pPr>
    </w:lvl>
    <w:lvl w:ilvl="2" w:tentative="0">
      <w:start w:val="1"/>
      <w:numFmt w:val="lowerRoman"/>
      <w:lvlText w:val="%3."/>
      <w:lvlJc w:val="right"/>
      <w:pPr>
        <w:tabs>
          <w:tab w:val="left" w:pos="2999"/>
        </w:tabs>
        <w:ind w:left="2999" w:hanging="420"/>
      </w:pPr>
    </w:lvl>
    <w:lvl w:ilvl="3" w:tentative="0">
      <w:start w:val="1"/>
      <w:numFmt w:val="decimal"/>
      <w:lvlText w:val="%4."/>
      <w:lvlJc w:val="left"/>
      <w:pPr>
        <w:tabs>
          <w:tab w:val="left" w:pos="3419"/>
        </w:tabs>
        <w:ind w:left="3419" w:hanging="420"/>
      </w:pPr>
    </w:lvl>
    <w:lvl w:ilvl="4" w:tentative="0">
      <w:start w:val="1"/>
      <w:numFmt w:val="lowerLetter"/>
      <w:lvlText w:val="%5)"/>
      <w:lvlJc w:val="left"/>
      <w:pPr>
        <w:tabs>
          <w:tab w:val="left" w:pos="3839"/>
        </w:tabs>
        <w:ind w:left="3839" w:hanging="420"/>
      </w:pPr>
    </w:lvl>
    <w:lvl w:ilvl="5" w:tentative="0">
      <w:start w:val="1"/>
      <w:numFmt w:val="lowerRoman"/>
      <w:lvlText w:val="%6."/>
      <w:lvlJc w:val="right"/>
      <w:pPr>
        <w:tabs>
          <w:tab w:val="left" w:pos="4259"/>
        </w:tabs>
        <w:ind w:left="4259" w:hanging="420"/>
      </w:pPr>
    </w:lvl>
    <w:lvl w:ilvl="6" w:tentative="0">
      <w:start w:val="1"/>
      <w:numFmt w:val="decimal"/>
      <w:lvlText w:val="%7."/>
      <w:lvlJc w:val="left"/>
      <w:pPr>
        <w:tabs>
          <w:tab w:val="left" w:pos="4679"/>
        </w:tabs>
        <w:ind w:left="4679" w:hanging="420"/>
      </w:pPr>
    </w:lvl>
    <w:lvl w:ilvl="7" w:tentative="0">
      <w:start w:val="1"/>
      <w:numFmt w:val="lowerLetter"/>
      <w:lvlText w:val="%8)"/>
      <w:lvlJc w:val="left"/>
      <w:pPr>
        <w:tabs>
          <w:tab w:val="left" w:pos="5099"/>
        </w:tabs>
        <w:ind w:left="5099" w:hanging="420"/>
      </w:pPr>
    </w:lvl>
    <w:lvl w:ilvl="8" w:tentative="0">
      <w:start w:val="1"/>
      <w:numFmt w:val="lowerRoman"/>
      <w:lvlText w:val="%9."/>
      <w:lvlJc w:val="right"/>
      <w:pPr>
        <w:tabs>
          <w:tab w:val="left" w:pos="5519"/>
        </w:tabs>
        <w:ind w:left="5519" w:hanging="420"/>
      </w:pPr>
    </w:lvl>
  </w:abstractNum>
  <w:abstractNum w:abstractNumId="11">
    <w:nsid w:val="2F85AF84"/>
    <w:multiLevelType w:val="singleLevel"/>
    <w:tmpl w:val="2F85AF84"/>
    <w:lvl w:ilvl="0" w:tentative="0">
      <w:start w:val="1"/>
      <w:numFmt w:val="decimal"/>
      <w:suff w:val="nothing"/>
      <w:lvlText w:val="（%1）"/>
      <w:lvlJc w:val="left"/>
    </w:lvl>
  </w:abstractNum>
  <w:abstractNum w:abstractNumId="12">
    <w:nsid w:val="38AB87B3"/>
    <w:multiLevelType w:val="singleLevel"/>
    <w:tmpl w:val="38AB87B3"/>
    <w:lvl w:ilvl="0" w:tentative="0">
      <w:start w:val="1"/>
      <w:numFmt w:val="decimal"/>
      <w:suff w:val="nothing"/>
      <w:lvlText w:val="%1）"/>
      <w:lvlJc w:val="left"/>
    </w:lvl>
  </w:abstractNum>
  <w:abstractNum w:abstractNumId="13">
    <w:nsid w:val="4D4DC07F"/>
    <w:multiLevelType w:val="multilevel"/>
    <w:tmpl w:val="4D4DC07F"/>
    <w:lvl w:ilvl="0" w:tentative="0">
      <w:start w:val="1"/>
      <w:numFmt w:val="decimal"/>
      <w:lvlText w:val="（%1）"/>
      <w:lvlJc w:val="left"/>
      <w:pPr>
        <w:tabs>
          <w:tab w:val="left" w:pos="2579"/>
        </w:tabs>
        <w:ind w:left="2579" w:hanging="420"/>
      </w:pPr>
      <w:rPr>
        <w:rFonts w:hint="eastAsia"/>
      </w:rPr>
    </w:lvl>
    <w:lvl w:ilvl="1" w:tentative="0">
      <w:start w:val="1"/>
      <w:numFmt w:val="lowerLetter"/>
      <w:lvlText w:val="%2)"/>
      <w:lvlJc w:val="left"/>
      <w:pPr>
        <w:tabs>
          <w:tab w:val="left" w:pos="2579"/>
        </w:tabs>
        <w:ind w:left="2579" w:hanging="420"/>
      </w:pPr>
    </w:lvl>
    <w:lvl w:ilvl="2" w:tentative="0">
      <w:start w:val="1"/>
      <w:numFmt w:val="lowerRoman"/>
      <w:lvlText w:val="%3."/>
      <w:lvlJc w:val="right"/>
      <w:pPr>
        <w:tabs>
          <w:tab w:val="left" w:pos="2999"/>
        </w:tabs>
        <w:ind w:left="2999" w:hanging="420"/>
      </w:pPr>
    </w:lvl>
    <w:lvl w:ilvl="3" w:tentative="0">
      <w:start w:val="1"/>
      <w:numFmt w:val="decimal"/>
      <w:lvlText w:val="%4."/>
      <w:lvlJc w:val="left"/>
      <w:pPr>
        <w:tabs>
          <w:tab w:val="left" w:pos="3419"/>
        </w:tabs>
        <w:ind w:left="3419" w:hanging="420"/>
      </w:pPr>
    </w:lvl>
    <w:lvl w:ilvl="4" w:tentative="0">
      <w:start w:val="1"/>
      <w:numFmt w:val="lowerLetter"/>
      <w:lvlText w:val="%5)"/>
      <w:lvlJc w:val="left"/>
      <w:pPr>
        <w:tabs>
          <w:tab w:val="left" w:pos="3839"/>
        </w:tabs>
        <w:ind w:left="3839" w:hanging="420"/>
      </w:pPr>
    </w:lvl>
    <w:lvl w:ilvl="5" w:tentative="0">
      <w:start w:val="1"/>
      <w:numFmt w:val="lowerRoman"/>
      <w:lvlText w:val="%6."/>
      <w:lvlJc w:val="right"/>
      <w:pPr>
        <w:tabs>
          <w:tab w:val="left" w:pos="4259"/>
        </w:tabs>
        <w:ind w:left="4259" w:hanging="420"/>
      </w:pPr>
    </w:lvl>
    <w:lvl w:ilvl="6" w:tentative="0">
      <w:start w:val="1"/>
      <w:numFmt w:val="decimal"/>
      <w:lvlText w:val="%7."/>
      <w:lvlJc w:val="left"/>
      <w:pPr>
        <w:tabs>
          <w:tab w:val="left" w:pos="4679"/>
        </w:tabs>
        <w:ind w:left="4679" w:hanging="420"/>
      </w:pPr>
    </w:lvl>
    <w:lvl w:ilvl="7" w:tentative="0">
      <w:start w:val="1"/>
      <w:numFmt w:val="lowerLetter"/>
      <w:lvlText w:val="%8)"/>
      <w:lvlJc w:val="left"/>
      <w:pPr>
        <w:tabs>
          <w:tab w:val="left" w:pos="5099"/>
        </w:tabs>
        <w:ind w:left="5099" w:hanging="420"/>
      </w:pPr>
    </w:lvl>
    <w:lvl w:ilvl="8" w:tentative="0">
      <w:start w:val="1"/>
      <w:numFmt w:val="lowerRoman"/>
      <w:lvlText w:val="%9."/>
      <w:lvlJc w:val="right"/>
      <w:pPr>
        <w:tabs>
          <w:tab w:val="left" w:pos="5519"/>
        </w:tabs>
        <w:ind w:left="5519" w:hanging="420"/>
      </w:pPr>
    </w:lvl>
  </w:abstractNum>
  <w:abstractNum w:abstractNumId="14">
    <w:nsid w:val="696ECE42"/>
    <w:multiLevelType w:val="singleLevel"/>
    <w:tmpl w:val="696ECE42"/>
    <w:lvl w:ilvl="0" w:tentative="0">
      <w:start w:val="1"/>
      <w:numFmt w:val="decimal"/>
      <w:lvlText w:val="%1."/>
      <w:lvlJc w:val="left"/>
      <w:pPr>
        <w:tabs>
          <w:tab w:val="left" w:pos="732"/>
        </w:tabs>
        <w:ind w:left="420"/>
      </w:pPr>
    </w:lvl>
  </w:abstractNum>
  <w:num w:numId="1">
    <w:abstractNumId w:val="1"/>
  </w:num>
  <w:num w:numId="2">
    <w:abstractNumId w:val="6"/>
  </w:num>
  <w:num w:numId="3">
    <w:abstractNumId w:val="12"/>
  </w:num>
  <w:num w:numId="4">
    <w:abstractNumId w:val="7"/>
  </w:num>
  <w:num w:numId="5">
    <w:abstractNumId w:val="9"/>
  </w:num>
  <w:num w:numId="6">
    <w:abstractNumId w:val="8"/>
  </w:num>
  <w:num w:numId="7">
    <w:abstractNumId w:val="3"/>
  </w:num>
  <w:num w:numId="8">
    <w:abstractNumId w:val="11"/>
  </w:num>
  <w:num w:numId="9">
    <w:abstractNumId w:val="4"/>
  </w:num>
  <w:num w:numId="10">
    <w:abstractNumId w:val="0"/>
  </w:num>
  <w:num w:numId="11">
    <w:abstractNumId w:val="13"/>
  </w:num>
  <w:num w:numId="12">
    <w:abstractNumId w:val="5"/>
  </w:num>
  <w:num w:numId="13">
    <w:abstractNumId w:val="10"/>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77076"/>
    <w:rsid w:val="00684A23"/>
    <w:rsid w:val="01A668EB"/>
    <w:rsid w:val="02155355"/>
    <w:rsid w:val="02936A01"/>
    <w:rsid w:val="04620439"/>
    <w:rsid w:val="04920FAF"/>
    <w:rsid w:val="04FE56FB"/>
    <w:rsid w:val="05123C0E"/>
    <w:rsid w:val="05B20F4D"/>
    <w:rsid w:val="06E6018A"/>
    <w:rsid w:val="07137F27"/>
    <w:rsid w:val="0758473E"/>
    <w:rsid w:val="077D28CE"/>
    <w:rsid w:val="07B90B5E"/>
    <w:rsid w:val="07CB72EF"/>
    <w:rsid w:val="07D57174"/>
    <w:rsid w:val="09940F1F"/>
    <w:rsid w:val="09E55D95"/>
    <w:rsid w:val="09F064E7"/>
    <w:rsid w:val="0A466107"/>
    <w:rsid w:val="0AFF066F"/>
    <w:rsid w:val="0D38442D"/>
    <w:rsid w:val="0D416C6F"/>
    <w:rsid w:val="0D7D0092"/>
    <w:rsid w:val="0F711766"/>
    <w:rsid w:val="0F7F2D67"/>
    <w:rsid w:val="108F6BAC"/>
    <w:rsid w:val="12E25686"/>
    <w:rsid w:val="13405939"/>
    <w:rsid w:val="13427DB4"/>
    <w:rsid w:val="13A75E69"/>
    <w:rsid w:val="13E96481"/>
    <w:rsid w:val="15360C55"/>
    <w:rsid w:val="166E53E3"/>
    <w:rsid w:val="16E11692"/>
    <w:rsid w:val="16F47617"/>
    <w:rsid w:val="17771FF6"/>
    <w:rsid w:val="177A213A"/>
    <w:rsid w:val="1931131D"/>
    <w:rsid w:val="19940C3D"/>
    <w:rsid w:val="1A6B2148"/>
    <w:rsid w:val="1AB86BAD"/>
    <w:rsid w:val="1AE23C2A"/>
    <w:rsid w:val="1AEE735D"/>
    <w:rsid w:val="1B0E2C71"/>
    <w:rsid w:val="1BD9327F"/>
    <w:rsid w:val="1C6052D7"/>
    <w:rsid w:val="1E1E31CB"/>
    <w:rsid w:val="1EA9518B"/>
    <w:rsid w:val="1F494278"/>
    <w:rsid w:val="1F7C464D"/>
    <w:rsid w:val="1FCE3F40"/>
    <w:rsid w:val="20AC0F62"/>
    <w:rsid w:val="20DC6CDE"/>
    <w:rsid w:val="215869F4"/>
    <w:rsid w:val="21E40288"/>
    <w:rsid w:val="229A552C"/>
    <w:rsid w:val="233A2855"/>
    <w:rsid w:val="23BF0FAD"/>
    <w:rsid w:val="244D480A"/>
    <w:rsid w:val="24EE7D9B"/>
    <w:rsid w:val="25A0096A"/>
    <w:rsid w:val="26B66697"/>
    <w:rsid w:val="26BB5A5B"/>
    <w:rsid w:val="26C22949"/>
    <w:rsid w:val="274C0DA9"/>
    <w:rsid w:val="27985D9D"/>
    <w:rsid w:val="27BF23DC"/>
    <w:rsid w:val="27F82CDF"/>
    <w:rsid w:val="28277120"/>
    <w:rsid w:val="289F17DA"/>
    <w:rsid w:val="29455AB0"/>
    <w:rsid w:val="2A411799"/>
    <w:rsid w:val="2ADE2AE6"/>
    <w:rsid w:val="2DB06A6B"/>
    <w:rsid w:val="2F950E14"/>
    <w:rsid w:val="2FC55B9D"/>
    <w:rsid w:val="302E70D5"/>
    <w:rsid w:val="30C0059D"/>
    <w:rsid w:val="31B5579D"/>
    <w:rsid w:val="33784CD4"/>
    <w:rsid w:val="33883169"/>
    <w:rsid w:val="339F23DB"/>
    <w:rsid w:val="34BD6F6E"/>
    <w:rsid w:val="3538296D"/>
    <w:rsid w:val="356335B3"/>
    <w:rsid w:val="36853990"/>
    <w:rsid w:val="377C1237"/>
    <w:rsid w:val="3821593A"/>
    <w:rsid w:val="389B749B"/>
    <w:rsid w:val="38A85F49"/>
    <w:rsid w:val="38CD39E3"/>
    <w:rsid w:val="397C551E"/>
    <w:rsid w:val="3A19181B"/>
    <w:rsid w:val="3BFB6703"/>
    <w:rsid w:val="3C2F64D8"/>
    <w:rsid w:val="3C3C2D43"/>
    <w:rsid w:val="3DFB4CCF"/>
    <w:rsid w:val="3E030004"/>
    <w:rsid w:val="3E3A7756"/>
    <w:rsid w:val="3E6A2A38"/>
    <w:rsid w:val="3ED100BA"/>
    <w:rsid w:val="3EE17BD1"/>
    <w:rsid w:val="3FFC4D06"/>
    <w:rsid w:val="41794FE8"/>
    <w:rsid w:val="419E624E"/>
    <w:rsid w:val="4263645E"/>
    <w:rsid w:val="42B15B0D"/>
    <w:rsid w:val="431A7B56"/>
    <w:rsid w:val="435C016E"/>
    <w:rsid w:val="43904098"/>
    <w:rsid w:val="44350BA4"/>
    <w:rsid w:val="445D5F4C"/>
    <w:rsid w:val="44651E64"/>
    <w:rsid w:val="449E1689"/>
    <w:rsid w:val="44B14380"/>
    <w:rsid w:val="45935B40"/>
    <w:rsid w:val="459806D4"/>
    <w:rsid w:val="47280A93"/>
    <w:rsid w:val="475353E4"/>
    <w:rsid w:val="48311BC9"/>
    <w:rsid w:val="48475245"/>
    <w:rsid w:val="48A34F33"/>
    <w:rsid w:val="49A14B2D"/>
    <w:rsid w:val="4B7E5126"/>
    <w:rsid w:val="4BCF5981"/>
    <w:rsid w:val="4BEF7DD1"/>
    <w:rsid w:val="4C1A4723"/>
    <w:rsid w:val="4CF84A64"/>
    <w:rsid w:val="4D07114B"/>
    <w:rsid w:val="4D726C4C"/>
    <w:rsid w:val="4ED92673"/>
    <w:rsid w:val="4F111E0D"/>
    <w:rsid w:val="4F204746"/>
    <w:rsid w:val="4FB95338"/>
    <w:rsid w:val="502D2C76"/>
    <w:rsid w:val="506556A5"/>
    <w:rsid w:val="50E81293"/>
    <w:rsid w:val="51A46F68"/>
    <w:rsid w:val="51AC406F"/>
    <w:rsid w:val="51CD7EDD"/>
    <w:rsid w:val="52642B9B"/>
    <w:rsid w:val="54812720"/>
    <w:rsid w:val="555A1FAA"/>
    <w:rsid w:val="559267E1"/>
    <w:rsid w:val="55BF2BBE"/>
    <w:rsid w:val="55C45E2B"/>
    <w:rsid w:val="55E76CAF"/>
    <w:rsid w:val="57144B90"/>
    <w:rsid w:val="572F6A90"/>
    <w:rsid w:val="58AE2D0D"/>
    <w:rsid w:val="59101387"/>
    <w:rsid w:val="591E1CF6"/>
    <w:rsid w:val="59D14FBA"/>
    <w:rsid w:val="59D979CB"/>
    <w:rsid w:val="59E52814"/>
    <w:rsid w:val="59E7658C"/>
    <w:rsid w:val="5A4B6B1B"/>
    <w:rsid w:val="5B57504B"/>
    <w:rsid w:val="5B9B762E"/>
    <w:rsid w:val="5D39025A"/>
    <w:rsid w:val="5D3C0C58"/>
    <w:rsid w:val="5E734892"/>
    <w:rsid w:val="5FD44EBD"/>
    <w:rsid w:val="5FF401F9"/>
    <w:rsid w:val="60265063"/>
    <w:rsid w:val="628250A4"/>
    <w:rsid w:val="63016E98"/>
    <w:rsid w:val="634A36E8"/>
    <w:rsid w:val="65031DA0"/>
    <w:rsid w:val="655A1AC7"/>
    <w:rsid w:val="663E5786"/>
    <w:rsid w:val="66AA2E1B"/>
    <w:rsid w:val="66AB652C"/>
    <w:rsid w:val="683A01CF"/>
    <w:rsid w:val="68B47F81"/>
    <w:rsid w:val="697F058F"/>
    <w:rsid w:val="6AB46016"/>
    <w:rsid w:val="6AD761A9"/>
    <w:rsid w:val="6C585687"/>
    <w:rsid w:val="6C8337EB"/>
    <w:rsid w:val="6CA135D1"/>
    <w:rsid w:val="6CCA7D73"/>
    <w:rsid w:val="6EBA7973"/>
    <w:rsid w:val="6EF410D7"/>
    <w:rsid w:val="6F7D26B8"/>
    <w:rsid w:val="70A42689"/>
    <w:rsid w:val="713D1975"/>
    <w:rsid w:val="71563431"/>
    <w:rsid w:val="716B13F9"/>
    <w:rsid w:val="71ED1E0E"/>
    <w:rsid w:val="722C2936"/>
    <w:rsid w:val="72787F85"/>
    <w:rsid w:val="72E96A79"/>
    <w:rsid w:val="73426189"/>
    <w:rsid w:val="7358745E"/>
    <w:rsid w:val="735B274F"/>
    <w:rsid w:val="74A81481"/>
    <w:rsid w:val="75371D1E"/>
    <w:rsid w:val="75C94940"/>
    <w:rsid w:val="75CA2B92"/>
    <w:rsid w:val="76870A83"/>
    <w:rsid w:val="771340C5"/>
    <w:rsid w:val="776C2C31"/>
    <w:rsid w:val="77784870"/>
    <w:rsid w:val="784441FF"/>
    <w:rsid w:val="78B41694"/>
    <w:rsid w:val="793212CE"/>
    <w:rsid w:val="795804B5"/>
    <w:rsid w:val="7B487DA4"/>
    <w:rsid w:val="7CAB4D9F"/>
    <w:rsid w:val="7CC3397C"/>
    <w:rsid w:val="7D977961"/>
    <w:rsid w:val="7F062761"/>
    <w:rsid w:val="7FD94A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unhideWhenUsed/>
    <w:qFormat/>
    <w:uiPriority w:val="99"/>
    <w:pPr>
      <w:spacing w:after="120"/>
    </w:pPr>
  </w:style>
  <w:style w:type="paragraph" w:styleId="15">
    <w:name w:val="Body Text Indent"/>
    <w:basedOn w:val="1"/>
    <w:next w:val="16"/>
    <w:unhideWhenUsed/>
    <w:qFormat/>
    <w:uiPriority w:val="0"/>
    <w:pPr>
      <w:ind w:firstLine="576"/>
    </w:pPr>
    <w:rPr>
      <w:b/>
      <w:sz w:val="30"/>
    </w:rPr>
  </w:style>
  <w:style w:type="paragraph" w:styleId="16">
    <w:name w:val="Body Text First Indent 2"/>
    <w:basedOn w:val="15"/>
    <w:next w:val="1"/>
    <w:qFormat/>
    <w:uiPriority w:val="0"/>
    <w:pPr>
      <w:spacing w:after="120"/>
      <w:ind w:firstLine="210" w:firstLineChars="200"/>
    </w:pPr>
    <w:rPr>
      <w:rFonts w:hAnsi="宋体"/>
      <w:color w:val="000000"/>
      <w:spacing w:val="-8"/>
      <w:kern w:val="2"/>
      <w:sz w:val="21"/>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3"/>
    <w:semiHidden/>
    <w:unhideWhenUsed/>
    <w:qFormat/>
    <w:uiPriority w:val="99"/>
    <w:pPr>
      <w:spacing w:after="0" w:line="240" w:lineRule="auto"/>
    </w:pPr>
    <w:rPr>
      <w:sz w:val="20"/>
    </w:rPr>
  </w:style>
  <w:style w:type="paragraph" w:styleId="21">
    <w:name w:val="footer"/>
    <w:basedOn w:val="1"/>
    <w:link w:val="66"/>
    <w:unhideWhenUsed/>
    <w:qFormat/>
    <w:uiPriority w:val="99"/>
    <w:pPr>
      <w:tabs>
        <w:tab w:val="center" w:pos="7143"/>
        <w:tab w:val="right" w:pos="14287"/>
      </w:tabs>
      <w:spacing w:after="0" w:line="240" w:lineRule="auto"/>
    </w:pPr>
  </w:style>
  <w:style w:type="paragraph" w:styleId="22">
    <w:name w:val="header"/>
    <w:basedOn w:val="1"/>
    <w:link w:val="64"/>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9"/>
    <w:qFormat/>
    <w:uiPriority w:val="11"/>
    <w:pPr>
      <w:spacing w:before="200" w:after="200"/>
    </w:pPr>
    <w:rPr>
      <w:sz w:val="24"/>
      <w:szCs w:val="24"/>
    </w:rPr>
  </w:style>
  <w:style w:type="paragraph" w:styleId="26">
    <w:name w:val="footnote text"/>
    <w:basedOn w:val="1"/>
    <w:link w:val="192"/>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qFormat/>
    <w:uiPriority w:val="39"/>
    <w:pPr>
      <w:tabs>
        <w:tab w:val="right" w:leader="dot" w:pos="9170"/>
      </w:tabs>
      <w:ind w:left="210" w:firstLine="150"/>
      <w:jc w:val="left"/>
    </w:pPr>
    <w:rPr>
      <w:smallCaps/>
      <w:sz w:val="20"/>
    </w:rPr>
  </w:style>
  <w:style w:type="paragraph" w:styleId="30">
    <w:name w:val="toc 9"/>
    <w:basedOn w:val="1"/>
    <w:next w:val="1"/>
    <w:unhideWhenUsed/>
    <w:qFormat/>
    <w:uiPriority w:val="39"/>
    <w:pPr>
      <w:spacing w:after="57"/>
      <w:ind w:left="2268" w:right="0" w:firstLine="0"/>
    </w:pPr>
  </w:style>
  <w:style w:type="paragraph" w:styleId="3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32">
    <w:name w:val="Title"/>
    <w:basedOn w:val="1"/>
    <w:next w:val="1"/>
    <w:link w:val="58"/>
    <w:qFormat/>
    <w:uiPriority w:val="10"/>
    <w:pPr>
      <w:spacing w:before="300" w:after="200"/>
      <w:contextualSpacing/>
    </w:pPr>
    <w:rPr>
      <w:sz w:val="48"/>
      <w:szCs w:val="48"/>
    </w:rPr>
  </w:style>
  <w:style w:type="paragraph" w:styleId="33">
    <w:name w:val="Body Text First Indent"/>
    <w:basedOn w:val="1"/>
    <w:qFormat/>
    <w:uiPriority w:val="0"/>
    <w:pPr>
      <w:widowControl/>
      <w:spacing w:after="120"/>
      <w:ind w:firstLine="420"/>
      <w:jc w:val="left"/>
    </w:pPr>
    <w:rPr>
      <w:sz w:val="30"/>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列出段落1"/>
    <w:basedOn w:val="1"/>
    <w:qFormat/>
    <w:uiPriority w:val="0"/>
    <w:pPr>
      <w:ind w:firstLine="420"/>
    </w:pPr>
    <w:rPr>
      <w:rFonts w:ascii="Calibri" w:hAnsi="Calibri"/>
      <w:szCs w:val="22"/>
    </w:rPr>
  </w:style>
  <w:style w:type="paragraph" w:customStyle="1" w:styleId="41">
    <w:name w:val="正文文本1"/>
    <w:basedOn w:val="1"/>
    <w:next w:val="42"/>
    <w:qFormat/>
    <w:uiPriority w:val="0"/>
    <w:rPr>
      <w:rFonts w:ascii="仿宋_GB2312" w:hAnsi="Times New Roman" w:eastAsia="仿宋_GB2312"/>
      <w:sz w:val="28"/>
      <w:szCs w:val="20"/>
    </w:rPr>
  </w:style>
  <w:style w:type="paragraph" w:customStyle="1" w:styleId="42">
    <w:name w:val="列表项目符号 51"/>
    <w:basedOn w:val="1"/>
    <w:qFormat/>
    <w:uiPriority w:val="0"/>
    <w:pPr>
      <w:numPr>
        <w:ilvl w:val="0"/>
        <w:numId w:val="1"/>
      </w:numPr>
    </w:pPr>
  </w:style>
  <w:style w:type="paragraph" w:customStyle="1" w:styleId="43">
    <w:name w:val="正文首行缩进 21"/>
    <w:next w:val="44"/>
    <w:unhideWhenUsed/>
    <w:qFormat/>
    <w:uiPriority w:val="99"/>
    <w:pPr>
      <w:widowControl w:val="0"/>
      <w:kinsoku w:val="0"/>
      <w:autoSpaceDE w:val="0"/>
      <w:autoSpaceDN w:val="0"/>
      <w:adjustRightInd w:val="0"/>
      <w:snapToGrid w:val="0"/>
      <w:spacing w:after="120" w:line="240" w:lineRule="auto"/>
      <w:ind w:left="420" w:firstLine="420"/>
      <w:textAlignment w:val="baseline"/>
    </w:pPr>
    <w:rPr>
      <w:rFonts w:ascii="Cambria" w:hAnsi="Cambria" w:eastAsia="华文细黑" w:cs="Arial"/>
      <w:snapToGrid w:val="0"/>
      <w:color w:val="000000"/>
      <w:sz w:val="21"/>
      <w:szCs w:val="20"/>
      <w:lang w:val="en-US" w:eastAsia="zh-CN" w:bidi="ar-SA"/>
    </w:rPr>
  </w:style>
  <w:style w:type="paragraph" w:customStyle="1" w:styleId="44">
    <w:name w:val="正文首行缩进1"/>
    <w:qFormat/>
    <w:uiPriority w:val="0"/>
    <w:pPr>
      <w:kinsoku w:val="0"/>
      <w:autoSpaceDE w:val="0"/>
      <w:autoSpaceDN w:val="0"/>
      <w:adjustRightInd w:val="0"/>
      <w:snapToGrid w:val="0"/>
      <w:spacing w:after="120" w:line="440" w:lineRule="exact"/>
      <w:ind w:firstLine="420"/>
      <w:textAlignment w:val="baseline"/>
    </w:pPr>
    <w:rPr>
      <w:rFonts w:ascii="宋体" w:hAnsi="Arial" w:eastAsia="宋体" w:cs="Arial"/>
      <w:snapToGrid w:val="0"/>
      <w:color w:val="000000"/>
      <w:sz w:val="24"/>
      <w:szCs w:val="28"/>
      <w:lang w:val="en-US" w:eastAsia="zh-CN" w:bidi="ar-SA"/>
    </w:rPr>
  </w:style>
  <w:style w:type="paragraph" w:customStyle="1" w:styleId="45">
    <w:name w:val="段"/>
    <w:next w:val="1"/>
    <w:qFormat/>
    <w:uiPriority w:val="0"/>
    <w:pPr>
      <w:ind w:firstLine="200"/>
      <w:jc w:val="both"/>
    </w:pPr>
    <w:rPr>
      <w:rFonts w:hint="default" w:ascii="宋体" w:hAnsi="Times New Roman" w:eastAsia="宋体" w:cs="Times New Roman"/>
      <w:sz w:val="21"/>
      <w:lang w:val="en-US" w:eastAsia="zh-CN" w:bidi="ar-SA"/>
    </w:rPr>
  </w:style>
  <w:style w:type="paragraph" w:styleId="46">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47">
    <w:name w:val="Default"/>
    <w:qFormat/>
    <w:uiPriority w:val="99"/>
    <w:pPr>
      <w:widowControl w:val="0"/>
    </w:pPr>
    <w:rPr>
      <w:rFonts w:hint="default" w:ascii="Arial" w:hAnsi="Arial" w:eastAsia="宋体" w:cs="Arial"/>
      <w:color w:val="000000"/>
      <w:sz w:val="24"/>
      <w:szCs w:val="24"/>
      <w:lang w:val="en-US" w:eastAsia="zh-CN" w:bidi="ar-SA"/>
    </w:rPr>
  </w:style>
  <w:style w:type="character" w:customStyle="1" w:styleId="48">
    <w:name w:val="Heading 1 Char"/>
    <w:link w:val="2"/>
    <w:qFormat/>
    <w:uiPriority w:val="9"/>
    <w:rPr>
      <w:rFonts w:ascii="Arial" w:hAnsi="Arial" w:eastAsia="Arial" w:cs="Arial"/>
      <w:sz w:val="40"/>
      <w:szCs w:val="40"/>
    </w:rPr>
  </w:style>
  <w:style w:type="character" w:customStyle="1" w:styleId="49">
    <w:name w:val="Heading 2 Char"/>
    <w:link w:val="3"/>
    <w:qFormat/>
    <w:uiPriority w:val="9"/>
    <w:rPr>
      <w:rFonts w:ascii="Arial" w:hAnsi="Arial" w:eastAsia="Arial" w:cs="Arial"/>
      <w:sz w:val="34"/>
    </w:rPr>
  </w:style>
  <w:style w:type="character" w:customStyle="1" w:styleId="50">
    <w:name w:val="Heading 3 Char"/>
    <w:link w:val="4"/>
    <w:qFormat/>
    <w:uiPriority w:val="9"/>
    <w:rPr>
      <w:rFonts w:ascii="Arial" w:hAnsi="Arial" w:eastAsia="Arial" w:cs="Arial"/>
      <w:sz w:val="30"/>
      <w:szCs w:val="30"/>
    </w:rPr>
  </w:style>
  <w:style w:type="character" w:customStyle="1" w:styleId="51">
    <w:name w:val="Heading 4 Char"/>
    <w:link w:val="5"/>
    <w:qFormat/>
    <w:uiPriority w:val="9"/>
    <w:rPr>
      <w:rFonts w:ascii="Arial" w:hAnsi="Arial" w:eastAsia="Arial" w:cs="Arial"/>
      <w:b/>
      <w:bCs/>
      <w:sz w:val="26"/>
      <w:szCs w:val="26"/>
    </w:rPr>
  </w:style>
  <w:style w:type="character" w:customStyle="1" w:styleId="52">
    <w:name w:val="Heading 5 Char"/>
    <w:link w:val="6"/>
    <w:qFormat/>
    <w:uiPriority w:val="9"/>
    <w:rPr>
      <w:rFonts w:ascii="Arial" w:hAnsi="Arial" w:eastAsia="Arial" w:cs="Arial"/>
      <w:b/>
      <w:bCs/>
      <w:sz w:val="24"/>
      <w:szCs w:val="24"/>
    </w:rPr>
  </w:style>
  <w:style w:type="character" w:customStyle="1" w:styleId="53">
    <w:name w:val="Heading 6 Char"/>
    <w:link w:val="7"/>
    <w:qFormat/>
    <w:uiPriority w:val="9"/>
    <w:rPr>
      <w:rFonts w:ascii="Arial" w:hAnsi="Arial" w:eastAsia="Arial" w:cs="Arial"/>
      <w:b/>
      <w:bCs/>
      <w:sz w:val="22"/>
      <w:szCs w:val="22"/>
    </w:rPr>
  </w:style>
  <w:style w:type="character" w:customStyle="1" w:styleId="54">
    <w:name w:val="Heading 7 Char"/>
    <w:link w:val="8"/>
    <w:qFormat/>
    <w:uiPriority w:val="9"/>
    <w:rPr>
      <w:rFonts w:ascii="Arial" w:hAnsi="Arial" w:eastAsia="Arial" w:cs="Arial"/>
      <w:b/>
      <w:bCs/>
      <w:i/>
      <w:iCs/>
      <w:sz w:val="22"/>
      <w:szCs w:val="22"/>
    </w:rPr>
  </w:style>
  <w:style w:type="character" w:customStyle="1" w:styleId="55">
    <w:name w:val="Heading 8 Char"/>
    <w:link w:val="9"/>
    <w:qFormat/>
    <w:uiPriority w:val="9"/>
    <w:rPr>
      <w:rFonts w:ascii="Arial" w:hAnsi="Arial" w:eastAsia="Arial" w:cs="Arial"/>
      <w:i/>
      <w:iCs/>
      <w:sz w:val="22"/>
      <w:szCs w:val="22"/>
    </w:rPr>
  </w:style>
  <w:style w:type="character" w:customStyle="1" w:styleId="56">
    <w:name w:val="Heading 9 Char"/>
    <w:link w:val="10"/>
    <w:qFormat/>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link w:val="32"/>
    <w:qFormat/>
    <w:uiPriority w:val="10"/>
    <w:rPr>
      <w:sz w:val="48"/>
      <w:szCs w:val="48"/>
    </w:rPr>
  </w:style>
  <w:style w:type="character" w:customStyle="1" w:styleId="59">
    <w:name w:val="Subtitle Char"/>
    <w:link w:val="25"/>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link w:val="22"/>
    <w:qFormat/>
    <w:uiPriority w:val="99"/>
  </w:style>
  <w:style w:type="character" w:customStyle="1" w:styleId="65">
    <w:name w:val="Footer Char"/>
    <w:link w:val="21"/>
    <w:qFormat/>
    <w:uiPriority w:val="99"/>
  </w:style>
  <w:style w:type="character" w:customStyle="1" w:styleId="66">
    <w:name w:val="Caption Char"/>
    <w:link w:val="21"/>
    <w:qFormat/>
    <w:uiPriority w:val="99"/>
  </w:style>
  <w:style w:type="table" w:customStyle="1" w:styleId="6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6"/>
    <w:qFormat/>
    <w:uiPriority w:val="99"/>
    <w:rPr>
      <w:sz w:val="18"/>
    </w:rPr>
  </w:style>
  <w:style w:type="character" w:customStyle="1" w:styleId="193">
    <w:name w:val="Endnote Text Char"/>
    <w:link w:val="20"/>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标题 11"/>
    <w:basedOn w:val="1"/>
    <w:next w:val="1"/>
    <w:link w:val="202"/>
    <w:qFormat/>
    <w:uiPriority w:val="0"/>
    <w:pPr>
      <w:keepNext/>
      <w:jc w:val="center"/>
      <w:outlineLvl w:val="0"/>
    </w:pPr>
    <w:rPr>
      <w:rFonts w:ascii="楷体_GB2312" w:hAnsi="楷体_GB2312" w:eastAsia="宋体"/>
      <w:b/>
      <w:sz w:val="28"/>
      <w:szCs w:val="32"/>
    </w:rPr>
  </w:style>
  <w:style w:type="paragraph" w:customStyle="1" w:styleId="196">
    <w:name w:val="标题 21"/>
    <w:basedOn w:val="1"/>
    <w:next w:val="1"/>
    <w:link w:val="203"/>
    <w:qFormat/>
    <w:uiPriority w:val="0"/>
    <w:pPr>
      <w:keepNext/>
      <w:jc w:val="center"/>
      <w:outlineLvl w:val="1"/>
    </w:pPr>
    <w:rPr>
      <w:rFonts w:ascii="楷体_GB2312" w:eastAsia="楷体_GB2312"/>
      <w:b/>
      <w:bCs/>
      <w:sz w:val="18"/>
    </w:rPr>
  </w:style>
  <w:style w:type="paragraph" w:customStyle="1" w:styleId="197">
    <w:name w:val="标题 31"/>
    <w:basedOn w:val="1"/>
    <w:next w:val="1"/>
    <w:link w:val="204"/>
    <w:qFormat/>
    <w:uiPriority w:val="0"/>
    <w:pPr>
      <w:keepNext/>
      <w:jc w:val="center"/>
      <w:outlineLvl w:val="2"/>
    </w:pPr>
    <w:rPr>
      <w:rFonts w:eastAsia="楷体_GB2312"/>
      <w:b/>
      <w:bCs/>
      <w:sz w:val="15"/>
    </w:rPr>
  </w:style>
  <w:style w:type="paragraph" w:customStyle="1" w:styleId="198">
    <w:name w:val="标题 411"/>
    <w:basedOn w:val="1"/>
    <w:next w:val="1"/>
    <w:link w:val="205"/>
    <w:qFormat/>
    <w:uiPriority w:val="0"/>
    <w:pPr>
      <w:keepNext/>
      <w:jc w:val="center"/>
      <w:outlineLvl w:val="3"/>
    </w:pPr>
    <w:rPr>
      <w:rFonts w:eastAsia="楷体_GB2312"/>
      <w:b/>
      <w:bCs/>
      <w:sz w:val="13"/>
    </w:rPr>
  </w:style>
  <w:style w:type="paragraph" w:customStyle="1" w:styleId="199">
    <w:name w:val="标题 51"/>
    <w:basedOn w:val="1"/>
    <w:next w:val="1"/>
    <w:link w:val="206"/>
    <w:qFormat/>
    <w:uiPriority w:val="0"/>
    <w:pPr>
      <w:keepNext/>
      <w:numPr>
        <w:ilvl w:val="0"/>
        <w:numId w:val="2"/>
      </w:numPr>
      <w:outlineLvl w:val="4"/>
    </w:pPr>
    <w:rPr>
      <w:rFonts w:ascii="楷体_GB2312" w:eastAsia="楷体_GB2312"/>
      <w:bCs/>
      <w:sz w:val="28"/>
    </w:rPr>
  </w:style>
  <w:style w:type="character" w:customStyle="1" w:styleId="200">
    <w:name w:val="默认段落字体1"/>
    <w:link w:val="1"/>
    <w:unhideWhenUsed/>
    <w:qFormat/>
    <w:uiPriority w:val="1"/>
  </w:style>
  <w:style w:type="table" w:customStyle="1" w:styleId="201">
    <w:name w:val="普通表格1"/>
    <w:unhideWhenUsed/>
    <w:qFormat/>
    <w:uiPriority w:val="99"/>
  </w:style>
  <w:style w:type="character" w:customStyle="1" w:styleId="202">
    <w:name w:val="标题 1 字符"/>
    <w:link w:val="195"/>
    <w:qFormat/>
    <w:uiPriority w:val="0"/>
    <w:rPr>
      <w:rFonts w:ascii="楷体_GB2312" w:hAnsi="楷体_GB2312" w:eastAsia="宋体" w:cs="Times New Roman"/>
      <w:b/>
      <w:sz w:val="28"/>
      <w:szCs w:val="32"/>
    </w:rPr>
  </w:style>
  <w:style w:type="character" w:customStyle="1" w:styleId="203">
    <w:name w:val="标题 2 字符"/>
    <w:link w:val="196"/>
    <w:qFormat/>
    <w:uiPriority w:val="0"/>
    <w:rPr>
      <w:rFonts w:ascii="楷体_GB2312" w:hAnsi="Times New Roman" w:eastAsia="楷体_GB2312" w:cs="Times New Roman"/>
      <w:b/>
      <w:bCs/>
      <w:sz w:val="18"/>
      <w:szCs w:val="20"/>
    </w:rPr>
  </w:style>
  <w:style w:type="character" w:customStyle="1" w:styleId="204">
    <w:name w:val="标题 3 字符"/>
    <w:link w:val="197"/>
    <w:qFormat/>
    <w:uiPriority w:val="0"/>
    <w:rPr>
      <w:rFonts w:ascii="Times New Roman" w:hAnsi="Times New Roman" w:eastAsia="楷体_GB2312" w:cs="Times New Roman"/>
      <w:b/>
      <w:bCs/>
      <w:sz w:val="15"/>
      <w:szCs w:val="20"/>
    </w:rPr>
  </w:style>
  <w:style w:type="character" w:customStyle="1" w:styleId="205">
    <w:name w:val="标题 4 字符"/>
    <w:link w:val="198"/>
    <w:qFormat/>
    <w:uiPriority w:val="0"/>
    <w:rPr>
      <w:rFonts w:ascii="Times New Roman" w:hAnsi="Times New Roman" w:eastAsia="楷体_GB2312" w:cs="Times New Roman"/>
      <w:b/>
      <w:bCs/>
      <w:sz w:val="13"/>
      <w:szCs w:val="20"/>
    </w:rPr>
  </w:style>
  <w:style w:type="character" w:customStyle="1" w:styleId="206">
    <w:name w:val="标题 5 字符"/>
    <w:link w:val="199"/>
    <w:qFormat/>
    <w:uiPriority w:val="0"/>
    <w:rPr>
      <w:rFonts w:ascii="楷体_GB2312" w:hAnsi="Times New Roman" w:eastAsia="楷体_GB2312" w:cs="Times New Roman"/>
      <w:bCs/>
      <w:sz w:val="28"/>
      <w:szCs w:val="20"/>
    </w:rPr>
  </w:style>
  <w:style w:type="paragraph" w:customStyle="1" w:styleId="207">
    <w:name w:val="正文缩进1"/>
    <w:basedOn w:val="1"/>
    <w:link w:val="208"/>
    <w:unhideWhenUsed/>
    <w:qFormat/>
    <w:uiPriority w:val="0"/>
    <w:pPr>
      <w:ind w:firstLine="420"/>
    </w:pPr>
  </w:style>
  <w:style w:type="character" w:customStyle="1" w:styleId="208">
    <w:name w:val="正文缩进 字符"/>
    <w:link w:val="207"/>
    <w:semiHidden/>
    <w:qFormat/>
    <w:uiPriority w:val="0"/>
    <w:rPr>
      <w:rFonts w:ascii="Times New Roman" w:hAnsi="Times New Roman"/>
      <w:sz w:val="21"/>
    </w:rPr>
  </w:style>
  <w:style w:type="paragraph" w:customStyle="1" w:styleId="209">
    <w:name w:val="文档结构图1"/>
    <w:basedOn w:val="1"/>
    <w:link w:val="210"/>
    <w:semiHidden/>
    <w:qFormat/>
    <w:uiPriority w:val="0"/>
    <w:pPr>
      <w:shd w:val="clear" w:color="auto" w:fill="000080"/>
    </w:pPr>
    <w:rPr>
      <w:sz w:val="20"/>
    </w:rPr>
  </w:style>
  <w:style w:type="character" w:customStyle="1" w:styleId="210">
    <w:name w:val="文档结构图 字符"/>
    <w:link w:val="209"/>
    <w:semiHidden/>
    <w:qFormat/>
    <w:uiPriority w:val="0"/>
    <w:rPr>
      <w:rFonts w:ascii="Times New Roman" w:hAnsi="Times New Roman" w:eastAsia="宋体" w:cs="Times New Roman"/>
      <w:szCs w:val="20"/>
      <w:shd w:val="clear" w:color="auto" w:fill="000080"/>
    </w:rPr>
  </w:style>
  <w:style w:type="paragraph" w:customStyle="1" w:styleId="211">
    <w:name w:val="批注文字1"/>
    <w:basedOn w:val="1"/>
    <w:link w:val="212"/>
    <w:semiHidden/>
    <w:qFormat/>
    <w:uiPriority w:val="99"/>
    <w:pPr>
      <w:jc w:val="left"/>
    </w:pPr>
    <w:rPr>
      <w:sz w:val="20"/>
      <w:szCs w:val="24"/>
    </w:rPr>
  </w:style>
  <w:style w:type="character" w:customStyle="1" w:styleId="212">
    <w:name w:val="批注文字 字符"/>
    <w:link w:val="211"/>
    <w:semiHidden/>
    <w:qFormat/>
    <w:uiPriority w:val="99"/>
    <w:rPr>
      <w:rFonts w:ascii="Times New Roman" w:hAnsi="Times New Roman" w:eastAsia="宋体" w:cs="Times New Roman"/>
      <w:szCs w:val="24"/>
    </w:rPr>
  </w:style>
  <w:style w:type="paragraph" w:customStyle="1" w:styleId="213">
    <w:name w:val="正文文本11"/>
    <w:basedOn w:val="1"/>
    <w:next w:val="214"/>
    <w:link w:val="215"/>
    <w:qFormat/>
    <w:uiPriority w:val="99"/>
    <w:rPr>
      <w:rFonts w:ascii="华文中宋" w:eastAsia="华文中宋"/>
      <w:bCs/>
      <w:sz w:val="28"/>
    </w:rPr>
  </w:style>
  <w:style w:type="paragraph" w:customStyle="1" w:styleId="214">
    <w:name w:val="列表1"/>
    <w:basedOn w:val="1"/>
    <w:qFormat/>
    <w:uiPriority w:val="0"/>
    <w:pPr>
      <w:tabs>
        <w:tab w:val="left" w:pos="420"/>
      </w:tabs>
      <w:spacing w:after="20" w:line="288" w:lineRule="auto"/>
      <w:ind w:left="420" w:hanging="420"/>
    </w:pPr>
    <w:rPr>
      <w:szCs w:val="20"/>
      <w:lang w:val="en-GB"/>
    </w:rPr>
  </w:style>
  <w:style w:type="character" w:customStyle="1" w:styleId="215">
    <w:name w:val="正文文本 字符"/>
    <w:link w:val="213"/>
    <w:qFormat/>
    <w:uiPriority w:val="99"/>
    <w:rPr>
      <w:rFonts w:ascii="华文中宋" w:hAnsi="Times New Roman" w:eastAsia="华文中宋" w:cs="Times New Roman"/>
      <w:bCs/>
      <w:sz w:val="28"/>
      <w:szCs w:val="20"/>
    </w:rPr>
  </w:style>
  <w:style w:type="paragraph" w:customStyle="1" w:styleId="216">
    <w:name w:val="正文文本缩进1"/>
    <w:basedOn w:val="1"/>
    <w:next w:val="217"/>
    <w:link w:val="218"/>
    <w:qFormat/>
    <w:uiPriority w:val="0"/>
    <w:pPr>
      <w:ind w:firstLine="576"/>
    </w:pPr>
    <w:rPr>
      <w:b/>
      <w:sz w:val="30"/>
    </w:rPr>
  </w:style>
  <w:style w:type="paragraph" w:customStyle="1" w:styleId="217">
    <w:name w:val="寄信人地址1"/>
    <w:basedOn w:val="1"/>
    <w:qFormat/>
    <w:uiPriority w:val="0"/>
    <w:rPr>
      <w:rFonts w:ascii="Arial" w:hAnsi="Arial"/>
    </w:rPr>
  </w:style>
  <w:style w:type="character" w:customStyle="1" w:styleId="218">
    <w:name w:val="正文文本缩进 字符"/>
    <w:link w:val="216"/>
    <w:qFormat/>
    <w:uiPriority w:val="0"/>
    <w:rPr>
      <w:rFonts w:ascii="Times New Roman" w:hAnsi="Times New Roman" w:eastAsia="宋体" w:cs="Times New Roman"/>
      <w:b/>
      <w:sz w:val="30"/>
      <w:szCs w:val="20"/>
    </w:rPr>
  </w:style>
  <w:style w:type="paragraph" w:customStyle="1" w:styleId="219">
    <w:name w:val="索引 41"/>
    <w:basedOn w:val="1"/>
    <w:next w:val="1"/>
    <w:qFormat/>
    <w:uiPriority w:val="99"/>
    <w:pPr>
      <w:ind w:left="600"/>
    </w:pPr>
    <w:rPr>
      <w:szCs w:val="24"/>
    </w:rPr>
  </w:style>
  <w:style w:type="paragraph" w:customStyle="1" w:styleId="220">
    <w:name w:val="纯文本1"/>
    <w:basedOn w:val="1"/>
    <w:link w:val="221"/>
    <w:qFormat/>
    <w:uiPriority w:val="99"/>
    <w:rPr>
      <w:rFonts w:ascii="宋体" w:hAnsi="Courier New"/>
    </w:rPr>
  </w:style>
  <w:style w:type="character" w:customStyle="1" w:styleId="221">
    <w:name w:val="纯文本 字符"/>
    <w:link w:val="220"/>
    <w:qFormat/>
    <w:uiPriority w:val="99"/>
    <w:rPr>
      <w:rFonts w:ascii="宋体" w:hAnsi="Courier New"/>
      <w:sz w:val="21"/>
    </w:rPr>
  </w:style>
  <w:style w:type="paragraph" w:customStyle="1" w:styleId="222">
    <w:name w:val="日期1"/>
    <w:basedOn w:val="1"/>
    <w:next w:val="1"/>
    <w:link w:val="223"/>
    <w:qFormat/>
    <w:uiPriority w:val="0"/>
    <w:rPr>
      <w:rFonts w:eastAsia="黑体"/>
      <w:b/>
      <w:sz w:val="36"/>
    </w:rPr>
  </w:style>
  <w:style w:type="character" w:customStyle="1" w:styleId="223">
    <w:name w:val="日期 字符"/>
    <w:link w:val="222"/>
    <w:qFormat/>
    <w:uiPriority w:val="0"/>
    <w:rPr>
      <w:rFonts w:ascii="Times New Roman" w:hAnsi="Times New Roman" w:eastAsia="黑体" w:cs="Times New Roman"/>
      <w:b/>
      <w:sz w:val="36"/>
      <w:szCs w:val="20"/>
    </w:rPr>
  </w:style>
  <w:style w:type="paragraph" w:customStyle="1" w:styleId="224">
    <w:name w:val="正文文本缩进 21"/>
    <w:basedOn w:val="1"/>
    <w:link w:val="225"/>
    <w:qFormat/>
    <w:uiPriority w:val="0"/>
    <w:pPr>
      <w:ind w:left="900"/>
    </w:pPr>
    <w:rPr>
      <w:rFonts w:ascii="楷体_GB2312" w:eastAsia="楷体_GB2312"/>
      <w:b/>
      <w:sz w:val="28"/>
    </w:rPr>
  </w:style>
  <w:style w:type="character" w:customStyle="1" w:styleId="225">
    <w:name w:val="正文文本缩进 2 字符"/>
    <w:link w:val="224"/>
    <w:qFormat/>
    <w:uiPriority w:val="0"/>
    <w:rPr>
      <w:rFonts w:ascii="楷体_GB2312" w:hAnsi="Times New Roman" w:eastAsia="楷体_GB2312" w:cs="Times New Roman"/>
      <w:b/>
      <w:sz w:val="28"/>
      <w:szCs w:val="20"/>
    </w:rPr>
  </w:style>
  <w:style w:type="paragraph" w:customStyle="1" w:styleId="226">
    <w:name w:val="批注框文本1"/>
    <w:basedOn w:val="1"/>
    <w:link w:val="227"/>
    <w:unhideWhenUsed/>
    <w:qFormat/>
    <w:uiPriority w:val="99"/>
    <w:rPr>
      <w:sz w:val="18"/>
      <w:szCs w:val="18"/>
    </w:rPr>
  </w:style>
  <w:style w:type="character" w:customStyle="1" w:styleId="227">
    <w:name w:val="批注框文本 字符"/>
    <w:link w:val="226"/>
    <w:semiHidden/>
    <w:qFormat/>
    <w:uiPriority w:val="99"/>
    <w:rPr>
      <w:rFonts w:ascii="Times New Roman" w:hAnsi="Times New Roman" w:eastAsia="宋体" w:cs="Times New Roman"/>
      <w:sz w:val="18"/>
      <w:szCs w:val="18"/>
    </w:rPr>
  </w:style>
  <w:style w:type="paragraph" w:customStyle="1" w:styleId="228">
    <w:name w:val="页脚1"/>
    <w:basedOn w:val="1"/>
    <w:next w:val="229"/>
    <w:link w:val="230"/>
    <w:unhideWhenUsed/>
    <w:qFormat/>
    <w:uiPriority w:val="0"/>
    <w:pPr>
      <w:tabs>
        <w:tab w:val="center" w:pos="4153"/>
        <w:tab w:val="right" w:pos="8306"/>
      </w:tabs>
      <w:jc w:val="left"/>
    </w:pPr>
    <w:rPr>
      <w:sz w:val="18"/>
      <w:szCs w:val="18"/>
    </w:rPr>
  </w:style>
  <w:style w:type="paragraph" w:customStyle="1" w:styleId="229">
    <w:name w:val="TOC Heading1"/>
    <w:next w:val="1"/>
    <w:qFormat/>
    <w:uiPriority w:val="0"/>
    <w:rPr>
      <w:rFonts w:hint="default" w:ascii="Times New Roman" w:hAnsi="Times New Roman" w:eastAsia="宋体" w:cs="Times New Roman"/>
      <w:sz w:val="32"/>
      <w:lang w:val="en-US" w:eastAsia="zh-CN" w:bidi="ar-SA"/>
    </w:rPr>
  </w:style>
  <w:style w:type="character" w:customStyle="1" w:styleId="230">
    <w:name w:val="页脚 字符"/>
    <w:link w:val="228"/>
    <w:qFormat/>
    <w:uiPriority w:val="0"/>
    <w:rPr>
      <w:sz w:val="18"/>
      <w:szCs w:val="18"/>
    </w:rPr>
  </w:style>
  <w:style w:type="paragraph" w:customStyle="1" w:styleId="231">
    <w:name w:val="页眉1"/>
    <w:basedOn w:val="1"/>
    <w:link w:val="232"/>
    <w:unhideWhenUsed/>
    <w:qFormat/>
    <w:uiPriority w:val="0"/>
    <w:pPr>
      <w:pBdr>
        <w:bottom w:val="single" w:color="000000" w:sz="6" w:space="1"/>
      </w:pBdr>
      <w:tabs>
        <w:tab w:val="center" w:pos="4153"/>
        <w:tab w:val="right" w:pos="8306"/>
      </w:tabs>
      <w:jc w:val="center"/>
    </w:pPr>
    <w:rPr>
      <w:sz w:val="18"/>
      <w:szCs w:val="18"/>
    </w:rPr>
  </w:style>
  <w:style w:type="character" w:customStyle="1" w:styleId="232">
    <w:name w:val="页眉 字符"/>
    <w:link w:val="231"/>
    <w:qFormat/>
    <w:uiPriority w:val="0"/>
    <w:rPr>
      <w:sz w:val="18"/>
      <w:szCs w:val="18"/>
    </w:rPr>
  </w:style>
  <w:style w:type="paragraph" w:customStyle="1" w:styleId="233">
    <w:name w:val="正文文本缩进 31"/>
    <w:basedOn w:val="1"/>
    <w:link w:val="234"/>
    <w:qFormat/>
    <w:uiPriority w:val="0"/>
    <w:pPr>
      <w:ind w:left="359" w:firstLine="359"/>
    </w:pPr>
    <w:rPr>
      <w:sz w:val="20"/>
    </w:rPr>
  </w:style>
  <w:style w:type="character" w:customStyle="1" w:styleId="234">
    <w:name w:val="正文文本缩进 3 字符"/>
    <w:link w:val="233"/>
    <w:qFormat/>
    <w:uiPriority w:val="0"/>
    <w:rPr>
      <w:rFonts w:ascii="Times New Roman" w:hAnsi="Times New Roman" w:eastAsia="宋体" w:cs="Times New Roman"/>
      <w:szCs w:val="20"/>
    </w:rPr>
  </w:style>
  <w:style w:type="paragraph" w:customStyle="1" w:styleId="235">
    <w:name w:val="正文文本 21"/>
    <w:basedOn w:val="1"/>
    <w:link w:val="236"/>
    <w:qFormat/>
    <w:uiPriority w:val="0"/>
    <w:pPr>
      <w:spacing w:after="120" w:line="480" w:lineRule="auto"/>
    </w:pPr>
    <w:rPr>
      <w:sz w:val="20"/>
    </w:rPr>
  </w:style>
  <w:style w:type="character" w:customStyle="1" w:styleId="236">
    <w:name w:val="正文文本 2 字符"/>
    <w:link w:val="235"/>
    <w:qFormat/>
    <w:uiPriority w:val="0"/>
    <w:rPr>
      <w:rFonts w:ascii="Times New Roman" w:hAnsi="Times New Roman" w:eastAsia="宋体" w:cs="Times New Roman"/>
      <w:szCs w:val="20"/>
    </w:rPr>
  </w:style>
  <w:style w:type="paragraph" w:customStyle="1" w:styleId="23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8">
    <w:name w:val="批注主题1"/>
    <w:basedOn w:val="211"/>
    <w:next w:val="211"/>
    <w:link w:val="239"/>
    <w:semiHidden/>
    <w:qFormat/>
    <w:uiPriority w:val="99"/>
    <w:rPr>
      <w:b/>
      <w:bCs/>
    </w:rPr>
  </w:style>
  <w:style w:type="character" w:customStyle="1" w:styleId="239">
    <w:name w:val="批注主题 字符"/>
    <w:link w:val="238"/>
    <w:semiHidden/>
    <w:qFormat/>
    <w:uiPriority w:val="99"/>
    <w:rPr>
      <w:rFonts w:ascii="Times New Roman" w:hAnsi="Times New Roman" w:eastAsia="宋体" w:cs="Times New Roman"/>
      <w:b/>
      <w:bCs/>
      <w:szCs w:val="24"/>
    </w:rPr>
  </w:style>
  <w:style w:type="paragraph" w:customStyle="1" w:styleId="240">
    <w:name w:val="正文文本首行缩进"/>
    <w:basedOn w:val="213"/>
    <w:link w:val="241"/>
    <w:qFormat/>
    <w:uiPriority w:val="0"/>
    <w:pPr>
      <w:spacing w:after="120"/>
      <w:ind w:firstLine="420"/>
    </w:pPr>
    <w:rPr>
      <w:rFonts w:ascii="Times New Roman" w:eastAsia="宋体"/>
      <w:sz w:val="21"/>
      <w:szCs w:val="24"/>
    </w:rPr>
  </w:style>
  <w:style w:type="character" w:customStyle="1" w:styleId="241">
    <w:name w:val="正文文本首行缩进 字符"/>
    <w:link w:val="240"/>
    <w:qFormat/>
    <w:uiPriority w:val="0"/>
    <w:rPr>
      <w:rFonts w:ascii="Times New Roman" w:eastAsia="宋体"/>
      <w:sz w:val="21"/>
      <w:szCs w:val="24"/>
    </w:rPr>
  </w:style>
  <w:style w:type="paragraph" w:customStyle="1" w:styleId="242">
    <w:name w:val="正文文本首行缩进 2"/>
    <w:basedOn w:val="216"/>
    <w:qFormat/>
    <w:uiPriority w:val="99"/>
    <w:pPr>
      <w:widowControl w:val="0"/>
      <w:spacing w:after="120" w:line="240" w:lineRule="auto"/>
      <w:ind w:left="420" w:firstLine="420"/>
    </w:pPr>
    <w:rPr>
      <w:rFonts w:ascii="Times New Roman" w:hAnsi="Times New Roman"/>
      <w:spacing w:val="0"/>
      <w:sz w:val="20"/>
      <w:lang w:val="en-US" w:eastAsia="zh-CN"/>
    </w:rPr>
  </w:style>
  <w:style w:type="table" w:customStyle="1" w:styleId="243">
    <w:name w:val="网格型1"/>
    <w:basedOn w:val="201"/>
    <w:qFormat/>
    <w:uiPriority w:val="0"/>
    <w:pPr>
      <w:widowControl w:val="0"/>
      <w:jc w:val="both"/>
    </w:pPr>
  </w:style>
  <w:style w:type="character" w:customStyle="1" w:styleId="244">
    <w:name w:val="要点1"/>
    <w:link w:val="1"/>
    <w:qFormat/>
    <w:uiPriority w:val="99"/>
    <w:rPr>
      <w:rFonts w:cs="Times New Roman"/>
      <w:b/>
      <w:bCs/>
    </w:rPr>
  </w:style>
  <w:style w:type="character" w:customStyle="1" w:styleId="245">
    <w:name w:val="页码1"/>
    <w:link w:val="1"/>
    <w:qFormat/>
    <w:uiPriority w:val="0"/>
    <w:rPr>
      <w:rFonts w:cs="Times New Roman"/>
    </w:rPr>
  </w:style>
  <w:style w:type="character" w:customStyle="1" w:styleId="246">
    <w:name w:val="访问过的超链接"/>
    <w:link w:val="1"/>
    <w:qFormat/>
    <w:uiPriority w:val="99"/>
    <w:rPr>
      <w:rFonts w:cs="Times New Roman"/>
      <w:color w:val="000000"/>
      <w:u w:val="none"/>
    </w:rPr>
  </w:style>
  <w:style w:type="character" w:customStyle="1" w:styleId="247">
    <w:name w:val="HTML 打字机1"/>
    <w:link w:val="1"/>
    <w:qFormat/>
    <w:uiPriority w:val="99"/>
    <w:rPr>
      <w:rFonts w:ascii="宋体" w:hAnsi="宋体" w:eastAsia="宋体" w:cs="宋体"/>
      <w:sz w:val="24"/>
      <w:szCs w:val="24"/>
    </w:rPr>
  </w:style>
  <w:style w:type="character" w:customStyle="1" w:styleId="248">
    <w:name w:val="超链接1"/>
    <w:link w:val="1"/>
    <w:qFormat/>
    <w:uiPriority w:val="0"/>
    <w:rPr>
      <w:color w:val="000000"/>
      <w:u w:val="none"/>
    </w:rPr>
  </w:style>
  <w:style w:type="paragraph" w:customStyle="1" w:styleId="249">
    <w:name w:val="_Style 1"/>
    <w:basedOn w:val="1"/>
    <w:qFormat/>
    <w:uiPriority w:val="99"/>
    <w:pPr>
      <w:ind w:firstLine="420"/>
    </w:pPr>
    <w:rPr>
      <w:rFonts w:ascii="Calibri" w:hAnsi="Calibri" w:eastAsia="宋体" w:cs="Calibri"/>
      <w:sz w:val="34"/>
      <w:szCs w:val="34"/>
    </w:rPr>
  </w:style>
  <w:style w:type="character" w:customStyle="1" w:styleId="250">
    <w:name w:val="日期 Char1"/>
    <w:link w:val="1"/>
    <w:semiHidden/>
    <w:qFormat/>
    <w:uiPriority w:val="0"/>
    <w:rPr>
      <w:rFonts w:ascii="Times New Roman" w:hAnsi="Times New Roman" w:eastAsia="宋体" w:cs="Times New Roman"/>
      <w:szCs w:val="20"/>
    </w:rPr>
  </w:style>
  <w:style w:type="character" w:customStyle="1" w:styleId="251">
    <w:name w:val="正文文本缩进 Char1"/>
    <w:link w:val="1"/>
    <w:semiHidden/>
    <w:qFormat/>
    <w:uiPriority w:val="0"/>
    <w:rPr>
      <w:rFonts w:ascii="Times New Roman" w:hAnsi="Times New Roman" w:eastAsia="宋体" w:cs="Times New Roman"/>
      <w:szCs w:val="20"/>
    </w:rPr>
  </w:style>
  <w:style w:type="character" w:customStyle="1" w:styleId="252">
    <w:name w:val="正文文本缩进 2 Char1"/>
    <w:link w:val="1"/>
    <w:semiHidden/>
    <w:qFormat/>
    <w:uiPriority w:val="0"/>
    <w:rPr>
      <w:rFonts w:ascii="Times New Roman" w:hAnsi="Times New Roman" w:eastAsia="宋体" w:cs="Times New Roman"/>
      <w:szCs w:val="20"/>
    </w:rPr>
  </w:style>
  <w:style w:type="character" w:customStyle="1" w:styleId="253">
    <w:name w:val="正文文本缩进 3 Char1"/>
    <w:link w:val="1"/>
    <w:semiHidden/>
    <w:qFormat/>
    <w:uiPriority w:val="0"/>
    <w:rPr>
      <w:rFonts w:ascii="Times New Roman" w:hAnsi="Times New Roman" w:eastAsia="宋体" w:cs="Times New Roman"/>
      <w:sz w:val="16"/>
      <w:szCs w:val="16"/>
    </w:rPr>
  </w:style>
  <w:style w:type="paragraph" w:customStyle="1" w:styleId="254">
    <w:name w:val="普通文字"/>
    <w:basedOn w:val="1"/>
    <w:next w:val="1"/>
    <w:qFormat/>
    <w:uiPriority w:val="0"/>
    <w:rPr>
      <w:rFonts w:ascii="宋体"/>
      <w:sz w:val="24"/>
    </w:rPr>
  </w:style>
  <w:style w:type="character" w:customStyle="1" w:styleId="255">
    <w:name w:val="文档结构图 Char1"/>
    <w:link w:val="1"/>
    <w:semiHidden/>
    <w:qFormat/>
    <w:uiPriority w:val="0"/>
    <w:rPr>
      <w:rFonts w:ascii="宋体" w:hAnsi="Times New Roman" w:eastAsia="宋体" w:cs="Times New Roman"/>
      <w:sz w:val="18"/>
      <w:szCs w:val="18"/>
    </w:rPr>
  </w:style>
  <w:style w:type="character" w:customStyle="1" w:styleId="256">
    <w:name w:val="正文文本 2 Char1"/>
    <w:link w:val="1"/>
    <w:semiHidden/>
    <w:qFormat/>
    <w:uiPriority w:val="0"/>
    <w:rPr>
      <w:rFonts w:ascii="Times New Roman" w:hAnsi="Times New Roman" w:eastAsia="宋体" w:cs="Times New Roman"/>
      <w:szCs w:val="20"/>
    </w:rPr>
  </w:style>
  <w:style w:type="paragraph" w:customStyle="1" w:styleId="257">
    <w:name w:val="列表段落"/>
    <w:basedOn w:val="1"/>
    <w:qFormat/>
    <w:uiPriority w:val="34"/>
    <w:pPr>
      <w:ind w:firstLine="420"/>
    </w:pPr>
  </w:style>
  <w:style w:type="character" w:customStyle="1" w:styleId="258">
    <w:name w:val="批注框文本 Char1"/>
    <w:link w:val="1"/>
    <w:semiHidden/>
    <w:qFormat/>
    <w:uiPriority w:val="99"/>
    <w:rPr>
      <w:rFonts w:ascii="Times New Roman" w:hAnsi="Times New Roman" w:eastAsia="宋体" w:cs="Times New Roman"/>
      <w:sz w:val="18"/>
      <w:szCs w:val="18"/>
    </w:rPr>
  </w:style>
  <w:style w:type="paragraph" w:customStyle="1" w:styleId="259">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60">
    <w:name w:val="正文首行缩进两字 Char"/>
    <w:link w:val="261"/>
    <w:qFormat/>
    <w:uiPriority w:val="0"/>
    <w:rPr>
      <w:sz w:val="24"/>
      <w:szCs w:val="24"/>
      <w:lang w:val="en-US" w:eastAsia="zh-CN" w:bidi="ar-SA"/>
    </w:rPr>
  </w:style>
  <w:style w:type="paragraph" w:customStyle="1" w:styleId="261">
    <w:name w:val="正文首行缩进两字"/>
    <w:link w:val="260"/>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paragraph" w:customStyle="1" w:styleId="262">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3">
    <w:name w:val="一级条标题"/>
    <w:next w:val="1"/>
    <w:qFormat/>
    <w:uiPriority w:val="0"/>
    <w:pPr>
      <w:tabs>
        <w:tab w:val="left" w:pos="552"/>
      </w:tabs>
      <w:ind w:left="552" w:hanging="420"/>
      <w:outlineLvl w:val="2"/>
    </w:pPr>
    <w:rPr>
      <w:rFonts w:hint="default" w:ascii="黑体" w:hAnsi="Times New Roman" w:eastAsia="黑体" w:cs="Times New Roman"/>
      <w:sz w:val="21"/>
      <w:szCs w:val="21"/>
      <w:lang w:val="en-US" w:eastAsia="zh-CN" w:bidi="ar-SA"/>
    </w:rPr>
  </w:style>
  <w:style w:type="paragraph" w:customStyle="1" w:styleId="264">
    <w:name w:val="字母编号列项（一级）"/>
    <w:qFormat/>
    <w:uiPriority w:val="0"/>
    <w:pPr>
      <w:tabs>
        <w:tab w:val="left" w:pos="552"/>
        <w:tab w:val="left" w:pos="840"/>
      </w:tabs>
      <w:ind w:left="552" w:hanging="420"/>
      <w:jc w:val="both"/>
    </w:pPr>
    <w:rPr>
      <w:rFonts w:hint="default" w:ascii="宋体" w:hAnsi="Times New Roman" w:eastAsia="宋体" w:cs="Times New Roman"/>
      <w:sz w:val="21"/>
      <w:lang w:val="en-US" w:eastAsia="zh-CN" w:bidi="ar-SA"/>
    </w:rPr>
  </w:style>
  <w:style w:type="paragraph" w:customStyle="1" w:styleId="265">
    <w:name w:val="二级无"/>
    <w:basedOn w:val="1"/>
    <w:qFormat/>
    <w:uiPriority w:val="0"/>
    <w:pPr>
      <w:widowControl/>
      <w:tabs>
        <w:tab w:val="left" w:pos="552"/>
      </w:tabs>
      <w:ind w:left="552" w:hanging="420"/>
      <w:jc w:val="left"/>
      <w:outlineLvl w:val="3"/>
    </w:pPr>
    <w:rPr>
      <w:rFonts w:ascii="宋体"/>
      <w:szCs w:val="21"/>
    </w:rPr>
  </w:style>
  <w:style w:type="character" w:customStyle="1" w:styleId="266">
    <w:name w:val="case31"/>
    <w:link w:val="1"/>
    <w:qFormat/>
    <w:uiPriority w:val="0"/>
    <w:rPr>
      <w:spacing w:val="390"/>
      <w:sz w:val="21"/>
      <w:szCs w:val="21"/>
    </w:rPr>
  </w:style>
  <w:style w:type="character" w:customStyle="1" w:styleId="267">
    <w:name w:val="NormalCharacter1"/>
    <w:link w:val="268"/>
    <w:qFormat/>
    <w:uiPriority w:val="99"/>
    <w:rPr>
      <w:sz w:val="20"/>
    </w:rPr>
  </w:style>
  <w:style w:type="paragraph" w:customStyle="1" w:styleId="268">
    <w:name w:val="UserStyle_4"/>
    <w:basedOn w:val="1"/>
    <w:link w:val="267"/>
    <w:qFormat/>
    <w:uiPriority w:val="99"/>
    <w:pPr>
      <w:widowControl/>
    </w:pPr>
    <w:rPr>
      <w:sz w:val="20"/>
    </w:rPr>
  </w:style>
  <w:style w:type="paragraph" w:customStyle="1" w:styleId="269">
    <w:name w:val="List Paragraph1"/>
    <w:basedOn w:val="1"/>
    <w:qFormat/>
    <w:uiPriority w:val="0"/>
    <w:pPr>
      <w:ind w:firstLine="420"/>
    </w:pPr>
    <w:rPr>
      <w:szCs w:val="21"/>
    </w:rPr>
  </w:style>
  <w:style w:type="character" w:customStyle="1" w:styleId="270">
    <w:name w:val="font11"/>
    <w:link w:val="1"/>
    <w:qFormat/>
    <w:uiPriority w:val="0"/>
    <w:rPr>
      <w:rFonts w:hint="eastAsia" w:ascii="宋体" w:hAnsi="宋体" w:eastAsia="宋体" w:cs="宋体"/>
      <w:color w:val="000000"/>
      <w:sz w:val="20"/>
      <w:szCs w:val="20"/>
      <w:u w:val="none"/>
    </w:rPr>
  </w:style>
  <w:style w:type="character" w:customStyle="1" w:styleId="271">
    <w:name w:val="font21"/>
    <w:basedOn w:val="36"/>
    <w:link w:val="1"/>
    <w:qFormat/>
    <w:uiPriority w:val="0"/>
    <w:rPr>
      <w:rFonts w:hint="eastAsia" w:ascii="仿宋" w:hAnsi="仿宋" w:eastAsia="仿宋" w:cs="仿宋"/>
      <w:color w:val="000000"/>
      <w:sz w:val="24"/>
      <w:szCs w:val="24"/>
      <w:u w:val="none"/>
    </w:rPr>
  </w:style>
  <w:style w:type="character" w:customStyle="1" w:styleId="272">
    <w:name w:val="font31"/>
    <w:link w:val="1"/>
    <w:qFormat/>
    <w:uiPriority w:val="0"/>
    <w:rPr>
      <w:rFonts w:hint="eastAsia" w:ascii="仿宋" w:hAnsi="仿宋" w:eastAsia="仿宋" w:cs="仿宋"/>
      <w:color w:val="000000"/>
      <w:sz w:val="24"/>
      <w:szCs w:val="24"/>
      <w:u w:val="none"/>
    </w:rPr>
  </w:style>
  <w:style w:type="paragraph" w:customStyle="1" w:styleId="273">
    <w:name w:val="首行缩进"/>
    <w:basedOn w:val="1"/>
    <w:qFormat/>
    <w:uiPriority w:val="0"/>
    <w:pPr>
      <w:ind w:firstLine="480"/>
    </w:pPr>
    <w:rPr>
      <w:szCs w:val="20"/>
      <w:lang w:val="zh-CN"/>
    </w:rPr>
  </w:style>
  <w:style w:type="paragraph" w:customStyle="1" w:styleId="274">
    <w:name w:val="标题 41"/>
    <w:basedOn w:val="1"/>
    <w:next w:val="1"/>
    <w:qFormat/>
    <w:uiPriority w:val="0"/>
    <w:pPr>
      <w:keepNext/>
      <w:jc w:val="center"/>
      <w:outlineLvl w:val="3"/>
    </w:pPr>
    <w:rPr>
      <w:rFonts w:eastAsia="楷体_GB2312"/>
      <w:b/>
      <w:bCs/>
      <w:sz w:val="13"/>
    </w:rPr>
  </w:style>
  <w:style w:type="paragraph" w:customStyle="1" w:styleId="275">
    <w:name w:val="pf0"/>
    <w:basedOn w:val="1"/>
    <w:qFormat/>
    <w:uiPriority w:val="0"/>
    <w:pPr>
      <w:widowControl/>
      <w:spacing w:before="100" w:beforeAutospacing="1" w:after="100" w:afterAutospacing="1"/>
      <w:jc w:val="left"/>
    </w:pPr>
    <w:rPr>
      <w:rFonts w:ascii="宋体" w:hAnsi="宋体" w:cs="宋体"/>
      <w:sz w:val="24"/>
      <w:szCs w:val="24"/>
    </w:rPr>
  </w:style>
  <w:style w:type="paragraph" w:customStyle="1" w:styleId="276">
    <w:name w:val="_Style 3"/>
    <w:basedOn w:val="1"/>
    <w:qFormat/>
    <w:uiPriority w:val="0"/>
    <w:pPr>
      <w:ind w:firstLine="420"/>
    </w:pPr>
  </w:style>
  <w:style w:type="paragraph" w:customStyle="1" w:styleId="277">
    <w:name w:val=" Char Char1 Char Char Char"/>
    <w:basedOn w:val="1"/>
    <w:qFormat/>
    <w:uiPriority w:val="0"/>
    <w:rPr>
      <w:szCs w:val="24"/>
    </w:rPr>
  </w:style>
  <w:style w:type="table" w:customStyle="1" w:styleId="278">
    <w:name w:val="Table Normal"/>
    <w:semiHidden/>
    <w:unhideWhenUsed/>
    <w:qFormat/>
    <w:uiPriority w:val="0"/>
    <w:tblPr>
      <w:tblCellMar>
        <w:top w:w="0" w:type="dxa"/>
        <w:left w:w="0" w:type="dxa"/>
        <w:bottom w:w="0" w:type="dxa"/>
        <w:right w:w="0" w:type="dxa"/>
      </w:tblCellMar>
    </w:tblPr>
  </w:style>
  <w:style w:type="paragraph" w:customStyle="1" w:styleId="279">
    <w:name w:val="标题1"/>
    <w:next w:val="1"/>
    <w:qFormat/>
    <w:uiPriority w:val="0"/>
    <w:pPr>
      <w:widowControl w:val="0"/>
      <w:spacing w:before="240" w:after="60" w:line="288" w:lineRule="auto"/>
      <w:ind w:firstLine="420"/>
      <w:jc w:val="center"/>
      <w:outlineLvl w:val="0"/>
    </w:pPr>
    <w:rPr>
      <w:rFonts w:hint="default" w:ascii="Arial" w:hAnsi="Arial" w:eastAsia="宋体" w:cs="Times New Roman"/>
      <w:b/>
      <w:bCs/>
      <w:sz w:val="32"/>
      <w:szCs w:val="32"/>
      <w:lang w:val="en-US" w:eastAsia="zh-CN" w:bidi="ar-SA"/>
    </w:rPr>
  </w:style>
  <w:style w:type="character" w:customStyle="1" w:styleId="280">
    <w:name w:val="font01"/>
    <w:basedOn w:val="3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647b59c6-37ae-4aa7-a901-73d32b303b0b</errorID>
      <errorWord>二○二六</errorWord>
      <group>L1_Knowledge</group>
      <groupName>知识性问题</groupName>
      <ability>L2_Knowledge</ability>
      <abilityName>其他知识</abilityName>
      <candidateList>
        <item>二〇二六</item>
      </candidateList>
      <explain/>
      <paraID>78E56693</paraID>
      <start>0</start>
      <end>4</end>
      <status>modified</status>
      <modifiedWord>二〇二六</modifiedWord>
      <trackRevisions>false</trackRevisions>
    </reviewItem>
    <reviewItem>
      <errorID>40183168-9837-446c-bc41-bfaa127f5444</errorID>
      <errorWord>号规定</errorWord>
      <group>L1_Grammar</group>
      <groupName>语法问题</groupName>
      <ability>L2_Redundancy</ability>
      <abilityName>成分冗余</abilityName>
      <candidateList>
        <item>号</item>
      </candidateList>
      <explain>句子中可能存在主语、谓语、定语等成分的赘余或重复。</explain>
      <paraID>3DCDBCA0</paraID>
      <start>56</start>
      <end>59</end>
      <status>ignored</status>
      <modifiedWord/>
      <trackRevisions>false</trackRevisions>
    </reviewItem>
    <reviewItem>
      <errorID>a77c1814-f666-49f8-83c0-47e33ad88fd6</errorID>
      <errorWord>上午00:00</errorWord>
      <group>L1_Knowledge</group>
      <groupName>知识性问题</groupName>
      <ability>L2_Time</ability>
      <abilityName>日期时间</abilityName>
      <candidateList/>
      <explain>时间与前缀不匹配，可能的时间前缀有“下午、晚上、凌晨、午夜”。</explain>
      <paraID>5BF958EE</paraID>
      <start>41</start>
      <end>48</end>
      <status>ignored</status>
      <modifiedWord/>
      <trackRevisions>false</trackRevisions>
    </reviewItem>
    <reviewItem>
      <errorID>4f3e02ad-735e-4f2e-9c1f-a267598f6b80</errorID>
      <errorWord>-</errorWord>
      <group>L1_Format</group>
      <groupName>格式问题</groupName>
      <ability>L2_HalfPunc</ability>
      <abilityName>全半角检查</abilityName>
      <candidateList>
        <item>－</item>
      </candidateList>
      <explain>文本全半角错误。</explain>
      <paraID> 195B9C5</paraID>
      <start>26</start>
      <end>27</end>
      <status>unmodified</status>
      <modifiedWord/>
      <trackRevisions>false</trackRevisions>
    </reviewItem>
    <reviewItem>
      <errorID>6906eda2-245f-4c3c-9558-82e8a7c901c5</errorID>
      <errorWord>“.</errorWord>
      <group>L1_Punc</group>
      <groupName>标点问题</groupName>
      <ability>L2_Punc</ability>
      <abilityName>标点符号检查</abilityName>
      <candidateList>
        <item>“</item>
      </candidateList>
      <explain/>
      <paraID>61E979A8</paraID>
      <start>79</start>
      <end>81</end>
      <status>unmodified</status>
      <modifiedWord/>
      <trackRevisions>false</trackRevisions>
    </reviewItem>
    <reviewItem>
      <errorID>0247ae0d-3509-4ba7-ae9f-6a7b66e97eac</errorID>
      <errorWord>“.</errorWord>
      <group>L1_Punc</group>
      <groupName>标点问题</groupName>
      <ability>L2_Punc</ability>
      <abilityName>标点符号检查</abilityName>
      <candidateList>
        <item>“</item>
      </candidateList>
      <explain/>
      <paraID>61E979A8</paraID>
      <start>94</start>
      <end>96</end>
      <status>unmodified</status>
      <modifiedWord/>
      <trackRevisions>false</trackRevisions>
    </reviewItem>
    <reviewItem>
      <errorID>cc8d6a1a-b315-46ab-b0b2-4a12d4cba1a5</errorID>
      <errorWord>-</errorWord>
      <group>L1_Format</group>
      <groupName>格式问题</groupName>
      <ability>L2_HalfPunc</ability>
      <abilityName>全半角检查</abilityName>
      <candidateList>
        <item>－</item>
      </candidateList>
      <explain>文本全半角错误。</explain>
      <paraID>61E979A8</paraID>
      <start>117</start>
      <end>118</end>
      <status>unmodified</status>
      <modifiedWord/>
      <trackRevisions>false</trackRevisions>
    </reviewItem>
    <reviewItem>
      <errorID>1243dec1-7743-4295-b7e9-7fb08ca5b634</errorID>
      <errorWord>-</errorWord>
      <group>L1_Format</group>
      <groupName>格式问题</groupName>
      <ability>L2_HalfPunc</ability>
      <abilityName>全半角检查</abilityName>
      <candidateList>
        <item>－</item>
      </candidateList>
      <explain>文本全半角错误。</explain>
      <paraID>61E979A8</paraID>
      <start>118</start>
      <end>119</end>
      <status>unmodified</status>
      <modifiedWord/>
      <trackRevisions>false</trackRevisions>
    </reviewItem>
    <reviewItem>
      <errorID>4b020c24-447f-46cb-a696-910b14b83278</errorID>
      <errorWord>-</errorWord>
      <group>L1_Format</group>
      <groupName>格式问题</groupName>
      <ability>L2_HalfPunc</ability>
      <abilityName>全半角检查</abilityName>
      <candidateList>
        <item>－</item>
      </candidateList>
      <explain>文本全半角错误。</explain>
      <paraID>61E979A8</paraID>
      <start>125</start>
      <end>126</end>
      <status>unmodified</status>
      <modifiedWord/>
      <trackRevisions>false</trackRevisions>
    </reviewItem>
    <reviewItem>
      <errorID>bbf3932c-a82a-4a7c-9f33-34145cc11201</errorID>
      <errorWord>-</errorWord>
      <group>L1_Format</group>
      <groupName>格式问题</groupName>
      <ability>L2_HalfPunc</ability>
      <abilityName>全半角检查</abilityName>
      <candidateList>
        <item>－</item>
      </candidateList>
      <explain>文本全半角错误。</explain>
      <paraID>61E979A8</paraID>
      <start>126</start>
      <end>127</end>
      <status>unmodified</status>
      <modifiedWord/>
      <trackRevisions>false</trackRevisions>
    </reviewItem>
    <reviewItem>
      <errorID>399957f0-bd36-40b0-8279-3c0accecd40d</errorID>
      <errorWord>“.</errorWord>
      <group>L1_Punc</group>
      <groupName>标点问题</groupName>
      <ability>L2_Punc</ability>
      <abilityName>标点符号检查</abilityName>
      <candidateList>
        <item>“</item>
      </candidateList>
      <explain/>
      <paraID>6AFC9218</paraID>
      <start>12</start>
      <end>14</end>
      <status>unmodified</status>
      <modifiedWord/>
      <trackRevisions>false</trackRevisions>
    </reviewItem>
    <reviewItem>
      <errorID>3236cf67-8e10-406f-8c69-b30ea4d592dd</errorID>
      <errorWord>-</errorWord>
      <group>L1_Format</group>
      <groupName>格式问题</groupName>
      <ability>L2_HalfPunc</ability>
      <abilityName>全半角检查</abilityName>
      <candidateList>
        <item>－</item>
      </candidateList>
      <explain>文本全半角错误。</explain>
      <paraID>6AFC9218</paraID>
      <start>56</start>
      <end>57</end>
      <status>unmodified</status>
      <modifiedWord/>
      <trackRevisions>false</trackRevisions>
    </reviewItem>
    <reviewItem>
      <errorID>3929ca2c-1840-406c-99fd-653cb9bc2c95</errorID>
      <errorWord>-</errorWord>
      <group>L1_Format</group>
      <groupName>格式问题</groupName>
      <ability>L2_HalfPunc</ability>
      <abilityName>全半角检查</abilityName>
      <candidateList>
        <item>－</item>
      </candidateList>
      <explain>文本全半角错误。</explain>
      <paraID>6AFC9218</paraID>
      <start>57</start>
      <end>58</end>
      <status>unmodified</status>
      <modifiedWord/>
      <trackRevisions>false</trackRevisions>
    </reviewItem>
    <reviewItem>
      <errorID>8db088d3-076f-4e48-9d0b-331c016749c2</errorID>
      <errorWord>-</errorWord>
      <group>L1_Format</group>
      <groupName>格式问题</groupName>
      <ability>L2_HalfPunc</ability>
      <abilityName>全半角检查</abilityName>
      <candidateList>
        <item>－</item>
      </candidateList>
      <explain>文本全半角错误。</explain>
      <paraID>6AFC9218</paraID>
      <start>63</start>
      <end>64</end>
      <status>unmodified</status>
      <modifiedWord/>
      <trackRevisions>false</trackRevisions>
    </reviewItem>
    <reviewItem>
      <errorID>d594ba10-0ad1-40ec-b6ed-fc302a5f63e9</errorID>
      <errorWord>-</errorWord>
      <group>L1_Format</group>
      <groupName>格式问题</groupName>
      <ability>L2_HalfPunc</ability>
      <abilityName>全半角检查</abilityName>
      <candidateList>
        <item>－</item>
      </candidateList>
      <explain>文本全半角错误。</explain>
      <paraID>6AFC9218</paraID>
      <start>64</start>
      <end>65</end>
      <status>unmodified</status>
      <modifiedWord/>
      <trackRevisions>false</trackRevisions>
    </reviewItem>
    <reviewItem>
      <errorID>d5fe7e6e-9a7e-4375-b230-7eee7d24ff99</errorID>
      <errorWord>-</errorWord>
      <group>L1_Format</group>
      <groupName>格式问题</groupName>
      <ability>L2_HalfPunc</ability>
      <abilityName>全半角检查</abilityName>
      <candidateList>
        <item>－</item>
      </candidateList>
      <explain>文本全半角错误。</explain>
      <paraID>4660B874</paraID>
      <start>39</start>
      <end>40</end>
      <status>unmodified</status>
      <modifiedWord/>
      <trackRevisions>false</trackRevisions>
    </reviewItem>
    <reviewItem>
      <errorID>8da2a9ec-3972-44d4-aabd-7ea4bac237c6</errorID>
      <errorWord>-</errorWord>
      <group>L1_Format</group>
      <groupName>格式问题</groupName>
      <ability>L2_HalfPunc</ability>
      <abilityName>全半角检查</abilityName>
      <candidateList>
        <item>－</item>
      </candidateList>
      <explain>文本全半角错误。</explain>
      <paraID>4660B874</paraID>
      <start>92</start>
      <end>93</end>
      <status>unmodified</status>
      <modifiedWord/>
      <trackRevisions>false</trackRevisions>
    </reviewItem>
    <reviewItem>
      <errorID>5440c366-3d6d-4888-b0c7-bef95b79bde4</errorID>
      <errorWord>[</errorWord>
      <group>L1_Word</group>
      <groupName>字词问题</groupName>
      <ability>L2_Typo</ability>
      <abilityName>字词错误</abilityName>
      <candidateList>
        <item>[在</item>
      </candidateList>
      <explain/>
      <paraID> E94C243</paraID>
      <start>90</start>
      <end>91</end>
      <status>unmodified</status>
      <modifiedWord/>
      <trackRevisions>false</trackRevisions>
    </reviewItem>
    <reviewItem>
      <errorID>52dfe625-f86d-4579-998d-0d29b7964ac2</errorID>
      <errorWord>“</errorWord>
      <group>L1_Punc</group>
      <groupName>标点问题</groupName>
      <ability>L2_Punc</ability>
      <abilityName>标点符号检查</abilityName>
      <candidateList/>
      <explain/>
      <paraID> E94C243</paraID>
      <start>91</start>
      <end>92</end>
      <status>unmodified</status>
      <modifiedWord/>
      <trackRevisions>false</trackRevisions>
    </reviewItem>
    <reviewItem>
      <errorID>b755b148-8b9f-4eb3-9ea0-99ec292ead61</errorID>
      <errorWord>--</errorWord>
      <group>L1_Punc</group>
      <groupName>标点问题</groupName>
      <ability>L2_Punc</ability>
      <abilityName>标点符号检查</abilityName>
      <candidateList>
        <item>——</item>
      </candidateList>
      <explain>破折号或连接号疑似使用错误。</explain>
      <paraID> E94C243</paraID>
      <start>99</start>
      <end>101</end>
      <status>unmodified</status>
      <modifiedWord/>
      <trackRevisions>false</trackRevisions>
    </reviewItem>
    <reviewItem>
      <errorID>80e112c0-ff99-4eee-9fb6-499b3a50c9ce</errorID>
      <errorWord>提出质疑</errorWord>
      <group>L1_Word</group>
      <groupName>字词问题</groupName>
      <ability>L2_Typo</ability>
      <abilityName>字词错误</abilityName>
      <candidateList>
        <item>质疑</item>
      </candidateList>
      <explain>〈动〉提出疑问：～问难。</explain>
      <paraID>11462F97</paraID>
      <start>106</start>
      <end>110</end>
      <status>unmodified</status>
      <modifiedWord/>
      <trackRevisions>false</trackRevisions>
    </reviewItem>
    <reviewItem>
      <errorID>9283abe2-83f7-4d4f-924e-d4d5529874de</errorID>
      <errorWord>的</errorWord>
      <group>L1_Word</group>
      <groupName>字词问题</groupName>
      <ability>L2_Typo</ability>
      <abilityName>字词错误</abilityName>
      <candidateList>
        <item>的最</item>
      </candidateList>
      <explain/>
      <paraID>15082E41</paraID>
      <start>45</start>
      <end>46</end>
      <status>unmodified</status>
      <modifiedWord/>
      <trackRevisions>false</trackRevisions>
    </reviewItem>
    <reviewItem>
      <errorID>3a7c0d00-f55e-4abf-8bc7-08fef094d495</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2D9B7B70</paraID>
      <start>52</start>
      <end>61</end>
      <status>unmodified</status>
      <modifiedWord/>
      <trackRevisions>false</trackRevisions>
    </reviewItem>
    <reviewItem>
      <errorID>d1a102e2-b6c1-45c0-8762-e29c34f6df42</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2D9B7B70</paraID>
      <start>77</start>
      <end>87</end>
      <status>unmodified</status>
      <modifiedWord/>
      <trackRevisions>false</trackRevisions>
    </reviewItem>
    <reviewItem>
      <errorID>14c4b514-8f25-402e-9b5f-a01c8f1e70b0</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7170E614</paraID>
      <start>38</start>
      <end>41</end>
      <status>unmodified</status>
      <modifiedWord/>
      <trackRevisions>false</trackRevisions>
    </reviewItem>
    <reviewItem>
      <errorID>63d2ef95-b97e-4e8f-97e2-ac85c936ed32</errorID>
      <errorWord>按实</errorWord>
      <group>L1_Word</group>
      <groupName>字词问题</groupName>
      <ability>L2_Typo</ability>
      <abilityName>字词错误</abilityName>
      <candidateList>
        <item>按时</item>
      </candidateList>
      <explain/>
      <paraID>6D787F03</paraID>
      <start>43</start>
      <end>45</end>
      <status>unmodified</status>
      <modifiedWord/>
      <trackRevisions>false</trackRevisions>
    </reviewItem>
    <reviewItem>
      <errorID>083eb81b-68b3-42b5-ba9f-bd4eac0fdedd</errorID>
      <errorWord>混凝土模块</errorWord>
      <group>L1_Knowledge</group>
      <groupName>知识性问题</groupName>
      <ability>L2_Term</ability>
      <abilityName>专业术语</abilityName>
      <candidateList>
        <item>混凝土模板</item>
      </candidateList>
      <explain/>
      <paraID>  67F122</paraID>
      <start>86</start>
      <end>91</end>
      <status>unmodified</status>
      <modifiedWord/>
      <trackRevisions>false</trackRevisions>
    </reviewItem>
    <reviewItem>
      <errorID>86a0c533-13db-41b4-8f8b-44bb7c44109f</errorID>
      <errorWord>混凝土模块</errorWord>
      <group>L1_Knowledge</group>
      <groupName>知识性问题</groupName>
      <ability>L2_Term</ability>
      <abilityName>专业术语</abilityName>
      <candidateList>
        <item>混凝土模板</item>
      </candidateList>
      <explain/>
      <paraID> B1ACA3A</paraID>
      <start>86</start>
      <end>91</end>
      <status>unmodified</status>
      <modifiedWord/>
      <trackRevisions>false</trackRevisions>
    </reviewItem>
    <reviewItem>
      <errorID>b4a343a3-790e-429a-9145-40f5e1da7dce</errorID>
      <errorWord>：/</errorWord>
      <group>L1_Punc</group>
      <groupName>标点问题</groupName>
      <ability>L2_Punc</ability>
      <abilityName>标点符号检查</abilityName>
      <candidateList>
        <item>：</item>
      </candidateList>
      <explain/>
      <paraID>6A23088E</paraID>
      <start>18</start>
      <end>20</end>
      <status>unmodified</status>
      <modifiedWord/>
      <trackRevisions>false</trackRevisions>
    </reviewItem>
    <reviewItem>
      <errorID>35fecd8e-06d5-4b9d-8dc2-ee463511ebd6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14DC383D</paraID>
      <start>116</start>
      <end>117</end>
      <status>unmodified</status>
      <modifiedWord/>
      <trackRevisions>false</trackRevisions>
    </reviewItem>
    <reviewItem>
      <errorID>6474662d-7812-4ba9-8205-c023d3ab2ad8</errorID>
      <errorWord>（</errorWord>
      <group>L1_Punc</group>
      <groupName>标点问题</groupName>
      <ability>L2_Punc</ability>
      <abilityName>标点符号检查</abilityName>
      <candidateList/>
      <explain>同一形式括号套用。</explain>
      <paraID>7ADC8B9F</paraID>
      <start>105</start>
      <end>106</end>
      <status>unmodified</status>
      <modifiedWord/>
      <trackRevisions>false</trackRevisions>
    </reviewItem>
    <reviewItem>
      <errorID>cff20ecf-e594-45d9-ae17-988a422a0290</errorID>
      <errorWord>）</errorWord>
      <group>L1_Punc</group>
      <groupName>标点问题</groupName>
      <ability>L2_Punc</ability>
      <abilityName>标点符号检查</abilityName>
      <candidateList/>
      <explain>同一形式括号套用。</explain>
      <paraID>7ADC8B9F</paraID>
      <start>112</start>
      <end>113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999f32-d64b-417f-bc87-16790a37ba88}">
  <ds:schemaRefs/>
</ds:datastoreItem>
</file>

<file path=docProps/app.xml><?xml version="1.0" encoding="utf-8"?>
<Properties xmlns="http://schemas.openxmlformats.org/officeDocument/2006/extended-properties" xmlns:vt="http://schemas.openxmlformats.org/officeDocument/2006/docPropsVTypes">
  <Template>Normal</Template>
  <Company>Microsoft.com</Company>
  <Pages>55</Pages>
  <Words>14988</Words>
  <Characters>15910</Characters>
  <TotalTime>53</TotalTime>
  <ScaleCrop>false</ScaleCrop>
  <LinksUpToDate>false</LinksUpToDate>
  <CharactersWithSpaces>15962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2024-05-23T06:35:00Z</dcterms:created>
  <dc:creator>时缪悦</dc:creator>
  <cp:lastModifiedBy>潘登</cp:lastModifiedBy>
  <cp:lastPrinted>2024-12-28T01:41:00Z</cp:lastPrinted>
  <dcterms:modified xsi:type="dcterms:W3CDTF">2026-06-03T05:28:47Z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AC5F897C83BB49BFAA0DEA62FDC86118_13</vt:lpwstr>
  </property>
  <property fmtid="{D5CDD505-2E9C-101B-9397-08002B2CF9AE}" pid="4" name="KSOTemplateDocerSaveRecord">
    <vt:lpwstr>eyJoZGlkIjoiNThlNDMwMzBiZTliZGJlZGFiYWY2MDI2OGYwY2RmMDMiLCJ1c2VySWQiOiI0NjU0Nzc1NjIifQ==</vt:lpwstr>
  </property>
</Properties>
</file>