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highlight w:val="none"/>
        </w:rPr>
        <w:pBdr>
          <w:top w:val="none" w:color="auto" w:sz="0" w:space="1"/>
          <w:left w:val="none" w:color="auto" w:sz="0" w:space="4"/>
          <w:bottom w:val="none" w:color="auto" w:sz="0" w:space="1"/>
          <w:right w:val="none" w:color="auto" w:sz="0" w:space="4"/>
        </w:pBdr>
      </w:pPr>
      <w:r>
        <w:rPr>
          <w:rFonts w:hint="eastAsia"/>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jc w:val="cente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项目名称：2026年度采购项目第二批-设备：液相色谱-质谱-质谱联用仪</w:t>
      </w:r>
      <w:r/>
    </w:p>
    <w:p>
      <w:pPr>
        <w:spacing w:line="480" w:lineRule="auto"/>
        <w:rPr>
          <w:rFonts w:ascii="黑体" w:hAnsi="Arial"/>
          <w:b/>
          <w:color w:val="000000"/>
          <w:sz w:val="44"/>
          <w:szCs w:val="21"/>
          <w:highlight w:val="non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项目编号：JSZC-320700-XHZX-G2026-0012</w:t>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p>
    <w:p>
      <w:pPr>
        <w:pStyle w:val="722"/>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2026年6月</w:t>
      </w: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954"/>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p>
    <w:p>
      <w:pPr>
        <w:pStyle w:val="954"/>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p>
    <w:p>
      <w:pPr>
        <w:pStyle w:val="954"/>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4</w:t>
      </w:r>
      <w:r>
        <w:rPr>
          <w:sz w:val="36"/>
          <w:szCs w:val="36"/>
          <w:highlight w:val="none"/>
        </w:rPr>
        <w:fldChar w:fldCharType="end"/>
      </w:r>
      <w:r/>
    </w:p>
    <w:p>
      <w:pPr>
        <w:pStyle w:val="954"/>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21</w:t>
      </w:r>
      <w:r>
        <w:rPr>
          <w:sz w:val="36"/>
          <w:szCs w:val="36"/>
          <w:highlight w:val="none"/>
        </w:rPr>
        <w:fldChar w:fldCharType="end"/>
      </w:r>
      <w:r/>
    </w:p>
    <w:p>
      <w:pPr>
        <w:pStyle w:val="954"/>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36</w:t>
      </w:r>
      <w:r>
        <w:rPr>
          <w:sz w:val="36"/>
          <w:szCs w:val="36"/>
          <w:highlight w:val="none"/>
        </w:rPr>
        <w:fldChar w:fldCharType="end"/>
      </w:r>
      <w:r/>
    </w:p>
    <w:p>
      <w:pPr>
        <w:pStyle w:val="954"/>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50</w:t>
      </w:r>
      <w:r>
        <w:rPr>
          <w:sz w:val="36"/>
          <w:szCs w:val="36"/>
          <w:highlight w:val="none"/>
        </w:rPr>
        <w:fldChar w:fldCharType="end"/>
      </w:r>
      <w:r/>
    </w:p>
    <w:p>
      <w:pPr>
        <w:pStyle w:val="954"/>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54</w:t>
      </w:r>
      <w:r>
        <w:rPr>
          <w:sz w:val="36"/>
          <w:szCs w:val="36"/>
          <w:highlight w:val="none"/>
        </w:rPr>
        <w:fldChar w:fldCharType="end"/>
      </w: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p>
    <w:p>
      <w:pPr>
        <w:pStyle w:val="927"/>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p>
    <w:p>
      <w:pPr>
        <w:pStyle w:val="927"/>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受连云港市疾病预防控制中心的委托，江苏协鸿工程咨询有限公司就2026年度采购项目第二批-设备：液相色谱-质谱-质谱联用仪（JSZC-320700-XHZX-G2026-0012）进行公开招标采购，欢迎符合条件的供应商投标。</w:t>
      </w:r>
      <w:r/>
    </w:p>
    <w:tbl>
      <w:tblPr>
        <w:tblStyle w:val="712"/>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rPr>
              <w:t xml:space="preserve">2026年度采购项目第二批-设备：液相色谱-质谱-质谱联用仪</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自行免费下载招标文件，并于2026年7月16日9:00:00（北京时间）前递交（上传）投标文件。</w:t>
            </w:r>
            <w:r/>
          </w:p>
        </w:tc>
      </w:tr>
    </w:tbl>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项目编号：JSZC-320700-XHZX-G2026-0012</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项目名称：2026年度采购项目第二批-设备：液相色谱-质谱-质谱联用仪</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预算金额：350万元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最高限价：350万元，</w:t>
      </w:r>
      <w:r>
        <w:rPr>
          <w:rFonts w:hint="eastAsia" w:ascii="宋体" w:hAnsi="宋体"/>
          <w:color w:val="000000"/>
          <w:sz w:val="24"/>
          <w:highlight w:val="none"/>
        </w:rPr>
        <w:t xml:space="preserve">投标报价超过最高限价的投标无效。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采购需求：2026年度采购项目第二批-设备：液相色谱-质谱-质谱联用仪1台，具体详见第四章项目需求。</w:t>
      </w: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宋体" w:hAnsi="宋体"/>
          <w:sz w:val="24"/>
          <w:szCs w:val="24"/>
          <w:highlight w:val="none"/>
        </w:rPr>
        <w:t xml:space="preserve">合同签订后60天内完成安装调试，达到预期效果。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时间：自招标公告发布之日起至2026年7月2日</w:t>
      </w:r>
      <w:r>
        <w:rPr>
          <w:rFonts w:hint="eastAsia"/>
          <w:sz w:val="24"/>
          <w:szCs w:val="24"/>
          <w:highlight w:val="none"/>
        </w:rPr>
        <w:t xml:space="preserve">（北京时间）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提交投标文件截止时间：2026年7月16日9:00:00（北京时间）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人：赵老师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p>
    <w:p>
      <w:pPr>
        <w:pStyle w:val="927"/>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highlight w:val="none"/>
        </w:rPr>
        <w:t xml:space="preserve">第二章  供应商须知</w:t>
      </w:r>
      <w:bookmarkEnd w:id="1"/>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本项目采购代理费根据苏招协【2022】002号收费标准的69.99%计取，由中标人支付。支付方式：电汇、网银、现金。</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p>
    <w:p>
      <w:pPr>
        <w:pStyle w:val="929"/>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投标有效期为招标文件规定的开标之日后一百二（120）天。投标有效期比规定短的将被视为未实质性响应招标文件而予以拒绝。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24.4 采用综合评分法的项目，未中标的供应商可于中标结果公告期限届满之日起通过“苏采云”系统查看自己的评审得分及排序情况。</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（1）评审过程中出现下列情形之一的，磋商小组应当启动异常低价投标（响应）审查程序：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③投标（响应）报价低于采购项目最高限价45%的，即投标（响应）报价&lt;采购项目最高限价×45%；</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r/>
    </w:p>
    <w:p>
      <w:pPr>
        <w:numPr>
          <w:ilvl w:val="0"/>
          <w:numId w:val="1"/>
        </w:num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numPr>
          <w:ilvl w:val="0"/>
          <w:numId w:val="1"/>
        </w:num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929"/>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p>
    <w:p>
      <w:pPr>
        <w:pStyle w:val="928"/>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p>
    <w:p>
      <w:pPr>
        <w:pStyle w:val="929"/>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9"/>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7"/>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highlight w:val="none"/>
        </w:rPr>
        <w:t xml:space="preserve">第三章  合同文本</w:t>
      </w:r>
      <w:bookmarkEnd w:id="2"/>
      <w:r/>
      <w:r/>
    </w:p>
    <w:p>
      <w:pPr>
        <w:pStyle w:val="940"/>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bookmarkStart w:id="3" w:name="_Toc3995"/>
      <w:r/>
      <w:r/>
    </w:p>
    <w:p>
      <w:pPr>
        <w:pStyle w:val="940"/>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40"/>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40"/>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40"/>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highlight w:val="none"/>
        </w:rPr>
        <w:br w:type="page" w:clear="all"/>
      </w:r>
      <w:r/>
    </w:p>
    <w:p>
      <w:pPr>
        <w:pStyle w:val="928"/>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p>
    <w:p>
      <w:pPr>
        <w:pStyle w:val="718"/>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p>
    <w:p>
      <w:pPr>
        <w:pStyle w:val="718"/>
        <w:numPr>
          <w:ilvl w:val="0"/>
          <w:numId w:val="3"/>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718"/>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18"/>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959"/>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959"/>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959"/>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59"/>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59"/>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p>
    <w:p>
      <w:pPr>
        <w:pStyle w:val="959"/>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p>
    <w:p>
      <w:pPr>
        <w:pStyle w:val="959"/>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p>
    <w:p>
      <w:pPr>
        <w:pStyle w:val="959"/>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p>
    <w:p>
      <w:pPr>
        <w:pStyle w:val="959"/>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p>
    <w:p>
      <w:pPr>
        <w:pStyle w:val="959"/>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p>
    <w:p>
      <w:pPr>
        <w:pStyle w:val="959"/>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59"/>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59"/>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959"/>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959"/>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6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2"/>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59"/>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p>
    <w:p>
      <w:pPr>
        <w:pStyle w:val="959"/>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p>
    <w:p>
      <w:pPr>
        <w:numPr>
          <w:ilvl w:val="0"/>
          <w:numId w:val="4"/>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959"/>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p>
    <w:p>
      <w:pPr>
        <w:pStyle w:val="959"/>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p>
    <w:p>
      <w:pPr>
        <w:pStyle w:val="960"/>
        <w:rPr>
          <w:highlight w:val="none"/>
        </w:rPr>
        <w:pBdr>
          <w:top w:val="none" w:color="auto" w:sz="0" w:space="1"/>
          <w:left w:val="none" w:color="auto" w:sz="0" w:space="4"/>
          <w:bottom w:val="none" w:color="auto" w:sz="0" w:space="1"/>
          <w:right w:val="none" w:color="auto" w:sz="0" w:space="4"/>
        </w:pBdr>
      </w:pPr>
      <w:r>
        <w:rPr>
          <w:highlight w:val="none"/>
        </w:rPr>
      </w:r>
      <w:r/>
    </w:p>
    <w:tbl>
      <w:tblPr>
        <w:tblStyle w:val="712"/>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586"/>
        </w:trPr>
        <w:tc>
          <w:tcPr>
            <w:gridSpan w:val="4"/>
            <w:tcW w:w="8398" w:type="dxa"/>
            <w:vAlign w:val="center"/>
            <w:textDirection w:val="lrTb"/>
            <w:noWrap w:val="false"/>
          </w:tcPr>
          <w:p>
            <w:pPr>
              <w:pStyle w:val="942"/>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p>
        </w:tc>
      </w:tr>
    </w:tbl>
    <w:p>
      <w:pPr>
        <w:pStyle w:val="928"/>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40"/>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p>
    <w:p>
      <w:pPr>
        <w:pStyle w:val="940"/>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p>
    <w:p>
      <w:pPr>
        <w:numPr>
          <w:ilvl w:val="0"/>
          <w:numId w:val="6"/>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59"/>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944"/>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4"/>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40"/>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59"/>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9"/>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59"/>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959"/>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p>
    <w:p>
      <w:pPr>
        <w:pStyle w:val="959"/>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9"/>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59"/>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940"/>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p>
    <w:p>
      <w:pPr>
        <w:pStyle w:val="959"/>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p>
    <w:p>
      <w:pPr>
        <w:pStyle w:val="959"/>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p>
    <w:p>
      <w:pPr>
        <w:pStyle w:val="959"/>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59"/>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p>
    <w:p>
      <w:pPr>
        <w:numPr>
          <w:ilvl w:val="0"/>
          <w:numId w:val="8"/>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p>
    <w:p>
      <w:pPr>
        <w:pStyle w:val="928"/>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
    </w:p>
    <w:tbl>
      <w:tblPr>
        <w:tblStyle w:val="712"/>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p>
          <w:p>
            <w:pPr>
              <w:pStyle w:val="959"/>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履约保证金不予退还的情形</w:t>
            </w:r>
            <w:r/>
          </w:p>
        </w:tc>
        <w:tc>
          <w:tcPr>
            <w:shd w:val="clear" w:color="auto" w:fill="auto"/>
            <w:tcW w:w="5170" w:type="dxa"/>
            <w:vAlign w:val="center"/>
            <w:textDirection w:val="lrTb"/>
            <w:noWrap w:val="false"/>
          </w:tcPr>
          <w:p>
            <w:pPr>
              <w:numPr>
                <w:ilvl w:val="0"/>
                <w:numId w:val="9"/>
              </w:numPr>
              <w:jc w:val="both"/>
              <w:rPr>
                <w:rFonts w:hint="eastAsia" w:ascii="Times New Roman" w:hAnsi="Times New Roman"/>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所供货物不符合合同约定的质量标准、品牌、规格或等级的。</w:t>
            </w:r>
            <w:r/>
          </w:p>
          <w:p>
            <w:pPr>
              <w:numPr>
                <w:ilvl w:val="0"/>
                <w:numId w:val="9"/>
              </w:numPr>
              <w:jc w:val="left"/>
              <w:rPr>
                <w:rFonts w:hint="eastAsia" w:ascii="Times New Roman" w:hAnsi="Times New Roman"/>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未按合同约定的时间供货的。</w:t>
            </w:r>
            <w:r/>
          </w:p>
          <w:p>
            <w:pPr>
              <w:numPr>
                <w:ilvl w:val="0"/>
                <w:numId w:val="9"/>
              </w:numPr>
              <w:jc w:val="left"/>
              <w:rPr>
                <w:rFonts w:hint="eastAsia" w:ascii="Times New Roman" w:hAnsi="Times New Roman"/>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乙方无正当理由拒绝签订合同，或在签订时提出附加条件的。</w:t>
            </w:r>
            <w:r/>
          </w:p>
          <w:p>
            <w:pPr>
              <w:numPr>
                <w:ilvl w:val="0"/>
                <w:numId w:val="9"/>
              </w:numPr>
              <w:jc w:val="left"/>
              <w:rPr>
                <w:rFonts w:hint="eastAsia" w:ascii="Times New Roman" w:hAnsi="Times New Roman"/>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履约保证金退还时间及逾期退还的违约金</w:t>
            </w:r>
            <w:r/>
          </w:p>
        </w:tc>
        <w:tc>
          <w:tcPr>
            <w:shd w:val="clear" w:color="auto" w:fill="auto"/>
            <w:tcW w:w="5170" w:type="dxa"/>
            <w:vAlign w:val="center"/>
            <w:textDirection w:val="lrTb"/>
            <w:noWrap w:val="false"/>
          </w:tcPr>
          <w:p>
            <w:pPr>
              <w:jc w:val="both"/>
              <w:rPr>
                <w:rFonts w:hint="eastAsia" w:ascii="Times New Roman" w:hAnsi="Times New Roman"/>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乙方违约的，甲方将根据违约责任条款扣除其全部或部分履约保证金。如乙方违约给甲方造成的损失超过履约保证金的，应当依法赔偿超过部分的损失。</w:t>
            </w:r>
            <w:r/>
          </w:p>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p>
        </w:tc>
        <w:tc>
          <w:tcPr>
            <w:shd w:val="clear" w:color="auto" w:fill="auto"/>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p>
        </w:tc>
        <w:tc>
          <w:tcPr>
            <w:shd w:val="clear" w:color="auto" w:fill="auto"/>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其他违约责任</w:t>
            </w:r>
            <w:r/>
          </w:p>
        </w:tc>
        <w:tc>
          <w:tcPr>
            <w:shd w:val="clear" w:color="auto" w:fill="auto"/>
            <w:tcW w:w="5170" w:type="dxa"/>
            <w:vAlign w:val="center"/>
            <w:textDirection w:val="lrTb"/>
            <w:noWrap w:val="false"/>
          </w:tcPr>
          <w:p>
            <w:pPr>
              <w:jc w:val="center"/>
              <w:rPr>
                <w:rFonts w:ascii="宋体" w:hAnsi="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u w:val="none"/>
                <w:lang w:val="en-US" w:eastAsia="zh-CN"/>
              </w:rPr>
              <w:t xml:space="preserve">如乙方</w:t>
            </w:r>
            <w:r>
              <w:rPr>
                <w:rFonts w:hint="eastAsia" w:ascii="宋体" w:hAnsi="宋体"/>
                <w:color w:val="auto"/>
                <w:szCs w:val="21"/>
                <w:highlight w:val="none"/>
                <w:u w:val="none"/>
                <w:lang w:eastAsia="zh-CN"/>
              </w:rPr>
              <w:t xml:space="preserve">无法提供</w:t>
            </w:r>
            <w:r>
              <w:rPr>
                <w:rFonts w:hint="eastAsia" w:ascii="宋体" w:hAnsi="宋体"/>
                <w:color w:val="auto"/>
                <w:szCs w:val="21"/>
                <w:highlight w:val="none"/>
                <w:u w:val="none"/>
                <w:lang w:val="en-US" w:eastAsia="zh-CN"/>
              </w:rPr>
              <w:t xml:space="preserve">制造商质保承诺或协议的</w:t>
            </w:r>
            <w:r>
              <w:rPr>
                <w:rFonts w:hint="eastAsia" w:ascii="宋体" w:hAnsi="宋体"/>
                <w:color w:val="auto"/>
                <w:szCs w:val="21"/>
                <w:highlight w:val="none"/>
                <w:u w:val="none"/>
                <w:lang w:eastAsia="zh-CN"/>
              </w:rPr>
              <w:t xml:space="preserve">，</w:t>
            </w:r>
            <w:r>
              <w:rPr>
                <w:rFonts w:hint="eastAsia" w:ascii="宋体" w:hAnsi="宋体"/>
                <w:color w:val="auto"/>
                <w:szCs w:val="21"/>
                <w:highlight w:val="none"/>
                <w:u w:val="none"/>
                <w:lang w:val="en-US" w:eastAsia="zh-CN"/>
              </w:rPr>
              <w:t xml:space="preserve">甲方</w:t>
            </w:r>
            <w:r>
              <w:rPr>
                <w:rFonts w:hint="eastAsia" w:ascii="宋体" w:hAnsi="宋体"/>
                <w:color w:val="auto"/>
                <w:szCs w:val="21"/>
                <w:highlight w:val="none"/>
                <w:u w:val="none"/>
                <w:lang w:eastAsia="zh-CN"/>
              </w:rPr>
              <w:t xml:space="preserve">有权单方面解除合同、扣除履约保证金、</w:t>
            </w:r>
            <w:r>
              <w:rPr>
                <w:rFonts w:hint="eastAsia" w:ascii="宋体" w:hAnsi="宋体"/>
                <w:color w:val="auto"/>
                <w:szCs w:val="21"/>
                <w:highlight w:val="none"/>
                <w:u w:val="none"/>
                <w:lang w:val="en-US" w:eastAsia="zh-CN"/>
              </w:rPr>
              <w:t xml:space="preserve">将乙方清</w:t>
            </w:r>
            <w:r>
              <w:rPr>
                <w:rFonts w:hint="eastAsia" w:ascii="宋体" w:hAnsi="宋体"/>
                <w:color w:val="auto"/>
                <w:szCs w:val="21"/>
                <w:highlight w:val="none"/>
                <w:u w:val="none"/>
                <w:lang w:eastAsia="zh-CN"/>
              </w:rPr>
              <w:t xml:space="preserve">退出场，</w:t>
            </w:r>
            <w:r>
              <w:rPr>
                <w:rFonts w:hint="eastAsia" w:ascii="宋体" w:hAnsi="宋体"/>
                <w:color w:val="auto"/>
                <w:szCs w:val="21"/>
                <w:highlight w:val="none"/>
                <w:u w:val="none"/>
                <w:lang w:val="en-US" w:eastAsia="zh-CN"/>
              </w:rPr>
              <w:t xml:space="preserve">同时</w:t>
            </w:r>
            <w:r>
              <w:rPr>
                <w:rFonts w:hint="eastAsia" w:ascii="宋体" w:hAnsi="宋体"/>
                <w:color w:val="auto"/>
                <w:szCs w:val="21"/>
                <w:highlight w:val="none"/>
                <w:u w:val="none"/>
                <w:lang w:eastAsia="zh-CN"/>
              </w:rPr>
              <w:t xml:space="preserve">报政府采购监督管理部门</w:t>
            </w: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p>
    <w:p>
      <w:pPr>
        <w:pStyle w:val="927"/>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highlight w:val="none"/>
        </w:rPr>
        <w:t xml:space="preserve">第四章  采购需求</w:t>
      </w:r>
      <w:bookmarkEnd w:id="8"/>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p>
    <w:tbl>
      <w:tblPr>
        <w:tblStyle w:val="7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color w:val="000000"/>
                <w:sz w:val="24"/>
                <w:szCs w:val="24"/>
                <w:highlight w:val="none"/>
                <w:u w:val="single"/>
              </w:rPr>
              <w:t xml:space="preserve">MRM灵敏度：ESI+：实际柱上进样1pg利血平，流速0.8mL/min，m/z 609.3&gt;195.1，数据无平滑，信噪比≥3,500,000:1，基线噪声采集区间不低于0.3min。重现性实验：1pg利血平分别连续进样10次，峰面积CV小于3%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color w:val="000000"/>
                <w:sz w:val="24"/>
                <w:szCs w:val="24"/>
                <w:highlight w:val="none"/>
                <w:u w:val="single"/>
              </w:rPr>
              <w:t xml:space="preserve">MRM灵敏度：ESI-: 实际柱上进样1pg氯霉素，流速0.8mL/min，m/z 609.3&gt;195.1，数据无平滑，信噪比≥3,500,000:1，基线噪声采集区间不低于0.3min。重现性实验：1pg氯霉素分别连续进样10次，峰面积CV小于3%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w:t>
            </w:r>
            <w:r/>
          </w:p>
        </w:tc>
        <w:tc>
          <w:tcPr>
            <w:shd w:val="clear" w:color="auto" w:fill="auto"/>
            <w:tcW w:w="7689" w:type="dxa"/>
            <w:textDirection w:val="lrTb"/>
            <w:noWrap w:val="false"/>
          </w:tcPr>
          <w:p>
            <w:pPr>
              <w:jc w:val="left"/>
              <w:spacing w:line="360" w:lineRule="auto"/>
              <w:rPr>
                <w:rFonts w:ascii="宋体" w:hAnsi="宋体" w:cs="宋体"/>
                <w:b/>
                <w:bCs/>
                <w:i/>
                <w:iCs/>
                <w:color w:val="000000"/>
                <w:sz w:val="24"/>
                <w:szCs w:val="24"/>
                <w:highlight w:val="none"/>
                <w:u w:val="single"/>
              </w:rPr>
            </w:pP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5</w:t>
            </w:r>
            <w:r/>
          </w:p>
        </w:tc>
        <w:tc>
          <w:tcPr>
            <w:shd w:val="clear" w:color="auto" w:fill="auto"/>
            <w:tcW w:w="7689" w:type="dxa"/>
            <w:textDirection w:val="lrTb"/>
            <w:noWrap w:val="false"/>
          </w:tcPr>
          <w:p>
            <w:pPr>
              <w:jc w:val="left"/>
              <w:spacing w:line="360" w:lineRule="auto"/>
              <w:rPr>
                <w:rFonts w:hint="eastAsia" w:ascii="宋体" w:hAnsi="宋体" w:cs="宋体"/>
                <w:b/>
                <w:bCs/>
                <w:i/>
                <w:iCs/>
                <w:sz w:val="24"/>
                <w:szCs w:val="24"/>
                <w:highlight w:val="none"/>
                <w:u w:val="single"/>
              </w:rPr>
            </w:pPr>
            <w:r>
              <w:rPr>
                <w:rFonts w:hint="eastAsia" w:ascii="宋体" w:hAnsi="宋体" w:cs="宋体"/>
                <w:color w:val="000000"/>
                <w:sz w:val="24"/>
                <w:szCs w:val="24"/>
                <w:highlight w:val="none"/>
              </w:rPr>
              <w:t xml:space="preserve"> </w:t>
            </w:r>
            <w:r>
              <w:rPr>
                <w:rFonts w:hint="eastAsia" w:ascii="宋体" w:hAnsi="宋体" w:eastAsia="宋体" w:cs="宋体"/>
                <w:b/>
                <w:bCs/>
                <w:i/>
                <w:iCs/>
                <w:sz w:val="24"/>
                <w:szCs w:val="24"/>
                <w:highlight w:val="none"/>
                <w:u w:val="single"/>
                <w:lang w:val="en-US" w:eastAsia="zh-CN" w:bidi="ar-SA"/>
              </w:rPr>
              <w:t xml:space="preserve">检测器: 为满足长期大量脏样品定量分析的数据可靠性和重复性，可为光电倍增管或电子倍增管，检测器质保10年。（提供供应商承诺函）</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6</w:t>
            </w:r>
            <w:r/>
          </w:p>
        </w:tc>
        <w:tc>
          <w:tcPr>
            <w:shd w:val="clear" w:color="auto" w:fill="auto"/>
            <w:tcW w:w="7689" w:type="dxa"/>
            <w:vAlign w:val="top"/>
            <w:textDirection w:val="lrTb"/>
            <w:noWrap w:val="false"/>
          </w:tcPr>
          <w:p>
            <w:pPr>
              <w:pStyle w:val="960"/>
              <w:ind w:left="0" w:firstLine="0"/>
              <w:jc w:val="left"/>
              <w:spacing w:line="360" w:lineRule="auto"/>
              <w:rPr>
                <w:rFonts w:hint="eastAsia" w:ascii="宋体" w:hAnsi="宋体" w:eastAsia="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正版操作平台，与工作站配套，内存16GB及以上，1T硬盘以上，正版办公软件 1套</w:t>
            </w:r>
            <w:r>
              <w:rPr>
                <w:rFonts w:hint="eastAsia" w:ascii="宋体" w:hAnsi="宋体" w:cs="宋体"/>
                <w:b/>
                <w:bCs/>
                <w:i/>
                <w:iCs/>
                <w:color w:val="auto"/>
                <w:sz w:val="24"/>
                <w:szCs w:val="24"/>
                <w:highlight w:val="none"/>
                <w:u w:val="single"/>
                <w:lang w:val="en-US" w:eastAsia="zh-CN"/>
              </w:rPr>
              <w:t xml:space="preserve">（提供节能产品认证证书扫描件加盖供应商公章）</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7</w:t>
            </w:r>
            <w:r/>
          </w:p>
        </w:tc>
        <w:tc>
          <w:tcPr>
            <w:shd w:val="clear" w:color="auto" w:fill="auto"/>
            <w:tcW w:w="7689" w:type="dxa"/>
            <w:vAlign w:val="top"/>
            <w:textDirection w:val="lrTb"/>
            <w:noWrap w:val="false"/>
          </w:tcPr>
          <w:p>
            <w:pPr>
              <w:jc w:val="left"/>
              <w:spacing w:line="360" w:lineRule="auto"/>
              <w:rPr>
                <w:rFonts w:hint="eastAsia" w:ascii="宋体" w:hAnsi="宋体" w:eastAsia="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25寸液晶显示屏</w:t>
            </w:r>
            <w:r>
              <w:rPr>
                <w:rFonts w:hint="eastAsia" w:ascii="宋体" w:hAnsi="宋体" w:cs="宋体"/>
                <w:b/>
                <w:bCs/>
                <w:i/>
                <w:iCs/>
                <w:color w:val="auto"/>
                <w:sz w:val="24"/>
                <w:szCs w:val="24"/>
                <w:highlight w:val="none"/>
                <w:u w:val="single"/>
                <w:lang w:val="en-US" w:eastAsia="zh-CN"/>
              </w:rPr>
              <w:t xml:space="preserve">（提供节能产品认证证书扫描件加盖供应商公章）</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8</w:t>
            </w:r>
            <w:r/>
          </w:p>
        </w:tc>
        <w:tc>
          <w:tcPr>
            <w:shd w:val="clear" w:color="auto" w:fill="auto"/>
            <w:tcW w:w="7689" w:type="dxa"/>
            <w:vAlign w:val="top"/>
            <w:textDirection w:val="lrTb"/>
            <w:noWrap w:val="false"/>
          </w:tcPr>
          <w:p>
            <w:pPr>
              <w:jc w:val="left"/>
              <w:spacing w:line="360" w:lineRule="auto"/>
              <w:rPr>
                <w:rFonts w:hint="eastAsia" w:ascii="宋体" w:hAnsi="宋体" w:eastAsia="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输出设备一台，支持彩色自动双面输出，支持有线&amp;无线网络输出，A4纸输出速度（黑白或彩色）不低于27页/分钟。</w:t>
            </w:r>
            <w:r>
              <w:rPr>
                <w:rFonts w:hint="eastAsia" w:ascii="宋体" w:hAnsi="宋体" w:cs="宋体"/>
                <w:b/>
                <w:bCs/>
                <w:i/>
                <w:iCs/>
                <w:color w:val="auto"/>
                <w:sz w:val="24"/>
                <w:szCs w:val="24"/>
                <w:highlight w:val="none"/>
                <w:u w:val="single"/>
                <w:lang w:val="en-US" w:eastAsia="zh-CN"/>
              </w:rPr>
              <w:t xml:space="preserve">（提供节能产品认证证书扫描件加盖供应商公章）</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9</w:t>
            </w:r>
            <w:r/>
          </w:p>
        </w:tc>
        <w:tc>
          <w:tcPr>
            <w:shd w:val="clear" w:color="auto" w:fill="auto"/>
            <w:tcW w:w="7689" w:type="dxa"/>
            <w:vAlign w:val="top"/>
            <w:textDirection w:val="lrTb"/>
            <w:noWrap w:val="false"/>
          </w:tcPr>
          <w:p>
            <w:pPr>
              <w:jc w:val="left"/>
              <w:spacing w:line="360" w:lineRule="auto"/>
              <w:rPr>
                <w:rFonts w:hint="eastAsia" w:ascii="宋体" w:hAnsi="宋体" w:eastAsia="宋体" w:cs="宋体"/>
                <w:b/>
                <w:bCs/>
                <w:i/>
                <w:iCs/>
                <w:color w:val="auto"/>
                <w:sz w:val="24"/>
                <w:szCs w:val="24"/>
                <w:highlight w:val="none"/>
                <w:u w:val="single"/>
              </w:rPr>
            </w:pPr>
            <w:r>
              <w:rPr>
                <w:rFonts w:hint="eastAsia" w:ascii="宋体" w:hAnsi="宋体"/>
                <w:b/>
                <w:bCs/>
                <w:i/>
                <w:iCs/>
                <w:color w:val="auto"/>
                <w:sz w:val="24"/>
                <w:szCs w:val="24"/>
                <w:highlight w:val="none"/>
                <w:u w:val="single"/>
              </w:rPr>
              <w:t xml:space="preserve">整套设备保修≥24个月，保修期外优惠收取零配件费用与上门维修服务费用</w:t>
            </w:r>
            <w:r>
              <w:rPr>
                <w:rFonts w:hint="eastAsia" w:ascii="宋体" w:hAnsi="宋体"/>
                <w:b/>
                <w:bCs/>
                <w:i/>
                <w:iCs/>
                <w:color w:val="auto"/>
                <w:sz w:val="24"/>
                <w:szCs w:val="24"/>
                <w:highlight w:val="non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液相色谱-质谱-质谱联用仪 </w:t>
      </w:r>
      <w:r>
        <w:rPr>
          <w:rFonts w:hint="eastAsia"/>
          <w:sz w:val="24"/>
          <w:szCs w:val="24"/>
          <w:highlight w:val="none"/>
        </w:rPr>
        <w:t xml:space="preserve">。</w:t>
      </w: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连云港市疾病预防控制中心因实验室建设与工作需求，采购</w:t>
      </w:r>
      <w:r>
        <w:rPr>
          <w:rFonts w:hint="eastAsia" w:ascii="宋体" w:hAnsi="宋体" w:cs="宋体"/>
          <w:color w:val="000000"/>
          <w:sz w:val="24"/>
          <w:szCs w:val="24"/>
          <w:highlight w:val="none"/>
          <w:lang w:bidi="ar"/>
        </w:rPr>
        <w:t xml:space="preserve">液相色谱-质谱-质谱联用仪1台。</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p>
    <w:tbl>
      <w:tblPr>
        <w:tblStyle w:val="712"/>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bookmarkStart w:id="9" w:name="_Toc139967216"/>
            <w:r/>
            <w:bookmarkStart w:id="10" w:name="_Toc139966432"/>
            <w:r>
              <w:rPr>
                <w:rFonts w:hint="eastAsia" w:ascii="宋体" w:hAnsi="宋体" w:cs="Helvetica"/>
                <w:sz w:val="24"/>
                <w:szCs w:val="32"/>
                <w:highlight w:val="none"/>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p>
    <w:tbl>
      <w:tblPr>
        <w:tblStyle w:val="71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序号</w:t>
            </w:r>
            <w:r/>
          </w:p>
        </w:tc>
        <w:tc>
          <w:tcPr>
            <w:shd w:val="clear" w:color="auto" w:fill="auto"/>
            <w:tcW w:w="1096"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p>
        </w:tc>
        <w:tc>
          <w:tcPr>
            <w:shd w:val="clear" w:color="auto" w:fill="auto"/>
            <w:tcW w:w="3548"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技术参数及功能指标</w:t>
            </w:r>
            <w:r/>
          </w:p>
        </w:tc>
      </w:tr>
      <w:tr>
        <w:trPr>
          <w:jc w:val="center"/>
        </w:trPr>
        <w:tc>
          <w:tcPr>
            <w:shd w:val="clear" w:color="auto" w:fill="auto"/>
            <w:tcW w:w="355" w:type="pct"/>
            <w:vAlign w:val="center"/>
            <w:textDirection w:val="lrTb"/>
            <w:noWrap w:val="false"/>
          </w:tcPr>
          <w:p>
            <w:pPr>
              <w:jc w:val="center"/>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p>
        </w:tc>
        <w:tc>
          <w:tcPr>
            <w:shd w:val="clear" w:color="auto" w:fill="auto"/>
            <w:tcW w:w="1096"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p>
        </w:tc>
        <w:tc>
          <w:tcPr>
            <w:shd w:val="clear" w:color="auto" w:fill="auto"/>
            <w:tcW w:w="3548" w:type="pct"/>
            <w:vAlign w:val="center"/>
            <w:textDirection w:val="lrTb"/>
            <w:noWrap w:val="false"/>
          </w:tcPr>
          <w:p>
            <w:pPr>
              <w:ind w:firstLine="480"/>
              <w:jc w:val="left"/>
              <w:spacing w:line="360" w:lineRule="auto"/>
              <w:rPr>
                <w:rFonts w:ascii="宋体" w:hAnsi="宋体" w:cs="宋体"/>
                <w:bCs/>
                <w:sz w:val="24"/>
                <w:szCs w:val="24"/>
                <w:highlight w:val="none"/>
              </w:rPr>
            </w:pPr>
            <w:r>
              <w:rPr>
                <w:rFonts w:hint="eastAsia" w:ascii="宋体" w:hAnsi="宋体" w:cs="宋体"/>
                <w:color w:val="000000"/>
                <w:sz w:val="24"/>
                <w:szCs w:val="24"/>
                <w:highlight w:val="none"/>
              </w:rPr>
              <w:t xml:space="preserve">该系统由超高效色谱仪、串联四极杆质谱仪、真空系统、供气系统、仪器控制和数据管理系统五部分构成。</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1、超高效液相色谱仪</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1.1色谱泵：一体式独立柱塞，数控直线驱动色谱泵技术，双压力传感器反馈回路，无需阻尼器；</w:t>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1.2 </w:t>
            </w: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rPr>
                <w:rFonts w:hint="eastAsia" w:ascii="宋体" w:hAnsi="宋体" w:cs="宋体"/>
                <w:b/>
                <w:bCs/>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 集成式漏液管理：漏液传感器与安全漏液处理；</w:t>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1.4 pH范围：1-12.5；</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1.5流量：0.010-2.000mL/min，以0.001mL/min为增量；</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 流速准确度：≤±0.5%；</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 最大操作压力：≥15,000psi；</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 梯度延迟体积：≤100μL，不随反压变化；</w:t>
            </w:r>
            <w:r/>
          </w:p>
          <w:p>
            <w:pPr>
              <w:ind w:firstLine="480"/>
              <w:spacing w:line="360" w:lineRule="auto"/>
              <w:rPr>
                <w:rStyle w:val="739"/>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1.9 梯度模式：预编≥11种梯度曲线</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Hans"/>
              </w:rPr>
              <w:t xml:space="preserve">提供公开发行的证明材料，如官方彩页或官方规格参数文件等</w:t>
            </w:r>
            <w:r>
              <w:rPr>
                <w:rFonts w:hint="eastAsia" w:ascii="宋体" w:hAnsi="宋体" w:cs="宋体"/>
                <w:b/>
                <w:bCs/>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Style w:val="739"/>
                <w:rFonts w:hint="eastAsia" w:ascii="宋体" w:hAnsi="宋体" w:eastAsia="宋体" w:cs="宋体"/>
                <w:color w:val="000000"/>
                <w:sz w:val="24"/>
                <w:szCs w:val="24"/>
                <w:highlight w:val="none"/>
              </w:rPr>
              <w:t xml:space="preserve">1.10 </w:t>
            </w:r>
            <w:r>
              <w:rPr>
                <w:rFonts w:hint="eastAsia" w:ascii="宋体" w:hAnsi="宋体" w:cs="宋体"/>
                <w:color w:val="000000"/>
                <w:sz w:val="24"/>
                <w:szCs w:val="24"/>
                <w:highlight w:val="none"/>
              </w:rPr>
              <w:t xml:space="preserve">流速精密度：≤0.08%</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1.11样品管理系统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1.11.1样品瓶数量：不少于95位2ml样品瓶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1.11.2进样范围：0.1-10 µL，可以扩展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1.11.3 进样次数：每个样品1—99次进样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1.11.4 进样精度：≤0.5%RSD</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1.11.5 进样线性度：&gt;0.999</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1.11.6 样品控制温度：4-40℃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1.11.7 样品污染度：＜0.003%（咖啡因，UV测定）</w:t>
            </w:r>
            <w:r/>
          </w:p>
          <w:p>
            <w:pPr>
              <w:ind w:firstLine="42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2.质谱仪技术参数</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 质量数范围: m/z 5～2000</w:t>
            </w:r>
            <w:r/>
          </w:p>
          <w:p>
            <w:pPr>
              <w:ind w:firstLine="420"/>
              <w:spacing w:line="360" w:lineRule="auto"/>
              <w:rPr>
                <w:rFonts w:ascii="宋体" w:hAnsi="宋体" w:cs="宋体"/>
                <w:b/>
                <w:bCs/>
                <w:color w:val="ff0000"/>
                <w:sz w:val="24"/>
                <w:szCs w:val="24"/>
                <w:highlight w:val="none"/>
              </w:rPr>
            </w:pPr>
            <w:r>
              <w:rPr>
                <w:rFonts w:hint="eastAsia" w:ascii="宋体" w:hAnsi="宋体" w:cs="宋体"/>
                <w:color w:val="000000"/>
                <w:sz w:val="24"/>
                <w:szCs w:val="24"/>
                <w:highlight w:val="none"/>
              </w:rPr>
              <w:t xml:space="preserve">▲2.2正负切换速度：≤5ms</w:t>
            </w:r>
            <w:r>
              <w:rPr>
                <w:rFonts w:hint="eastAsia" w:ascii="宋体" w:hAnsi="宋体" w:cs="宋体"/>
                <w:b/>
                <w:bCs/>
                <w:sz w:val="24"/>
                <w:szCs w:val="24"/>
                <w:highlight w:val="none"/>
              </w:rPr>
              <w:t xml:space="preserve">{提供所投产品官网上切换速度数据截图、</w:t>
            </w:r>
            <w:r>
              <w:rPr>
                <w:rFonts w:hint="eastAsia" w:ascii="宋体" w:hAnsi="宋体" w:cs="宋体"/>
                <w:b/>
                <w:bCs/>
                <w:color w:val="000000"/>
                <w:sz w:val="24"/>
                <w:szCs w:val="24"/>
                <w:highlight w:val="none"/>
                <w:lang w:eastAsia="zh-Hans"/>
              </w:rPr>
              <w:t xml:space="preserve">官方彩页或官方规格参数文件</w:t>
            </w:r>
            <w:r>
              <w:rPr>
                <w:rFonts w:hint="eastAsia" w:ascii="宋体" w:hAnsi="宋体" w:cs="宋体"/>
                <w:b/>
                <w:bCs/>
                <w:sz w:val="24"/>
                <w:szCs w:val="24"/>
                <w:highlight w:val="none"/>
              </w:rPr>
              <w:t xml:space="preserve">及所投产品软件视频（视频内容无剪辑，须展现出仪器，型号，软件上正负切换设置5ms且能运行等内容）作为证明材料，以上材料缺一不可}</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 MRM灵敏度:  </w:t>
            </w:r>
            <w:r/>
          </w:p>
          <w:p>
            <w:pPr>
              <w:ind w:firstLine="420"/>
              <w:spacing w:line="360" w:lineRule="auto"/>
              <w:rPr>
                <w:rFonts w:ascii="宋体" w:hAnsi="宋体" w:cs="宋体"/>
                <w:i/>
                <w:iCs/>
                <w:color w:val="000000"/>
                <w:sz w:val="24"/>
                <w:szCs w:val="24"/>
                <w:highlight w:val="none"/>
                <w:u w:val="single"/>
              </w:rPr>
            </w:pPr>
            <w:r>
              <w:rPr>
                <w:rFonts w:hint="eastAsia" w:ascii="宋体" w:hAnsi="宋体" w:cs="宋体"/>
                <w:b/>
                <w:bCs/>
                <w:i/>
                <w:iCs/>
                <w:color w:val="000000"/>
                <w:sz w:val="24"/>
                <w:szCs w:val="24"/>
                <w:highlight w:val="none"/>
                <w:u w:val="single"/>
              </w:rPr>
              <w:t xml:space="preserve">1）ESI+：实际柱上进样1pg利血平，流速0.8mL/min，m/z 609.3&gt;195.1，数据无平滑，信噪比≥3,500,000:1，基线噪声采集区间不低于0.3min。重现性实验：1pg利血平分别连续进样10次，峰面积CV小于3%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p>
          <w:p>
            <w:pPr>
              <w:ind w:firstLine="420"/>
              <w:spacing w:line="360" w:lineRule="auto"/>
              <w:rPr>
                <w:rFonts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2）ESI-: 实际柱上进样1pg氯霉素，流速0.8mL/min，m/z 609.3&gt;195.1，数据无平滑，信噪比≥3,500,000:1，基线噪声采集区间不低于0.3min。重现性实验：1pg氯霉素分别连续进样10次，峰面积CV小于3%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2.4真实样品灵敏度：</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▲1）所投产品可实现样品简单稀释后直接一针进样，15分钟之内可同时测定饮用水中56种全氟及多氟化合物并准确定量，定量下限均可达到50ppt；数据重现性：用自来水配置50 ng/L的基质标样，连续进样6针，56种PFASs 峰面积的RSD在5%以内；标准曲线：各化合物在各自的浓度范围内均线性良好，R＞0.995</w:t>
            </w:r>
            <w:r>
              <w:rPr>
                <w:rFonts w:hint="eastAsia" w:ascii="宋体" w:hAnsi="宋体" w:cs="宋体"/>
                <w:b/>
                <w:bCs/>
                <w:color w:val="000000"/>
                <w:sz w:val="24"/>
                <w:szCs w:val="24"/>
                <w:highlight w:val="none"/>
              </w:rPr>
              <w:t xml:space="preserve">（要求提供相关离子色谱图、重现性图谱及完整解决方案作为证明材料）</w:t>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2）所投产品可实现无需固相萃取，无需富集，直接进样法且一针进样同时完成生活饮用水中至少57种抗生素的检测，57种抗生素的定量限均可达到ng/L水平；基质样品重现性考察：生活饮用水基质加标（0.05 µg/L），6针连续进样，57种抗生素峰面积的RSD值均不超过2%</w:t>
            </w:r>
            <w:r>
              <w:rPr>
                <w:rFonts w:hint="eastAsia" w:ascii="宋体" w:hAnsi="宋体" w:cs="宋体"/>
                <w:b/>
                <w:bCs/>
                <w:color w:val="000000"/>
                <w:sz w:val="24"/>
                <w:szCs w:val="24"/>
                <w:highlight w:val="none"/>
              </w:rPr>
              <w:t xml:space="preserve">（要求提供相关离子色谱图、峰面积统计图及官方彩页或官方规格参数文件作为证明材料）</w:t>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▲3）全氟-3,6,9-三氧杂癸酸多重反应监测 (m/z 411→85）定量灵敏度：ESI-模式下，定量限不大于20ng/L；线性范围：ESI-模式下，定量曲线在(50～10000) ng/L范围内线性良好，线性相关系数γ＞0.99；ESI-模式下，浓度为20 ng/L，连续6次进样，RSD＜5%</w:t>
            </w:r>
            <w:r>
              <w:rPr>
                <w:rFonts w:hint="eastAsia" w:ascii="宋体" w:hAnsi="宋体" w:cs="宋体"/>
                <w:b/>
                <w:bCs/>
                <w:color w:val="000000"/>
                <w:sz w:val="24"/>
                <w:szCs w:val="24"/>
                <w:highlight w:val="none"/>
              </w:rPr>
              <w:t xml:space="preserve">（提供投标人或制造商盖章的实际测试样品谱图证明，及具备CNAS</w:t>
            </w:r>
            <w:r>
              <w:rPr>
                <w:rFonts w:hint="eastAsia" w:ascii="宋体" w:hAnsi="宋体" w:cs="宋体"/>
                <w:b/>
                <w:bCs/>
                <w:color w:val="000000"/>
                <w:sz w:val="24"/>
                <w:szCs w:val="24"/>
                <w:highlight w:val="none"/>
                <w:lang w:val="en-US" w:eastAsia="zh-CN"/>
              </w:rPr>
              <w:t xml:space="preserve">或其他</w:t>
            </w:r>
            <w:r>
              <w:rPr>
                <w:rFonts w:hint="eastAsia" w:ascii="宋体" w:hAnsi="宋体" w:cs="宋体"/>
                <w:b/>
                <w:bCs/>
                <w:color w:val="000000"/>
                <w:sz w:val="24"/>
                <w:szCs w:val="24"/>
                <w:highlight w:val="none"/>
              </w:rPr>
              <w:t xml:space="preserve">第三方认证机构出具的投标型号质谱的检测报告）</w:t>
            </w: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灵敏度稳定性：多菌灵 (carbendazim)甲醇溶液，不接色谱柱仅接二通的情况下，使用80%的乙腈水溶液作为流动相，不同流速0.4、0.8、1、2mL/min下分别进样1µL，分别测定峰高值（多重反应监测 192/160），计算{（最高值峰高值-最低值峰高值）/最高</w:t>
            </w:r>
            <w:bookmarkStart w:id="30" w:name="_GoBack"/>
            <w:r/>
            <w:bookmarkEnd w:id="30"/>
            <w:r>
              <w:rPr>
                <w:rFonts w:hint="eastAsia" w:ascii="宋体" w:hAnsi="宋体" w:cs="宋体"/>
                <w:color w:val="000000"/>
                <w:sz w:val="24"/>
                <w:szCs w:val="24"/>
                <w:highlight w:val="none"/>
              </w:rPr>
              <w:t xml:space="preserve">值峰高值}≤5%。</w:t>
            </w:r>
            <w:r>
              <w:rPr>
                <w:rFonts w:hint="eastAsia" w:ascii="宋体" w:hAnsi="宋体" w:cs="宋体"/>
                <w:b/>
                <w:color w:val="000000"/>
                <w:sz w:val="24"/>
                <w:szCs w:val="24"/>
                <w:highlight w:val="none"/>
              </w:rPr>
              <w:t xml:space="preserve">（提供软件界面全屏的截图，要求界面上显示多重反应监测离子对及峰高信息；提供具备</w:t>
            </w:r>
            <w:r>
              <w:rPr>
                <w:rFonts w:hint="eastAsia" w:ascii="宋体" w:hAnsi="宋体" w:cs="宋体"/>
                <w:b/>
                <w:bCs/>
                <w:color w:val="000000"/>
                <w:sz w:val="24"/>
                <w:szCs w:val="24"/>
                <w:highlight w:val="none"/>
              </w:rPr>
              <w:t xml:space="preserve">CNAS</w:t>
            </w:r>
            <w:r>
              <w:rPr>
                <w:rFonts w:hint="eastAsia" w:ascii="宋体" w:hAnsi="宋体" w:cs="宋体"/>
                <w:b/>
                <w:bCs/>
                <w:color w:val="000000"/>
                <w:sz w:val="24"/>
                <w:szCs w:val="24"/>
                <w:highlight w:val="none"/>
                <w:lang w:val="en-US" w:eastAsia="zh-CN"/>
              </w:rPr>
              <w:t xml:space="preserve">或其他</w:t>
            </w:r>
            <w:r>
              <w:rPr>
                <w:rFonts w:hint="eastAsia" w:ascii="宋体" w:hAnsi="宋体" w:cs="宋体"/>
                <w:b/>
                <w:bCs/>
                <w:color w:val="000000"/>
                <w:sz w:val="24"/>
                <w:szCs w:val="24"/>
                <w:highlight w:val="none"/>
              </w:rPr>
              <w:t xml:space="preserve">第三方认证机构出具的投标型号质谱的检测报告</w:t>
            </w:r>
            <w:r>
              <w:rPr>
                <w:rFonts w:hint="eastAsia" w:ascii="宋体" w:hAnsi="宋体" w:cs="宋体"/>
                <w:b/>
                <w:color w:val="000000"/>
                <w:sz w:val="24"/>
                <w:szCs w:val="24"/>
                <w:highlight w:val="none"/>
              </w:rPr>
              <w:t xml:space="preserve">证明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以上证明材料需加盖投标人或制造商公章）</w:t>
            </w: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 仪器检测通量：无需液液萃取、固相萃取等前处理富集，大体积直接一针进样，正负离子同时检测水中至少230种PPCPs及农药残留，有80%以上的化合物的定量限≤0.01 μg/L以下，30%以上化合物的定量限≤0.001 μg/L，且RSD均小于10%。</w:t>
            </w:r>
            <w:r>
              <w:rPr>
                <w:rFonts w:hint="eastAsia" w:ascii="宋体" w:hAnsi="宋体" w:cs="宋体"/>
                <w:b/>
                <w:color w:val="000000"/>
                <w:sz w:val="24"/>
                <w:szCs w:val="24"/>
                <w:highlight w:val="none"/>
              </w:rPr>
              <w:t xml:space="preserve">（要求提供相关离子色谱图、结果统计图及完整解决方案）</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质量稳定性＜0.1amu/24小时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质量准确度: &lt;0.01% amu(全质量数范围)</w:t>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 离子源基质效应低，奶粉基质中分析氯霉素残留，前处理采用液液萃取LLE和不同的固相萃取柱如HLB、MCX、MIP，基质效应偏差小于2%</w:t>
            </w:r>
            <w:r>
              <w:rPr>
                <w:rFonts w:hint="eastAsia" w:ascii="宋体" w:hAnsi="宋体" w:cs="宋体"/>
                <w:b/>
                <w:bCs/>
                <w:color w:val="000000"/>
                <w:sz w:val="24"/>
                <w:szCs w:val="24"/>
                <w:highlight w:val="none"/>
              </w:rPr>
              <w:t xml:space="preserve">（提供同品牌离子源实验数据作为证明材料并加盖投标人或制造商公章）</w:t>
            </w:r>
            <w:r/>
          </w:p>
          <w:p>
            <w:pPr>
              <w:ind w:firstLine="420"/>
              <w:spacing w:line="360" w:lineRule="auto"/>
              <w:rPr>
                <w:rFonts w:ascii="宋体" w:hAnsi="宋体" w:cs="宋体"/>
                <w:b/>
                <w:bCs/>
                <w:sz w:val="24"/>
                <w:szCs w:val="24"/>
                <w:highlight w:val="none"/>
                <w:u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cs="宋体"/>
                <w:sz w:val="24"/>
                <w:szCs w:val="24"/>
                <w:highlight w:val="none"/>
              </w:rPr>
              <w:t xml:space="preserve">碰撞池：</w:t>
            </w:r>
            <w:r>
              <w:rPr>
                <w:rFonts w:hint="eastAsia" w:ascii="宋体" w:hAnsi="宋体" w:cs="宋体"/>
                <w:b/>
                <w:bCs/>
                <w:i w:val="0"/>
                <w:iCs w:val="0"/>
                <w:sz w:val="24"/>
                <w:szCs w:val="24"/>
                <w:highlight w:val="none"/>
                <w:u w:val="none"/>
              </w:rPr>
              <w:t xml:space="preserve">碰撞池弯曲度不小于90度，Dwell time低至2ms时，灵敏度不损失，同时提供3次清洗服务（此费用包含在投标费用中，采购人不另行付费）。（提供所投产品官网上碰撞室弯曲度数据截图或官网上下载彩页碰撞室结构截图及所投产品拆机视频（视频内容无剪辑至少展现出仪器型号、碰撞室结构等内容），同时提供农药多菌灵在2ms和10ms的驻留时间时，灵敏度不损失的谱图及数据证明，以上材料缺一不可，加盖投标人公章，成交后提供由制造商加盖公章的清洗承诺或协议）。</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出色的定量分析功能:数据采集动态线性范围: &gt;1×10</w:t>
            </w:r>
            <w:r>
              <w:rPr>
                <w:rFonts w:hint="eastAsia" w:ascii="宋体" w:hAnsi="宋体" w:cs="宋体"/>
                <w:color w:val="000000"/>
                <w:sz w:val="24"/>
                <w:szCs w:val="24"/>
                <w:highlight w:val="none"/>
                <w:vertAlign w:val="superscript"/>
              </w:rPr>
              <w:t xml:space="preserve">8</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定量分析重现性1ppb和10ppb胆固醇氧化物和甘油分别进样，不少于5次，RSD&lt;1%。</w:t>
            </w:r>
            <w:r>
              <w:rPr>
                <w:rFonts w:hint="eastAsia" w:ascii="宋体" w:hAnsi="宋体" w:cs="宋体"/>
                <w:b/>
                <w:bCs/>
                <w:color w:val="000000"/>
                <w:sz w:val="24"/>
                <w:szCs w:val="24"/>
                <w:highlight w:val="none"/>
              </w:rPr>
              <w:t xml:space="preserve">（提供谱图及数据作为证明材料并加盖投标人或制造商公章）</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扫描功能: 具有母离子扫描；中性丢失扫描;选择离子扫描;选择反应监测扫描;多反应同时监测扫描等功能。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离子源和进样方式: </w:t>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w:t>
            </w: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p>
          <w:p>
            <w:pPr>
              <w:ind w:firstLine="420"/>
              <w:spacing w:line="360" w:lineRule="auto"/>
              <w:rPr>
                <w:rFonts w:ascii="宋体" w:hAnsi="宋体" w:cs="宋体"/>
                <w:b/>
                <w:bCs/>
                <w:i w:val="0"/>
                <w:iCs w:val="0"/>
                <w:color w:val="000000"/>
                <w:sz w:val="24"/>
                <w:szCs w:val="24"/>
                <w:highlight w:val="none"/>
                <w:u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.2 </w:t>
            </w:r>
            <w:r>
              <w:rPr>
                <w:rFonts w:hint="eastAsia" w:ascii="宋体" w:hAnsi="宋体" w:cs="宋体"/>
                <w:b/>
                <w:bCs/>
                <w:i w:val="0"/>
                <w:iCs w:val="0"/>
                <w:sz w:val="24"/>
                <w:szCs w:val="24"/>
                <w:highlight w:val="none"/>
                <w:u w:val="none"/>
              </w:rPr>
              <w:t xml:space="preserve">离子源内标配两路加热雾化气，辅助加热气温度</w:t>
            </w:r>
            <w:r>
              <w:rPr>
                <w:rFonts w:hint="eastAsia" w:ascii="宋体" w:hAnsi="宋体" w:cs="宋体"/>
                <w:b/>
                <w:bCs/>
                <w:sz w:val="24"/>
                <w:szCs w:val="24"/>
                <w:highlight w:val="none"/>
              </w:rPr>
              <w:t xml:space="preserve">≥</w:t>
            </w:r>
            <w:r>
              <w:rPr>
                <w:rFonts w:hint="eastAsia" w:ascii="宋体" w:hAnsi="宋体" w:cs="宋体"/>
                <w:b/>
                <w:bCs/>
                <w:i w:val="0"/>
                <w:iCs w:val="0"/>
                <w:sz w:val="24"/>
                <w:szCs w:val="24"/>
                <w:highlight w:val="none"/>
                <w:u w:val="none"/>
              </w:rPr>
              <w:t xml:space="preserve">720℃（提供所投产品官方数据截图及采集软件视频（视频内容无剪辑，至少展现出仪器型号、采集软件温度设置</w:t>
            </w:r>
            <w:r>
              <w:rPr>
                <w:rFonts w:hint="eastAsia" w:ascii="宋体" w:hAnsi="宋体" w:cs="宋体"/>
                <w:b/>
                <w:bCs/>
                <w:sz w:val="24"/>
                <w:szCs w:val="24"/>
                <w:highlight w:val="none"/>
              </w:rPr>
              <w:t xml:space="preserve">≥</w:t>
            </w:r>
            <w:r>
              <w:rPr>
                <w:rFonts w:hint="eastAsia" w:ascii="宋体" w:hAnsi="宋体" w:cs="宋体"/>
                <w:b/>
                <w:bCs/>
                <w:i w:val="0"/>
                <w:iCs w:val="0"/>
                <w:sz w:val="24"/>
                <w:szCs w:val="24"/>
                <w:highlight w:val="none"/>
                <w:u w:val="none"/>
              </w:rPr>
              <w:t xml:space="preserve">720℃并成功运行等内容）作为证明材料，以上材料缺一不可）</w:t>
            </w:r>
            <w:r/>
          </w:p>
          <w:p>
            <w:pPr>
              <w:ind w:firstLine="420"/>
              <w:spacing w:line="360" w:lineRule="auto"/>
              <w:rPr>
                <w:rFonts w:hint="eastAsia" w:ascii="宋体" w:hAnsi="宋体" w:cs="宋体"/>
                <w:b/>
                <w:bCs/>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.3 ESI流速范围：在确保灵敏度不损失的前提下，实现高流速，它无需分流，流速</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2.8 mL/min。提供</w:t>
            </w:r>
            <w:bookmarkStart w:id="11" w:name="_Hlk209168437"/>
            <w:r>
              <w:rPr>
                <w:rFonts w:hint="eastAsia" w:ascii="宋体" w:hAnsi="宋体" w:cs="宋体"/>
                <w:color w:val="000000"/>
                <w:sz w:val="24"/>
                <w:szCs w:val="24"/>
                <w:highlight w:val="none"/>
              </w:rPr>
              <w:t xml:space="preserve">农药多菌灵(carbendazim)在不同流速：0.4，0.8，1，2mL/min下，灵敏度不损失的谱图数据</w:t>
            </w:r>
            <w:bookmarkEnd w:id="11"/>
            <w:r>
              <w:rPr>
                <w:rFonts w:hint="eastAsia" w:ascii="宋体" w:hAnsi="宋体" w:cs="宋体"/>
                <w:color w:val="000000"/>
                <w:sz w:val="24"/>
                <w:szCs w:val="24"/>
                <w:highlight w:val="none"/>
              </w:rPr>
              <w:t xml:space="preserve">。</w:t>
            </w:r>
            <w:r>
              <w:rPr>
                <w:rFonts w:hint="eastAsia" w:ascii="宋体" w:hAnsi="宋体" w:cs="宋体"/>
                <w:b/>
                <w:bCs/>
                <w:sz w:val="24"/>
                <w:szCs w:val="24"/>
                <w:highlight w:val="none"/>
              </w:rPr>
              <w:t xml:space="preserve">（提供所投产品离子源的流速范围</w:t>
            </w:r>
            <w:r>
              <w:rPr>
                <w:rFonts w:ascii="宋体" w:hAnsi="宋体" w:cs="宋体"/>
                <w:b/>
                <w:bCs/>
                <w:sz w:val="24"/>
                <w:szCs w:val="24"/>
                <w:highlight w:val="none"/>
              </w:rPr>
              <w:t xml:space="preserve">官网截图或官网下载资料截图</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及设置流速在2.8mL/min时离子源端液体完全雾化无液体出现的视频</w:t>
            </w:r>
            <w:r>
              <w:rPr>
                <w:rFonts w:hint="eastAsia" w:ascii="宋体" w:hAnsi="宋体" w:cs="宋体"/>
                <w:b/>
                <w:bCs/>
                <w:sz w:val="24"/>
                <w:szCs w:val="24"/>
                <w:highlight w:val="none"/>
              </w:rPr>
              <w:t xml:space="preserve">及农药多菌灵(carbendazim)在不同流速：0.4，0.8，1，2mL/min下，灵敏度不损失的谱图数据作为证明材料，</w:t>
            </w:r>
            <w:bookmarkStart w:id="12" w:name="_Hlk210029511"/>
            <w:r>
              <w:rPr>
                <w:rFonts w:hint="eastAsia" w:ascii="宋体" w:hAnsi="宋体" w:cs="宋体"/>
                <w:b/>
                <w:bCs/>
                <w:sz w:val="24"/>
                <w:szCs w:val="24"/>
                <w:highlight w:val="none"/>
              </w:rPr>
              <w:t xml:space="preserve">以上材料缺一不可</w:t>
            </w:r>
            <w:bookmarkEnd w:id="12"/>
            <w:r>
              <w:rPr>
                <w:rFonts w:hint="eastAsia" w:ascii="宋体" w:hAnsi="宋体" w:cs="宋体"/>
                <w:b/>
                <w:bCs/>
                <w:sz w:val="24"/>
                <w:szCs w:val="24"/>
                <w:highlight w:val="none"/>
              </w:rPr>
              <w:t xml:space="preserve">）</w:t>
            </w:r>
            <w:r/>
          </w:p>
          <w:p>
            <w:pPr>
              <w:ind w:firstLine="42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.4正/负APCI接口: 流速 2.8ml/min以上不分流</w:t>
            </w:r>
            <w:r>
              <w:rPr>
                <w:rFonts w:hint="eastAsia" w:ascii="宋体" w:hAnsi="宋体" w:cs="宋体"/>
                <w:b/>
                <w:bCs/>
                <w:sz w:val="24"/>
                <w:szCs w:val="24"/>
                <w:highlight w:val="none"/>
              </w:rPr>
              <w:t xml:space="preserve">（提供所投产品离子源流速范围官方彩页或官方规格参数文件及实验数据作为证明材料，以上材料缺一不可）</w:t>
            </w:r>
            <w:r>
              <w:rPr>
                <w:rFonts w:hint="eastAsia" w:ascii="宋体" w:hAnsi="宋体" w:cs="宋体"/>
                <w:sz w:val="24"/>
                <w:szCs w:val="24"/>
                <w:highlight w:val="none"/>
              </w:rPr>
              <w:t xml:space="preserve">；</w:t>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5离子源内必须配有专门的负压排气设计，同时连接有专门的排气通道，废气不进入机械泵。该设计必须为出厂设计，而非改造。防止气体在密闭的离子源腔体中的回流，降低离子源的记忆效应和污染，降低机械泵的负荷延长机械泵泵油使用时间，维护试验环境，保障工作人员健康。</w:t>
            </w:r>
            <w:r>
              <w:rPr>
                <w:rFonts w:hint="eastAsia" w:ascii="宋体" w:hAnsi="宋体" w:cs="宋体"/>
                <w:b/>
                <w:bCs/>
                <w:color w:val="000000"/>
                <w:sz w:val="24"/>
                <w:szCs w:val="24"/>
                <w:highlight w:val="none"/>
              </w:rPr>
              <w:t xml:space="preserve">（提供离子源负压装置结构图并加盖投标人或制造商公章）</w:t>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可兼容无鞘液方式的毛细管电泳质谱连接接口，可拓展大分子蛋白多肽分析。</w:t>
            </w:r>
            <w:r>
              <w:rPr>
                <w:rFonts w:hint="eastAsia" w:ascii="宋体" w:hAnsi="宋体" w:cs="宋体"/>
                <w:b/>
                <w:bCs/>
                <w:sz w:val="24"/>
                <w:szCs w:val="24"/>
                <w:highlight w:val="none"/>
              </w:rPr>
              <w:t xml:space="preserve">（须提供实际完整</w:t>
            </w:r>
            <w:r>
              <w:rPr>
                <w:rFonts w:hint="eastAsia" w:ascii="宋体" w:hAnsi="宋体" w:cs="宋体"/>
                <w:b/>
                <w:bCs/>
                <w:sz w:val="24"/>
                <w:szCs w:val="24"/>
                <w:highlight w:val="none"/>
                <w:lang w:val="en-US" w:eastAsia="zh-CN"/>
              </w:rPr>
              <w:t xml:space="preserve">案例</w:t>
            </w:r>
            <w:r>
              <w:rPr>
                <w:rFonts w:hint="eastAsia" w:ascii="宋体" w:hAnsi="宋体" w:cs="宋体"/>
                <w:b/>
                <w:bCs/>
                <w:sz w:val="24"/>
                <w:szCs w:val="24"/>
                <w:highlight w:val="none"/>
              </w:rPr>
              <w:t xml:space="preserve">作为证明材料，并扫描上传）</w:t>
            </w:r>
            <w:r/>
          </w:p>
          <w:p>
            <w:pPr>
              <w:pStyle w:val="807"/>
              <w:numPr>
                <w:ilvl w:val="0"/>
                <w:numId w:val="0"/>
              </w:numPr>
              <w:ind w:left="433" w:firstLine="69"/>
              <w:rPr>
                <w:rFonts w:hint="eastAsia" w:ascii="宋体" w:hAnsi="宋体" w:eastAsia="宋体" w:cs="宋体"/>
                <w:b/>
                <w:bCs/>
                <w:i/>
                <w:iCs/>
                <w:sz w:val="24"/>
                <w:szCs w:val="24"/>
                <w:highlight w:val="none"/>
                <w:u w:val="singl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w:t>
            </w:r>
            <w:r>
              <w:rPr>
                <w:rFonts w:hint="eastAsia" w:ascii="宋体" w:hAnsi="宋体" w:eastAsia="宋体" w:cs="宋体"/>
                <w:b/>
                <w:bCs/>
                <w:i/>
                <w:iCs/>
                <w:sz w:val="24"/>
                <w:szCs w:val="24"/>
                <w:highlight w:val="none"/>
                <w:u w:val="single"/>
                <w:lang w:val="en-US" w:eastAsia="zh-CN" w:bidi="ar-SA"/>
              </w:rPr>
              <w:t xml:space="preserve">检测器: 为满足长期大量脏样品定量分析的数据可靠性和重复性，可为光电倍增管或电子倍增管，检测器质保10年。（提供供应商承诺函）</w:t>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sz w:val="24"/>
                <w:szCs w:val="24"/>
                <w:highlight w:val="none"/>
              </w:rPr>
              <w:t xml:space="preserve"> 真空系统</w:t>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包含前级大抽速机械泵及长寿命涡轮分子泵组合差分抽气高真空系统, 无需额外水冷却系统，自动断电保护功能。</w:t>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 数据系统:</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.1 正版操作环境, 质谱系统软件能对整套系统进行控制, 进行数据采集、数据处理、定性分析和定量分析、建立数据库功能，谱库检索功能，GLP认证、自动校正和全自动分析功能。全自动定量软件等。</w:t>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w:t>
            </w:r>
            <w:bookmarkStart w:id="13" w:name="OLE_LINK6"/>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bookmarkEnd w:id="13"/>
            <w:r>
              <w:rPr>
                <w:rFonts w:hint="eastAsia" w:ascii="宋体" w:hAnsi="宋体" w:cs="宋体"/>
                <w:color w:val="000000"/>
                <w:sz w:val="24"/>
                <w:szCs w:val="24"/>
                <w:highlight w:val="none"/>
              </w:rPr>
              <w:t xml:space="preserve">2在数据采集过程中具有</w:t>
            </w:r>
            <w:bookmarkStart w:id="14" w:name="_Hlk209512025"/>
            <w:r>
              <w:rPr>
                <w:rFonts w:hint="eastAsia" w:ascii="宋体" w:hAnsi="宋体" w:cs="宋体"/>
                <w:color w:val="000000"/>
                <w:sz w:val="24"/>
                <w:szCs w:val="24"/>
                <w:highlight w:val="none"/>
              </w:rPr>
              <w:t xml:space="preserve">动态背景扣除功能</w:t>
            </w:r>
            <w:bookmarkEnd w:id="14"/>
            <w:r>
              <w:rPr>
                <w:rFonts w:hint="eastAsia" w:ascii="宋体" w:hAnsi="宋体" w:cs="宋体"/>
                <w:color w:val="000000"/>
                <w:sz w:val="24"/>
                <w:szCs w:val="24"/>
                <w:highlight w:val="none"/>
              </w:rPr>
              <w:t xml:space="preserve">，保证低含量化合物也能采集到有效的二级谱图</w:t>
            </w:r>
            <w:r>
              <w:rPr>
                <w:rFonts w:hint="eastAsia" w:ascii="宋体" w:hAnsi="宋体" w:cs="宋体"/>
                <w:b/>
                <w:bCs/>
                <w:sz w:val="24"/>
                <w:szCs w:val="24"/>
                <w:highlight w:val="none"/>
              </w:rPr>
              <w:t xml:space="preserve">{须提供软件截图及视频（视频无剪辑须体现动态背景扣除功能、二级谱图及实际实验结果等信息）等证明材料，以上材料缺一不可}</w:t>
            </w: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.3</w:t>
            </w:r>
            <w:r>
              <w:rPr>
                <w:rFonts w:hint="eastAsia" w:ascii="宋体" w:hAnsi="宋体" w:cs="宋体"/>
                <w:sz w:val="24"/>
                <w:szCs w:val="24"/>
                <w:highlight w:val="none"/>
              </w:rPr>
              <w:t xml:space="preserve"> 软件控制自动进行仪器校正；</w:t>
            </w: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.4</w:t>
            </w:r>
            <w:r>
              <w:rPr>
                <w:rFonts w:hint="eastAsia" w:ascii="宋体" w:hAnsi="宋体" w:cs="宋体"/>
                <w:sz w:val="24"/>
                <w:szCs w:val="24"/>
                <w:highlight w:val="none"/>
              </w:rPr>
              <w:t xml:space="preserve">软件具有质谱分析方法自动开发功能，一次性全自动生成包括离子对信息、碰撞能、离子导入电压等参数在内的SIR/MRM方法。可建立基于化合物名称的质谱分析方法数据库，软件输入化合物名称自动调用储存方法进行分析。</w:t>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.5</w:t>
            </w:r>
            <w:r>
              <w:rPr>
                <w:rFonts w:hint="eastAsia" w:ascii="宋体" w:hAnsi="宋体" w:cs="宋体"/>
                <w:sz w:val="24"/>
                <w:szCs w:val="24"/>
                <w:highlight w:val="none"/>
              </w:rPr>
              <w:t xml:space="preserve"> 谱图库：有国内外检测农药、兽药以及添加剂等有机污染物的液相方法、三重四级杆质谱方法以及二级图谱数据库，含5000种化合物以上。</w:t>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.6</w:t>
            </w:r>
            <w:r>
              <w:rPr>
                <w:rFonts w:hint="eastAsia" w:ascii="宋体" w:hAnsi="宋体" w:cs="宋体"/>
                <w:sz w:val="24"/>
                <w:szCs w:val="24"/>
                <w:highlight w:val="none"/>
              </w:rPr>
              <w:t xml:space="preserve"> 软件具有数据自动计算及结果变化趋势绘图功能，内置定性、定量数据管理插件，自动给出定性定量报告。</w:t>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.7</w:t>
            </w:r>
            <w:r>
              <w:rPr>
                <w:rFonts w:hint="eastAsia" w:ascii="宋体" w:hAnsi="宋体" w:cs="宋体"/>
                <w:sz w:val="24"/>
                <w:szCs w:val="24"/>
                <w:highlight w:val="none"/>
              </w:rPr>
              <w:t xml:space="preserve"> 软件配备方法库和图谱库，输入国标号、样品名称或CAS号可以直接调用色谱和质谱方法，含色谱柱推荐等。</w:t>
            </w: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3.台式冷冻型离心机</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3.1最高转速： ≥15200rpm  </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3.2最大离心力：≥25830xg </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3.3最大容量:≥ 4×400mL</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3.4温度设定范围：-10℃至+40℃</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3.5加减速控制：9级加速, 10级减速</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3.6转头锁定系统：转头自锁，具有转头自动锁定装置，可以在3秒内实现转头的安全锁定&amp;转头更换</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3.7生物安全性保证：提供所有转子的防生物污染密封盖，每个转头盖子提供经第三方认证的证书。可以单手操作，无需旋盖及搭扣，并可以确保密封</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3.8驱动系统：无碳刷大力矩电机直接驱动</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3.9程序：6个快捷程序可一键调用，并具有1个快捷预冷程序</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3.10运行时间控制: 0-9小时59分钟；并具有瞬时离心及连续离心方式</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3.11控制系统：微电脑控制, 数字液晶显示；可以同时显示设定和实际温度、速度、时间；可简单快捷设定运行条件和运行参数；</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3.12 自动性能：可选择在离心结束之后自动开盖；可选择在离心结束时声音提醒功能</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3.13可选配转子数量: ≥15个，并且有非金属转头可供选配。</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3.14配置： 主机1台、碳纤角转头1个、50m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尖底管适配器1个、1.5/2m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微量离心管适配器1个</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4.氮气发生器参数要求：</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4.1采用分离技术，环保、无噪音，可用一台气体发生器同时提供雾化气、干燥气和碰撞气。</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4.2气体流速、纯度：氮气流速：45L/min （纯度高达 99.9%）</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4.3内置由两台空气压缩机集成的超空压系统，间歇式给氮气发生器提供压缩气源。</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4.4内置消音器及一体式真空隔音机箱,系统（包括主机和压缩机）噪音水平：≤54dB@1m</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5.仪器配置清单</w:t>
            </w:r>
            <w:r/>
          </w:p>
          <w:p>
            <w:pPr>
              <w:pStyle w:val="960"/>
              <w:ind w:left="479" w:firstLine="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5.1三重四级杆质谱仪1套</w:t>
            </w:r>
            <w:r/>
          </w:p>
          <w:p>
            <w:pPr>
              <w:pStyle w:val="9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 超高效液相色谱仪1套（高压二元泵、在线脱气机、自动进样器和柱温箱）</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5.3 数据处理系统（包括电脑工作站与相关操作分析软件）1套</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5.4不间断稳压电源（10KV/2H）1台 </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5.5 液质专用氮气发生器1套</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5.6色谱柱:C18色谱柱  1.7µm*2.1mm*100mm 2根（含预柱一套）；</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 1.8µm*2.1mm*100mm 1根（含预柱两套）；</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PFAS（全氟化合物）标准品及方法包，包含色谱柱等；</w:t>
            </w:r>
            <w:r/>
          </w:p>
          <w:p>
            <w:pPr>
              <w:pStyle w:val="960"/>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5.7</w:t>
            </w:r>
            <w:r>
              <w:rPr>
                <w:rFonts w:hint="eastAsia" w:ascii="宋体" w:hAnsi="宋体" w:cs="宋体"/>
                <w:b/>
                <w:bCs/>
                <w:i/>
                <w:iCs/>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p>
            <w:pPr>
              <w:pStyle w:val="960"/>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5.8 </w:t>
            </w:r>
            <w:r>
              <w:rPr>
                <w:rFonts w:hint="eastAsia" w:ascii="宋体" w:hAnsi="宋体" w:cs="宋体"/>
                <w:b/>
                <w:bCs/>
                <w:i/>
                <w:iCs/>
                <w:sz w:val="24"/>
                <w:szCs w:val="24"/>
                <w:highlight w:val="none"/>
                <w:u w:val="single"/>
              </w:rPr>
              <w:t xml:space="preserve">25寸液晶显示屏</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p>
            <w:pPr>
              <w:pStyle w:val="960"/>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5.9</w:t>
            </w:r>
            <w:r>
              <w:rPr>
                <w:rFonts w:hint="eastAsia" w:ascii="宋体" w:hAnsi="宋体" w:cs="宋体"/>
                <w:b/>
                <w:bCs/>
                <w:i/>
                <w:iCs/>
                <w:sz w:val="24"/>
                <w:szCs w:val="24"/>
                <w:highlight w:val="none"/>
                <w:u w:val="single"/>
              </w:rPr>
              <w:t xml:space="preserve">输出设备一台，支持彩色自动双面输出，支持有线&amp;无线网络输出，A4纸输出速度（黑白或彩色）不低于27页/分钟。</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p>
            <w:pPr>
              <w:pStyle w:val="96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5.10台式冷冻型离心机 1台</w:t>
            </w:r>
            <w:r/>
          </w:p>
          <w:p>
            <w:pPr>
              <w:pStyle w:val="960"/>
              <w:ind w:firstLine="480"/>
              <w:jc w:val="left"/>
              <w:spacing w:line="360" w:lineRule="auto"/>
              <w:rPr>
                <w:rFonts w:ascii="宋体" w:hAnsi="宋体" w:cs="宋体"/>
                <w:sz w:val="24"/>
                <w:szCs w:val="24"/>
                <w:highlight w:val="none"/>
              </w:rPr>
            </w:pPr>
            <w:r>
              <w:rPr>
                <w:rFonts w:hint="eastAsia" w:ascii="宋体" w:hAnsi="宋体" w:cs="宋体"/>
                <w:color w:val="000000"/>
                <w:sz w:val="24"/>
                <w:szCs w:val="24"/>
                <w:highlight w:val="none"/>
                <w:lang w:val="en-US" w:eastAsia="zh-CN"/>
              </w:rPr>
              <w:t xml:space="preserve">5.11 </w:t>
            </w:r>
            <w:r>
              <w:rPr>
                <w:rFonts w:hint="eastAsia" w:ascii="宋体" w:hAnsi="宋体" w:cs="宋体"/>
                <w:color w:val="000000"/>
                <w:sz w:val="24"/>
                <w:szCs w:val="24"/>
                <w:highlight w:val="none"/>
              </w:rPr>
              <w:t xml:space="preserve">大功率除湿机，1台，除湿量：≥60L/D（35℃ RH90%）；名义除湿量：≥1.2kg/h（27℃ RH60%），噪音≤45dB(A)平均值，排水方式为软管连续排水或水箱（≥6.2L）。</w:t>
            </w: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1、交货期：合同签订后60天内完成安装调试，达到预期效果。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整套设备保修≥24个月，保修期外优惠收取零配件费用与上门维修服务费用</w:t>
      </w:r>
      <w:r>
        <w:rPr>
          <w:rFonts w:hint="eastAsia" w:ascii="宋体" w:hAnsi="宋体"/>
          <w:b/>
          <w:bCs/>
          <w:i/>
          <w:iCs/>
          <w:sz w:val="24"/>
          <w:szCs w:val="24"/>
          <w:highlight w:val="none"/>
          <w:u w:val="single"/>
          <w:lang w:eastAsia="zh-CN"/>
        </w:rPr>
        <w:t xml:space="preserve">（投标时提供承诺书，合同签订后7个工作日提供制造商加盖公章的质保承诺或协议，无法提供的，采购人有权单方面解除合同、扣除履约保证金、成交供应商清退出场，同时报政府采购监督管理部门）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highlight w:val="none"/>
        </w:rPr>
        <w:t xml:space="preserve">。</w:t>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2、接到维修通知后保证2小时内响应，专职的技术服务人员2天内到场维修，国内零配件供应时间不超过2天到达采购人现场、国外不超过2周到达采购人现场；</w:t>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3、零配件应保证设备寿命周期内均能供应（不少于10年），更换维修时提供主要零配件的优惠价。</w:t>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5、质保期内每年提供一次原厂技术维护（供应商投标时提供承诺书加盖公章，成交后提供由制造商加盖公章的维护承诺或协议）。</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6、仪器出现故障后，一般问题维修响应时间不超过24小时，重大问题不超过48小时。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7、提供中文操作、培训教材、保养、维修手册。</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8、质保期间，中标人承担维修、保养、安检、调换等，相关费用包含在预算内，采购方不再支付任何费用；对于采购方人为原因造成的故障，中标人只收取维保成本费用。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9、质保期内，应确保设备的正常使用。在接到采购人服务要求后应立即做出回应，并在承诺的服务时间内实施服务。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10、承担质保期内的全部技术责任。</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11、质保期内，定期对所供产品进行巡检，对巡检中发现的潜在隐患提出改正建议，及时通知采购人。</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12、质保期内，发现由于材料、设备或工艺不良造成设备故障时，应研究其故障原因，并迅速修复或免费进行更换。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13、维修后，如果设备配置与初始状态不一致时(如升级或改版)，应附上相应的配置说明。</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p>
    <w:p>
      <w:pPr>
        <w:ind w:firstLine="480"/>
        <w:jc w:val="left"/>
        <w:spacing w:line="360" w:lineRule="auto"/>
        <w:rPr>
          <w:rFonts w:ascii="Times New Roman" w:hAnsi="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w:t>
      </w:r>
      <w:r>
        <w:rPr>
          <w:rFonts w:hint="eastAsia" w:ascii="宋体" w:hAnsi="宋体"/>
          <w:color w:val="auto"/>
          <w:sz w:val="24"/>
          <w:szCs w:val="24"/>
          <w:highlight w:val="none"/>
        </w:rPr>
        <w:t xml:space="preserve">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hint="eastAsia" w:ascii="Times New Roman" w:hAnsi="Times New Roman" w:eastAsia="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投标报价须包含</w:t>
      </w:r>
      <w:r>
        <w:rPr>
          <w:rFonts w:hint="eastAsia" w:ascii="宋体" w:hAnsi="宋体"/>
          <w:color w:val="auto"/>
          <w:sz w:val="24"/>
          <w:szCs w:val="24"/>
          <w:highlight w:val="none"/>
          <w:lang w:val="en-US" w:eastAsia="zh-CN"/>
        </w:rPr>
        <w:t xml:space="preserve">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none"/>
        </w:rPr>
        <w:t xml:space="preserve">十二、付款方式与履约保证金</w:t>
      </w:r>
      <w:r/>
    </w:p>
    <w:p>
      <w:pPr>
        <w:ind w:firstLine="480"/>
        <w:jc w:val="left"/>
        <w:spacing w:line="360" w:lineRule="auto"/>
        <w:rPr>
          <w:rFonts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1、付款方式</w:t>
      </w:r>
      <w:r/>
    </w:p>
    <w:p>
      <w:pPr>
        <w:ind w:left="479" w:firstLine="65"/>
        <w:jc w:val="left"/>
        <w:spacing w:line="360" w:lineRule="auto"/>
        <w:rPr>
          <w:rFonts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设备安装调试经验收合格后，经审计票据齐全后一次性支付至审计金额的100%。</w:t>
      </w:r>
      <w:r/>
    </w:p>
    <w:p>
      <w:pPr>
        <w:ind w:left="479" w:firstLine="64"/>
        <w:jc w:val="left"/>
        <w:spacing w:line="360" w:lineRule="auto"/>
        <w:rPr>
          <w:rFonts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2、履约保证金</w:t>
      </w:r>
      <w:r/>
    </w:p>
    <w:p>
      <w:pPr>
        <w:ind w:firstLine="480"/>
        <w:jc w:val="left"/>
        <w:spacing w:line="360" w:lineRule="auto"/>
        <w:rPr>
          <w:rFonts w:hint="eastAsia"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本项目收取履约保证金</w:t>
      </w:r>
      <w:r>
        <w:rPr>
          <w:rFonts w:hint="eastAsia" w:ascii="宋体" w:hAnsi="宋体"/>
          <w:color w:val="auto"/>
          <w:sz w:val="24"/>
          <w:szCs w:val="24"/>
          <w:highlight w:val="none"/>
          <w:lang w:eastAsia="zh-CN"/>
        </w:rPr>
        <w:t xml:space="preserve">，金额为合同金额的</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color w:val="auto"/>
          <w:sz w:val="28"/>
          <w:szCs w:val="28"/>
          <w:highlight w:val="none"/>
        </w:rPr>
        <w:t xml:space="preserve">十三、其他</w:t>
      </w:r>
      <w:bookmarkEnd w:id="9"/>
      <w:r/>
      <w:bookmarkEnd w:id="10"/>
      <w:r/>
      <w:r/>
    </w:p>
    <w:p>
      <w:pPr>
        <w:ind w:firstLine="480"/>
        <w:spacing w:line="360" w:lineRule="auto"/>
        <w:rPr>
          <w:rFonts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1、本项目报价不得超过预算价（最高限价）。</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2、特别提醒供应商：应根据国家收费标准并结合市场实际进行报价</w:t>
      </w:r>
      <w:r>
        <w:rPr>
          <w:rFonts w:hint="eastAsia" w:ascii="宋体" w:hAnsi="宋体"/>
          <w:sz w:val="24"/>
          <w:szCs w:val="24"/>
          <w:highlight w:val="none"/>
        </w:rPr>
        <w:t xml:space="preserve">，总价包干。</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7"/>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5"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5"/>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Bdr>
          <w:top w:val="none" w:color="auto" w:sz="0" w:space="1"/>
          <w:left w:val="none" w:color="auto" w:sz="0" w:space="4"/>
          <w:bottom w:val="none" w:color="auto" w:sz="0" w:space="1"/>
          <w:right w:val="none" w:color="auto" w:sz="0" w:space="4"/>
        </w:pBd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Bdr>
          <w:top w:val="none" w:color="auto" w:sz="0" w:space="1"/>
          <w:left w:val="none" w:color="auto" w:sz="0" w:space="4"/>
          <w:bottom w:val="none" w:color="auto" w:sz="0" w:space="1"/>
          <w:right w:val="none" w:color="auto" w:sz="0" w:space="4"/>
        </w:pBdr>
      </w:pPr>
      <w:r>
        <w:rPr>
          <w:rFonts w:hint="eastAsia"/>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color w:val="auto"/>
          <w:sz w:val="24"/>
          <w:szCs w:val="24"/>
          <w:highlight w:val="none"/>
        </w:rPr>
        <w:pBdr>
          <w:top w:val="none" w:color="auto" w:sz="0" w:space="1"/>
          <w:left w:val="none" w:color="auto" w:sz="0" w:space="4"/>
          <w:bottom w:val="none" w:color="auto" w:sz="0" w:space="1"/>
          <w:right w:val="none" w:color="auto" w:sz="0" w:space="4"/>
        </w:pBdr>
      </w:pPr>
      <w:r>
        <w:rPr>
          <w:rFonts w:hint="eastAsia"/>
          <w:color w:val="auto"/>
          <w:sz w:val="24"/>
          <w:szCs w:val="24"/>
          <w:highlight w:val="none"/>
        </w:rPr>
        <w:t xml:space="preserve">投标报价得分=（评标基准价／投标报价）×30分</w:t>
      </w:r>
      <w:r/>
    </w:p>
    <w:p>
      <w:pPr>
        <w:ind w:firstLine="480"/>
        <w:jc w:val="left"/>
        <w:spacing w:line="500" w:lineRule="exact"/>
        <w:rPr>
          <w:color w:val="auto"/>
          <w:sz w:val="24"/>
          <w:szCs w:val="24"/>
          <w:highlight w:val="none"/>
        </w:rPr>
        <w:pBdr>
          <w:top w:val="none" w:color="auto" w:sz="0" w:space="1"/>
          <w:left w:val="none" w:color="auto" w:sz="0" w:space="4"/>
          <w:bottom w:val="none" w:color="auto" w:sz="0" w:space="1"/>
          <w:right w:val="none" w:color="auto" w:sz="0" w:space="4"/>
        </w:pBdr>
      </w:pPr>
      <w:r>
        <w:rPr>
          <w:rFonts w:hint="eastAsia"/>
          <w:color w:val="auto"/>
          <w:sz w:val="24"/>
          <w:szCs w:val="24"/>
          <w:highlight w:val="none"/>
        </w:rPr>
        <w:t xml:space="preserve">因落实政府采购政策进行价格扣除的，用扣除后的价格参加评审。</w:t>
      </w:r>
      <w:r/>
    </w:p>
    <w:p>
      <w:pPr>
        <w:ind w:firstLine="480"/>
        <w:spacing w:after="0" w:line="500" w:lineRule="exact"/>
        <w:rPr>
          <w:rFonts w:ascii="Calibri" w:hAnsi="Calibri" w:eastAsia="宋体" w:cs="Times New Roman"/>
          <w:color w:val="auto"/>
          <w:sz w:val="24"/>
          <w:highlight w:val="non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none"/>
          <w14:ligatures w14:val="none"/>
        </w:rPr>
        <w:t xml:space="preserve">（2）</w:t>
      </w:r>
      <w:r>
        <w:rPr>
          <w:rFonts w:hint="eastAsia" w:ascii="Calibri" w:hAnsi="Calibri" w:eastAsia="宋体" w:cs="Times New Roman"/>
          <w:color w:val="auto"/>
          <w:sz w:val="24"/>
          <w:highlight w:val="none"/>
          <w14:ligatures w14:val="none"/>
        </w:rPr>
        <w:t xml:space="preserve">技术</w:t>
      </w:r>
      <w:r>
        <w:rPr>
          <w:rFonts w:hint="eastAsia" w:ascii="Calibri" w:hAnsi="Calibri" w:eastAsia="宋体" w:cs="Times New Roman"/>
          <w:color w:val="auto"/>
          <w:sz w:val="24"/>
          <w:highlight w:val="none"/>
          <w14:ligatures w14:val="none"/>
        </w:rPr>
      </w:r>
      <w:r>
        <w:rPr>
          <w:rFonts w:ascii="Calibri" w:hAnsi="Calibri" w:eastAsia="宋体" w:cs="Times New Roman"/>
          <w:color w:val="auto"/>
          <w:sz w:val="24"/>
          <w:highlight w:val="none"/>
          <w14:ligatures w14:val="none"/>
        </w:rPr>
        <w:t xml:space="preserve">分（</w:t>
      </w:r>
      <w:r>
        <w:rPr>
          <w:rFonts w:hint="eastAsia" w:ascii="Calibri" w:hAnsi="Calibri" w:eastAsia="宋体" w:cs="Times New Roman"/>
          <w:color w:val="auto"/>
          <w:sz w:val="24"/>
          <w:highlight w:val="none"/>
          <w14:ligatures w14:val="none"/>
        </w:rPr>
        <w:t xml:space="preserve">22</w:t>
      </w:r>
      <w:r>
        <w:rPr>
          <w:rFonts w:ascii="Calibri" w:hAnsi="Calibri" w:eastAsia="宋体" w:cs="Times New Roman"/>
          <w:color w:val="auto"/>
          <w:sz w:val="24"/>
          <w:highlight w:val="none"/>
          <w14:ligatures w14:val="none"/>
        </w:rPr>
        <w:t xml:space="preserve">分）</w:t>
      </w:r>
      <w:r/>
    </w:p>
    <w:tbl>
      <w:tblPr>
        <w:tblStyle w:val="71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评审细则</w:t>
            </w:r>
            <w:r/>
          </w:p>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szCs w:val="24"/>
                <w:highlight w:val="none"/>
              </w:rPr>
              <w:t xml:space="preserve">产品质量、性能整体方案</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8分</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2"/>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none"/>
                <w:lang w:val="en-US" w:eastAsia="zh-CN"/>
              </w:rPr>
              <w:t xml:space="preserve">情况</w:t>
            </w:r>
            <w:r>
              <w:rPr>
                <w:rFonts w:ascii="宋体" w:hAnsi="宋体" w:cs="宋体"/>
                <w:color w:val="auto"/>
                <w:sz w:val="24"/>
                <w:highlight w:val="none"/>
              </w:rPr>
              <w:t xml:space="preserve">等）等产品质量性能参数。评委根据投标人所投产品的整体配置选型情况进行打分：</w:t>
            </w:r>
            <w:r/>
          </w:p>
          <w:p>
            <w:pPr>
              <w:pStyle w:val="932"/>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none"/>
                <w:lang w:val="en-US" w:eastAsia="zh-CN"/>
              </w:rPr>
              <w:t xml:space="preserve">案例</w:t>
            </w:r>
            <w:r>
              <w:rPr>
                <w:rFonts w:ascii="宋体" w:hAnsi="宋体" w:cs="宋体"/>
                <w:color w:val="auto"/>
                <w:sz w:val="24"/>
                <w:highlight w:val="none"/>
              </w:rPr>
              <w:t xml:space="preserve">，确保能够保持稳定的运行状态。产品性能成熟度方面，该产品在市场上稳定性，其产品在性能、质量、可靠性等方面均得到了认可和好评，得8分。</w:t>
            </w:r>
            <w:r/>
          </w:p>
          <w:p>
            <w:pPr>
              <w:pStyle w:val="932"/>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分。</w:t>
            </w:r>
            <w:r/>
          </w:p>
          <w:p>
            <w:pPr>
              <w:pStyle w:val="932"/>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w:t>
            </w:r>
            <w:r/>
          </w:p>
          <w:p>
            <w:pPr>
              <w:pStyle w:val="932"/>
              <w:jc w:val="both"/>
              <w:spacing w:line="360" w:lineRule="auto"/>
              <w:rPr>
                <w:rFonts w:hint="default"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p>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p>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932"/>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根据投标人是否具有详细、全面且切实可行的设备配送、安装及验收方案、售后支持服务内容等伴随服务方案进行综合评审：</w:t>
            </w:r>
            <w:r/>
          </w:p>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1、整体伴随服务方案详尽全面，售后支持服务内容完整，各项保障措施具体、切实可行，得7分；</w:t>
            </w:r>
            <w:r/>
          </w:p>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2、整体伴随服务方案较为详尽，售后支持服务内容较为全面，保障措施具体、切实可行，得5分；</w:t>
            </w:r>
            <w:r/>
          </w:p>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3、整体伴随服务方案一般、售后支持服务内容笼统，各项保障措施可行性一般，完善性和可操作性上存在欠缺，得3分；</w:t>
            </w:r>
            <w:r/>
          </w:p>
          <w:p>
            <w:pPr>
              <w:pStyle w:val="932"/>
              <w:jc w:val="both"/>
              <w:spacing w:line="360" w:lineRule="auto"/>
              <w:rPr>
                <w:rFonts w:hint="default"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4、整体伴随服务方案内容粗略，售后支持服务内容缺失或模糊，难以确保项目的顺利实施和后续服务需求，得1分。</w:t>
            </w:r>
            <w:r/>
          </w:p>
          <w:p>
            <w:pPr>
              <w:pStyle w:val="932"/>
              <w:jc w:val="both"/>
              <w:spacing w:line="360" w:lineRule="auto"/>
              <w:rPr>
                <w:rFonts w:hint="eastAsia"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根据供应商为采购人提供设备使用期间的培训方案（包括但不限于频次安排和内容安排等）进行综合评审：</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培训方案完整，详细，符合学科前沿和设备功能扩展性的得7分；</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培训方案较完整，兼顾学科前沿和设备功能扩展性的得5分；</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培训方案基本满足招标采购要求的得3分。</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lang w:bidi="ar"/>
              </w:rPr>
              <w:t xml:space="preserve">未提供不得分。</w:t>
            </w:r>
            <w:r/>
          </w:p>
        </w:tc>
      </w:tr>
    </w:tbl>
    <w:p>
      <w:pPr>
        <w:ind w:firstLine="480"/>
        <w:spacing w:after="0" w:line="500" w:lineRule="exact"/>
        <w:rPr>
          <w:rFonts w:ascii="Calibri" w:hAnsi="Calibri" w:eastAsia="宋体" w:cs="Times New Roman"/>
          <w:color w:val="auto"/>
          <w:sz w:val="24"/>
          <w:highlight w:val="non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none"/>
          <w14:ligatures w14:val="none"/>
        </w:rPr>
      </w:r>
      <w:r/>
    </w:p>
    <w:p>
      <w:pPr>
        <w:ind w:firstLine="480"/>
        <w:spacing w:after="0" w:line="500" w:lineRule="exact"/>
        <w:rPr>
          <w:rFonts w:ascii="Calibri" w:hAnsi="Calibri" w:eastAsia="宋体" w:cs="Times New Roman"/>
          <w:color w:val="auto"/>
          <w:sz w:val="24"/>
          <w:highlight w:val="non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none"/>
          <w14:ligatures w14:val="none"/>
        </w:rPr>
        <w:t xml:space="preserve">（3）</w:t>
      </w:r>
      <w:r>
        <w:rPr>
          <w:rFonts w:hint="eastAsia" w:ascii="Calibri" w:hAnsi="Calibri" w:eastAsia="宋体" w:cs="Times New Roman"/>
          <w:color w:val="auto"/>
          <w:sz w:val="24"/>
          <w:highlight w:val="none"/>
          <w14:ligatures w14:val="none"/>
        </w:rPr>
        <w:t xml:space="preserve">商务</w:t>
      </w:r>
      <w:r>
        <w:rPr>
          <w:rFonts w:hint="eastAsia" w:ascii="Calibri" w:hAnsi="Calibri" w:eastAsia="宋体" w:cs="Times New Roman"/>
          <w:color w:val="auto"/>
          <w:sz w:val="24"/>
          <w:highlight w:val="none"/>
          <w14:ligatures w14:val="none"/>
        </w:rPr>
      </w:r>
      <w:r>
        <w:rPr>
          <w:rFonts w:ascii="Calibri" w:hAnsi="Calibri" w:eastAsia="宋体" w:cs="Times New Roman"/>
          <w:color w:val="auto"/>
          <w:sz w:val="24"/>
          <w:highlight w:val="none"/>
          <w14:ligatures w14:val="none"/>
        </w:rPr>
        <w:t xml:space="preserve">分（48分）</w:t>
      </w:r>
      <w:r/>
    </w:p>
    <w:tbl>
      <w:tblPr>
        <w:tblStyle w:val="71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after="0" w:line="360" w:lineRule="auto"/>
              <w:rPr>
                <w:rFonts w:ascii="宋体" w:hAnsi="宋体" w:eastAsia="宋体" w:cs="宋体"/>
                <w:b/>
                <w:bCs/>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none"/>
                <w14:ligatures w14:val="none"/>
              </w:rPr>
              <w:t xml:space="preserve">评审细则</w:t>
            </w:r>
            <w:r/>
          </w:p>
          <w:p>
            <w:pPr>
              <w:jc w:val="center"/>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none"/>
                <w14:ligatures w14:val="none"/>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after="0" w:line="360" w:lineRule="auto"/>
              <w:rPr>
                <w:rFonts w:ascii="宋体" w:hAnsi="宋体" w:eastAsia="宋体" w:cs="宋体"/>
                <w:bCs/>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none"/>
                <w14:ligatures w14:val="none"/>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技术指标性能响应（4</w:t>
            </w:r>
            <w:r>
              <w:rPr>
                <w:rFonts w:hint="eastAsia" w:ascii="宋体" w:hAnsi="宋体" w:eastAsia="宋体" w:cs="宋体"/>
                <w:color w:val="auto"/>
                <w:sz w:val="24"/>
                <w:highlight w:val="none"/>
                <w:lang w:val="en-US" w:eastAsia="zh-CN"/>
                <w14:ligatures w14:val="none"/>
              </w:rPr>
              <w:t xml:space="preserve">5</w:t>
            </w:r>
            <w:r>
              <w:rPr>
                <w:rFonts w:ascii="宋体" w:hAnsi="宋体" w:eastAsia="宋体" w:cs="宋体"/>
                <w:color w:val="auto"/>
                <w:sz w:val="24"/>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完全满足采购文件技术参数要求的得45分；在此基础上，采购文件中标注“▲”的为重要参数，对这些重要参数负偏离的，每项扣5分；其他非重要参数负偏离的，每项扣0.</w:t>
            </w:r>
            <w:r>
              <w:rPr>
                <w:rFonts w:hint="eastAsia" w:ascii="宋体" w:hAnsi="宋体" w:cs="宋体"/>
                <w:color w:val="auto"/>
                <w:sz w:val="24"/>
                <w:highlight w:val="none"/>
                <w:lang w:val="en-US" w:eastAsia="zh-CN"/>
                <w14:ligatures w14:val="none"/>
              </w:rPr>
              <w:t xml:space="preserve">1</w:t>
            </w:r>
            <w:r>
              <w:rPr>
                <w:rFonts w:ascii="宋体" w:hAnsi="宋体" w:eastAsia="宋体" w:cs="宋体"/>
                <w:color w:val="auto"/>
                <w:sz w:val="24"/>
                <w:highlight w:val="none"/>
                <w14:ligatures w14:val="none"/>
              </w:rPr>
              <w:t xml:space="preserve">分，扣完为止。缺项漏项视为负偏离。</w:t>
            </w:r>
            <w:r/>
          </w:p>
          <w:p>
            <w:pPr>
              <w:jc w:val="both"/>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注：所有技术内容要求提供支撑资料（支撑资料类型以文件要求为准，如文件没有明确要求，则为说明该技术内容的公开发行的产品彩页或公开发行的产品说明书或第三方检测机构的检测报告或官方网站截图，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类似项目业绩（</w:t>
            </w:r>
            <w:r>
              <w:rPr>
                <w:rFonts w:hint="eastAsia" w:ascii="宋体" w:hAnsi="宋体" w:eastAsia="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所投同类型产品2023年1月1日以来的业绩，每提供一份业绩得1</w:t>
            </w:r>
            <w:r>
              <w:rPr>
                <w:rFonts w:hint="eastAsia" w:ascii="宋体" w:hAnsi="宋体" w:eastAsia="宋体" w:cs="宋体"/>
                <w:color w:val="auto"/>
                <w:sz w:val="24"/>
                <w:highlight w:val="none"/>
                <w:lang w:val="en-US" w:eastAsia="zh-CN"/>
                <w14:ligatures w14:val="none"/>
              </w:rPr>
              <w:t xml:space="preserve">.5</w:t>
            </w:r>
            <w:r>
              <w:rPr>
                <w:rFonts w:ascii="宋体" w:hAnsi="宋体" w:eastAsia="宋体" w:cs="宋体"/>
                <w:color w:val="auto"/>
                <w:sz w:val="24"/>
                <w:highlight w:val="none"/>
                <w14:ligatures w14:val="none"/>
              </w:rPr>
              <w:t xml:space="preserve">分，最多得</w:t>
            </w:r>
            <w:r>
              <w:rPr>
                <w:rFonts w:hint="eastAsia" w:ascii="宋体" w:hAnsi="宋体" w:eastAsia="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w:t>
            </w:r>
            <w:r/>
          </w:p>
          <w:p>
            <w:pPr>
              <w:jc w:val="both"/>
              <w:spacing w:after="0" w:line="360" w:lineRule="auto"/>
              <w:rPr>
                <w:rFonts w:ascii="MS Mincho" w:hAnsi="Calibri" w:eastAsia="宋体" w:cs="Times New Roman"/>
                <w:color w:val="auto"/>
                <w:sz w:val="21"/>
                <w:highlight w:val="none"/>
                <w14:ligatures w14: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14:ligatures w14:val="none"/>
              </w:rPr>
              <w:t xml:space="preserve">注：</w:t>
            </w:r>
            <w:r>
              <w:rPr>
                <w:rFonts w:ascii="宋体" w:hAnsi="宋体" w:eastAsia="宋体" w:cs="宋体"/>
                <w:color w:val="auto"/>
                <w:sz w:val="24"/>
                <w:highlight w:val="none"/>
                <w14:ligatures w14:val="none"/>
              </w:rPr>
              <w:t xml:space="preserve">提供合同扫描件加盖供应商公章,时间以合同所示时间为准</w:t>
            </w:r>
            <w:r>
              <w:rPr>
                <w:rFonts w:hint="eastAsia" w:ascii="宋体" w:hAnsi="宋体" w:cs="宋体"/>
                <w:color w:val="auto"/>
                <w:sz w:val="24"/>
                <w:highlight w:val="none"/>
                <w:lang w:val="en-US" w:eastAsia="zh-CN"/>
                <w14:ligatures w14:val="none"/>
              </w:rPr>
              <w:t xml:space="preserve">。</w:t>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7"/>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6" w:name="_Toc165205799"/>
      <w:r>
        <w:rPr>
          <w:rFonts w:hint="eastAsia" w:ascii="黑体" w:hAnsi="黑体" w:eastAsia="黑体"/>
          <w:b w:val="0"/>
          <w:highlight w:val="none"/>
        </w:rPr>
        <w:t xml:space="preserve">第六章  投标文件格式</w:t>
      </w:r>
      <w:bookmarkEnd w:id="16"/>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7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w:t>
      </w:r>
      <w:r>
        <w:rPr>
          <w:rFonts w:hint="eastAsia" w:ascii="宋体" w:hAnsi="宋体"/>
          <w:color w:val="000000"/>
          <w:szCs w:val="24"/>
          <w:highlight w:val="none"/>
          <w:lang w:eastAsia="zh-CN"/>
        </w:rPr>
        <w:t xml:space="preserve">、</w:t>
      </w:r>
      <w:r>
        <w:rPr>
          <w:rFonts w:hint="eastAsia" w:ascii="宋体" w:hAnsi="宋体"/>
          <w:color w:val="000000"/>
          <w:szCs w:val="24"/>
          <w:highlight w:val="none"/>
          <w:lang w:val="en-US" w:eastAsia="zh-CN"/>
        </w:rPr>
        <w:t xml:space="preserve">制造商保修费用</w:t>
      </w:r>
      <w:r>
        <w:rPr>
          <w:rFonts w:hint="eastAsia" w:ascii="宋体" w:hAnsi="宋体"/>
          <w:color w:val="000000"/>
          <w:szCs w:val="24"/>
          <w:highlight w:val="none"/>
        </w:rPr>
        <w:t xml:space="preserve">和其他费用。</w:t>
      </w:r>
      <w:r/>
    </w:p>
    <w:p>
      <w:pPr>
        <w:ind w:firstLine="420"/>
        <w:spacing w:line="360" w:lineRule="auto"/>
        <w:rPr>
          <w:rFonts w:hint="eastAsia"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4、行数或事项不够，可自行增加</w:t>
      </w:r>
      <w:r>
        <w:rPr>
          <w:rFonts w:hint="eastAsia" w:ascii="Times New Roman" w:hAnsi="宋体"/>
          <w:color w:val="000000"/>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bookmarkStart w:id="17" w:name="_Hlt26955054"/>
      <w:r/>
      <w:bookmarkEnd w:id="17"/>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bookmarkStart w:id="18" w:name="_Hlt26580838"/>
            <w:r/>
            <w:bookmarkEnd w:id="18"/>
            <w:r/>
            <w:bookmarkStart w:id="19" w:name="_Hlt26955064"/>
            <w:r/>
            <w:bookmarkEnd w:id="19"/>
            <w:r/>
            <w:bookmarkStart w:id="20" w:name="_Hlt24879081"/>
            <w:r/>
            <w:bookmarkEnd w:id="20"/>
            <w:r/>
            <w:bookmarkStart w:id="21" w:name="_Hlt26671372"/>
            <w:r/>
            <w:bookmarkEnd w:id="21"/>
            <w:r/>
            <w:bookmarkStart w:id="22" w:name="_Hlt26782999"/>
            <w:r/>
            <w:bookmarkEnd w:id="22"/>
            <w:r/>
            <w:bookmarkStart w:id="23" w:name="_Hlt26955056"/>
            <w:r/>
            <w:bookmarkEnd w:id="23"/>
            <w:r/>
            <w:bookmarkStart w:id="24" w:name="_Hlt26671343"/>
            <w:r/>
            <w:bookmarkEnd w:id="24"/>
            <w:r/>
            <w:bookmarkStart w:id="25" w:name="_Hlt26609391"/>
            <w:r/>
            <w:bookmarkEnd w:id="25"/>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bookmarkStart w:id="26" w:name="_Hlt26609389"/>
      <w:r/>
      <w:bookmarkEnd w:id="26"/>
      <w:r/>
      <w:bookmarkStart w:id="27" w:name="_Hlt26671374"/>
      <w:r/>
      <w:bookmarkEnd w:id="27"/>
      <w:r/>
      <w:bookmarkStart w:id="28" w:name="_格式2__法定代表人授权书"/>
      <w:r/>
      <w:bookmarkEnd w:id="28"/>
      <w:r/>
      <w:bookmarkStart w:id="29" w:name="_Hlt26955066"/>
      <w:r/>
      <w:bookmarkEnd w:id="29"/>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p>
    <w:tbl>
      <w:tblPr>
        <w:tblStyle w:val="71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2">
    <w:name w:val="Heading 1"/>
    <w:basedOn w:val="701"/>
    <w:next w:val="701"/>
    <w:link w:val="798"/>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99"/>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13"/>
    <w:link w:val="800"/>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801"/>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802"/>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803"/>
    <w:uiPriority w:val="9"/>
    <w:unhideWhenUsed/>
    <w:qFormat/>
    <w:pPr>
      <w:keepLines/>
      <w:keepNext/>
      <w:spacing w:before="320" w:after="200"/>
      <w:outlineLvl w:val="5"/>
    </w:pPr>
    <w:rPr>
      <w:rFonts w:ascii="Arial" w:hAnsi="Arial" w:eastAsia="Arial" w:cs="Arial"/>
      <w:b/>
      <w:bCs/>
      <w:sz w:val="22"/>
    </w:rPr>
  </w:style>
  <w:style w:type="paragraph" w:styleId="708">
    <w:name w:val="Heading 7"/>
    <w:basedOn w:val="701"/>
    <w:next w:val="701"/>
    <w:link w:val="804"/>
    <w:uiPriority w:val="9"/>
    <w:unhideWhenUsed/>
    <w:qFormat/>
    <w:pPr>
      <w:keepLines/>
      <w:keepNext/>
      <w:spacing w:before="320" w:after="200"/>
      <w:outlineLvl w:val="6"/>
    </w:pPr>
    <w:rPr>
      <w:rFonts w:ascii="Arial" w:hAnsi="Arial" w:eastAsia="Arial" w:cs="Arial"/>
      <w:b/>
      <w:bCs/>
      <w:i/>
      <w:iCs/>
      <w:sz w:val="22"/>
    </w:rPr>
  </w:style>
  <w:style w:type="paragraph" w:styleId="709">
    <w:name w:val="Heading 8"/>
    <w:basedOn w:val="701"/>
    <w:next w:val="701"/>
    <w:link w:val="805"/>
    <w:uiPriority w:val="9"/>
    <w:unhideWhenUsed/>
    <w:qFormat/>
    <w:pPr>
      <w:keepLines/>
      <w:keepNext/>
      <w:spacing w:before="320" w:after="200"/>
      <w:outlineLvl w:val="7"/>
    </w:pPr>
    <w:rPr>
      <w:rFonts w:ascii="Arial" w:hAnsi="Arial" w:eastAsia="Arial" w:cs="Arial"/>
      <w:i/>
      <w:iCs/>
      <w:sz w:val="22"/>
    </w:rPr>
  </w:style>
  <w:style w:type="paragraph" w:styleId="710">
    <w:name w:val="Heading 9"/>
    <w:basedOn w:val="701"/>
    <w:next w:val="701"/>
    <w:link w:val="806"/>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Normal Indent"/>
    <w:basedOn w:val="701"/>
    <w:uiPriority w:val="99"/>
    <w:unhideWhenUsed/>
    <w:qFormat/>
    <w:pPr>
      <w:ind w:firstLine="420"/>
    </w:pPr>
  </w:style>
  <w:style w:type="paragraph" w:styleId="714">
    <w:name w:val="toc 7"/>
    <w:basedOn w:val="701"/>
    <w:next w:val="701"/>
    <w:uiPriority w:val="39"/>
    <w:unhideWhenUsed/>
    <w:qFormat/>
    <w:pPr>
      <w:ind w:left="1701"/>
      <w:spacing w:after="57"/>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1"/>
    <w:uiPriority w:val="99"/>
    <w:semiHidden/>
    <w:unhideWhenUsed/>
    <w:qFormat/>
    <w:pPr>
      <w:jc w:val="left"/>
    </w:pPr>
  </w:style>
  <w:style w:type="paragraph" w:styleId="717">
    <w:name w:val="Body Text"/>
    <w:basedOn w:val="701"/>
    <w:next w:val="701"/>
    <w:uiPriority w:val="0"/>
    <w:qFormat/>
    <w:rPr>
      <w:rFonts w:ascii="金山简黑体" w:hAnsi="Courier New" w:eastAsia="金山简黑体"/>
      <w:b/>
      <w:spacing w:val="-8"/>
      <w:sz w:val="44"/>
      <w:szCs w:val="20"/>
    </w:rPr>
  </w:style>
  <w:style w:type="paragraph" w:styleId="718">
    <w:name w:val="Body Text Indent"/>
    <w:basedOn w:val="701"/>
    <w:uiPriority w:val="0"/>
    <w:qFormat/>
    <w:pPr>
      <w:ind w:left="420"/>
      <w:spacing w:after="120"/>
    </w:pPr>
  </w:style>
  <w:style w:type="paragraph" w:styleId="719">
    <w:name w:val="toc 5"/>
    <w:basedOn w:val="701"/>
    <w:next w:val="701"/>
    <w:uiPriority w:val="39"/>
    <w:unhideWhenUsed/>
    <w:qFormat/>
    <w:pPr>
      <w:ind w:left="1134"/>
      <w:spacing w:after="57"/>
    </w:pPr>
  </w:style>
  <w:style w:type="paragraph" w:styleId="720">
    <w:name w:val="toc 3"/>
    <w:basedOn w:val="701"/>
    <w:next w:val="701"/>
    <w:uiPriority w:val="39"/>
    <w:unhideWhenUsed/>
    <w:qFormat/>
    <w:pPr>
      <w:ind w:left="567"/>
      <w:spacing w:after="57"/>
    </w:pPr>
  </w:style>
  <w:style w:type="paragraph" w:styleId="721">
    <w:name w:val="toc 8"/>
    <w:basedOn w:val="701"/>
    <w:next w:val="701"/>
    <w:uiPriority w:val="39"/>
    <w:unhideWhenUsed/>
    <w:qFormat/>
    <w:pPr>
      <w:ind w:left="1984"/>
      <w:spacing w:after="57"/>
    </w:pPr>
  </w:style>
  <w:style w:type="paragraph" w:styleId="722">
    <w:name w:val="Date"/>
    <w:basedOn w:val="701"/>
    <w:next w:val="701"/>
    <w:uiPriority w:val="0"/>
    <w:qFormat/>
    <w:rPr>
      <w:sz w:val="24"/>
      <w:szCs w:val="20"/>
    </w:rPr>
  </w:style>
  <w:style w:type="paragraph" w:styleId="723">
    <w:name w:val="endnote text"/>
    <w:basedOn w:val="701"/>
    <w:link w:val="925"/>
    <w:uiPriority w:val="99"/>
    <w:semiHidden/>
    <w:unhideWhenUsed/>
    <w:qFormat/>
    <w:rPr>
      <w:sz w:val="20"/>
    </w:rPr>
  </w:style>
  <w:style w:type="paragraph" w:styleId="724">
    <w:name w:val="Footer"/>
    <w:basedOn w:val="701"/>
    <w:link w:val="817"/>
    <w:uiPriority w:val="99"/>
    <w:unhideWhenUsed/>
    <w:qFormat/>
    <w:pPr>
      <w:tabs>
        <w:tab w:val="center" w:pos="7143" w:leader="none"/>
        <w:tab w:val="right" w:pos="14287" w:leader="none"/>
      </w:tabs>
    </w:pPr>
  </w:style>
  <w:style w:type="paragraph" w:styleId="725">
    <w:name w:val="Header"/>
    <w:basedOn w:val="701"/>
    <w:link w:val="815"/>
    <w:uiPriority w:val="99"/>
    <w:unhideWhenUsed/>
    <w:qFormat/>
    <w:pPr>
      <w:tabs>
        <w:tab w:val="center" w:pos="7143" w:leader="none"/>
        <w:tab w:val="right" w:pos="14287" w:leader="none"/>
      </w:tabs>
    </w:pPr>
  </w:style>
  <w:style w:type="paragraph" w:styleId="726">
    <w:name w:val="toc 1"/>
    <w:basedOn w:val="701"/>
    <w:next w:val="701"/>
    <w:uiPriority w:val="39"/>
    <w:unhideWhenUsed/>
    <w:qFormat/>
    <w:pPr>
      <w:spacing w:after="57"/>
    </w:pPr>
  </w:style>
  <w:style w:type="paragraph" w:styleId="727">
    <w:name w:val="toc 4"/>
    <w:basedOn w:val="701"/>
    <w:next w:val="701"/>
    <w:uiPriority w:val="39"/>
    <w:unhideWhenUsed/>
    <w:qFormat/>
    <w:pPr>
      <w:ind w:left="850"/>
      <w:spacing w:after="57"/>
    </w:pPr>
  </w:style>
  <w:style w:type="paragraph" w:styleId="728">
    <w:name w:val="Subtitle"/>
    <w:basedOn w:val="701"/>
    <w:next w:val="701"/>
    <w:link w:val="810"/>
    <w:uiPriority w:val="11"/>
    <w:qFormat/>
    <w:pPr>
      <w:spacing w:before="200" w:after="200"/>
    </w:pPr>
    <w:rPr>
      <w:sz w:val="24"/>
      <w:szCs w:val="24"/>
    </w:rPr>
  </w:style>
  <w:style w:type="paragraph" w:styleId="729">
    <w:name w:val="footnote text"/>
    <w:basedOn w:val="701"/>
    <w:link w:val="924"/>
    <w:uiPriority w:val="99"/>
    <w:semiHidden/>
    <w:unhideWhenUsed/>
    <w:qFormat/>
    <w:pPr>
      <w:spacing w:after="40"/>
    </w:pPr>
    <w:rPr>
      <w:sz w:val="18"/>
    </w:rPr>
  </w:style>
  <w:style w:type="paragraph" w:styleId="730">
    <w:name w:val="toc 6"/>
    <w:basedOn w:val="701"/>
    <w:next w:val="701"/>
    <w:uiPriority w:val="39"/>
    <w:unhideWhenUsed/>
    <w:qFormat/>
    <w:pPr>
      <w:ind w:left="1417"/>
      <w:spacing w:after="57"/>
    </w:pPr>
  </w:style>
  <w:style w:type="paragraph" w:styleId="731">
    <w:name w:val="table of figures"/>
    <w:basedOn w:val="701"/>
    <w:next w:val="701"/>
    <w:uiPriority w:val="99"/>
    <w:unhideWhenUsed/>
    <w:qFormat/>
  </w:style>
  <w:style w:type="paragraph" w:styleId="732">
    <w:name w:val="toc 2"/>
    <w:basedOn w:val="701"/>
    <w:next w:val="701"/>
    <w:uiPriority w:val="39"/>
    <w:unhideWhenUsed/>
    <w:qFormat/>
    <w:pPr>
      <w:ind w:left="283"/>
      <w:spacing w:after="57"/>
    </w:pPr>
  </w:style>
  <w:style w:type="paragraph" w:styleId="733">
    <w:name w:val="toc 9"/>
    <w:basedOn w:val="701"/>
    <w:next w:val="701"/>
    <w:uiPriority w:val="39"/>
    <w:unhideWhenUsed/>
    <w:qFormat/>
    <w:pPr>
      <w:ind w:left="2268"/>
      <w:spacing w:after="57"/>
    </w:pPr>
  </w:style>
  <w:style w:type="paragraph" w:styleId="734">
    <w:name w:val="Title"/>
    <w:basedOn w:val="701"/>
    <w:next w:val="701"/>
    <w:link w:val="809"/>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Emphasis"/>
    <w:basedOn w:val="711"/>
    <w:uiPriority w:val="20"/>
    <w:qFormat/>
    <w:rPr>
      <w:i/>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annotation reference"/>
    <w:uiPriority w:val="0"/>
    <w:qFormat/>
    <w:rPr>
      <w:rFonts w:ascii="Cambria Math" w:hAnsi="Cambria Math" w:eastAsia="等线 Light" w:cs="Cambria Math"/>
      <w:sz w:val="21"/>
      <w:szCs w:val="21"/>
    </w:rPr>
  </w:style>
  <w:style w:type="character" w:styleId="740">
    <w:name w:val="footnote reference"/>
    <w:uiPriority w:val="99"/>
    <w:unhideWhenUsed/>
    <w:qFormat/>
    <w:rPr>
      <w:vertAlign w:val="superscript"/>
    </w:rPr>
  </w:style>
  <w:style w:type="table" w:styleId="741"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11"/>
    <w:uiPriority w:val="9"/>
    <w:qFormat/>
    <w:rPr>
      <w:rFonts w:ascii="Arial" w:hAnsi="Arial" w:eastAsia="Arial" w:cs="Arial"/>
      <w:sz w:val="40"/>
      <w:szCs w:val="40"/>
    </w:rPr>
  </w:style>
  <w:style w:type="character" w:styleId="762" w:customStyle="1">
    <w:name w:val="Heading 2 Char"/>
    <w:basedOn w:val="711"/>
    <w:uiPriority w:val="9"/>
    <w:qFormat/>
    <w:rPr>
      <w:rFonts w:ascii="Arial" w:hAnsi="Arial" w:eastAsia="Arial" w:cs="Arial"/>
      <w:sz w:val="34"/>
    </w:rPr>
  </w:style>
  <w:style w:type="character" w:styleId="763" w:customStyle="1">
    <w:name w:val="Heading 3 Char"/>
    <w:basedOn w:val="711"/>
    <w:uiPriority w:val="9"/>
    <w:qFormat/>
    <w:rPr>
      <w:rFonts w:ascii="Arial" w:hAnsi="Arial" w:eastAsia="Arial" w:cs="Arial"/>
      <w:sz w:val="30"/>
      <w:szCs w:val="30"/>
    </w:rPr>
  </w:style>
  <w:style w:type="character" w:styleId="764" w:customStyle="1">
    <w:name w:val="Heading 4 Char"/>
    <w:basedOn w:val="711"/>
    <w:uiPriority w:val="9"/>
    <w:qFormat/>
    <w:rPr>
      <w:rFonts w:ascii="Arial" w:hAnsi="Arial" w:eastAsia="Arial" w:cs="Arial"/>
      <w:b/>
      <w:bCs/>
      <w:sz w:val="26"/>
      <w:szCs w:val="26"/>
    </w:rPr>
  </w:style>
  <w:style w:type="character" w:styleId="765" w:customStyle="1">
    <w:name w:val="Heading 5 Char"/>
    <w:basedOn w:val="711"/>
    <w:uiPriority w:val="9"/>
    <w:qFormat/>
    <w:rPr>
      <w:rFonts w:ascii="Arial" w:hAnsi="Arial" w:eastAsia="Arial" w:cs="Arial"/>
      <w:b/>
      <w:bCs/>
      <w:sz w:val="24"/>
      <w:szCs w:val="24"/>
    </w:rPr>
  </w:style>
  <w:style w:type="character" w:styleId="766" w:customStyle="1">
    <w:name w:val="Heading 6 Char"/>
    <w:basedOn w:val="711"/>
    <w:uiPriority w:val="9"/>
    <w:qFormat/>
    <w:rPr>
      <w:rFonts w:ascii="Arial" w:hAnsi="Arial" w:eastAsia="Arial" w:cs="Arial"/>
      <w:b/>
      <w:bCs/>
      <w:sz w:val="22"/>
      <w:szCs w:val="22"/>
    </w:rPr>
  </w:style>
  <w:style w:type="character" w:styleId="767" w:customStyle="1">
    <w:name w:val="Heading 7 Char"/>
    <w:basedOn w:val="711"/>
    <w:uiPriority w:val="9"/>
    <w:qFormat/>
    <w:rPr>
      <w:rFonts w:ascii="Arial" w:hAnsi="Arial" w:eastAsia="Arial" w:cs="Arial"/>
      <w:b/>
      <w:bCs/>
      <w:i/>
      <w:iCs/>
      <w:sz w:val="22"/>
      <w:szCs w:val="22"/>
    </w:rPr>
  </w:style>
  <w:style w:type="character" w:styleId="768" w:customStyle="1">
    <w:name w:val="Heading 8 Char"/>
    <w:basedOn w:val="711"/>
    <w:uiPriority w:val="9"/>
    <w:qFormat/>
    <w:rPr>
      <w:rFonts w:ascii="Arial" w:hAnsi="Arial" w:eastAsia="Arial" w:cs="Arial"/>
      <w:i/>
      <w:iCs/>
      <w:sz w:val="22"/>
      <w:szCs w:val="22"/>
    </w:rPr>
  </w:style>
  <w:style w:type="character" w:styleId="769" w:customStyle="1">
    <w:name w:val="Heading 9 Char"/>
    <w:basedOn w:val="711"/>
    <w:uiPriority w:val="9"/>
    <w:qFormat/>
    <w:rPr>
      <w:rFonts w:ascii="Arial" w:hAnsi="Arial" w:eastAsia="Arial" w:cs="Arial"/>
      <w:i/>
      <w:iCs/>
      <w:sz w:val="21"/>
      <w:szCs w:val="21"/>
    </w:rPr>
  </w:style>
  <w:style w:type="character" w:styleId="770" w:customStyle="1">
    <w:name w:val="Title Char"/>
    <w:basedOn w:val="711"/>
    <w:uiPriority w:val="10"/>
    <w:qFormat/>
    <w:rPr>
      <w:sz w:val="48"/>
      <w:szCs w:val="48"/>
    </w:rPr>
  </w:style>
  <w:style w:type="character" w:styleId="771" w:customStyle="1">
    <w:name w:val="Subtitle Char"/>
    <w:basedOn w:val="711"/>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11"/>
    <w:uiPriority w:val="99"/>
    <w:qFormat/>
  </w:style>
  <w:style w:type="character" w:styleId="775" w:customStyle="1">
    <w:name w:val="Caption Char"/>
    <w:uiPriority w:val="99"/>
    <w:qFormat/>
  </w:style>
  <w:style w:type="table" w:styleId="776"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1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71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清单表 7 彩色1"/>
    <w:basedOn w:val="71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lang w:val="en-US" w:eastAsia="zh-CN" w:bidi="ar-SA"/>
    </w:rPr>
  </w:style>
  <w:style w:type="character" w:styleId="798" w:customStyle="1">
    <w:name w:val="标题 1 字符"/>
    <w:link w:val="702"/>
    <w:uiPriority w:val="9"/>
    <w:qFormat/>
    <w:rPr>
      <w:rFonts w:ascii="Arial" w:hAnsi="Arial" w:eastAsia="Arial" w:cs="Arial"/>
      <w:sz w:val="40"/>
      <w:szCs w:val="40"/>
    </w:rPr>
  </w:style>
  <w:style w:type="character" w:styleId="799" w:customStyle="1">
    <w:name w:val="标题 2 字符"/>
    <w:link w:val="703"/>
    <w:uiPriority w:val="9"/>
    <w:qFormat/>
    <w:rPr>
      <w:rFonts w:ascii="Arial" w:hAnsi="Arial" w:eastAsia="Arial" w:cs="Arial"/>
      <w:sz w:val="34"/>
    </w:rPr>
  </w:style>
  <w:style w:type="character" w:styleId="800" w:customStyle="1">
    <w:name w:val="标题 3 字符"/>
    <w:link w:val="704"/>
    <w:uiPriority w:val="9"/>
    <w:qFormat/>
    <w:rPr>
      <w:rFonts w:ascii="Arial" w:hAnsi="Arial" w:eastAsia="Arial" w:cs="Arial"/>
      <w:sz w:val="30"/>
      <w:szCs w:val="30"/>
    </w:rPr>
  </w:style>
  <w:style w:type="character" w:styleId="801" w:customStyle="1">
    <w:name w:val="标题 4 字符"/>
    <w:link w:val="705"/>
    <w:uiPriority w:val="9"/>
    <w:qFormat/>
    <w:rPr>
      <w:rFonts w:ascii="Arial" w:hAnsi="Arial" w:eastAsia="Arial" w:cs="Arial"/>
      <w:b/>
      <w:bCs/>
      <w:sz w:val="26"/>
      <w:szCs w:val="26"/>
    </w:rPr>
  </w:style>
  <w:style w:type="character" w:styleId="802" w:customStyle="1">
    <w:name w:val="标题 5 字符"/>
    <w:link w:val="706"/>
    <w:uiPriority w:val="9"/>
    <w:qFormat/>
    <w:rPr>
      <w:rFonts w:ascii="Arial" w:hAnsi="Arial" w:eastAsia="Arial" w:cs="Arial"/>
      <w:b/>
      <w:bCs/>
      <w:sz w:val="24"/>
      <w:szCs w:val="24"/>
    </w:rPr>
  </w:style>
  <w:style w:type="character" w:styleId="803" w:customStyle="1">
    <w:name w:val="标题 6 字符"/>
    <w:link w:val="707"/>
    <w:uiPriority w:val="9"/>
    <w:qFormat/>
    <w:rPr>
      <w:rFonts w:ascii="Arial" w:hAnsi="Arial" w:eastAsia="Arial" w:cs="Arial"/>
      <w:b/>
      <w:bCs/>
      <w:sz w:val="22"/>
      <w:szCs w:val="22"/>
    </w:rPr>
  </w:style>
  <w:style w:type="character" w:styleId="804" w:customStyle="1">
    <w:name w:val="标题 7 字符"/>
    <w:link w:val="708"/>
    <w:uiPriority w:val="9"/>
    <w:qFormat/>
    <w:rPr>
      <w:rFonts w:ascii="Arial" w:hAnsi="Arial" w:eastAsia="Arial" w:cs="Arial"/>
      <w:b/>
      <w:bCs/>
      <w:i/>
      <w:iCs/>
      <w:sz w:val="22"/>
      <w:szCs w:val="22"/>
    </w:rPr>
  </w:style>
  <w:style w:type="character" w:styleId="805" w:customStyle="1">
    <w:name w:val="标题 8 字符"/>
    <w:link w:val="709"/>
    <w:uiPriority w:val="9"/>
    <w:qFormat/>
    <w:rPr>
      <w:rFonts w:ascii="Arial" w:hAnsi="Arial" w:eastAsia="Arial" w:cs="Arial"/>
      <w:i/>
      <w:iCs/>
      <w:sz w:val="22"/>
      <w:szCs w:val="22"/>
    </w:rPr>
  </w:style>
  <w:style w:type="character" w:styleId="806" w:customStyle="1">
    <w:name w:val="标题 9 字符"/>
    <w:link w:val="710"/>
    <w:uiPriority w:val="9"/>
    <w:qFormat/>
    <w:rPr>
      <w:rFonts w:ascii="Arial" w:hAnsi="Arial" w:eastAsia="Arial" w:cs="Arial"/>
      <w:i/>
      <w:iCs/>
      <w:sz w:val="21"/>
      <w:szCs w:val="21"/>
    </w:rPr>
  </w:style>
  <w:style w:type="paragraph" w:styleId="807">
    <w:name w:val="List Paragraph"/>
    <w:basedOn w:val="701"/>
    <w:uiPriority w:val="34"/>
    <w:qFormat/>
    <w:pPr>
      <w:contextualSpacing/>
      <w:ind w:left="720"/>
    </w:pPr>
  </w:style>
  <w:style w:type="paragraph" w:styleId="808">
    <w:name w:val="No Spacing"/>
    <w:uiPriority w:val="1"/>
    <w:qFormat/>
    <w:rPr>
      <w:rFonts w:hint="default" w:ascii="Times New Roman" w:hAnsi="Times New Roman" w:eastAsia="宋体" w:cs="Times New Roman"/>
      <w:lang w:val="en-US" w:eastAsia="zh-CN" w:bidi="ar-SA"/>
    </w:rPr>
  </w:style>
  <w:style w:type="character" w:styleId="809" w:customStyle="1">
    <w:name w:val="标题 字符"/>
    <w:link w:val="734"/>
    <w:uiPriority w:val="10"/>
    <w:qFormat/>
    <w:rPr>
      <w:sz w:val="48"/>
      <w:szCs w:val="48"/>
    </w:rPr>
  </w:style>
  <w:style w:type="character" w:styleId="810" w:customStyle="1">
    <w:name w:val="副标题 字符"/>
    <w:link w:val="728"/>
    <w:uiPriority w:val="11"/>
    <w:qFormat/>
    <w:rPr>
      <w:sz w:val="24"/>
      <w:szCs w:val="24"/>
    </w:rPr>
  </w:style>
  <w:style w:type="paragraph" w:styleId="811">
    <w:name w:val="Quote"/>
    <w:basedOn w:val="701"/>
    <w:next w:val="701"/>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01"/>
    <w:next w:val="701"/>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25"/>
    <w:uiPriority w:val="99"/>
    <w:qFormat/>
  </w:style>
  <w:style w:type="character" w:styleId="816" w:customStyle="1">
    <w:name w:val="Footer Char"/>
    <w:uiPriority w:val="99"/>
    <w:qFormat/>
  </w:style>
  <w:style w:type="character" w:styleId="817" w:customStyle="1">
    <w:name w:val="页脚 字符"/>
    <w:link w:val="724"/>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29"/>
    <w:uiPriority w:val="99"/>
    <w:qFormat/>
    <w:rPr>
      <w:sz w:val="18"/>
    </w:rPr>
  </w:style>
  <w:style w:type="character" w:styleId="925" w:customStyle="1">
    <w:name w:val="尾注文本 字符"/>
    <w:link w:val="723"/>
    <w:uiPriority w:val="99"/>
    <w:qFormat/>
    <w:rPr>
      <w:sz w:val="20"/>
    </w:rPr>
  </w:style>
  <w:style w:type="paragraph" w:styleId="926" w:customStyle="1">
    <w:name w:val="TOC 标题11"/>
    <w:uiPriority w:val="39"/>
    <w:unhideWhenUsed/>
    <w:qFormat/>
    <w:rPr>
      <w:rFonts w:hint="default" w:ascii="Times New Roman" w:hAnsi="Times New Roman" w:eastAsia="宋体" w:cs="Times New Roman"/>
      <w:lang w:val="en-US" w:eastAsia="zh-CN" w:bidi="ar-SA"/>
    </w:rPr>
  </w:style>
  <w:style w:type="paragraph" w:styleId="927" w:customStyle="1">
    <w:name w:val="标题 11"/>
    <w:basedOn w:val="701"/>
    <w:next w:val="701"/>
    <w:link w:val="933"/>
    <w:uiPriority w:val="0"/>
    <w:qFormat/>
    <w:pPr>
      <w:keepLines/>
      <w:keepNext/>
      <w:spacing w:before="340" w:after="330" w:line="578" w:lineRule="auto"/>
      <w:outlineLvl w:val="0"/>
    </w:pPr>
    <w:rPr>
      <w:rFonts w:ascii="Times New Roman" w:hAnsi="Times New Roman"/>
      <w:b/>
      <w:bCs/>
      <w:sz w:val="44"/>
      <w:szCs w:val="44"/>
    </w:rPr>
  </w:style>
  <w:style w:type="paragraph" w:styleId="928" w:customStyle="1">
    <w:name w:val="标题 21"/>
    <w:basedOn w:val="701"/>
    <w:next w:val="701"/>
    <w:link w:val="934"/>
    <w:uiPriority w:val="0"/>
    <w:qFormat/>
    <w:pPr>
      <w:keepLines/>
      <w:keepNext/>
      <w:spacing w:before="260" w:after="260" w:line="416" w:lineRule="auto"/>
      <w:outlineLvl w:val="1"/>
    </w:pPr>
    <w:rPr>
      <w:rFonts w:ascii="Cambria" w:hAnsi="Cambria"/>
      <w:b/>
      <w:bCs/>
      <w:sz w:val="32"/>
      <w:szCs w:val="32"/>
    </w:rPr>
  </w:style>
  <w:style w:type="paragraph" w:styleId="929" w:customStyle="1">
    <w:name w:val="标题 31"/>
    <w:basedOn w:val="701"/>
    <w:next w:val="701"/>
    <w:link w:val="935"/>
    <w:uiPriority w:val="0"/>
    <w:qFormat/>
    <w:pPr>
      <w:keepLines/>
      <w:keepNext/>
      <w:spacing w:before="260" w:after="260" w:line="416" w:lineRule="auto"/>
      <w:outlineLvl w:val="2"/>
    </w:pPr>
    <w:rPr>
      <w:rFonts w:ascii="Times New Roman" w:hAnsi="Times New Roman"/>
      <w:b/>
      <w:bCs/>
      <w:sz w:val="32"/>
      <w:szCs w:val="32"/>
    </w:rPr>
  </w:style>
  <w:style w:type="character" w:styleId="930" w:customStyle="1">
    <w:name w:val="默认段落字体1"/>
    <w:uiPriority w:val="0"/>
    <w:qFormat/>
    <w:rPr>
      <w:rFonts w:ascii="Times New Roman" w:hAnsi="Times New Roman" w:eastAsia="宋体" w:cs="Times New Roman"/>
    </w:rPr>
  </w:style>
  <w:style w:type="table" w:styleId="931" w:customStyle="1">
    <w:name w:val="普通表格1"/>
    <w:uiPriority w:val="0"/>
    <w:qFormat/>
    <w:tblPr>
      <w:tblCellMar>
        <w:left w:w="0" w:type="dxa"/>
        <w:top w:w="0" w:type="dxa"/>
        <w:right w:w="0" w:type="dxa"/>
        <w:bottom w:w="0" w:type="dxa"/>
      </w:tblCellMar>
    </w:tblPr>
  </w:style>
  <w:style w:type="paragraph" w:styleId="932"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33" w:customStyle="1">
    <w:name w:val="标题 1 Char"/>
    <w:basedOn w:val="930"/>
    <w:link w:val="927"/>
    <w:uiPriority w:val="0"/>
    <w:qFormat/>
    <w:rPr>
      <w:rFonts w:ascii="Times New Roman" w:hAnsi="Times New Roman" w:eastAsia="宋体" w:cs="Times New Roman"/>
      <w:b/>
      <w:bCs/>
      <w:sz w:val="44"/>
      <w:szCs w:val="44"/>
    </w:rPr>
  </w:style>
  <w:style w:type="character" w:styleId="934" w:customStyle="1">
    <w:name w:val="标题 2 Char"/>
    <w:basedOn w:val="930"/>
    <w:link w:val="928"/>
    <w:uiPriority w:val="0"/>
    <w:qFormat/>
    <w:rPr>
      <w:rFonts w:ascii="Cambria" w:hAnsi="Cambria" w:eastAsia="宋体" w:cs="Times New Roman"/>
      <w:b/>
      <w:bCs/>
      <w:sz w:val="32"/>
      <w:szCs w:val="32"/>
    </w:rPr>
  </w:style>
  <w:style w:type="character" w:styleId="935" w:customStyle="1">
    <w:name w:val="标题 3 Char"/>
    <w:basedOn w:val="930"/>
    <w:link w:val="929"/>
    <w:uiPriority w:val="0"/>
    <w:qFormat/>
    <w:rPr>
      <w:rFonts w:ascii="Times New Roman" w:hAnsi="Times New Roman" w:eastAsia="宋体" w:cs="Times New Roman"/>
      <w:b/>
      <w:bCs/>
      <w:sz w:val="32"/>
      <w:szCs w:val="32"/>
    </w:rPr>
  </w:style>
  <w:style w:type="paragraph" w:styleId="936" w:customStyle="1">
    <w:name w:val="文档结构图1"/>
    <w:basedOn w:val="701"/>
    <w:link w:val="937"/>
    <w:uiPriority w:val="0"/>
    <w:qFormat/>
    <w:rPr>
      <w:rFonts w:ascii="宋体" w:hAnsi="Times New Roman"/>
      <w:sz w:val="18"/>
      <w:szCs w:val="18"/>
    </w:rPr>
  </w:style>
  <w:style w:type="character" w:styleId="937" w:customStyle="1">
    <w:name w:val="文档结构图 Char"/>
    <w:basedOn w:val="930"/>
    <w:link w:val="936"/>
    <w:uiPriority w:val="0"/>
    <w:qFormat/>
    <w:rPr>
      <w:rFonts w:ascii="宋体" w:hAnsi="Times New Roman" w:eastAsia="宋体" w:cs="Times New Roman"/>
      <w:sz w:val="18"/>
      <w:szCs w:val="18"/>
    </w:rPr>
  </w:style>
  <w:style w:type="paragraph" w:styleId="938" w:customStyle="1">
    <w:name w:val="批注文字1"/>
    <w:basedOn w:val="701"/>
    <w:link w:val="939"/>
    <w:uiPriority w:val="0"/>
    <w:qFormat/>
    <w:pPr>
      <w:ind w:firstLine="922"/>
      <w:jc w:val="left"/>
      <w:spacing w:line="360" w:lineRule="auto"/>
    </w:pPr>
    <w:rPr>
      <w:rFonts w:ascii="Times New Roman" w:hAnsi="Times New Roman"/>
      <w:szCs w:val="24"/>
    </w:rPr>
  </w:style>
  <w:style w:type="character" w:styleId="939" w:customStyle="1">
    <w:name w:val="批注文字 Char"/>
    <w:basedOn w:val="930"/>
    <w:link w:val="938"/>
    <w:uiPriority w:val="0"/>
    <w:qFormat/>
    <w:rPr>
      <w:rFonts w:ascii="Times New Roman" w:hAnsi="Times New Roman" w:eastAsia="宋体" w:cs="Times New Roman"/>
      <w:szCs w:val="24"/>
    </w:rPr>
  </w:style>
  <w:style w:type="paragraph" w:styleId="940" w:customStyle="1">
    <w:name w:val="正文文本1"/>
    <w:basedOn w:val="701"/>
    <w:next w:val="701"/>
    <w:link w:val="941"/>
    <w:uiPriority w:val="0"/>
    <w:qFormat/>
    <w:pPr>
      <w:spacing w:after="120"/>
    </w:pPr>
  </w:style>
  <w:style w:type="character" w:styleId="941" w:customStyle="1">
    <w:name w:val="正文文本 Char"/>
    <w:basedOn w:val="930"/>
    <w:link w:val="940"/>
    <w:uiPriority w:val="0"/>
    <w:qFormat/>
    <w:rPr>
      <w:rFonts w:ascii="Calibri" w:hAnsi="Calibri" w:eastAsia="宋体" w:cs="Times New Roman"/>
    </w:rPr>
  </w:style>
  <w:style w:type="paragraph" w:styleId="942" w:customStyle="1">
    <w:name w:val="正文文本缩进1"/>
    <w:basedOn w:val="701"/>
    <w:link w:val="943"/>
    <w:uiPriority w:val="0"/>
    <w:qFormat/>
    <w:pPr>
      <w:ind w:left="420"/>
      <w:spacing w:after="120"/>
    </w:pPr>
    <w:rPr>
      <w:rFonts w:ascii="Times New Roman" w:hAnsi="Times New Roman"/>
      <w:szCs w:val="24"/>
    </w:rPr>
  </w:style>
  <w:style w:type="character" w:styleId="943" w:customStyle="1">
    <w:name w:val="正文文本缩进 Char"/>
    <w:basedOn w:val="930"/>
    <w:link w:val="942"/>
    <w:uiPriority w:val="0"/>
    <w:qFormat/>
    <w:rPr>
      <w:rFonts w:ascii="Times New Roman" w:hAnsi="Times New Roman" w:eastAsia="宋体" w:cs="Times New Roman"/>
      <w:szCs w:val="24"/>
    </w:rPr>
  </w:style>
  <w:style w:type="paragraph" w:styleId="944" w:customStyle="1">
    <w:name w:val="纯文本1"/>
    <w:basedOn w:val="701"/>
    <w:link w:val="945"/>
    <w:uiPriority w:val="0"/>
    <w:qFormat/>
    <w:rPr>
      <w:rFonts w:ascii="宋体" w:hAnsi="Courier New" w:cs="Courier New"/>
      <w:szCs w:val="21"/>
    </w:rPr>
  </w:style>
  <w:style w:type="character" w:styleId="945" w:customStyle="1">
    <w:name w:val="纯文本 Char"/>
    <w:basedOn w:val="930"/>
    <w:link w:val="944"/>
    <w:uiPriority w:val="0"/>
    <w:qFormat/>
    <w:rPr>
      <w:rFonts w:ascii="宋体" w:hAnsi="Courier New" w:eastAsia="宋体" w:cs="Courier New"/>
      <w:szCs w:val="21"/>
    </w:rPr>
  </w:style>
  <w:style w:type="paragraph" w:styleId="946" w:customStyle="1">
    <w:name w:val="日期1"/>
    <w:basedOn w:val="701"/>
    <w:next w:val="701"/>
    <w:link w:val="947"/>
    <w:uiPriority w:val="0"/>
    <w:qFormat/>
    <w:pPr>
      <w:ind w:left="100"/>
    </w:pPr>
    <w:rPr>
      <w:rFonts w:ascii="Times New Roman" w:hAnsi="Times New Roman"/>
    </w:rPr>
  </w:style>
  <w:style w:type="character" w:styleId="947" w:customStyle="1">
    <w:name w:val="日期 Char"/>
    <w:basedOn w:val="930"/>
    <w:link w:val="946"/>
    <w:uiPriority w:val="0"/>
    <w:qFormat/>
    <w:rPr>
      <w:rFonts w:ascii="Times New Roman" w:hAnsi="Times New Roman" w:eastAsia="宋体" w:cs="Times New Roman"/>
    </w:rPr>
  </w:style>
  <w:style w:type="paragraph" w:styleId="948" w:customStyle="1">
    <w:name w:val="批注框文本1"/>
    <w:basedOn w:val="701"/>
    <w:link w:val="949"/>
    <w:uiPriority w:val="0"/>
    <w:qFormat/>
    <w:rPr>
      <w:rFonts w:ascii="Times New Roman" w:hAnsi="Times New Roman"/>
      <w:sz w:val="18"/>
      <w:szCs w:val="18"/>
    </w:rPr>
  </w:style>
  <w:style w:type="character" w:styleId="949" w:customStyle="1">
    <w:name w:val="批注框文本 Char"/>
    <w:basedOn w:val="930"/>
    <w:link w:val="948"/>
    <w:uiPriority w:val="0"/>
    <w:qFormat/>
    <w:rPr>
      <w:rFonts w:ascii="Times New Roman" w:hAnsi="Times New Roman" w:eastAsia="宋体" w:cs="Times New Roman"/>
      <w:sz w:val="18"/>
      <w:szCs w:val="18"/>
    </w:rPr>
  </w:style>
  <w:style w:type="paragraph" w:styleId="950" w:customStyle="1">
    <w:name w:val="页脚1"/>
    <w:basedOn w:val="701"/>
    <w:link w:val="951"/>
    <w:uiPriority w:val="0"/>
    <w:qFormat/>
    <w:pPr>
      <w:jc w:val="left"/>
      <w:tabs>
        <w:tab w:val="center" w:pos="4153" w:leader="none"/>
        <w:tab w:val="right" w:pos="8306" w:leader="none"/>
      </w:tabs>
    </w:pPr>
    <w:rPr>
      <w:rFonts w:ascii="Times New Roman" w:hAnsi="Times New Roman"/>
      <w:sz w:val="18"/>
      <w:szCs w:val="18"/>
    </w:rPr>
  </w:style>
  <w:style w:type="character" w:styleId="951" w:customStyle="1">
    <w:name w:val="页脚 Char"/>
    <w:basedOn w:val="930"/>
    <w:link w:val="950"/>
    <w:uiPriority w:val="0"/>
    <w:qFormat/>
    <w:rPr>
      <w:rFonts w:ascii="Times New Roman" w:hAnsi="Times New Roman" w:eastAsia="宋体" w:cs="Times New Roman"/>
      <w:sz w:val="18"/>
      <w:szCs w:val="18"/>
    </w:rPr>
  </w:style>
  <w:style w:type="paragraph" w:styleId="952" w:customStyle="1">
    <w:name w:val="页眉1"/>
    <w:basedOn w:val="701"/>
    <w:link w:val="95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3" w:customStyle="1">
    <w:name w:val="页眉 Char"/>
    <w:basedOn w:val="930"/>
    <w:link w:val="952"/>
    <w:uiPriority w:val="0"/>
    <w:qFormat/>
    <w:rPr>
      <w:rFonts w:ascii="Times New Roman" w:hAnsi="Times New Roman" w:eastAsia="宋体" w:cs="Times New Roman"/>
      <w:sz w:val="18"/>
      <w:szCs w:val="18"/>
    </w:rPr>
  </w:style>
  <w:style w:type="paragraph" w:styleId="954" w:customStyle="1">
    <w:name w:val="目录 11"/>
    <w:basedOn w:val="701"/>
    <w:next w:val="701"/>
    <w:uiPriority w:val="0"/>
    <w:qFormat/>
    <w:pPr>
      <w:jc w:val="center"/>
      <w:tabs>
        <w:tab w:val="right" w:pos="8296" w:leader="dot"/>
      </w:tabs>
    </w:pPr>
    <w:rPr>
      <w:rFonts w:ascii="黑体" w:hAnsi="黑体" w:eastAsia="黑体"/>
      <w:sz w:val="44"/>
      <w:szCs w:val="44"/>
    </w:rPr>
  </w:style>
  <w:style w:type="paragraph" w:styleId="955" w:customStyle="1">
    <w:name w:val="普通(网站)1"/>
    <w:basedOn w:val="701"/>
    <w:uiPriority w:val="0"/>
    <w:qFormat/>
    <w:rPr>
      <w:rFonts w:ascii="Times New Roman" w:hAnsi="Times New Roman"/>
      <w:sz w:val="24"/>
    </w:rPr>
  </w:style>
  <w:style w:type="table" w:styleId="956" w:customStyle="1">
    <w:name w:val="网格型1"/>
    <w:basedOn w:val="931"/>
    <w:uiPriority w:val="0"/>
    <w:qFormat/>
    <w:tblPr/>
  </w:style>
  <w:style w:type="character" w:styleId="957" w:customStyle="1">
    <w:name w:val="超链接1"/>
    <w:uiPriority w:val="0"/>
    <w:qFormat/>
    <w:rPr>
      <w:rFonts w:ascii="Times New Roman" w:hAnsi="Times New Roman" w:eastAsia="宋体" w:cs="Times New Roman"/>
      <w:color w:val="0000ff"/>
      <w:u w:val="none"/>
    </w:rPr>
  </w:style>
  <w:style w:type="character" w:styleId="958" w:customStyle="1">
    <w:name w:val="批注引用1"/>
    <w:uiPriority w:val="0"/>
    <w:qFormat/>
    <w:rPr>
      <w:rFonts w:ascii="Times New Roman" w:hAnsi="Times New Roman" w:eastAsia="宋体" w:cs="Times New Roman"/>
      <w:sz w:val="21"/>
      <w:szCs w:val="21"/>
    </w:rPr>
  </w:style>
  <w:style w:type="paragraph" w:styleId="9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0" w:customStyle="1">
    <w:name w:val="列出段落1"/>
    <w:basedOn w:val="701"/>
    <w:uiPriority w:val="0"/>
    <w:qFormat/>
    <w:pPr>
      <w:ind w:firstLine="420"/>
    </w:pPr>
    <w:rPr>
      <w:rFonts w:ascii="Times New Roman" w:hAnsi="Times New Roman"/>
      <w:szCs w:val="21"/>
    </w:rPr>
  </w:style>
  <w:style w:type="paragraph" w:styleId="961" w:customStyle="1">
    <w:name w:val="无间隔1"/>
    <w:basedOn w:val="701"/>
    <w:uiPriority w:val="0"/>
    <w:qFormat/>
    <w:rPr>
      <w:rFonts w:ascii="Times New Roman" w:hAnsi="Times New Roman"/>
    </w:rPr>
  </w:style>
  <w:style w:type="paragraph" w:styleId="962" w:customStyle="1">
    <w:name w:val="正文文本11"/>
    <w:basedOn w:val="701"/>
    <w:next w:val="701"/>
    <w:uiPriority w:val="0"/>
    <w:qFormat/>
    <w:rPr>
      <w:rFonts w:ascii="楷体_GB2312" w:hAnsi="Arial" w:eastAsia="楷体_GB2312"/>
      <w:sz w:val="28"/>
      <w:szCs w:val="28"/>
      <w:lang w:eastAsia="en-US"/>
    </w:rPr>
  </w:style>
  <w:style w:type="paragraph" w:styleId="963" w:customStyle="1">
    <w:name w:val="正文首行缩进11"/>
    <w:basedOn w:val="962"/>
    <w:uiPriority w:val="0"/>
    <w:qFormat/>
    <w:pPr>
      <w:ind w:firstLine="200"/>
      <w:spacing w:line="360" w:lineRule="auto"/>
    </w:pPr>
    <w:rPr>
      <w:rFonts w:ascii="仿宋_GB2312" w:hAnsi="Times New Roman" w:eastAsia="仿宋_GB2312"/>
      <w:sz w:val="30"/>
      <w:szCs w:val="30"/>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32</cp:revision>
  <dcterms:created xsi:type="dcterms:W3CDTF">2025-09-09T08:03:00Z</dcterms:created>
  <dcterms:modified xsi:type="dcterms:W3CDTF">2026-06-25T08:57:50Z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2052-12.1.0.25225</vt:lpwstr>
  </property>
  <property fmtid="{D5CDD505-2E9C-101B-9397-08002B2CF9AE}" pid="4" name="ICV">
    <vt:lpwstr>BFC1CB1DE167497CB12A61A2B07FD31A_13</vt:lpwstr>
  </property>
</Properties>
</file>