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9"/>
        <w:ind w:firstLine="0"/>
        <w:jc w:val="center"/>
        <w:spacing w:before="0" w:after="0"/>
        <w:rPr>
          <w:rFonts w:ascii="楷体" w:hAnsi="楷体" w:eastAsia="楷体" w:cs="楷体"/>
          <w:b/>
          <w:bCs/>
          <w:color w:val="auto"/>
          <w:sz w:val="84"/>
          <w:highlight w:val="none"/>
        </w:rPr>
      </w:pPr>
      <w:r>
        <w:rPr>
          <w:rFonts w:ascii="楷体" w:hAnsi="楷体" w:eastAsia="楷体" w:cs="楷体"/>
          <w:b/>
          <w:bCs/>
          <w:color w:val="auto"/>
          <w:sz w:val="84"/>
          <w:highlight w:val="none"/>
        </w:rPr>
      </w:r>
      <w:r/>
    </w:p>
    <w:p>
      <w:pPr>
        <w:pStyle w:val="1109"/>
        <w:ind w:firstLine="0"/>
        <w:jc w:val="center"/>
        <w:spacing w:before="0" w:after="0"/>
        <w:rPr>
          <w:rFonts w:ascii="楷体" w:hAnsi="楷体" w:eastAsia="楷体" w:cs="楷体"/>
          <w:b/>
          <w:bCs/>
          <w:color w:val="auto"/>
          <w:sz w:val="84"/>
          <w:highlight w:val="none"/>
        </w:rPr>
      </w:pPr>
      <w:r>
        <w:rPr>
          <w:rFonts w:hint="eastAsia" w:ascii="楷体" w:hAnsi="楷体" w:eastAsia="楷体" w:cs="楷体"/>
          <w:b/>
          <w:bCs/>
          <w:color w:val="auto"/>
          <w:sz w:val="84"/>
          <w:highlight w:val="none"/>
        </w:rPr>
        <w:t xml:space="preserve">招 标 文 件</w:t>
      </w:r>
      <w:r/>
    </w:p>
    <w:p>
      <w:pPr>
        <w:ind w:firstLine="2250"/>
        <w:jc w:val="both"/>
        <w:spacing w:line="360" w:lineRule="auto"/>
        <w:rPr>
          <w:rFonts w:ascii="楷体" w:hAnsi="楷体" w:eastAsia="楷体" w:cs="楷体"/>
          <w:color w:val="auto"/>
          <w:sz w:val="75"/>
          <w:highlight w:val="none"/>
        </w:rPr>
      </w:pPr>
      <w:r>
        <w:rPr>
          <w:rFonts w:ascii="楷体" w:hAnsi="楷体" w:eastAsia="楷体" w:cs="楷体"/>
          <w:color w:val="auto"/>
          <w:sz w:val="75"/>
          <w:highlight w:val="none"/>
        </w:rPr>
      </w:r>
      <w:r/>
    </w:p>
    <w:p>
      <w:pPr>
        <w:ind w:firstLine="643"/>
        <w:jc w:val="both"/>
        <w:spacing w:line="360" w:lineRule="auto"/>
        <w:widowControl/>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widowControl/>
        <w:rPr>
          <w:rFonts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rPr>
        <w:t xml:space="preserve">项目编号：JSZC-321112-JYGS-G2026-0003</w:t>
      </w:r>
      <w:r/>
    </w:p>
    <w:p>
      <w:pPr>
        <w:jc w:val="center"/>
        <w:spacing w:line="360" w:lineRule="auto"/>
        <w:widowControl/>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ind w:firstLine="720"/>
        <w:spacing w:line="360" w:lineRule="auto"/>
        <w:rPr>
          <w:rFonts w:ascii="楷体" w:hAnsi="楷体" w:eastAsia="楷体" w:cs="楷体"/>
          <w:color w:val="auto"/>
          <w:sz w:val="36"/>
          <w:szCs w:val="36"/>
          <w:highlight w:val="none"/>
        </w:rPr>
      </w:pPr>
      <w:r>
        <w:rPr>
          <w:rFonts w:ascii="楷体" w:hAnsi="楷体" w:eastAsia="楷体" w:cs="楷体"/>
          <w:color w:val="auto"/>
          <w:sz w:val="36"/>
          <w:szCs w:val="36"/>
          <w:highlight w:val="none"/>
        </w:rPr>
      </w:r>
      <w:r/>
    </w:p>
    <w:p>
      <w:pPr>
        <w:pStyle w:val="1111"/>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1111"/>
        <w:ind w:firstLine="0"/>
        <w:jc w:val="center"/>
        <w:spacing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rPr>
        <w:t xml:space="preserve">项目名称：丹徒区夜景灯光管护服务项目（2026-2029年）</w:t>
      </w:r>
      <w:r/>
    </w:p>
    <w:p>
      <w:pPr>
        <w:pStyle w:val="1111"/>
        <w:ind w:firstLine="1767"/>
        <w:spacing w:line="360" w:lineRule="auto"/>
        <w:rPr>
          <w:rFonts w:ascii="楷体" w:hAnsi="楷体" w:eastAsia="楷体" w:cs="楷体"/>
          <w:b/>
          <w:bCs/>
          <w:color w:val="auto"/>
          <w:sz w:val="44"/>
          <w:szCs w:val="44"/>
          <w:highlight w:val="none"/>
          <w:lang w:val="en-US"/>
        </w:rPr>
      </w:pPr>
      <w:r>
        <w:rPr>
          <w:rFonts w:ascii="楷体" w:hAnsi="楷体" w:eastAsia="楷体" w:cs="楷体"/>
          <w:b/>
          <w:bCs/>
          <w:color w:val="auto"/>
          <w:sz w:val="44"/>
          <w:szCs w:val="44"/>
          <w:highlight w:val="none"/>
          <w:lang w:val="en-US"/>
        </w:rPr>
      </w:r>
      <w:r/>
    </w:p>
    <w:p>
      <w:pPr>
        <w:pStyle w:val="1111"/>
        <w:ind w:firstLine="643"/>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pStyle w:val="1111"/>
        <w:ind w:firstLine="643"/>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pStyle w:val="1111"/>
        <w:ind w:firstLine="643"/>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spacing w:line="360" w:lineRule="auto"/>
        <w:widowControl/>
        <w:rPr>
          <w:rFonts w:ascii="楷体" w:hAnsi="楷体" w:eastAsia="楷体" w:cs="楷体"/>
          <w:color w:val="auto"/>
          <w:sz w:val="21"/>
          <w:szCs w:val="21"/>
          <w:highlight w:val="none"/>
          <w:lang w:val="en-US"/>
        </w:rPr>
      </w:pPr>
      <w:r>
        <w:rPr>
          <w:rFonts w:ascii="楷体" w:hAnsi="楷体" w:eastAsia="楷体" w:cs="楷体"/>
          <w:color w:val="auto"/>
          <w:sz w:val="21"/>
          <w:szCs w:val="21"/>
          <w:highlight w:val="none"/>
          <w:lang w:val="en-US"/>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建银工程咨询有限责任公司</w:t>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二〇二</w:t>
      </w:r>
      <w:r>
        <w:rPr>
          <w:rFonts w:hint="eastAsia" w:ascii="楷体" w:hAnsi="楷体" w:eastAsia="楷体" w:cs="楷体"/>
          <w:b/>
          <w:bCs/>
          <w:color w:val="auto"/>
          <w:sz w:val="32"/>
          <w:szCs w:val="32"/>
          <w:highlight w:val="none"/>
          <w:lang w:val="en-US"/>
        </w:rPr>
        <w:t xml:space="preserve">六</w:t>
      </w:r>
      <w:r>
        <w:rPr>
          <w:rFonts w:hint="eastAsia" w:ascii="楷体" w:hAnsi="楷体" w:eastAsia="楷体" w:cs="楷体"/>
          <w:b/>
          <w:bCs/>
          <w:color w:val="auto"/>
          <w:sz w:val="32"/>
          <w:szCs w:val="32"/>
          <w:highlight w:val="none"/>
        </w:rPr>
        <w:t xml:space="preserve">年</w:t>
      </w:r>
      <w:r>
        <w:rPr>
          <w:rFonts w:hint="eastAsia" w:ascii="楷体" w:hAnsi="楷体" w:eastAsia="楷体" w:cs="楷体"/>
          <w:b/>
          <w:bCs/>
          <w:color w:val="auto"/>
          <w:sz w:val="32"/>
          <w:szCs w:val="32"/>
          <w:highlight w:val="none"/>
          <w:lang w:val="en-US"/>
        </w:rPr>
        <w:t xml:space="preserve">五</w:t>
      </w:r>
      <w:r>
        <w:rPr>
          <w:rFonts w:hint="eastAsia" w:ascii="楷体" w:hAnsi="楷体" w:eastAsia="楷体" w:cs="楷体"/>
          <w:b/>
          <w:bCs/>
          <w:color w:val="auto"/>
          <w:sz w:val="32"/>
          <w:szCs w:val="32"/>
          <w:highlight w:val="none"/>
        </w:rPr>
        <w:t xml:space="preserve">月</w:t>
      </w:r>
      <w:r/>
    </w:p>
    <w:p>
      <w:pPr>
        <w:jc w:val="center"/>
        <w:spacing w:line="360" w:lineRule="auto"/>
        <w:rPr>
          <w:rFonts w:ascii="楷体" w:hAnsi="楷体" w:eastAsia="楷体" w:cs="楷体"/>
          <w:color w:val="auto"/>
          <w:highlight w:val="none"/>
        </w:rPr>
      </w:pPr>
      <w:r>
        <w:rPr>
          <w:rFonts w:ascii="楷体" w:hAnsi="楷体" w:eastAsia="楷体" w:cs="楷体"/>
          <w:color w:val="auto"/>
          <w:highlight w:val="none"/>
        </w:rPr>
      </w:r>
      <w:r/>
    </w:p>
    <w:p>
      <w:pPr>
        <w:jc w:val="center"/>
        <w:spacing w:line="360" w:lineRule="auto"/>
        <w:rPr>
          <w:rFonts w:ascii="楷体" w:hAnsi="楷体" w:eastAsia="楷体" w:cs="楷体"/>
          <w:color w:val="auto"/>
          <w:highlight w:val="none"/>
          <w:lang w:val="en-US"/>
        </w:rPr>
        <w:sectPr>
          <w:footerReference w:type="default" r:id="rId12"/>
          <w:footnotePr/>
          <w:endnotePr/>
          <w:type w:val="nextPage"/>
          <w:pgSz w:w="11907" w:h="16839" w:orient="portrait"/>
          <w:pgMar w:top="1134" w:right="1134" w:bottom="1134" w:left="1134" w:header="720" w:footer="720" w:gutter="0"/>
          <w:cols w:num="1" w:sep="0" w:space="1701" w:equalWidth="1"/>
          <w:docGrid w:linePitch="360"/>
        </w:sectPr>
      </w:pPr>
      <w:r>
        <w:rPr>
          <w:rFonts w:ascii="楷体" w:hAnsi="楷体" w:eastAsia="楷体" w:cs="楷体"/>
          <w:color w:val="auto"/>
          <w:highlight w:val="none"/>
          <w:lang w:val="en-US"/>
        </w:rPr>
      </w:r>
      <w:r/>
    </w:p>
    <w:p>
      <w:pPr>
        <w:jc w:val="center"/>
        <w:spacing w:line="360" w:lineRule="auto"/>
        <w:rPr>
          <w:rFonts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目录</w:t>
      </w:r>
      <w:r/>
    </w:p>
    <w:p>
      <w:pPr>
        <w:ind w:firstLine="3716"/>
        <w:jc w:val="both"/>
        <w:spacing w:line="360" w:lineRule="auto"/>
        <w:rPr>
          <w:rFonts w:ascii="楷体" w:hAnsi="楷体" w:eastAsia="楷体" w:cs="楷体"/>
          <w:b/>
          <w:color w:val="auto"/>
          <w:sz w:val="30"/>
          <w:highlight w:val="none"/>
        </w:rPr>
      </w:pPr>
      <w:r/>
      <w:bookmarkStart w:id="0" w:name="_Toc6165"/>
      <w:r/>
      <w:bookmarkStart w:id="1" w:name="_Toc29510"/>
      <w:r/>
      <w:r/>
    </w:p>
    <w:p>
      <w:pP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第一部分  投标邀请</w:t>
      </w:r>
      <w:r/>
    </w:p>
    <w:p>
      <w:pPr>
        <w:spacing w:line="360" w:lineRule="auto"/>
        <w:rPr>
          <w:rFonts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第二部分  投标人须知</w:t>
      </w:r>
      <w:r/>
    </w:p>
    <w:p>
      <w:pPr>
        <w:spacing w:line="360" w:lineRule="auto"/>
        <w:rPr>
          <w:rFonts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第三部分  </w:t>
      </w:r>
      <w:r>
        <w:rPr>
          <w:rFonts w:hint="eastAsia" w:ascii="楷体" w:hAnsi="楷体" w:eastAsia="楷体" w:cs="楷体"/>
          <w:b/>
          <w:color w:val="auto"/>
          <w:sz w:val="32"/>
          <w:szCs w:val="32"/>
          <w:highlight w:val="none"/>
          <w:lang w:val="en-US"/>
        </w:rPr>
        <w:t xml:space="preserve">拟签订的合同文本</w:t>
      </w:r>
      <w:r/>
    </w:p>
    <w:p>
      <w:pPr>
        <w:spacing w:line="360" w:lineRule="auto"/>
        <w:rPr>
          <w:rFonts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第四部分  采购需求</w:t>
      </w:r>
      <w:r/>
    </w:p>
    <w:p>
      <w:pPr>
        <w:spacing w:line="360" w:lineRule="auto"/>
        <w:rPr>
          <w:rFonts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第五部分  评标办法和标准</w:t>
      </w:r>
      <w:r/>
    </w:p>
    <w:p>
      <w:pP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第六部分  投标文件（格式）</w:t>
      </w:r>
      <w:r/>
    </w:p>
    <w:p>
      <w:pPr>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pStyle w:val="1054"/>
        <w:jc w:val="center"/>
        <w:keepLines w:val="0"/>
        <w:keepNext w:val="0"/>
        <w:spacing w:before="0" w:after="0" w:line="360" w:lineRule="auto"/>
        <w:rPr>
          <w:rFonts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第一部分    投标邀请</w:t>
      </w:r>
      <w:bookmarkEnd w:id="0"/>
      <w:r/>
      <w:bookmarkEnd w:id="1"/>
      <w:r/>
      <w:r/>
    </w:p>
    <w:p>
      <w:pPr>
        <w:ind w:firstLine="480"/>
        <w:spacing w:line="360" w:lineRule="auto"/>
        <w:rPr>
          <w:rFonts w:ascii="楷体" w:hAnsi="楷体" w:eastAsia="楷体" w:cs="楷体"/>
          <w:color w:val="auto"/>
          <w:sz w:val="28"/>
          <w:szCs w:val="28"/>
          <w:highlight w:val="none"/>
          <w:lang w:val="en-US"/>
        </w:rPr>
        <w:pBdr>
          <w:top w:val="single" w:color="000000" w:sz="4" w:space="1"/>
          <w:left w:val="single" w:color="000000" w:sz="4" w:space="4"/>
          <w:bottom w:val="single" w:color="000000" w:sz="4" w:space="1"/>
          <w:right w:val="single" w:color="000000" w:sz="4" w:space="4"/>
        </w:pBdr>
      </w:pPr>
      <w:r/>
      <w:bookmarkStart w:id="2" w:name="EB7db3ab008a8f42449672c324abe655e4"/>
      <w:r/>
      <w:bookmarkEnd w:id="2"/>
      <w:r/>
      <w:bookmarkStart w:id="3" w:name="EB2b6c38eb24e54d1483d9b885274f6b0f"/>
      <w:r/>
      <w:bookmarkEnd w:id="3"/>
      <w:r/>
      <w:bookmarkStart w:id="4" w:name="_Toc256000001"/>
      <w:r/>
      <w:bookmarkStart w:id="5" w:name="_Toc7560"/>
      <w:r/>
      <w:bookmarkStart w:id="6" w:name="_Toc8789"/>
      <w:r/>
      <w:bookmarkStart w:id="7" w:name="_Toc28"/>
      <w:r>
        <w:rPr>
          <w:rFonts w:hint="eastAsia" w:ascii="楷体" w:hAnsi="楷体" w:eastAsia="楷体" w:cs="楷体"/>
          <w:color w:val="auto"/>
          <w:sz w:val="28"/>
          <w:szCs w:val="28"/>
          <w:highlight w:val="none"/>
        </w:rPr>
        <w:t xml:space="preserve">项目概况</w:t>
      </w:r>
      <w:r/>
    </w:p>
    <w:p>
      <w:pPr>
        <w:ind w:firstLine="480"/>
        <w:spacing w:line="360" w:lineRule="auto"/>
        <w:rPr>
          <w:rFonts w:ascii="楷体" w:hAnsi="楷体" w:eastAsia="楷体" w:cs="楷体"/>
          <w:color w:val="auto"/>
          <w:sz w:val="28"/>
          <w:szCs w:val="28"/>
          <w:highlight w:val="none"/>
          <w:u w:val="single"/>
        </w:rPr>
        <w:pBdr>
          <w:top w:val="single" w:color="000000" w:sz="4" w:space="1"/>
          <w:left w:val="single" w:color="000000" w:sz="4" w:space="4"/>
          <w:bottom w:val="single" w:color="000000" w:sz="4" w:space="1"/>
          <w:right w:val="single" w:color="000000" w:sz="4" w:space="4"/>
        </w:pBdr>
      </w:pPr>
      <w:r/>
      <w:bookmarkStart w:id="8" w:name="EB88d3380b55d64db3937e19ee7304f988"/>
      <w:r/>
      <w:bookmarkEnd w:id="8"/>
      <w:r>
        <w:rPr>
          <w:rFonts w:hint="eastAsia" w:ascii="楷体" w:hAnsi="楷体" w:eastAsia="楷体" w:cs="楷体"/>
          <w:color w:val="auto"/>
          <w:sz w:val="28"/>
          <w:szCs w:val="28"/>
          <w:highlight w:val="none"/>
          <w:u w:val="single"/>
        </w:rPr>
        <w:t xml:space="preserve">丹徒区夜景灯光管护服务项目（2026-2029年）</w:t>
      </w:r>
      <w:r>
        <w:rPr>
          <w:rFonts w:hint="eastAsia" w:ascii="楷体" w:hAnsi="楷体" w:eastAsia="楷体" w:cs="楷体"/>
          <w:color w:val="auto"/>
          <w:sz w:val="28"/>
          <w:szCs w:val="28"/>
          <w:highlight w:val="none"/>
        </w:rPr>
        <w:t xml:space="preserve">的潜在投标人应在</w:t>
      </w:r>
      <w:r>
        <w:rPr>
          <w:rFonts w:hint="eastAsia" w:ascii="楷体" w:hAnsi="楷体" w:eastAsia="楷体" w:cs="楷体"/>
          <w:color w:val="auto"/>
          <w:sz w:val="28"/>
          <w:szCs w:val="28"/>
          <w:highlight w:val="none"/>
          <w:u w:val="single"/>
        </w:rPr>
        <w:t xml:space="preserve">“江苏政府采购网</w:t>
      </w:r>
      <w:r>
        <w:rPr>
          <w:rFonts w:hint="eastAsia" w:ascii="楷体" w:hAnsi="楷体" w:eastAsia="楷体" w:cs="楷体"/>
          <w:color w:val="auto"/>
          <w:sz w:val="28"/>
          <w:szCs w:val="28"/>
          <w:highlight w:val="none"/>
          <w:u w:val="single"/>
          <w:lang w:val="en-US"/>
        </w:rPr>
        <w:t xml:space="preserve">--</w:t>
      </w:r>
      <w:r>
        <w:rPr>
          <w:rFonts w:hint="eastAsia" w:ascii="楷体" w:hAnsi="楷体" w:eastAsia="楷体" w:cs="楷体"/>
          <w:color w:val="auto"/>
          <w:sz w:val="28"/>
          <w:szCs w:val="28"/>
          <w:highlight w:val="none"/>
          <w:u w:val="single"/>
        </w:rPr>
        <w:t xml:space="preserve">苏采云”系统</w:t>
      </w:r>
      <w:r>
        <w:rPr>
          <w:rFonts w:hint="eastAsia" w:ascii="楷体" w:hAnsi="楷体" w:eastAsia="楷体" w:cs="楷体"/>
          <w:color w:val="auto"/>
          <w:sz w:val="28"/>
          <w:szCs w:val="28"/>
          <w:highlight w:val="none"/>
        </w:rPr>
        <w:t xml:space="preserve">获取招标文件</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并于</w:t>
      </w:r>
      <w:r>
        <w:rPr>
          <w:rFonts w:hint="eastAsia" w:ascii="楷体" w:hAnsi="楷体" w:eastAsia="楷体" w:cs="楷体"/>
          <w:color w:val="auto"/>
          <w:sz w:val="28"/>
          <w:szCs w:val="28"/>
          <w:highlight w:val="none"/>
          <w:lang w:val="en-US"/>
        </w:rPr>
        <w:t xml:space="preserve">2026-6-</w:t>
      </w:r>
      <w:r>
        <w:rPr>
          <w:rFonts w:hint="eastAsia" w:ascii="楷体" w:hAnsi="楷体" w:eastAsia="楷体" w:cs="楷体"/>
          <w:color w:val="auto"/>
          <w:sz w:val="28"/>
          <w:szCs w:val="28"/>
          <w:highlight w:val="none"/>
          <w:lang w:val="en-US"/>
        </w:rPr>
        <w:t xml:space="preserve">4 09</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0（</w:t>
      </w:r>
      <w:r>
        <w:rPr>
          <w:rFonts w:hint="eastAsia" w:ascii="楷体" w:hAnsi="楷体" w:eastAsia="楷体" w:cs="楷体"/>
          <w:bCs/>
          <w:color w:val="auto"/>
          <w:sz w:val="28"/>
          <w:szCs w:val="28"/>
          <w:highlight w:val="none"/>
        </w:rPr>
        <w:t xml:space="preserve">北京时间）前按要求递交投标文件</w:t>
      </w:r>
      <w:r>
        <w:rPr>
          <w:rFonts w:hint="eastAsia" w:ascii="楷体" w:hAnsi="楷体" w:eastAsia="楷体" w:cs="楷体"/>
          <w:color w:val="auto"/>
          <w:sz w:val="28"/>
          <w:szCs w:val="28"/>
          <w:highlight w:val="none"/>
        </w:rPr>
        <w:t xml:space="preserve">。</w:t>
      </w:r>
      <w:bookmarkEnd w:id="4"/>
      <w:r/>
      <w:r/>
    </w:p>
    <w:p>
      <w:pPr>
        <w:pStyle w:val="1097"/>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一、项目基本情况</w:t>
      </w:r>
      <w:r/>
    </w:p>
    <w:p>
      <w:pPr>
        <w:ind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项目编号：JSZC-321112-JYGS-G2026-0003</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bCs/>
          <w:color w:val="auto"/>
          <w:sz w:val="28"/>
          <w:szCs w:val="28"/>
          <w:highlight w:val="none"/>
          <w:shd w:val="clear" w:color="auto" w:fill="ffffff"/>
          <w:lang w:val="en-US"/>
        </w:rPr>
        <w:t xml:space="preserve">2</w:t>
      </w:r>
      <w:r>
        <w:rPr>
          <w:rFonts w:hint="eastAsia" w:ascii="楷体" w:hAnsi="楷体" w:eastAsia="楷体" w:cs="楷体"/>
          <w:color w:val="auto"/>
          <w:sz w:val="28"/>
          <w:szCs w:val="28"/>
          <w:highlight w:val="none"/>
          <w:lang w:val="en-US"/>
        </w:rPr>
        <w:t xml:space="preserve">.</w:t>
      </w:r>
      <w:r>
        <w:rPr>
          <w:rFonts w:hint="eastAsia" w:ascii="楷体" w:hAnsi="楷体" w:eastAsia="楷体" w:cs="楷体"/>
          <w:bCs/>
          <w:color w:val="auto"/>
          <w:sz w:val="28"/>
          <w:szCs w:val="28"/>
          <w:highlight w:val="none"/>
          <w:shd w:val="clear" w:color="auto" w:fill="ffffff"/>
          <w:lang w:val="en-US"/>
        </w:rPr>
        <w:t xml:space="preserve">项目名称：</w:t>
      </w:r>
      <w:r>
        <w:rPr>
          <w:rFonts w:hint="eastAsia" w:ascii="楷体" w:hAnsi="楷体" w:eastAsia="楷体" w:cs="楷体"/>
          <w:color w:val="auto"/>
          <w:sz w:val="28"/>
          <w:szCs w:val="28"/>
          <w:highlight w:val="none"/>
        </w:rPr>
        <w:t xml:space="preserve">丹徒区夜景灯光管护服务项目（2026-2029年）</w:t>
      </w:r>
      <w:r/>
    </w:p>
    <w:p>
      <w:pPr>
        <w:ind w:firstLine="480"/>
        <w:spacing w:line="360" w:lineRule="auto"/>
        <w:rPr>
          <w:rFonts w:ascii="楷体" w:hAnsi="楷体" w:eastAsia="楷体" w:cs="楷体"/>
          <w:color w:val="auto"/>
          <w:sz w:val="28"/>
          <w:szCs w:val="28"/>
          <w:highlight w:val="none"/>
          <w:shd w:val="clear" w:color="auto" w:fill="ffffff"/>
          <w:lang w:val="en-US"/>
        </w:rPr>
      </w:pPr>
      <w:r>
        <w:rPr>
          <w:rFonts w:hint="eastAsia" w:ascii="楷体" w:hAnsi="楷体" w:eastAsia="楷体" w:cs="楷体"/>
          <w:color w:val="auto"/>
          <w:sz w:val="28"/>
          <w:szCs w:val="28"/>
          <w:highlight w:val="none"/>
          <w:shd w:val="clear" w:color="auto" w:fill="ffffff"/>
          <w:lang w:val="en-US"/>
        </w:rPr>
        <w:t xml:space="preserve">3</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shd w:val="clear" w:color="auto" w:fill="ffffff"/>
          <w:lang w:val="en-US"/>
        </w:rPr>
        <w:t xml:space="preserve">预算金额：480</w:t>
      </w:r>
      <w:r>
        <w:rPr>
          <w:rFonts w:hint="eastAsia" w:ascii="楷体" w:hAnsi="楷体" w:eastAsia="楷体" w:cs="楷体"/>
          <w:bCs/>
          <w:color w:val="auto"/>
          <w:sz w:val="28"/>
          <w:szCs w:val="28"/>
          <w:highlight w:val="none"/>
          <w:shd w:val="clear" w:color="auto" w:fill="ffffff"/>
          <w:lang w:val="en-US"/>
        </w:rPr>
        <w:t xml:space="preserve">万元</w:t>
      </w:r>
      <w:r/>
    </w:p>
    <w:p>
      <w:pPr>
        <w:ind w:firstLine="480"/>
        <w:spacing w:line="360" w:lineRule="auto"/>
        <w:rPr>
          <w:rFonts w:ascii="楷体" w:hAnsi="楷体" w:eastAsia="楷体" w:cs="楷体"/>
          <w:bCs/>
          <w:color w:val="auto"/>
          <w:sz w:val="28"/>
          <w:szCs w:val="28"/>
          <w:highlight w:val="none"/>
          <w:shd w:val="clear" w:color="auto" w:fill="ffffff"/>
          <w:lang w:val="en-US"/>
        </w:rPr>
      </w:pPr>
      <w:r>
        <w:rPr>
          <w:rFonts w:hint="eastAsia" w:ascii="楷体" w:hAnsi="楷体" w:eastAsia="楷体" w:cs="楷体"/>
          <w:bCs/>
          <w:color w:val="auto"/>
          <w:sz w:val="28"/>
          <w:szCs w:val="28"/>
          <w:highlight w:val="none"/>
          <w:shd w:val="clear" w:color="auto" w:fill="ffffff"/>
          <w:lang w:val="en-US"/>
        </w:rPr>
        <w:t xml:space="preserve">4.采购需求：对已移交我单位的和管护期内将移交至我单位的夜景灯光设施实施市场化管护，包括夜景灯光（机关办公楼、住宅小区、公共区域亮化等）的启闭、巡查、管理、维修、拆除等相关管护内容。详细内容及要求见采购需求。</w:t>
      </w:r>
      <w:r/>
    </w:p>
    <w:p>
      <w:pPr>
        <w:ind w:firstLine="480"/>
        <w:spacing w:line="360" w:lineRule="auto"/>
        <w:rPr>
          <w:rFonts w:ascii="楷体" w:hAnsi="楷体" w:eastAsia="楷体" w:cs="楷体"/>
          <w:bCs/>
          <w:color w:val="auto"/>
          <w:sz w:val="28"/>
          <w:szCs w:val="28"/>
          <w:highlight w:val="none"/>
          <w:shd w:val="clear" w:color="auto" w:fill="ffffff"/>
          <w:lang w:val="en-US"/>
        </w:rPr>
      </w:pPr>
      <w:r/>
      <w:bookmarkStart w:id="9" w:name="EB81d44f19bf0b424bb865d9473d55b093"/>
      <w:r>
        <w:rPr>
          <w:rFonts w:hint="eastAsia" w:ascii="楷体" w:hAnsi="楷体" w:eastAsia="楷体" w:cs="楷体"/>
          <w:bCs/>
          <w:color w:val="auto"/>
          <w:sz w:val="28"/>
          <w:szCs w:val="28"/>
          <w:highlight w:val="none"/>
          <w:shd w:val="clear" w:color="auto" w:fill="ffffff"/>
          <w:lang w:val="en-US"/>
        </w:rPr>
        <w:t xml:space="preserve">5</w:t>
      </w:r>
      <w:r>
        <w:rPr>
          <w:rFonts w:hint="eastAsia" w:ascii="楷体" w:hAnsi="楷体" w:eastAsia="楷体" w:cs="楷体"/>
          <w:color w:val="auto"/>
          <w:sz w:val="28"/>
          <w:szCs w:val="28"/>
          <w:highlight w:val="none"/>
          <w:lang w:val="en-US"/>
        </w:rPr>
        <w:t xml:space="preserve">.</w:t>
      </w:r>
      <w:r>
        <w:rPr>
          <w:rFonts w:hint="eastAsia" w:ascii="楷体" w:hAnsi="楷体" w:eastAsia="楷体" w:cs="楷体"/>
          <w:bCs/>
          <w:color w:val="auto"/>
          <w:sz w:val="28"/>
          <w:szCs w:val="28"/>
          <w:highlight w:val="none"/>
          <w:shd w:val="clear" w:color="auto" w:fill="ffffff"/>
          <w:lang w:val="en-US"/>
        </w:rPr>
        <w:t xml:space="preserve">合同履行期限：</w:t>
      </w:r>
      <w:bookmarkEnd w:id="9"/>
      <w:r/>
      <w:bookmarkStart w:id="10" w:name="_Toc256000002"/>
      <w:r>
        <w:rPr>
          <w:rFonts w:hint="eastAsia" w:ascii="楷体" w:hAnsi="楷体" w:eastAsia="楷体" w:cs="楷体"/>
          <w:bCs/>
          <w:color w:val="auto"/>
          <w:sz w:val="28"/>
          <w:szCs w:val="28"/>
          <w:highlight w:val="none"/>
          <w:shd w:val="clear" w:color="auto" w:fill="ffffff"/>
          <w:lang w:val="en-US"/>
        </w:rPr>
        <w:t xml:space="preserve">三年</w:t>
      </w:r>
      <w:r/>
    </w:p>
    <w:p>
      <w:pPr>
        <w:ind w:firstLine="480"/>
        <w:spacing w:line="360" w:lineRule="auto"/>
        <w:rPr>
          <w:rFonts w:ascii="楷体" w:hAnsi="楷体" w:eastAsia="楷体" w:cs="楷体"/>
          <w:color w:val="auto"/>
          <w:spacing w:val="-9"/>
          <w:sz w:val="28"/>
          <w:szCs w:val="28"/>
          <w:highlight w:val="none"/>
        </w:rPr>
      </w:pPr>
      <w:r>
        <w:rPr>
          <w:rFonts w:hint="eastAsia" w:ascii="楷体" w:hAnsi="楷体" w:eastAsia="楷体" w:cs="楷体"/>
          <w:color w:val="auto"/>
          <w:spacing w:val="-9"/>
          <w:sz w:val="28"/>
          <w:szCs w:val="28"/>
          <w:highlight w:val="none"/>
          <w:lang w:val="en-US"/>
        </w:rPr>
        <w:t xml:space="preserve">6</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pacing w:val="-9"/>
          <w:sz w:val="28"/>
          <w:szCs w:val="28"/>
          <w:highlight w:val="none"/>
        </w:rPr>
        <w:t xml:space="preserve">本项目是否接受联合体投标：不接</w:t>
      </w:r>
      <w:r>
        <w:rPr>
          <w:rFonts w:hint="eastAsia" w:ascii="楷体" w:hAnsi="楷体" w:eastAsia="楷体" w:cs="楷体"/>
          <w:color w:val="auto"/>
          <w:spacing w:val="-7"/>
          <w:sz w:val="28"/>
          <w:szCs w:val="28"/>
          <w:highlight w:val="none"/>
        </w:rPr>
        <w:t xml:space="preserve">受</w:t>
      </w:r>
      <w:r/>
    </w:p>
    <w:p>
      <w:pPr>
        <w:pStyle w:val="1097"/>
        <w:ind w:firstLine="480"/>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7.本次采购确定的中标供应商数量：1名。</w:t>
      </w:r>
      <w:r/>
    </w:p>
    <w:p>
      <w:pPr>
        <w:pStyle w:val="1097"/>
        <w:ind w:firstLine="480"/>
        <w:spacing w:line="360" w:lineRule="auto"/>
        <w:widowControl/>
        <w:rPr>
          <w:rFonts w:ascii="楷体" w:hAnsi="楷体" w:eastAsia="楷体" w:cs="楷体"/>
          <w:bCs/>
          <w:color w:val="auto"/>
          <w:sz w:val="28"/>
          <w:szCs w:val="28"/>
          <w:highlight w:val="none"/>
          <w:shd w:val="clear" w:color="auto" w:fill="ffffff"/>
        </w:rPr>
      </w:pPr>
      <w:r>
        <w:rPr>
          <w:rFonts w:hint="eastAsia" w:ascii="楷体" w:hAnsi="楷体" w:eastAsia="楷体" w:cs="楷体"/>
          <w:bCs/>
          <w:color w:val="auto"/>
          <w:sz w:val="28"/>
          <w:szCs w:val="28"/>
          <w:highlight w:val="none"/>
          <w:shd w:val="clear" w:color="auto" w:fill="ffffff"/>
        </w:rPr>
        <w:t xml:space="preserve">8</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bookmarkEnd w:id="10"/>
      <w:r/>
      <w:r/>
    </w:p>
    <w:p>
      <w:pPr>
        <w:pStyle w:val="1097"/>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二、申请人的资格要求：</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1.满足《中华人民共和国政府采购法》第二十二条规定： </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1.1具有独立承担民事责任的能力（提供法人或者其他组织的营业执照等证明文件扫描件）；</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1.2具有良好的商业信誉和健全的财务会计制度[提供2024或2025年度财务报告、成立不满一年的提供</w:t>
      </w:r>
      <w:r>
        <w:rPr>
          <w:rFonts w:hint="eastAsia" w:ascii="楷体" w:hAnsi="楷体" w:eastAsia="楷体" w:cs="楷体"/>
          <w:color w:val="auto"/>
          <w:sz w:val="28"/>
          <w:szCs w:val="28"/>
          <w:highlight w:val="none"/>
          <w:lang w:val="en-US"/>
        </w:rPr>
        <w:t xml:space="preserve">至少</w:t>
      </w:r>
      <w:r>
        <w:rPr>
          <w:rFonts w:hint="eastAsia" w:ascii="楷体" w:hAnsi="楷体" w:eastAsia="楷体" w:cs="楷体"/>
          <w:color w:val="auto"/>
          <w:sz w:val="28"/>
          <w:szCs w:val="28"/>
          <w:highlight w:val="none"/>
        </w:rPr>
        <w:t xml:space="preserve">一个月财务报告，或银行出具的资信证明，或财政部门认可的政府采购专业担保机构出具的投标担保函等，或资格承诺函（格式见第六部分）]；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1.3具有履行合同所必需的设备和专业技术能力[提供投标人相关信息一览表或资格承诺函（格式见第六部分）]；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1.4有依法缴纳税收和社会保障资金的良好记录[提供参加本次政府采购活动前半年内</w:t>
      </w:r>
      <w:r>
        <w:rPr>
          <w:rFonts w:hint="eastAsia" w:ascii="楷体" w:hAnsi="楷体" w:eastAsia="楷体" w:cs="楷体"/>
          <w:color w:val="auto"/>
          <w:sz w:val="28"/>
          <w:szCs w:val="28"/>
          <w:highlight w:val="none"/>
          <w:lang w:val="en-US"/>
        </w:rPr>
        <w:t xml:space="preserve">任意</w:t>
      </w:r>
      <w:r>
        <w:rPr>
          <w:rFonts w:hint="eastAsia" w:ascii="楷体" w:hAnsi="楷体" w:eastAsia="楷体" w:cs="楷体"/>
          <w:color w:val="auto"/>
          <w:sz w:val="28"/>
          <w:szCs w:val="28"/>
          <w:highlight w:val="none"/>
        </w:rPr>
        <w:t xml:space="preserve">一个月依法缴纳税收和社会保险的凭据或资格承诺函（格式见第六部分）]；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1.6法律、行政法规规定的其他条件：</w:t>
      </w:r>
      <w:r/>
    </w:p>
    <w:p>
      <w:pPr>
        <w:numPr>
          <w:ilvl w:val="0"/>
          <w:numId w:val="1"/>
        </w:num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落实政府采购政策需满足的资格要求：</w:t>
      </w:r>
      <w:r/>
    </w:p>
    <w:p>
      <w:p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rPr>
        <w:t xml:space="preserve">2.1</w:t>
      </w:r>
      <w:r>
        <w:rPr>
          <w:rFonts w:hint="eastAsia" w:ascii="楷体" w:hAnsi="楷体" w:eastAsia="楷体" w:cs="楷体"/>
          <w:color w:val="auto"/>
          <w:sz w:val="28"/>
          <w:szCs w:val="28"/>
          <w:highlight w:val="none"/>
        </w:rPr>
        <w:t xml:space="preserve">根据财政部、工业和信息化部关于印发《政府采购促进中小企业发展管理办法》的通知、江苏省财政厅《关于做好政府采购支持企业发展有关事项的通知》的相关规定，本项目仅面向中小微企业。中小企业划分标准见《工业和信息化部、国家统计局、国家发展和改革委员会、财政部关于印发中小企业划型标准规定的通知》（工信部联企业[2011]300号）。本项目所属行业：</w:t>
      </w:r>
      <w:r>
        <w:rPr>
          <w:rFonts w:hint="eastAsia" w:ascii="楷体" w:hAnsi="楷体" w:eastAsia="楷体" w:cs="楷体"/>
          <w:color w:val="auto"/>
          <w:sz w:val="28"/>
          <w:szCs w:val="28"/>
          <w:highlight w:val="none"/>
          <w:lang w:val="en-US"/>
        </w:rPr>
        <w:t xml:space="preserve">建筑业</w:t>
      </w:r>
      <w:r>
        <w:rPr>
          <w:rFonts w:hint="eastAsia" w:ascii="楷体" w:hAnsi="楷体" w:eastAsia="楷体" w:cs="楷体"/>
          <w:color w:val="auto"/>
          <w:sz w:val="28"/>
          <w:szCs w:val="28"/>
          <w:highlight w:val="none"/>
          <w:lang w:val="en-US" w:eastAsia="zh-CN"/>
        </w:rPr>
        <w:t xml:space="preserve">；</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2.2</w:t>
      </w:r>
      <w:r>
        <w:rPr>
          <w:rFonts w:hint="eastAsia" w:ascii="楷体" w:hAnsi="楷体" w:eastAsia="楷体" w:cs="楷体"/>
          <w:color w:val="auto"/>
          <w:sz w:val="28"/>
          <w:szCs w:val="28"/>
          <w:highlight w:val="none"/>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 </w:t>
      </w:r>
      <w:r/>
    </w:p>
    <w:p>
      <w:p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rPr>
        <w:t xml:space="preserve">2.3</w:t>
      </w:r>
      <w:r>
        <w:rPr>
          <w:rFonts w:hint="eastAsia" w:ascii="楷体" w:hAnsi="楷体" w:eastAsia="楷体" w:cs="楷体"/>
          <w:color w:val="auto"/>
          <w:sz w:val="28"/>
          <w:szCs w:val="28"/>
          <w:highlight w:val="none"/>
        </w:rPr>
        <w:t xml:space="preserve">根据《财政部 民政部 中国残疾人联合会关于促进残疾人就业政府采购政策的通知》（财库〔2017〕141 号）的规定，残疾人福利性单位视同小型、微型企业</w:t>
      </w:r>
      <w:r>
        <w:rPr>
          <w:rFonts w:hint="eastAsia" w:ascii="楷体" w:hAnsi="楷体" w:eastAsia="楷体" w:cs="楷体"/>
          <w:color w:val="auto"/>
          <w:sz w:val="28"/>
          <w:szCs w:val="28"/>
          <w:highlight w:val="none"/>
          <w:lang w:eastAsia="zh-CN"/>
        </w:rPr>
        <w:t xml:space="preserve">；</w:t>
      </w:r>
      <w:r/>
    </w:p>
    <w:p>
      <w:pPr>
        <w:numPr>
          <w:ilvl w:val="0"/>
          <w:numId w:val="2"/>
        </w:num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本项目的特定资格要求：</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3.1</w:t>
      </w:r>
      <w:r>
        <w:rPr>
          <w:rFonts w:hint="eastAsia" w:ascii="楷体" w:hAnsi="楷体" w:eastAsia="楷体" w:cs="楷体"/>
          <w:color w:val="auto"/>
          <w:sz w:val="28"/>
          <w:szCs w:val="28"/>
          <w:highlight w:val="none"/>
        </w:rPr>
        <w:t xml:space="preserve">供应商具有城市及道路照明工程专业承包三级及以上资质，同时供应商具有安全生产许可证；</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3.2</w:t>
      </w:r>
      <w:r>
        <w:rPr>
          <w:rFonts w:hint="eastAsia" w:ascii="楷体" w:hAnsi="楷体" w:eastAsia="楷体" w:cs="楷体"/>
          <w:color w:val="auto"/>
          <w:sz w:val="28"/>
          <w:szCs w:val="28"/>
          <w:highlight w:val="none"/>
        </w:rPr>
        <w:t xml:space="preserve">拟投入本项目的项目经理具有机电工程或市政公用工程专业二级及以上注册建造师证书，并取得住房城乡建设主管部门颁发的安全生产考核合格证(B类证书)。</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三、获取招标文件</w:t>
      </w:r>
      <w:r/>
    </w:p>
    <w:p>
      <w:pPr>
        <w:ind w:firstLine="560"/>
        <w:spacing w:line="360" w:lineRule="auto"/>
        <w:rPr>
          <w:rFonts w:hint="default" w:ascii="楷体" w:hAnsi="楷体" w:eastAsia="楷体" w:cs="楷体"/>
          <w:color w:val="auto"/>
          <w:sz w:val="28"/>
          <w:highlight w:val="none"/>
          <w:lang w:val="en-US" w:eastAsia="zh-CN"/>
        </w:rPr>
        <w:pBdr>
          <w:top w:val="none" w:color="000000" w:sz="0" w:space="0"/>
          <w:left w:val="none" w:color="000000" w:sz="0" w:space="0"/>
          <w:bottom w:val="none" w:color="000000" w:sz="0" w:space="0"/>
          <w:right w:val="none" w:color="000000" w:sz="0" w:space="0"/>
        </w:pBdr>
      </w:pPr>
      <w:r/>
      <w:bookmarkStart w:id="11" w:name="_Toc35393624"/>
      <w:r/>
      <w:bookmarkStart w:id="12" w:name="_Toc35393793"/>
      <w:r/>
      <w:bookmarkStart w:id="13" w:name="_Toc28359005"/>
      <w:r/>
      <w:bookmarkStart w:id="14" w:name="_Toc28359082"/>
      <w:r>
        <w:rPr>
          <w:rFonts w:hint="eastAsia" w:ascii="楷体" w:hAnsi="楷体" w:eastAsia="楷体" w:cs="楷体"/>
          <w:color w:val="auto"/>
          <w:sz w:val="28"/>
          <w:szCs w:val="28"/>
          <w:highlight w:val="none"/>
        </w:rPr>
        <w:t xml:space="preserve">获取时间：</w:t>
      </w:r>
      <w:r>
        <w:rPr>
          <w:rFonts w:hint="eastAsia" w:ascii="楷体" w:hAnsi="楷体" w:eastAsia="楷体" w:cs="楷体"/>
          <w:color w:val="auto"/>
          <w:sz w:val="28"/>
          <w:highlight w:val="none"/>
        </w:rPr>
        <w:t xml:space="preserve">自招标文件公告发布之日起</w:t>
      </w:r>
      <w:r>
        <w:rPr>
          <w:rFonts w:hint="eastAsia" w:ascii="楷体" w:hAnsi="楷体" w:eastAsia="楷体" w:cs="楷体"/>
          <w:color w:val="auto"/>
          <w:sz w:val="28"/>
          <w:highlight w:val="none"/>
          <w:lang w:val="en-US" w:eastAsia="zh-CN"/>
        </w:rPr>
        <w:t xml:space="preserve">5个工作日</w:t>
      </w:r>
      <w:r/>
    </w:p>
    <w:p>
      <w:pPr>
        <w:ind w:firstLine="560"/>
        <w:spacing w:line="360" w:lineRule="auto"/>
        <w:rPr>
          <w:rFonts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获取地点：</w:t>
      </w:r>
      <w:r>
        <w:rPr>
          <w:rFonts w:hint="eastAsia" w:ascii="楷体" w:hAnsi="楷体" w:eastAsia="楷体" w:cs="楷体"/>
          <w:color w:val="auto"/>
          <w:sz w:val="28"/>
          <w:szCs w:val="28"/>
          <w:highlight w:val="none"/>
          <w:u w:val="single"/>
        </w:rPr>
        <w:t xml:space="preserve">“苏采云”</w:t>
      </w:r>
      <w:r>
        <w:rPr>
          <w:rFonts w:hint="eastAsia" w:ascii="楷体" w:hAnsi="楷体" w:eastAsia="楷体" w:cs="楷体"/>
          <w:color w:val="auto"/>
          <w:sz w:val="28"/>
          <w:highlight w:val="none"/>
          <w:u w:val="single"/>
        </w:rPr>
        <w:t xml:space="preserve">电子交易平台系统</w:t>
      </w:r>
      <w:r/>
    </w:p>
    <w:p>
      <w:pPr>
        <w:ind w:firstLine="56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rPr>
        <w:t xml:space="preserve">获取方式：</w:t>
      </w:r>
      <w:r>
        <w:rPr>
          <w:rFonts w:hint="eastAsia" w:ascii="楷体" w:hAnsi="楷体" w:eastAsia="楷体" w:cs="楷体"/>
          <w:color w:val="auto"/>
          <w:sz w:val="28"/>
          <w:szCs w:val="28"/>
          <w:highlight w:val="none"/>
        </w:rPr>
        <w:t xml:space="preserve">在线获取（登录http://jszfcg.jscz.gov.cn/jszc/login点击投标人进入系统），“苏采云”系统用户注册--获取“CA数字证书”--CA绑定与登录--网上报名--下载</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文件(后缀名为.kedt”)</w:t>
      </w:r>
      <w:r/>
    </w:p>
    <w:p>
      <w:pPr>
        <w:ind w:firstLine="56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文件售价：免费</w:t>
      </w:r>
      <w:r/>
    </w:p>
    <w:p>
      <w:pPr>
        <w:spacing w:line="360" w:lineRule="auto"/>
        <w:rPr>
          <w:rFonts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四、</w:t>
      </w:r>
      <w:bookmarkEnd w:id="11"/>
      <w:r/>
      <w:bookmarkEnd w:id="12"/>
      <w:r/>
      <w:bookmarkEnd w:id="13"/>
      <w:r/>
      <w:bookmarkEnd w:id="14"/>
      <w:r>
        <w:rPr>
          <w:rFonts w:hint="eastAsia" w:ascii="楷体" w:hAnsi="楷体" w:eastAsia="楷体" w:cs="楷体"/>
          <w:b/>
          <w:bCs/>
          <w:color w:val="auto"/>
          <w:sz w:val="28"/>
          <w:szCs w:val="28"/>
          <w:highlight w:val="none"/>
        </w:rPr>
        <w:t xml:space="preserve">提交投标文件截止时间、开标时间和地点</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bookmarkStart w:id="15" w:name="_Toc35393794"/>
      <w:r/>
      <w:bookmarkStart w:id="16" w:name="_Toc28359084"/>
      <w:r/>
      <w:bookmarkStart w:id="17" w:name="_Toc35393625"/>
      <w:r/>
      <w:bookmarkStart w:id="18" w:name="_Toc28359007"/>
      <w:r>
        <w:rPr>
          <w:rFonts w:hint="eastAsia" w:ascii="楷体" w:hAnsi="楷体" w:eastAsia="楷体" w:cs="楷体"/>
          <w:color w:val="auto"/>
          <w:sz w:val="28"/>
          <w:szCs w:val="28"/>
          <w:highlight w:val="none"/>
        </w:rPr>
        <w:t xml:space="preserve">提交截止时间及开标时间：</w:t>
      </w:r>
      <w:r>
        <w:rPr>
          <w:rFonts w:hint="eastAsia" w:ascii="楷体" w:hAnsi="楷体" w:eastAsia="楷体" w:cs="楷体"/>
          <w:color w:val="auto"/>
          <w:sz w:val="28"/>
          <w:szCs w:val="28"/>
          <w:highlight w:val="none"/>
          <w:u w:val="single"/>
        </w:rPr>
        <w:t xml:space="preserve">2026年</w:t>
      </w:r>
      <w:r>
        <w:rPr>
          <w:rFonts w:hint="eastAsia" w:ascii="楷体" w:hAnsi="楷体" w:eastAsia="楷体" w:cs="楷体"/>
          <w:color w:val="auto"/>
          <w:sz w:val="28"/>
          <w:szCs w:val="28"/>
          <w:highlight w:val="none"/>
          <w:u w:val="single"/>
          <w:lang w:val="en-US"/>
        </w:rPr>
        <w:t xml:space="preserve">6</w:t>
      </w:r>
      <w:r>
        <w:rPr>
          <w:rFonts w:hint="eastAsia" w:ascii="楷体" w:hAnsi="楷体" w:eastAsia="楷体" w:cs="楷体"/>
          <w:color w:val="auto"/>
          <w:sz w:val="28"/>
          <w:szCs w:val="28"/>
          <w:highlight w:val="none"/>
          <w:u w:val="single"/>
        </w:rPr>
        <w:t xml:space="preserve">月</w:t>
      </w:r>
      <w:r>
        <w:rPr>
          <w:rFonts w:hint="eastAsia" w:ascii="楷体" w:hAnsi="楷体" w:eastAsia="楷体" w:cs="楷体"/>
          <w:color w:val="auto"/>
          <w:sz w:val="28"/>
          <w:szCs w:val="28"/>
          <w:highlight w:val="none"/>
          <w:u w:val="single"/>
        </w:rPr>
        <w:t xml:space="preserve">4日</w:t>
      </w:r>
      <w:r>
        <w:rPr>
          <w:rFonts w:hint="eastAsia" w:ascii="楷体" w:hAnsi="楷体" w:eastAsia="楷体" w:cs="楷体"/>
          <w:color w:val="auto"/>
          <w:sz w:val="28"/>
          <w:szCs w:val="28"/>
          <w:highlight w:val="none"/>
          <w:u w:val="single"/>
          <w:lang w:val="en-US"/>
        </w:rPr>
        <w:t xml:space="preserve"> 09</w:t>
      </w:r>
      <w:r>
        <w:rPr>
          <w:rFonts w:hint="eastAsia" w:ascii="楷体" w:hAnsi="楷体" w:eastAsia="楷体" w:cs="楷体"/>
          <w:color w:val="auto"/>
          <w:sz w:val="28"/>
          <w:szCs w:val="28"/>
          <w:highlight w:val="none"/>
          <w:u w:val="single"/>
        </w:rPr>
        <w:t xml:space="preserve">点</w:t>
      </w:r>
      <w:r>
        <w:rPr>
          <w:rFonts w:hint="eastAsia" w:ascii="楷体" w:hAnsi="楷体" w:eastAsia="楷体" w:cs="楷体"/>
          <w:color w:val="auto"/>
          <w:sz w:val="28"/>
          <w:szCs w:val="28"/>
          <w:highlight w:val="none"/>
          <w:u w:val="single"/>
          <w:lang w:val="en-US" w:eastAsia="zh-CN"/>
        </w:rPr>
        <w:t xml:space="preserve">3</w:t>
      </w:r>
      <w:r>
        <w:rPr>
          <w:rFonts w:hint="eastAsia" w:ascii="楷体" w:hAnsi="楷体" w:eastAsia="楷体" w:cs="楷体"/>
          <w:color w:val="auto"/>
          <w:sz w:val="28"/>
          <w:szCs w:val="28"/>
          <w:highlight w:val="none"/>
          <w:u w:val="single"/>
          <w:lang w:val="en-US"/>
        </w:rPr>
        <w:t xml:space="preserve">0</w:t>
      </w:r>
      <w:r>
        <w:rPr>
          <w:rFonts w:hint="eastAsia" w:ascii="楷体" w:hAnsi="楷体" w:eastAsia="楷体" w:cs="楷体"/>
          <w:color w:val="auto"/>
          <w:sz w:val="28"/>
          <w:szCs w:val="28"/>
          <w:highlight w:val="none"/>
          <w:u w:val="single"/>
        </w:rPr>
        <w:t xml:space="preserve">分</w:t>
      </w:r>
      <w:r>
        <w:rPr>
          <w:rFonts w:hint="eastAsia" w:ascii="楷体" w:hAnsi="楷体" w:eastAsia="楷体" w:cs="楷体"/>
          <w:color w:val="auto"/>
          <w:sz w:val="28"/>
          <w:szCs w:val="28"/>
          <w:highlight w:val="none"/>
        </w:rPr>
        <w:t xml:space="preserve">（北京时间）</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开标地点：“苏采云”政府采购交易系统网上开标大厅</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注意事项：（1）本项目通过</w:t>
      </w:r>
      <w:r>
        <w:rPr>
          <w:rFonts w:hint="eastAsia" w:ascii="楷体" w:hAnsi="楷体" w:eastAsia="楷体" w:cs="楷体"/>
          <w:color w:val="auto"/>
          <w:sz w:val="28"/>
          <w:szCs w:val="28"/>
          <w:highlight w:val="none"/>
          <w:u w:val="single"/>
        </w:rPr>
        <w:t xml:space="preserve">“苏采云”</w:t>
      </w:r>
      <w:r>
        <w:rPr>
          <w:rFonts w:hint="eastAsia" w:ascii="楷体" w:hAnsi="楷体" w:eastAsia="楷体" w:cs="楷体"/>
          <w:iCs/>
          <w:color w:val="auto"/>
          <w:sz w:val="28"/>
          <w:szCs w:val="28"/>
          <w:highlight w:val="none"/>
          <w:u w:val="single"/>
          <w:lang w:val="en-US"/>
        </w:rPr>
        <w:t xml:space="preserve">系统</w:t>
      </w:r>
      <w:r>
        <w:rPr>
          <w:rFonts w:hint="eastAsia" w:ascii="楷体" w:hAnsi="楷体" w:eastAsia="楷体" w:cs="楷体"/>
          <w:color w:val="auto"/>
          <w:sz w:val="28"/>
          <w:szCs w:val="28"/>
          <w:highlight w:val="none"/>
        </w:rPr>
        <w:t xml:space="preserve">进行采购，投标人须通过</w:t>
      </w:r>
      <w:r>
        <w:rPr>
          <w:rFonts w:hint="eastAsia" w:ascii="楷体" w:hAnsi="楷体" w:eastAsia="楷体" w:cs="楷体"/>
          <w:color w:val="auto"/>
          <w:sz w:val="28"/>
          <w:szCs w:val="28"/>
          <w:highlight w:val="none"/>
          <w:u w:val="single"/>
        </w:rPr>
        <w:t xml:space="preserve">“江苏政府采购网</w:t>
      </w:r>
      <w:r>
        <w:rPr>
          <w:rFonts w:hint="eastAsia" w:ascii="楷体" w:hAnsi="楷体" w:eastAsia="楷体" w:cs="楷体"/>
          <w:color w:val="auto"/>
          <w:sz w:val="28"/>
          <w:szCs w:val="28"/>
          <w:highlight w:val="none"/>
          <w:u w:val="single"/>
          <w:lang w:val="en-US"/>
        </w:rPr>
        <w:t xml:space="preserve">--</w:t>
      </w:r>
      <w:r>
        <w:rPr>
          <w:rFonts w:hint="eastAsia" w:ascii="楷体" w:hAnsi="楷体" w:eastAsia="楷体" w:cs="楷体"/>
          <w:color w:val="auto"/>
          <w:sz w:val="28"/>
          <w:szCs w:val="28"/>
          <w:highlight w:val="none"/>
          <w:u w:val="single"/>
        </w:rPr>
        <w:t xml:space="preserve">苏采云”</w:t>
      </w:r>
      <w:r>
        <w:rPr>
          <w:rFonts w:hint="eastAsia" w:ascii="楷体" w:hAnsi="楷体" w:eastAsia="楷体" w:cs="楷体"/>
          <w:color w:val="auto"/>
          <w:sz w:val="28"/>
          <w:szCs w:val="28"/>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numPr>
          <w:ilvl w:val="0"/>
          <w:numId w:val="3"/>
        </w:num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五、公告期限</w:t>
      </w:r>
      <w:bookmarkEnd w:id="15"/>
      <w:r/>
      <w:bookmarkEnd w:id="16"/>
      <w:r/>
      <w:bookmarkEnd w:id="17"/>
      <w:r/>
      <w:bookmarkEnd w:id="18"/>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自本公告发布之日起5个工作日。</w:t>
      </w:r>
      <w:bookmarkStart w:id="19" w:name="_Toc35393795"/>
      <w:r/>
      <w:bookmarkStart w:id="20" w:name="_Toc35393626"/>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六、其他补充事宜</w:t>
      </w:r>
      <w:bookmarkEnd w:id="19"/>
      <w:r/>
      <w:bookmarkEnd w:id="20"/>
      <w:r/>
      <w:r/>
    </w:p>
    <w:p>
      <w:pPr>
        <w:ind w:firstLine="480"/>
        <w:spacing w:before="240" w:after="24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bookmarkStart w:id="21" w:name="_Toc28359085"/>
      <w:r/>
      <w:bookmarkStart w:id="22" w:name="_Toc35393796"/>
      <w:r/>
      <w:bookmarkStart w:id="23" w:name="_Toc35393627"/>
      <w:r/>
      <w:bookmarkStart w:id="24" w:name="_Toc28359008"/>
      <w:r>
        <w:rPr>
          <w:rFonts w:hint="eastAsia" w:ascii="楷体" w:hAnsi="楷体" w:eastAsia="楷体" w:cs="楷体"/>
          <w:color w:val="auto"/>
          <w:sz w:val="28"/>
          <w:szCs w:val="28"/>
          <w:highlight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到涉及“苏采云”系统使用的任何问题，应在工作日上午9：00-11:30 下午13:30-17:30期间致电技术支持热线咨询，联系方式：0519-86722803、0519-96722805。</w:t>
      </w:r>
      <w:r/>
    </w:p>
    <w:p>
      <w:pPr>
        <w:ind w:firstLine="480"/>
        <w:spacing w:before="240" w:after="24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2.投标人投标需提前办理数字认证证书，办理方式和注意事项详见：</w:t>
      </w:r>
      <w:r/>
    </w:p>
    <w:p>
      <w:pPr>
        <w:ind w:firstLine="560"/>
        <w:spacing w:before="240" w:after="24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七、对本次招标提出询问，请按以下方式联系。</w:t>
      </w:r>
      <w:bookmarkEnd w:id="21"/>
      <w:r/>
      <w:bookmarkEnd w:id="22"/>
      <w:r/>
      <w:bookmarkEnd w:id="23"/>
      <w:r/>
      <w:bookmarkEnd w:id="24"/>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1.采购人信息</w:t>
      </w:r>
      <w:r/>
    </w:p>
    <w:p>
      <w:pPr>
        <w:ind w:firstLine="24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名 称：</w:t>
      </w:r>
      <w:r>
        <w:rPr>
          <w:rFonts w:hint="eastAsia" w:ascii="楷体" w:hAnsi="楷体" w:eastAsia="楷体" w:cs="楷体"/>
          <w:bCs/>
          <w:color w:val="auto"/>
          <w:sz w:val="28"/>
          <w:szCs w:val="28"/>
          <w:highlight w:val="none"/>
          <w:shd w:val="clear" w:color="auto" w:fill="ffffff"/>
        </w:rPr>
        <w:t xml:space="preserve">镇江市丹徒区城市管理局</w:t>
      </w:r>
      <w:r/>
    </w:p>
    <w:p>
      <w:pPr>
        <w:ind w:firstLine="24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地 址</w:t>
      </w:r>
      <w:r>
        <w:rPr>
          <w:rFonts w:hint="eastAsia" w:ascii="楷体" w:hAnsi="楷体" w:eastAsia="楷体" w:cs="楷体"/>
          <w:bCs/>
          <w:color w:val="auto"/>
          <w:sz w:val="28"/>
          <w:szCs w:val="28"/>
          <w:highlight w:val="none"/>
          <w:shd w:val="clear" w:color="auto" w:fill="ffffff"/>
        </w:rPr>
        <w:t xml:space="preserve">：镇江市丹徒区爱民路146号</w:t>
      </w:r>
      <w:r/>
    </w:p>
    <w:p>
      <w:pPr>
        <w:ind w:firstLine="24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lang w:val="en-US"/>
        </w:rPr>
        <w:t xml:space="preserve">刘女士</w:t>
      </w:r>
      <w:r/>
    </w:p>
    <w:p>
      <w:pPr>
        <w:ind w:firstLine="24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联系电话：0511-80758107</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2.采购代理机构信息</w:t>
      </w:r>
      <w:r/>
    </w:p>
    <w:p>
      <w:pPr>
        <w:ind w:firstLine="24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名 称：建银工程咨询有限责任公司</w:t>
      </w:r>
      <w:r/>
    </w:p>
    <w:p>
      <w:pPr>
        <w:ind w:firstLine="24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地 址：镇江市</w:t>
      </w:r>
      <w:r>
        <w:rPr>
          <w:rFonts w:hint="eastAsia" w:ascii="楷体" w:hAnsi="楷体" w:eastAsia="楷体" w:cs="楷体"/>
          <w:color w:val="auto"/>
          <w:sz w:val="28"/>
          <w:szCs w:val="28"/>
          <w:highlight w:val="none"/>
          <w:lang w:val="en-US"/>
        </w:rPr>
        <w:t xml:space="preserve">中山东路26号</w:t>
      </w:r>
      <w:r/>
    </w:p>
    <w:p>
      <w:pPr>
        <w:ind w:firstLine="24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lang w:val="en-US"/>
        </w:rPr>
        <w:t xml:space="preserve">0511-84403073</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3.项目联系方式</w:t>
      </w:r>
      <w:r/>
    </w:p>
    <w:p>
      <w:pPr>
        <w:ind w:firstLine="24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项目联系人：</w:t>
      </w:r>
      <w:r>
        <w:rPr>
          <w:rFonts w:hint="eastAsia" w:ascii="楷体" w:hAnsi="楷体" w:eastAsia="楷体" w:cs="楷体"/>
          <w:color w:val="auto"/>
          <w:sz w:val="28"/>
          <w:szCs w:val="28"/>
          <w:highlight w:val="none"/>
          <w:lang w:val="en-US"/>
        </w:rPr>
        <w:t xml:space="preserve">周工、雷工</w:t>
      </w:r>
      <w:r/>
    </w:p>
    <w:p>
      <w:pPr>
        <w:ind w:firstLine="24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联系电话</w:t>
      </w:r>
      <w:r>
        <w:rPr>
          <w:rFonts w:hint="eastAsia" w:ascii="楷体" w:hAnsi="楷体" w:eastAsia="楷体" w:cs="楷体"/>
          <w:color w:val="auto"/>
          <w:sz w:val="28"/>
          <w:szCs w:val="28"/>
          <w:highlight w:val="none"/>
        </w:rPr>
        <w:t xml:space="preserve">：</w:t>
      </w:r>
      <w:bookmarkEnd w:id="5"/>
      <w:r/>
      <w:bookmarkEnd w:id="6"/>
      <w:r/>
      <w:bookmarkEnd w:id="7"/>
      <w:r>
        <w:rPr>
          <w:rFonts w:hint="eastAsia" w:ascii="楷体" w:hAnsi="楷体" w:eastAsia="楷体" w:cs="楷体"/>
          <w:color w:val="auto"/>
          <w:sz w:val="28"/>
          <w:szCs w:val="28"/>
          <w:highlight w:val="none"/>
          <w:lang w:val="en-US"/>
        </w:rPr>
        <w:t xml:space="preserve">0511-84403073</w:t>
      </w:r>
      <w:r/>
    </w:p>
    <w:p>
      <w:pPr>
        <w:spacing w:line="360" w:lineRule="auto"/>
        <w:rPr>
          <w:rStyle w:val="905"/>
          <w:rFonts w:ascii="楷体" w:hAnsi="楷体" w:eastAsia="楷体" w:cs="楷体"/>
          <w:b/>
          <w:bCs/>
          <w:color w:val="auto"/>
          <w:sz w:val="36"/>
          <w:szCs w:val="36"/>
          <w:highlight w:val="none"/>
        </w:rPr>
      </w:pPr>
      <w:r>
        <w:rPr>
          <w:rStyle w:val="905"/>
          <w:rFonts w:hint="eastAsia" w:ascii="楷体" w:hAnsi="楷体" w:eastAsia="楷体" w:cs="楷体"/>
          <w:b/>
          <w:bCs/>
          <w:color w:val="auto"/>
          <w:sz w:val="36"/>
          <w:szCs w:val="36"/>
          <w:highlight w:val="none"/>
        </w:rPr>
        <w:br w:type="page" w:clear="all"/>
      </w:r>
      <w:r/>
    </w:p>
    <w:p>
      <w:pPr>
        <w:pStyle w:val="1054"/>
        <w:jc w:val="center"/>
        <w:keepLines w:val="0"/>
        <w:keepNext w:val="0"/>
        <w:spacing w:before="0" w:after="0" w:line="360" w:lineRule="auto"/>
        <w:rPr>
          <w:rFonts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第二部分    投标人须知</w:t>
      </w:r>
      <w:r/>
    </w:p>
    <w:p>
      <w:pPr>
        <w:jc w:val="center"/>
        <w:spacing w:line="360" w:lineRule="auto"/>
        <w:rPr>
          <w:rFonts w:ascii="楷体" w:hAnsi="楷体" w:eastAsia="楷体" w:cs="楷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z w:val="32"/>
          <w:szCs w:val="32"/>
          <w:highlight w:val="none"/>
        </w:rPr>
        <w:t xml:space="preserve">前附表</w:t>
      </w:r>
      <w:r/>
    </w:p>
    <w:tbl>
      <w:tblPr>
        <w:tblStyle w:val="882"/>
        <w:tblW w:w="53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1336"/>
        <w:gridCol w:w="8235"/>
      </w:tblGrid>
      <w:tr>
        <w:trPr>
          <w:jc w:val="center"/>
          <w:trHeight w:val="496"/>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bookmarkStart w:id="25" w:name="_Toc256000010"/>
            <w:r/>
            <w:bookmarkEnd w:id="25"/>
            <w:r/>
            <w:bookmarkStart w:id="26" w:name="_Toc12484"/>
            <w:r>
              <w:rPr>
                <w:rFonts w:hint="eastAsia" w:ascii="楷体" w:hAnsi="楷体" w:eastAsia="楷体" w:cs="楷体"/>
                <w:color w:val="auto"/>
                <w:sz w:val="28"/>
                <w:szCs w:val="28"/>
                <w:highlight w:val="none"/>
              </w:rPr>
              <w:t xml:space="preserve">序号</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事项</w:t>
            </w:r>
            <w:r/>
          </w:p>
        </w:tc>
        <w:tc>
          <w:tcPr>
            <w:tcW w:w="3933"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本项目规定</w:t>
            </w:r>
            <w:r/>
          </w:p>
        </w:tc>
      </w:tr>
      <w:tr>
        <w:trPr>
          <w:jc w:val="center"/>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报价要求</w:t>
            </w:r>
            <w:r/>
          </w:p>
        </w:tc>
        <w:tc>
          <w:tcPr>
            <w:tcW w:w="3933" w:type="pct"/>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本次投标报价的币种为人民币。</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投标人应按招标文件所提供的各报价表格式报价。</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投标人应对本项目报出最具有竞争力的价格，应包括本次招标要求提供的服务已支付或将支付的所有费用（含税费）。</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最低投标报价不能作为中标的保证。</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中标价即为合同签约价。</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如出现报价前后不一致的，将按招标文件第五部分“评标办法和标准”第5项规定进行修正。</w:t>
            </w:r>
            <w:r/>
          </w:p>
        </w:tc>
      </w:tr>
      <w:tr>
        <w:trPr>
          <w:jc w:val="center"/>
          <w:trHeight w:val="1131"/>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转包及分包</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项目依法不得转包</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☑本项目不同意分包。</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□同意将非主体、非关键性的工作分包。投标人应当在投标文件中载明分包承担主体，分包承担主体应当具备相应资质条件且不得再次分包。</w:t>
            </w:r>
            <w:r>
              <w:rPr>
                <w:rFonts w:hint="eastAsia" w:ascii="楷体" w:hAnsi="楷体" w:eastAsia="楷体" w:cs="楷体"/>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p>
        </w:tc>
      </w:tr>
      <w:tr>
        <w:trPr>
          <w:jc w:val="center"/>
          <w:trHeight w:val="851"/>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开标前答疑会</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☑不组织</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□组织</w:t>
            </w:r>
            <w:r/>
          </w:p>
          <w:p>
            <w:pPr>
              <w:pStyle w:val="856"/>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p>
          <w:p>
            <w:pPr>
              <w:pStyle w:val="856"/>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地点：</w:t>
            </w:r>
            <w:r/>
          </w:p>
          <w:p>
            <w:pPr>
              <w:jc w:val="both"/>
              <w:spacing w:line="360" w:lineRule="auto"/>
              <w:rPr>
                <w:rFonts w:ascii="楷体" w:hAnsi="楷体" w:eastAsia="楷体" w:cs="楷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联系人：联系方式：</w:t>
            </w:r>
            <w:r/>
          </w:p>
        </w:tc>
      </w:tr>
      <w:tr>
        <w:trPr>
          <w:jc w:val="center"/>
          <w:trHeight w:val="776"/>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现场踏勘</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□不统一组织</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☑统一组织</w:t>
            </w:r>
            <w:bookmarkStart w:id="72" w:name="_GoBack"/>
            <w:r/>
            <w:bookmarkEnd w:id="72"/>
            <w:r/>
            <w:r/>
          </w:p>
          <w:p>
            <w:pPr>
              <w:pStyle w:val="856"/>
              <w:ind w:firstLine="0"/>
              <w:spacing w:line="360" w:lineRule="auto"/>
              <w:rPr>
                <w:rFonts w:hint="default" w:ascii="楷体" w:hAnsi="楷体" w:eastAsia="楷体" w:cs="楷体"/>
                <w:color w:val="auto"/>
                <w:sz w:val="28"/>
                <w:szCs w:val="28"/>
                <w:highlight w:val="none"/>
                <w:u w:val="single"/>
                <w:lang w:val="en-US" w:eastAsia="zh-CN"/>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lang w:val="en-US" w:eastAsia="zh-CN"/>
              </w:rPr>
              <w:t xml:space="preserve">2026年5月20日14:30</w:t>
            </w:r>
            <w:r/>
          </w:p>
          <w:p>
            <w:pPr>
              <w:pStyle w:val="856"/>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lang w:val="en-US"/>
              </w:rPr>
              <w:t xml:space="preserve">镇江市丹徒区城市管理局</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lang w:val="en-US"/>
              </w:rPr>
              <w:t xml:space="preserve">刘女士</w:t>
            </w:r>
            <w:r>
              <w:rPr>
                <w:rFonts w:hint="eastAsia" w:ascii="楷体" w:hAnsi="楷体" w:eastAsia="楷体" w:cs="楷体"/>
                <w:color w:val="auto"/>
                <w:sz w:val="28"/>
                <w:szCs w:val="28"/>
                <w:highlight w:val="none"/>
                <w:u w:val="none"/>
                <w:lang w:val="en-US" w:eastAsia="zh-CN"/>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lang w:val="en-US"/>
              </w:rPr>
              <w:t xml:space="preserve">0511-80758107 </w:t>
            </w:r>
            <w:r/>
          </w:p>
        </w:tc>
      </w:tr>
      <w:tr>
        <w:trPr>
          <w:jc w:val="center"/>
          <w:trHeight w:val="816"/>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演示</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☑无</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□有，本项目演示使用录播上传形式，各投标人自行将录播内容上传至XXX平台的XXX模块。操作指南详见XXX。</w:t>
            </w:r>
            <w:r/>
          </w:p>
        </w:tc>
      </w:tr>
      <w:tr>
        <w:trPr>
          <w:jc w:val="center"/>
          <w:trHeight w:val="621"/>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样品</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☑不要求提供。</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□要求提供（</w:t>
            </w:r>
            <w:r>
              <w:rPr>
                <w:rFonts w:hint="eastAsia" w:ascii="楷体" w:hAnsi="楷体" w:eastAsia="楷体" w:cs="楷体"/>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28"/>
                <w:szCs w:val="28"/>
                <w:highlight w:val="none"/>
              </w:rPr>
              <w:t xml:space="preserve">）</w:t>
            </w:r>
            <w:r/>
          </w:p>
          <w:p>
            <w:pPr>
              <w:pStyle w:val="856"/>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（1）样品：</w:t>
            </w:r>
            <w:r>
              <w:rPr>
                <w:rFonts w:hint="eastAsia" w:ascii="楷体" w:hAnsi="楷体" w:eastAsia="楷体" w:cs="楷体"/>
                <w:color w:val="auto"/>
                <w:sz w:val="28"/>
                <w:szCs w:val="28"/>
                <w:highlight w:val="none"/>
                <w:u w:val="single"/>
                <w:lang w:val="en-US"/>
              </w:rPr>
              <w:t xml:space="preserve">详见采购需求</w:t>
            </w:r>
            <w:r>
              <w:rPr>
                <w:rFonts w:hint="eastAsia" w:ascii="楷体" w:hAnsi="楷体" w:eastAsia="楷体" w:cs="楷体"/>
                <w:color w:val="auto"/>
                <w:sz w:val="28"/>
                <w:szCs w:val="28"/>
                <w:highlight w:val="none"/>
              </w:rPr>
              <w:t xml:space="preserve">；</w:t>
            </w:r>
            <w:r/>
          </w:p>
          <w:p>
            <w:pPr>
              <w:pStyle w:val="856"/>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（2）样品制作的标准和要求：</w:t>
            </w:r>
            <w:r>
              <w:rPr>
                <w:rFonts w:hint="eastAsia" w:ascii="楷体" w:hAnsi="楷体" w:eastAsia="楷体" w:cs="楷体"/>
                <w:color w:val="auto"/>
                <w:sz w:val="28"/>
                <w:szCs w:val="28"/>
                <w:highlight w:val="none"/>
                <w:u w:val="single"/>
                <w:lang w:val="en-US"/>
              </w:rPr>
              <w:t xml:space="preserve">详见采购需求</w:t>
            </w:r>
            <w:r>
              <w:rPr>
                <w:rFonts w:hint="eastAsia" w:ascii="楷体" w:hAnsi="楷体" w:eastAsia="楷体" w:cs="楷体"/>
                <w:color w:val="auto"/>
                <w:sz w:val="28"/>
                <w:szCs w:val="28"/>
                <w:highlight w:val="none"/>
              </w:rPr>
              <w:t xml:space="preserve">；</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（3）样品的评审方法以及评审标准：详见评标办法；</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（4）是否需要随样品提交检测报告：□否；□是，检测机构的要求：；检测内容：。</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（5）提供样品的时间：；地点：；联系人：，联系电话：。请投标人在上述时间内提供样品并按规定位置安装完毕。超过截止时间的，采购人或采购代理机构将不予接收及安装，并将清场并封闭样品现场。</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（7）制作、运输、安装和保管样品所发生的一切费用由投标人自理。</w:t>
            </w:r>
            <w:r/>
          </w:p>
        </w:tc>
      </w:tr>
      <w:tr>
        <w:trPr>
          <w:jc w:val="center"/>
          <w:trHeight w:val="807"/>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是否允许采购进口产品</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☑本项目不允许采购进口产品。</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1474"/>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项目属性与核心产品</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□货物类。</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☑服务类。</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本项目核心产品为：</w:t>
            </w:r>
            <w:r>
              <w:rPr>
                <w:rFonts w:hint="eastAsia" w:ascii="楷体" w:hAnsi="楷体" w:eastAsia="楷体" w:cs="楷体"/>
                <w:color w:val="auto"/>
                <w:sz w:val="28"/>
                <w:szCs w:val="28"/>
                <w:highlight w:val="none"/>
                <w:u w:val="single"/>
                <w:lang w:val="en-US"/>
              </w:rPr>
              <w:t xml:space="preserve">/</w:t>
            </w:r>
            <w:r>
              <w:rPr>
                <w:rFonts w:hint="eastAsia" w:ascii="楷体" w:hAnsi="楷体" w:eastAsia="楷体" w:cs="楷体"/>
                <w:color w:val="auto"/>
                <w:sz w:val="28"/>
                <w:szCs w:val="28"/>
                <w:highlight w:val="none"/>
              </w:rPr>
              <w:t xml:space="preserve">。</w:t>
            </w:r>
            <w:r/>
          </w:p>
        </w:tc>
      </w:tr>
      <w:tr>
        <w:trPr>
          <w:jc w:val="center"/>
          <w:trHeight w:val="1414"/>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采购标的对应的中小企业划分标准所属行业</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（1）标的：丹徒区夜景灯光管护服务项目（2026-2029年）</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rPr>
              <w:t xml:space="preserve">属于：</w:t>
            </w:r>
            <w:r>
              <w:rPr>
                <w:rFonts w:hint="eastAsia" w:ascii="楷体" w:hAnsi="楷体" w:eastAsia="楷体" w:cs="楷体"/>
                <w:color w:val="auto"/>
                <w:sz w:val="28"/>
                <w:szCs w:val="28"/>
                <w:highlight w:val="none"/>
                <w:u w:val="single"/>
                <w:lang w:val="en-US"/>
              </w:rPr>
              <w:t xml:space="preserve"> 建筑业 </w:t>
            </w:r>
            <w:r>
              <w:rPr>
                <w:rFonts w:hint="eastAsia" w:ascii="楷体" w:hAnsi="楷体" w:eastAsia="楷体" w:cs="楷体"/>
                <w:color w:val="auto"/>
                <w:sz w:val="28"/>
                <w:szCs w:val="28"/>
                <w:highlight w:val="none"/>
              </w:rPr>
              <w:t xml:space="preserve">；</w:t>
            </w:r>
            <w:r/>
          </w:p>
        </w:tc>
      </w:tr>
      <w:tr>
        <w:trPr>
          <w:jc w:val="center"/>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节能产品、环境标志产品</w:t>
            </w:r>
            <w:r/>
          </w:p>
        </w:tc>
        <w:tc>
          <w:tcPr>
            <w:tcW w:w="3933" w:type="pct"/>
            <w:vAlign w:val="center"/>
            <w:textDirection w:val="lrTb"/>
            <w:noWrap/>
          </w:tcPr>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中小企业信用融资</w:t>
            </w:r>
            <w:r/>
          </w:p>
        </w:tc>
        <w:tc>
          <w:tcPr>
            <w:tcW w:w="3933" w:type="pct"/>
            <w:vAlign w:val="center"/>
            <w:textDirection w:val="lrTb"/>
            <w:noWrap/>
          </w:tcPr>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为进一步发挥政府采购政策导向作用，有效缓解企业融资难题，推进完善应收账款融资服务平</w:t>
            </w:r>
            <w:r>
              <w:rPr>
                <w:rFonts w:hint="eastAsia" w:ascii="楷体" w:hAnsi="楷体" w:eastAsia="楷体" w:cs="楷体"/>
                <w:color w:val="auto"/>
                <w:sz w:val="28"/>
                <w:szCs w:val="28"/>
                <w:highlight w:val="none"/>
              </w:rPr>
              <w:t xml:space="preserve">台的融资服务功能，促进中小微企业平稳健康发展，镇江市财政局和中国人民银行镇江市中心支行联合印发《关于转发〈关于深入推进政府采购线上合同信用融资工作的通知〉的通知》，采购项目中标供应商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丹徒区财政局政府采购科</w:t>
            </w:r>
            <w:r>
              <w:rPr>
                <w:rFonts w:hint="eastAsia" w:ascii="楷体" w:hAnsi="楷体" w:eastAsia="楷体" w:cs="楷体"/>
                <w:color w:val="auto"/>
                <w:sz w:val="28"/>
                <w:szCs w:val="28"/>
                <w:highlight w:val="none"/>
                <w:lang w:val="en-US"/>
              </w:rPr>
              <w:t xml:space="preserve">0511-88992005</w:t>
            </w:r>
            <w:r>
              <w:rPr>
                <w:rFonts w:hint="eastAsia" w:ascii="楷体" w:hAnsi="楷体" w:eastAsia="楷体" w:cs="楷体"/>
                <w:color w:val="auto"/>
                <w:sz w:val="28"/>
                <w:szCs w:val="28"/>
                <w:highlight w:val="none"/>
              </w:rPr>
              <w:t xml:space="preserve">。</w:t>
            </w:r>
            <w:r/>
          </w:p>
        </w:tc>
      </w:tr>
      <w:tr>
        <w:trPr>
          <w:jc w:val="center"/>
          <w:trHeight w:val="90"/>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特别说明</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无</w:t>
            </w:r>
            <w:r/>
          </w:p>
        </w:tc>
      </w:tr>
    </w:tbl>
    <w:p>
      <w:pPr>
        <w:pStyle w:val="856"/>
        <w:ind w:firstLine="0"/>
        <w:spacing w:line="360" w:lineRule="auto"/>
        <w:rPr>
          <w:rFonts w:ascii="楷体" w:hAnsi="楷体" w:eastAsia="楷体" w:cs="楷体"/>
          <w:b/>
          <w:bCs/>
          <w:color w:val="auto"/>
          <w:sz w:val="28"/>
          <w:szCs w:val="28"/>
          <w:highlight w:val="none"/>
        </w:rPr>
      </w:pPr>
      <w:r>
        <w:rPr>
          <w:rFonts w:ascii="楷体" w:hAnsi="楷体" w:eastAsia="楷体" w:cs="楷体"/>
          <w:b/>
          <w:bCs/>
          <w:color w:val="auto"/>
          <w:sz w:val="28"/>
          <w:szCs w:val="28"/>
          <w:highlight w:val="none"/>
        </w:rPr>
      </w:r>
      <w:r/>
    </w:p>
    <w:p>
      <w:pPr>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br w:type="page" w:clear="all"/>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一、总  则</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1．适用范围</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 本招标文件仅适用于丹徒区夜景灯光管护服务项目（2026-2029年）</w:t>
      </w:r>
      <w:r>
        <w:rPr>
          <w:rFonts w:hint="eastAsia" w:ascii="楷体" w:hAnsi="楷体" w:eastAsia="楷体" w:cs="楷体"/>
          <w:color w:val="auto"/>
          <w:sz w:val="28"/>
          <w:szCs w:val="28"/>
          <w:highlight w:val="none"/>
          <w:lang w:val="en-US"/>
        </w:rPr>
        <w:t xml:space="preserve">。</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2．定义</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招标文件中下列术语应解释为：</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2.1 “招标组织方”系指采购代理机构或采购单位，即：建银工程咨询有限责任公司。</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2.2 “投标人”系指响应招标、参加投标竞争的法人、其他组织或者自然人。</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2.3 “采购人”系指依法进行政府采购的国家机关、事业单位、团体组织，即：</w:t>
      </w:r>
      <w:r>
        <w:rPr>
          <w:rFonts w:hint="eastAsia" w:ascii="楷体" w:hAnsi="楷体" w:eastAsia="楷体" w:cs="楷体"/>
          <w:bCs/>
          <w:color w:val="auto"/>
          <w:sz w:val="28"/>
          <w:szCs w:val="28"/>
          <w:highlight w:val="none"/>
          <w:shd w:val="clear" w:color="auto" w:fill="ffffff"/>
        </w:rPr>
        <w:t xml:space="preserve">镇江市丹徒区城市管理局</w:t>
      </w:r>
      <w:r>
        <w:rPr>
          <w:rFonts w:hint="eastAsia" w:ascii="楷体" w:hAnsi="楷体" w:eastAsia="楷体" w:cs="楷体"/>
          <w:color w:val="auto"/>
          <w:sz w:val="28"/>
          <w:szCs w:val="28"/>
          <w:highlight w:val="none"/>
        </w:rPr>
        <w:t xml:space="preserve">。</w:t>
      </w:r>
      <w:r/>
    </w:p>
    <w:p>
      <w:pPr>
        <w:ind w:firstLine="280"/>
        <w:spacing w:line="360" w:lineRule="auto"/>
        <w:rPr>
          <w:rFonts w:ascii="楷体" w:hAnsi="楷体" w:eastAsia="楷体" w:cs="楷体"/>
          <w:color w:val="auto"/>
          <w:sz w:val="28"/>
          <w:szCs w:val="28"/>
          <w:highlight w:val="none"/>
        </w:rPr>
      </w:pPr>
      <w:r/>
      <w:bookmarkStart w:id="27" w:name="EB394d8e23ae1c4ba58d41106e1f258069"/>
      <w:r/>
      <w:bookmarkEnd w:id="27"/>
      <w:r>
        <w:rPr>
          <w:rFonts w:hint="eastAsia" w:ascii="楷体" w:hAnsi="楷体" w:eastAsia="楷体" w:cs="楷体"/>
          <w:color w:val="auto"/>
          <w:sz w:val="28"/>
          <w:szCs w:val="28"/>
          <w:highlight w:val="none"/>
        </w:rPr>
        <w:t xml:space="preserve"> 2.</w:t>
      </w:r>
      <w:r>
        <w:rPr>
          <w:rFonts w:hint="eastAsia" w:ascii="楷体" w:hAnsi="楷体" w:eastAsia="楷体" w:cs="楷体"/>
          <w:color w:val="auto"/>
          <w:sz w:val="28"/>
          <w:szCs w:val="28"/>
          <w:highlight w:val="none"/>
          <w:lang w:val="en-US"/>
        </w:rPr>
        <w:t xml:space="preserve">4 </w:t>
      </w:r>
      <w:r>
        <w:rPr>
          <w:rFonts w:hint="eastAsia" w:ascii="楷体" w:hAnsi="楷体" w:eastAsia="楷体" w:cs="楷体"/>
          <w:color w:val="auto"/>
          <w:sz w:val="28"/>
          <w:szCs w:val="28"/>
          <w:highlight w:val="none"/>
        </w:rPr>
        <w:t xml:space="preserve">“服务”系指本招标文件所述投标人应该履行的承诺和义务，即投标人必须承担丹徒区夜景灯光管护服务项目（2026-2029年）的</w:t>
      </w:r>
      <w:r>
        <w:rPr>
          <w:rFonts w:hint="eastAsia" w:ascii="楷体" w:hAnsi="楷体" w:eastAsia="楷体" w:cs="楷体"/>
          <w:color w:val="auto"/>
          <w:sz w:val="28"/>
          <w:szCs w:val="28"/>
          <w:highlight w:val="none"/>
          <w:lang w:val="en-US"/>
        </w:rPr>
        <w:t xml:space="preserve">管护工作</w:t>
      </w:r>
      <w:r>
        <w:rPr>
          <w:rFonts w:hint="eastAsia" w:ascii="楷体" w:hAnsi="楷体" w:eastAsia="楷体" w:cs="楷体"/>
          <w:color w:val="auto"/>
          <w:sz w:val="28"/>
          <w:szCs w:val="28"/>
          <w:highlight w:val="none"/>
        </w:rPr>
        <w:t xml:space="preserve">以及招标文件中特别描述的其它形式的服务。 </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3．采购方式</w:t>
      </w:r>
      <w:r/>
    </w:p>
    <w:p>
      <w:pPr>
        <w:ind w:firstLine="480"/>
        <w:spacing w:line="360" w:lineRule="auto"/>
        <w:rPr>
          <w:rFonts w:ascii="楷体" w:hAnsi="楷体" w:eastAsia="楷体" w:cs="楷体"/>
          <w:color w:val="auto"/>
          <w:sz w:val="28"/>
          <w:szCs w:val="28"/>
          <w:highlight w:val="none"/>
        </w:rPr>
      </w:pPr>
      <w:r/>
      <w:bookmarkStart w:id="28" w:name="EBe28b21dffc944333b358f50ce01022e1"/>
      <w:r/>
      <w:bookmarkEnd w:id="28"/>
      <w:r>
        <w:rPr>
          <w:rFonts w:hint="eastAsia" w:ascii="楷体" w:hAnsi="楷体" w:eastAsia="楷体" w:cs="楷体"/>
          <w:color w:val="auto"/>
          <w:sz w:val="28"/>
          <w:szCs w:val="28"/>
          <w:highlight w:val="none"/>
        </w:rPr>
        <w:t xml:space="preserve">3.1 本次采购采取公开招标方式：综合评分法。</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3.2 本项目资格审查方式：资格后审。</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3.3 本次采购确定的中标供应商数量：1名。</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4．投标费用</w:t>
      </w:r>
      <w:r/>
    </w:p>
    <w:p>
      <w:pPr>
        <w:ind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4.1 投标人应自行承担所有与参加投标有关的费用</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rPr>
        <w:t xml:space="preserve">本</w:t>
      </w:r>
      <w:r>
        <w:rPr>
          <w:rFonts w:hint="eastAsia" w:ascii="楷体" w:hAnsi="楷体" w:eastAsia="楷体" w:cs="楷体"/>
          <w:color w:val="auto"/>
          <w:sz w:val="28"/>
          <w:szCs w:val="28"/>
          <w:highlight w:val="none"/>
        </w:rPr>
        <w:t xml:space="preserve">项目</w:t>
      </w:r>
      <w:r>
        <w:rPr>
          <w:rFonts w:hint="eastAsia" w:ascii="楷体" w:hAnsi="楷体" w:eastAsia="楷体" w:cs="楷体"/>
          <w:color w:val="auto"/>
          <w:sz w:val="28"/>
          <w:szCs w:val="28"/>
          <w:highlight w:val="none"/>
        </w:rPr>
        <w:t xml:space="preserve">代理服务费</w:t>
      </w:r>
      <w:r>
        <w:rPr>
          <w:rFonts w:hint="eastAsia" w:ascii="楷体" w:hAnsi="楷体" w:eastAsia="楷体" w:cs="楷体"/>
          <w:color w:val="auto"/>
          <w:sz w:val="28"/>
          <w:szCs w:val="28"/>
          <w:highlight w:val="none"/>
        </w:rPr>
        <w:t xml:space="preserve">及</w:t>
      </w:r>
      <w:r>
        <w:rPr>
          <w:rFonts w:hint="eastAsia" w:ascii="楷体" w:hAnsi="楷体" w:eastAsia="楷体" w:cs="楷体"/>
          <w:color w:val="auto"/>
          <w:sz w:val="28"/>
          <w:szCs w:val="28"/>
          <w:highlight w:val="none"/>
        </w:rPr>
        <w:t xml:space="preserve">评审费</w:t>
      </w:r>
      <w:r>
        <w:rPr>
          <w:rFonts w:hint="eastAsia" w:ascii="楷体" w:hAnsi="楷体" w:eastAsia="楷体" w:cs="楷体"/>
          <w:color w:val="auto"/>
          <w:sz w:val="28"/>
          <w:szCs w:val="28"/>
          <w:highlight w:val="none"/>
        </w:rPr>
        <w:t xml:space="preserve">由</w:t>
      </w:r>
      <w:r>
        <w:rPr>
          <w:rFonts w:hint="eastAsia" w:ascii="楷体" w:hAnsi="楷体" w:eastAsia="楷体" w:cs="楷体"/>
          <w:color w:val="auto"/>
          <w:sz w:val="28"/>
          <w:szCs w:val="28"/>
          <w:highlight w:val="none"/>
        </w:rPr>
        <w:t xml:space="preserve">采购人</w:t>
      </w:r>
      <w:r>
        <w:rPr>
          <w:rFonts w:hint="eastAsia" w:ascii="楷体" w:hAnsi="楷体" w:eastAsia="楷体" w:cs="楷体"/>
          <w:color w:val="auto"/>
          <w:sz w:val="28"/>
          <w:szCs w:val="28"/>
          <w:highlight w:val="none"/>
        </w:rPr>
        <w:t xml:space="preserve">支付</w:t>
      </w:r>
      <w:r>
        <w:rPr>
          <w:rFonts w:hint="eastAsia" w:ascii="楷体" w:hAnsi="楷体" w:eastAsia="楷体" w:cs="楷体"/>
          <w:bCs/>
          <w:color w:val="auto"/>
          <w:sz w:val="28"/>
          <w:szCs w:val="28"/>
          <w:highlight w:val="none"/>
        </w:rPr>
        <w:t xml:space="preserve">。</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4.2不论投标的结果如何，采购代理机构在任何情况下均无义务和责任承担上述费用。</w:t>
      </w:r>
      <w:r/>
    </w:p>
    <w:p>
      <w:pPr>
        <w:ind w:firstLine="482"/>
        <w:spacing w:line="360" w:lineRule="auto"/>
        <w:rPr>
          <w:rFonts w:ascii="楷体" w:hAnsi="楷体" w:eastAsia="楷体" w:cs="楷体"/>
          <w:b/>
          <w:bCs/>
          <w:color w:val="auto"/>
          <w:sz w:val="28"/>
          <w:szCs w:val="28"/>
          <w:highlight w:val="none"/>
        </w:rPr>
      </w:pPr>
      <w:r/>
      <w:bookmarkStart w:id="29" w:name="_Toc98669336"/>
      <w:r/>
      <w:bookmarkStart w:id="30" w:name="_Toc20732973"/>
      <w:r/>
      <w:bookmarkStart w:id="31" w:name="_Toc92168005"/>
      <w:r/>
      <w:bookmarkStart w:id="32" w:name="_Toc100386039"/>
      <w:r/>
      <w:bookmarkStart w:id="33" w:name="_Toc98669694"/>
      <w:r>
        <w:rPr>
          <w:rFonts w:hint="eastAsia" w:ascii="楷体" w:hAnsi="楷体" w:eastAsia="楷体" w:cs="楷体"/>
          <w:b/>
          <w:bCs/>
          <w:color w:val="auto"/>
          <w:sz w:val="28"/>
          <w:szCs w:val="28"/>
          <w:highlight w:val="none"/>
        </w:rPr>
        <w:t xml:space="preserve">5．政策功能</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5.1支持中小企业发展</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符合中小企业划分标准的个体工商户，在政府采购活动中视同中小企业。</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5.1.2在政府采购活动中，投标人提供的货物、工程或者服务符合下列情形的，享受中小企业扶持政策：</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5.1.2.1在货物采购项目中，货物由中小企业制造，即货物由中小企业生产且使用该中小企业商号或者注册商标；</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5.1.2.2在工程采购项目中，工程由中小企业承建，即工程施工单位为中小企业；</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5.1.2.3在服务采购项目中，服务由中小企业承接，即提供服务的人员为中小企业依照《中华人民共和国劳动合同法》订立劳动合同的从业人员。</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在货物采购项目中，投标人提供的货物既有中小企业制造货物，也有大型企业制造货物的，不享受中小企业扶持政策。</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34" w:name="_Hlk132637972"/>
      <w:r>
        <w:rPr>
          <w:rFonts w:hint="eastAsia" w:ascii="楷体" w:hAnsi="楷体" w:eastAsia="楷体" w:cs="楷体"/>
          <w:iCs/>
          <w:color w:val="auto"/>
          <w:sz w:val="28"/>
          <w:szCs w:val="28"/>
          <w:highlight w:val="none"/>
        </w:rPr>
        <w:t xml:space="preserve">10%-20%</w:t>
      </w:r>
      <w:bookmarkEnd w:id="34"/>
      <w:r>
        <w:rPr>
          <w:rFonts w:hint="eastAsia" w:ascii="楷体" w:hAnsi="楷体" w:eastAsia="楷体" w:cs="楷体"/>
          <w:color w:val="auto"/>
          <w:sz w:val="28"/>
          <w:szCs w:val="28"/>
          <w:highlight w:val="none"/>
        </w:rPr>
        <w:t xml:space="preserve">的扣除，</w:t>
      </w:r>
      <w:bookmarkStart w:id="35" w:name="_Hlk132637893"/>
      <w:r>
        <w:rPr>
          <w:rFonts w:hint="eastAsia" w:ascii="楷体" w:hAnsi="楷体" w:eastAsia="楷体" w:cs="楷体"/>
          <w:color w:val="auto"/>
          <w:sz w:val="28"/>
          <w:szCs w:val="28"/>
          <w:highlight w:val="none"/>
        </w:rPr>
        <w:t xml:space="preserve">用扣除后的价格参与评审</w:t>
      </w:r>
      <w:bookmarkEnd w:id="35"/>
      <w:r>
        <w:rPr>
          <w:rFonts w:hint="eastAsia" w:ascii="楷体" w:hAnsi="楷体" w:eastAsia="楷体" w:cs="楷体"/>
          <w:color w:val="auto"/>
          <w:sz w:val="28"/>
          <w:szCs w:val="28"/>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楷体" w:hAnsi="楷体" w:eastAsia="楷体" w:cs="楷体"/>
          <w:bCs/>
          <w:color w:val="auto"/>
          <w:sz w:val="28"/>
          <w:szCs w:val="28"/>
          <w:highlight w:val="none"/>
        </w:rPr>
        <w:t xml:space="preserve">约定小型、微型企业的协议合同金额占到合同总金额30%以上的，给予联合体</w:t>
      </w:r>
      <w:r>
        <w:rPr>
          <w:rFonts w:hint="eastAsia" w:ascii="楷体" w:hAnsi="楷体" w:eastAsia="楷体" w:cs="楷体"/>
          <w:bCs/>
          <w:iCs/>
          <w:color w:val="auto"/>
          <w:sz w:val="28"/>
          <w:szCs w:val="28"/>
          <w:highlight w:val="none"/>
        </w:rPr>
        <w:t xml:space="preserve">4%-6%</w:t>
      </w:r>
      <w:r>
        <w:rPr>
          <w:rFonts w:hint="eastAsia" w:ascii="楷体" w:hAnsi="楷体" w:eastAsia="楷体" w:cs="楷体"/>
          <w:bCs/>
          <w:color w:val="auto"/>
          <w:sz w:val="28"/>
          <w:szCs w:val="28"/>
          <w:highlight w:val="none"/>
        </w:rPr>
        <w:t xml:space="preserve">的价格扣除。联合体各方均为小型、微型企业的，联合体视同为小型、微型企业享受</w:t>
      </w:r>
      <w:r>
        <w:rPr>
          <w:rFonts w:hint="eastAsia" w:ascii="楷体" w:hAnsi="楷体" w:eastAsia="楷体" w:cs="楷体"/>
          <w:iCs/>
          <w:color w:val="auto"/>
          <w:sz w:val="28"/>
          <w:szCs w:val="28"/>
          <w:highlight w:val="none"/>
        </w:rPr>
        <w:t xml:space="preserve">10%-20%</w:t>
      </w:r>
      <w:r>
        <w:rPr>
          <w:rFonts w:hint="eastAsia" w:ascii="楷体" w:hAnsi="楷体" w:eastAsia="楷体" w:cs="楷体"/>
          <w:bCs/>
          <w:color w:val="auto"/>
          <w:sz w:val="28"/>
          <w:szCs w:val="28"/>
          <w:highlight w:val="none"/>
        </w:rPr>
        <w:t xml:space="preserve">的价格扣除，</w:t>
      </w:r>
      <w:r>
        <w:rPr>
          <w:rFonts w:hint="eastAsia" w:ascii="楷体" w:hAnsi="楷体" w:eastAsia="楷体" w:cs="楷体"/>
          <w:color w:val="auto"/>
          <w:sz w:val="28"/>
          <w:szCs w:val="28"/>
          <w:highlight w:val="none"/>
        </w:rPr>
        <w:t xml:space="preserve">用扣除后的价格参与评审</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56"/>
        <w:ind w:firstLine="480"/>
        <w:spacing w:line="360" w:lineRule="auto"/>
        <w:rPr>
          <w:rFonts w:ascii="楷体" w:hAnsi="楷体" w:eastAsia="楷体" w:cs="楷体"/>
          <w:bCs/>
          <w:color w:val="auto"/>
          <w:sz w:val="28"/>
          <w:szCs w:val="28"/>
          <w:highlight w:val="none"/>
        </w:rPr>
      </w:pPr>
      <w:r>
        <w:rPr>
          <w:rFonts w:hint="eastAsia" w:ascii="楷体" w:hAnsi="楷体" w:eastAsia="楷体" w:cs="楷体"/>
          <w:color w:val="auto"/>
          <w:sz w:val="28"/>
          <w:szCs w:val="28"/>
          <w:highlight w:val="none"/>
        </w:rPr>
        <w:t xml:space="preserve">5.1.4</w:t>
      </w:r>
      <w:r>
        <w:rPr>
          <w:rFonts w:hint="eastAsia" w:ascii="楷体" w:hAnsi="楷体" w:eastAsia="楷体" w:cs="楷体"/>
          <w:bCs/>
          <w:color w:val="auto"/>
          <w:sz w:val="28"/>
          <w:szCs w:val="28"/>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5.2强制采购信息安全产品</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信息安全产品指国家质检总局国家认监委《信息安全产品强制性认证目录》，并获得强制性产品认证证书的产品。</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5.3支持绿色发展</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w:t>
      </w:r>
      <w:r>
        <w:rPr>
          <w:rFonts w:hint="eastAsia" w:ascii="楷体" w:hAnsi="楷体" w:eastAsia="楷体" w:cs="楷体"/>
          <w:color w:val="auto"/>
          <w:sz w:val="28"/>
          <w:szCs w:val="28"/>
          <w:highlight w:val="none"/>
          <w:lang w:val="en-US"/>
        </w:rPr>
        <w:t xml:space="preserve">投标人</w:t>
      </w:r>
      <w:r>
        <w:rPr>
          <w:rFonts w:hint="eastAsia" w:ascii="楷体" w:hAnsi="楷体" w:eastAsia="楷体" w:cs="楷体"/>
          <w:color w:val="auto"/>
          <w:sz w:val="28"/>
          <w:szCs w:val="28"/>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5.3.2本项目中涉及商品包装和快递包装的，参考《财政部办公厅关于印发《商品包装政府采购需求标准（试行）》、《快递包装政府采购需求标准（试行）》的通知》</w:t>
      </w:r>
      <w:bookmarkStart w:id="36" w:name="_Hlk132634610"/>
      <w:r>
        <w:rPr>
          <w:rFonts w:hint="eastAsia" w:ascii="楷体" w:hAnsi="楷体" w:eastAsia="楷体" w:cs="楷体"/>
          <w:color w:val="auto"/>
          <w:sz w:val="28"/>
          <w:szCs w:val="28"/>
          <w:highlight w:val="none"/>
        </w:rPr>
        <w:t xml:space="preserve">（财办库〔2020〕123号）</w:t>
      </w:r>
      <w:bookmarkEnd w:id="36"/>
      <w:r>
        <w:rPr>
          <w:rFonts w:hint="eastAsia" w:ascii="楷体" w:hAnsi="楷体" w:eastAsia="楷体" w:cs="楷体"/>
          <w:color w:val="auto"/>
          <w:sz w:val="28"/>
          <w:szCs w:val="28"/>
          <w:highlight w:val="none"/>
        </w:rPr>
        <w:t xml:space="preserve">规定的包装需求标准。</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5.3.3纳入政府采购管理的装修、修缮等项目，鼓励参考财政部办公厅 住房城乡建设部办公厅工业和信息化部办公厅关于印发《政府采购支持绿色建材促进建筑品质提升政策项目实施指南》的通知（财办库〔2023〕52号）规定的需</w:t>
      </w:r>
      <w:r>
        <w:rPr>
          <w:rFonts w:hint="eastAsia" w:ascii="楷体" w:hAnsi="楷体" w:eastAsia="楷体" w:cs="楷体"/>
          <w:color w:val="auto"/>
          <w:sz w:val="28"/>
          <w:szCs w:val="28"/>
          <w:highlight w:val="none"/>
          <w:lang w:val="en-US"/>
        </w:rPr>
        <w:t xml:space="preserve">求</w:t>
      </w:r>
      <w:r>
        <w:rPr>
          <w:rFonts w:hint="eastAsia" w:ascii="楷体" w:hAnsi="楷体" w:eastAsia="楷体" w:cs="楷体"/>
          <w:color w:val="auto"/>
          <w:sz w:val="28"/>
          <w:szCs w:val="28"/>
          <w:highlight w:val="none"/>
        </w:rPr>
        <w:t xml:space="preserve">标准。</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5.3.4采购人采购数据中心相关设备、运维服务，按照《绿色数据中心政府采购需求标准（试行）》实施相关采购活动。</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5.4 根据国家扶持中小企业的有关政策，采购项目中标供应商在履约过程中如遇到资金困难，凭政府采购合同在相关金融机构办理授信申请，相关事宜请查阅“江苏政府采购网”网站。</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5.5支持创新发展</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5.5.1采购人优先采购被认定为重点推广应用、首台（套）重大装备、重点领域首版次软件的自主创新产品。</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5.6平等对待内外资企业和符合条件的破产重整企业</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5.6.1平等对待内外资企业和符合条件的破产重整企业，切实保障企业公平竞争，平等维护企业的合法利益。</w:t>
      </w:r>
      <w:bookmarkEnd w:id="29"/>
      <w:r/>
      <w:bookmarkEnd w:id="30"/>
      <w:r/>
      <w:bookmarkEnd w:id="31"/>
      <w:r/>
      <w:bookmarkEnd w:id="32"/>
      <w:r/>
      <w:bookmarkEnd w:id="33"/>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5.7实施本国产品标准及相关政策</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5.7.1认定标准</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本国产品应当符合以下条件：</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（一）在中国境内生产</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产品应当在中国境内生产，即在中华人民共和国关境内实现从原材料、组件到产品的属性改变。</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1.为确保产品在运输或者储存期间保持某种状态而进行的操作；</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2.为产品运输或者销售进行的包装或者展示；</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3.在产品或者其包装上粘贴或者印刷品牌、标志、标识以及其他用于区别的标记；</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4.简单的上漆、磨光和分装；</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5.其他不属于属性改变的情形。</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（二）在中国境内生产的组件成本占比达到规定比例</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产品在中国境内生产的组件成本占比应当达到规定比例，计算公式为：</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mc:AlternateContent>
          <mc:Choice Requires="wpg">
            <w:drawing>
              <wp:inline xmlns:wp="http://schemas.openxmlformats.org/drawingml/2006/wordprocessingDrawing" distT="0" distB="0" distL="0" distR="0">
                <wp:extent cx="4829175" cy="762000"/>
                <wp:effectExtent l="0" t="0" r="9525" b="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7"/>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0.2pt;height:60.0pt;mso-wrap-distance-left:0.0pt;mso-wrap-distance-top:0.0pt;mso-wrap-distance-right:0.0pt;mso-wrap-distance-bottom:0.0pt;" stroked="f" strokeweight="0.75pt">
                <v:path textboxrect="0,0,0,0"/>
                <v:imagedata r:id="rId17" o:title=""/>
              </v:shape>
            </w:pict>
          </mc:Fallback>
        </mc:AlternateConten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（三）特定产品的关键组件、关键工序符合相关要求</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5.7.2适用范围</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5.7.3对本国产品的支持政策</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5.7.4书面澄清、说明或者补正</w:t>
      </w:r>
      <w:r/>
    </w:p>
    <w:p>
      <w:pPr>
        <w:pStyle w:val="856"/>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评审中发现《声明函》内容含义不明确、同类事项与投标（响应）文件表述不一致或者有明显文字错误等情况的，应当以书面形式要求投标人作出必要的澄清、说明或者补正。经澄清、说明或者补正的《声明函》仍然不符合《通知》规定要求的，投标人提供的相关产品视为不符合本国产品标准。</w:t>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二、招标文件</w:t>
      </w:r>
      <w:r/>
    </w:p>
    <w:p>
      <w:pPr>
        <w:ind w:firstLine="482"/>
        <w:spacing w:line="360" w:lineRule="auto"/>
        <w:rPr>
          <w:rFonts w:ascii="楷体" w:hAnsi="楷体" w:eastAsia="楷体" w:cs="楷体"/>
          <w:b/>
          <w:bCs/>
          <w:color w:val="auto"/>
          <w:sz w:val="28"/>
          <w:szCs w:val="28"/>
          <w:highlight w:val="none"/>
        </w:rPr>
      </w:pPr>
      <w:r/>
      <w:bookmarkStart w:id="37" w:name="_Toc98669339"/>
      <w:r/>
      <w:bookmarkStart w:id="38" w:name="_Toc98669697"/>
      <w:r/>
      <w:bookmarkStart w:id="39" w:name="_Toc20732976"/>
      <w:r/>
      <w:bookmarkStart w:id="40" w:name="_Toc92168008"/>
      <w:r/>
      <w:bookmarkStart w:id="41" w:name="_Toc100386042"/>
      <w:r>
        <w:rPr>
          <w:rFonts w:hint="eastAsia" w:ascii="楷体" w:hAnsi="楷体" w:eastAsia="楷体" w:cs="楷体"/>
          <w:b/>
          <w:bCs/>
          <w:color w:val="auto"/>
          <w:sz w:val="28"/>
          <w:szCs w:val="28"/>
          <w:highlight w:val="none"/>
        </w:rPr>
        <w:t xml:space="preserve">6.招标文件组成</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6.1 招标文件包括：</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（1）投标邀请</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（2）投标人须知</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（3）拟签订的合同文本</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（4）采购需求</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（5）评标办法和标准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（6）投标文件（格式）</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6.2 投标人获取本文件后，应认真阅读本文件中所有的事项、格式条款和规范等要求。</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6.3 </w:t>
      </w:r>
      <w:r>
        <w:rPr>
          <w:rFonts w:hint="eastAsia" w:ascii="楷体" w:hAnsi="楷体" w:eastAsia="楷体" w:cs="楷体"/>
          <w:b/>
          <w:color w:val="auto"/>
          <w:sz w:val="28"/>
          <w:szCs w:val="28"/>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8"/>
          <w:szCs w:val="28"/>
          <w:highlight w:val="none"/>
        </w:rPr>
        <w:t xml:space="preserve">。</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7．招标文件的澄清</w:t>
      </w:r>
      <w:bookmarkEnd w:id="37"/>
      <w:r/>
      <w:bookmarkEnd w:id="38"/>
      <w:r/>
      <w:bookmarkEnd w:id="39"/>
      <w:r/>
      <w:bookmarkEnd w:id="40"/>
      <w:r/>
      <w:bookmarkEnd w:id="41"/>
      <w:r/>
      <w:bookmarkStart w:id="42" w:name="_Toc98669698"/>
      <w:r/>
      <w:bookmarkStart w:id="43" w:name="_Toc92168009"/>
      <w:r/>
      <w:bookmarkStart w:id="44" w:name="_Toc20732977"/>
      <w:r/>
      <w:bookmarkStart w:id="45" w:name="_Toc100386043"/>
      <w:r/>
      <w:bookmarkStart w:id="46" w:name="_Toc98669340"/>
      <w:r>
        <w:rPr>
          <w:rFonts w:hint="eastAsia" w:ascii="楷体" w:hAnsi="楷体" w:eastAsia="楷体" w:cs="楷体"/>
          <w:b/>
          <w:bCs/>
          <w:color w:val="auto"/>
          <w:sz w:val="28"/>
          <w:szCs w:val="28"/>
          <w:highlight w:val="none"/>
        </w:rPr>
        <w:t xml:space="preserve">和修改</w:t>
      </w:r>
      <w:bookmarkEnd w:id="42"/>
      <w:r/>
      <w:bookmarkEnd w:id="43"/>
      <w:r/>
      <w:bookmarkEnd w:id="44"/>
      <w:r/>
      <w:bookmarkEnd w:id="45"/>
      <w:r/>
      <w:bookmarkEnd w:id="46"/>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7.1 任何要求对招标文件进行澄清的潜在投标人，应及时联系项目联系人。</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7.2 </w:t>
      </w:r>
      <w:r>
        <w:rPr>
          <w:rFonts w:hint="eastAsia" w:ascii="楷体" w:hAnsi="楷体" w:eastAsia="楷体" w:cs="楷体"/>
          <w:b/>
          <w:color w:val="auto"/>
          <w:sz w:val="28"/>
          <w:szCs w:val="28"/>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7.5 如澄清或修改公告有重新发布招标文件的，投标人应下载最新发布的招标文件制作投标文件。因投标人自身原因未能及时获取的，一切后果由投标人自行承担。</w:t>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三、投标文件</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8.编制投标文件的工具</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8.1 </w:t>
      </w:r>
      <w:r>
        <w:rPr>
          <w:rFonts w:hint="eastAsia" w:ascii="楷体" w:hAnsi="楷体" w:eastAsia="楷体" w:cs="楷体"/>
          <w:color w:val="auto"/>
          <w:spacing w:val="1"/>
          <w:sz w:val="28"/>
          <w:szCs w:val="28"/>
          <w:highlight w:val="none"/>
        </w:rPr>
        <w:t xml:space="preserve">投标人须通过江苏政府采购网提供的最新响应文件制作软件编制磋商响应文件。下载路径：江苏政府采购网—资料下载—《江苏省政府采购交易管理系统（苏采云）供应商操作指南》</w:t>
      </w:r>
      <w:r>
        <w:rPr>
          <w:rFonts w:hint="eastAsia" w:ascii="楷体" w:hAnsi="楷体" w:eastAsia="楷体" w:cs="楷体"/>
          <w:color w:val="auto"/>
          <w:sz w:val="28"/>
          <w:szCs w:val="28"/>
          <w:highlight w:val="none"/>
          <w:lang w:val="en-US"/>
        </w:rPr>
        <w:t xml:space="preserve">。</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9.投标文件语言及度量衡单位</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9.2 投标文件中所使用的计量单位除招标文件中另有特殊规定外，一律使用法定计量单位。</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10.投标文件的构成</w:t>
      </w:r>
      <w:r/>
    </w:p>
    <w:p>
      <w:pPr>
        <w:pStyle w:val="1108"/>
        <w:ind w:firstLine="425"/>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10.1 投标文件分为资格部分、商务部分、技术部分和价格部分。</w:t>
      </w:r>
      <w:r/>
    </w:p>
    <w:p>
      <w:pPr>
        <w:pStyle w:val="1108"/>
        <w:ind w:firstLine="425"/>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10.2 资格部分系指投标人提交的证明其有资格参加投标的文件。</w:t>
      </w:r>
      <w:r/>
    </w:p>
    <w:p>
      <w:pPr>
        <w:pStyle w:val="1108"/>
        <w:ind w:firstLine="425"/>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10.2 商务部分系指投标人提交的证明其中标后有能力履行合同的文件。</w:t>
      </w:r>
      <w:r/>
    </w:p>
    <w:p>
      <w:pPr>
        <w:pStyle w:val="1108"/>
        <w:ind w:firstLine="425"/>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10.3 技术部分系指投标人提交的能够证明投标人提供的货物（服务）符合招标文件规定的文件。</w:t>
      </w:r>
      <w:r/>
    </w:p>
    <w:p>
      <w:pPr>
        <w:pStyle w:val="1108"/>
        <w:ind w:firstLine="425"/>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10.4 具体填写格式详见招标文件第六部分。</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11．投标文件的编制</w:t>
      </w:r>
      <w:r/>
    </w:p>
    <w:p>
      <w:pPr>
        <w:ind w:left="1"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11.2 </w:t>
      </w:r>
      <w:r>
        <w:rPr>
          <w:rFonts w:hint="eastAsia" w:ascii="楷体" w:hAnsi="楷体" w:eastAsia="楷体" w:cs="楷体"/>
          <w:b/>
          <w:color w:val="auto"/>
          <w:sz w:val="28"/>
          <w:szCs w:val="28"/>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11.4 </w:t>
      </w:r>
      <w:r>
        <w:rPr>
          <w:rFonts w:hint="eastAsia" w:ascii="楷体" w:hAnsi="楷体" w:eastAsia="楷体" w:cs="楷体"/>
          <w:b/>
          <w:color w:val="auto"/>
          <w:sz w:val="28"/>
          <w:szCs w:val="28"/>
          <w:highlight w:val="none"/>
        </w:rPr>
        <w:t xml:space="preserve">投标人必须保证投标文件所提供的全部资料合法、真实、可靠。</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rPr>
        <w:t xml:space="preserve">2</w:t>
      </w:r>
      <w:r>
        <w:rPr>
          <w:rFonts w:hint="eastAsia" w:ascii="楷体" w:hAnsi="楷体" w:eastAsia="楷体" w:cs="楷体"/>
          <w:b/>
          <w:bCs/>
          <w:color w:val="auto"/>
          <w:sz w:val="28"/>
          <w:szCs w:val="28"/>
          <w:highlight w:val="none"/>
        </w:rPr>
        <w:t xml:space="preserve">．投标保证金</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.1 本项目不收投标保证金。</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rPr>
        <w:t xml:space="preserve">3</w:t>
      </w:r>
      <w:r>
        <w:rPr>
          <w:rFonts w:hint="eastAsia" w:ascii="楷体" w:hAnsi="楷体" w:eastAsia="楷体" w:cs="楷体"/>
          <w:b/>
          <w:bCs/>
          <w:color w:val="auto"/>
          <w:sz w:val="28"/>
          <w:szCs w:val="28"/>
          <w:highlight w:val="none"/>
        </w:rPr>
        <w:t xml:space="preserve">．投标有效期</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.1 投标有效期为：投标文件自提交投标文件截止时间之日起90天内有效。投标人一旦获取了本招标文件并参加投标，即被认为接受了投标有效期的约定。</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rPr>
        <w:t xml:space="preserve">4</w:t>
      </w:r>
      <w:r>
        <w:rPr>
          <w:rFonts w:hint="eastAsia" w:ascii="楷体" w:hAnsi="楷体" w:eastAsia="楷体" w:cs="楷体"/>
          <w:b/>
          <w:bCs/>
          <w:color w:val="auto"/>
          <w:sz w:val="28"/>
          <w:szCs w:val="28"/>
          <w:highlight w:val="none"/>
        </w:rPr>
        <w:t xml:space="preserve">.投标文件的式样和签署</w:t>
      </w:r>
      <w:r/>
    </w:p>
    <w:p>
      <w:pPr>
        <w:ind w:firstLine="42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.1 投标人应通过响应文件制作软件使用数字认证证书对投标文件进行合成、电子签章及加密打包。</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rPr>
        <w:t xml:space="preserve">5</w:t>
      </w:r>
      <w:r>
        <w:rPr>
          <w:rFonts w:hint="eastAsia" w:ascii="楷体" w:hAnsi="楷体" w:eastAsia="楷体" w:cs="楷体"/>
          <w:b/>
          <w:bCs/>
          <w:color w:val="auto"/>
          <w:sz w:val="28"/>
          <w:szCs w:val="28"/>
          <w:highlight w:val="none"/>
        </w:rPr>
        <w:t xml:space="preserve">．投标文件的提交</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 投标文件提交</w:t>
      </w:r>
      <w:r/>
    </w:p>
    <w:p>
      <w:pPr>
        <w:ind w:left="1" w:firstLine="480"/>
        <w:spacing w:line="360" w:lineRule="auto"/>
        <w:rPr>
          <w:rFonts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8"/>
          <w:szCs w:val="28"/>
          <w:highlight w:val="none"/>
          <w:u w:val="single"/>
        </w:rPr>
        <w:t xml:space="preserve">时间以电子交易平台时间为准。</w:t>
      </w:r>
      <w:r/>
    </w:p>
    <w:p>
      <w:pPr>
        <w:ind w:left="1" w:firstLine="480"/>
        <w:spacing w:line="360" w:lineRule="auto"/>
        <w:rPr>
          <w:rFonts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.1.2 </w:t>
      </w:r>
      <w:r>
        <w:rPr>
          <w:rFonts w:hint="eastAsia" w:ascii="楷体" w:hAnsi="楷体" w:eastAsia="楷体" w:cs="楷体"/>
          <w:b/>
          <w:color w:val="auto"/>
          <w:sz w:val="28"/>
          <w:szCs w:val="28"/>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.1.3 </w:t>
      </w:r>
      <w:r>
        <w:rPr>
          <w:rFonts w:hint="eastAsia" w:ascii="楷体" w:hAnsi="楷体" w:eastAsia="楷体" w:cs="楷体"/>
          <w:b/>
          <w:color w:val="auto"/>
          <w:sz w:val="28"/>
          <w:szCs w:val="28"/>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.1.4</w:t>
      </w:r>
      <w:r>
        <w:rPr>
          <w:rFonts w:hint="eastAsia" w:ascii="楷体" w:hAnsi="楷体" w:eastAsia="楷体" w:cs="楷体"/>
          <w:b/>
          <w:color w:val="auto"/>
          <w:sz w:val="28"/>
          <w:szCs w:val="28"/>
          <w:highlight w:val="none"/>
          <w:u w:val="single"/>
        </w:rPr>
        <w:t xml:space="preserve">提交完成后至解密前，投标人不能对加密投标文件时所使用的数字认证证书进行更新、续费，否则可能引起的投标文件解密失败等相关后果由投标人自行承担。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.1.5因不可抗力事件造成的投标文件的损坏、丢失的，采购代理机构不承担责任。</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rPr>
        <w:t xml:space="preserve">6</w:t>
      </w:r>
      <w:r>
        <w:rPr>
          <w:rFonts w:hint="eastAsia" w:ascii="楷体" w:hAnsi="楷体" w:eastAsia="楷体" w:cs="楷体"/>
          <w:b/>
          <w:bCs/>
          <w:color w:val="auto"/>
          <w:sz w:val="28"/>
          <w:szCs w:val="28"/>
          <w:highlight w:val="none"/>
        </w:rPr>
        <w:t xml:space="preserve">．投标文件的补充、修改或者撤回</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.1 在提交截止时间前，投标人可以对所提交的投标文件进行补充、修改或者撤回。</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.2 投标人在提交截止时间前需要对投标文件进行补充、修改的，应当使用响应文件制作软件重新制作并提交。</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.3 在提交截止时间之后，投标人不得对其投标文件作任何修改或撤回。</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.4 在提交截止时间至招标文件中规定的投标有效期满之间，投标人不得撤回其投标。</w:t>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四、开标及评标</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rPr>
        <w:t xml:space="preserve">7</w:t>
      </w:r>
      <w:r>
        <w:rPr>
          <w:rFonts w:hint="eastAsia" w:ascii="楷体" w:hAnsi="楷体" w:eastAsia="楷体" w:cs="楷体"/>
          <w:b/>
          <w:bCs/>
          <w:color w:val="auto"/>
          <w:sz w:val="28"/>
          <w:szCs w:val="28"/>
          <w:highlight w:val="none"/>
        </w:rPr>
        <w:t xml:space="preserve">．开标</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.1 采购代理机构将按招标文件规定的时间、地点主持开标。</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.2 投标人应当在开标前做好充分准备，使用制作该投标文件的同一数字认证证书准时参加开标。</w:t>
      </w:r>
      <w:r/>
    </w:p>
    <w:p>
      <w:pPr>
        <w:ind w:left="1" w:firstLine="482"/>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w:t>
      </w:r>
      <w:r>
        <w:rPr>
          <w:rFonts w:hint="eastAsia" w:ascii="楷体" w:hAnsi="楷体" w:eastAsia="楷体" w:cs="楷体"/>
          <w:b/>
          <w:color w:val="auto"/>
          <w:sz w:val="28"/>
          <w:szCs w:val="28"/>
          <w:highlight w:val="none"/>
          <w:lang w:val="en-US"/>
        </w:rPr>
        <w:t xml:space="preserve">7</w:t>
      </w:r>
      <w:r>
        <w:rPr>
          <w:rFonts w:hint="eastAsia" w:ascii="楷体" w:hAnsi="楷体" w:eastAsia="楷体" w:cs="楷体"/>
          <w:b/>
          <w:color w:val="auto"/>
          <w:sz w:val="28"/>
          <w:szCs w:val="28"/>
          <w:highlight w:val="none"/>
        </w:rPr>
        <w:t xml:space="preserve">.3 投标人不足3家，不进入解密程序。</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.4 开标时，采购代理机构将在系统内发出解密的指令，投标人自行实施解密，限定在主持人发布解密指令后</w:t>
      </w:r>
      <w:r>
        <w:rPr>
          <w:rFonts w:hint="eastAsia" w:ascii="楷体" w:hAnsi="楷体" w:eastAsia="楷体" w:cs="楷体"/>
          <w:color w:val="auto"/>
          <w:sz w:val="28"/>
          <w:szCs w:val="28"/>
          <w:highlight w:val="none"/>
          <w:u w:val="single"/>
          <w:lang w:val="en-US"/>
        </w:rPr>
        <w:t xml:space="preserve">30</w:t>
      </w:r>
      <w:r>
        <w:rPr>
          <w:rFonts w:hint="eastAsia" w:ascii="楷体" w:hAnsi="楷体" w:eastAsia="楷体" w:cs="楷体"/>
          <w:color w:val="auto"/>
          <w:sz w:val="28"/>
          <w:szCs w:val="28"/>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8"/>
          <w:szCs w:val="28"/>
          <w:highlight w:val="none"/>
        </w:rPr>
        <w:t xml:space="preserve">若解密成功的投标人不足三家，不进入后续程序。</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.6本项目在限定的解密时间内，只要有任一家投标人解密成功，即视为电子交易平台运行无故障。</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.7 电子投标文件解密全部完成后，按</w:t>
      </w:r>
      <w:r>
        <w:rPr>
          <w:rFonts w:hint="eastAsia" w:ascii="楷体" w:hAnsi="楷体" w:eastAsia="楷体" w:cs="楷体"/>
          <w:b/>
          <w:color w:val="auto"/>
          <w:sz w:val="28"/>
          <w:szCs w:val="28"/>
          <w:highlight w:val="none"/>
        </w:rPr>
        <w:t xml:space="preserve">投标文件解密成功顺序</w:t>
      </w:r>
      <w:r>
        <w:rPr>
          <w:rFonts w:hint="eastAsia" w:ascii="楷体" w:hAnsi="楷体" w:eastAsia="楷体" w:cs="楷体"/>
          <w:color w:val="auto"/>
          <w:sz w:val="28"/>
          <w:szCs w:val="28"/>
          <w:highlight w:val="none"/>
        </w:rPr>
        <w:t xml:space="preserve">向所有投标人宣布投标人名称、投标价格以及招标文件规定的其他内容。</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.8 电子交易平台自动记录开标过程，由参加开标的各投标人代表和相关工作人员确认开标结果。</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.10 投标人须配合开标工作，否则一切后果由投标人自行承担。</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rPr>
        <w:t xml:space="preserve">8</w:t>
      </w:r>
      <w:r>
        <w:rPr>
          <w:rFonts w:hint="eastAsia" w:ascii="楷体" w:hAnsi="楷体" w:eastAsia="楷体" w:cs="楷体"/>
          <w:b/>
          <w:bCs/>
          <w:color w:val="auto"/>
          <w:sz w:val="28"/>
          <w:szCs w:val="28"/>
          <w:highlight w:val="none"/>
        </w:rPr>
        <w:t xml:space="preserve">.投标人资格审查</w:t>
      </w:r>
      <w:r/>
    </w:p>
    <w:p>
      <w:pPr>
        <w:pStyle w:val="856"/>
        <w:ind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.1 开标结束后，采购人或者采购代理机构将依法对投标人的资格进行审查。</w:t>
      </w:r>
      <w:r>
        <w:rPr>
          <w:rFonts w:hint="eastAsia" w:ascii="楷体" w:hAnsi="楷体" w:eastAsia="楷体" w:cs="楷体"/>
          <w:b/>
          <w:color w:val="auto"/>
          <w:sz w:val="28"/>
          <w:szCs w:val="28"/>
          <w:highlight w:val="none"/>
        </w:rPr>
        <w:t xml:space="preserve">合格投标人不足3家的，不进入后续程序。</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19</w:t>
      </w:r>
      <w:r>
        <w:rPr>
          <w:rFonts w:hint="eastAsia" w:ascii="楷体" w:hAnsi="楷体" w:eastAsia="楷体" w:cs="楷体"/>
          <w:b/>
          <w:bCs/>
          <w:color w:val="auto"/>
          <w:sz w:val="28"/>
          <w:szCs w:val="28"/>
          <w:highlight w:val="none"/>
        </w:rPr>
        <w:t xml:space="preserve">．评标委员会组成</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.1 评标委员会由采购人代表和评审专家组成，成员人数应当为5人及以上单数，其中评审专家不得少于成员总数的三分之二。</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采购项目符合下列情形之一的，评标委员会成员人数应当为7人及以上单数：</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（一）采购预算金额在1000万元以上；</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（二）技术复杂；</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（三）社会影响较大。</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评标委员会成员名单在评标结果公告前应当保密。</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0</w:t>
      </w:r>
      <w:r>
        <w:rPr>
          <w:rFonts w:hint="eastAsia" w:ascii="楷体" w:hAnsi="楷体" w:eastAsia="楷体" w:cs="楷体"/>
          <w:b/>
          <w:bCs/>
          <w:color w:val="auto"/>
          <w:sz w:val="28"/>
          <w:szCs w:val="28"/>
          <w:highlight w:val="none"/>
        </w:rPr>
        <w:t xml:space="preserve">.投标人符合性审查</w:t>
      </w:r>
      <w:r/>
    </w:p>
    <w:p>
      <w:pPr>
        <w:pStyle w:val="856"/>
        <w:ind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0</w:t>
      </w:r>
      <w:r>
        <w:rPr>
          <w:rFonts w:hint="eastAsia" w:ascii="楷体" w:hAnsi="楷体" w:eastAsia="楷体" w:cs="楷体"/>
          <w:color w:val="auto"/>
          <w:sz w:val="28"/>
          <w:szCs w:val="28"/>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8"/>
          <w:szCs w:val="28"/>
          <w:highlight w:val="none"/>
        </w:rPr>
        <w:t xml:space="preserve">符合性审查合格投标人不足3家的，不进入详细评审环节。</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0</w:t>
      </w:r>
      <w:r>
        <w:rPr>
          <w:rFonts w:hint="eastAsia" w:ascii="楷体" w:hAnsi="楷体" w:eastAsia="楷体" w:cs="楷体"/>
          <w:color w:val="auto"/>
          <w:sz w:val="28"/>
          <w:szCs w:val="28"/>
          <w:highlight w:val="none"/>
        </w:rPr>
        <w:t xml:space="preserve">.2 投标文件澄清</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0</w:t>
      </w:r>
      <w:r>
        <w:rPr>
          <w:rFonts w:hint="eastAsia" w:ascii="楷体" w:hAnsi="楷体" w:eastAsia="楷体" w:cs="楷体"/>
          <w:color w:val="auto"/>
          <w:sz w:val="28"/>
          <w:szCs w:val="28"/>
          <w:highlight w:val="none"/>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0</w:t>
      </w:r>
      <w:r>
        <w:rPr>
          <w:rFonts w:hint="eastAsia" w:ascii="楷体" w:hAnsi="楷体" w:eastAsia="楷体" w:cs="楷体"/>
          <w:color w:val="auto"/>
          <w:sz w:val="28"/>
          <w:szCs w:val="28"/>
          <w:highlight w:val="none"/>
        </w:rPr>
        <w:t xml:space="preserve">.2.2投标人的澄清应登录电子交易平台进入“澄清事项”模块进行。</w:t>
      </w:r>
      <w:r/>
    </w:p>
    <w:p>
      <w:pPr>
        <w:ind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0</w:t>
      </w:r>
      <w:r>
        <w:rPr>
          <w:rFonts w:hint="eastAsia" w:ascii="楷体" w:hAnsi="楷体" w:eastAsia="楷体" w:cs="楷体"/>
          <w:color w:val="auto"/>
          <w:sz w:val="28"/>
          <w:szCs w:val="28"/>
          <w:highlight w:val="none"/>
        </w:rPr>
        <w:t xml:space="preserve">.3 开标至评标结束期间，投标人应保持系统在线，如因</w:t>
      </w:r>
      <w:r>
        <w:rPr>
          <w:rFonts w:hint="eastAsia" w:ascii="楷体" w:hAnsi="楷体" w:eastAsia="楷体" w:cs="楷体"/>
          <w:b/>
          <w:bCs/>
          <w:color w:val="auto"/>
          <w:sz w:val="28"/>
          <w:szCs w:val="28"/>
          <w:highlight w:val="none"/>
        </w:rPr>
        <w:t xml:space="preserve">投标人自身原因</w:t>
      </w:r>
      <w:r>
        <w:rPr>
          <w:rFonts w:hint="eastAsia" w:ascii="楷体" w:hAnsi="楷体" w:eastAsia="楷体" w:cs="楷体"/>
          <w:b/>
          <w:color w:val="auto"/>
          <w:sz w:val="28"/>
          <w:szCs w:val="28"/>
          <w:highlight w:val="none"/>
        </w:rPr>
        <w:t xml:space="preserve">未在规定时间内按评标委员会要求进行澄清、说明或者补正的，一切后果由投标人自行承担。</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1</w:t>
      </w:r>
      <w:r>
        <w:rPr>
          <w:rFonts w:hint="eastAsia" w:ascii="楷体" w:hAnsi="楷体" w:eastAsia="楷体" w:cs="楷体"/>
          <w:b/>
          <w:bCs/>
          <w:color w:val="auto"/>
          <w:sz w:val="28"/>
          <w:szCs w:val="28"/>
          <w:highlight w:val="none"/>
        </w:rPr>
        <w:t xml:space="preserve">．无效投标的情形</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.1 投标人存在下列情况之一的，其投标无效：　</w:t>
      </w:r>
      <w:r/>
    </w:p>
    <w:p>
      <w:pPr>
        <w:ind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（1）投标文件未按招标文件要求进行有效签章的；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（2）报价超过招标文件中规定的预算金额或最高限价的；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（4）投标文件含有采购人不能接受的附加条件的;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（6）投标人对根据修正原则修正后的报价不确认的；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（7）投标文件中提供了虚假或失实资料的；</w:t>
      </w:r>
      <w:r/>
    </w:p>
    <w:p>
      <w:pPr>
        <w:ind w:left="1" w:firstLine="482"/>
        <w:spacing w:line="360" w:lineRule="auto"/>
        <w:rPr>
          <w:rFonts w:ascii="楷体" w:hAnsi="楷体" w:eastAsia="楷体" w:cs="楷体"/>
          <w:b/>
          <w:bCs/>
          <w:color w:val="auto"/>
          <w:sz w:val="28"/>
          <w:szCs w:val="28"/>
          <w:highlight w:val="none"/>
          <w:u w:val="single"/>
        </w:rPr>
      </w:pPr>
      <w:r>
        <w:rPr>
          <w:rFonts w:hint="eastAsia" w:ascii="楷体" w:hAnsi="楷体" w:eastAsia="楷体" w:cs="楷体"/>
          <w:b/>
          <w:bCs/>
          <w:color w:val="auto"/>
          <w:sz w:val="28"/>
          <w:szCs w:val="28"/>
          <w:highlight w:val="none"/>
          <w:u w:val="single"/>
        </w:rPr>
        <w:t xml:space="preserve">（8）不同投标人的电子投标文件出自同一台电脑；</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（9）投标人存在串通投标情形的；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（10）为本项目提供整体设计、规范编制或者项目管理、监理、检测等服务的；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（11）不同投标人的法定代表人或单位负责人为同一个人或者存在直接控股、管理关系的；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（12）投标文件不满足招标文件的其它实质性要求的；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（13）法律、法规、规章（适用本市的）及省级以上规范性文件（适用本市的）规定的其他无效情形。</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2</w:t>
      </w:r>
      <w:r>
        <w:rPr>
          <w:rFonts w:hint="eastAsia" w:ascii="楷体" w:hAnsi="楷体" w:eastAsia="楷体" w:cs="楷体"/>
          <w:b/>
          <w:bCs/>
          <w:color w:val="auto"/>
          <w:sz w:val="28"/>
          <w:szCs w:val="28"/>
          <w:highlight w:val="none"/>
        </w:rPr>
        <w:t xml:space="preserve">. 串通投标的情形</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.1 有下列情形之一的，视为投标人串通投标，投标无效：</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（1）不同投标人的投标文件由同一单位或者个人编制； </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（2）不同投标人委托同一单位或者个人办理投标事宜；</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（3）不同投标人的投标文件载明的项目管理成员或者联系人员为同一人；</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（4）不同投标人的投标文件异常一致或者投标报价呈规律性差异；</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（5）不同投标人的投标文件相互混装。</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3</w:t>
      </w:r>
      <w:r>
        <w:rPr>
          <w:rFonts w:hint="eastAsia" w:ascii="楷体" w:hAnsi="楷体" w:eastAsia="楷体" w:cs="楷体"/>
          <w:b/>
          <w:bCs/>
          <w:color w:val="auto"/>
          <w:sz w:val="28"/>
          <w:szCs w:val="28"/>
          <w:highlight w:val="none"/>
        </w:rPr>
        <w:t xml:space="preserve">.投标文件详细评审</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.1 评标委员会将按照招标文件第五部分“评标办法和标准”第8项规定，对符合性审查合格的投标文件进行商务、技术和价格评估，综合比较与评价。</w:t>
      </w:r>
      <w:r/>
    </w:p>
    <w:p>
      <w:pPr>
        <w:pStyle w:val="856"/>
        <w:ind w:firstLine="480"/>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23.2</w:t>
      </w:r>
      <w:r>
        <w:rPr>
          <w:rFonts w:hint="eastAsia" w:ascii="楷体" w:hAnsi="楷体" w:eastAsia="楷体" w:cs="楷体"/>
          <w:b/>
          <w:bCs/>
          <w:color w:val="auto"/>
          <w:sz w:val="28"/>
          <w:szCs w:val="28"/>
          <w:highlight w:val="none"/>
        </w:rPr>
        <w:t xml:space="preserve">异常低价投标（响应）的审查</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lang w:val="en-US"/>
        </w:rPr>
        <w:t xml:space="preserve">23.2.1</w:t>
      </w:r>
      <w:r>
        <w:rPr>
          <w:rFonts w:hint="eastAsia" w:ascii="楷体" w:hAnsi="楷体" w:eastAsia="楷体" w:cs="楷体"/>
          <w:color w:val="auto"/>
          <w:sz w:val="24"/>
          <w:highlight w:val="none"/>
        </w:rPr>
        <w:t xml:space="preserve">根据苏财购﹝2025﹞62号《关于推动解决政府采购异常低价问题相关工作的通知》，</w:t>
      </w:r>
      <w:r>
        <w:rPr>
          <w:rFonts w:ascii="楷体" w:hAnsi="楷体" w:eastAsia="楷体" w:cs="楷体"/>
          <w:color w:val="auto"/>
          <w:sz w:val="24"/>
          <w:highlight w:val="none"/>
        </w:rPr>
        <w:t xml:space="preserve">评审过程中</w:t>
      </w:r>
      <w:r>
        <w:rPr>
          <w:rFonts w:hint="eastAsia" w:ascii="楷体" w:hAnsi="楷体" w:eastAsia="楷体" w:cs="楷体"/>
          <w:color w:val="auto"/>
          <w:sz w:val="24"/>
          <w:highlight w:val="none"/>
        </w:rPr>
        <w:t xml:space="preserve">任意一轮报价</w:t>
      </w:r>
      <w:r>
        <w:rPr>
          <w:rFonts w:ascii="楷体" w:hAnsi="楷体" w:eastAsia="楷体" w:cs="楷体"/>
          <w:color w:val="auto"/>
          <w:sz w:val="24"/>
          <w:highlight w:val="none"/>
        </w:rPr>
        <w:t xml:space="preserve">出现下列情形之一的，评审委员会应当启动异常低价投标(响应)审查程序:</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A</w:t>
      </w:r>
      <w:r>
        <w:rPr>
          <w:rFonts w:ascii="楷体" w:hAnsi="楷体" w:eastAsia="楷体" w:cs="楷体"/>
          <w:color w:val="auto"/>
          <w:sz w:val="24"/>
          <w:highlight w:val="none"/>
        </w:rPr>
        <w:t xml:space="preserve">.投标(响应)报价低于采购项目预算50%的，即投标(响应)报价&lt;采购项目预算x50%;</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B</w:t>
      </w:r>
      <w:r>
        <w:rPr>
          <w:rFonts w:ascii="楷体" w:hAnsi="楷体" w:eastAsia="楷体" w:cs="楷体"/>
          <w:color w:val="auto"/>
          <w:sz w:val="24"/>
          <w:highlight w:val="none"/>
        </w:rPr>
        <w:t xml:space="preserve">.投标(响应)报价低于采购项目最高限价45%的，即投标(响应)报价&lt;采购项目最高限价x45%;</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C</w:t>
      </w:r>
      <w:r>
        <w:rPr>
          <w:rFonts w:ascii="楷体" w:hAnsi="楷体" w:eastAsia="楷体" w:cs="楷体"/>
          <w:color w:val="auto"/>
          <w:sz w:val="24"/>
          <w:highlight w:val="none"/>
        </w:rPr>
        <w:t xml:space="preserve">.评审委员会认定的供应商报价过低、有可能影响产品质量或者不能诚信履约的其他情形。</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lang w:val="en-US"/>
        </w:rPr>
        <w:t xml:space="preserve">23.2.2</w:t>
      </w:r>
      <w:r>
        <w:rPr>
          <w:rFonts w:ascii="楷体" w:hAnsi="楷体" w:eastAsia="楷体" w:cs="楷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4</w:t>
      </w:r>
      <w:r>
        <w:rPr>
          <w:rFonts w:hint="eastAsia" w:ascii="楷体" w:hAnsi="楷体" w:eastAsia="楷体" w:cs="楷体"/>
          <w:b/>
          <w:bCs/>
          <w:color w:val="auto"/>
          <w:sz w:val="28"/>
          <w:szCs w:val="28"/>
          <w:highlight w:val="none"/>
        </w:rPr>
        <w:t xml:space="preserve">.评标过程的保密</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.2 </w:t>
      </w:r>
      <w:r>
        <w:rPr>
          <w:rFonts w:hint="eastAsia" w:ascii="楷体" w:hAnsi="楷体" w:eastAsia="楷体" w:cs="楷体"/>
          <w:b/>
          <w:color w:val="auto"/>
          <w:sz w:val="28"/>
          <w:szCs w:val="28"/>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5</w:t>
      </w:r>
      <w:r>
        <w:rPr>
          <w:rFonts w:hint="eastAsia" w:ascii="楷体" w:hAnsi="楷体" w:eastAsia="楷体" w:cs="楷体"/>
          <w:b/>
          <w:bCs/>
          <w:color w:val="auto"/>
          <w:sz w:val="28"/>
          <w:szCs w:val="28"/>
          <w:highlight w:val="none"/>
        </w:rPr>
        <w:t xml:space="preserve">．废标的情形</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 出现下列情形之一的，将予废标：</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（1）符合专业条件的投标人或者对招标文件作实质响应的投标人不足三家的；  </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（2）出现影响采购公正的违法、违规行为的；  </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（3）投标人的报价均超过了采购预算，采购人不能支付的；</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（4）因重大变故，采购任务取消的； </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废标后，采购人应当将废标理由通知所有投标人。</w:t>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五、确定结果</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6</w:t>
      </w:r>
      <w:r>
        <w:rPr>
          <w:rFonts w:hint="eastAsia" w:ascii="楷体" w:hAnsi="楷体" w:eastAsia="楷体" w:cs="楷体"/>
          <w:b/>
          <w:bCs/>
          <w:color w:val="auto"/>
          <w:sz w:val="28"/>
          <w:szCs w:val="28"/>
          <w:highlight w:val="none"/>
        </w:rPr>
        <w:t xml:space="preserve">.确定中标供应商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.1采购代理机构在评标结束后2个工作日内将评标报告送采购人。</w:t>
      </w:r>
      <w:r/>
    </w:p>
    <w:p>
      <w:pPr>
        <w:ind w:firstLine="480"/>
        <w:spacing w:line="360" w:lineRule="auto"/>
        <w:rPr>
          <w:rFonts w:ascii="楷体" w:hAnsi="楷体" w:eastAsia="楷体" w:cs="楷体"/>
          <w:color w:val="auto"/>
          <w:sz w:val="28"/>
          <w:szCs w:val="28"/>
          <w:highlight w:val="none"/>
        </w:rPr>
      </w:pPr>
      <w:r/>
      <w:bookmarkStart w:id="47" w:name="_Hlk132702541"/>
      <w:r/>
      <w:bookmarkStart w:id="48" w:name="_Hlk132702790"/>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w:t>
      </w:r>
      <w:bookmarkEnd w:id="47"/>
      <w:r>
        <w:rPr>
          <w:rFonts w:hint="eastAsia" w:ascii="楷体" w:hAnsi="楷体" w:eastAsia="楷体" w:cs="楷体"/>
          <w:color w:val="auto"/>
          <w:sz w:val="28"/>
          <w:szCs w:val="28"/>
          <w:highlight w:val="none"/>
        </w:rPr>
        <w:t xml:space="preserve">2</w:t>
      </w:r>
      <w:bookmarkEnd w:id="48"/>
      <w:r>
        <w:rPr>
          <w:rFonts w:hint="eastAsia" w:ascii="楷体" w:hAnsi="楷体" w:eastAsia="楷体" w:cs="楷体"/>
          <w:color w:val="auto"/>
          <w:sz w:val="28"/>
          <w:szCs w:val="28"/>
          <w:highlight w:val="none"/>
        </w:rPr>
        <w:t xml:space="preserve">采购人自收到评标报告之日起5个工作日内，在评标报告确定的中标候选人名单中按顺序确定中标供应商。中标候选人并列的，按《政府采购货物和服务招标投标管理办法》（财政部87号令）相关规定执行。</w:t>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六、授予合同</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7</w:t>
      </w:r>
      <w:r>
        <w:rPr>
          <w:rFonts w:hint="eastAsia" w:ascii="楷体" w:hAnsi="楷体" w:eastAsia="楷体" w:cs="楷体"/>
          <w:b/>
          <w:bCs/>
          <w:color w:val="auto"/>
          <w:sz w:val="28"/>
          <w:szCs w:val="28"/>
          <w:highlight w:val="none"/>
        </w:rPr>
        <w:t xml:space="preserve">．中标通知书</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.1 自中标供应商确定之日起2个工作日内，采购代理机构向中标供应商发出中标通知书，同时编制发布采购结果公告。</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.2中标通知书发出后，采购人不得违法改变中标结果，中标供应商无正当理由不得放弃中标。</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8</w:t>
      </w:r>
      <w:r>
        <w:rPr>
          <w:rFonts w:hint="eastAsia" w:ascii="楷体" w:hAnsi="楷体" w:eastAsia="楷体" w:cs="楷体"/>
          <w:b/>
          <w:bCs/>
          <w:color w:val="auto"/>
          <w:sz w:val="28"/>
          <w:szCs w:val="28"/>
          <w:highlight w:val="none"/>
        </w:rPr>
        <w:t xml:space="preserve">.履约保证金</w:t>
      </w:r>
      <w:r/>
    </w:p>
    <w:p>
      <w:pPr>
        <w:pStyle w:val="856"/>
        <w:ind w:firstLine="480"/>
        <w:spacing w:line="360" w:lineRule="auto"/>
        <w:rPr>
          <w:rFonts w:ascii="楷体" w:hAnsi="楷体" w:eastAsia="楷体" w:cs="楷体"/>
          <w:color w:val="auto"/>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.1 A ☑本项目不收取履约保证金。</w:t>
      </w:r>
      <w:r/>
    </w:p>
    <w:p>
      <w:pPr>
        <w:pStyle w:val="1099"/>
        <w:ind w:left="0"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B□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29</w:t>
      </w:r>
      <w:r>
        <w:rPr>
          <w:rFonts w:hint="eastAsia" w:ascii="楷体" w:hAnsi="楷体" w:eastAsia="楷体" w:cs="楷体"/>
          <w:b/>
          <w:bCs/>
          <w:color w:val="auto"/>
          <w:sz w:val="28"/>
          <w:szCs w:val="28"/>
          <w:highlight w:val="none"/>
        </w:rPr>
        <w:t xml:space="preserve">．签订合同</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29</w:t>
      </w:r>
      <w:r>
        <w:rPr>
          <w:rFonts w:hint="eastAsia" w:ascii="楷体" w:hAnsi="楷体" w:eastAsia="楷体" w:cs="楷体"/>
          <w:color w:val="auto"/>
          <w:sz w:val="28"/>
          <w:szCs w:val="28"/>
          <w:highlight w:val="none"/>
        </w:rPr>
        <w:t xml:space="preserve">.1 采购人应当自中标通知书发出之日起</w:t>
      </w:r>
      <w:r>
        <w:rPr>
          <w:rFonts w:hint="eastAsia" w:ascii="楷体" w:hAnsi="楷体" w:eastAsia="楷体" w:cs="楷体"/>
          <w:color w:val="auto"/>
          <w:sz w:val="28"/>
          <w:szCs w:val="28"/>
          <w:highlight w:val="none"/>
          <w:u w:val="single"/>
        </w:rPr>
        <w:t xml:space="preserve">15</w:t>
      </w:r>
      <w:r>
        <w:rPr>
          <w:rFonts w:hint="eastAsia" w:ascii="楷体" w:hAnsi="楷体" w:eastAsia="楷体" w:cs="楷体"/>
          <w:color w:val="auto"/>
          <w:sz w:val="28"/>
          <w:szCs w:val="28"/>
          <w:highlight w:val="none"/>
        </w:rPr>
        <w:t xml:space="preserve">日内，按照招标文件和中标供应商投标文件的规定，与中标供应商签订书面合同。所签订的合同不得对招标文件确定的事项和中标供应商投标文件作实质性修改。采购人不得向中标供应商提出任何不合理的要求作为签订合同的条件。招标文件、中标供应商的投标文件、澄清文件、中标通知书，均为签订合同的依据。</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29</w:t>
      </w:r>
      <w:r>
        <w:rPr>
          <w:rFonts w:hint="eastAsia" w:ascii="楷体" w:hAnsi="楷体" w:eastAsia="楷体" w:cs="楷体"/>
          <w:color w:val="auto"/>
          <w:sz w:val="28"/>
          <w:szCs w:val="28"/>
          <w:highlight w:val="none"/>
        </w:rPr>
        <w:t xml:space="preserve">.2中标供应商拒绝与采购人签订合同的，采购人可以按照评审报告推荐的中标供应商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29</w:t>
      </w:r>
      <w:r>
        <w:rPr>
          <w:rFonts w:hint="eastAsia" w:ascii="楷体" w:hAnsi="楷体" w:eastAsia="楷体" w:cs="楷体"/>
          <w:color w:val="auto"/>
          <w:sz w:val="28"/>
          <w:szCs w:val="28"/>
          <w:highlight w:val="none"/>
        </w:rPr>
        <w:t xml:space="preserve">.3 政府采购合同应当包括采购人与中标供应商的名称和住所、标的、数量、质量、价款或者报酬、履行期限及地点和方式、验收要求、违约责任、解决争议的方法等内容。</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29</w:t>
      </w:r>
      <w:r>
        <w:rPr>
          <w:rFonts w:hint="eastAsia" w:ascii="楷体" w:hAnsi="楷体" w:eastAsia="楷体" w:cs="楷体"/>
          <w:color w:val="auto"/>
          <w:sz w:val="28"/>
          <w:szCs w:val="28"/>
          <w:highlight w:val="none"/>
        </w:rPr>
        <w:t xml:space="preserve">.4采购人应当自采购合同签订之日起2个工作日内，将政府采购合同在政府采购指定媒体予以公告。</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29</w:t>
      </w:r>
      <w:r>
        <w:rPr>
          <w:rFonts w:hint="eastAsia" w:ascii="楷体" w:hAnsi="楷体" w:eastAsia="楷体" w:cs="楷体"/>
          <w:color w:val="auto"/>
          <w:sz w:val="28"/>
          <w:szCs w:val="28"/>
          <w:highlight w:val="none"/>
        </w:rPr>
        <w:t xml:space="preserve">.5合同履行中，采购人需追加与合同标的相同的货物或者服务时，在不改变合同其他条款的前提下，可以与中标供应商协商签订补充合同，但所有补充合同的采购金额不得超过原合同采购金额的百分之十。</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29</w:t>
      </w:r>
      <w:r>
        <w:rPr>
          <w:rFonts w:hint="eastAsia" w:ascii="楷体" w:hAnsi="楷体" w:eastAsia="楷体" w:cs="楷体"/>
          <w:color w:val="auto"/>
          <w:sz w:val="28"/>
          <w:szCs w:val="28"/>
          <w:highlight w:val="none"/>
        </w:rPr>
        <w:t xml:space="preserve">.6采购人与中标供应商应当根据合同的约定依法履行合同义务。政府采购合同的履行、违约责任和解决争议的方法等适用《中华人民共和国民法典》。</w:t>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七、询问、质疑、投诉</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rPr>
        <w:t xml:space="preserve">0</w:t>
      </w:r>
      <w:r>
        <w:rPr>
          <w:rFonts w:hint="eastAsia" w:ascii="楷体" w:hAnsi="楷体" w:eastAsia="楷体" w:cs="楷体"/>
          <w:b/>
          <w:bCs/>
          <w:color w:val="auto"/>
          <w:sz w:val="28"/>
          <w:szCs w:val="28"/>
          <w:highlight w:val="none"/>
        </w:rPr>
        <w:t xml:space="preserve">．询问</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0</w:t>
      </w:r>
      <w:r>
        <w:rPr>
          <w:rFonts w:hint="eastAsia" w:ascii="楷体" w:hAnsi="楷体" w:eastAsia="楷体" w:cs="楷体"/>
          <w:color w:val="auto"/>
          <w:sz w:val="28"/>
          <w:szCs w:val="28"/>
          <w:highlight w:val="none"/>
        </w:rPr>
        <w:t xml:space="preserve">.1投标人对招标活动事项有疑问的，可以向采购人或采购代理机构提出询问，采购人或采购代理机构将在</w:t>
      </w:r>
      <w:r>
        <w:rPr>
          <w:rFonts w:hint="eastAsia" w:ascii="楷体" w:hAnsi="楷体" w:eastAsia="楷体" w:cs="楷体"/>
          <w:color w:val="auto"/>
          <w:sz w:val="28"/>
          <w:szCs w:val="28"/>
          <w:highlight w:val="none"/>
          <w:lang w:val="en-US"/>
        </w:rPr>
        <w:t xml:space="preserve">三</w:t>
      </w:r>
      <w:r>
        <w:rPr>
          <w:rFonts w:hint="eastAsia" w:ascii="楷体" w:hAnsi="楷体" w:eastAsia="楷体" w:cs="楷体"/>
          <w:color w:val="auto"/>
          <w:sz w:val="28"/>
          <w:szCs w:val="28"/>
          <w:highlight w:val="none"/>
        </w:rPr>
        <w:t xml:space="preserve">个工作日内对投标人依法提出的询问作出答复，但答复的内容不得涉及商业秘密。</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rPr>
        <w:t xml:space="preserve">1</w:t>
      </w:r>
      <w:r>
        <w:rPr>
          <w:rFonts w:hint="eastAsia" w:ascii="楷体" w:hAnsi="楷体" w:eastAsia="楷体" w:cs="楷体"/>
          <w:b/>
          <w:bCs/>
          <w:color w:val="auto"/>
          <w:sz w:val="28"/>
          <w:szCs w:val="28"/>
          <w:highlight w:val="none"/>
        </w:rPr>
        <w:t xml:space="preserve">．质疑</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.1 提出质疑的投标人应当是参与所质疑项目采购活动的投标人。潜在投标人已依法获取其可质疑的招标文件的，可以对该文件提出质疑。投标人认为</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以上规定的投标人应知其权益受到损害之日，是指：</w:t>
      </w:r>
      <w:r/>
    </w:p>
    <w:p>
      <w:pPr>
        <w:ind w:firstLine="3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（1）对可以质疑的</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文件提出质疑的，为收到</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文件之日或者</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文件公告期限届满之日；</w:t>
      </w:r>
      <w:r/>
    </w:p>
    <w:p>
      <w:pPr>
        <w:ind w:firstLine="3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（2）对采购过程提出质疑的，为各采购程序环节结束之日；</w:t>
      </w:r>
      <w:r/>
    </w:p>
    <w:p>
      <w:pPr>
        <w:ind w:firstLine="3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（3）对中标结果提出质疑的，为中标结果公告期限届满之日。</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.2 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49" w:name="_Hlk132706924"/>
      <w:r>
        <w:rPr>
          <w:rFonts w:hint="eastAsia" w:ascii="楷体" w:hAnsi="楷体" w:eastAsia="楷体" w:cs="楷体"/>
          <w:color w:val="auto"/>
          <w:sz w:val="28"/>
          <w:szCs w:val="28"/>
          <w:highlight w:val="none"/>
        </w:rPr>
        <w:t xml:space="preserve">政府采购监管部门</w:t>
      </w:r>
      <w:bookmarkEnd w:id="49"/>
      <w:r>
        <w:rPr>
          <w:rFonts w:hint="eastAsia" w:ascii="楷体" w:hAnsi="楷体" w:eastAsia="楷体" w:cs="楷体"/>
          <w:color w:val="auto"/>
          <w:sz w:val="28"/>
          <w:szCs w:val="28"/>
          <w:highlight w:val="none"/>
        </w:rPr>
        <w:t xml:space="preserve">将其列入不良行为记录名单，并依法予以处罚。</w:t>
      </w:r>
      <w:r/>
    </w:p>
    <w:p>
      <w:pPr>
        <w:ind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.3 投标人应当在法定质疑期内一次性提出针对同一采购程序环节的质疑。投标人如在法定期限内对同一采购程序环节提出多次质疑的，将只对投标人第一次质疑作出答复。</w:t>
      </w:r>
      <w:r>
        <w:rPr>
          <w:rFonts w:hint="eastAsia" w:ascii="楷体" w:hAnsi="楷体" w:eastAsia="楷体" w:cs="楷体"/>
          <w:b/>
          <w:color w:val="auto"/>
          <w:sz w:val="28"/>
          <w:szCs w:val="28"/>
          <w:highlight w:val="none"/>
        </w:rPr>
        <w:t xml:space="preserve">投标人如对采购需求提出质疑，采购人负责处理和答复涉及采购需求的质疑内容。</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.4 招标人、招标代理机构不得拒收质疑投标人在法定质疑期内发出的质疑函，应当在收到质疑函后</w:t>
      </w:r>
      <w:r>
        <w:rPr>
          <w:rFonts w:hint="eastAsia" w:ascii="楷体" w:hAnsi="楷体" w:eastAsia="楷体" w:cs="楷体"/>
          <w:color w:val="auto"/>
          <w:sz w:val="28"/>
          <w:szCs w:val="28"/>
          <w:highlight w:val="none"/>
          <w:lang w:val="en-US"/>
        </w:rPr>
        <w:t xml:space="preserve">七</w:t>
      </w:r>
      <w:r>
        <w:rPr>
          <w:rFonts w:hint="eastAsia" w:ascii="楷体" w:hAnsi="楷体" w:eastAsia="楷体" w:cs="楷体"/>
          <w:color w:val="auto"/>
          <w:sz w:val="28"/>
          <w:szCs w:val="28"/>
          <w:highlight w:val="none"/>
        </w:rPr>
        <w:t xml:space="preserve">个工作日内作出答复，并以书面形式通知质疑投标人和其他有关投标人。</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rPr>
        <w:t xml:space="preserve">2</w:t>
      </w:r>
      <w:r>
        <w:rPr>
          <w:rFonts w:hint="eastAsia" w:ascii="楷体" w:hAnsi="楷体" w:eastAsia="楷体" w:cs="楷体"/>
          <w:b/>
          <w:bCs/>
          <w:color w:val="auto"/>
          <w:sz w:val="28"/>
          <w:szCs w:val="28"/>
          <w:highlight w:val="none"/>
        </w:rPr>
        <w:t xml:space="preserve">．投诉</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.1质疑投标人对采购人、采购代理机构的答复不满意，或者采购人、采购代理机构未在规定的时间内作出答复的，可以在答复期满后十五个工作日内向采购人所属预算级次本级政府采购监管部门投诉。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.2以联合体形式参加政府采购活动的，其投诉应当由组成联合体的所有投标人共同提出。</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.3</w:t>
      </w:r>
      <w:r>
        <w:rPr>
          <w:rFonts w:hint="eastAsia" w:ascii="楷体" w:hAnsi="楷体" w:eastAsia="楷体" w:cs="楷体"/>
          <w:color w:val="auto"/>
          <w:spacing w:val="1"/>
          <w:sz w:val="28"/>
          <w:szCs w:val="28"/>
          <w:highlight w:val="none"/>
        </w:rPr>
        <w:t xml:space="preserve">投诉流程及注意事项见“苏采云”系统（网址：http://jszfcg.jsczt.cn/）网站下载中心</w:t>
      </w:r>
      <w:r>
        <w:rPr>
          <w:rFonts w:hint="eastAsia" w:ascii="楷体" w:hAnsi="楷体" w:eastAsia="楷体" w:cs="楷体"/>
          <w:color w:val="auto"/>
          <w:sz w:val="28"/>
          <w:szCs w:val="28"/>
          <w:highlight w:val="none"/>
        </w:rPr>
        <w:t xml:space="preserve">。</w:t>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八、诚实信用和解释权</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rPr>
        <w:t xml:space="preserve">3</w:t>
      </w:r>
      <w:r>
        <w:rPr>
          <w:rFonts w:hint="eastAsia" w:ascii="楷体" w:hAnsi="楷体" w:eastAsia="楷体" w:cs="楷体"/>
          <w:b/>
          <w:bCs/>
          <w:color w:val="auto"/>
          <w:sz w:val="28"/>
          <w:szCs w:val="28"/>
          <w:highlight w:val="none"/>
        </w:rPr>
        <w:t xml:space="preserve">．诚实信用</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 投标人不得以向采购人或采购代理机构工作人员、评标委员会成员行贿或者采取其他不正当手段谋取中标。经查实投标人有此行为的，将在“</w:t>
      </w:r>
      <w:r>
        <w:rPr>
          <w:rFonts w:hint="eastAsia" w:ascii="楷体" w:hAnsi="楷体" w:eastAsia="楷体" w:cs="楷体"/>
          <w:color w:val="auto"/>
          <w:spacing w:val="1"/>
          <w:sz w:val="28"/>
          <w:szCs w:val="28"/>
          <w:highlight w:val="none"/>
        </w:rPr>
        <w:t xml:space="preserve">江苏政府采购网——苏采云平台</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网站公告，政府采购监管部门将投标人列入不良行为记录名单，按照政府采购有关规定处理。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.3 投标人不得虚假承诺，否则，按照提供虚假材料谋取中标处理。</w:t>
      </w:r>
      <w:r/>
    </w:p>
    <w:p>
      <w:pPr>
        <w:ind w:left="2"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.4 投标人应自觉遵守开标、评标纪律，扰乱开标评标现场秩序的，属于失信行为，根据《江苏省政府采购投标人监督管理暂行办法》，失信行为将被记入投标人诚信档案。</w:t>
      </w:r>
      <w:r/>
    </w:p>
    <w:p>
      <w:pPr>
        <w:ind w:left="2"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录查</w:t>
      </w:r>
      <w:r>
        <w:rPr>
          <w:rFonts w:hint="eastAsia" w:ascii="楷体" w:hAnsi="楷体" w:eastAsia="楷体" w:cs="楷体"/>
          <w:color w:val="auto"/>
          <w:sz w:val="28"/>
          <w:szCs w:val="28"/>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rPr>
        <w:t xml:space="preserve">4</w:t>
      </w:r>
      <w:r>
        <w:rPr>
          <w:rFonts w:hint="eastAsia" w:ascii="楷体" w:hAnsi="楷体" w:eastAsia="楷体" w:cs="楷体"/>
          <w:b/>
          <w:bCs/>
          <w:color w:val="auto"/>
          <w:sz w:val="28"/>
          <w:szCs w:val="28"/>
          <w:highlight w:val="none"/>
        </w:rPr>
        <w:t xml:space="preserve">.适用法律及约束力</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.1 </w:t>
      </w:r>
      <w:r>
        <w:rPr>
          <w:rFonts w:hint="eastAsia" w:ascii="楷体" w:hAnsi="楷体" w:eastAsia="楷体" w:cs="楷体"/>
          <w:b/>
          <w:color w:val="auto"/>
          <w:sz w:val="28"/>
          <w:szCs w:val="28"/>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.2 本次招标及由本次招标产生的合同受中华人民共和国法律制约和保护。</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rPr>
        <w:t xml:space="preserve">5</w:t>
      </w:r>
      <w:r>
        <w:rPr>
          <w:rFonts w:hint="eastAsia" w:ascii="楷体" w:hAnsi="楷体" w:eastAsia="楷体" w:cs="楷体"/>
          <w:b/>
          <w:bCs/>
          <w:color w:val="auto"/>
          <w:sz w:val="28"/>
          <w:szCs w:val="28"/>
          <w:highlight w:val="none"/>
        </w:rPr>
        <w:t xml:space="preserve">.解释权</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除相关法律、法规规定外，本招标文件的解释权归</w:t>
      </w:r>
      <w:r>
        <w:rPr>
          <w:rFonts w:hint="eastAsia" w:ascii="楷体" w:hAnsi="楷体" w:eastAsia="楷体" w:cs="楷体"/>
          <w:color w:val="auto"/>
          <w:sz w:val="28"/>
          <w:szCs w:val="28"/>
          <w:highlight w:val="none"/>
          <w:u w:val="single"/>
        </w:rPr>
        <w:t xml:space="preserve">建银工程咨询有限责任公司</w:t>
      </w:r>
      <w:r>
        <w:rPr>
          <w:rFonts w:hint="eastAsia" w:ascii="楷体" w:hAnsi="楷体" w:eastAsia="楷体" w:cs="楷体"/>
          <w:color w:val="auto"/>
          <w:sz w:val="28"/>
          <w:szCs w:val="28"/>
          <w:highlight w:val="none"/>
        </w:rPr>
        <w:t xml:space="preserve">所有。</w:t>
      </w:r>
      <w:r/>
    </w:p>
    <w:p>
      <w:pPr>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br w:type="page" w:clear="all"/>
      </w:r>
      <w:r/>
    </w:p>
    <w:p>
      <w:pPr>
        <w:pStyle w:val="1054"/>
        <w:jc w:val="center"/>
        <w:keepLines w:val="0"/>
        <w:keepNext w:val="0"/>
        <w:spacing w:before="0" w:after="0" w:line="360" w:lineRule="auto"/>
        <w:rPr>
          <w:rFonts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第三部分</w:t>
      </w:r>
      <w:r>
        <w:rPr>
          <w:rFonts w:hint="eastAsia" w:ascii="楷体" w:hAnsi="楷体" w:eastAsia="楷体" w:cs="楷体"/>
          <w:color w:val="auto"/>
          <w:sz w:val="36"/>
          <w:szCs w:val="36"/>
          <w:highlight w:val="none"/>
          <w:lang w:val="en-US"/>
        </w:rPr>
        <w:t xml:space="preserve">     合同文本</w:t>
      </w:r>
      <w:r/>
    </w:p>
    <w:p>
      <w:pPr>
        <w:jc w:val="both"/>
        <w:spacing w:line="360" w:lineRule="auto"/>
        <w:rPr>
          <w:rFonts w:ascii="楷体" w:hAnsi="楷体" w:eastAsia="楷体"/>
          <w:b/>
          <w:color w:val="auto"/>
          <w:sz w:val="30"/>
          <w:szCs w:val="24"/>
          <w:highlight w:val="none"/>
          <w:lang w:val="en-US"/>
        </w:rPr>
      </w:pPr>
      <w:r/>
      <w:bookmarkStart w:id="50" w:name="_Toc22000612"/>
      <w:r>
        <w:rPr>
          <w:rFonts w:hint="eastAsia" w:ascii="楷体" w:hAnsi="楷体" w:eastAsia="楷体"/>
          <w:b/>
          <w:color w:val="auto"/>
          <w:sz w:val="30"/>
          <w:szCs w:val="24"/>
          <w:highlight w:val="none"/>
          <w:lang w:val="en-US"/>
        </w:rPr>
        <w:t xml:space="preserve">1、定义</w:t>
      </w:r>
      <w:bookmarkEnd w:id="50"/>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本合同中的下列术语应解释为：</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1.1 “甲方”系指购买服务的采购人，即</w:t>
      </w:r>
      <w:r>
        <w:rPr>
          <w:rFonts w:hint="eastAsia" w:ascii="楷体" w:hAnsi="楷体" w:eastAsia="楷体"/>
          <w:color w:val="auto"/>
          <w:sz w:val="24"/>
          <w:szCs w:val="24"/>
          <w:highlight w:val="none"/>
          <w:u w:val="single"/>
          <w:lang w:val="en-US"/>
        </w:rPr>
        <w:t xml:space="preserve">镇江市丹徒区城市管理局</w:t>
      </w:r>
      <w:r>
        <w:rPr>
          <w:rFonts w:hint="eastAsia" w:ascii="楷体" w:hAnsi="楷体" w:eastAsia="楷体"/>
          <w:color w:val="auto"/>
          <w:sz w:val="24"/>
          <w:szCs w:val="24"/>
          <w:highlight w:val="none"/>
          <w:lang w:val="en-US"/>
        </w:rPr>
        <w:t xml:space="preserve">。 </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1.2 “乙方”系指提供服务的供应商，即中标供应商。</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1.3 “服务”系指符合招标文件要求的丹徒区夜景灯光管护服务项目工作，服务亦包括招标文件中特别描述的其它形式的服务。</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1.4 “合同”系指甲方与乙方签署的、合同格式中载明的甲方与乙方所达成的协议，包括招标文件、投标文件、附件、附录和构成合同的所有文件。</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1.5 “合同价”系指根据合同规定，乙方在正确地完全履行合同义务后甲方应支付给乙方的价格。</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2、甲方权利和义务</w:t>
      </w:r>
      <w:r/>
    </w:p>
    <w:p>
      <w:pPr>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2.1 负责向乙方提供中标管护范围的有关资料。</w:t>
      </w:r>
      <w:r/>
    </w:p>
    <w:p>
      <w:pPr>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2.2 组织召开管护作业技术交底会。</w:t>
      </w:r>
      <w:r/>
    </w:p>
    <w:p>
      <w:pPr>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2.3 负责乙方的日常管护作业的管理、负责日常考核、专项考核和行业管理考核，可对乙方作出管护工作计划布置和对日常管护工作进行各项考核，考核按《丹徒区夜景灯光管护服务项目考核细则》（附件2）、招投标文件、合同约定等进行。</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2.4 甲方按本合同有关条款，支付相应管护经费。本项目所涉及管护服务的一切费用均已包含在管护经费内，不再另行计取其他费用。</w:t>
      </w:r>
      <w:r/>
    </w:p>
    <w:p>
      <w:pPr>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2.5 如遇突发事件，协调乙方在作业过程中与其他管理部门的关系。</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2.6 在合同期内，非乙方原因需要减少乙方管护地段（范围）时，不减少管护范围及经费。在合同期限内，新移交至乙方的，不增加管护费用。</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2.7 甲方有权对乙方养护不到位的工作实施扣款：</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2.7.1 应对检查</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⑴</w:t>
      </w:r>
      <w:r>
        <w:rPr>
          <w:rFonts w:hint="eastAsia" w:ascii="楷体" w:hAnsi="楷体" w:eastAsia="楷体"/>
          <w:color w:val="auto"/>
          <w:sz w:val="24"/>
          <w:szCs w:val="24"/>
          <w:highlight w:val="none"/>
          <w:lang w:val="en-US"/>
        </w:rPr>
        <w:t xml:space="preserve">被上级领导批评、媒体曝光、群众举报及发生其他有损甲方形象事件，经查属乙方责任的，</w:t>
      </w:r>
      <w:r>
        <w:rPr>
          <w:rFonts w:hint="eastAsia" w:ascii="楷体" w:hAnsi="楷体" w:eastAsia="楷体"/>
          <w:color w:val="auto"/>
          <w:sz w:val="24"/>
          <w:szCs w:val="24"/>
          <w:highlight w:val="none"/>
          <w:lang w:val="en-US"/>
        </w:rPr>
        <w:t xml:space="preserve">按《</w:t>
      </w:r>
      <w:r>
        <w:rPr>
          <w:rFonts w:hint="eastAsia" w:ascii="楷体" w:hAnsi="楷体" w:eastAsia="楷体"/>
          <w:color w:val="auto"/>
          <w:sz w:val="24"/>
          <w:szCs w:val="24"/>
          <w:highlight w:val="none"/>
          <w:lang w:val="en-US"/>
        </w:rPr>
        <w:t xml:space="preserve">丹徒区夜景灯光管护考核细则</w:t>
      </w:r>
      <w:r>
        <w:rPr>
          <w:rFonts w:hint="eastAsia" w:ascii="楷体" w:hAnsi="楷体" w:eastAsia="楷体"/>
          <w:color w:val="auto"/>
          <w:sz w:val="24"/>
          <w:szCs w:val="24"/>
          <w:highlight w:val="none"/>
          <w:lang w:val="en-US"/>
        </w:rPr>
        <w:t xml:space="preserve">》执行。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⑵啄木鸟、大城管、</w:t>
      </w:r>
      <w:r>
        <w:rPr>
          <w:rFonts w:ascii="楷体" w:hAnsi="楷体" w:eastAsia="楷体"/>
          <w:color w:val="auto"/>
          <w:sz w:val="24"/>
          <w:szCs w:val="24"/>
          <w:highlight w:val="none"/>
          <w:lang w:val="en-US"/>
        </w:rPr>
        <w:t xml:space="preserve">12345</w:t>
      </w:r>
      <w:r>
        <w:rPr>
          <w:rFonts w:hint="eastAsia" w:ascii="楷体" w:hAnsi="楷体" w:eastAsia="楷体"/>
          <w:color w:val="auto"/>
          <w:sz w:val="24"/>
          <w:szCs w:val="24"/>
          <w:highlight w:val="none"/>
          <w:lang w:val="en-US"/>
        </w:rPr>
        <w:t xml:space="preserve">等各类渠道派发的整改工单，未及时按要求处理到位，按《丹徒区夜景灯光管护考核细则》执行。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⑶出现失管现象，或近期重点管护工作进度严重滞后问题，每次扣1</w:t>
      </w:r>
      <w:r>
        <w:rPr>
          <w:rFonts w:ascii="楷体" w:hAnsi="楷体" w:eastAsia="楷体"/>
          <w:color w:val="auto"/>
          <w:sz w:val="24"/>
          <w:szCs w:val="24"/>
          <w:highlight w:val="none"/>
          <w:lang w:val="en-US"/>
        </w:rPr>
        <w:t xml:space="preserve">000</w:t>
      </w:r>
      <w:r>
        <w:rPr>
          <w:rFonts w:hint="eastAsia" w:ascii="楷体" w:hAnsi="楷体" w:eastAsia="楷体"/>
          <w:color w:val="auto"/>
          <w:sz w:val="24"/>
          <w:szCs w:val="24"/>
          <w:highlight w:val="none"/>
          <w:lang w:val="en-US"/>
        </w:rPr>
        <w:t xml:space="preserve">元以上。</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⑷甲方下达的专项工作任务，乙方不能根据要求按时完成，按《丹徒区夜景灯光管护考核细则》执行。</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2.7.2 </w:t>
      </w:r>
      <w:r>
        <w:rPr>
          <w:rFonts w:hint="eastAsia" w:ascii="楷体" w:hAnsi="楷体" w:eastAsia="楷体"/>
          <w:color w:val="auto"/>
          <w:sz w:val="24"/>
          <w:szCs w:val="24"/>
          <w:highlight w:val="none"/>
          <w:lang w:val="en-US"/>
        </w:rPr>
        <w:t xml:space="preserve">人员管理</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⑴在规定时间内，现场负责人不在管护现场或未履行请假手续离开镇江，按《丹徒区夜景灯光管护考核细则》执行。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⑵管护单位工作人员，未经上报甲方批准，不能按要求参加甲方组织的会议、活动，按《丹徒区夜景灯光管护考核细则》执行。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⑶项目负责人、现场负责人，无故关闭通讯设备，突发事件联系不上，按《丹徒区夜景灯光管护考核细则》执行。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⑷长期固定管护工人未按投标文件承诺的标准足额配齐，按《丹徒区夜景灯光管护考核细则》执行。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⑸在巡查、考核过程中，若发现管护工人未统一着装上岗（有反光条马甲：背后印有“夜景管护”，胸前印有“公司名称”），按《丹徒区夜景灯光管护考核细则》执行。</w:t>
      </w:r>
      <w:r/>
    </w:p>
    <w:p>
      <w:pPr>
        <w:ind w:firstLine="480"/>
        <w:jc w:val="both"/>
        <w:spacing w:line="360" w:lineRule="auto"/>
        <w:rPr>
          <w:rFonts w:ascii="楷体" w:hAnsi="楷体" w:eastAsia="楷体"/>
          <w:color w:val="auto"/>
          <w:sz w:val="24"/>
          <w:szCs w:val="24"/>
          <w:highlight w:val="none"/>
          <w:lang w:val="en-US"/>
        </w:rPr>
      </w:pPr>
      <w:r>
        <w:rPr>
          <w:rFonts w:ascii="楷体" w:hAnsi="楷体" w:eastAsia="楷体"/>
          <w:color w:val="auto"/>
          <w:sz w:val="24"/>
          <w:szCs w:val="24"/>
          <w:highlight w:val="none"/>
          <w:lang w:val="en-US"/>
        </w:rPr>
        <w:t xml:space="preserve">2.</w:t>
      </w:r>
      <w:r>
        <w:rPr>
          <w:rFonts w:hint="eastAsia" w:ascii="楷体" w:hAnsi="楷体" w:eastAsia="楷体"/>
          <w:color w:val="auto"/>
          <w:sz w:val="24"/>
          <w:szCs w:val="24"/>
          <w:highlight w:val="none"/>
          <w:lang w:val="en-US"/>
        </w:rPr>
        <w:t xml:space="preserve">7.3 设备管理</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大型机械设备（如巡视车、高空作业车等）未按合同要求配备齐全的，按《丹徒区夜景灯光管护考核细则》执行。巡视车、高空作业车等未按规定时间到达现场的，每台每次扣2000元以上。</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2.7.4 文明管护</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⑴管护工人不文明施工，导致严重后果，按《丹徒区夜景灯光管护考核细则》执行并且乙方承担所有责任。</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⑵管护垃圾当天未清理干净，管护工具随地乱放，管护车辆乱停乱放，每处每次扣</w:t>
      </w:r>
      <w:r>
        <w:rPr>
          <w:rFonts w:ascii="楷体" w:hAnsi="楷体" w:eastAsia="楷体"/>
          <w:color w:val="auto"/>
          <w:sz w:val="24"/>
          <w:szCs w:val="24"/>
          <w:highlight w:val="none"/>
          <w:lang w:val="en-US"/>
        </w:rPr>
        <w:t xml:space="preserve">1000</w:t>
      </w:r>
      <w:r>
        <w:rPr>
          <w:rFonts w:hint="eastAsia" w:ascii="楷体" w:hAnsi="楷体" w:eastAsia="楷体"/>
          <w:color w:val="auto"/>
          <w:sz w:val="24"/>
          <w:szCs w:val="24"/>
          <w:highlight w:val="none"/>
          <w:lang w:val="en-US"/>
        </w:rPr>
        <w:t xml:space="preserve">元。</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2.7.5 材料管理</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⑴在管护工作中，因维修更换使用的所有材料（灯具、电缆、管线、其他配件等）</w:t>
      </w:r>
      <w:r>
        <w:rPr>
          <w:rFonts w:hint="eastAsia" w:ascii="楷体" w:hAnsi="楷体" w:eastAsia="楷体"/>
          <w:color w:val="auto"/>
          <w:sz w:val="24"/>
          <w:szCs w:val="24"/>
          <w:highlight w:val="none"/>
          <w:lang w:val="en-US"/>
        </w:rPr>
        <w:t xml:space="preserve">应符合相关国标和甲方要求，私自维修更换不符合要求的，</w:t>
      </w:r>
      <w:r>
        <w:rPr>
          <w:rFonts w:hint="eastAsia" w:ascii="楷体" w:hAnsi="楷体" w:eastAsia="楷体"/>
          <w:color w:val="auto"/>
          <w:sz w:val="24"/>
          <w:szCs w:val="24"/>
          <w:highlight w:val="none"/>
          <w:lang w:val="en-US"/>
        </w:rPr>
        <w:t xml:space="preserve">按《丹徒区夜景灯光管护考核细则》执行，三个月内发生三次及以上的，另扣5000元以上。</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2.8 在合同履行期间，甲方有权根据相关规定制定</w:t>
      </w:r>
      <w:r>
        <w:rPr>
          <w:rFonts w:hint="eastAsia" w:ascii="楷体" w:hAnsi="楷体" w:eastAsia="楷体"/>
          <w:color w:val="auto"/>
          <w:sz w:val="24"/>
          <w:szCs w:val="24"/>
          <w:highlight w:val="none"/>
          <w:lang w:val="en-US"/>
        </w:rPr>
        <w:t xml:space="preserve">或修改</w:t>
      </w:r>
      <w:r>
        <w:rPr>
          <w:rFonts w:hint="eastAsia" w:ascii="楷体" w:hAnsi="楷体" w:eastAsia="楷体"/>
          <w:color w:val="auto"/>
          <w:sz w:val="24"/>
          <w:szCs w:val="24"/>
          <w:highlight w:val="none"/>
          <w:lang w:val="en-US"/>
        </w:rPr>
        <w:t xml:space="preserve">管理办法和制度要求，乙方必须遵守。</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3、 乙方权利和义务</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3.1 根据甲方管护工作计划，乙方承担日常管护内容有：</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（1）负责丹徒区城市管理局管护范围内夜景灯光设施维修、巡查工作。</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（2）负责</w:t>
      </w:r>
      <w:r>
        <w:rPr>
          <w:rFonts w:hint="eastAsia" w:ascii="楷体" w:hAnsi="楷体" w:eastAsia="楷体"/>
          <w:color w:val="auto"/>
          <w:sz w:val="24"/>
          <w:szCs w:val="24"/>
          <w:highlight w:val="none"/>
          <w:lang w:val="en-US"/>
        </w:rPr>
        <w:t xml:space="preserve">管护范围内</w:t>
      </w:r>
      <w:r>
        <w:rPr>
          <w:rFonts w:hint="eastAsia" w:ascii="楷体" w:hAnsi="楷体" w:eastAsia="楷体"/>
          <w:color w:val="auto"/>
          <w:sz w:val="24"/>
          <w:szCs w:val="24"/>
          <w:highlight w:val="none"/>
          <w:lang w:val="en-US"/>
        </w:rPr>
        <w:t xml:space="preserve">夜景灯光设施及一切相关设施的检修、防盗、管理、排查安全隐患等工作。</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（3）负责丹徒区城市管理局管护范围内夜景灯光设施启闭控制。</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（4）建立丹徒区城市管理局管护范围内夜景灯光设施巡查日报告制度。</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（5）进行定期安全检查，消除夜景灯光设施外部带电、灯头松动、线路裸露等安全隐患，并及时上报丹徒区城市管理局。</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（6）应及时发现人为私自改动、拆除、破坏等情况并主动上报。</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（7）无条件配合及协助丹徒区城市管理局完成其它工作。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3.2 必须做到日常巡查管护工作，做好详细的管护台帐，建立管护档案，</w:t>
      </w:r>
      <w:r>
        <w:rPr>
          <w:rFonts w:hint="eastAsia" w:ascii="楷体" w:hAnsi="楷体" w:eastAsia="楷体"/>
          <w:color w:val="auto"/>
          <w:sz w:val="24"/>
          <w:szCs w:val="24"/>
          <w:highlight w:val="none"/>
          <w:lang w:val="en-US"/>
        </w:rPr>
        <w:t xml:space="preserve">按甲方要求及时上报管护工作完成情况</w:t>
      </w:r>
      <w:r>
        <w:rPr>
          <w:rFonts w:hint="eastAsia" w:ascii="楷体" w:hAnsi="楷体" w:eastAsia="楷体"/>
          <w:color w:val="auto"/>
          <w:sz w:val="24"/>
          <w:szCs w:val="24"/>
          <w:highlight w:val="none"/>
          <w:lang w:val="en-US"/>
        </w:rPr>
        <w:t xml:space="preserve">。</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3.3 </w:t>
      </w:r>
      <w:r>
        <w:rPr>
          <w:rFonts w:hint="eastAsia" w:ascii="楷体" w:hAnsi="楷体" w:eastAsia="楷体"/>
          <w:color w:val="auto"/>
          <w:sz w:val="24"/>
          <w:szCs w:val="24"/>
          <w:highlight w:val="none"/>
          <w:lang w:val="en-US"/>
        </w:rPr>
        <w:t xml:space="preserve">合同期间，管护</w:t>
      </w:r>
      <w:r>
        <w:rPr>
          <w:rFonts w:hint="eastAsia" w:ascii="楷体" w:hAnsi="楷体" w:eastAsia="楷体"/>
          <w:color w:val="auto"/>
          <w:sz w:val="24"/>
          <w:szCs w:val="24"/>
          <w:highlight w:val="none"/>
          <w:lang w:val="en-US"/>
        </w:rPr>
        <w:t xml:space="preserve">范围内夜景灯管设施及其相关配套设施被盗，费用全部由乙方承担。</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3.4 根据甲方要求，及时解决处理来信、来访及“啄木鸟、大城管、12345”考核整改通知等反映的问题。</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3.5 按时按量完成甲方交办的110等其它突击性任务和指令性任务。</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3.6 加强法定节假日的正常管护工作。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3.7 乙方抽调必要的人员和设备、工具，作为抢险救灾的中坚力量，原则上负责管护标段范围内的抢险救灾，但对局部性严重自然灾害，局抢险指挥中心可对各抢险队伍进行合理调配，以集中精力解决严重的灾情。</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3.8 乙方应按照管护面积组织相应数量的抢险救灾队员，救灾人员要求身体健康、体力好、熟悉夜景灯光管护业务的人员组成，老弱病残及女职工不得作为抢险救灾队员，抢险救灾队员应统一着装（工作服），抢险作业期间必穿反光背心</w:t>
      </w:r>
      <w:r>
        <w:rPr>
          <w:rFonts w:hint="eastAsia" w:ascii="楷体" w:hAnsi="楷体" w:eastAsia="楷体"/>
          <w:color w:val="auto"/>
          <w:sz w:val="24"/>
          <w:szCs w:val="24"/>
          <w:highlight w:val="none"/>
          <w:lang w:val="en-US"/>
        </w:rPr>
        <w:t xml:space="preserve">等装备，并做好相关防护措施</w:t>
      </w:r>
      <w:r>
        <w:rPr>
          <w:rFonts w:hint="eastAsia" w:ascii="楷体" w:hAnsi="楷体" w:eastAsia="楷体"/>
          <w:color w:val="auto"/>
          <w:sz w:val="24"/>
          <w:szCs w:val="24"/>
          <w:highlight w:val="none"/>
          <w:lang w:val="en-US"/>
        </w:rPr>
        <w:t xml:space="preserve">。乙方负责抢险过程中的要求安全、文明施工。</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3.9 乙方应储备</w:t>
      </w:r>
      <w:r>
        <w:rPr>
          <w:rFonts w:hint="eastAsia" w:ascii="楷体" w:hAnsi="楷体" w:eastAsia="楷体"/>
          <w:color w:val="auto"/>
          <w:sz w:val="24"/>
          <w:szCs w:val="24"/>
          <w:highlight w:val="none"/>
          <w:lang w:val="en-US"/>
        </w:rPr>
        <w:t xml:space="preserve">适量的常用备品备件、</w:t>
      </w:r>
      <w:r>
        <w:rPr>
          <w:rFonts w:hint="eastAsia" w:ascii="楷体" w:hAnsi="楷体" w:eastAsia="楷体"/>
          <w:color w:val="auto"/>
          <w:sz w:val="24"/>
          <w:szCs w:val="24"/>
          <w:highlight w:val="none"/>
          <w:lang w:val="en-US"/>
        </w:rPr>
        <w:t xml:space="preserve">应急所需的物资、抢险设备、器械和车辆，</w:t>
      </w:r>
      <w:r>
        <w:rPr>
          <w:rFonts w:hint="eastAsia" w:ascii="楷体" w:hAnsi="楷体" w:eastAsia="楷体"/>
          <w:color w:val="auto"/>
          <w:sz w:val="24"/>
          <w:szCs w:val="24"/>
          <w:highlight w:val="none"/>
          <w:lang w:val="en-US"/>
        </w:rPr>
        <w:t xml:space="preserve">并保存完好，</w:t>
      </w:r>
      <w:r>
        <w:rPr>
          <w:rFonts w:hint="eastAsia" w:ascii="楷体" w:hAnsi="楷体" w:eastAsia="楷体"/>
          <w:color w:val="auto"/>
          <w:sz w:val="24"/>
          <w:szCs w:val="24"/>
          <w:highlight w:val="none"/>
          <w:lang w:val="en-US"/>
        </w:rPr>
        <w:t xml:space="preserve">应急储备物资使用后要及时予以补充。</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3.10 乙方一旦发现有突发性管护应急事件发生，都有及时上报的权利和责任，无论事件级别大小，都应在一小时内向镇江市丹徒区城市管理局报告，先期处置过程要做好记录。</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3.11 在承包期内承包人应服从发包人的安排，做好以下的服务工作：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(1)因不可抗力造成的抢修工作；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(2)防汛抗灾期间的汛前、汛期、汛后的各项工作；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(3)管护相关的社会职能（如城市创建等）工作；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(4)上级布置的突击性活动而发生的各项工作；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(5)确保法定节假日的管护维修工作。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3.12乙方应作的其他工作，双方在补充条款内约定。</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4、管护组织与进度计划</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4.1 乙方在本合同生效后</w:t>
      </w:r>
      <w:r>
        <w:rPr>
          <w:rFonts w:hint="eastAsia" w:ascii="楷体" w:hAnsi="楷体" w:eastAsia="楷体"/>
          <w:color w:val="auto"/>
          <w:sz w:val="24"/>
          <w:szCs w:val="24"/>
          <w:highlight w:val="none"/>
          <w:lang w:val="en-US"/>
        </w:rPr>
        <w:t xml:space="preserve">30</w:t>
      </w:r>
      <w:r>
        <w:rPr>
          <w:rFonts w:hint="eastAsia" w:ascii="楷体" w:hAnsi="楷体" w:eastAsia="楷体"/>
          <w:color w:val="auto"/>
          <w:sz w:val="24"/>
          <w:szCs w:val="24"/>
          <w:highlight w:val="none"/>
          <w:lang w:val="en-US"/>
        </w:rPr>
        <w:t xml:space="preserve">天内上报管护作业</w:t>
      </w:r>
      <w:r>
        <w:rPr>
          <w:rFonts w:hint="eastAsia" w:ascii="楷体" w:hAnsi="楷体" w:eastAsia="楷体"/>
          <w:color w:val="auto"/>
          <w:sz w:val="24"/>
          <w:szCs w:val="24"/>
          <w:highlight w:val="none"/>
          <w:lang w:val="en-US"/>
        </w:rPr>
        <w:t xml:space="preserve">管护</w:t>
      </w:r>
      <w:r>
        <w:rPr>
          <w:rFonts w:hint="eastAsia" w:ascii="楷体" w:hAnsi="楷体" w:eastAsia="楷体"/>
          <w:color w:val="auto"/>
          <w:sz w:val="24"/>
          <w:szCs w:val="24"/>
          <w:highlight w:val="none"/>
          <w:lang w:val="en-US"/>
        </w:rPr>
        <w:t xml:space="preserve">计划和该标段管护管理人员网络组成表，并结合季节特点和现场状况，制定</w:t>
      </w:r>
      <w:r>
        <w:rPr>
          <w:rFonts w:hint="eastAsia" w:ascii="楷体" w:hAnsi="楷体" w:eastAsia="楷体"/>
          <w:color w:val="auto"/>
          <w:sz w:val="24"/>
          <w:szCs w:val="24"/>
          <w:highlight w:val="none"/>
          <w:lang w:val="en-US"/>
        </w:rPr>
        <w:t xml:space="preserve">专项工作</w:t>
      </w:r>
      <w:r>
        <w:rPr>
          <w:rFonts w:hint="eastAsia" w:ascii="楷体" w:hAnsi="楷体" w:eastAsia="楷体"/>
          <w:color w:val="auto"/>
          <w:sz w:val="24"/>
          <w:szCs w:val="24"/>
          <w:highlight w:val="none"/>
          <w:lang w:val="en-US"/>
        </w:rPr>
        <w:t xml:space="preserve">计划、材料计划</w:t>
      </w:r>
      <w:r>
        <w:rPr>
          <w:rFonts w:hint="eastAsia" w:ascii="楷体" w:hAnsi="楷体" w:eastAsia="楷体"/>
          <w:color w:val="auto"/>
          <w:sz w:val="24"/>
          <w:szCs w:val="24"/>
          <w:highlight w:val="none"/>
          <w:lang w:val="en-US"/>
        </w:rPr>
        <w:t xml:space="preserve">等</w:t>
      </w:r>
      <w:r>
        <w:rPr>
          <w:rFonts w:hint="eastAsia" w:ascii="楷体" w:hAnsi="楷体" w:eastAsia="楷体"/>
          <w:color w:val="auto"/>
          <w:sz w:val="24"/>
          <w:szCs w:val="24"/>
          <w:highlight w:val="none"/>
          <w:lang w:val="en-US"/>
        </w:rPr>
        <w:t xml:space="preserve">送交甲方。甲方在7天内予以确认。</w:t>
      </w:r>
      <w:r/>
    </w:p>
    <w:p>
      <w:pPr>
        <w:ind w:firstLine="480"/>
        <w:jc w:val="both"/>
        <w:spacing w:line="360" w:lineRule="auto"/>
        <w:rPr>
          <w:rFonts w:ascii="楷体" w:hAnsi="楷体" w:eastAsia="楷体"/>
          <w:b/>
          <w:color w:val="auto"/>
          <w:sz w:val="30"/>
          <w:szCs w:val="24"/>
          <w:highlight w:val="none"/>
          <w:lang w:val="en-US"/>
        </w:rPr>
      </w:pPr>
      <w:r>
        <w:rPr>
          <w:rFonts w:hint="eastAsia" w:ascii="楷体" w:hAnsi="楷体" w:eastAsia="楷体"/>
          <w:color w:val="auto"/>
          <w:sz w:val="24"/>
          <w:szCs w:val="24"/>
          <w:highlight w:val="none"/>
          <w:lang w:val="en-US"/>
        </w:rPr>
        <w:t xml:space="preserve">4.2 乙方必须按甲方确认的进度计划组织管护作业，接受甲方对进度的检查、监督。管护作业实际进度与经确认的进度计划不一致时，乙方应按甲方的要求提出改进措施，经甲方代表确认后执行。因乙方的原因导致实际进度与计划进度不符，乙方无权就改进措施提出追加合同价款。</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5、管护质量要求</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因乙方原因，管护质量达不到招投标文件要求及合同约定的质量标准，乙方承担违约责任。</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6、检查和考核</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6.1 乙方应认真按照招投标文件要求及合同约定的质量标准进行管护，随时接受甲方的检查和考核，为检查和考核提供便利条件。</w:t>
      </w:r>
      <w:r/>
    </w:p>
    <w:p>
      <w:pPr>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6.2 对于管护质量不符合要求的，甲方先通知整改，乙方在两天内不整改的或整改效果不符合要求的，由甲方派其他队伍整改，费用在乙方管护费中扣除。</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6.3乙方退出管护，应及时与下一接管单位办理夜景管护交接手续，所有夜景需在规定时间内按要求整改到位后交付，逾期整改不到位由接管方进行整改，所需费用由乙方支付或从合同款中直接扣除。</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6.4合同期满后，管护承包方应提交完整的管护台账及设施量清单，采购人有权通过第三方对管护的设施量进行普查，若普查的设施量与承包方提交的不符，未达到镇江市丹徒区城市夜景等级标准，采购人有权对承包商处以普查费用两倍的处罚。</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7、安全文明施工</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7.1 乙方应做好管护作业管理区内的安全管理工作，严格按照相关的安全生产操作规程开展各项管护工作。并随时接受甲方或行业安全检查人员依法实施的监督检查，采取必要的安全防护措施，消除事故隐患。</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7.2 文明施工制订详细的管护计划，避免影响交通，妨碍行人等行为。</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7.3 由于乙方管理不善，引起政府职能部门处罚和停工整改，或安全措施不力造成事故的责任和因此发生的费用，由乙方承担。</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7.4 乙方所有施工人员必须按照现行规范作业。如未按规范要求施工，造成事故的责任和因此发生的费用，由乙方承担。</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 8、安全防护</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color w:val="auto"/>
          <w:sz w:val="24"/>
          <w:szCs w:val="24"/>
          <w:highlight w:val="none"/>
          <w:lang w:val="en-US"/>
        </w:rPr>
        <w:t xml:space="preserve">    8.1管护作业人员应做好各项安全防范措施，必须</w:t>
      </w:r>
      <w:r>
        <w:rPr>
          <w:rFonts w:hint="eastAsia" w:ascii="楷体" w:hAnsi="楷体" w:eastAsia="楷体"/>
          <w:color w:val="auto"/>
          <w:sz w:val="24"/>
          <w:szCs w:val="24"/>
          <w:highlight w:val="none"/>
          <w:lang w:val="en-US"/>
        </w:rPr>
        <w:t xml:space="preserve">规范</w:t>
      </w:r>
      <w:r>
        <w:rPr>
          <w:rFonts w:hint="eastAsia" w:ascii="楷体" w:hAnsi="楷体" w:eastAsia="楷体"/>
          <w:color w:val="auto"/>
          <w:sz w:val="24"/>
          <w:szCs w:val="24"/>
          <w:highlight w:val="none"/>
          <w:lang w:val="en-US"/>
        </w:rPr>
        <w:t xml:space="preserve">着装上岗操作，</w:t>
      </w:r>
      <w:r>
        <w:rPr>
          <w:rFonts w:hint="eastAsia" w:ascii="楷体" w:hAnsi="楷体" w:eastAsia="楷体"/>
          <w:color w:val="auto"/>
          <w:sz w:val="24"/>
          <w:szCs w:val="24"/>
          <w:highlight w:val="none"/>
          <w:lang w:val="en-US"/>
        </w:rPr>
        <w:t xml:space="preserve">设置警示标识，</w:t>
      </w:r>
      <w:r>
        <w:rPr>
          <w:rFonts w:hint="eastAsia" w:ascii="楷体" w:hAnsi="楷体" w:eastAsia="楷体"/>
          <w:color w:val="auto"/>
          <w:sz w:val="24"/>
          <w:szCs w:val="24"/>
          <w:highlight w:val="none"/>
          <w:lang w:val="en-US"/>
        </w:rPr>
        <w:t xml:space="preserve">施工期间按规定做好安全</w:t>
      </w:r>
      <w:r>
        <w:rPr>
          <w:rFonts w:hint="eastAsia" w:ascii="楷体" w:hAnsi="楷体" w:eastAsia="楷体"/>
          <w:color w:val="auto"/>
          <w:sz w:val="24"/>
          <w:szCs w:val="24"/>
          <w:highlight w:val="none"/>
          <w:lang w:val="en-US"/>
        </w:rPr>
        <w:t xml:space="preserve">防护</w:t>
      </w:r>
      <w:r>
        <w:rPr>
          <w:rFonts w:hint="eastAsia" w:ascii="楷体" w:hAnsi="楷体" w:eastAsia="楷体"/>
          <w:color w:val="auto"/>
          <w:sz w:val="24"/>
          <w:szCs w:val="24"/>
          <w:highlight w:val="none"/>
          <w:lang w:val="en-US"/>
        </w:rPr>
        <w:t xml:space="preserve">。</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 9、 事故处理</w:t>
      </w:r>
      <w:r/>
    </w:p>
    <w:p>
      <w:pPr>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9.1发生重大伤亡及其他安全事故，乙方应按有关规定立即上报有关部门并通知甲方代表，同时按政府有关部门要求处理，由事故责任方承担发生的费用。</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10、合同价款及调整</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10.1 合同价款由甲、乙双方依据中标通知书中的中标价格在合同中约定。合同总价不做调整。</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10.2 乙方应</w:t>
      </w:r>
      <w:r>
        <w:rPr>
          <w:rFonts w:hint="eastAsia" w:ascii="楷体" w:hAnsi="楷体" w:eastAsia="楷体"/>
          <w:color w:val="auto"/>
          <w:sz w:val="24"/>
          <w:szCs w:val="24"/>
          <w:highlight w:val="none"/>
          <w:lang w:val="en-US"/>
        </w:rPr>
        <w:t xml:space="preserve">按甲方要求</w:t>
      </w:r>
      <w:r>
        <w:rPr>
          <w:rFonts w:hint="eastAsia" w:ascii="楷体" w:hAnsi="楷体" w:eastAsia="楷体"/>
          <w:color w:val="auto"/>
          <w:sz w:val="24"/>
          <w:szCs w:val="24"/>
          <w:highlight w:val="none"/>
          <w:lang w:val="en-US"/>
        </w:rPr>
        <w:t xml:space="preserve">向甲方提交管护</w:t>
      </w:r>
      <w:r>
        <w:rPr>
          <w:rFonts w:hint="eastAsia" w:ascii="楷体" w:hAnsi="楷体" w:eastAsia="楷体"/>
          <w:color w:val="auto"/>
          <w:sz w:val="24"/>
          <w:szCs w:val="24"/>
          <w:highlight w:val="none"/>
          <w:lang w:val="en-US"/>
        </w:rPr>
        <w:t xml:space="preserve">作业情况</w:t>
      </w:r>
      <w:r>
        <w:rPr>
          <w:rFonts w:hint="eastAsia" w:ascii="楷体" w:hAnsi="楷体" w:eastAsia="楷体"/>
          <w:color w:val="auto"/>
          <w:sz w:val="24"/>
          <w:szCs w:val="24"/>
          <w:highlight w:val="none"/>
          <w:lang w:val="en-US"/>
        </w:rPr>
        <w:t xml:space="preserve">。甲方可以按内容进行考核，考核结果作为合同价款支付的依据。</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11、合同价款的支付</w:t>
      </w:r>
      <w:r/>
    </w:p>
    <w:p>
      <w:pPr>
        <w:ind w:firstLine="218"/>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11.1合同签订后，采购人应当自收到发票后10个工作日内支付第一年度合同金额的10%，服务期满半年后，支付第一年度合同金额的45%，服务期满一年后，第一年度合同金额付清。</w:t>
      </w:r>
      <w:r/>
    </w:p>
    <w:p>
      <w:pPr>
        <w:ind w:firstLine="218"/>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11.2从第二年开始，</w:t>
      </w:r>
      <w:r>
        <w:rPr>
          <w:rFonts w:ascii="楷体" w:hAnsi="楷体" w:eastAsia="楷体"/>
          <w:color w:val="auto"/>
          <w:sz w:val="24"/>
          <w:szCs w:val="24"/>
          <w:highlight w:val="none"/>
          <w:lang w:val="en-US"/>
        </w:rPr>
        <w:t xml:space="preserve">每半年付当年</w:t>
      </w:r>
      <w:r>
        <w:rPr>
          <w:rFonts w:hint="eastAsia" w:ascii="楷体" w:hAnsi="楷体" w:eastAsia="楷体"/>
          <w:color w:val="auto"/>
          <w:sz w:val="24"/>
          <w:szCs w:val="24"/>
          <w:highlight w:val="none"/>
          <w:lang w:val="en-US"/>
        </w:rPr>
        <w:t xml:space="preserve">合同价款</w:t>
      </w:r>
      <w:r>
        <w:rPr>
          <w:rFonts w:ascii="楷体" w:hAnsi="楷体" w:eastAsia="楷体"/>
          <w:color w:val="auto"/>
          <w:sz w:val="24"/>
          <w:szCs w:val="24"/>
          <w:highlight w:val="none"/>
          <w:lang w:val="en-US"/>
        </w:rPr>
        <w:t xml:space="preserve">的 50%</w:t>
      </w:r>
      <w:r>
        <w:rPr>
          <w:rFonts w:hint="eastAsia" w:ascii="楷体" w:hAnsi="楷体" w:eastAsia="楷体"/>
          <w:color w:val="auto"/>
          <w:sz w:val="24"/>
          <w:szCs w:val="24"/>
          <w:highlight w:val="none"/>
          <w:lang w:val="en-US"/>
        </w:rPr>
        <w:t xml:space="preserve">。</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12、违约责任</w:t>
      </w:r>
      <w:r/>
    </w:p>
    <w:p>
      <w:pPr>
        <w:ind w:firstLine="218"/>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12.1 甲方不能</w:t>
      </w:r>
      <w:r>
        <w:rPr>
          <w:rFonts w:hint="eastAsia" w:ascii="楷体" w:hAnsi="楷体" w:eastAsia="楷体"/>
          <w:color w:val="auto"/>
          <w:sz w:val="24"/>
          <w:szCs w:val="24"/>
          <w:highlight w:val="none"/>
          <w:lang w:val="en-US"/>
        </w:rPr>
        <w:t xml:space="preserve">按合同约定履行自己的各项义务、以及发生其它使合同无法履行的行为，应承担违约责任</w:t>
      </w:r>
      <w:r>
        <w:rPr>
          <w:rFonts w:hint="eastAsia" w:ascii="楷体" w:hAnsi="楷体" w:eastAsia="楷体"/>
          <w:color w:val="auto"/>
          <w:sz w:val="24"/>
          <w:szCs w:val="24"/>
          <w:highlight w:val="none"/>
          <w:lang w:val="en-US"/>
        </w:rPr>
        <w:t xml:space="preserve">。</w:t>
      </w:r>
      <w:r/>
    </w:p>
    <w:p>
      <w:pPr>
        <w:ind w:firstLine="218"/>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12.2 乙方不能达到所承诺的管护质量和有关技术规范标准，乙方按协议条款</w:t>
      </w:r>
      <w:r>
        <w:rPr>
          <w:rFonts w:hint="eastAsia" w:ascii="楷体" w:hAnsi="楷体" w:eastAsia="楷体"/>
          <w:color w:val="auto"/>
          <w:sz w:val="24"/>
          <w:szCs w:val="24"/>
          <w:highlight w:val="none"/>
          <w:lang w:val="en-US"/>
        </w:rPr>
        <w:t xml:space="preserve">承担违约责任</w:t>
      </w:r>
      <w:r>
        <w:rPr>
          <w:rFonts w:hint="eastAsia" w:ascii="楷体" w:hAnsi="楷体" w:eastAsia="楷体"/>
          <w:color w:val="auto"/>
          <w:sz w:val="24"/>
          <w:szCs w:val="24"/>
          <w:highlight w:val="none"/>
          <w:lang w:val="en-US"/>
        </w:rPr>
        <w:t xml:space="preserve">，赔偿因违约给甲方造成的损失。</w:t>
      </w:r>
      <w:r/>
    </w:p>
    <w:p>
      <w:pPr>
        <w:ind w:firstLine="218"/>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12.3 因一方违约使合同不能履行，另一方欲终止或解除全部合同，应提前10天通知违约方后，方可终止或解除合同，由违约方承担违约责任。</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13、争议及其解决</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13.1 甲乙双方因合同发生争议，可由甲乙双方协商、调解、向有管辖权的经济合同仲裁机关申请仲裁、或向有管辖权的人民法院起诉解决。</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13.2发生争议后，除出现以下情况的，双方都应继续履行合同，保持管护连续性：</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 合同确已无法履行；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 双方协议停止管护作业；</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 仲裁机关要求停止管护作业；</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(4) 法院要求停止管护作业。</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13、合同的中止</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13.1 承包范围内的管护管理项目，乙方不得采取任何形式实施分包和转包，凡违反此规定的，甲方将立即取消乙方的承包资格，中止管护承包合同的履行，由此产生的一切法律责任和经济损失由乙方承担；</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13.2 乙方在本合同订立之日起三个月内，作为试用期；经甲方考核，达不到质量和技术标准的，甲方有权终止合同。因试用不合格，试用期内管护费按合同价的月平均价50％付给。</w:t>
      </w:r>
      <w:r/>
    </w:p>
    <w:p>
      <w:pPr>
        <w:jc w:val="both"/>
        <w:spacing w:line="360" w:lineRule="auto"/>
        <w:rPr>
          <w:rFonts w:ascii="楷体" w:hAnsi="楷体" w:eastAsia="楷体"/>
          <w:b/>
          <w:color w:val="auto"/>
          <w:sz w:val="30"/>
          <w:szCs w:val="24"/>
          <w:highlight w:val="none"/>
          <w:lang w:val="en-US"/>
        </w:rPr>
      </w:pPr>
      <w:r/>
      <w:bookmarkStart w:id="51" w:name="_Toc22000624"/>
      <w:r>
        <w:rPr>
          <w:rFonts w:hint="eastAsia" w:ascii="楷体" w:hAnsi="楷体" w:eastAsia="楷体"/>
          <w:b/>
          <w:color w:val="auto"/>
          <w:sz w:val="30"/>
          <w:szCs w:val="24"/>
          <w:highlight w:val="none"/>
          <w:lang w:val="en-US"/>
        </w:rPr>
        <w:t xml:space="preserve">14、税费</w:t>
      </w:r>
      <w:bookmarkEnd w:id="51"/>
      <w:r/>
      <w:r/>
    </w:p>
    <w:p>
      <w:pPr>
        <w:ind w:firstLine="480"/>
        <w:jc w:val="both"/>
        <w:spacing w:line="360" w:lineRule="auto"/>
        <w:rPr>
          <w:rFonts w:ascii="楷体" w:hAnsi="楷体" w:eastAsia="楷体"/>
          <w:b/>
          <w:color w:val="auto"/>
          <w:sz w:val="30"/>
          <w:szCs w:val="24"/>
          <w:highlight w:val="none"/>
          <w:lang w:val="en-US"/>
        </w:rPr>
      </w:pPr>
      <w:r>
        <w:rPr>
          <w:rFonts w:hint="eastAsia" w:ascii="楷体" w:hAnsi="楷体" w:eastAsia="楷体"/>
          <w:color w:val="auto"/>
          <w:sz w:val="24"/>
          <w:szCs w:val="24"/>
          <w:highlight w:val="none"/>
          <w:lang w:val="en-US"/>
        </w:rPr>
        <w:t xml:space="preserve">14.1中国政府根据现行税法规定对甲方征收的与本合同有关的一切税费均由甲方负担（免税部分除外），招标文件另有规定的除外。</w:t>
      </w:r>
      <w:r/>
    </w:p>
    <w:p>
      <w:pPr>
        <w:ind w:firstLine="480"/>
        <w:jc w:val="both"/>
        <w:spacing w:line="360" w:lineRule="auto"/>
        <w:rPr>
          <w:rFonts w:ascii="楷体" w:hAnsi="楷体" w:eastAsia="楷体"/>
          <w:b/>
          <w:color w:val="auto"/>
          <w:sz w:val="30"/>
          <w:szCs w:val="24"/>
          <w:highlight w:val="none"/>
          <w:lang w:val="en-US"/>
        </w:rPr>
      </w:pPr>
      <w:r>
        <w:rPr>
          <w:rFonts w:hint="eastAsia" w:ascii="楷体" w:hAnsi="楷体" w:eastAsia="楷体"/>
          <w:color w:val="auto"/>
          <w:sz w:val="24"/>
          <w:szCs w:val="24"/>
          <w:highlight w:val="none"/>
          <w:lang w:val="en-US"/>
        </w:rPr>
        <w:t xml:space="preserve">14.2 中国政府根据现行税法规定对乙方征收的与本合同有关的一切税费均由乙方负担（免税部分除外）。</w:t>
      </w:r>
      <w:r/>
    </w:p>
    <w:p>
      <w:pPr>
        <w:jc w:val="both"/>
        <w:spacing w:line="360" w:lineRule="auto"/>
        <w:rPr>
          <w:rFonts w:ascii="楷体" w:hAnsi="楷体" w:eastAsia="楷体"/>
          <w:b/>
          <w:color w:val="auto"/>
          <w:sz w:val="30"/>
          <w:szCs w:val="24"/>
          <w:highlight w:val="none"/>
          <w:lang w:val="en-US"/>
        </w:rPr>
      </w:pPr>
      <w:r/>
      <w:bookmarkStart w:id="52" w:name="_Toc22000625"/>
      <w:r>
        <w:rPr>
          <w:rFonts w:hint="eastAsia" w:ascii="楷体" w:hAnsi="楷体" w:eastAsia="楷体"/>
          <w:b/>
          <w:color w:val="auto"/>
          <w:sz w:val="30"/>
          <w:szCs w:val="24"/>
          <w:highlight w:val="none"/>
          <w:lang w:val="en-US"/>
        </w:rPr>
        <w:t xml:space="preserve">15、履约保证金</w:t>
      </w:r>
      <w:bookmarkEnd w:id="52"/>
      <w:r/>
      <w:r/>
    </w:p>
    <w:p>
      <w:pPr>
        <w:ind w:firstLine="480"/>
        <w:jc w:val="both"/>
        <w:spacing w:line="360" w:lineRule="auto"/>
        <w:rPr>
          <w:rFonts w:ascii="楷体" w:hAnsi="楷体" w:eastAsia="楷体"/>
          <w:i/>
          <w:color w:val="auto"/>
          <w:sz w:val="24"/>
          <w:szCs w:val="24"/>
          <w:highlight w:val="none"/>
          <w:u w:val="single"/>
          <w:lang w:val="en-US"/>
        </w:rPr>
      </w:pPr>
      <w:r>
        <w:rPr>
          <w:rFonts w:hint="eastAsia" w:ascii="楷体" w:hAnsi="楷体" w:eastAsia="楷体"/>
          <w:color w:val="auto"/>
          <w:sz w:val="24"/>
          <w:szCs w:val="24"/>
          <w:highlight w:val="none"/>
          <w:lang w:val="en-US"/>
        </w:rPr>
        <w:t xml:space="preserve">15.1 本项目不设履约保证金。</w:t>
      </w:r>
      <w:r/>
    </w:p>
    <w:p>
      <w:pPr>
        <w:ind w:right="17"/>
        <w:jc w:val="both"/>
        <w:spacing w:line="360" w:lineRule="auto"/>
        <w:rPr>
          <w:rFonts w:ascii="楷体" w:hAnsi="楷体" w:eastAsia="楷体"/>
          <w:color w:val="auto"/>
          <w:sz w:val="24"/>
          <w:szCs w:val="24"/>
          <w:highlight w:val="none"/>
          <w:lang w:val="en-US"/>
        </w:rPr>
      </w:pPr>
      <w:r>
        <w:rPr>
          <w:rFonts w:hint="eastAsia" w:ascii="楷体" w:hAnsi="楷体" w:eastAsia="楷体"/>
          <w:b/>
          <w:color w:val="auto"/>
          <w:sz w:val="30"/>
          <w:szCs w:val="24"/>
          <w:highlight w:val="none"/>
          <w:lang w:val="en-US"/>
        </w:rPr>
        <w:t xml:space="preserve">16、破产终止合同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16.1 如果乙方破产或无清偿能力时，甲方在任何时候书面通知乙方终止合同而不给乙方补偿。该终止合同将不损害或影响甲方已经或将要采取的补救措施的权利。</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17、合同生效及其它</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17.1 合同经甲方、乙方签字生效。</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17.2 本合同一式肆份，以中文书写，甲方两份、乙方两份。</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17.3 本合同签订后所发生的纠纷，甲方与乙方协商处理。</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17.4 如需修改或补充合同内容，应经甲方、乙方协商，并签署书面修改或补充协议，提交见证方一份备案。该协议将作为本合同不可分割的一部分。</w:t>
      </w:r>
      <w:r/>
    </w:p>
    <w:p>
      <w:pPr>
        <w:ind w:firstLine="480"/>
        <w:jc w:val="both"/>
        <w:spacing w:line="360" w:lineRule="auto"/>
        <w:rPr>
          <w:rFonts w:ascii="楷体" w:hAnsi="楷体" w:eastAsia="楷体"/>
          <w:b/>
          <w:color w:val="auto"/>
          <w:sz w:val="44"/>
          <w:szCs w:val="44"/>
          <w:highlight w:val="none"/>
          <w:lang w:val="en-US"/>
        </w:rPr>
      </w:pPr>
      <w:r>
        <w:rPr>
          <w:rFonts w:hint="eastAsia" w:ascii="楷体" w:hAnsi="楷体" w:eastAsia="楷体"/>
          <w:color w:val="auto"/>
          <w:sz w:val="24"/>
          <w:szCs w:val="24"/>
          <w:highlight w:val="none"/>
          <w:lang w:val="en-US"/>
        </w:rPr>
        <w:t xml:space="preserve">17.5 本合同应按照中华人民共和国的现行法律进行解释。</w:t>
      </w:r>
      <w:r/>
    </w:p>
    <w:p>
      <w:pPr>
        <w:rPr>
          <w:rFonts w:ascii="楷体" w:hAnsi="楷体" w:eastAsia="楷体"/>
          <w:b/>
          <w:color w:val="auto"/>
          <w:sz w:val="44"/>
          <w:szCs w:val="44"/>
          <w:highlight w:val="none"/>
          <w:lang w:val="en-US"/>
        </w:rPr>
      </w:pPr>
      <w:r>
        <w:rPr>
          <w:rFonts w:hint="eastAsia" w:ascii="楷体" w:hAnsi="楷体" w:eastAsia="楷体"/>
          <w:b/>
          <w:color w:val="auto"/>
          <w:sz w:val="44"/>
          <w:szCs w:val="44"/>
          <w:highlight w:val="none"/>
          <w:lang w:val="en-US"/>
        </w:rPr>
        <w:br w:type="page" w:clear="all"/>
      </w:r>
      <w:r/>
    </w:p>
    <w:p>
      <w:pPr>
        <w:jc w:val="center"/>
        <w:spacing w:line="500" w:lineRule="exact"/>
        <w:rPr>
          <w:rFonts w:ascii="楷体" w:hAnsi="楷体" w:eastAsia="楷体"/>
          <w:b/>
          <w:color w:val="auto"/>
          <w:sz w:val="44"/>
          <w:szCs w:val="44"/>
          <w:highlight w:val="none"/>
          <w:lang w:val="en-US"/>
        </w:rPr>
      </w:pPr>
      <w:r>
        <w:rPr>
          <w:rFonts w:hint="eastAsia" w:ascii="楷体" w:hAnsi="楷体" w:eastAsia="楷体"/>
          <w:b/>
          <w:color w:val="auto"/>
          <w:sz w:val="44"/>
          <w:szCs w:val="44"/>
          <w:highlight w:val="none"/>
          <w:lang w:val="en-US"/>
        </w:rPr>
        <w:t xml:space="preserve">合   同</w:t>
      </w:r>
      <w:r/>
    </w:p>
    <w:p>
      <w:pPr>
        <w:ind w:firstLine="560"/>
        <w:jc w:val="both"/>
        <w:spacing w:line="360" w:lineRule="auto"/>
        <w:rPr>
          <w:rFonts w:ascii="楷体" w:hAnsi="楷体" w:eastAsia="楷体"/>
          <w:color w:val="auto"/>
          <w:sz w:val="28"/>
          <w:szCs w:val="24"/>
          <w:highlight w:val="none"/>
          <w:lang w:val="en-US"/>
        </w:rPr>
      </w:pPr>
      <w:r>
        <w:rPr>
          <w:rFonts w:ascii="楷体" w:hAnsi="楷体" w:eastAsia="楷体"/>
          <w:color w:val="auto"/>
          <w:sz w:val="28"/>
          <w:szCs w:val="24"/>
          <w:highlight w:val="none"/>
          <w:lang w:val="en-US"/>
        </w:rPr>
      </w:r>
      <w:r/>
    </w:p>
    <w:p>
      <w:pPr>
        <w:ind w:firstLine="560"/>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u w:val="single"/>
          <w:lang w:val="en-US"/>
        </w:rPr>
        <w:t xml:space="preserve">镇江市丹徒区城市管理局</w:t>
      </w:r>
      <w:r>
        <w:rPr>
          <w:rFonts w:hint="eastAsia" w:ascii="楷体" w:hAnsi="楷体" w:eastAsia="楷体"/>
          <w:color w:val="auto"/>
          <w:sz w:val="28"/>
          <w:szCs w:val="24"/>
          <w:highlight w:val="none"/>
          <w:lang w:val="en-US"/>
        </w:rPr>
        <w:t xml:space="preserve">（以下简称“甲方”）和（以下简称“乙方”）同意按下述条款和条件签订本合同（以下简称“合同”）：</w:t>
      </w:r>
      <w:r/>
    </w:p>
    <w:p>
      <w:pPr>
        <w:jc w:val="both"/>
        <w:spacing w:line="500" w:lineRule="exact"/>
        <w:rPr>
          <w:rFonts w:ascii="楷体" w:hAnsi="楷体" w:eastAsia="楷体"/>
          <w:b/>
          <w:color w:val="auto"/>
          <w:sz w:val="30"/>
          <w:szCs w:val="24"/>
          <w:highlight w:val="none"/>
          <w:lang w:val="en-US"/>
        </w:rPr>
      </w:pPr>
      <w:r/>
      <w:bookmarkStart w:id="53" w:name="_Toc22000633"/>
      <w:r>
        <w:rPr>
          <w:rFonts w:hint="eastAsia" w:ascii="楷体" w:hAnsi="楷体" w:eastAsia="楷体"/>
          <w:b/>
          <w:color w:val="auto"/>
          <w:sz w:val="30"/>
          <w:szCs w:val="24"/>
          <w:highlight w:val="none"/>
          <w:lang w:val="en-US"/>
        </w:rPr>
        <w:t xml:space="preserve">   1.合同文件</w:t>
      </w:r>
      <w:bookmarkEnd w:id="53"/>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下列关于</w:t>
      </w:r>
      <w:r>
        <w:rPr>
          <w:rFonts w:hint="eastAsia" w:ascii="楷体" w:hAnsi="楷体" w:eastAsia="楷体"/>
          <w:color w:val="auto"/>
          <w:sz w:val="28"/>
          <w:szCs w:val="24"/>
          <w:highlight w:val="none"/>
          <w:u w:val="single"/>
          <w:lang w:val="en-US" w:eastAsia="zh-CN"/>
        </w:rPr>
        <w:t xml:space="preserve">      </w:t>
      </w:r>
      <w:r>
        <w:rPr>
          <w:rFonts w:hint="eastAsia" w:ascii="楷体" w:hAnsi="楷体" w:eastAsia="楷体"/>
          <w:color w:val="auto"/>
          <w:sz w:val="28"/>
          <w:szCs w:val="24"/>
          <w:highlight w:val="none"/>
          <w:lang w:val="en-US"/>
        </w:rPr>
        <w:t xml:space="preserve">（项目名称</w:t>
      </w:r>
      <w:r>
        <w:rPr>
          <w:rFonts w:hint="eastAsia" w:ascii="楷体" w:hAnsi="楷体" w:eastAsia="楷体"/>
          <w:color w:val="auto"/>
          <w:sz w:val="28"/>
          <w:szCs w:val="24"/>
          <w:highlight w:val="none"/>
          <w:u w:val="single"/>
          <w:lang w:val="en-US"/>
        </w:rPr>
        <w:t xml:space="preserve">）      </w:t>
      </w:r>
      <w:r>
        <w:rPr>
          <w:rFonts w:hint="eastAsia" w:ascii="楷体" w:hAnsi="楷体" w:eastAsia="楷体"/>
          <w:color w:val="auto"/>
          <w:sz w:val="28"/>
          <w:szCs w:val="24"/>
          <w:highlight w:val="none"/>
          <w:lang w:val="en-US"/>
        </w:rPr>
        <w:t xml:space="preserve">（项目编号）的招标文件、乙方提交的投标文件是构成本合同不可分割的部分：</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（1）合同条款</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（2）投标函；</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（3）开标（报价）一览表；</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（4）明细报价表</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（5）投标书及附件；</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（6）技术及服务响应文件；</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（7）中标通知书；</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（8）甲方、乙方商定的其他必要文件。</w:t>
      </w:r>
      <w:r/>
    </w:p>
    <w:p>
      <w:pPr>
        <w:ind w:firstLine="562"/>
        <w:jc w:val="both"/>
        <w:spacing w:line="360" w:lineRule="auto"/>
        <w:rPr>
          <w:rFonts w:ascii="楷体" w:hAnsi="楷体" w:eastAsia="楷体"/>
          <w:b/>
          <w:bCs/>
          <w:color w:val="auto"/>
          <w:sz w:val="28"/>
          <w:szCs w:val="24"/>
          <w:highlight w:val="none"/>
          <w:lang w:val="en-US"/>
        </w:rPr>
      </w:pPr>
      <w:r>
        <w:rPr>
          <w:rFonts w:hint="eastAsia" w:ascii="楷体" w:hAnsi="楷体" w:eastAsia="楷体"/>
          <w:b/>
          <w:bCs/>
          <w:color w:val="auto"/>
          <w:sz w:val="28"/>
          <w:szCs w:val="24"/>
          <w:highlight w:val="none"/>
          <w:lang w:val="en-US"/>
        </w:rPr>
        <w:t xml:space="preserve">2.项目概况</w:t>
      </w:r>
      <w:r/>
    </w:p>
    <w:p>
      <w:pPr>
        <w:ind w:firstLine="560"/>
        <w:jc w:val="both"/>
        <w:spacing w:line="360" w:lineRule="auto"/>
        <w:rPr>
          <w:rFonts w:ascii="楷体" w:hAnsi="楷体" w:eastAsia="楷体"/>
          <w:color w:val="auto"/>
          <w:sz w:val="28"/>
          <w:szCs w:val="24"/>
          <w:highlight w:val="none"/>
          <w:u w:val="single"/>
          <w:lang w:val="en-US"/>
        </w:rPr>
      </w:pPr>
      <w:r>
        <w:rPr>
          <w:rFonts w:hint="eastAsia" w:ascii="楷体" w:hAnsi="楷体" w:eastAsia="楷体"/>
          <w:color w:val="auto"/>
          <w:sz w:val="28"/>
          <w:szCs w:val="24"/>
          <w:highlight w:val="none"/>
          <w:lang w:val="en-US"/>
        </w:rPr>
        <w:t xml:space="preserve">项目名称：管护服务</w:t>
      </w:r>
      <w:r/>
    </w:p>
    <w:p>
      <w:pPr>
        <w:ind w:firstLine="560"/>
        <w:jc w:val="both"/>
        <w:spacing w:line="360" w:lineRule="auto"/>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管护内容：按招标文件执行</w:t>
      </w:r>
      <w:r/>
    </w:p>
    <w:p>
      <w:pPr>
        <w:ind w:firstLine="562"/>
        <w:jc w:val="both"/>
        <w:spacing w:line="360" w:lineRule="auto"/>
        <w:rPr>
          <w:rFonts w:ascii="楷体" w:hAnsi="楷体" w:eastAsia="楷体"/>
          <w:color w:val="auto"/>
          <w:sz w:val="28"/>
          <w:szCs w:val="24"/>
          <w:highlight w:val="none"/>
          <w:u w:val="single"/>
          <w:lang w:val="en-US"/>
        </w:rPr>
      </w:pPr>
      <w:r>
        <w:rPr>
          <w:rFonts w:hint="eastAsia" w:ascii="楷体" w:hAnsi="楷体" w:eastAsia="楷体"/>
          <w:b/>
          <w:bCs/>
          <w:color w:val="auto"/>
          <w:sz w:val="28"/>
          <w:szCs w:val="24"/>
          <w:highlight w:val="none"/>
          <w:lang w:val="en-US"/>
        </w:rPr>
        <w:t xml:space="preserve">3.承包范围</w:t>
      </w:r>
      <w:r>
        <w:rPr>
          <w:rFonts w:hint="eastAsia" w:ascii="楷体" w:hAnsi="楷体" w:eastAsia="楷体"/>
          <w:color w:val="auto"/>
          <w:sz w:val="28"/>
          <w:szCs w:val="24"/>
          <w:highlight w:val="none"/>
          <w:lang w:val="en-US"/>
        </w:rPr>
        <w:t xml:space="preserve">：</w:t>
      </w:r>
      <w:r/>
    </w:p>
    <w:p>
      <w:pPr>
        <w:ind w:firstLine="562"/>
        <w:jc w:val="both"/>
        <w:spacing w:line="360" w:lineRule="auto"/>
        <w:rPr>
          <w:rFonts w:ascii="楷体" w:hAnsi="楷体" w:eastAsia="楷体"/>
          <w:b/>
          <w:bCs/>
          <w:color w:val="auto"/>
          <w:sz w:val="28"/>
          <w:szCs w:val="24"/>
          <w:highlight w:val="none"/>
          <w:lang w:val="en-US"/>
        </w:rPr>
      </w:pPr>
      <w:r>
        <w:rPr>
          <w:rFonts w:hint="eastAsia" w:ascii="楷体" w:hAnsi="楷体" w:eastAsia="楷体"/>
          <w:b/>
          <w:bCs/>
          <w:color w:val="auto"/>
          <w:sz w:val="28"/>
          <w:szCs w:val="24"/>
          <w:highlight w:val="none"/>
          <w:lang w:val="en-US"/>
        </w:rPr>
        <w:t xml:space="preserve">4.服务期</w:t>
      </w:r>
      <w:r/>
    </w:p>
    <w:p>
      <w:pPr>
        <w:ind w:firstLine="560"/>
        <w:jc w:val="both"/>
        <w:spacing w:line="360" w:lineRule="auto"/>
        <w:rPr>
          <w:rFonts w:ascii="楷体" w:hAnsi="楷体" w:eastAsia="楷体"/>
          <w:color w:val="auto"/>
          <w:sz w:val="28"/>
          <w:szCs w:val="24"/>
          <w:highlight w:val="none"/>
          <w:u w:val="single"/>
          <w:lang w:val="en-US"/>
        </w:rPr>
      </w:pPr>
      <w:r>
        <w:rPr>
          <w:rFonts w:hint="eastAsia" w:ascii="楷体" w:hAnsi="楷体" w:eastAsia="楷体"/>
          <w:color w:val="auto"/>
          <w:sz w:val="28"/>
          <w:szCs w:val="24"/>
          <w:highlight w:val="none"/>
          <w:u w:val="single"/>
          <w:lang w:val="en-US"/>
        </w:rPr>
        <w:t xml:space="preserve">     年    月    日起至     年    月     日，为      个月。</w:t>
      </w:r>
      <w:r/>
    </w:p>
    <w:p>
      <w:pPr>
        <w:ind w:firstLine="562"/>
        <w:jc w:val="both"/>
        <w:spacing w:line="360" w:lineRule="auto"/>
        <w:rPr>
          <w:rFonts w:ascii="楷体" w:hAnsi="楷体" w:eastAsia="楷体"/>
          <w:b/>
          <w:bCs/>
          <w:color w:val="auto"/>
          <w:sz w:val="28"/>
          <w:szCs w:val="24"/>
          <w:highlight w:val="none"/>
          <w:lang w:val="en-US"/>
        </w:rPr>
      </w:pPr>
      <w:r>
        <w:rPr>
          <w:rFonts w:hint="eastAsia" w:ascii="楷体" w:hAnsi="楷体" w:eastAsia="楷体"/>
          <w:b/>
          <w:bCs/>
          <w:color w:val="auto"/>
          <w:sz w:val="28"/>
          <w:szCs w:val="24"/>
          <w:highlight w:val="none"/>
          <w:lang w:val="en-US"/>
        </w:rPr>
        <w:t xml:space="preserve">5.承包方式</w:t>
      </w:r>
      <w:r/>
    </w:p>
    <w:p>
      <w:pPr>
        <w:ind w:firstLine="560"/>
        <w:jc w:val="both"/>
        <w:spacing w:line="360" w:lineRule="auto"/>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本项目由乙方以包工、包料、包质量、包安全、包文明施工的方式实施总承包，乙方应对全部管护服务负责，中标以后不得分包、转包。如一经发现上述行为，甲方单方有权立即终止综合管护服务承包合同，由此产生一切法律责任和经济损失均由乙方承担。</w:t>
      </w:r>
      <w:r/>
    </w:p>
    <w:p>
      <w:pPr>
        <w:ind w:firstLine="562"/>
        <w:jc w:val="both"/>
        <w:spacing w:line="360" w:lineRule="auto"/>
        <w:rPr>
          <w:rFonts w:ascii="楷体" w:hAnsi="楷体" w:eastAsia="楷体"/>
          <w:b/>
          <w:bCs/>
          <w:color w:val="auto"/>
          <w:sz w:val="28"/>
          <w:szCs w:val="24"/>
          <w:highlight w:val="none"/>
          <w:lang w:val="en-US"/>
        </w:rPr>
      </w:pPr>
      <w:r>
        <w:rPr>
          <w:rFonts w:hint="eastAsia" w:ascii="楷体" w:hAnsi="楷体" w:eastAsia="楷体"/>
          <w:b/>
          <w:bCs/>
          <w:color w:val="auto"/>
          <w:sz w:val="28"/>
          <w:szCs w:val="24"/>
          <w:highlight w:val="none"/>
          <w:lang w:val="en-US"/>
        </w:rPr>
        <w:t xml:space="preserve">6.管护质量标准</w:t>
      </w:r>
      <w:r/>
    </w:p>
    <w:p>
      <w:pPr>
        <w:ind w:firstLine="560"/>
        <w:jc w:val="both"/>
        <w:spacing w:line="360" w:lineRule="auto"/>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甲方夜景灯光管护内容中所涉及到管护等级标准及招投标文件和合同约定中的管护要求。</w:t>
      </w:r>
      <w:r/>
    </w:p>
    <w:p>
      <w:pPr>
        <w:ind w:firstLine="562"/>
        <w:jc w:val="both"/>
        <w:spacing w:line="360" w:lineRule="auto"/>
        <w:rPr>
          <w:rFonts w:ascii="楷体" w:hAnsi="楷体" w:eastAsia="楷体"/>
          <w:b/>
          <w:bCs/>
          <w:color w:val="auto"/>
          <w:sz w:val="28"/>
          <w:szCs w:val="24"/>
          <w:highlight w:val="none"/>
          <w:lang w:val="en-US"/>
        </w:rPr>
      </w:pPr>
      <w:r>
        <w:rPr>
          <w:rFonts w:hint="eastAsia" w:ascii="楷体" w:hAnsi="楷体" w:eastAsia="楷体"/>
          <w:b/>
          <w:bCs/>
          <w:color w:val="auto"/>
          <w:sz w:val="28"/>
          <w:szCs w:val="24"/>
          <w:highlight w:val="none"/>
          <w:lang w:val="en-US"/>
        </w:rPr>
        <w:t xml:space="preserve">8.合同价款</w:t>
      </w:r>
      <w:r/>
    </w:p>
    <w:p>
      <w:pPr>
        <w:ind w:firstLine="560"/>
        <w:jc w:val="both"/>
        <w:spacing w:line="360" w:lineRule="auto"/>
        <w:rPr>
          <w:rFonts w:ascii="楷体" w:hAnsi="楷体" w:eastAsia="楷体"/>
          <w:color w:val="auto"/>
          <w:sz w:val="28"/>
          <w:szCs w:val="24"/>
          <w:highlight w:val="none"/>
          <w:u w:val="single"/>
          <w:lang w:val="en-US"/>
        </w:rPr>
      </w:pPr>
      <w:r>
        <w:rPr>
          <w:rFonts w:hint="eastAsia" w:ascii="楷体" w:hAnsi="楷体" w:eastAsia="楷体"/>
          <w:color w:val="auto"/>
          <w:sz w:val="28"/>
          <w:szCs w:val="24"/>
          <w:highlight w:val="none"/>
          <w:lang w:val="en-US"/>
        </w:rPr>
        <w:t xml:space="preserve">金  额：(大写)(人民币)</w:t>
      </w:r>
      <w:r>
        <w:rPr>
          <w:rFonts w:hint="eastAsia" w:ascii="楷体" w:hAnsi="楷体" w:eastAsia="楷体"/>
          <w:color w:val="auto"/>
          <w:sz w:val="28"/>
          <w:szCs w:val="24"/>
          <w:highlight w:val="none"/>
          <w:u w:val="single"/>
          <w:lang w:val="en-US"/>
        </w:rPr>
        <w:t xml:space="preserve">￥                  元</w:t>
      </w:r>
      <w:r/>
    </w:p>
    <w:p>
      <w:pPr>
        <w:jc w:val="both"/>
        <w:spacing w:line="360" w:lineRule="auto"/>
        <w:rPr>
          <w:rFonts w:ascii="楷体" w:hAnsi="楷体" w:eastAsia="楷体"/>
          <w:b/>
          <w:color w:val="auto"/>
          <w:sz w:val="30"/>
          <w:szCs w:val="24"/>
          <w:highlight w:val="none"/>
          <w:lang w:val="en-US"/>
        </w:rPr>
      </w:pPr>
      <w:r/>
      <w:bookmarkStart w:id="54" w:name="_Toc22000640"/>
      <w:r>
        <w:rPr>
          <w:rFonts w:hint="eastAsia" w:ascii="楷体" w:hAnsi="楷体" w:eastAsia="楷体"/>
          <w:b/>
          <w:color w:val="auto"/>
          <w:sz w:val="30"/>
          <w:szCs w:val="24"/>
          <w:highlight w:val="none"/>
          <w:lang w:val="en-US"/>
        </w:rPr>
        <w:t xml:space="preserve">   9．合同生效及其它</w:t>
      </w:r>
      <w:bookmarkEnd w:id="54"/>
      <w:r/>
      <w:r/>
    </w:p>
    <w:p>
      <w:pPr>
        <w:ind w:firstLine="560"/>
        <w:jc w:val="both"/>
        <w:spacing w:line="500" w:lineRule="exact"/>
        <w:rPr>
          <w:rFonts w:ascii="楷体" w:hAnsi="楷体" w:eastAsia="楷体"/>
          <w:color w:val="auto"/>
          <w:sz w:val="28"/>
          <w:szCs w:val="28"/>
          <w:highlight w:val="none"/>
          <w:lang w:val="en-US"/>
        </w:rPr>
      </w:pPr>
      <w:r>
        <w:rPr>
          <w:rFonts w:hint="eastAsia" w:ascii="楷体" w:hAnsi="楷体" w:eastAsia="楷体"/>
          <w:color w:val="auto"/>
          <w:sz w:val="28"/>
          <w:szCs w:val="24"/>
          <w:highlight w:val="none"/>
          <w:lang w:val="en-US"/>
        </w:rPr>
        <w:t xml:space="preserve">本合同经甲乙双方盖章签字后生效。</w:t>
      </w:r>
      <w:r>
        <w:rPr>
          <w:rFonts w:hint="eastAsia" w:ascii="楷体" w:hAnsi="楷体" w:eastAsia="楷体"/>
          <w:color w:val="auto"/>
          <w:sz w:val="28"/>
          <w:szCs w:val="28"/>
          <w:highlight w:val="none"/>
          <w:lang w:val="en-US"/>
        </w:rPr>
        <w:t xml:space="preserve">本合同一式伍份，甲方两份，乙方两份、镇江市丹徒区政府采购监督管理部门执</w:t>
      </w:r>
      <w:r>
        <w:rPr>
          <w:rFonts w:hint="eastAsia" w:ascii="楷体" w:hAnsi="楷体" w:eastAsia="楷体"/>
          <w:color w:val="auto"/>
          <w:spacing w:val="4"/>
          <w:sz w:val="28"/>
          <w:szCs w:val="28"/>
          <w:highlight w:val="none"/>
          <w:lang w:val="en-US"/>
        </w:rPr>
        <w:t xml:space="preserve">一份</w:t>
      </w:r>
      <w:r>
        <w:rPr>
          <w:rFonts w:hint="eastAsia" w:ascii="楷体" w:hAnsi="楷体" w:eastAsia="楷体"/>
          <w:color w:val="auto"/>
          <w:sz w:val="28"/>
          <w:szCs w:val="28"/>
          <w:highlight w:val="none"/>
          <w:lang w:val="en-US"/>
        </w:rPr>
        <w:t xml:space="preserve">。</w:t>
      </w:r>
      <w:r/>
    </w:p>
    <w:p>
      <w:pPr>
        <w:ind w:left="-142" w:firstLine="142"/>
        <w:jc w:val="both"/>
        <w:spacing w:line="480" w:lineRule="exact"/>
        <w:rPr>
          <w:rFonts w:ascii="楷体" w:hAnsi="楷体" w:eastAsia="楷体"/>
          <w:b/>
          <w:color w:val="auto"/>
          <w:sz w:val="28"/>
          <w:szCs w:val="24"/>
          <w:highlight w:val="none"/>
          <w:lang w:val="en-US"/>
        </w:rPr>
      </w:pPr>
      <w:r>
        <w:rPr>
          <w:rFonts w:ascii="楷体" w:hAnsi="楷体" w:eastAsia="楷体"/>
          <w:b/>
          <w:color w:val="auto"/>
          <w:sz w:val="28"/>
          <w:szCs w:val="24"/>
          <w:highlight w:val="none"/>
          <w:lang w:val="en-US"/>
        </w:rPr>
      </w:r>
      <w:r/>
    </w:p>
    <w:p>
      <w:pPr>
        <w:ind w:left="-142" w:firstLine="142"/>
        <w:jc w:val="both"/>
        <w:spacing w:line="480" w:lineRule="exact"/>
        <w:rPr>
          <w:rFonts w:ascii="楷体" w:hAnsi="楷体" w:eastAsia="楷体"/>
          <w:b/>
          <w:color w:val="auto"/>
          <w:sz w:val="28"/>
          <w:szCs w:val="24"/>
          <w:highlight w:val="none"/>
          <w:lang w:val="en-US"/>
        </w:rPr>
      </w:pPr>
      <w:r>
        <w:rPr>
          <w:rFonts w:ascii="楷体" w:hAnsi="楷体" w:eastAsia="楷体"/>
          <w:b/>
          <w:color w:val="auto"/>
          <w:sz w:val="28"/>
          <w:szCs w:val="24"/>
          <w:highlight w:val="none"/>
          <w:lang w:val="en-US"/>
        </w:rPr>
      </w:r>
      <w:r/>
    </w:p>
    <w:p>
      <w:pPr>
        <w:ind w:left="-142" w:firstLine="142"/>
        <w:jc w:val="both"/>
        <w:spacing w:line="480" w:lineRule="exact"/>
        <w:rPr>
          <w:rFonts w:ascii="楷体" w:hAnsi="楷体" w:eastAsia="楷体"/>
          <w:b/>
          <w:color w:val="auto"/>
          <w:sz w:val="28"/>
          <w:szCs w:val="24"/>
          <w:highlight w:val="none"/>
          <w:lang w:val="en-US"/>
        </w:rPr>
      </w:pPr>
      <w:r>
        <w:rPr>
          <w:rFonts w:hint="eastAsia" w:ascii="楷体" w:hAnsi="楷体" w:eastAsia="楷体"/>
          <w:b/>
          <w:color w:val="auto"/>
          <w:sz w:val="28"/>
          <w:szCs w:val="24"/>
          <w:highlight w:val="none"/>
          <w:lang w:val="en-US"/>
        </w:rPr>
        <w:t xml:space="preserve">甲方（单位盖章）：镇江市丹徒区城市管理局</w:t>
      </w:r>
      <w:r/>
    </w:p>
    <w:p>
      <w:pPr>
        <w:jc w:val="both"/>
        <w:spacing w:line="480" w:lineRule="exact"/>
        <w:rPr>
          <w:rFonts w:ascii="楷体" w:hAnsi="楷体" w:eastAsia="楷体"/>
          <w:b/>
          <w:color w:val="auto"/>
          <w:sz w:val="28"/>
          <w:szCs w:val="24"/>
          <w:highlight w:val="none"/>
          <w:lang w:val="en-US"/>
        </w:rPr>
      </w:pPr>
      <w:r>
        <w:rPr>
          <w:rFonts w:hint="eastAsia" w:ascii="楷体" w:hAnsi="楷体" w:eastAsia="楷体"/>
          <w:b/>
          <w:color w:val="auto"/>
          <w:sz w:val="28"/>
          <w:szCs w:val="24"/>
          <w:highlight w:val="none"/>
          <w:lang w:val="en-US"/>
        </w:rPr>
        <w:t xml:space="preserve">地    址：                             联系电话：</w:t>
      </w:r>
      <w:r/>
    </w:p>
    <w:p>
      <w:pPr>
        <w:jc w:val="both"/>
        <w:spacing w:line="480" w:lineRule="exact"/>
        <w:rPr>
          <w:rFonts w:ascii="楷体" w:hAnsi="楷体" w:eastAsia="楷体"/>
          <w:b/>
          <w:color w:val="auto"/>
          <w:sz w:val="28"/>
          <w:szCs w:val="24"/>
          <w:highlight w:val="none"/>
          <w:lang w:val="en-US"/>
        </w:rPr>
      </w:pPr>
      <w:r>
        <w:rPr>
          <w:rFonts w:hint="eastAsia" w:ascii="楷体" w:hAnsi="楷体" w:eastAsia="楷体"/>
          <w:b/>
          <w:color w:val="auto"/>
          <w:sz w:val="28"/>
          <w:szCs w:val="24"/>
          <w:highlight w:val="none"/>
          <w:lang w:val="en-US"/>
        </w:rPr>
        <w:t xml:space="preserve">代表签字： </w:t>
      </w:r>
      <w:r/>
    </w:p>
    <w:p>
      <w:pPr>
        <w:spacing w:line="480" w:lineRule="exact"/>
        <w:rPr>
          <w:rFonts w:ascii="楷体" w:hAnsi="楷体" w:eastAsia="楷体"/>
          <w:b/>
          <w:color w:val="auto"/>
          <w:sz w:val="28"/>
          <w:szCs w:val="24"/>
          <w:highlight w:val="none"/>
          <w:lang w:val="en-US"/>
        </w:rPr>
      </w:pPr>
      <w:r>
        <w:rPr>
          <w:rFonts w:ascii="楷体" w:hAnsi="楷体" w:eastAsia="楷体"/>
          <w:b/>
          <w:color w:val="auto"/>
          <w:sz w:val="28"/>
          <w:szCs w:val="24"/>
          <w:highlight w:val="none"/>
          <w:lang w:val="en-US"/>
        </w:rPr>
      </w:r>
      <w:r/>
    </w:p>
    <w:p>
      <w:pPr>
        <w:spacing w:line="480" w:lineRule="exact"/>
        <w:rPr>
          <w:rFonts w:ascii="楷体" w:hAnsi="楷体" w:eastAsia="楷体"/>
          <w:b/>
          <w:color w:val="auto"/>
          <w:sz w:val="28"/>
          <w:szCs w:val="24"/>
          <w:highlight w:val="none"/>
          <w:lang w:val="en-US"/>
        </w:rPr>
      </w:pPr>
      <w:r>
        <w:rPr>
          <w:rFonts w:ascii="楷体" w:hAnsi="楷体" w:eastAsia="楷体"/>
          <w:b/>
          <w:color w:val="auto"/>
          <w:sz w:val="28"/>
          <w:szCs w:val="24"/>
          <w:highlight w:val="none"/>
          <w:lang w:val="en-US"/>
        </w:rPr>
      </w:r>
      <w:r/>
    </w:p>
    <w:p>
      <w:pPr>
        <w:spacing w:line="480" w:lineRule="exact"/>
        <w:rPr>
          <w:rFonts w:ascii="楷体" w:hAnsi="楷体" w:eastAsia="楷体"/>
          <w:b/>
          <w:color w:val="auto"/>
          <w:sz w:val="28"/>
          <w:szCs w:val="24"/>
          <w:highlight w:val="none"/>
          <w:lang w:val="en-US"/>
        </w:rPr>
      </w:pPr>
      <w:r>
        <w:rPr>
          <w:rFonts w:hint="eastAsia" w:ascii="楷体" w:hAnsi="楷体" w:eastAsia="楷体"/>
          <w:b/>
          <w:color w:val="auto"/>
          <w:sz w:val="28"/>
          <w:szCs w:val="24"/>
          <w:highlight w:val="none"/>
          <w:lang w:val="en-US"/>
        </w:rPr>
        <w:t xml:space="preserve">乙方（单位盖章）： </w:t>
      </w:r>
      <w:r/>
    </w:p>
    <w:p>
      <w:pPr>
        <w:jc w:val="both"/>
        <w:spacing w:line="480" w:lineRule="exact"/>
        <w:rPr>
          <w:rFonts w:ascii="楷体" w:hAnsi="楷体" w:eastAsia="楷体"/>
          <w:b/>
          <w:color w:val="auto"/>
          <w:sz w:val="28"/>
          <w:szCs w:val="24"/>
          <w:highlight w:val="none"/>
          <w:lang w:val="en-US"/>
        </w:rPr>
      </w:pPr>
      <w:r>
        <w:rPr>
          <w:rFonts w:hint="eastAsia" w:ascii="楷体" w:hAnsi="楷体" w:eastAsia="楷体"/>
          <w:b/>
          <w:color w:val="auto"/>
          <w:sz w:val="28"/>
          <w:szCs w:val="24"/>
          <w:highlight w:val="none"/>
          <w:lang w:val="en-US"/>
        </w:rPr>
        <w:t xml:space="preserve">地    址：                             联系电话：</w:t>
      </w:r>
      <w:r/>
    </w:p>
    <w:p>
      <w:pPr>
        <w:jc w:val="both"/>
        <w:spacing w:line="480" w:lineRule="exact"/>
        <w:rPr>
          <w:rFonts w:ascii="楷体" w:hAnsi="楷体" w:eastAsia="楷体"/>
          <w:b/>
          <w:color w:val="auto"/>
          <w:sz w:val="28"/>
          <w:szCs w:val="24"/>
          <w:highlight w:val="none"/>
          <w:lang w:val="en-US"/>
        </w:rPr>
      </w:pPr>
      <w:r>
        <w:rPr>
          <w:rFonts w:hint="eastAsia" w:ascii="楷体" w:hAnsi="楷体" w:eastAsia="楷体"/>
          <w:b/>
          <w:color w:val="auto"/>
          <w:sz w:val="28"/>
          <w:szCs w:val="24"/>
          <w:highlight w:val="none"/>
          <w:lang w:val="en-US"/>
        </w:rPr>
        <w:t xml:space="preserve">代表签字：</w:t>
      </w:r>
      <w:r/>
    </w:p>
    <w:p>
      <w:pPr>
        <w:ind w:left="-142" w:firstLine="142"/>
        <w:jc w:val="both"/>
        <w:spacing w:line="480" w:lineRule="exact"/>
        <w:rPr>
          <w:rFonts w:ascii="楷体" w:hAnsi="楷体" w:eastAsia="楷体"/>
          <w:b/>
          <w:color w:val="auto"/>
          <w:sz w:val="28"/>
          <w:szCs w:val="24"/>
          <w:highlight w:val="none"/>
          <w:lang w:val="en-US"/>
        </w:rPr>
      </w:pPr>
      <w:r>
        <w:rPr>
          <w:rFonts w:ascii="楷体" w:hAnsi="楷体" w:eastAsia="楷体"/>
          <w:b/>
          <w:color w:val="auto"/>
          <w:sz w:val="28"/>
          <w:szCs w:val="24"/>
          <w:highlight w:val="none"/>
          <w:lang w:val="en-US"/>
        </w:rPr>
      </w:r>
      <w:r/>
    </w:p>
    <w:p>
      <w:pPr>
        <w:jc w:val="right"/>
        <w:spacing w:line="480" w:lineRule="exact"/>
        <w:rPr>
          <w:rFonts w:ascii="楷体" w:hAnsi="楷体" w:eastAsia="楷体"/>
          <w:b/>
          <w:bCs/>
          <w:color w:val="auto"/>
          <w:sz w:val="28"/>
          <w:szCs w:val="24"/>
          <w:highlight w:val="none"/>
          <w:lang w:val="en-US"/>
        </w:rPr>
      </w:pPr>
      <w:r>
        <w:rPr>
          <w:rFonts w:ascii="楷体" w:hAnsi="楷体" w:eastAsia="楷体"/>
          <w:b/>
          <w:bCs/>
          <w:color w:val="auto"/>
          <w:sz w:val="28"/>
          <w:szCs w:val="24"/>
          <w:highlight w:val="none"/>
          <w:lang w:val="en-US"/>
        </w:rPr>
      </w:r>
      <w:r/>
    </w:p>
    <w:p>
      <w:pPr>
        <w:ind w:left="-142" w:firstLine="142"/>
        <w:jc w:val="right"/>
        <w:spacing w:line="480" w:lineRule="exact"/>
        <w:rPr>
          <w:rFonts w:ascii="楷体" w:hAnsi="楷体" w:eastAsia="楷体"/>
          <w:b/>
          <w:color w:val="auto"/>
          <w:sz w:val="28"/>
          <w:szCs w:val="24"/>
          <w:highlight w:val="none"/>
          <w:lang w:val="en-US"/>
        </w:rPr>
      </w:pPr>
      <w:r>
        <w:rPr>
          <w:rFonts w:hint="eastAsia" w:ascii="楷体" w:hAnsi="楷体" w:eastAsia="楷体"/>
          <w:b/>
          <w:color w:val="auto"/>
          <w:sz w:val="28"/>
          <w:szCs w:val="24"/>
          <w:highlight w:val="none"/>
          <w:lang w:val="en-US"/>
        </w:rPr>
        <w:t xml:space="preserve">合同签订日期：    年   月   日</w:t>
      </w:r>
      <w:r/>
    </w:p>
    <w:p>
      <w:pPr>
        <w:jc w:val="both"/>
        <w:spacing w:before="120" w:line="360" w:lineRule="auto"/>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br w:type="page" w:clear="all"/>
      </w:r>
      <w:bookmarkEnd w:id="26"/>
      <w:r/>
      <w:r/>
    </w:p>
    <w:p>
      <w:pPr>
        <w:pStyle w:val="1054"/>
        <w:jc w:val="center"/>
        <w:keepLines w:val="0"/>
        <w:keepNext w:val="0"/>
        <w:spacing w:before="0" w:after="0"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36"/>
          <w:szCs w:val="36"/>
          <w:highlight w:val="none"/>
          <w:lang w:val="en-US"/>
        </w:rPr>
        <w:t xml:space="preserve">第四部分    采购需求</w:t>
      </w:r>
      <w:r/>
    </w:p>
    <w:p>
      <w:pPr>
        <w:spacing w:line="360" w:lineRule="auto"/>
        <w:rPr>
          <w:rFonts w:ascii="楷体" w:hAnsi="楷体" w:eastAsia="楷体" w:cs="楷体"/>
          <w:b/>
          <w:bCs/>
          <w:color w:val="auto"/>
          <w:sz w:val="28"/>
          <w:szCs w:val="28"/>
          <w:highlight w:val="none"/>
          <w:lang w:val="en-US"/>
        </w:rPr>
      </w:pPr>
      <w:r/>
      <w:bookmarkStart w:id="55" w:name="_Toc524643244"/>
      <w:r/>
      <w:bookmarkStart w:id="56" w:name="_Toc459319303"/>
      <w:r/>
      <w:bookmarkStart w:id="57" w:name="_Toc528059733"/>
      <w:r/>
      <w:bookmarkStart w:id="58" w:name="_Toc459319301"/>
      <w:r>
        <w:rPr>
          <w:rFonts w:hint="eastAsia" w:ascii="楷体" w:hAnsi="楷体" w:eastAsia="楷体" w:cs="楷体"/>
          <w:b/>
          <w:bCs/>
          <w:color w:val="auto"/>
          <w:sz w:val="28"/>
          <w:szCs w:val="28"/>
          <w:highlight w:val="none"/>
          <w:lang w:val="en-US"/>
        </w:rPr>
        <w:t xml:space="preserve">一、项目概况</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1、管护服务范围：镇江市丹徒区城市管理局所管理的夜景灯光和即将移交我单位的夜景灯光（含现状移交）。（详见附</w:t>
      </w:r>
      <w:r>
        <w:rPr>
          <w:rFonts w:hint="eastAsia" w:ascii="楷体" w:hAnsi="楷体" w:eastAsia="楷体" w:cs="楷体"/>
          <w:color w:val="auto"/>
          <w:sz w:val="24"/>
          <w:szCs w:val="24"/>
          <w:highlight w:val="none"/>
          <w:lang w:val="en-US"/>
        </w:rPr>
        <w:t xml:space="preserve">件1</w:t>
      </w:r>
      <w:r>
        <w:rPr>
          <w:rFonts w:hint="eastAsia" w:ascii="楷体" w:hAnsi="楷体" w:eastAsia="楷体" w:cs="楷体"/>
          <w:color w:val="auto"/>
          <w:sz w:val="24"/>
          <w:szCs w:val="24"/>
          <w:highlight w:val="none"/>
          <w:lang w:val="en-US"/>
        </w:rPr>
        <w:t xml:space="preserve">）</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2、管护目标：将范围内的夜景灯光维修或更换完毕（根据原有运行正常的参数），亮灯率</w:t>
      </w:r>
      <w:r>
        <w:rPr>
          <w:rFonts w:hint="eastAsia" w:ascii="楷体" w:hAnsi="楷体" w:eastAsia="楷体" w:cs="楷体"/>
          <w:color w:val="auto"/>
          <w:sz w:val="24"/>
          <w:szCs w:val="24"/>
          <w:highlight w:val="none"/>
          <w:lang w:val="en-US"/>
        </w:rPr>
        <w:t xml:space="preserve">95%</w:t>
      </w:r>
      <w:r>
        <w:rPr>
          <w:rFonts w:hint="eastAsia" w:ascii="楷体" w:hAnsi="楷体" w:eastAsia="楷体" w:cs="楷体"/>
          <w:color w:val="auto"/>
          <w:sz w:val="24"/>
          <w:szCs w:val="24"/>
          <w:highlight w:val="none"/>
          <w:lang w:val="en-US"/>
        </w:rPr>
        <w:t xml:space="preserve">；设施完好率</w:t>
      </w:r>
      <w:r>
        <w:rPr>
          <w:rFonts w:hint="eastAsia" w:ascii="楷体" w:hAnsi="楷体" w:eastAsia="楷体" w:cs="楷体"/>
          <w:color w:val="auto"/>
          <w:sz w:val="24"/>
          <w:szCs w:val="24"/>
          <w:highlight w:val="none"/>
          <w:lang w:val="en-US"/>
        </w:rPr>
        <w:t xml:space="preserve">95%</w:t>
      </w:r>
      <w:r>
        <w:rPr>
          <w:rFonts w:hint="eastAsia" w:ascii="楷体" w:hAnsi="楷体" w:eastAsia="楷体" w:cs="楷体"/>
          <w:color w:val="auto"/>
          <w:sz w:val="24"/>
          <w:szCs w:val="24"/>
          <w:highlight w:val="none"/>
          <w:lang w:val="en-US"/>
        </w:rPr>
        <w:t xml:space="preserve">；无运行故障；按时启闭；故障修复及时率100%；交办事项办理及时率100%；应急抢修确保约定时间内赶到现场组织处理并消除安全隐患，及时修复完毕（遇雨、雪天气等自然灾害天气顺延）；零安全事故；无安全隐患。</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3、对于即将移交的（含现状移交），由供应商负责按要求绘制图纸报送采购方认可后进行维修、管护。</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4、提升智能化管理水平，按采购方要求及时在各处亮化设施安装远程控制器，具备分部控制和集中控制等功能，实现远程控制操作。</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4"/>
          <w:szCs w:val="24"/>
          <w:highlight w:val="none"/>
          <w:lang w:val="en-US"/>
        </w:rPr>
        <w:t xml:space="preserve">5、管护期：三年</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二、采购标的汇总表</w:t>
      </w:r>
      <w:r/>
    </w:p>
    <w:p>
      <w:pP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（一） 采购标的</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1、服务</w:t>
      </w:r>
      <w:r>
        <w:rPr>
          <w:rFonts w:hint="eastAsia" w:ascii="楷体" w:hAnsi="楷体" w:eastAsia="楷体" w:cs="楷体"/>
          <w:color w:val="auto"/>
          <w:sz w:val="24"/>
          <w:szCs w:val="24"/>
          <w:highlight w:val="none"/>
        </w:rPr>
        <w:t xml:space="preserve">类标的</w:t>
      </w:r>
      <w:r/>
    </w:p>
    <w:tbl>
      <w:tblPr>
        <w:tblStyle w:val="882"/>
        <w:tblW w:w="9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4575"/>
        <w:gridCol w:w="1231"/>
        <w:gridCol w:w="845"/>
        <w:gridCol w:w="1370"/>
        <w:gridCol w:w="859"/>
      </w:tblGrid>
      <w:tr>
        <w:trPr>
          <w:jc w:val="center"/>
          <w:trHeight w:val="90"/>
        </w:trPr>
        <w:tc>
          <w:tcPr>
            <w:shd w:val="clear" w:color="auto" w:fill="auto"/>
            <w:tcW w:w="773"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序号</w:t>
            </w:r>
            <w:r/>
          </w:p>
        </w:tc>
        <w:tc>
          <w:tcPr>
            <w:shd w:val="clear" w:color="auto" w:fill="auto"/>
            <w:tcW w:w="4575"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rPr>
              <w:t xml:space="preserve">服务</w:t>
            </w:r>
            <w:r>
              <w:rPr>
                <w:rFonts w:hint="eastAsia" w:ascii="楷体" w:hAnsi="楷体" w:eastAsia="楷体" w:cs="楷体"/>
                <w:color w:val="auto"/>
                <w:sz w:val="24"/>
                <w:szCs w:val="24"/>
                <w:highlight w:val="none"/>
              </w:rPr>
              <w:t xml:space="preserve">类标的名称</w:t>
            </w:r>
            <w:r/>
          </w:p>
        </w:tc>
        <w:tc>
          <w:tcPr>
            <w:shd w:val="clear" w:color="auto" w:fill="auto"/>
            <w:tcW w:w="1231"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计量单位</w:t>
            </w:r>
            <w:r/>
          </w:p>
        </w:tc>
        <w:tc>
          <w:tcPr>
            <w:shd w:val="clear" w:color="auto" w:fill="auto"/>
            <w:tcW w:w="845"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数量</w:t>
            </w:r>
            <w:r/>
          </w:p>
        </w:tc>
        <w:tc>
          <w:tcPr>
            <w:shd w:val="clear" w:color="auto" w:fill="auto"/>
            <w:tcW w:w="1370"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是否进口</w:t>
            </w:r>
            <w:r/>
          </w:p>
        </w:tc>
        <w:tc>
          <w:tcPr>
            <w:shd w:val="clear" w:color="auto" w:fill="auto"/>
            <w:tcW w:w="859"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备注</w:t>
            </w:r>
            <w:r/>
          </w:p>
        </w:tc>
      </w:tr>
      <w:tr>
        <w:trPr>
          <w:jc w:val="center"/>
          <w:trHeight w:val="652"/>
        </w:trPr>
        <w:tc>
          <w:tcPr>
            <w:shd w:val="clear" w:color="auto" w:fill="auto"/>
            <w:tcW w:w="773" w:type="dxa"/>
            <w:vAlign w:val="center"/>
            <w:textDirection w:val="lrTb"/>
            <w:noWrap/>
          </w:tcPr>
          <w:p>
            <w:pPr>
              <w:jc w:val="center"/>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w:t>
            </w:r>
            <w:r/>
          </w:p>
        </w:tc>
        <w:tc>
          <w:tcPr>
            <w:shd w:val="clear" w:color="auto" w:fill="auto"/>
            <w:tcW w:w="4575" w:type="dxa"/>
            <w:vAlign w:val="center"/>
            <w:textDirection w:val="lrTb"/>
            <w:noWrap/>
          </w:tcPr>
          <w:p>
            <w:pP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丹徒区夜景灯光管护服务项目（2026-2029年）</w:t>
            </w:r>
            <w:r/>
          </w:p>
        </w:tc>
        <w:tc>
          <w:tcPr>
            <w:shd w:val="clear" w:color="auto" w:fill="auto"/>
            <w:tcW w:w="1231"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rPr>
              <w:t xml:space="preserve">年</w:t>
            </w:r>
            <w:r/>
          </w:p>
        </w:tc>
        <w:tc>
          <w:tcPr>
            <w:shd w:val="clear" w:color="auto" w:fill="auto"/>
            <w:tcW w:w="845"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rPr>
              <w:t xml:space="preserve">3</w:t>
            </w:r>
            <w:r/>
          </w:p>
        </w:tc>
        <w:tc>
          <w:tcPr>
            <w:shd w:val="clear" w:color="auto" w:fill="auto"/>
            <w:tcW w:w="1370"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否</w:t>
            </w:r>
            <w:r/>
          </w:p>
        </w:tc>
        <w:tc>
          <w:tcPr>
            <w:tcW w:w="859" w:type="dxa"/>
            <w:textDirection w:val="lrTb"/>
            <w:noWrap/>
          </w:tcPr>
          <w:p>
            <w:pPr>
              <w:spacing w:line="360" w:lineRule="auto"/>
              <w:rPr>
                <w:rFonts w:ascii="楷体" w:hAnsi="楷体" w:eastAsia="楷体" w:cs="楷体"/>
                <w:color w:val="auto"/>
                <w:sz w:val="24"/>
                <w:szCs w:val="24"/>
                <w:highlight w:val="none"/>
              </w:rPr>
            </w:pPr>
            <w:r>
              <w:rPr>
                <w:rFonts w:ascii="楷体" w:hAnsi="楷体" w:eastAsia="楷体" w:cs="楷体"/>
                <w:color w:val="auto"/>
                <w:sz w:val="24"/>
                <w:szCs w:val="24"/>
                <w:highlight w:val="none"/>
              </w:rPr>
            </w:r>
            <w:r/>
          </w:p>
        </w:tc>
      </w:tr>
    </w:tbl>
    <w:p>
      <w:pPr>
        <w:spacing w:line="360" w:lineRule="auto"/>
        <w:widowControl/>
        <w:rPr>
          <w:rFonts w:ascii="楷体" w:hAnsi="楷体" w:eastAsia="楷体" w:cs="楷体"/>
          <w:b/>
          <w:color w:val="auto"/>
          <w:sz w:val="28"/>
          <w:szCs w:val="28"/>
          <w:highlight w:val="none"/>
          <w:lang w:val="en-US"/>
        </w:rPr>
      </w:pPr>
      <w:r>
        <w:rPr>
          <w:rFonts w:hint="eastAsia" w:ascii="楷体" w:hAnsi="楷体" w:eastAsia="楷体" w:cs="楷体"/>
          <w:b/>
          <w:color w:val="auto"/>
          <w:sz w:val="28"/>
          <w:szCs w:val="28"/>
          <w:highlight w:val="none"/>
          <w:lang w:val="en-US"/>
        </w:rPr>
        <w:t xml:space="preserve">三、服务要求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对投标供应商管护的基本要求：（制定合理的巡查计划，管护计划，维修计划，维修及管护计划的落实保障、制定应急工作机制、落实安全保障工作、做好档案台账管理、更换材料的质量保障和备品保障以及日常运维工作等）</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（1）各类夜景灯光设施应根据类别、等级、参数和技术级别进行管护。</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（2）中标供应商应分别建立夜景灯光管护档案，并应符合下列规定：</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1）管护档案包括下列内容：每处亮化管护效果图、设备管线灯具数量台账、管护计划、数据检测记录、巡检台帐、维修记录、安全教育记录等相关资料。</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2）管护档案资料应装订成册并实行电子化。</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（3）管护中使用的材料、元器件等必须经过检验合格，管护材料必须沿用原有设施或高于原设施</w:t>
      </w:r>
      <w:r>
        <w:rPr>
          <w:rFonts w:hint="eastAsia" w:ascii="楷体" w:hAnsi="楷体" w:eastAsia="楷体" w:cs="楷体"/>
          <w:color w:val="auto"/>
          <w:sz w:val="24"/>
          <w:szCs w:val="24"/>
          <w:highlight w:val="none"/>
          <w:lang w:val="en-US"/>
        </w:rPr>
        <w:t xml:space="preserve">品质</w:t>
      </w:r>
      <w:r>
        <w:rPr>
          <w:rFonts w:hint="eastAsia" w:ascii="楷体" w:hAnsi="楷体" w:eastAsia="楷体" w:cs="楷体"/>
          <w:color w:val="auto"/>
          <w:sz w:val="24"/>
          <w:szCs w:val="24"/>
          <w:highlight w:val="none"/>
          <w:lang w:val="en-US"/>
        </w:rPr>
        <w:t xml:space="preserve">及性能的产品，在日常维修中，推荐使用安全电压产品。维修养护应贯彻国家的技术经济政策，使养护维修达到安全实用，质量可靠、经济合理，技术先进的要求。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夜景灯光管护作业应在保证安全的条件下，尽量减少对交通、业主和住户的影响，作业区间必须设置明显的安全标志，警示灯等，采取措施、保证安全并减少对交通等的干扰。管护作业必须文明，做到工完、料清、场清。</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（5）中标供应商必须无条件的接受采购人的考核监督，考核</w:t>
      </w:r>
      <w:r>
        <w:rPr>
          <w:rFonts w:hint="eastAsia" w:ascii="楷体" w:hAnsi="楷体" w:eastAsia="楷体" w:cs="楷体"/>
          <w:color w:val="auto"/>
          <w:sz w:val="24"/>
          <w:szCs w:val="24"/>
          <w:highlight w:val="none"/>
          <w:lang w:val="en-US"/>
        </w:rPr>
        <w:t xml:space="preserve">结果</w:t>
      </w:r>
      <w:r>
        <w:rPr>
          <w:rFonts w:hint="eastAsia" w:ascii="楷体" w:hAnsi="楷体" w:eastAsia="楷体" w:cs="楷体"/>
          <w:color w:val="auto"/>
          <w:sz w:val="24"/>
          <w:szCs w:val="24"/>
          <w:highlight w:val="none"/>
          <w:lang w:val="en-US"/>
        </w:rPr>
        <w:t xml:space="preserve">作为管护结算费用的依据。</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2.对中标供应商的管护职责要求：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（1）制定夜景灯光管护计划，合理的做好管护工作。</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（2）配合丹徒区城市管理局的各项活动保障任务。</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（3）涉及到夜景灯光设施的拆除及迁移应积极配合。</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（4）对采购人提出的工作要求须积极响应。</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（5）管护作业结束后，须保持现场的整洁。</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（6）及时修复、更换有故障的灯光设施。</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（7）本次管护的工作内容应包括管护范围内的所有设施的正常巡查、维修、养护、偷盗、启闭及安全隐患的恢复处理，以及相关书面记录等。</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（8）中标单位按照现场实际比对效果图、线路图，若有偏差或无效果图中标单位负责修改、绘制。</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 （9）不得擅自拆除或移动现有的夜景灯光设施。定期排查安全隐患及偷电行为并立即整改。负责与各单位、小区的沟通及协调。</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（10）配合甲方对未移交的区域进行移交（含现状移交）。</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（11）对于原有线路及配电设备进行排查，并维修或更换，排除安全及使用隐患，完善每处亮化点位的控制设施，若非独立控制的，由中标供应商负责改造为独立控制。</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（12）配合采购人采集更新夜景亮化动态效果图、航拍效果图等，及设备管线灯具数量台账。</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3.对中标供应商的巡视要求：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（1）中标供应商须制定夜景灯光巡视计划表。</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（2）中标供应商须建立夜景灯光较健全的巡视制度、巡视台帐，落实责任人。</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（3）中标供应商须</w:t>
      </w:r>
      <w:r>
        <w:rPr>
          <w:rFonts w:hint="eastAsia" w:ascii="楷体" w:hAnsi="楷体" w:eastAsia="楷体" w:cs="楷体"/>
          <w:color w:val="auto"/>
          <w:sz w:val="24"/>
          <w:szCs w:val="24"/>
          <w:highlight w:val="none"/>
          <w:lang w:val="en-US"/>
        </w:rPr>
        <w:t xml:space="preserve">及时</w:t>
      </w:r>
      <w:r>
        <w:rPr>
          <w:rFonts w:hint="eastAsia" w:ascii="楷体" w:hAnsi="楷体" w:eastAsia="楷体" w:cs="楷体"/>
          <w:color w:val="auto"/>
          <w:sz w:val="24"/>
          <w:szCs w:val="24"/>
          <w:highlight w:val="none"/>
          <w:lang w:val="en-US"/>
        </w:rPr>
        <w:t xml:space="preserve">上交巡视台帐。</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（4）中标供应商必须每天派管护人员进行巡视，形成每日巡视制度。</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4.对中标供应商的安全管理要求：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（1）安全应包括正常营运及管护作业时发生事故的交通组织和安全防护。 </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（2）中标供应商在现场施工或管护时，应作出预测，采用必要的预防性安全措施。 </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（3）每</w:t>
      </w:r>
      <w:r>
        <w:rPr>
          <w:rFonts w:hint="eastAsia" w:ascii="楷体" w:hAnsi="楷体" w:eastAsia="楷体" w:cs="楷体"/>
          <w:color w:val="auto"/>
          <w:sz w:val="24"/>
          <w:szCs w:val="24"/>
          <w:highlight w:val="none"/>
          <w:lang w:val="en-US"/>
        </w:rPr>
        <w:t xml:space="preserve">年度应开展</w:t>
      </w:r>
      <w:r>
        <w:rPr>
          <w:rFonts w:hint="eastAsia" w:ascii="楷体" w:hAnsi="楷体" w:eastAsia="楷体" w:cs="楷体"/>
          <w:color w:val="auto"/>
          <w:sz w:val="24"/>
          <w:szCs w:val="24"/>
          <w:highlight w:val="none"/>
          <w:lang w:val="en-US"/>
        </w:rPr>
        <w:t xml:space="preserve">安全教育学习。 </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（4）管护作业的安全防护应包括管护作业机械、人员的安全防护。 </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（5）在进行管护作业前，应做好以下工作： </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1）制定周密的施工组织计划，确定合理的工作区。</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2）管护人员必须是接受过专门的安全教育和作业规程训练的，并统一穿有胸标的工作服及安全帽、电工鞋等。 </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3）检查施工标志等设置是否规范合理。</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4）对管护机械、台架应进行全面的安全检查。</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5）占道作业期间有必要的导向警示设施。</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5.对中标供应商的硬件配置要求：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（1）管护配备基本情况表</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车辆、人员、场所按照招标文件要求及承诺内容严格执行，</w:t>
      </w:r>
      <w:r>
        <w:rPr>
          <w:rFonts w:hint="eastAsia" w:ascii="楷体" w:hAnsi="楷体" w:eastAsia="楷体" w:cs="楷体"/>
          <w:color w:val="auto"/>
          <w:sz w:val="24"/>
          <w:szCs w:val="24"/>
          <w:highlight w:val="none"/>
          <w:lang w:val="en-US"/>
        </w:rPr>
        <w:t xml:space="preserve">所有人员须持有相关从业资格证书上岗</w:t>
      </w:r>
      <w:r>
        <w:rPr>
          <w:rFonts w:hint="eastAsia" w:ascii="楷体" w:hAnsi="楷体" w:eastAsia="楷体" w:cs="楷体"/>
          <w:color w:val="auto"/>
          <w:sz w:val="24"/>
          <w:szCs w:val="24"/>
          <w:highlight w:val="none"/>
          <w:lang w:val="en-US"/>
        </w:rPr>
        <w:t xml:space="preserve">。</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工具：包括吊篮、发电机、万用表、钳形表、绝缘表、接地电阻表、安全锥桶、个人防护用品等。</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w:t>
      </w:r>
      <w:r>
        <w:rPr>
          <w:rFonts w:hint="eastAsia" w:ascii="楷体" w:hAnsi="楷体" w:eastAsia="楷体" w:cs="楷体"/>
          <w:color w:val="auto"/>
          <w:sz w:val="24"/>
          <w:szCs w:val="24"/>
          <w:highlight w:val="none"/>
          <w:lang w:val="en-US"/>
        </w:rPr>
        <w:t xml:space="preserve">中标供应商</w:t>
      </w:r>
      <w:r>
        <w:rPr>
          <w:rFonts w:hint="eastAsia" w:ascii="楷体" w:hAnsi="楷体" w:eastAsia="楷体" w:cs="楷体"/>
          <w:color w:val="auto"/>
          <w:sz w:val="24"/>
          <w:szCs w:val="24"/>
          <w:highlight w:val="none"/>
          <w:lang w:val="en-US"/>
        </w:rPr>
        <w:t xml:space="preserve">需提供车辆、</w:t>
      </w:r>
      <w:r>
        <w:rPr>
          <w:rFonts w:hint="eastAsia" w:ascii="楷体" w:hAnsi="楷体" w:eastAsia="楷体" w:cs="楷体"/>
          <w:color w:val="auto"/>
          <w:sz w:val="24"/>
          <w:szCs w:val="24"/>
          <w:highlight w:val="none"/>
          <w:lang w:val="en-US"/>
        </w:rPr>
        <w:t xml:space="preserve">人员</w:t>
      </w:r>
      <w:r>
        <w:rPr>
          <w:rFonts w:hint="eastAsia" w:ascii="楷体" w:hAnsi="楷体" w:eastAsia="楷体" w:cs="楷体"/>
          <w:color w:val="auto"/>
          <w:sz w:val="24"/>
          <w:szCs w:val="24"/>
          <w:highlight w:val="none"/>
          <w:lang w:val="en-US"/>
        </w:rPr>
        <w:t xml:space="preserve">及场所</w:t>
      </w:r>
      <w:r>
        <w:rPr>
          <w:rFonts w:hint="eastAsia" w:ascii="楷体" w:hAnsi="楷体" w:eastAsia="楷体" w:cs="楷体"/>
          <w:color w:val="auto"/>
          <w:sz w:val="24"/>
          <w:szCs w:val="24"/>
          <w:highlight w:val="none"/>
          <w:lang w:val="en-US"/>
        </w:rPr>
        <w:t xml:space="preserve">清单</w:t>
      </w:r>
      <w:r>
        <w:rPr>
          <w:rFonts w:hint="eastAsia" w:ascii="楷体" w:hAnsi="楷体" w:eastAsia="楷体" w:cs="楷体"/>
          <w:color w:val="auto"/>
          <w:sz w:val="24"/>
          <w:szCs w:val="24"/>
          <w:highlight w:val="none"/>
          <w:lang w:val="en-US"/>
        </w:rPr>
        <w:t xml:space="preserve">，</w:t>
      </w:r>
      <w:r>
        <w:rPr>
          <w:rFonts w:hint="eastAsia" w:ascii="楷体" w:hAnsi="楷体" w:eastAsia="楷体" w:cs="楷体"/>
          <w:color w:val="auto"/>
          <w:sz w:val="24"/>
          <w:szCs w:val="24"/>
          <w:highlight w:val="none"/>
          <w:lang w:val="en-US"/>
        </w:rPr>
        <w:t xml:space="preserve">以上</w:t>
      </w:r>
      <w:r>
        <w:rPr>
          <w:rFonts w:hint="eastAsia" w:ascii="楷体" w:hAnsi="楷体" w:eastAsia="楷体" w:cs="楷体"/>
          <w:color w:val="auto"/>
          <w:sz w:val="24"/>
          <w:szCs w:val="24"/>
          <w:highlight w:val="none"/>
          <w:lang w:val="en-US"/>
        </w:rPr>
        <w:t xml:space="preserve">车辆、</w:t>
      </w:r>
      <w:r>
        <w:rPr>
          <w:rFonts w:hint="eastAsia" w:ascii="楷体" w:hAnsi="楷体" w:eastAsia="楷体" w:cs="楷体"/>
          <w:color w:val="auto"/>
          <w:sz w:val="24"/>
          <w:szCs w:val="24"/>
          <w:highlight w:val="none"/>
          <w:lang w:val="en-US"/>
        </w:rPr>
        <w:t xml:space="preserve">人员</w:t>
      </w:r>
      <w:r>
        <w:rPr>
          <w:rFonts w:hint="eastAsia" w:ascii="楷体" w:hAnsi="楷体" w:eastAsia="楷体" w:cs="楷体"/>
          <w:color w:val="auto"/>
          <w:sz w:val="24"/>
          <w:szCs w:val="24"/>
          <w:highlight w:val="none"/>
          <w:lang w:val="en-US"/>
        </w:rPr>
        <w:t xml:space="preserve">在任何情况下均</w:t>
      </w:r>
      <w:r>
        <w:rPr>
          <w:rFonts w:hint="eastAsia" w:ascii="楷体" w:hAnsi="楷体" w:eastAsia="楷体" w:cs="楷体"/>
          <w:color w:val="auto"/>
          <w:sz w:val="24"/>
          <w:szCs w:val="24"/>
          <w:highlight w:val="none"/>
          <w:lang w:val="en-US"/>
        </w:rPr>
        <w:t xml:space="preserve">仅为本项目使用</w:t>
      </w:r>
      <w:r>
        <w:rPr>
          <w:rFonts w:hint="eastAsia" w:ascii="楷体" w:hAnsi="楷体" w:eastAsia="楷体" w:cs="楷体"/>
          <w:color w:val="auto"/>
          <w:sz w:val="24"/>
          <w:szCs w:val="24"/>
          <w:highlight w:val="none"/>
          <w:lang w:val="en-US"/>
        </w:rPr>
        <w:t xml:space="preserve">。办理特殊车辆通行证，同时按采购人提供的标识等对车辆进行统一装饰。</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（3）中标供应商须向招标单位提供管护人员名单及联系方式。</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（4）中标供应商的项目负责人在合同期内不得更换，如需更换须得到招标单位同意。</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（5）中标供应商的管护人员须具有相对稳定性。</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6）中标供应商应当能够积极配合采购方提高服务质量，在保障安全和功能的基础上，持续优化亮化效果并控制能耗，积极采取智慧照明控制系统，可根据不同区域的亮化需求制定差异化的维护与优化策略，探索使用无人机景观亮化巡检，提高城市亮化养护的智慧化、精细化和高效化水平。</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6.对中标供应商保护技术资料的要求：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（1）中标供应商不得向任何单位和个人提供招标单位所提供的各种资料。</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（2）中标供应商必须按采购方要求对每个管护项目制作项目基础资料。</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（3）中标供应商在合同期满后须向招标单位交回所有由招标单位提供的技术资料。</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7.对中标供应商设施管护的考核要求：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详见</w:t>
      </w:r>
      <w:r>
        <w:rPr>
          <w:rFonts w:hint="eastAsia" w:ascii="楷体" w:hAnsi="楷体" w:eastAsia="楷体" w:cs="楷体"/>
          <w:color w:val="auto"/>
          <w:sz w:val="24"/>
          <w:szCs w:val="24"/>
          <w:highlight w:val="none"/>
          <w:lang w:val="en-US"/>
        </w:rPr>
        <w:t xml:space="preserve">附件2</w:t>
      </w:r>
      <w:r>
        <w:rPr>
          <w:rFonts w:hint="eastAsia" w:ascii="楷体" w:hAnsi="楷体" w:eastAsia="楷体" w:cs="楷体"/>
          <w:color w:val="auto"/>
          <w:sz w:val="24"/>
          <w:szCs w:val="24"/>
          <w:highlight w:val="none"/>
          <w:lang w:val="en-US"/>
        </w:rPr>
        <w:t xml:space="preserve">《镇江市丹徒区夜景灯光设施管护考核细则》</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8.其他事项说明：</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（1）乙方必须密切注意天气，做好应急工作，若发生损坏由中标单位自行承担。</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（2）自然损坏、老化、光污染等因素导致需要整体更换、拆除、移位、改造的费用由中标供应商承担。</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（3）本服务不再增加签证，投标人自行考虑各类风险及可能增加的管护工作量。为维修夜景灯光（含现状移交）所产生的人工、材料、机械及各措施费均包含在本次报价内，不另行增加。</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（4）其他损失处理：未及时发现并上报人为改动、拆除、破坏等情况的，每次扣除管护经费1000元。</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（5）中标单位在合同签订</w:t>
      </w:r>
      <w:r>
        <w:rPr>
          <w:rFonts w:hint="eastAsia" w:ascii="楷体" w:hAnsi="楷体" w:eastAsia="楷体" w:cs="楷体"/>
          <w:color w:val="auto"/>
          <w:sz w:val="24"/>
          <w:szCs w:val="24"/>
          <w:highlight w:val="none"/>
          <w:lang w:val="en-US"/>
        </w:rPr>
        <w:t xml:space="preserve">30</w:t>
      </w:r>
      <w:r>
        <w:rPr>
          <w:rFonts w:hint="eastAsia" w:ascii="楷体" w:hAnsi="楷体" w:eastAsia="楷体" w:cs="楷体"/>
          <w:color w:val="auto"/>
          <w:sz w:val="24"/>
          <w:szCs w:val="24"/>
          <w:highlight w:val="none"/>
          <w:lang w:val="en-US"/>
        </w:rPr>
        <w:t xml:space="preserve">天内做出维修进度计划表，报建设单位审批，不得延误。</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（6）服务期满后负责与下轮中标单位进行移交（必须保证本次招标范围内的所有设施完好并运行正常方可移交）。</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四</w:t>
      </w: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报价要求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投标报价应包括各标段内全部标的物养护、维修、辅助材料、安装、调试、国家有关部门检测、强制性认证等费用，以及人工、机械、运输、仓储、保险、运费、各种税费、劳保、专利技术及质保期间等一切费用。</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供应商应遵守安全生产的有关管理规定，严格按照安全标准组织施工，高空作业人员持证上岗，采取必要的安全防护措施，消除隐患。由于供应商管理或安全措施不力造成周边环境、财产破坏或事故的责任和因此发生的费用，全部由供应商承担。</w:t>
      </w:r>
      <w:r/>
    </w:p>
    <w:p>
      <w:pPr>
        <w:ind w:firstLine="560"/>
        <w:spacing w:line="360" w:lineRule="auto"/>
        <w:rPr>
          <w:rFonts w:ascii="楷体" w:hAnsi="楷体" w:eastAsia="楷体" w:cs="楷体"/>
          <w:color w:val="auto"/>
          <w:sz w:val="24"/>
          <w:szCs w:val="24"/>
          <w:highlight w:val="none"/>
          <w:lang w:val="en-US"/>
        </w:rPr>
      </w:pPr>
      <w:r>
        <w:rPr>
          <w:rFonts w:ascii="楷体" w:hAnsi="楷体" w:eastAsia="楷体" w:cs="楷体"/>
          <w:color w:val="auto"/>
          <w:sz w:val="24"/>
          <w:szCs w:val="24"/>
          <w:highlight w:val="none"/>
          <w:lang w:val="en-US"/>
        </w:rPr>
      </w:r>
      <w:r/>
    </w:p>
    <w:p>
      <w:pPr>
        <w:ind w:firstLine="560"/>
        <w:spacing w:line="360" w:lineRule="auto"/>
        <w:rPr>
          <w:rFonts w:ascii="楷体" w:hAnsi="楷体" w:eastAsia="楷体" w:cs="楷体"/>
          <w:color w:val="auto"/>
          <w:sz w:val="24"/>
          <w:szCs w:val="24"/>
          <w:highlight w:val="none"/>
          <w:lang w:val="en-US"/>
        </w:rPr>
        <w:sectPr>
          <w:headerReference w:type="default" r:id="rId9"/>
          <w:footerReference w:type="default" r:id="rId13"/>
          <w:footnotePr/>
          <w:endnotePr/>
          <w:type w:val="nextPage"/>
          <w:pgSz w:w="11907" w:h="16839" w:orient="portrait"/>
          <w:pgMar w:top="1134" w:right="1134" w:bottom="1134" w:left="1134" w:header="720" w:footer="720" w:gutter="0"/>
          <w:cols w:num="1" w:sep="0" w:space="1701" w:equalWidth="1"/>
          <w:docGrid w:linePitch="360"/>
        </w:sectPr>
      </w:pPr>
      <w:r>
        <w:rPr>
          <w:rFonts w:ascii="楷体" w:hAnsi="楷体" w:eastAsia="楷体" w:cs="楷体"/>
          <w:color w:val="auto"/>
          <w:sz w:val="24"/>
          <w:szCs w:val="24"/>
          <w:highlight w:val="none"/>
          <w:lang w:val="en-US"/>
        </w:rPr>
      </w:r>
      <w:r/>
    </w:p>
    <w:p>
      <w:pPr>
        <w:jc w:val="center"/>
        <w:rPr>
          <w:rFonts w:ascii="楷体" w:hAnsi="楷体" w:eastAsia="楷体" w:cs="黑体"/>
          <w:b/>
          <w:color w:val="auto"/>
          <w:sz w:val="32"/>
          <w:szCs w:val="32"/>
          <w:highlight w:val="none"/>
        </w:rPr>
      </w:pPr>
      <w:r>
        <w:rPr>
          <w:rFonts w:hint="eastAsia" w:ascii="楷体" w:hAnsi="楷体" w:eastAsia="楷体" w:cs="黑体"/>
          <w:b/>
          <w:color w:val="auto"/>
          <w:sz w:val="32"/>
          <w:szCs w:val="32"/>
          <w:highlight w:val="none"/>
        </w:rPr>
        <w:t xml:space="preserve">管护车辆最低要求明细表</w:t>
      </w:r>
      <w:r/>
    </w:p>
    <w:p>
      <w:pPr>
        <w:rPr>
          <w:color w:val="auto"/>
          <w:highlight w:val="none"/>
        </w:rPr>
      </w:pPr>
      <w:r>
        <w:rPr>
          <w:color w:val="auto"/>
          <w:highlight w:val="none"/>
        </w:rPr>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71"/>
        <w:gridCol w:w="2537"/>
        <w:gridCol w:w="3015"/>
        <w:gridCol w:w="2842"/>
      </w:tblGrid>
      <w:tr>
        <w:trPr>
          <w:jc w:val="center"/>
          <w:trHeight w:val="691" w:hRule="exact"/>
        </w:trPr>
        <w:tc>
          <w:tcPr>
            <w:tcW w:w="3571" w:type="dxa"/>
            <w:vAlign w:val="center"/>
            <w:vMerge w:val="restart"/>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项目名称</w:t>
            </w:r>
            <w:r/>
          </w:p>
        </w:tc>
        <w:tc>
          <w:tcPr>
            <w:tcW w:w="2537" w:type="dxa"/>
            <w:vAlign w:val="center"/>
            <w:vMerge w:val="restart"/>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项目范围</w:t>
            </w:r>
            <w:r/>
          </w:p>
        </w:tc>
        <w:tc>
          <w:tcPr>
            <w:gridSpan w:val="2"/>
            <w:tcW w:w="5857" w:type="dxa"/>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管护车辆要求（辆）</w:t>
            </w:r>
            <w:r/>
          </w:p>
        </w:tc>
      </w:tr>
      <w:tr>
        <w:trPr>
          <w:jc w:val="center"/>
          <w:trHeight w:val="949" w:hRule="exact"/>
        </w:trPr>
        <w:tc>
          <w:tcPr>
            <w:tcW w:w="3571" w:type="dxa"/>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W w:w="2537" w:type="dxa"/>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W w:w="3015" w:type="dxa"/>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巡查车</w:t>
            </w:r>
            <w:r/>
          </w:p>
        </w:tc>
        <w:tc>
          <w:tcPr>
            <w:tcW w:w="2842" w:type="dxa"/>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1</w:t>
            </w:r>
            <w:r>
              <w:rPr>
                <w:rFonts w:ascii="楷体" w:hAnsi="楷体" w:eastAsia="楷体"/>
                <w:color w:val="auto"/>
                <w:sz w:val="24"/>
                <w:highlight w:val="none"/>
              </w:rPr>
              <w:t xml:space="preserve">4</w:t>
            </w:r>
            <w:r>
              <w:rPr>
                <w:rFonts w:hint="eastAsia" w:ascii="楷体" w:hAnsi="楷体" w:eastAsia="楷体"/>
                <w:color w:val="auto"/>
                <w:sz w:val="24"/>
                <w:highlight w:val="none"/>
              </w:rPr>
              <w:t xml:space="preserve">米</w:t>
            </w:r>
            <w:r>
              <w:rPr>
                <w:rFonts w:hint="eastAsia" w:ascii="楷体" w:hAnsi="楷体" w:eastAsia="楷体"/>
                <w:color w:val="auto"/>
                <w:sz w:val="24"/>
                <w:highlight w:val="none"/>
                <w:lang w:val="en-US"/>
              </w:rPr>
              <w:t xml:space="preserve">及以上</w:t>
            </w:r>
            <w:r>
              <w:rPr>
                <w:rFonts w:hint="eastAsia" w:ascii="楷体" w:hAnsi="楷体" w:eastAsia="楷体"/>
                <w:color w:val="auto"/>
                <w:sz w:val="24"/>
                <w:highlight w:val="none"/>
              </w:rPr>
              <w:t xml:space="preserve">高空作业车</w:t>
            </w:r>
            <w:r/>
          </w:p>
        </w:tc>
      </w:tr>
      <w:tr>
        <w:trPr>
          <w:jc w:val="center"/>
          <w:trHeight w:val="2080" w:hRule="exact"/>
        </w:trPr>
        <w:tc>
          <w:tcPr>
            <w:tcW w:w="3571" w:type="dxa"/>
            <w:vAlign w:val="center"/>
            <w:textDirection w:val="lrTb"/>
            <w:noWrap/>
          </w:tcPr>
          <w:p>
            <w:pPr>
              <w:jc w:val="center"/>
              <w:rPr>
                <w:rFonts w:ascii="楷体" w:hAnsi="楷体" w:eastAsia="楷体"/>
                <w:color w:val="auto"/>
                <w:sz w:val="24"/>
                <w:highlight w:val="none"/>
              </w:rPr>
            </w:pPr>
            <w:r>
              <w:rPr>
                <w:rFonts w:hint="eastAsia" w:ascii="楷体" w:hAnsi="楷体" w:eastAsia="楷体" w:cs="宋体"/>
                <w:color w:val="auto"/>
                <w:sz w:val="24"/>
                <w:highlight w:val="none"/>
              </w:rPr>
              <w:t xml:space="preserve">丹徒区夜景灯光管护服务项目（</w:t>
            </w:r>
            <w:r>
              <w:rPr>
                <w:rFonts w:hint="eastAsia" w:ascii="微软雅黑" w:hAnsi="微软雅黑" w:eastAsia="微软雅黑" w:cs="微软雅黑"/>
                <w:color w:val="auto"/>
                <w:sz w:val="18"/>
                <w:szCs w:val="18"/>
                <w:highlight w:val="none"/>
              </w:rPr>
              <w:t xml:space="preserve">2023-2026</w:t>
            </w:r>
            <w:r>
              <w:rPr>
                <w:rFonts w:hint="eastAsia" w:ascii="楷体" w:hAnsi="楷体" w:eastAsia="楷体" w:cs="宋体"/>
                <w:color w:val="auto"/>
                <w:sz w:val="24"/>
                <w:highlight w:val="none"/>
              </w:rPr>
              <w:t xml:space="preserve">）</w:t>
            </w:r>
            <w:r/>
          </w:p>
        </w:tc>
        <w:tc>
          <w:tcPr>
            <w:tcW w:w="2537" w:type="dxa"/>
            <w:vAlign w:val="center"/>
            <w:textDirection w:val="lrTb"/>
            <w:noWrap/>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丹徒区（见附件）</w:t>
            </w:r>
            <w:r/>
          </w:p>
        </w:tc>
        <w:tc>
          <w:tcPr>
            <w:tcW w:w="3015" w:type="dxa"/>
            <w:vAlign w:val="center"/>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t xml:space="preserve">1</w:t>
            </w:r>
            <w:r/>
          </w:p>
        </w:tc>
        <w:tc>
          <w:tcPr>
            <w:tcW w:w="2842" w:type="dxa"/>
            <w:vAlign w:val="center"/>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t xml:space="preserve">1</w:t>
            </w:r>
            <w:r/>
          </w:p>
        </w:tc>
      </w:tr>
    </w:tbl>
    <w:p>
      <w:pPr>
        <w:jc w:val="center"/>
        <w:rPr>
          <w:rFonts w:ascii="楷体" w:hAnsi="楷体" w:eastAsia="楷体" w:cs="黑体"/>
          <w:b/>
          <w:bCs/>
          <w:color w:val="auto"/>
          <w:sz w:val="32"/>
          <w:szCs w:val="32"/>
          <w:highlight w:val="none"/>
        </w:rPr>
      </w:pPr>
      <w:r>
        <w:rPr>
          <w:rFonts w:ascii="楷体" w:hAnsi="楷体" w:eastAsia="楷体" w:cs="黑体"/>
          <w:b/>
          <w:bCs/>
          <w:color w:val="auto"/>
          <w:sz w:val="32"/>
          <w:szCs w:val="32"/>
          <w:highlight w:val="none"/>
        </w:rPr>
      </w:r>
      <w:r/>
    </w:p>
    <w:p>
      <w:pPr>
        <w:pStyle w:val="878"/>
        <w:ind w:firstLine="482"/>
        <w:spacing w:before="0" w:beforeAutospacing="0" w:after="0" w:afterAutospacing="0" w:line="400" w:lineRule="atLeast"/>
        <w:tabs>
          <w:tab w:val="left" w:pos="-1980" w:leader="none"/>
          <w:tab w:val="left" w:pos="360" w:leader="none"/>
          <w:tab w:val="left" w:pos="6660" w:leader="none"/>
        </w:tabs>
        <w:rPr>
          <w:rFonts w:ascii="楷体" w:hAnsi="楷体" w:eastAsia="楷体" w:cs="宋体"/>
          <w:color w:val="auto"/>
          <w:highlight w:val="none"/>
          <w:lang w:eastAsia="zh-CN"/>
        </w:rPr>
      </w:pPr>
      <w:r>
        <w:rPr>
          <w:rFonts w:hint="eastAsia" w:ascii="楷体" w:hAnsi="楷体" w:eastAsia="楷体" w:cs="宋体"/>
          <w:color w:val="auto"/>
          <w:highlight w:val="none"/>
          <w:lang w:val="en-US" w:eastAsia="zh-CN"/>
        </w:rPr>
        <w:t xml:space="preserve">注：1、投标文件中根据上表中的要求提供对应车辆证明材料，</w:t>
      </w:r>
      <w:r>
        <w:rPr>
          <w:rFonts w:hint="eastAsia" w:ascii="楷体" w:hAnsi="楷体" w:eastAsia="楷体" w:cs="宋体"/>
          <w:b/>
          <w:bCs/>
          <w:color w:val="auto"/>
          <w:highlight w:val="none"/>
          <w:u w:val="single"/>
          <w:lang w:val="en-US" w:eastAsia="zh-CN"/>
        </w:rPr>
        <w:t xml:space="preserve">否则视为未实质性响应</w:t>
      </w:r>
      <w:r>
        <w:rPr>
          <w:rFonts w:hint="eastAsia" w:ascii="楷体" w:hAnsi="楷体" w:eastAsia="楷体" w:cs="宋体"/>
          <w:color w:val="auto"/>
          <w:highlight w:val="none"/>
          <w:lang w:eastAsia="zh-CN"/>
        </w:rPr>
        <w:t xml:space="preserve">。</w:t>
      </w:r>
      <w:r/>
    </w:p>
    <w:p>
      <w:pPr>
        <w:pStyle w:val="878"/>
        <w:ind w:firstLine="482"/>
        <w:spacing w:before="0" w:beforeAutospacing="0" w:after="0" w:afterAutospacing="0" w:line="400" w:lineRule="atLeast"/>
        <w:tabs>
          <w:tab w:val="left" w:pos="-1980" w:leader="none"/>
          <w:tab w:val="left" w:pos="360" w:leader="none"/>
          <w:tab w:val="left" w:pos="6660" w:leader="none"/>
        </w:tabs>
        <w:rPr>
          <w:rFonts w:ascii="楷体" w:hAnsi="楷体" w:eastAsia="楷体" w:cs="宋体"/>
          <w:color w:val="auto"/>
          <w:highlight w:val="none"/>
        </w:rPr>
      </w:pPr>
      <w:r>
        <w:rPr>
          <w:rFonts w:hint="eastAsia" w:ascii="楷体" w:hAnsi="楷体" w:eastAsia="楷体" w:cs="宋体"/>
          <w:color w:val="auto"/>
          <w:highlight w:val="none"/>
          <w:lang w:val="en-US" w:eastAsia="zh-CN"/>
        </w:rPr>
        <w:t xml:space="preserve">2、如车辆为自有，提供有效的车辆行驶证、车辆（含车牌号）照片及购置发票。如车辆为租赁，提供有效的车辆租赁合同，并提供车辆行驶证、车辆（含车牌号）照片及购置发票。材料提供不全或未提供的不得分。</w:t>
      </w:r>
      <w:r/>
    </w:p>
    <w:p>
      <w:pPr>
        <w:jc w:val="center"/>
        <w:rPr>
          <w:rFonts w:ascii="楷体" w:hAnsi="楷体" w:eastAsia="楷体" w:cs="黑体"/>
          <w:b/>
          <w:bCs/>
          <w:color w:val="auto"/>
          <w:sz w:val="32"/>
          <w:szCs w:val="32"/>
          <w:highlight w:val="none"/>
        </w:rPr>
      </w:pPr>
      <w:r>
        <w:rPr>
          <w:rFonts w:ascii="楷体" w:hAnsi="楷体" w:eastAsia="楷体" w:cs="黑体"/>
          <w:b/>
          <w:bCs/>
          <w:color w:val="auto"/>
          <w:sz w:val="32"/>
          <w:szCs w:val="32"/>
          <w:highlight w:val="none"/>
        </w:rPr>
      </w:r>
      <w:r/>
    </w:p>
    <w:p>
      <w:pPr>
        <w:rPr>
          <w:rFonts w:ascii="楷体" w:hAnsi="楷体" w:eastAsia="楷体" w:cs="黑体"/>
          <w:b/>
          <w:bCs/>
          <w:color w:val="auto"/>
          <w:sz w:val="32"/>
          <w:szCs w:val="32"/>
          <w:highlight w:val="none"/>
        </w:rPr>
      </w:pPr>
      <w:r>
        <w:rPr>
          <w:rFonts w:hint="eastAsia" w:ascii="楷体" w:hAnsi="楷体" w:eastAsia="楷体" w:cs="黑体"/>
          <w:b/>
          <w:bCs/>
          <w:color w:val="auto"/>
          <w:sz w:val="32"/>
          <w:szCs w:val="32"/>
          <w:highlight w:val="none"/>
        </w:rPr>
        <w:br w:type="page" w:clear="all"/>
      </w:r>
      <w:r/>
    </w:p>
    <w:p>
      <w:pPr>
        <w:jc w:val="center"/>
        <w:rPr>
          <w:rFonts w:ascii="楷体" w:hAnsi="楷体" w:eastAsia="楷体" w:cs="黑体"/>
          <w:b/>
          <w:bCs/>
          <w:color w:val="auto"/>
          <w:sz w:val="32"/>
          <w:szCs w:val="32"/>
          <w:highlight w:val="none"/>
        </w:rPr>
      </w:pPr>
      <w:r>
        <w:rPr>
          <w:rFonts w:hint="eastAsia" w:ascii="楷体" w:hAnsi="楷体" w:eastAsia="楷体" w:cs="黑体"/>
          <w:b/>
          <w:bCs/>
          <w:color w:val="auto"/>
          <w:sz w:val="32"/>
          <w:szCs w:val="32"/>
          <w:highlight w:val="none"/>
        </w:rPr>
        <w:t xml:space="preserve">管护人员最低要求明细表</w:t>
      </w:r>
      <w:r/>
    </w:p>
    <w:p>
      <w:pPr>
        <w:jc w:val="center"/>
        <w:rPr>
          <w:rFonts w:ascii="楷体" w:hAnsi="楷体" w:eastAsia="楷体" w:cs="黑体"/>
          <w:b/>
          <w:bCs/>
          <w:color w:val="auto"/>
          <w:sz w:val="32"/>
          <w:szCs w:val="32"/>
          <w:highlight w:val="none"/>
        </w:rPr>
      </w:pPr>
      <w:r>
        <w:rPr>
          <w:rFonts w:ascii="楷体" w:hAnsi="楷体" w:eastAsia="楷体" w:cs="黑体"/>
          <w:b/>
          <w:bCs/>
          <w:color w:val="auto"/>
          <w:sz w:val="32"/>
          <w:szCs w:val="32"/>
          <w:highlight w:val="none"/>
        </w:rPr>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2"/>
        <w:gridCol w:w="1757"/>
        <w:gridCol w:w="1643"/>
        <w:gridCol w:w="1493"/>
        <w:gridCol w:w="1372"/>
        <w:gridCol w:w="1386"/>
        <w:gridCol w:w="1710"/>
      </w:tblGrid>
      <w:tr>
        <w:trPr>
          <w:jc w:val="center"/>
          <w:trHeight w:val="729" w:hRule="exact"/>
        </w:trPr>
        <w:tc>
          <w:tcPr>
            <w:tcW w:w="149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lang w:val="en-US"/>
              </w:rPr>
              <w:t xml:space="preserve">人员岗位</w:t>
            </w:r>
            <w:r/>
          </w:p>
        </w:tc>
        <w:tc>
          <w:tcPr>
            <w:tcW w:w="175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项目负责人</w:t>
            </w:r>
            <w:r/>
          </w:p>
        </w:tc>
        <w:tc>
          <w:tcPr>
            <w:tcW w:w="1643"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现场负责人</w:t>
            </w:r>
            <w:r/>
          </w:p>
        </w:tc>
        <w:tc>
          <w:tcPr>
            <w:tcW w:w="1493"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安全员</w:t>
            </w:r>
            <w:r/>
          </w:p>
        </w:tc>
        <w:tc>
          <w:tcPr>
            <w:tcW w:w="137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lang w:val="en-US"/>
              </w:rPr>
              <w:t xml:space="preserve">高压电工</w:t>
            </w:r>
            <w:r/>
          </w:p>
        </w:tc>
        <w:tc>
          <w:tcPr>
            <w:tcW w:w="1386" w:type="dxa"/>
            <w:vAlign w:val="center"/>
            <w:textDirection w:val="lrTb"/>
            <w:noWrap/>
          </w:tcPr>
          <w:p>
            <w:pPr>
              <w:jc w:val="center"/>
              <w:widowControl/>
              <w:rPr>
                <w:rFonts w:ascii="楷体" w:hAnsi="楷体" w:eastAsia="楷体" w:cs="宋体"/>
                <w:color w:val="auto"/>
                <w:sz w:val="24"/>
                <w:highlight w:val="none"/>
                <w:lang w:val="en-US"/>
              </w:rPr>
            </w:pPr>
            <w:r>
              <w:rPr>
                <w:rFonts w:hint="eastAsia" w:ascii="楷体" w:hAnsi="楷体" w:eastAsia="楷体" w:cs="宋体"/>
                <w:color w:val="auto"/>
                <w:sz w:val="24"/>
                <w:highlight w:val="none"/>
                <w:lang w:val="en-US"/>
              </w:rPr>
              <w:t xml:space="preserve">低压电工</w:t>
            </w:r>
            <w:r/>
          </w:p>
        </w:tc>
        <w:tc>
          <w:tcPr>
            <w:tcW w:w="171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登高作业</w:t>
            </w:r>
            <w:r>
              <w:rPr>
                <w:rFonts w:hint="eastAsia" w:ascii="楷体" w:hAnsi="楷体" w:eastAsia="楷体" w:cs="宋体"/>
                <w:color w:val="auto"/>
                <w:sz w:val="24"/>
                <w:highlight w:val="none"/>
                <w:lang w:val="en-US"/>
              </w:rPr>
              <w:t xml:space="preserve">车辆操作</w:t>
            </w:r>
            <w:r>
              <w:rPr>
                <w:rFonts w:hint="eastAsia" w:ascii="楷体" w:hAnsi="楷体" w:eastAsia="楷体" w:cs="宋体"/>
                <w:color w:val="auto"/>
                <w:sz w:val="24"/>
                <w:highlight w:val="none"/>
              </w:rPr>
              <w:t xml:space="preserve">人员</w:t>
            </w:r>
            <w:r/>
          </w:p>
        </w:tc>
      </w:tr>
      <w:tr>
        <w:trPr>
          <w:jc w:val="center"/>
          <w:trHeight w:val="1474" w:hRule="exact"/>
        </w:trPr>
        <w:tc>
          <w:tcPr>
            <w:tcW w:w="149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lang w:val="en-US"/>
              </w:rPr>
              <w:t xml:space="preserve">数量</w:t>
            </w:r>
            <w:r/>
          </w:p>
        </w:tc>
        <w:tc>
          <w:tcPr>
            <w:tcW w:w="175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1</w:t>
            </w:r>
            <w:r/>
          </w:p>
        </w:tc>
        <w:tc>
          <w:tcPr>
            <w:tcW w:w="1643"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1</w:t>
            </w:r>
            <w:r/>
          </w:p>
        </w:tc>
        <w:tc>
          <w:tcPr>
            <w:tcW w:w="1493"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lang w:val="en-US"/>
              </w:rPr>
              <w:t xml:space="preserve">1</w:t>
            </w:r>
            <w:r/>
          </w:p>
        </w:tc>
        <w:tc>
          <w:tcPr>
            <w:tcW w:w="1372" w:type="dxa"/>
            <w:vAlign w:val="center"/>
            <w:textDirection w:val="lrTb"/>
            <w:noWrap/>
          </w:tcPr>
          <w:p>
            <w:pPr>
              <w:jc w:val="center"/>
              <w:widowControl/>
              <w:rPr>
                <w:rFonts w:ascii="楷体" w:hAnsi="楷体" w:eastAsia="楷体" w:cs="宋体"/>
                <w:color w:val="auto"/>
                <w:sz w:val="24"/>
                <w:highlight w:val="none"/>
                <w:lang w:val="en-US"/>
              </w:rPr>
            </w:pPr>
            <w:r>
              <w:rPr>
                <w:rFonts w:hint="eastAsia" w:ascii="楷体" w:hAnsi="楷体" w:eastAsia="楷体" w:cs="宋体"/>
                <w:color w:val="auto"/>
                <w:sz w:val="24"/>
                <w:highlight w:val="none"/>
                <w:lang w:val="en-US"/>
              </w:rPr>
              <w:t xml:space="preserve">1</w:t>
            </w:r>
            <w:r/>
          </w:p>
        </w:tc>
        <w:tc>
          <w:tcPr>
            <w:tcW w:w="1386"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lang w:val="en-US"/>
              </w:rPr>
              <w:t xml:space="preserve">2</w:t>
            </w:r>
            <w:r/>
          </w:p>
        </w:tc>
        <w:tc>
          <w:tcPr>
            <w:tcW w:w="171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lang w:val="en-US"/>
              </w:rPr>
              <w:t xml:space="preserve">1</w:t>
            </w:r>
            <w:r/>
          </w:p>
        </w:tc>
      </w:tr>
      <w:tr>
        <w:trPr>
          <w:jc w:val="center"/>
          <w:trHeight w:val="2419" w:hRule="exact"/>
        </w:trPr>
        <w:tc>
          <w:tcPr>
            <w:tcW w:w="1492" w:type="dxa"/>
            <w:vAlign w:val="center"/>
            <w:textDirection w:val="lrTb"/>
            <w:noWrap/>
          </w:tcPr>
          <w:p>
            <w:pPr>
              <w:jc w:val="center"/>
              <w:widowControl/>
              <w:rPr>
                <w:rFonts w:ascii="楷体" w:hAnsi="楷体" w:eastAsia="楷体" w:cs="宋体"/>
                <w:color w:val="auto"/>
                <w:sz w:val="24"/>
                <w:highlight w:val="none"/>
                <w:lang w:val="en-US"/>
              </w:rPr>
            </w:pPr>
            <w:r>
              <w:rPr>
                <w:rFonts w:hint="eastAsia" w:ascii="楷体" w:hAnsi="楷体" w:eastAsia="楷体" w:cs="宋体"/>
                <w:color w:val="auto"/>
                <w:sz w:val="24"/>
                <w:highlight w:val="none"/>
                <w:lang w:val="en-US"/>
              </w:rPr>
              <w:t xml:space="preserve">持证要求</w:t>
            </w:r>
            <w:r/>
          </w:p>
        </w:tc>
        <w:tc>
          <w:tcPr>
            <w:tcW w:w="1757" w:type="dxa"/>
            <w:vAlign w:val="center"/>
            <w:textDirection w:val="lrTb"/>
            <w:noWrap/>
          </w:tcPr>
          <w:p>
            <w:pPr>
              <w:jc w:val="center"/>
              <w:widowControl/>
              <w:rPr>
                <w:rFonts w:ascii="楷体" w:hAnsi="楷体" w:eastAsia="楷体" w:cs="宋体"/>
                <w:color w:val="auto"/>
                <w:sz w:val="24"/>
                <w:highlight w:val="none"/>
                <w:lang w:val="en-US"/>
              </w:rPr>
            </w:pPr>
            <w:r>
              <w:rPr>
                <w:rFonts w:hint="eastAsia" w:ascii="楷体" w:hAnsi="楷体" w:eastAsia="楷体" w:cs="宋体"/>
                <w:color w:val="auto"/>
                <w:sz w:val="21"/>
                <w:szCs w:val="21"/>
                <w:highlight w:val="none"/>
                <w:lang w:val="en-US"/>
              </w:rPr>
              <w:t xml:space="preserve">具有机电工程或市政公用工程专业二级及以上注册建造师证书，并取得住房城乡建设主管部门颁发的安全生产考核合格证(B类证书)</w:t>
            </w:r>
            <w:r/>
          </w:p>
        </w:tc>
        <w:tc>
          <w:tcPr>
            <w:tcW w:w="1643" w:type="dxa"/>
            <w:vAlign w:val="center"/>
            <w:textDirection w:val="lrTb"/>
            <w:noWrap/>
          </w:tcPr>
          <w:p>
            <w:pPr>
              <w:jc w:val="center"/>
              <w:widowControl/>
              <w:rPr>
                <w:rFonts w:ascii="楷体" w:hAnsi="楷体" w:eastAsia="楷体" w:cs="宋体"/>
                <w:color w:val="auto"/>
                <w:sz w:val="24"/>
                <w:highlight w:val="none"/>
                <w:lang w:val="en-US"/>
              </w:rPr>
            </w:pPr>
            <w:r>
              <w:rPr>
                <w:rFonts w:hint="eastAsia" w:ascii="楷体" w:hAnsi="楷体" w:eastAsia="楷体" w:cs="宋体"/>
                <w:color w:val="auto"/>
                <w:sz w:val="21"/>
                <w:szCs w:val="21"/>
                <w:highlight w:val="none"/>
                <w:lang w:val="en-US"/>
              </w:rPr>
              <w:t xml:space="preserve">具有机电工程或市政公用工程或电力工程</w:t>
            </w:r>
            <w:r>
              <w:rPr>
                <w:rFonts w:hint="eastAsia" w:ascii="楷体" w:hAnsi="楷体" w:eastAsia="楷体" w:cs="宋体"/>
                <w:color w:val="auto"/>
                <w:sz w:val="21"/>
                <w:szCs w:val="21"/>
                <w:highlight w:val="none"/>
                <w:lang w:val="en-US"/>
              </w:rPr>
              <w:t xml:space="preserve">相关</w:t>
            </w:r>
            <w:r>
              <w:rPr>
                <w:rFonts w:hint="eastAsia" w:ascii="楷体" w:hAnsi="楷体" w:eastAsia="楷体" w:cs="宋体"/>
                <w:color w:val="auto"/>
                <w:sz w:val="21"/>
                <w:szCs w:val="21"/>
                <w:highlight w:val="none"/>
                <w:lang w:val="en-US"/>
              </w:rPr>
              <w:t xml:space="preserve">专业初级工程师职称</w:t>
            </w:r>
            <w:r/>
          </w:p>
        </w:tc>
        <w:tc>
          <w:tcPr>
            <w:tcW w:w="1493" w:type="dxa"/>
            <w:vAlign w:val="center"/>
            <w:textDirection w:val="lrTb"/>
            <w:noWrap/>
          </w:tcPr>
          <w:p>
            <w:pPr>
              <w:jc w:val="center"/>
              <w:widowControl/>
              <w:rPr>
                <w:rFonts w:ascii="楷体" w:hAnsi="楷体" w:eastAsia="楷体" w:cs="宋体"/>
                <w:color w:val="auto"/>
                <w:sz w:val="21"/>
                <w:szCs w:val="21"/>
                <w:highlight w:val="none"/>
                <w:lang w:val="en-US"/>
              </w:rPr>
            </w:pPr>
            <w:r>
              <w:rPr>
                <w:rFonts w:hint="eastAsia" w:ascii="楷体" w:hAnsi="楷体" w:eastAsia="楷体" w:cs="宋体"/>
                <w:color w:val="auto"/>
                <w:sz w:val="21"/>
                <w:szCs w:val="21"/>
                <w:highlight w:val="none"/>
                <w:lang w:val="en-US"/>
              </w:rPr>
              <w:t xml:space="preserve">取得住房城乡建设主管部门颁发的安全生产考核合格证(C类证书)</w:t>
            </w:r>
            <w:r/>
          </w:p>
        </w:tc>
        <w:tc>
          <w:tcPr>
            <w:tcW w:w="1372" w:type="dxa"/>
            <w:vAlign w:val="center"/>
            <w:textDirection w:val="lrTb"/>
            <w:noWrap/>
          </w:tcPr>
          <w:p>
            <w:pPr>
              <w:jc w:val="center"/>
              <w:widowControl/>
              <w:rPr>
                <w:rFonts w:ascii="楷体" w:hAnsi="楷体" w:eastAsia="楷体" w:cs="宋体"/>
                <w:color w:val="auto"/>
                <w:sz w:val="21"/>
                <w:szCs w:val="21"/>
                <w:highlight w:val="none"/>
                <w:lang w:val="en-US"/>
              </w:rPr>
            </w:pPr>
            <w:r>
              <w:rPr>
                <w:rFonts w:hint="eastAsia" w:ascii="楷体" w:hAnsi="楷体" w:eastAsia="楷体" w:cs="宋体"/>
                <w:color w:val="auto"/>
                <w:sz w:val="21"/>
                <w:szCs w:val="21"/>
                <w:highlight w:val="none"/>
                <w:lang w:val="en-US"/>
              </w:rPr>
              <w:t xml:space="preserve">具有高压电工证</w:t>
            </w:r>
            <w:r/>
          </w:p>
        </w:tc>
        <w:tc>
          <w:tcPr>
            <w:tcW w:w="1386" w:type="dxa"/>
            <w:vAlign w:val="center"/>
            <w:textDirection w:val="lrTb"/>
            <w:noWrap/>
          </w:tcPr>
          <w:p>
            <w:pPr>
              <w:jc w:val="center"/>
              <w:widowControl/>
              <w:rPr>
                <w:rFonts w:ascii="楷体" w:hAnsi="楷体" w:eastAsia="楷体" w:cs="宋体"/>
                <w:color w:val="auto"/>
                <w:sz w:val="21"/>
                <w:szCs w:val="21"/>
                <w:highlight w:val="none"/>
                <w:lang w:val="en-US"/>
              </w:rPr>
            </w:pPr>
            <w:r>
              <w:rPr>
                <w:rFonts w:hint="eastAsia" w:ascii="楷体" w:hAnsi="楷体" w:eastAsia="楷体" w:cs="宋体"/>
                <w:color w:val="auto"/>
                <w:sz w:val="21"/>
                <w:szCs w:val="21"/>
                <w:highlight w:val="none"/>
                <w:lang w:val="en-US"/>
              </w:rPr>
              <w:t xml:space="preserve">具有低压电工证</w:t>
            </w:r>
            <w:r/>
          </w:p>
        </w:tc>
        <w:tc>
          <w:tcPr>
            <w:tcW w:w="1710" w:type="dxa"/>
            <w:vAlign w:val="center"/>
            <w:textDirection w:val="lrTb"/>
            <w:noWrap/>
          </w:tcPr>
          <w:p>
            <w:pPr>
              <w:jc w:val="center"/>
              <w:widowControl/>
              <w:rPr>
                <w:rFonts w:ascii="楷体" w:hAnsi="楷体" w:eastAsia="楷体" w:cs="宋体"/>
                <w:color w:val="auto"/>
                <w:sz w:val="21"/>
                <w:szCs w:val="21"/>
                <w:highlight w:val="none"/>
                <w:lang w:val="en-US"/>
              </w:rPr>
            </w:pPr>
            <w:r>
              <w:rPr>
                <w:rFonts w:hint="eastAsia" w:ascii="楷体" w:hAnsi="楷体" w:eastAsia="楷体" w:cs="宋体"/>
                <w:color w:val="auto"/>
                <w:sz w:val="21"/>
                <w:szCs w:val="21"/>
                <w:highlight w:val="none"/>
                <w:lang w:val="en-US"/>
              </w:rPr>
              <w:t xml:space="preserve">高空作业车配备的操作人员需提供高空作业车操作证</w:t>
            </w:r>
            <w:r/>
          </w:p>
        </w:tc>
      </w:tr>
    </w:tbl>
    <w:p>
      <w:pPr>
        <w:jc w:val="center"/>
        <w:widowControl/>
        <w:rPr>
          <w:rFonts w:ascii="楷体" w:hAnsi="楷体" w:eastAsia="楷体"/>
          <w:b/>
          <w:color w:val="auto"/>
          <w:sz w:val="28"/>
          <w:szCs w:val="28"/>
          <w:highlight w:val="none"/>
        </w:rPr>
      </w:pPr>
      <w:r>
        <w:rPr>
          <w:rFonts w:ascii="楷体" w:hAnsi="楷体" w:eastAsia="楷体"/>
          <w:b/>
          <w:color w:val="auto"/>
          <w:sz w:val="28"/>
          <w:szCs w:val="28"/>
          <w:highlight w:val="none"/>
        </w:rPr>
      </w:r>
      <w:r/>
    </w:p>
    <w:p>
      <w:pPr>
        <w:pStyle w:val="878"/>
        <w:ind w:firstLine="482"/>
        <w:spacing w:before="0" w:beforeAutospacing="0" w:after="0" w:afterAutospacing="0" w:line="400" w:lineRule="atLeast"/>
        <w:tabs>
          <w:tab w:val="left" w:pos="-1980" w:leader="none"/>
          <w:tab w:val="left" w:pos="360" w:leader="none"/>
          <w:tab w:val="left" w:pos="6660" w:leader="none"/>
        </w:tabs>
        <w:rPr>
          <w:rFonts w:ascii="楷体" w:hAnsi="楷体" w:eastAsia="楷体" w:cs="宋体"/>
          <w:color w:val="auto"/>
          <w:highlight w:val="none"/>
          <w:lang w:eastAsia="zh-CN"/>
        </w:rPr>
      </w:pPr>
      <w:r>
        <w:rPr>
          <w:rFonts w:hint="eastAsia" w:ascii="楷体" w:hAnsi="楷体" w:eastAsia="楷体" w:cs="宋体"/>
          <w:color w:val="auto"/>
          <w:highlight w:val="none"/>
          <w:lang w:eastAsia="zh-CN"/>
        </w:rPr>
        <w:t xml:space="preserve">注：1、《</w:t>
      </w:r>
      <w:r>
        <w:rPr>
          <w:rFonts w:hint="eastAsia" w:ascii="楷体" w:hAnsi="楷体" w:eastAsia="楷体" w:cs="宋体"/>
          <w:color w:val="auto"/>
          <w:highlight w:val="none"/>
          <w:lang w:val="en-US" w:eastAsia="zh-CN"/>
        </w:rPr>
        <w:t xml:space="preserve">丹徒城区夜景灯光点位清单</w:t>
      </w:r>
      <w:r>
        <w:rPr>
          <w:rFonts w:hint="eastAsia" w:ascii="楷体" w:hAnsi="楷体" w:eastAsia="楷体" w:cs="宋体"/>
          <w:color w:val="auto"/>
          <w:highlight w:val="none"/>
          <w:lang w:eastAsia="zh-CN"/>
        </w:rPr>
        <w:t xml:space="preserve">》（</w:t>
      </w:r>
      <w:r>
        <w:rPr>
          <w:rFonts w:hint="eastAsia" w:ascii="楷体" w:hAnsi="楷体" w:eastAsia="楷体" w:cs="宋体"/>
          <w:color w:val="auto"/>
          <w:highlight w:val="none"/>
          <w:lang w:val="en-US" w:eastAsia="zh-CN"/>
        </w:rPr>
        <w:t xml:space="preserve">附件1</w:t>
      </w:r>
      <w:r>
        <w:rPr>
          <w:rFonts w:hint="eastAsia" w:ascii="楷体" w:hAnsi="楷体" w:eastAsia="楷体" w:cs="宋体"/>
          <w:color w:val="auto"/>
          <w:highlight w:val="none"/>
          <w:lang w:eastAsia="zh-CN"/>
        </w:rPr>
        <w:t xml:space="preserve">）为丹徒区内丹徒区夜景灯光管护服务项目（2023-2026）设施的基本信息，供投标人参考，投标人应自行前往实地勘测核实并测算费用。</w:t>
      </w:r>
      <w:r/>
    </w:p>
    <w:p>
      <w:pPr>
        <w:pStyle w:val="878"/>
        <w:ind w:firstLine="482"/>
        <w:spacing w:before="0" w:beforeAutospacing="0" w:after="0" w:afterAutospacing="0" w:line="400" w:lineRule="atLeast"/>
        <w:tabs>
          <w:tab w:val="left" w:pos="-1980" w:leader="none"/>
          <w:tab w:val="left" w:pos="360" w:leader="none"/>
          <w:tab w:val="left" w:pos="6660" w:leader="none"/>
        </w:tabs>
        <w:rPr>
          <w:rFonts w:ascii="楷体" w:hAnsi="楷体" w:eastAsia="楷体" w:cs="宋体"/>
          <w:color w:val="auto"/>
          <w:highlight w:val="none"/>
          <w:lang w:eastAsia="zh-CN"/>
        </w:rPr>
      </w:pPr>
      <w:r>
        <w:rPr>
          <w:rFonts w:hint="eastAsia" w:ascii="楷体" w:hAnsi="楷体" w:eastAsia="楷体" w:cs="宋体"/>
          <w:color w:val="auto"/>
          <w:highlight w:val="none"/>
          <w:lang w:eastAsia="zh-CN"/>
        </w:rPr>
        <w:t xml:space="preserve">2、《管护车辆最低要求明细》、《管护人员最低要求明细表》是丹徒区夜景灯光管护服务项目（2023-2026）项目必须配置的最低要求。</w:t>
      </w:r>
      <w:r/>
    </w:p>
    <w:p>
      <w:pPr>
        <w:pStyle w:val="878"/>
        <w:ind w:firstLine="482"/>
        <w:spacing w:before="0" w:beforeAutospacing="0" w:after="0" w:afterAutospacing="0" w:line="400" w:lineRule="atLeast"/>
        <w:tabs>
          <w:tab w:val="left" w:pos="-1980" w:leader="none"/>
          <w:tab w:val="left" w:pos="360" w:leader="none"/>
          <w:tab w:val="left" w:pos="6660" w:leader="none"/>
        </w:tabs>
        <w:rPr>
          <w:rFonts w:ascii="楷体" w:hAnsi="楷体" w:eastAsia="楷体" w:cs="宋体"/>
          <w:color w:val="auto"/>
          <w:highlight w:val="none"/>
          <w:lang w:eastAsia="zh-CN"/>
        </w:rPr>
      </w:pPr>
      <w:r>
        <w:rPr>
          <w:rFonts w:hint="eastAsia" w:ascii="楷体" w:hAnsi="楷体" w:eastAsia="楷体" w:cs="宋体"/>
          <w:color w:val="auto"/>
          <w:highlight w:val="none"/>
          <w:lang w:eastAsia="zh-CN"/>
        </w:rPr>
        <w:t xml:space="preserve">   3、</w:t>
      </w:r>
      <w:r>
        <w:rPr>
          <w:rFonts w:hint="eastAsia" w:ascii="楷体" w:hAnsi="楷体" w:eastAsia="楷体" w:cs="宋体"/>
          <w:color w:val="auto"/>
          <w:highlight w:val="none"/>
          <w:lang w:val="en-US" w:eastAsia="zh-CN"/>
        </w:rPr>
        <w:t xml:space="preserve">以上</w:t>
      </w:r>
      <w:r>
        <w:rPr>
          <w:rFonts w:hint="eastAsia" w:ascii="楷体" w:hAnsi="楷体" w:eastAsia="楷体" w:cs="宋体"/>
          <w:color w:val="auto"/>
          <w:highlight w:val="none"/>
          <w:lang w:eastAsia="zh-CN"/>
        </w:rPr>
        <w:t xml:space="preserve">人员不得兼任，</w:t>
      </w:r>
      <w:r>
        <w:rPr>
          <w:rFonts w:hint="eastAsia" w:ascii="楷体" w:hAnsi="楷体" w:eastAsia="楷体" w:cs="宋体"/>
          <w:color w:val="auto"/>
          <w:highlight w:val="none"/>
          <w:lang w:val="en-US" w:eastAsia="zh-CN"/>
        </w:rPr>
        <w:t xml:space="preserve">投标文件中根据上表中的持证要求提供对应人员证书，并提供近半年内任意一个月供应商为其缴纳的社保证明材料，</w:t>
      </w:r>
      <w:r>
        <w:rPr>
          <w:rFonts w:hint="eastAsia" w:ascii="楷体" w:hAnsi="楷体" w:eastAsia="楷体" w:cs="宋体"/>
          <w:b/>
          <w:bCs/>
          <w:i/>
          <w:iCs/>
          <w:color w:val="auto"/>
          <w:highlight w:val="none"/>
          <w:u w:val="single"/>
          <w:lang w:val="en-US" w:eastAsia="zh-CN"/>
        </w:rPr>
        <w:t xml:space="preserve">否则视为未实质性响应</w:t>
      </w:r>
      <w:r>
        <w:rPr>
          <w:rFonts w:hint="eastAsia" w:ascii="楷体" w:hAnsi="楷体" w:eastAsia="楷体" w:cs="宋体"/>
          <w:color w:val="auto"/>
          <w:highlight w:val="none"/>
          <w:lang w:eastAsia="zh-CN"/>
        </w:rPr>
        <w:t xml:space="preserve">。</w:t>
      </w:r>
      <w:r/>
    </w:p>
    <w:p>
      <w:pPr>
        <w:pStyle w:val="845"/>
        <w:rPr>
          <w:color w:val="auto"/>
          <w:highlight w:val="none"/>
        </w:rPr>
        <w:sectPr>
          <w:footnotePr/>
          <w:endnotePr/>
          <w:type w:val="nextPage"/>
          <w:pgSz w:w="16839" w:h="11907" w:orient="landscape"/>
          <w:pgMar w:top="1134" w:right="1134" w:bottom="1134" w:left="1134" w:header="720" w:footer="720" w:gutter="0"/>
          <w:cols w:num="1" w:sep="0" w:space="1701" w:equalWidth="1"/>
          <w:docGrid w:linePitch="360"/>
        </w:sectPr>
      </w:pPr>
      <w:r>
        <w:rPr>
          <w:color w:val="auto"/>
          <w:highlight w:val="none"/>
        </w:rPr>
      </w:r>
      <w:r/>
    </w:p>
    <w:p>
      <w:pPr>
        <w:pStyle w:val="889"/>
        <w:rPr>
          <w:color w:val="auto"/>
          <w:highlight w:val="none"/>
        </w:rPr>
      </w:pPr>
      <w:r>
        <w:rPr>
          <w:color w:val="auto"/>
          <w:highlight w:val="none"/>
        </w:rPr>
      </w:r>
      <w:r/>
    </w:p>
    <w:p>
      <w:pPr>
        <w:jc w:val="center"/>
        <w:rPr>
          <w:rFonts w:ascii="楷体" w:hAnsi="楷体" w:eastAsia="楷体" w:cs="黑体"/>
          <w:b/>
          <w:bCs/>
          <w:color w:val="auto"/>
          <w:sz w:val="32"/>
          <w:szCs w:val="32"/>
          <w:highlight w:val="none"/>
        </w:rPr>
      </w:pPr>
      <w:r>
        <w:rPr>
          <w:rFonts w:hint="eastAsia" w:ascii="楷体" w:hAnsi="楷体" w:eastAsia="楷体" w:cs="黑体"/>
          <w:b/>
          <w:bCs/>
          <w:color w:val="auto"/>
          <w:sz w:val="32"/>
          <w:szCs w:val="32"/>
          <w:highlight w:val="none"/>
        </w:rPr>
        <w:t xml:space="preserve">管护作业量清单</w:t>
      </w:r>
      <w:r/>
    </w:p>
    <w:p>
      <w:pPr>
        <w:ind w:firstLine="562"/>
        <w:spacing w:line="360" w:lineRule="auto"/>
        <w:rPr>
          <w:rFonts w:ascii="楷体" w:hAnsi="楷体" w:eastAsia="楷体"/>
          <w:b/>
          <w:color w:val="auto"/>
          <w:sz w:val="28"/>
          <w:szCs w:val="28"/>
          <w:highlight w:val="none"/>
        </w:rPr>
      </w:pPr>
      <w:r>
        <w:rPr>
          <w:rFonts w:hint="eastAsia" w:ascii="楷体" w:hAnsi="楷体" w:eastAsia="楷体"/>
          <w:b/>
          <w:color w:val="auto"/>
          <w:sz w:val="28"/>
          <w:szCs w:val="28"/>
          <w:highlight w:val="none"/>
          <w:lang w:val="en-US"/>
        </w:rPr>
        <w:t xml:space="preserve">一</w:t>
      </w:r>
      <w:r>
        <w:rPr>
          <w:rFonts w:hint="eastAsia" w:ascii="楷体" w:hAnsi="楷体" w:eastAsia="楷体"/>
          <w:b/>
          <w:color w:val="auto"/>
          <w:sz w:val="28"/>
          <w:szCs w:val="28"/>
          <w:highlight w:val="none"/>
        </w:rPr>
        <w:t xml:space="preserve">、服务期限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本次招标的服务期限为：三年（具体服务期限以采购人签订合同为准）。</w:t>
      </w:r>
      <w:r/>
    </w:p>
    <w:p>
      <w:pPr>
        <w:ind w:firstLine="562"/>
        <w:spacing w:line="360" w:lineRule="auto"/>
        <w:rPr>
          <w:rFonts w:ascii="楷体" w:hAnsi="楷体" w:eastAsia="楷体"/>
          <w:b/>
          <w:color w:val="auto"/>
          <w:sz w:val="28"/>
          <w:szCs w:val="28"/>
          <w:highlight w:val="none"/>
        </w:rPr>
      </w:pPr>
      <w:r>
        <w:rPr>
          <w:rFonts w:hint="eastAsia" w:ascii="楷体" w:hAnsi="楷体" w:eastAsia="楷体"/>
          <w:b/>
          <w:color w:val="auto"/>
          <w:sz w:val="28"/>
          <w:szCs w:val="28"/>
          <w:highlight w:val="none"/>
          <w:lang w:val="en-US"/>
        </w:rPr>
        <w:t xml:space="preserve">二</w:t>
      </w:r>
      <w:r>
        <w:rPr>
          <w:rFonts w:hint="eastAsia" w:ascii="楷体" w:hAnsi="楷体" w:eastAsia="楷体"/>
          <w:b/>
          <w:color w:val="auto"/>
          <w:sz w:val="28"/>
          <w:szCs w:val="28"/>
          <w:highlight w:val="none"/>
        </w:rPr>
        <w:t xml:space="preserve">、对参与本项目投标人的场所、车辆、人员要求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参与本项目投标人除具备投标人应具备的条件外，还应符合下列条件（请在投标文件中提供相应证明资料或承诺，承诺函格式自拟）：</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1、管理机构及固定场所要求</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w:t>
      </w:r>
      <w:r>
        <w:rPr>
          <w:rFonts w:ascii="楷体" w:hAnsi="楷体" w:eastAsia="楷体"/>
          <w:b/>
          <w:color w:val="auto"/>
          <w:sz w:val="24"/>
          <w:highlight w:val="none"/>
        </w:rPr>
        <w:t xml:space="preserve">1</w:t>
      </w:r>
      <w:r>
        <w:rPr>
          <w:rFonts w:hint="eastAsia" w:ascii="楷体" w:hAnsi="楷体" w:eastAsia="楷体"/>
          <w:b/>
          <w:color w:val="auto"/>
          <w:sz w:val="24"/>
          <w:highlight w:val="none"/>
        </w:rPr>
        <w:t xml:space="preserve">）投标人必须具备与本项目管护作业量、管护作业车辆与设备数量相匹配的办公场所、车辆停放场所，并且在中标服务期内不得改作他用，如遇拆迁等不可抗力，投标人需与采购人商定，并在规定的时间内完成替代场所的选定并投入使用，否则采购人有权终止服务合同。</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w:t>
      </w:r>
      <w:r>
        <w:rPr>
          <w:rFonts w:ascii="楷体" w:hAnsi="楷体" w:eastAsia="楷体"/>
          <w:b/>
          <w:color w:val="auto"/>
          <w:sz w:val="24"/>
          <w:highlight w:val="none"/>
        </w:rPr>
        <w:t xml:space="preserve">2</w:t>
      </w:r>
      <w:r>
        <w:rPr>
          <w:rFonts w:hint="eastAsia" w:ascii="楷体" w:hAnsi="楷体" w:eastAsia="楷体"/>
          <w:b/>
          <w:color w:val="auto"/>
          <w:sz w:val="24"/>
          <w:highlight w:val="none"/>
        </w:rPr>
        <w:t xml:space="preserve">）办公场所、车辆停放场所暂无或缺少的投标人，需</w:t>
      </w:r>
      <w:r>
        <w:rPr>
          <w:rFonts w:hint="eastAsia" w:ascii="楷体" w:hAnsi="楷体" w:eastAsia="楷体"/>
          <w:b/>
          <w:color w:val="auto"/>
          <w:sz w:val="24"/>
          <w:highlight w:val="none"/>
        </w:rPr>
        <w:t xml:space="preserve">承诺在项目进场前</w:t>
      </w:r>
      <w:r>
        <w:rPr>
          <w:rFonts w:hint="eastAsia" w:ascii="楷体" w:hAnsi="楷体" w:eastAsia="楷体"/>
          <w:b/>
          <w:color w:val="auto"/>
          <w:sz w:val="24"/>
          <w:highlight w:val="none"/>
        </w:rPr>
        <w:t xml:space="preserve">向采购人提供相关场所及房屋的证明文件。上述场所如为自有的，提供房产证复印件；如为租赁的，提供租赁合同及出租方房产证复印件。场所不足和没有的均需在</w:t>
      </w:r>
      <w:r>
        <w:rPr>
          <w:rFonts w:hint="eastAsia" w:ascii="楷体" w:hAnsi="楷体" w:eastAsia="楷体"/>
          <w:b/>
          <w:color w:val="auto"/>
          <w:sz w:val="24"/>
          <w:highlight w:val="none"/>
        </w:rPr>
        <w:t xml:space="preserve">投标文件中提供在项目进场前落实好上述场所的承诺</w:t>
      </w:r>
      <w:r>
        <w:rPr>
          <w:rFonts w:hint="eastAsia" w:ascii="楷体" w:hAnsi="楷体" w:eastAsia="楷体"/>
          <w:b/>
          <w:color w:val="auto"/>
          <w:sz w:val="24"/>
          <w:highlight w:val="none"/>
        </w:rPr>
        <w:t xml:space="preserve">，未提供相关承诺的将被定义为未实质性响应的投标。上述证明材料提供原件备查。</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2、有关车辆设备配置的要求</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（1）投标人中标后，投标文件中所提供的车辆必须服务于该中标标段，未经采购人许可，不得擅自更改作业标段或用其他车辆替代，否则采购人有权终止合同。</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w:t>
      </w:r>
      <w:r>
        <w:rPr>
          <w:rFonts w:hint="eastAsia" w:ascii="楷体" w:hAnsi="楷体" w:eastAsia="楷体"/>
          <w:b/>
          <w:color w:val="auto"/>
          <w:sz w:val="24"/>
          <w:highlight w:val="none"/>
          <w:lang w:val="en-US"/>
        </w:rPr>
        <w:t xml:space="preserve">2</w:t>
      </w:r>
      <w:r>
        <w:rPr>
          <w:rFonts w:hint="eastAsia" w:ascii="楷体" w:hAnsi="楷体" w:eastAsia="楷体"/>
          <w:b/>
          <w:color w:val="auto"/>
          <w:sz w:val="24"/>
          <w:highlight w:val="none"/>
        </w:rPr>
        <w:t xml:space="preserve">）合同履行期间，中标供应商应做好车辆的管护保养工作，若专用车辆出现故障，中标供应商应及时维修或采用临时提供备用车辆来进行巡查和管护工作，若经维修后仍无法满足施工要求的，中标供应商应及时进行更换，并报请采购人同意。中标供应商拒绝更换或更换不及时的，将视为违约，采购人有权对中标供应商</w:t>
      </w:r>
      <w:r>
        <w:rPr>
          <w:rFonts w:hint="eastAsia" w:ascii="楷体" w:hAnsi="楷体" w:eastAsia="楷体"/>
          <w:b/>
          <w:color w:val="auto"/>
          <w:sz w:val="24"/>
          <w:highlight w:val="none"/>
          <w:lang w:val="en-US"/>
        </w:rPr>
        <w:t xml:space="preserve">扣除养护经费</w:t>
      </w:r>
      <w:r>
        <w:rPr>
          <w:rFonts w:hint="eastAsia" w:ascii="楷体" w:hAnsi="楷体" w:eastAsia="楷体"/>
          <w:b/>
          <w:color w:val="auto"/>
          <w:sz w:val="24"/>
          <w:highlight w:val="none"/>
        </w:rPr>
        <w:t xml:space="preserve">，登高车辆</w:t>
      </w:r>
      <w:r>
        <w:rPr>
          <w:rFonts w:hint="eastAsia" w:ascii="楷体" w:hAnsi="楷体" w:eastAsia="楷体"/>
          <w:b/>
          <w:color w:val="auto"/>
          <w:sz w:val="24"/>
          <w:highlight w:val="none"/>
          <w:lang w:val="en-US"/>
        </w:rPr>
        <w:t xml:space="preserve">扣除5000</w:t>
      </w:r>
      <w:r>
        <w:rPr>
          <w:rFonts w:hint="eastAsia" w:ascii="楷体" w:hAnsi="楷体" w:eastAsia="楷体"/>
          <w:b/>
          <w:color w:val="auto"/>
          <w:sz w:val="24"/>
          <w:highlight w:val="none"/>
        </w:rPr>
        <w:t xml:space="preserve">元/辆·次，其他车辆2000元/辆·次。若出现三次（含）以上该违约现象，采购人有权解除合同。</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3、有关人员配置的要求</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（1）管护人员配置必须满足《管护人员最低要求明细表》</w:t>
      </w:r>
      <w:r>
        <w:rPr>
          <w:rFonts w:hint="eastAsia" w:ascii="楷体" w:hAnsi="楷体" w:eastAsia="楷体"/>
          <w:b/>
          <w:color w:val="auto"/>
          <w:sz w:val="24"/>
          <w:highlight w:val="none"/>
          <w:lang w:val="en-US"/>
        </w:rPr>
        <w:t xml:space="preserve">和投标文件</w:t>
      </w:r>
      <w:r>
        <w:rPr>
          <w:rFonts w:hint="eastAsia" w:ascii="楷体" w:hAnsi="楷体" w:eastAsia="楷体"/>
          <w:b/>
          <w:color w:val="auto"/>
          <w:sz w:val="24"/>
          <w:highlight w:val="none"/>
        </w:rPr>
        <w:t xml:space="preserve">的要求，并在人员配备方案中具体体现。</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（2）项目负责人具有相应资质</w:t>
      </w:r>
      <w:r>
        <w:rPr>
          <w:rFonts w:hint="eastAsia" w:ascii="楷体" w:hAnsi="楷体" w:eastAsia="楷体"/>
          <w:b/>
          <w:color w:val="auto"/>
          <w:sz w:val="24"/>
          <w:highlight w:val="none"/>
        </w:rPr>
        <w:t xml:space="preserve">（</w:t>
      </w:r>
      <w:r>
        <w:rPr>
          <w:rFonts w:hint="eastAsia" w:ascii="楷体" w:hAnsi="楷体" w:eastAsia="楷体"/>
          <w:b/>
          <w:color w:val="auto"/>
          <w:sz w:val="24"/>
          <w:highlight w:val="none"/>
          <w:lang w:val="en-US"/>
        </w:rPr>
        <w:t xml:space="preserve">详见资格要求部分</w:t>
      </w:r>
      <w:r>
        <w:rPr>
          <w:rFonts w:hint="eastAsia" w:ascii="楷体" w:hAnsi="楷体" w:eastAsia="楷体"/>
          <w:b/>
          <w:color w:val="auto"/>
          <w:sz w:val="24"/>
          <w:highlight w:val="none"/>
        </w:rPr>
        <w:t xml:space="preserve">）</w:t>
      </w:r>
      <w:r>
        <w:rPr>
          <w:rFonts w:hint="eastAsia" w:ascii="楷体" w:hAnsi="楷体" w:eastAsia="楷体"/>
          <w:b/>
          <w:color w:val="auto"/>
          <w:sz w:val="24"/>
          <w:highlight w:val="none"/>
        </w:rPr>
        <w:t xml:space="preserve">。</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3）投标人必须在投标文件中承诺严格遵守和执行《中华人民共和国劳动法》、《中华人民共和国劳动合同法》、镇江市劳动（劳务）用工和社会保险管理规定的相关要求录用人员并与其签订劳动（劳务）合同。</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（4）投标人必须承诺为管护作业人员购置统一制式、带安全反光条的工作服装，并对破旧、影响管护作业人员形象的工作服装及时更换出新，同时为作业人员提供必要的管护作业防护用品。</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（5）投标人应在投标文件中承诺为本项目所有人员购买社会统筹保险（养老保险金、医疗保险金、工伤保险金、生育保险金、失业保险金）和意外伤害保险。</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（6）投标人应在投标文件中承诺就安全生产和职业道德，加强对所有工作人员的教育，合同期中关于管护工作中发生的一切事故、纠纷由中标供应商自行承担，采购人不承担任何责任和费用。</w:t>
      </w:r>
      <w:r/>
    </w:p>
    <w:p>
      <w:pPr>
        <w:ind w:firstLine="562"/>
        <w:spacing w:line="360" w:lineRule="auto"/>
        <w:rPr>
          <w:rFonts w:ascii="楷体" w:hAnsi="楷体" w:eastAsia="楷体"/>
          <w:b/>
          <w:color w:val="auto"/>
          <w:sz w:val="28"/>
          <w:szCs w:val="28"/>
          <w:highlight w:val="none"/>
        </w:rPr>
      </w:pPr>
      <w:r>
        <w:rPr>
          <w:rFonts w:hint="eastAsia" w:ascii="楷体" w:hAnsi="楷体" w:eastAsia="楷体"/>
          <w:b/>
          <w:color w:val="auto"/>
          <w:sz w:val="28"/>
          <w:szCs w:val="28"/>
          <w:highlight w:val="none"/>
          <w:lang w:val="en-US"/>
        </w:rPr>
        <w:t xml:space="preserve">三</w:t>
      </w:r>
      <w:r>
        <w:rPr>
          <w:rFonts w:hint="eastAsia" w:ascii="楷体" w:hAnsi="楷体" w:eastAsia="楷体"/>
          <w:b/>
          <w:color w:val="auto"/>
          <w:sz w:val="28"/>
          <w:szCs w:val="28"/>
          <w:highlight w:val="none"/>
        </w:rPr>
        <w:t xml:space="preserve">、项目合同签订及资金结算</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详见合同</w:t>
      </w:r>
      <w:r/>
    </w:p>
    <w:p>
      <w:pPr>
        <w:ind w:firstLine="562"/>
        <w:spacing w:line="360" w:lineRule="auto"/>
        <w:rPr>
          <w:rFonts w:ascii="楷体" w:hAnsi="楷体" w:eastAsia="楷体"/>
          <w:color w:val="auto"/>
          <w:sz w:val="24"/>
          <w:highlight w:val="none"/>
        </w:rPr>
      </w:pPr>
      <w:r>
        <w:rPr>
          <w:rFonts w:hint="eastAsia" w:ascii="楷体" w:hAnsi="楷体" w:eastAsia="楷体"/>
          <w:b/>
          <w:color w:val="auto"/>
          <w:sz w:val="28"/>
          <w:szCs w:val="28"/>
          <w:highlight w:val="none"/>
          <w:lang w:val="en-US"/>
        </w:rPr>
        <w:t xml:space="preserve">四</w:t>
      </w:r>
      <w:r>
        <w:rPr>
          <w:rFonts w:hint="eastAsia" w:ascii="楷体" w:hAnsi="楷体" w:eastAsia="楷体"/>
          <w:b/>
          <w:color w:val="auto"/>
          <w:sz w:val="28"/>
          <w:szCs w:val="28"/>
          <w:highlight w:val="none"/>
        </w:rPr>
        <w:t xml:space="preserve">、项目进场时间</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中标供应商中标后，应在接到采购人通知后</w:t>
      </w:r>
      <w:r>
        <w:rPr>
          <w:rFonts w:hint="eastAsia" w:ascii="楷体" w:hAnsi="楷体" w:eastAsia="楷体"/>
          <w:color w:val="auto"/>
          <w:sz w:val="24"/>
          <w:highlight w:val="none"/>
          <w:u w:val="single"/>
        </w:rPr>
        <w:t xml:space="preserve">三</w:t>
      </w:r>
      <w:r>
        <w:rPr>
          <w:rFonts w:hint="eastAsia" w:ascii="楷体" w:hAnsi="楷体" w:eastAsia="楷体"/>
          <w:color w:val="auto"/>
          <w:sz w:val="24"/>
          <w:highlight w:val="none"/>
        </w:rPr>
        <w:t xml:space="preserve">天内进场，（合同执行时间按实际进场时间开始计算），未能在规定时间进场作业的，采购人有权终止承包合同，并通知招标组织方没收履约保证金。</w:t>
      </w:r>
      <w:r/>
    </w:p>
    <w:p>
      <w:pPr>
        <w:spacing w:line="360" w:lineRule="auto"/>
        <w:rPr>
          <w:rFonts w:ascii="楷体" w:hAnsi="楷体" w:eastAsia="楷体"/>
          <w:color w:val="auto"/>
          <w:sz w:val="24"/>
          <w:highlight w:val="none"/>
        </w:rPr>
      </w:pPr>
      <w:r>
        <w:rPr>
          <w:rFonts w:hint="eastAsia" w:ascii="楷体" w:hAnsi="楷体" w:eastAsia="楷体"/>
          <w:b/>
          <w:color w:val="auto"/>
          <w:sz w:val="28"/>
          <w:szCs w:val="28"/>
          <w:highlight w:val="none"/>
          <w:lang w:val="en-US"/>
        </w:rPr>
        <w:t xml:space="preserve">五</w:t>
      </w:r>
      <w:r>
        <w:rPr>
          <w:rFonts w:hint="eastAsia" w:ascii="楷体" w:hAnsi="楷体" w:eastAsia="楷体"/>
          <w:b/>
          <w:color w:val="auto"/>
          <w:sz w:val="28"/>
          <w:szCs w:val="28"/>
          <w:highlight w:val="none"/>
        </w:rPr>
        <w:t xml:space="preserve">、项目分包及转让</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中标供应商应当按照合同约定履行义务、如实完成中标项目的服务。中标供应商不得向他人转让本项目。除投标文件中有分包计划及相应方案外，中标供应商不得将本项目肢解后向他人分包，否则，采购人有权终止承包合同，并通知招标组织方没收履约保证金。</w:t>
      </w:r>
      <w:r/>
    </w:p>
    <w:p>
      <w:pPr>
        <w:ind w:firstLine="562"/>
        <w:spacing w:line="360" w:lineRule="auto"/>
        <w:rPr>
          <w:rFonts w:ascii="楷体" w:hAnsi="楷体" w:eastAsia="楷体"/>
          <w:b/>
          <w:color w:val="auto"/>
          <w:sz w:val="28"/>
          <w:szCs w:val="28"/>
          <w:highlight w:val="none"/>
        </w:rPr>
      </w:pPr>
      <w:r>
        <w:rPr>
          <w:rFonts w:hint="eastAsia" w:ascii="楷体" w:hAnsi="楷体" w:eastAsia="楷体"/>
          <w:b/>
          <w:color w:val="auto"/>
          <w:sz w:val="28"/>
          <w:szCs w:val="28"/>
          <w:highlight w:val="none"/>
          <w:lang w:val="en-US"/>
        </w:rPr>
        <w:t xml:space="preserve">六</w:t>
      </w:r>
      <w:r>
        <w:rPr>
          <w:rFonts w:hint="eastAsia" w:ascii="楷体" w:hAnsi="楷体" w:eastAsia="楷体"/>
          <w:b/>
          <w:color w:val="auto"/>
          <w:sz w:val="28"/>
          <w:szCs w:val="28"/>
          <w:highlight w:val="none"/>
        </w:rPr>
        <w:t xml:space="preserve">、项目考核</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中标供应商在承包期间将无条件接受区级政府及路灯管理部门对作业质量的检查考核。（具体考核要求见附件</w:t>
      </w:r>
      <w:r>
        <w:rPr>
          <w:rFonts w:hint="eastAsia" w:ascii="楷体" w:hAnsi="楷体" w:eastAsia="楷体"/>
          <w:color w:val="auto"/>
          <w:sz w:val="24"/>
          <w:highlight w:val="none"/>
          <w:lang w:val="en-US"/>
        </w:rPr>
        <w:t xml:space="preserve">2</w:t>
      </w:r>
      <w:r>
        <w:rPr>
          <w:rFonts w:hint="eastAsia" w:ascii="楷体" w:hAnsi="楷体" w:eastAsia="楷体"/>
          <w:color w:val="auto"/>
          <w:sz w:val="24"/>
          <w:highlight w:val="none"/>
        </w:rPr>
        <w:t xml:space="preserve">）。在合同履行期间，甲方有权根据实际情况对考核方式及考核内容作出变更，乙方必须无条件接受。</w:t>
      </w:r>
      <w:r/>
    </w:p>
    <w:p>
      <w:pPr>
        <w:ind w:firstLine="562"/>
        <w:spacing w:line="360" w:lineRule="auto"/>
        <w:rPr>
          <w:rFonts w:ascii="楷体" w:hAnsi="楷体" w:eastAsia="楷体"/>
          <w:color w:val="auto"/>
          <w:sz w:val="24"/>
          <w:highlight w:val="none"/>
        </w:rPr>
      </w:pPr>
      <w:r>
        <w:rPr>
          <w:rFonts w:hint="eastAsia" w:ascii="楷体" w:hAnsi="楷体" w:eastAsia="楷体"/>
          <w:b/>
          <w:color w:val="auto"/>
          <w:sz w:val="28"/>
          <w:szCs w:val="28"/>
          <w:highlight w:val="none"/>
          <w:lang w:val="en-US"/>
        </w:rPr>
        <w:t xml:space="preserve">七</w:t>
      </w:r>
      <w:r>
        <w:rPr>
          <w:rFonts w:hint="eastAsia" w:ascii="楷体" w:hAnsi="楷体" w:eastAsia="楷体"/>
          <w:b/>
          <w:color w:val="auto"/>
          <w:sz w:val="28"/>
          <w:szCs w:val="28"/>
          <w:highlight w:val="none"/>
        </w:rPr>
        <w:t xml:space="preserve">、项目报价及其它说明</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rPr>
      </w:pPr>
      <w:r>
        <w:rPr>
          <w:rFonts w:hint="eastAsia" w:ascii="楷体" w:hAnsi="楷体" w:eastAsia="楷体"/>
          <w:color w:val="auto"/>
          <w:sz w:val="24"/>
          <w:highlight w:val="none"/>
        </w:rPr>
        <w:t xml:space="preserve">1、本项目价款的结算和支付均以人民币为单位。本项目的中标总价包干（包工包料包质量）的方式投报。投标人应根据本项目的规模及工作难度，按照招标文件中确定或给出的相关工作内容和要求，计算投标报价。总报价包括但不限于：人员工资（含社会保险费、福利费、劳保用品费用等）、设备设施费、工作服费、</w:t>
      </w:r>
      <w:r>
        <w:rPr>
          <w:rFonts w:hint="eastAsia" w:ascii="楷体" w:hAnsi="楷体" w:eastAsia="楷体"/>
          <w:bCs/>
          <w:color w:val="auto"/>
          <w:sz w:val="24"/>
          <w:highlight w:val="none"/>
        </w:rPr>
        <w:t xml:space="preserve">管护</w:t>
      </w:r>
      <w:r>
        <w:rPr>
          <w:rFonts w:hint="eastAsia" w:ascii="楷体" w:hAnsi="楷体" w:eastAsia="楷体"/>
          <w:color w:val="auto"/>
          <w:sz w:val="24"/>
          <w:highlight w:val="none"/>
        </w:rPr>
        <w:t xml:space="preserve">工具费、</w:t>
      </w:r>
      <w:r>
        <w:rPr>
          <w:rFonts w:hint="eastAsia" w:ascii="楷体" w:hAnsi="楷体" w:eastAsia="楷体"/>
          <w:bCs/>
          <w:color w:val="auto"/>
          <w:sz w:val="24"/>
          <w:highlight w:val="none"/>
        </w:rPr>
        <w:t xml:space="preserve">管</w:t>
      </w:r>
      <w:r>
        <w:rPr>
          <w:rFonts w:hint="eastAsia" w:ascii="楷体" w:hAnsi="楷体" w:eastAsia="楷体"/>
          <w:color w:val="auto"/>
          <w:sz w:val="24"/>
          <w:highlight w:val="none"/>
        </w:rPr>
        <w:t xml:space="preserve">护材料费（电线、电缆、光源、镇流器等）、承包人管理费(含工作人员意外保险费、事故处理费、资料费、公证费等)、教育及工会计提、税金、利润等一切费用。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2、中标价包含税务发票及其他税费、人工费、管护人员购买的各种保险费、管护及更换涉及所有材料费、设备费、车辆费、安装费等完成本项目所需的一切费用。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rPr>
          <w:rFonts w:hint="eastAsia" w:ascii="楷体" w:hAnsi="楷体" w:eastAsia="楷体"/>
          <w:color w:val="auto"/>
          <w:sz w:val="24"/>
          <w:highlight w:val="none"/>
          <w:lang w:val="en-US"/>
        </w:rPr>
        <w:t xml:space="preserve">本项目</w:t>
      </w:r>
      <w:r>
        <w:rPr>
          <w:rFonts w:hint="eastAsia" w:ascii="楷体" w:hAnsi="楷体" w:eastAsia="楷体"/>
          <w:color w:val="auto"/>
          <w:sz w:val="24"/>
          <w:highlight w:val="none"/>
        </w:rPr>
        <w:t xml:space="preserve">夜景灯光</w:t>
      </w:r>
      <w:r>
        <w:rPr>
          <w:rFonts w:hint="eastAsia" w:ascii="楷体" w:hAnsi="楷体" w:eastAsia="楷体"/>
          <w:color w:val="auto"/>
          <w:sz w:val="24"/>
          <w:highlight w:val="none"/>
          <w:lang w:val="en-US"/>
        </w:rPr>
        <w:t xml:space="preserve">管理范围</w:t>
      </w:r>
      <w:r>
        <w:rPr>
          <w:rFonts w:hint="eastAsia" w:ascii="楷体" w:hAnsi="楷体" w:eastAsia="楷体"/>
          <w:color w:val="auto"/>
          <w:sz w:val="24"/>
          <w:highlight w:val="none"/>
        </w:rPr>
        <w:t xml:space="preserve">参考《</w:t>
      </w:r>
      <w:r>
        <w:rPr>
          <w:rFonts w:hint="eastAsia" w:ascii="楷体" w:hAnsi="楷体" w:eastAsia="楷体"/>
          <w:color w:val="auto"/>
          <w:sz w:val="24"/>
          <w:highlight w:val="none"/>
          <w:lang w:val="en-US"/>
        </w:rPr>
        <w:t xml:space="preserve">丹徒城区夜景灯光点位清单</w:t>
      </w:r>
      <w:r>
        <w:rPr>
          <w:rFonts w:hint="eastAsia" w:ascii="楷体" w:hAnsi="楷体" w:eastAsia="楷体"/>
          <w:color w:val="auto"/>
          <w:sz w:val="24"/>
          <w:highlight w:val="none"/>
        </w:rPr>
        <w:t xml:space="preserve">》（</w:t>
      </w:r>
      <w:r>
        <w:rPr>
          <w:rFonts w:hint="eastAsia" w:ascii="楷体" w:hAnsi="楷体" w:eastAsia="楷体"/>
          <w:color w:val="auto"/>
          <w:sz w:val="24"/>
          <w:highlight w:val="none"/>
          <w:lang w:val="en-US"/>
        </w:rPr>
        <w:t xml:space="preserve">附件1</w:t>
      </w:r>
      <w:r>
        <w:rPr>
          <w:rFonts w:hint="eastAsia" w:ascii="楷体" w:hAnsi="楷体" w:eastAsia="楷体"/>
          <w:color w:val="auto"/>
          <w:sz w:val="24"/>
          <w:highlight w:val="none"/>
        </w:rPr>
        <w:t xml:space="preserve">）、《管护作业量清单》，</w:t>
      </w:r>
      <w:r>
        <w:rPr>
          <w:rFonts w:hint="eastAsia" w:ascii="楷体" w:hAnsi="楷体" w:eastAsia="楷体"/>
          <w:color w:val="auto"/>
          <w:sz w:val="24"/>
          <w:highlight w:val="none"/>
          <w:lang w:val="en-US"/>
        </w:rPr>
        <w:t xml:space="preserve">上</w:t>
      </w:r>
      <w:r>
        <w:rPr>
          <w:rFonts w:hint="eastAsia" w:ascii="楷体" w:hAnsi="楷体" w:eastAsia="楷体" w:cs="宋体"/>
          <w:color w:val="auto"/>
          <w:highlight w:val="none"/>
          <w:lang w:val="en-US"/>
        </w:rPr>
        <w:t xml:space="preserve">述文件</w:t>
      </w:r>
      <w:r>
        <w:rPr>
          <w:rFonts w:hint="eastAsia" w:ascii="楷体" w:hAnsi="楷体" w:eastAsia="楷体"/>
          <w:color w:val="auto"/>
          <w:sz w:val="24"/>
          <w:highlight w:val="none"/>
          <w:lang w:val="en-US"/>
        </w:rPr>
        <w:t xml:space="preserve">为本项目基本信息，仅供供应商参考，供应商应自行前往实地勘测核实并测算费用。</w:t>
      </w:r>
      <w:r>
        <w:rPr>
          <w:rFonts w:hint="eastAsia" w:ascii="楷体" w:hAnsi="楷体" w:eastAsia="楷体"/>
          <w:color w:val="auto"/>
          <w:sz w:val="24"/>
          <w:highlight w:val="none"/>
        </w:rPr>
        <w:t xml:space="preserve">对采购人在工作量</w:t>
      </w:r>
      <w:r>
        <w:rPr>
          <w:rFonts w:hint="eastAsia" w:ascii="楷体" w:hAnsi="楷体" w:eastAsia="楷体"/>
          <w:color w:val="auto"/>
          <w:sz w:val="24"/>
          <w:highlight w:val="none"/>
          <w:lang w:val="en-US"/>
        </w:rPr>
        <w:t xml:space="preserve">统计时</w:t>
      </w:r>
      <w:r>
        <w:rPr>
          <w:rFonts w:hint="eastAsia" w:ascii="楷体" w:hAnsi="楷体" w:eastAsia="楷体"/>
          <w:color w:val="auto"/>
          <w:sz w:val="24"/>
          <w:highlight w:val="none"/>
        </w:rPr>
        <w:t xml:space="preserve">出现的漏项、错项、错算等原因引起的差异视为已包含在投标总报价中。</w:t>
      </w:r>
      <w:r/>
    </w:p>
    <w:p>
      <w:pPr>
        <w:ind w:firstLine="480"/>
        <w:spacing w:line="360" w:lineRule="auto"/>
        <w:rPr>
          <w:rFonts w:ascii="楷体" w:hAnsi="楷体" w:eastAsia="楷体"/>
          <w:bCs/>
          <w:color w:val="auto"/>
          <w:sz w:val="24"/>
          <w:highlight w:val="none"/>
        </w:rPr>
      </w:pPr>
      <w:r>
        <w:rPr>
          <w:rFonts w:hint="eastAsia" w:ascii="楷体" w:hAnsi="楷体" w:eastAsia="楷体"/>
          <w:color w:val="auto"/>
          <w:sz w:val="24"/>
          <w:highlight w:val="none"/>
        </w:rPr>
        <w:t xml:space="preserve">4、服务期内，中标供应商必须无条件对所在服务区域内</w:t>
      </w:r>
      <w:r>
        <w:rPr>
          <w:rFonts w:hint="eastAsia" w:ascii="楷体" w:hAnsi="楷体" w:eastAsia="楷体"/>
          <w:bCs/>
          <w:color w:val="auto"/>
          <w:sz w:val="24"/>
          <w:highlight w:val="none"/>
        </w:rPr>
        <w:t xml:space="preserve">的夜景灯光设施进行维护管理，采购人不再另行增加或减少任何费用。</w:t>
      </w:r>
      <w:r/>
    </w:p>
    <w:p>
      <w:pPr>
        <w:ind w:firstLine="480"/>
        <w:spacing w:line="360" w:lineRule="auto"/>
        <w:widowControl/>
        <w:tabs>
          <w:tab w:val="left" w:pos="360" w:leader="none"/>
          <w:tab w:val="left" w:pos="525" w:leader="none"/>
          <w:tab w:val="left" w:pos="1080" w:leader="none"/>
        </w:tabs>
        <w:rPr>
          <w:rFonts w:ascii="楷体" w:hAnsi="楷体" w:eastAsia="楷体"/>
          <w:b/>
          <w:bCs/>
          <w:color w:val="auto"/>
          <w:sz w:val="24"/>
          <w:highlight w:val="none"/>
        </w:rPr>
      </w:pPr>
      <w:r>
        <w:rPr>
          <w:rFonts w:hint="eastAsia" w:ascii="楷体" w:hAnsi="楷体" w:eastAsia="楷体"/>
          <w:color w:val="auto"/>
          <w:sz w:val="24"/>
          <w:highlight w:val="none"/>
        </w:rPr>
        <w:t xml:space="preserve">5、本项目反对不正当竞争（恶意低价或哄抬高价）。投标人需提供分项报价明细表，并配合</w:t>
      </w:r>
      <w:r>
        <w:rPr>
          <w:rFonts w:hint="eastAsia" w:ascii="楷体" w:hAnsi="楷体" w:eastAsia="楷体"/>
          <w:bCs/>
          <w:color w:val="auto"/>
          <w:sz w:val="24"/>
          <w:highlight w:val="none"/>
        </w:rPr>
        <w:t xml:space="preserve">管</w:t>
      </w:r>
      <w:r>
        <w:rPr>
          <w:rFonts w:hint="eastAsia" w:ascii="楷体" w:hAnsi="楷体" w:eastAsia="楷体"/>
          <w:color w:val="auto"/>
          <w:sz w:val="24"/>
          <w:highlight w:val="none"/>
        </w:rPr>
        <w:t xml:space="preserve">护方案说明经费计算的合理性。</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lang w:val="en-US"/>
        </w:rPr>
      </w:pPr>
      <w:r>
        <w:rPr>
          <w:rFonts w:hint="eastAsia" w:ascii="楷体" w:hAnsi="楷体" w:eastAsia="楷体"/>
          <w:color w:val="auto"/>
          <w:sz w:val="24"/>
          <w:highlight w:val="none"/>
        </w:rPr>
        <w:t xml:space="preserve">6、投标人管护作业人数安排不得低于采购人的最低人数要求，在项目实施过程中，采购人不会就作业人数增补而增加合同总额。</w:t>
      </w:r>
      <w:r>
        <w:rPr>
          <w:rFonts w:hint="eastAsia" w:ascii="楷体" w:hAnsi="楷体" w:eastAsia="楷体"/>
          <w:color w:val="auto"/>
          <w:sz w:val="24"/>
          <w:highlight w:val="none"/>
          <w:lang w:val="en-US"/>
        </w:rPr>
        <w:t xml:space="preserve">相关工作人员必须持有有效的作业证或资格证上岗，维修人员必须持有效特种作业证上岗。</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rPr>
      </w:pPr>
      <w:r>
        <w:rPr>
          <w:rFonts w:hint="eastAsia" w:ascii="楷体" w:hAnsi="楷体" w:eastAsia="楷体"/>
          <w:color w:val="auto"/>
          <w:sz w:val="24"/>
          <w:highlight w:val="none"/>
        </w:rPr>
        <w:t xml:space="preserve">7、重大活动、节假日期间，中标供应商必须无条件完成针对招标作业范围下达的临时任务，采购人不再支付任何费用。</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rPr>
      </w:pPr>
      <w:r>
        <w:rPr>
          <w:rFonts w:hint="eastAsia" w:ascii="楷体" w:hAnsi="楷体" w:eastAsia="楷体"/>
          <w:color w:val="auto"/>
          <w:sz w:val="24"/>
          <w:highlight w:val="none"/>
        </w:rPr>
        <w:t xml:space="preserve">8、投标人必须编制雨雪冰冻恶劣天气及突发事件等特殊情况下的应急处置方案，相应费用包含在投标总价中。</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lang w:val="en-US"/>
        </w:rPr>
      </w:pPr>
      <w:r>
        <w:rPr>
          <w:rFonts w:hint="eastAsia" w:ascii="楷体" w:hAnsi="楷体" w:eastAsia="楷体"/>
          <w:color w:val="auto"/>
          <w:sz w:val="24"/>
          <w:highlight w:val="none"/>
        </w:rPr>
        <w:t xml:space="preserve">9、</w:t>
      </w:r>
      <w:r>
        <w:rPr>
          <w:rFonts w:hint="eastAsia" w:ascii="楷体" w:hAnsi="楷体" w:eastAsia="楷体"/>
          <w:color w:val="auto"/>
          <w:sz w:val="24"/>
          <w:highlight w:val="none"/>
          <w:lang w:val="en-US"/>
        </w:rPr>
        <w:t xml:space="preserve">中标供应商必须按时发放工资，</w:t>
      </w:r>
      <w:r>
        <w:rPr>
          <w:rFonts w:hint="eastAsia" w:ascii="楷体" w:hAnsi="楷体" w:eastAsia="楷体"/>
          <w:color w:val="auto"/>
          <w:sz w:val="24"/>
          <w:highlight w:val="none"/>
        </w:rPr>
        <w:t xml:space="preserve">本项目各标段管护人员工资不得低于同期镇江市最低工资标准</w:t>
      </w:r>
      <w:r>
        <w:rPr>
          <w:rFonts w:hint="eastAsia" w:ascii="楷体" w:hAnsi="楷体" w:eastAsia="楷体"/>
          <w:color w:val="auto"/>
          <w:sz w:val="24"/>
          <w:highlight w:val="none"/>
        </w:rPr>
        <w:t xml:space="preserve">（</w:t>
      </w:r>
      <w:r>
        <w:rPr>
          <w:rFonts w:hint="eastAsia" w:ascii="楷体" w:hAnsi="楷体" w:eastAsia="楷体"/>
          <w:color w:val="auto"/>
          <w:sz w:val="24"/>
          <w:highlight w:val="none"/>
          <w:lang w:val="en-US"/>
        </w:rPr>
        <w:t xml:space="preserve">社会保险和意外保险另算</w:t>
      </w:r>
      <w:r>
        <w:rPr>
          <w:rFonts w:hint="eastAsia" w:ascii="楷体" w:hAnsi="楷体" w:eastAsia="楷体"/>
          <w:color w:val="auto"/>
          <w:sz w:val="24"/>
          <w:highlight w:val="none"/>
        </w:rPr>
        <w:t xml:space="preserve">）</w:t>
      </w:r>
      <w:r>
        <w:rPr>
          <w:rFonts w:hint="eastAsia" w:ascii="楷体" w:hAnsi="楷体" w:eastAsia="楷体"/>
          <w:color w:val="auto"/>
          <w:sz w:val="24"/>
          <w:highlight w:val="none"/>
        </w:rPr>
        <w:t xml:space="preserve">，其他待遇（高温补助、社保、休息休假加班工资等）应符合劳动、社保等各类法律法规的相关规定，</w:t>
      </w:r>
      <w:r>
        <w:rPr>
          <w:rFonts w:hint="eastAsia" w:ascii="楷体" w:hAnsi="楷体" w:eastAsia="楷体"/>
          <w:color w:val="auto"/>
          <w:sz w:val="24"/>
          <w:highlight w:val="none"/>
          <w:lang w:val="en-US"/>
        </w:rPr>
        <w:t xml:space="preserve">如遇劳资纠纷，全由供应商负责解决</w:t>
      </w:r>
      <w:r>
        <w:rPr>
          <w:rFonts w:hint="eastAsia" w:ascii="楷体" w:hAnsi="楷体" w:eastAsia="楷体"/>
          <w:color w:val="auto"/>
          <w:sz w:val="24"/>
          <w:highlight w:val="none"/>
          <w:lang w:val="en-US"/>
        </w:rPr>
        <w:t xml:space="preserve">。</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lang w:val="en-US"/>
        </w:rPr>
      </w:pPr>
      <w:r>
        <w:rPr>
          <w:rFonts w:hint="eastAsia" w:ascii="楷体" w:hAnsi="楷体" w:eastAsia="楷体"/>
          <w:color w:val="auto"/>
          <w:sz w:val="24"/>
          <w:highlight w:val="none"/>
        </w:rPr>
        <w:t xml:space="preserve">10、</w:t>
      </w:r>
      <w:r>
        <w:rPr>
          <w:rFonts w:hint="eastAsia" w:ascii="楷体" w:hAnsi="楷体" w:eastAsia="楷体"/>
          <w:color w:val="auto"/>
          <w:sz w:val="24"/>
          <w:highlight w:val="none"/>
        </w:rPr>
        <w:t xml:space="preserve">中标供应商必须按法律、法规及有关政策规定为其服务人员购买社会保险、意外保险 等相关保险。中标单位负责</w:t>
      </w:r>
      <w:r>
        <w:rPr>
          <w:rFonts w:hint="eastAsia" w:ascii="楷体" w:hAnsi="楷体" w:eastAsia="楷体"/>
          <w:color w:val="auto"/>
          <w:sz w:val="24"/>
          <w:highlight w:val="none"/>
          <w:lang w:val="en-US"/>
        </w:rPr>
        <w:t xml:space="preserve">管护</w:t>
      </w:r>
      <w:r>
        <w:rPr>
          <w:rFonts w:hint="eastAsia" w:ascii="楷体" w:hAnsi="楷体" w:eastAsia="楷体"/>
          <w:color w:val="auto"/>
          <w:sz w:val="24"/>
          <w:highlight w:val="none"/>
        </w:rPr>
        <w:t xml:space="preserve">范围和进程中的一切责任和赔偿，其中包括但不限于万一发生的一切工伤事故及工作人员的作业或非作业性的人身、财产安全等责任，或由于作业、维护管理不到位引起的第三方的人身、财产安全等责任</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lang w:val="en-US"/>
        </w:rPr>
      </w:pPr>
      <w:r>
        <w:rPr>
          <w:rFonts w:hint="eastAsia" w:ascii="楷体" w:hAnsi="楷体" w:eastAsia="楷体"/>
          <w:color w:val="auto"/>
          <w:sz w:val="24"/>
          <w:highlight w:val="none"/>
        </w:rPr>
        <w:t xml:space="preserve">11、</w:t>
      </w:r>
      <w:r>
        <w:rPr>
          <w:rFonts w:hint="eastAsia" w:ascii="楷体" w:hAnsi="楷体" w:eastAsia="楷体"/>
          <w:color w:val="auto"/>
          <w:sz w:val="24"/>
          <w:highlight w:val="none"/>
          <w:lang w:val="en-US"/>
        </w:rPr>
        <w:t xml:space="preserve">中标供应商必须落实好安全生产管理的措施和配置安全作业的劳保用品。</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rPr>
      </w:pPr>
      <w:r>
        <w:rPr>
          <w:rFonts w:hint="eastAsia" w:ascii="楷体" w:hAnsi="楷体" w:eastAsia="楷体"/>
          <w:color w:val="auto"/>
          <w:sz w:val="24"/>
          <w:highlight w:val="none"/>
        </w:rPr>
        <w:t xml:space="preserve">12、投标人中标后应及时对采购人辖区内管辖的所有道路购买路面意外险，以规避风险。无论何时，一旦在采购人管辖道路范围内发生意外事故涉及赔偿问题时，投标人承担全部责任。</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rPr>
      </w:pPr>
      <w:r>
        <w:rPr>
          <w:rFonts w:hint="eastAsia" w:ascii="楷体" w:hAnsi="楷体" w:eastAsia="楷体"/>
          <w:color w:val="auto"/>
          <w:sz w:val="24"/>
          <w:highlight w:val="none"/>
        </w:rPr>
        <w:t xml:space="preserve">13、中标供应商应按采购人要求编制相关内业资料、台账、图表等，费用包含在投标总价中，不另单列。</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rPr>
      </w:pPr>
      <w:r>
        <w:rPr>
          <w:rFonts w:hint="eastAsia" w:ascii="楷体" w:hAnsi="楷体" w:eastAsia="楷体"/>
          <w:color w:val="auto"/>
          <w:sz w:val="24"/>
          <w:highlight w:val="none"/>
        </w:rPr>
        <w:t xml:space="preserve">14、中标供应商在合同期内，除采购范围调整外，均由投标人自行承担（如遇物价上涨、政策性调资等情况）报价风险，中标价即为合同价，采购人按合同规定支付直至合同期止。</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rPr>
      </w:pPr>
      <w:r>
        <w:rPr>
          <w:rFonts w:hint="eastAsia" w:ascii="楷体" w:hAnsi="楷体" w:eastAsia="楷体"/>
          <w:color w:val="auto"/>
          <w:sz w:val="24"/>
          <w:highlight w:val="none"/>
        </w:rPr>
        <w:t xml:space="preserve">15、管护作业服务费按</w:t>
      </w:r>
      <w:r>
        <w:rPr>
          <w:rFonts w:hint="eastAsia" w:ascii="楷体" w:hAnsi="楷体" w:eastAsia="楷体"/>
          <w:color w:val="auto"/>
          <w:sz w:val="24"/>
          <w:highlight w:val="none"/>
          <w:lang w:val="en-US"/>
        </w:rPr>
        <w:t xml:space="preserve">三</w:t>
      </w:r>
      <w:r>
        <w:rPr>
          <w:rFonts w:hint="eastAsia" w:ascii="楷体" w:hAnsi="楷体" w:eastAsia="楷体"/>
          <w:color w:val="auto"/>
          <w:sz w:val="24"/>
          <w:highlight w:val="none"/>
        </w:rPr>
        <w:t xml:space="preserve">年计算，</w:t>
      </w:r>
      <w:r>
        <w:rPr>
          <w:rFonts w:hint="eastAsia" w:ascii="楷体" w:hAnsi="楷体" w:eastAsia="楷体"/>
          <w:color w:val="auto"/>
          <w:sz w:val="24"/>
          <w:highlight w:val="none"/>
          <w:lang w:val="en-US"/>
        </w:rPr>
        <w:t xml:space="preserve">单年管护费按照总</w:t>
      </w:r>
      <w:r>
        <w:rPr>
          <w:rFonts w:hint="eastAsia" w:ascii="楷体" w:hAnsi="楷体" w:eastAsia="楷体"/>
          <w:color w:val="auto"/>
          <w:sz w:val="24"/>
          <w:highlight w:val="none"/>
        </w:rPr>
        <w:t xml:space="preserve">管护作业服务费</w:t>
      </w:r>
      <w:r>
        <w:rPr>
          <w:rFonts w:hint="eastAsia" w:ascii="楷体" w:hAnsi="楷体" w:eastAsia="楷体"/>
          <w:color w:val="auto"/>
          <w:sz w:val="24"/>
          <w:highlight w:val="none"/>
          <w:lang w:val="en-US"/>
        </w:rPr>
        <w:t xml:space="preserve">/3计取</w:t>
      </w:r>
      <w:r>
        <w:rPr>
          <w:rFonts w:hint="eastAsia" w:ascii="楷体" w:hAnsi="楷体" w:eastAsia="楷体"/>
          <w:color w:val="auto"/>
          <w:sz w:val="24"/>
          <w:highlight w:val="none"/>
        </w:rPr>
        <w:t xml:space="preserve">。投标报价一律以人民币为货币单位。</w:t>
      </w:r>
      <w:r/>
    </w:p>
    <w:p>
      <w:pPr>
        <w:ind w:firstLine="480"/>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16、投标人应作出承诺：已充分考虑各风险因素（包括市场波动、管护内容增加、政府规费、工资保险政策性上调、材料设备调整等），如造成费用增减，投标总价不做调整。</w:t>
      </w:r>
      <w:r/>
    </w:p>
    <w:p>
      <w:pPr>
        <w:pStyle w:val="845"/>
        <w:rPr>
          <w:rFonts w:hint="eastAsia" w:ascii="楷体" w:hAnsi="楷体" w:eastAsia="楷体"/>
          <w:color w:val="auto"/>
          <w:sz w:val="24"/>
          <w:highlight w:val="none"/>
        </w:rPr>
      </w:pPr>
      <w:r>
        <w:rPr>
          <w:rFonts w:hint="eastAsia" w:ascii="楷体" w:hAnsi="楷体" w:eastAsia="楷体"/>
          <w:color w:val="auto"/>
          <w:sz w:val="24"/>
          <w:highlight w:val="none"/>
        </w:rPr>
      </w:r>
      <w:r/>
    </w:p>
    <w:p>
      <w:pPr>
        <w:pStyle w:val="845"/>
        <w:rPr>
          <w:rFonts w:hint="eastAsia"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附件1 《丹徒城区夜景灯光点位清单》</w:t>
      </w:r>
      <w:r/>
    </w:p>
    <w:p>
      <w:pPr>
        <w:rPr>
          <w:rFonts w:hint="default"/>
          <w:color w:val="auto"/>
          <w:highlight w:val="none"/>
          <w:lang w:val="en-US" w:eastAsia="zh-CN"/>
        </w:rPr>
      </w:pPr>
      <w:r>
        <w:rPr>
          <w:rFonts w:hint="eastAsia" w:ascii="楷体" w:hAnsi="楷体" w:eastAsia="楷体"/>
          <w:color w:val="auto"/>
          <w:sz w:val="24"/>
          <w:highlight w:val="none"/>
          <w:lang w:val="en-US" w:eastAsia="zh-CN"/>
        </w:rPr>
        <w:t xml:space="preserve">附件2 《丹徒区夜景灯光管护考核细则》</w:t>
      </w:r>
      <w:r/>
    </w:p>
    <w:p>
      <w:pPr>
        <w:spacing w:line="360" w:lineRule="auto"/>
        <w:widowControl/>
        <w:rPr>
          <w:rFonts w:ascii="楷体" w:hAnsi="楷体" w:eastAsia="楷体" w:cs="楷体"/>
          <w:b/>
          <w:color w:val="auto"/>
          <w:sz w:val="28"/>
          <w:szCs w:val="28"/>
          <w:highlight w:val="none"/>
        </w:rPr>
      </w:pPr>
      <w:r>
        <w:rPr>
          <w:rFonts w:ascii="楷体" w:hAnsi="楷体" w:eastAsia="楷体" w:cs="楷体"/>
          <w:b/>
          <w:color w:val="auto"/>
          <w:sz w:val="28"/>
          <w:szCs w:val="28"/>
          <w:highlight w:val="none"/>
        </w:rPr>
      </w:r>
      <w:bookmarkEnd w:id="55"/>
      <w:r/>
      <w:bookmarkEnd w:id="56"/>
      <w:r/>
      <w:bookmarkEnd w:id="57"/>
      <w:r/>
      <w:bookmarkEnd w:id="58"/>
      <w:r/>
      <w:r/>
    </w:p>
    <w:p>
      <w:pPr>
        <w:ind w:firstLine="560"/>
        <w:spacing w:line="360" w:lineRule="auto"/>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rPr>
        <w:br w:type="page" w:clear="all"/>
      </w:r>
      <w:r/>
    </w:p>
    <w:p>
      <w:pPr>
        <w:pStyle w:val="1054"/>
        <w:jc w:val="center"/>
        <w:keepLines w:val="0"/>
        <w:keepNext w:val="0"/>
        <w:spacing w:before="0" w:after="0" w:line="360" w:lineRule="auto"/>
        <w:rPr>
          <w:rFonts w:ascii="楷体" w:hAnsi="楷体" w:eastAsia="楷体" w:cs="楷体"/>
          <w:color w:val="auto"/>
          <w:sz w:val="36"/>
          <w:szCs w:val="36"/>
          <w:highlight w:val="none"/>
          <w:lang w:val="en-US"/>
        </w:rPr>
      </w:pPr>
      <w:r>
        <w:rPr>
          <w:rFonts w:hint="eastAsia" w:ascii="楷体" w:hAnsi="楷体" w:eastAsia="楷体" w:cs="楷体"/>
          <w:color w:val="auto"/>
          <w:sz w:val="36"/>
          <w:szCs w:val="36"/>
          <w:highlight w:val="none"/>
          <w:lang w:val="en-US"/>
        </w:rPr>
        <w:t xml:space="preserve">第五部分    </w:t>
      </w:r>
      <w:bookmarkStart w:id="59" w:name="_Toc100386076"/>
      <w:r/>
      <w:bookmarkStart w:id="60" w:name="_Toc98669372"/>
      <w:r/>
      <w:bookmarkStart w:id="61" w:name="_Toc76955302"/>
      <w:r/>
      <w:bookmarkStart w:id="62" w:name="_Toc98669730"/>
      <w:r/>
      <w:bookmarkStart w:id="63" w:name="_Toc20821546"/>
      <w:r>
        <w:rPr>
          <w:rFonts w:hint="eastAsia" w:ascii="楷体" w:hAnsi="楷体" w:eastAsia="楷体" w:cs="楷体"/>
          <w:color w:val="auto"/>
          <w:sz w:val="36"/>
          <w:szCs w:val="36"/>
          <w:highlight w:val="none"/>
          <w:lang w:val="en-US"/>
        </w:rPr>
        <w:t xml:space="preserve">评标办法和标准</w:t>
      </w:r>
      <w:bookmarkEnd w:id="59"/>
      <w:r/>
      <w:bookmarkEnd w:id="60"/>
      <w:r/>
      <w:bookmarkEnd w:id="61"/>
      <w:r/>
      <w:bookmarkEnd w:id="62"/>
      <w:r/>
      <w:bookmarkEnd w:id="63"/>
      <w:r/>
      <w:r/>
    </w:p>
    <w:p>
      <w:pPr>
        <w:ind w:firstLine="444"/>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1.采购代理机构职责</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1.1 采购代理机构负责组织评标工作，并履行下列职责：</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（2）宣布评标纪律；</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（3）公布投标人名单，告知评审专家应当回避的情形；</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（4）组织评标委员会推选评标组长，采购人代表不得担任组长；</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（5）在评标期间采取必要的通讯管理措施，保证评标活动不受外界干扰；</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（6）根据评标委员会的要求介绍政府采购相关政策法规、招标文件；</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（9）评审工作完成后，按照规定向评审专家支付劳务报酬和异地评审差旅费，不得向评审专家以外的其他人员支付评审劳务报酬；</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（10）处理与评标有关的其他事项。</w:t>
      </w:r>
      <w:r/>
    </w:p>
    <w:p>
      <w:pPr>
        <w:ind w:firstLine="444"/>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2.评标委员会职责</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2.1 评标委员会负责具体评标事务，并独立履行下列职责： </w:t>
      </w:r>
      <w:r>
        <w:rPr>
          <w:rFonts w:hint="eastAsia" w:ascii="楷体" w:hAnsi="楷体" w:eastAsia="楷体" w:cs="楷体"/>
          <w:b/>
          <w:color w:val="auto"/>
          <w:sz w:val="28"/>
          <w:szCs w:val="28"/>
          <w:highlight w:val="none"/>
        </w:rPr>
        <w:t xml:space="preserve"> </w:t>
      </w:r>
      <w:r/>
    </w:p>
    <w:p>
      <w:pPr>
        <w:ind w:firstLine="42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（1）审查、评价投标文件是否符合招标文件的商务、技术等实质性要求；  </w:t>
      </w:r>
      <w:r/>
    </w:p>
    <w:p>
      <w:pPr>
        <w:ind w:firstLine="42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（2）要求投标人对投标文件有关事项作出澄清或者说明；  </w:t>
      </w:r>
      <w:r/>
    </w:p>
    <w:p>
      <w:pPr>
        <w:ind w:firstLine="42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（3）对投标文件进行比较和评价；  </w:t>
      </w:r>
      <w:r/>
    </w:p>
    <w:p>
      <w:pPr>
        <w:ind w:firstLine="42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（4）确定中标候选人名单，以及根据采购人委托直接确定中标供应商；  </w:t>
      </w:r>
      <w:r/>
    </w:p>
    <w:p>
      <w:pPr>
        <w:ind w:firstLine="42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（5）向采购人、采购代理机构或者有关部门报告评标中发现的违法行为。</w:t>
      </w:r>
      <w:r/>
    </w:p>
    <w:p>
      <w:pPr>
        <w:ind w:firstLine="444"/>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3.评标注意事项</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3.1评标时，评标委员会各成员应当独立对每个投标人的投标文件进行评价，并汇总每个投标人的得分。</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3.2</w:t>
      </w:r>
      <w:r>
        <w:rPr>
          <w:rFonts w:hint="eastAsia" w:ascii="楷体" w:hAnsi="楷体" w:eastAsia="楷体" w:cs="楷体"/>
          <w:b/>
          <w:color w:val="auto"/>
          <w:sz w:val="28"/>
          <w:szCs w:val="28"/>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3.5评标委员会及其成员不得有下列行为：</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（1）确定参与评标至评标结束前私自接触投标人；</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（2）接受投标人提出的与投标文件不一致的澄清或者说明，《政府采购货物和服务招标投标管理办法》（财政部87号令）第五十一条规定的情形除外；</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（3）违反评标纪律发表倾向性意见或者征询采购人的倾向性意见；</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（4）对需要专业判断的主观评审因素协商评分；</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（5）在评标过程中擅离职守，影响评标程序正常进行；</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（6）记录、复制或者带走任何评标资料；</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（7）其他不遵守评标纪律的行为。</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评标委员会成员有上述第一至五项行为之一的，其评审意见无效，并不得获取评审劳务报酬和报销异地评审差旅费。</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文件一并存档。</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4.评标过程的保密</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4.3</w:t>
      </w:r>
      <w:r>
        <w:rPr>
          <w:rFonts w:hint="eastAsia" w:ascii="楷体" w:hAnsi="楷体" w:eastAsia="楷体" w:cs="楷体"/>
          <w:b/>
          <w:color w:val="auto"/>
          <w:sz w:val="28"/>
          <w:szCs w:val="28"/>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5.报价前后不一致的处理原则</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5.1投标文件报价出现前后不一致的，按照下列规定修正：</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（1）投标文件中开标一览表内容与投标文件中相应内容不一致的，以开标一览表为准；</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（2）大写金额和小写金额不一致的，以大写金额为准；</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（3）单价金额小数点或者百分比有明显错位的，以开标一览表的总价为准，并修改单价；</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（4）总价金额与按单价汇总金额不一致的，以单价金额计算结果为准。</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同时出现两种以上不一致的，按上述规定排序在先的原则进行修正</w:t>
      </w:r>
      <w:r>
        <w:rPr>
          <w:rFonts w:hint="eastAsia" w:ascii="楷体" w:hAnsi="楷体" w:eastAsia="楷体" w:cs="楷体"/>
          <w:color w:val="auto"/>
          <w:sz w:val="28"/>
          <w:szCs w:val="28"/>
          <w:highlight w:val="none"/>
        </w:rPr>
        <w:t xml:space="preserve">，修正后的报价须经投标人确认后产生约束力，投标人确认应当以书面形式，并加盖公章，或者由法定代表人或其授权代表签字。投标人不确认的，其投标无效。</w:t>
      </w:r>
      <w:r/>
    </w:p>
    <w:p>
      <w:pPr>
        <w:ind w:firstLine="444"/>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6.投标人资格审查</w:t>
      </w:r>
      <w:r/>
    </w:p>
    <w:p>
      <w:pPr>
        <w:ind w:firstLine="48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☑6.1 采用资格后审方式</w:t>
      </w:r>
      <w:r/>
    </w:p>
    <w:p>
      <w:pPr>
        <w:ind w:firstLine="480"/>
        <w:spacing w:line="360" w:lineRule="auto"/>
        <w:rPr>
          <w:rFonts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开标结束后，采购人或代理机构将依法对投标人的资格进行审查。资格审查的内容如下：</w:t>
      </w:r>
      <w:r/>
    </w:p>
    <w:tbl>
      <w:tblPr>
        <w:tblStyle w:val="882"/>
        <w:tblW w:w="10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787"/>
        <w:gridCol w:w="6641"/>
      </w:tblGrid>
      <w:tr>
        <w:trPr>
          <w:jc w:val="center"/>
          <w:trHeight w:val="560"/>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序号</w:t>
            </w:r>
            <w:r/>
          </w:p>
        </w:tc>
        <w:tc>
          <w:tcPr>
            <w:tcMar>
              <w:left w:w="108" w:type="dxa"/>
              <w:top w:w="0" w:type="dxa"/>
              <w:right w:w="108" w:type="dxa"/>
              <w:bottom w:w="0" w:type="dxa"/>
            </w:tcMar>
            <w:tcW w:w="278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审查要素</w:t>
            </w:r>
            <w:r/>
          </w:p>
        </w:tc>
        <w:tc>
          <w:tcPr>
            <w:tcMar>
              <w:left w:w="108" w:type="dxa"/>
              <w:top w:w="0" w:type="dxa"/>
              <w:right w:w="108" w:type="dxa"/>
              <w:bottom w:w="0" w:type="dxa"/>
            </w:tcMar>
            <w:tcW w:w="6641"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审查内容</w:t>
            </w:r>
            <w:r/>
          </w:p>
        </w:tc>
      </w:tr>
      <w:tr>
        <w:trPr>
          <w:jc w:val="center"/>
          <w:trHeight w:val="90"/>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w:t>
            </w:r>
            <w:r/>
          </w:p>
        </w:tc>
        <w:tc>
          <w:tcPr>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具有独立承担民事责任的能力</w:t>
            </w:r>
            <w:r/>
          </w:p>
        </w:tc>
        <w:tc>
          <w:tcPr>
            <w:tcMar>
              <w:left w:w="108" w:type="dxa"/>
              <w:top w:w="0" w:type="dxa"/>
              <w:right w:w="108" w:type="dxa"/>
              <w:bottom w:w="0" w:type="dxa"/>
            </w:tcMar>
            <w:tcW w:w="6641" w:type="dxa"/>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提供法人或者其他组织的营业执照等证明文件扫描件</w:t>
            </w:r>
            <w:r/>
          </w:p>
        </w:tc>
      </w:tr>
      <w:tr>
        <w:trPr>
          <w:jc w:val="center"/>
          <w:trHeight w:val="1074"/>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w:t>
            </w:r>
            <w:r/>
          </w:p>
        </w:tc>
        <w:tc>
          <w:tcPr>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具有良好的商业信誉和健全的财务会计制度</w:t>
            </w:r>
            <w:r/>
          </w:p>
        </w:tc>
        <w:tc>
          <w:tcPr>
            <w:tcMar>
              <w:left w:w="108" w:type="dxa"/>
              <w:top w:w="0" w:type="dxa"/>
              <w:right w:w="108" w:type="dxa"/>
              <w:bottom w:w="0" w:type="dxa"/>
            </w:tcMar>
            <w:tcW w:w="6641"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提供2024或2025年度财务报告、成立不满一年的提供至少一个月财务报告，或银行出具的资信证明，或财政部门认可的政府采购专业担保机构出具的投标担保函等，或资格承诺函（格式见第六部分）</w:t>
            </w:r>
            <w:r/>
          </w:p>
        </w:tc>
      </w:tr>
      <w:tr>
        <w:trPr>
          <w:jc w:val="center"/>
          <w:trHeight w:val="1095"/>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w:t>
            </w:r>
            <w:r/>
          </w:p>
        </w:tc>
        <w:tc>
          <w:tcPr>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具有履行合同所必需的设备和专业技术能力</w:t>
            </w:r>
            <w:r/>
          </w:p>
        </w:tc>
        <w:tc>
          <w:tcPr>
            <w:tcMar>
              <w:left w:w="108" w:type="dxa"/>
              <w:top w:w="0" w:type="dxa"/>
              <w:right w:w="108" w:type="dxa"/>
              <w:bottom w:w="0" w:type="dxa"/>
            </w:tcMar>
            <w:tcW w:w="6641"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提供投标人相关信息一览表或资格承诺函（格式见第六部分）</w:t>
            </w:r>
            <w:r/>
          </w:p>
        </w:tc>
      </w:tr>
      <w:tr>
        <w:trPr>
          <w:jc w:val="center"/>
          <w:trHeight w:val="90"/>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w:t>
            </w:r>
            <w:r/>
          </w:p>
        </w:tc>
        <w:tc>
          <w:tcPr>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有依法缴纳税收和社会保障资金的良好记录</w:t>
            </w:r>
            <w:r/>
          </w:p>
        </w:tc>
        <w:tc>
          <w:tcPr>
            <w:tcMar>
              <w:left w:w="108" w:type="dxa"/>
              <w:top w:w="0" w:type="dxa"/>
              <w:right w:w="108" w:type="dxa"/>
              <w:bottom w:w="0" w:type="dxa"/>
            </w:tcMar>
            <w:tcW w:w="6641"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提供参加本次政府采购活动前半年内</w:t>
            </w:r>
            <w:r>
              <w:rPr>
                <w:rFonts w:hint="eastAsia" w:ascii="楷体" w:hAnsi="楷体" w:eastAsia="楷体" w:cs="楷体"/>
                <w:color w:val="auto"/>
                <w:sz w:val="28"/>
                <w:szCs w:val="28"/>
                <w:highlight w:val="none"/>
                <w:lang w:val="en-US"/>
              </w:rPr>
              <w:t xml:space="preserve">任意</w:t>
            </w:r>
            <w:r>
              <w:rPr>
                <w:rFonts w:hint="eastAsia" w:ascii="楷体" w:hAnsi="楷体" w:eastAsia="楷体" w:cs="楷体"/>
                <w:color w:val="auto"/>
                <w:sz w:val="28"/>
                <w:szCs w:val="28"/>
                <w:highlight w:val="none"/>
              </w:rPr>
              <w:t xml:space="preserve">一个月依法缴纳税收和社会保险的凭据或资格承诺函（格式见第六部分）</w:t>
            </w:r>
            <w:r/>
          </w:p>
        </w:tc>
      </w:tr>
      <w:tr>
        <w:trPr>
          <w:jc w:val="center"/>
          <w:trHeight w:val="90"/>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w:t>
            </w:r>
            <w:r/>
          </w:p>
        </w:tc>
        <w:tc>
          <w:tcPr>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参加政府采购活动前三年内，在经营活动中没有重大违法记录</w:t>
            </w:r>
            <w:r/>
          </w:p>
        </w:tc>
        <w:tc>
          <w:tcPr>
            <w:tcMar>
              <w:left w:w="108" w:type="dxa"/>
              <w:top w:w="0" w:type="dxa"/>
              <w:right w:w="108" w:type="dxa"/>
              <w:bottom w:w="0" w:type="dxa"/>
            </w:tcMar>
            <w:tcW w:w="6641"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（1）投标函或资格承诺函。</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）“信用中国”网站（www.creditchina.gov.cn）、中国政府采购网（www.ccgp.gov.cn）的查询结果未列入失信被执行人名单、重大税收违法案件当事人名单、政府采购严重违法失信行为名单，以现场查询为准。</w:t>
            </w:r>
            <w:r/>
          </w:p>
        </w:tc>
      </w:tr>
      <w:tr>
        <w:trPr>
          <w:jc w:val="center"/>
          <w:trHeight w:val="194"/>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w:t>
            </w:r>
            <w:r/>
          </w:p>
        </w:tc>
        <w:tc>
          <w:tcPr>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法律、行政法规规定的其他条件</w:t>
            </w:r>
            <w:r/>
          </w:p>
        </w:tc>
        <w:tc>
          <w:tcPr>
            <w:tcMar>
              <w:left w:w="108" w:type="dxa"/>
              <w:top w:w="0" w:type="dxa"/>
              <w:right w:w="108" w:type="dxa"/>
              <w:bottom w:w="0" w:type="dxa"/>
            </w:tcMar>
            <w:tcW w:w="6641"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szCs w:val="28"/>
                <w:highlight w:val="none"/>
              </w:rPr>
            </w:r>
            <w:r/>
          </w:p>
        </w:tc>
      </w:tr>
      <w:tr>
        <w:trPr>
          <w:jc w:val="center"/>
          <w:trHeight w:val="1288"/>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rPr>
              <w:t xml:space="preserve">7</w:t>
            </w:r>
            <w:r/>
          </w:p>
        </w:tc>
        <w:tc>
          <w:tcPr>
            <w:shd w:val="clear" w:color="auto" w:fill="auto"/>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落实政府采购政策需满足的资格要求</w:t>
            </w:r>
            <w:r/>
          </w:p>
        </w:tc>
        <w:tc>
          <w:tcPr>
            <w:shd w:val="clear" w:color="auto" w:fill="auto"/>
            <w:tcMar>
              <w:left w:w="108" w:type="dxa"/>
              <w:top w:w="0" w:type="dxa"/>
              <w:right w:w="108" w:type="dxa"/>
              <w:bottom w:w="0" w:type="dxa"/>
            </w:tcMar>
            <w:tcW w:w="6641" w:type="dxa"/>
            <w:vAlign w:val="center"/>
            <w:textDirection w:val="lrTb"/>
            <w:noWrap/>
          </w:tcPr>
          <w:p>
            <w:pP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中小企</w:t>
            </w:r>
            <w:r>
              <w:rPr>
                <w:rFonts w:hint="eastAsia" w:ascii="楷体" w:hAnsi="楷体" w:eastAsia="楷体" w:cs="楷体"/>
                <w:color w:val="auto"/>
                <w:sz w:val="28"/>
                <w:szCs w:val="28"/>
                <w:highlight w:val="none"/>
                <w:lang w:val="en-US" w:eastAsia="zh-CN"/>
              </w:rPr>
              <w:t xml:space="preserve">业</w:t>
            </w:r>
            <w:r>
              <w:rPr>
                <w:rFonts w:hint="eastAsia" w:ascii="楷体" w:hAnsi="楷体" w:eastAsia="楷体" w:cs="楷体"/>
                <w:color w:val="auto"/>
                <w:sz w:val="28"/>
                <w:szCs w:val="28"/>
                <w:highlight w:val="none"/>
                <w:lang w:val="en-US"/>
              </w:rPr>
              <w:t xml:space="preserve">声明函</w:t>
            </w:r>
            <w:r>
              <w:rPr>
                <w:rFonts w:hint="eastAsia" w:ascii="楷体" w:hAnsi="楷体" w:eastAsia="楷体" w:cs="楷体"/>
                <w:color w:val="auto"/>
                <w:sz w:val="28"/>
                <w:szCs w:val="28"/>
                <w:highlight w:val="none"/>
              </w:rPr>
              <w:t xml:space="preserve">》</w:t>
            </w:r>
            <w:r/>
          </w:p>
        </w:tc>
      </w:tr>
      <w:tr>
        <w:trPr>
          <w:jc w:val="center"/>
          <w:trHeight w:val="97"/>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rPr>
              <w:t xml:space="preserve">8</w:t>
            </w:r>
            <w:r/>
          </w:p>
        </w:tc>
        <w:tc>
          <w:tcPr>
            <w:shd w:val="clear" w:color="auto" w:fill="auto"/>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本项目的特定资格要求</w:t>
            </w:r>
            <w:r/>
          </w:p>
        </w:tc>
        <w:tc>
          <w:tcPr>
            <w:shd w:val="clear" w:color="auto" w:fill="auto"/>
            <w:tcMar>
              <w:left w:w="108" w:type="dxa"/>
              <w:top w:w="0" w:type="dxa"/>
              <w:right w:w="108" w:type="dxa"/>
              <w:bottom w:w="0" w:type="dxa"/>
            </w:tcMar>
            <w:tcW w:w="6641" w:type="dxa"/>
            <w:vAlign w:val="center"/>
            <w:textDirection w:val="lrTb"/>
            <w:noWrap/>
          </w:tcPr>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）供应商具有城市及道路照明工程专业承包三级及以上资质，同时供应商具有安全生产许可证；</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）拟投入本项目的项目经理具有机电工程或市政公用工程专业二级及以上注册建造师证书，并取得住房城乡建设主管部门颁发的安全生产考核合格证(B类证书)。</w:t>
            </w:r>
            <w:r/>
          </w:p>
        </w:tc>
      </w:tr>
    </w:tbl>
    <w:p>
      <w:pPr>
        <w:ind w:firstLine="444"/>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7.投标人符合性审查</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82"/>
        <w:tblW w:w="97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796"/>
        <w:gridCol w:w="6094"/>
      </w:tblGrid>
      <w:tr>
        <w:trPr>
          <w:jc w:val="center"/>
          <w:trHeight w:val="552"/>
        </w:trPr>
        <w:tc>
          <w:tcPr>
            <w:tcMar>
              <w:left w:w="108" w:type="dxa"/>
              <w:top w:w="0" w:type="dxa"/>
              <w:right w:w="108" w:type="dxa"/>
              <w:bottom w:w="0" w:type="dxa"/>
            </w:tcMar>
            <w:tcW w:w="842" w:type="dxa"/>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序号</w:t>
            </w:r>
            <w:r/>
          </w:p>
        </w:tc>
        <w:tc>
          <w:tcPr>
            <w:tcMar>
              <w:left w:w="108" w:type="dxa"/>
              <w:top w:w="0" w:type="dxa"/>
              <w:right w:w="108" w:type="dxa"/>
              <w:bottom w:w="0" w:type="dxa"/>
            </w:tcMar>
            <w:tcW w:w="2796" w:type="dxa"/>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审查要素</w:t>
            </w:r>
            <w:r/>
          </w:p>
        </w:tc>
        <w:tc>
          <w:tcPr>
            <w:tcMar>
              <w:left w:w="108" w:type="dxa"/>
              <w:top w:w="0" w:type="dxa"/>
              <w:right w:w="108" w:type="dxa"/>
              <w:bottom w:w="0" w:type="dxa"/>
            </w:tcMar>
            <w:tcW w:w="6094" w:type="dxa"/>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审查内容</w:t>
            </w:r>
            <w:r/>
          </w:p>
        </w:tc>
      </w:tr>
      <w:tr>
        <w:trPr>
          <w:jc w:val="center"/>
          <w:trHeight w:val="541"/>
        </w:trPr>
        <w:tc>
          <w:tcPr>
            <w:tcMar>
              <w:left w:w="108" w:type="dxa"/>
              <w:top w:w="0" w:type="dxa"/>
              <w:right w:w="108" w:type="dxa"/>
              <w:bottom w:w="0" w:type="dxa"/>
            </w:tcMar>
            <w:tcW w:w="842" w:type="dxa"/>
            <w:vAlign w:val="center"/>
            <w:vMerge w:val="restart"/>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w:t>
            </w:r>
            <w:r/>
          </w:p>
        </w:tc>
        <w:tc>
          <w:tcPr>
            <w:tcMar>
              <w:left w:w="108" w:type="dxa"/>
              <w:top w:w="0" w:type="dxa"/>
              <w:right w:w="108" w:type="dxa"/>
              <w:bottom w:w="0" w:type="dxa"/>
            </w:tcMar>
            <w:tcW w:w="2796" w:type="dxa"/>
            <w:vAlign w:val="center"/>
            <w:vMerge w:val="restart"/>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投标文件有效性</w:t>
            </w:r>
            <w:r/>
          </w:p>
        </w:tc>
        <w:tc>
          <w:tcPr>
            <w:tcMar>
              <w:left w:w="108" w:type="dxa"/>
              <w:top w:w="0" w:type="dxa"/>
              <w:right w:w="108" w:type="dxa"/>
              <w:bottom w:w="0" w:type="dxa"/>
            </w:tcMar>
            <w:tcW w:w="6094" w:type="dxa"/>
            <w:vAlign w:val="center"/>
            <w:textDirection w:val="lrTb"/>
            <w:noWrap/>
          </w:tcPr>
          <w:p>
            <w:pPr>
              <w:ind w:firstLine="48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电子投标文件的有效电子签章。</w:t>
            </w:r>
            <w:r/>
          </w:p>
        </w:tc>
      </w:tr>
      <w:tr>
        <w:trPr>
          <w:jc w:val="center"/>
          <w:trHeight w:val="541"/>
        </w:trPr>
        <w:tc>
          <w:tcPr>
            <w:tcMar>
              <w:left w:w="108" w:type="dxa"/>
              <w:top w:w="0" w:type="dxa"/>
              <w:right w:w="108" w:type="dxa"/>
              <w:bottom w:w="0" w:type="dxa"/>
            </w:tcMar>
            <w:tcW w:w="842" w:type="dxa"/>
            <w:vAlign w:val="center"/>
            <w:vMerge w:val="continue"/>
            <w:textDirection w:val="lrTb"/>
            <w:noWrap/>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2796" w:type="dxa"/>
            <w:vAlign w:val="center"/>
            <w:vMerge w:val="continue"/>
            <w:textDirection w:val="lrTb"/>
            <w:noWrap/>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6094" w:type="dxa"/>
            <w:vAlign w:val="center"/>
            <w:textDirection w:val="lrTb"/>
            <w:noWrap/>
          </w:tcPr>
          <w:p>
            <w:pPr>
              <w:ind w:firstLine="48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投标报价。</w:t>
            </w:r>
            <w:r/>
          </w:p>
        </w:tc>
      </w:tr>
      <w:tr>
        <w:trPr>
          <w:jc w:val="center"/>
          <w:trHeight w:val="541"/>
        </w:trPr>
        <w:tc>
          <w:tcPr>
            <w:tcMar>
              <w:left w:w="108" w:type="dxa"/>
              <w:top w:w="0" w:type="dxa"/>
              <w:right w:w="108" w:type="dxa"/>
              <w:bottom w:w="0" w:type="dxa"/>
            </w:tcMar>
            <w:tcW w:w="842" w:type="dxa"/>
            <w:vAlign w:val="center"/>
            <w:vMerge w:val="continue"/>
            <w:textDirection w:val="lrTb"/>
            <w:noWrap/>
          </w:tcPr>
          <w:p>
            <w:pPr>
              <w:ind w:firstLine="48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szCs w:val="28"/>
                <w:highlight w:val="none"/>
              </w:rPr>
            </w:r>
            <w:r/>
          </w:p>
        </w:tc>
        <w:tc>
          <w:tcPr>
            <w:tcMar>
              <w:left w:w="108" w:type="dxa"/>
              <w:top w:w="0" w:type="dxa"/>
              <w:right w:w="108" w:type="dxa"/>
              <w:bottom w:w="0" w:type="dxa"/>
            </w:tcMar>
            <w:tcW w:w="2796" w:type="dxa"/>
            <w:vAlign w:val="center"/>
            <w:vMerge w:val="continue"/>
            <w:textDirection w:val="lrTb"/>
            <w:noWrap/>
          </w:tcPr>
          <w:p>
            <w:pPr>
              <w:ind w:firstLine="48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szCs w:val="28"/>
                <w:highlight w:val="none"/>
              </w:rPr>
            </w:r>
            <w:r/>
          </w:p>
        </w:tc>
        <w:tc>
          <w:tcPr>
            <w:tcMar>
              <w:left w:w="108" w:type="dxa"/>
              <w:top w:w="0" w:type="dxa"/>
              <w:right w:w="108" w:type="dxa"/>
              <w:bottom w:w="0" w:type="dxa"/>
            </w:tcMar>
            <w:tcW w:w="6094" w:type="dxa"/>
            <w:vAlign w:val="center"/>
            <w:textDirection w:val="lrTb"/>
            <w:noWrap/>
          </w:tcPr>
          <w:p>
            <w:pPr>
              <w:ind w:firstLine="48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未发现属无效投标的其他情形。</w:t>
            </w:r>
            <w:r/>
          </w:p>
        </w:tc>
      </w:tr>
      <w:tr>
        <w:trPr>
          <w:jc w:val="center"/>
          <w:trHeight w:val="358"/>
        </w:trPr>
        <w:tc>
          <w:tcPr>
            <w:tcMar>
              <w:left w:w="108" w:type="dxa"/>
              <w:top w:w="0" w:type="dxa"/>
              <w:right w:w="108" w:type="dxa"/>
              <w:bottom w:w="0" w:type="dxa"/>
            </w:tcMar>
            <w:tcW w:w="842"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w:t>
            </w:r>
            <w:r/>
          </w:p>
        </w:tc>
        <w:tc>
          <w:tcPr>
            <w:tcMar>
              <w:left w:w="108" w:type="dxa"/>
              <w:top w:w="0" w:type="dxa"/>
              <w:right w:w="108" w:type="dxa"/>
              <w:bottom w:w="0" w:type="dxa"/>
            </w:tcMar>
            <w:tcW w:w="2796"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对招标文件响应程度</w:t>
            </w:r>
            <w:r/>
          </w:p>
        </w:tc>
        <w:tc>
          <w:tcPr>
            <w:tcMar>
              <w:left w:w="108" w:type="dxa"/>
              <w:top w:w="0" w:type="dxa"/>
              <w:right w:w="108" w:type="dxa"/>
              <w:bottom w:w="0" w:type="dxa"/>
            </w:tcMar>
            <w:tcW w:w="6094" w:type="dxa"/>
            <w:vAlign w:val="center"/>
            <w:textDirection w:val="lrTb"/>
            <w:noWrap/>
          </w:tcPr>
          <w:p>
            <w:pPr>
              <w:ind w:firstLine="56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审查投标文件，以确定其是否满足招标文件的实质性要求。不满足招标文件的实质性要求的，投标无效。</w:t>
            </w:r>
            <w:r/>
          </w:p>
        </w:tc>
      </w:tr>
    </w:tbl>
    <w:p>
      <w:pPr>
        <w:spacing w:line="360" w:lineRule="auto"/>
        <w:widowControl/>
        <w:rPr>
          <w:rFonts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8.1</w:t>
      </w:r>
      <w:r>
        <w:rPr>
          <w:rFonts w:hint="eastAsia" w:ascii="楷体" w:hAnsi="楷体" w:eastAsia="楷体" w:cs="楷体"/>
          <w:b/>
          <w:color w:val="auto"/>
          <w:sz w:val="28"/>
          <w:szCs w:val="28"/>
          <w:highlight w:val="none"/>
        </w:rPr>
        <w:t xml:space="preserve">本项目采用综合评分法。</w:t>
      </w:r>
      <w:r/>
    </w:p>
    <w:tbl>
      <w:tblPr>
        <w:tblStyle w:val="854"/>
        <w:tblW w:w="92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9"/>
        <w:gridCol w:w="2403"/>
        <w:gridCol w:w="2403"/>
        <w:gridCol w:w="2199"/>
      </w:tblGrid>
      <w:tr>
        <w:trPr>
          <w:jc w:val="center"/>
          <w:trHeight w:val="761"/>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价格评估</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分值</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45</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37</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18</w:t>
            </w:r>
            <w:r/>
          </w:p>
        </w:tc>
      </w:tr>
    </w:tbl>
    <w:p>
      <w:pPr>
        <w:pStyle w:val="880"/>
        <w:ind w:firstLine="0"/>
        <w:spacing w:line="360" w:lineRule="auto"/>
        <w:tabs>
          <w:tab w:val="left" w:pos="2020" w:leader="none"/>
          <w:tab w:val="center" w:pos="4535"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（一）技术</w:t>
      </w:r>
      <w:r>
        <w:rPr>
          <w:rFonts w:hint="eastAsia" w:ascii="楷体" w:hAnsi="楷体" w:eastAsia="楷体" w:cs="楷体"/>
          <w:b/>
          <w:bCs/>
          <w:color w:val="auto"/>
          <w:sz w:val="28"/>
          <w:szCs w:val="28"/>
          <w:highlight w:val="none"/>
        </w:rPr>
        <w:t xml:space="preserve">评估</w:t>
      </w:r>
      <w:r>
        <w:rPr>
          <w:rFonts w:hint="eastAsia" w:ascii="楷体" w:hAnsi="楷体" w:eastAsia="楷体" w:cs="楷体"/>
          <w:b/>
          <w:bCs/>
          <w:color w:val="auto"/>
          <w:sz w:val="28"/>
          <w:szCs w:val="28"/>
          <w:highlight w:val="none"/>
          <w:lang w:val="en-US"/>
        </w:rPr>
        <w:t xml:space="preserve">(45分)</w:t>
      </w:r>
      <w:r/>
    </w:p>
    <w:tbl>
      <w:tblPr>
        <w:tblStyle w:val="854"/>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7"/>
        <w:gridCol w:w="1335"/>
        <w:gridCol w:w="7148"/>
        <w:gridCol w:w="778"/>
      </w:tblGrid>
      <w:tr>
        <w:trPr>
          <w:jc w:val="center"/>
          <w:trHeight w:val="579"/>
        </w:trPr>
        <w:tc>
          <w:tcPr>
            <w:tcW w:w="727"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序号</w:t>
            </w:r>
            <w:r/>
          </w:p>
        </w:tc>
        <w:tc>
          <w:tcPr>
            <w:tcW w:w="1335" w:type="dxa"/>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W w:w="7148" w:type="dxa"/>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W w:w="778" w:type="dxa"/>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579"/>
        </w:trPr>
        <w:tc>
          <w:tcPr>
            <w:tcW w:w="727"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w:t>
            </w:r>
            <w:r/>
          </w:p>
        </w:tc>
        <w:tc>
          <w:tcPr>
            <w:shd w:val="clear" w:color="auto" w:fill="auto"/>
            <w:tcW w:w="1335"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管护方案</w:t>
            </w:r>
            <w:r/>
          </w:p>
        </w:tc>
        <w:tc>
          <w:tcPr>
            <w:shd w:val="clear" w:color="auto" w:fill="auto"/>
            <w:tcW w:w="7148" w:type="dxa"/>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根据投标人针对本项目提供的</w:t>
            </w:r>
            <w:r>
              <w:rPr>
                <w:rFonts w:hint="eastAsia" w:ascii="楷体" w:hAnsi="楷体" w:eastAsia="楷体" w:cs="楷体"/>
                <w:color w:val="auto"/>
                <w:sz w:val="28"/>
                <w:szCs w:val="28"/>
                <w:highlight w:val="none"/>
                <w:lang w:val="en-US"/>
              </w:rPr>
              <w:t xml:space="preserve">管护方案（</w:t>
            </w:r>
            <w:r>
              <w:rPr>
                <w:rFonts w:hint="eastAsia" w:ascii="楷体" w:hAnsi="楷体" w:eastAsia="楷体" w:cs="楷体"/>
                <w:color w:val="auto"/>
                <w:sz w:val="28"/>
                <w:szCs w:val="28"/>
                <w:highlight w:val="none"/>
              </w:rPr>
              <w:t xml:space="preserve">包括但不限于：日常检查与维保内容、灯具清</w:t>
            </w:r>
            <w:r>
              <w:rPr>
                <w:rFonts w:hint="eastAsia" w:ascii="楷体" w:hAnsi="楷体" w:eastAsia="楷体" w:cs="楷体"/>
                <w:color w:val="auto"/>
                <w:sz w:val="28"/>
                <w:szCs w:val="28"/>
                <w:highlight w:val="none"/>
                <w:lang w:val="en-US"/>
              </w:rPr>
              <w:t xml:space="preserve">洁</w:t>
            </w:r>
            <w:r>
              <w:rPr>
                <w:rFonts w:hint="eastAsia" w:ascii="楷体" w:hAnsi="楷体" w:eastAsia="楷体" w:cs="楷体"/>
                <w:color w:val="auto"/>
                <w:sz w:val="28"/>
                <w:szCs w:val="28"/>
                <w:highlight w:val="none"/>
              </w:rPr>
              <w:t xml:space="preserve">、应急抢修措施、设施定期检测、文化品位等内容、</w:t>
            </w:r>
            <w:r>
              <w:rPr>
                <w:rFonts w:hint="eastAsia" w:ascii="楷体" w:hAnsi="楷体" w:eastAsia="楷体" w:cs="楷体"/>
                <w:color w:val="auto"/>
                <w:sz w:val="28"/>
                <w:szCs w:val="28"/>
                <w:highlight w:val="none"/>
                <w:lang w:val="en-US"/>
              </w:rPr>
              <w:t xml:space="preserve">不同</w:t>
            </w:r>
            <w:r>
              <w:rPr>
                <w:rFonts w:hint="eastAsia" w:ascii="楷体" w:hAnsi="楷体" w:eastAsia="楷体" w:cs="楷体"/>
                <w:color w:val="auto"/>
                <w:sz w:val="28"/>
                <w:szCs w:val="28"/>
                <w:highlight w:val="none"/>
              </w:rPr>
              <w:t xml:space="preserve">区域制定差异化的维护与优化策略</w:t>
            </w:r>
            <w:r>
              <w:rPr>
                <w:rFonts w:hint="eastAsia" w:ascii="楷体" w:hAnsi="楷体" w:eastAsia="楷体" w:cs="楷体"/>
                <w:color w:val="auto"/>
                <w:sz w:val="28"/>
                <w:szCs w:val="28"/>
                <w:highlight w:val="none"/>
                <w:lang w:val="en-US"/>
              </w:rPr>
              <w:t xml:space="preserve">）进行评价：</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完全包含上述要点的得</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rPr>
              <w:t xml:space="preserve">每缺1项内容扣1分，</w:t>
            </w:r>
            <w:r>
              <w:rPr>
                <w:rFonts w:hint="eastAsia" w:ascii="楷体" w:hAnsi="楷体" w:eastAsia="楷体" w:cs="楷体"/>
                <w:color w:val="auto"/>
                <w:sz w:val="28"/>
                <w:szCs w:val="28"/>
                <w:highlight w:val="none"/>
              </w:rPr>
              <w:t xml:space="preserve">不提供方案的不得分。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方案具有针对性的加2分，方案合理且操作性强的加2分，</w:t>
            </w:r>
            <w:r>
              <w:rPr>
                <w:rFonts w:hint="eastAsia" w:ascii="楷体" w:hAnsi="楷体" w:eastAsia="楷体" w:cs="楷体"/>
                <w:color w:val="auto"/>
                <w:sz w:val="28"/>
                <w:szCs w:val="28"/>
                <w:highlight w:val="none"/>
              </w:rPr>
              <w:t xml:space="preserve">针对不同</w:t>
            </w:r>
            <w:r>
              <w:rPr>
                <w:rFonts w:hint="eastAsia" w:ascii="楷体" w:hAnsi="楷体" w:eastAsia="楷体" w:cs="楷体"/>
                <w:color w:val="auto"/>
                <w:sz w:val="28"/>
                <w:szCs w:val="28"/>
                <w:highlight w:val="none"/>
                <w:lang w:val="en-US"/>
              </w:rPr>
              <w:t xml:space="preserve">区域</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rPr>
              <w:t xml:space="preserve">个性化养护方案且方案针对性强可操作性高的加2分。</w:t>
            </w:r>
            <w:r/>
          </w:p>
        </w:tc>
        <w:tc>
          <w:tcPr>
            <w:shd w:val="clear" w:color="auto" w:fill="auto"/>
            <w:tcW w:w="778"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12分</w:t>
            </w:r>
            <w:r/>
          </w:p>
        </w:tc>
      </w:tr>
      <w:tr>
        <w:trPr>
          <w:jc w:val="center"/>
          <w:trHeight w:val="579"/>
        </w:trPr>
        <w:tc>
          <w:tcPr>
            <w:tcW w:w="727"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w:t>
            </w:r>
            <w:r/>
          </w:p>
        </w:tc>
        <w:tc>
          <w:tcPr>
            <w:shd w:val="clear" w:color="auto" w:fill="auto"/>
            <w:tcW w:w="1335"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管护安全管理方案</w:t>
            </w:r>
            <w:r/>
          </w:p>
        </w:tc>
        <w:tc>
          <w:tcPr>
            <w:shd w:val="clear" w:color="auto" w:fill="auto"/>
            <w:tcW w:w="7148" w:type="dxa"/>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根据投标人针对本项目提供的管护安全管理方案（包括但不限于：对管理范围内的夜景灯光设施的人为损坏及产生偷盗的处置，发生后采取的措施）进行评价。</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包含上述要点的得1分,不提供方案的不得分。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方案针对性强的加1分，具有合理性并且操作性强的加1分。</w:t>
            </w:r>
            <w:r/>
          </w:p>
        </w:tc>
        <w:tc>
          <w:tcPr>
            <w:shd w:val="clear" w:color="auto" w:fill="auto"/>
            <w:tcW w:w="778"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3分</w:t>
            </w:r>
            <w:r/>
          </w:p>
        </w:tc>
      </w:tr>
      <w:tr>
        <w:trPr>
          <w:jc w:val="center"/>
          <w:trHeight w:val="579"/>
        </w:trPr>
        <w:tc>
          <w:tcPr>
            <w:tcW w:w="727"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w:t>
            </w:r>
            <w:r/>
          </w:p>
        </w:tc>
        <w:tc>
          <w:tcPr>
            <w:shd w:val="clear" w:color="auto" w:fill="auto"/>
            <w:tcW w:w="1335"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抢险救灾应急预案</w:t>
            </w:r>
            <w:r/>
          </w:p>
        </w:tc>
        <w:tc>
          <w:tcPr>
            <w:shd w:val="clear" w:color="auto" w:fill="auto"/>
            <w:tcW w:w="7148" w:type="dxa"/>
            <w:vAlign w:val="center"/>
            <w:textDirection w:val="lrTb"/>
            <w:noWrap/>
          </w:tcPr>
          <w:p>
            <w:pPr>
              <w:ind w:firstLine="560"/>
              <w:spacing w:line="360" w:lineRule="auto"/>
              <w:rPr>
                <w:rFonts w:ascii="楷体" w:hAnsi="楷体" w:eastAsia="楷体"/>
                <w:b/>
                <w:color w:val="auto"/>
                <w:sz w:val="24"/>
                <w:highlight w:val="none"/>
                <w:lang w:val="en-US"/>
              </w:rPr>
            </w:pPr>
            <w:r>
              <w:rPr>
                <w:rFonts w:hint="eastAsia" w:ascii="楷体" w:hAnsi="楷体" w:eastAsia="楷体" w:cs="楷体"/>
                <w:color w:val="auto"/>
                <w:sz w:val="28"/>
                <w:szCs w:val="28"/>
                <w:highlight w:val="none"/>
                <w:lang w:val="en-US"/>
              </w:rPr>
              <w:t xml:space="preserve">根据投标人针对本项目提供的抢险救灾应急预案</w:t>
            </w:r>
            <w:r>
              <w:rPr>
                <w:rFonts w:hint="eastAsia" w:ascii="楷体" w:hAnsi="楷体" w:eastAsia="楷体"/>
                <w:b/>
                <w:color w:val="auto"/>
                <w:sz w:val="24"/>
                <w:highlight w:val="none"/>
              </w:rPr>
              <w:t xml:space="preserve">（</w:t>
            </w:r>
            <w:r>
              <w:rPr>
                <w:rFonts w:hint="eastAsia" w:ascii="楷体" w:hAnsi="楷体" w:eastAsia="楷体" w:cs="楷体"/>
                <w:color w:val="auto"/>
                <w:sz w:val="28"/>
                <w:szCs w:val="28"/>
                <w:highlight w:val="none"/>
                <w:lang w:val="en-US"/>
              </w:rPr>
              <w:t xml:space="preserve">包括但不限于：①抢险救灾预案应急可行性，包括组织机构、教育培训、安全抢险、日常巡查、灾后恢复等；②抢险救灾人员、抢险救灾车辆和设备应急配备情况，包括人员数量、职责分工、抢险救灾储备物资名录、维修保养及补充台账等等；③安全事故应急管理方案，包括正常营运及养护作业时和发生事故时的交通组织和安全防护措施，以及各项重大、紧急事项的应急措施等方案）进行评价</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包含上述3条要点的得3分,</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rPr>
              <w:t xml:space="preserve">每缺1项内容扣1分，不提供方案的不得分。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抢险救灾预案应急组织机构设置合理加1分，培训全面加1分，安全抢险措施有针对性加1分，日常巡检内容全面加1分，灾后恢复可操作性强加1分；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抢险救灾人员应急人员配备全面、抢险救灾车辆和设备应急配备物资丰富齐全加1分，分工合理，人员调配机制完善、保养即时到位的加1分，台账完整记录及时内容全面加1分；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安全事故应急管理中交通组织和安全防护措施完善全面加1分，重大紧急事项的应急措施针对性强加1分，方案可操作性强加1分。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本项满分14分。</w:t>
            </w:r>
            <w:r/>
          </w:p>
        </w:tc>
        <w:tc>
          <w:tcPr>
            <w:shd w:val="clear" w:color="auto" w:fill="auto"/>
            <w:tcW w:w="778"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14分</w:t>
            </w:r>
            <w:r/>
          </w:p>
        </w:tc>
      </w:tr>
      <w:tr>
        <w:trPr>
          <w:jc w:val="center"/>
          <w:trHeight w:val="910"/>
        </w:trPr>
        <w:tc>
          <w:tcPr>
            <w:shd w:val="clear" w:color="auto" w:fill="auto"/>
            <w:tcW w:w="727"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w:t>
            </w:r>
            <w:r/>
          </w:p>
        </w:tc>
        <w:tc>
          <w:tcPr>
            <w:shd w:val="clear" w:color="auto" w:fill="auto"/>
            <w:tcW w:w="1335"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管护文明施工措施</w:t>
            </w:r>
            <w:r/>
          </w:p>
        </w:tc>
        <w:tc>
          <w:tcPr>
            <w:shd w:val="clear" w:color="auto" w:fill="auto"/>
            <w:tcW w:w="7148" w:type="dxa"/>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根据投标人针对本项目提供的管护文明施工措施（包括但不限于：维修施工、拆除）进行评价。</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包含上述要点的得1分,不提供方案的不得分。</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方案完整合理加1分，方案针对性强加1分，现场文明施工操作要点完善加1分。</w:t>
            </w:r>
            <w:r/>
          </w:p>
        </w:tc>
        <w:tc>
          <w:tcPr>
            <w:shd w:val="clear" w:color="auto" w:fill="auto"/>
            <w:tcW w:w="778"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4分</w:t>
            </w:r>
            <w:r/>
          </w:p>
        </w:tc>
      </w:tr>
      <w:tr>
        <w:trPr>
          <w:jc w:val="center"/>
          <w:trHeight w:val="1168"/>
        </w:trPr>
        <w:tc>
          <w:tcPr>
            <w:tcW w:w="727" w:type="dxa"/>
            <w:vAlign w:val="center"/>
            <w:textDirection w:val="lrTb"/>
            <w:noWrap/>
          </w:tcPr>
          <w:p>
            <w:pPr>
              <w:jc w:val="center"/>
              <w:spacing w:line="360" w:lineRule="auto"/>
              <w:widowControl/>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5</w:t>
            </w:r>
            <w:r/>
          </w:p>
        </w:tc>
        <w:tc>
          <w:tcPr>
            <w:shd w:val="clear" w:color="auto" w:fill="auto"/>
            <w:tcW w:w="1335" w:type="dxa"/>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综合协调方案</w:t>
            </w:r>
            <w:r/>
          </w:p>
        </w:tc>
        <w:tc>
          <w:tcPr>
            <w:shd w:val="clear" w:color="auto" w:fill="auto"/>
            <w:tcW w:w="7148" w:type="dxa"/>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根据投标人针对本项目提供的综合协调方案（包括但不限于：①夜间和节假日管理人员的协调；②实施保养作业期间、检查期间与物业、居民及其它相关单位、部门综合协调；③发生损坏事件的处理方案）进行评价。</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包含上述3条要点的得3分,方案每缺1项内容扣1分，不提供方案的不得分。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夜间和节假日管理人员的协调中，配、换岗合理加1分，组织管理体系科学加1分，管理工作针对性强实施有效加1分；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实施保养作业期间、检查期间综合协调方案内容全面加1分，针对性强加1分，可操作性强加1分；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发生损坏事件的处理方案内容全面加1分，针对性强加1分，可操作性强加1分；</w:t>
            </w:r>
            <w:r/>
          </w:p>
        </w:tc>
        <w:tc>
          <w:tcPr>
            <w:shd w:val="clear" w:color="auto" w:fill="auto"/>
            <w:tcW w:w="778"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12分</w:t>
            </w:r>
            <w:r/>
          </w:p>
        </w:tc>
      </w:tr>
    </w:tbl>
    <w:p>
      <w:pPr>
        <w:pStyle w:val="1099"/>
        <w:ind w:left="0" w:firstLine="0"/>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（二） 商务评估（37分）</w:t>
      </w:r>
      <w:r/>
    </w:p>
    <w:tbl>
      <w:tblPr>
        <w:tblStyle w:val="854"/>
        <w:tblW w:w="512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82"/>
        <w:gridCol w:w="1380"/>
        <w:gridCol w:w="6974"/>
        <w:gridCol w:w="959"/>
      </w:tblGrid>
      <w:tr>
        <w:trPr>
          <w:jc w:val="center"/>
          <w:trHeight w:val="563"/>
        </w:trPr>
        <w:tc>
          <w:tcPr>
            <w:tcBorders>
              <w:top w:val="single" w:color="auto" w:sz="4" w:space="0"/>
              <w:left w:val="single" w:color="auto" w:sz="4" w:space="0"/>
              <w:bottom w:val="single" w:color="auto" w:sz="4" w:space="0"/>
              <w:right w:val="single" w:color="auto" w:sz="4" w:space="0"/>
            </w:tcBorders>
            <w:tcW w:w="387"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Borders>
              <w:top w:val="single" w:color="auto" w:sz="4" w:space="0"/>
              <w:left w:val="single" w:color="auto" w:sz="4" w:space="0"/>
              <w:bottom w:val="single" w:color="auto" w:sz="4" w:space="0"/>
              <w:right w:val="single" w:color="auto" w:sz="4" w:space="0"/>
            </w:tcBorders>
            <w:tcW w:w="3453" w:type="pct"/>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387"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供应商</w:t>
            </w:r>
            <w:r>
              <w:rPr>
                <w:rFonts w:hint="eastAsia" w:ascii="楷体" w:hAnsi="楷体" w:eastAsia="楷体" w:cs="楷体"/>
                <w:b/>
                <w:bCs/>
                <w:color w:val="auto"/>
                <w:sz w:val="28"/>
                <w:szCs w:val="28"/>
                <w:highlight w:val="none"/>
              </w:rPr>
              <w:t xml:space="preserve">案例</w:t>
            </w:r>
            <w:r/>
          </w:p>
        </w:tc>
        <w:tc>
          <w:tcPr>
            <w:shd w:val="clear" w:color="auto" w:fill="auto"/>
            <w:tcBorders>
              <w:top w:val="single" w:color="auto" w:sz="4" w:space="0"/>
              <w:left w:val="single" w:color="auto" w:sz="4" w:space="0"/>
              <w:bottom w:val="single" w:color="auto" w:sz="4" w:space="0"/>
              <w:right w:val="single" w:color="auto" w:sz="4" w:space="0"/>
            </w:tcBorders>
            <w:tcW w:w="3453" w:type="pct"/>
            <w:vAlign w:val="center"/>
            <w:textDirection w:val="lrTb"/>
            <w:noWrap/>
          </w:tcPr>
          <w:p>
            <w:pPr>
              <w:pStyle w:val="1102"/>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2023年1月1日至今，投标人承担过类似项目施工或管护服务业绩的，每有一个得2分。本项最多提供4个，最多得8分。</w:t>
            </w:r>
            <w:r/>
          </w:p>
          <w:p>
            <w:pPr>
              <w:pStyle w:val="1102"/>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注：时间以</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竣工</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验收</w:t>
            </w:r>
            <w:r>
              <w:rPr>
                <w:rFonts w:hint="eastAsia" w:ascii="楷体" w:hAnsi="楷体" w:eastAsia="楷体" w:cs="楷体"/>
                <w:color w:val="auto"/>
                <w:sz w:val="28"/>
                <w:szCs w:val="28"/>
                <w:highlight w:val="none"/>
              </w:rPr>
              <w:t xml:space="preserve">时间为准。供应商须根据上述要求提供合同</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竣工</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验收证明、项目发票</w:t>
            </w:r>
            <w:r>
              <w:rPr>
                <w:rFonts w:hint="eastAsia" w:ascii="楷体" w:hAnsi="楷体" w:eastAsia="楷体" w:cs="楷体"/>
                <w:color w:val="auto"/>
                <w:sz w:val="28"/>
                <w:szCs w:val="28"/>
                <w:highlight w:val="none"/>
              </w:rPr>
              <w:t xml:space="preserve">扫描件并加盖章公章</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竣工</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验收证明中至少有委托人及供应商盖章，项目发票提供类似业绩的任意一张或多张发票即可。</w:t>
            </w:r>
            <w:r>
              <w:rPr>
                <w:rFonts w:hint="eastAsia" w:ascii="楷体" w:hAnsi="楷体" w:eastAsia="楷体" w:cs="楷体"/>
                <w:color w:val="auto"/>
                <w:sz w:val="28"/>
                <w:szCs w:val="28"/>
                <w:highlight w:val="none"/>
              </w:rPr>
              <w:t xml:space="preserve">未提供或提供不全不得分。</w:t>
            </w:r>
            <w:r/>
          </w:p>
        </w:tc>
        <w:tc>
          <w:tcPr>
            <w:shd w:val="clear" w:color="auto" w:fill="auto"/>
            <w:tcBorders>
              <w:top w:val="single" w:color="auto" w:sz="4" w:space="0"/>
              <w:left w:val="single" w:color="auto" w:sz="4" w:space="0"/>
              <w:bottom w:val="single" w:color="auto" w:sz="4" w:space="0"/>
              <w:right w:val="single" w:color="auto" w:sz="4" w:space="0"/>
            </w:tcBorders>
            <w:tcW w:w="475" w:type="pct"/>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8分</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认证体系</w:t>
            </w:r>
            <w:r/>
          </w:p>
        </w:tc>
        <w:tc>
          <w:tcPr>
            <w:shd w:val="clear" w:color="auto" w:fill="auto"/>
            <w:tcBorders>
              <w:top w:val="single" w:color="auto" w:sz="4" w:space="0"/>
              <w:left w:val="single" w:color="auto" w:sz="4" w:space="0"/>
              <w:bottom w:val="single" w:color="auto" w:sz="4" w:space="0"/>
              <w:right w:val="single" w:color="auto" w:sz="4" w:space="0"/>
            </w:tcBorders>
            <w:tcW w:w="3453" w:type="pct"/>
            <w:vAlign w:val="center"/>
            <w:textDirection w:val="lrTb"/>
            <w:noWrap/>
          </w:tcPr>
          <w:p>
            <w:pPr>
              <w:pStyle w:val="1102"/>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投标人提供有效的ISO9001质量管理体系、ISO14001环境管理体系、ISO45001职业健康安全管理体系认证的，每提供一种证书得1分,最多3分。</w:t>
            </w:r>
            <w:r/>
          </w:p>
          <w:p>
            <w:pPr>
              <w:pStyle w:val="1102"/>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注：提供证书扫描件。</w:t>
            </w:r>
            <w:r/>
          </w:p>
        </w:tc>
        <w:tc>
          <w:tcPr>
            <w:shd w:val="clear" w:color="auto" w:fill="auto"/>
            <w:tcBorders>
              <w:top w:val="single" w:color="auto" w:sz="4" w:space="0"/>
              <w:left w:val="single" w:color="auto" w:sz="4" w:space="0"/>
              <w:bottom w:val="single" w:color="auto" w:sz="4" w:space="0"/>
              <w:right w:val="single" w:color="auto" w:sz="4" w:space="0"/>
            </w:tcBorders>
            <w:tcW w:w="475" w:type="pct"/>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3分</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3453" w:type="pct"/>
            <w:vAlign w:val="center"/>
            <w:textDirection w:val="lrTb"/>
            <w:noWrap/>
          </w:tcPr>
          <w:p>
            <w:pPr>
              <w:pStyle w:val="1102"/>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项目负责人具有</w:t>
            </w:r>
            <w:r>
              <w:rPr>
                <w:rFonts w:hint="eastAsia" w:ascii="楷体" w:hAnsi="楷体" w:eastAsia="楷体" w:cs="楷体"/>
                <w:color w:val="auto"/>
                <w:sz w:val="28"/>
                <w:szCs w:val="28"/>
                <w:highlight w:val="none"/>
              </w:rPr>
              <w:t xml:space="preserve">机电工程或市政公用工程或电力工程等相关专业</w:t>
            </w:r>
            <w:r>
              <w:rPr>
                <w:rFonts w:hint="eastAsia" w:ascii="楷体" w:hAnsi="楷体" w:eastAsia="楷体" w:cs="楷体"/>
                <w:color w:val="auto"/>
                <w:sz w:val="28"/>
                <w:szCs w:val="28"/>
                <w:highlight w:val="none"/>
              </w:rPr>
              <w:t xml:space="preserve">中级职称的得1分，具有</w:t>
            </w:r>
            <w:r>
              <w:rPr>
                <w:rFonts w:hint="eastAsia" w:ascii="楷体" w:hAnsi="楷体" w:eastAsia="楷体" w:cs="楷体"/>
                <w:color w:val="auto"/>
                <w:sz w:val="28"/>
                <w:szCs w:val="28"/>
                <w:highlight w:val="none"/>
              </w:rPr>
              <w:t xml:space="preserve">机电工程或市政公用工程或电力工程等相关专业</w:t>
            </w:r>
            <w:r>
              <w:rPr>
                <w:rFonts w:hint="eastAsia" w:ascii="楷体" w:hAnsi="楷体" w:eastAsia="楷体" w:cs="楷体"/>
                <w:color w:val="auto"/>
                <w:sz w:val="28"/>
                <w:szCs w:val="28"/>
                <w:highlight w:val="none"/>
              </w:rPr>
              <w:t xml:space="preserve">高级职称的得2分，满分2分。</w:t>
            </w:r>
            <w:r/>
          </w:p>
          <w:p>
            <w:pPr>
              <w:pStyle w:val="1102"/>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注：投标文件中提供项目负责人职称证书扫描件。</w:t>
            </w:r>
            <w:r/>
          </w:p>
        </w:tc>
        <w:tc>
          <w:tcPr>
            <w:shd w:val="clear" w:color="auto" w:fill="auto"/>
            <w:tcBorders>
              <w:top w:val="single" w:color="auto" w:sz="4" w:space="0"/>
              <w:left w:val="single" w:color="auto" w:sz="4" w:space="0"/>
              <w:bottom w:val="single" w:color="auto" w:sz="4" w:space="0"/>
              <w:right w:val="single" w:color="auto" w:sz="4" w:space="0"/>
            </w:tcBorders>
            <w:tcW w:w="475" w:type="pct"/>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2分</w:t>
            </w:r>
            <w:r/>
          </w:p>
        </w:tc>
      </w:tr>
      <w:tr>
        <w:trPr>
          <w:jc w:val="center"/>
          <w:trHeight w:val="2549"/>
        </w:trPr>
        <w:tc>
          <w:tcPr>
            <w:tcBorders>
              <w:top w:val="single" w:color="auto" w:sz="4" w:space="0"/>
              <w:left w:val="single" w:color="auto" w:sz="4" w:space="0"/>
              <w:right w:val="single" w:color="auto" w:sz="4" w:space="0"/>
            </w:tcBorders>
            <w:tcW w:w="387" w:type="pct"/>
            <w:vAlign w:val="center"/>
            <w:vMerge w:val="restart"/>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w:t>
            </w:r>
            <w:r/>
          </w:p>
        </w:tc>
        <w:tc>
          <w:tcPr>
            <w:shd w:val="clear" w:color="auto" w:fill="auto"/>
            <w:tcBorders>
              <w:top w:val="single" w:color="auto" w:sz="4" w:space="0"/>
              <w:left w:val="single" w:color="auto" w:sz="4" w:space="0"/>
              <w:right w:val="single" w:color="auto" w:sz="4" w:space="0"/>
            </w:tcBorders>
            <w:tcW w:w="683" w:type="pct"/>
            <w:vAlign w:val="center"/>
            <w:vMerge w:val="restart"/>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项目组成员配备</w:t>
            </w:r>
            <w:r/>
          </w:p>
        </w:tc>
        <w:tc>
          <w:tcPr>
            <w:shd w:val="clear" w:color="auto" w:fill="auto"/>
            <w:tcBorders>
              <w:top w:val="single" w:color="auto" w:sz="4" w:space="0"/>
              <w:left w:val="single" w:color="auto" w:sz="4" w:space="0"/>
              <w:bottom w:val="single" w:color="auto" w:sz="4" w:space="0"/>
              <w:right w:val="single" w:color="auto" w:sz="4" w:space="0"/>
            </w:tcBorders>
            <w:tcW w:w="3453" w:type="pct"/>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lang w:val="en-US"/>
              </w:rPr>
              <w:t xml:space="preserve">本项目拟投入的现场负责人具有机电工程或市政公用工程或电力工程等相关专业中级职称的得1分，具有机电工程或市政公用工程或电力工程等相关专业高级职称的得2分；现场负责人具有机电工程或市政公用工程二级及以上建造师的得1分，满分3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注：投标文件中提供现场负责人职称证书及建造师资格证、注册证扫描件；</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（2）本项目拟投入安全员2人（含）的，得</w:t>
            </w:r>
            <w:r>
              <w:rPr>
                <w:rFonts w:hint="eastAsia" w:ascii="楷体" w:hAnsi="楷体" w:eastAsia="楷体" w:cs="楷体"/>
                <w:color w:val="auto"/>
                <w:sz w:val="28"/>
                <w:szCs w:val="28"/>
                <w:highlight w:val="none"/>
                <w:lang w:val="en-US"/>
              </w:rPr>
              <w:t xml:space="preserve">1分，投入3人及以上的得</w:t>
            </w:r>
            <w:r>
              <w:rPr>
                <w:rFonts w:hint="eastAsia" w:ascii="楷体" w:hAnsi="楷体" w:eastAsia="楷体" w:cs="楷体"/>
                <w:color w:val="auto"/>
                <w:sz w:val="28"/>
                <w:szCs w:val="28"/>
                <w:highlight w:val="none"/>
                <w:lang w:val="en-US"/>
              </w:rPr>
              <w:t xml:space="preserve">2分，满分2分。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注：投标文件中提供上述人员经建设行政主管部门颁发安全生产考核合格证书C证；</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（3）本项目拟投入的管护登高作业技术人员（安装、维护、拆除）</w:t>
            </w:r>
            <w:r>
              <w:rPr>
                <w:rFonts w:hint="eastAsia" w:ascii="楷体" w:hAnsi="楷体" w:eastAsia="楷体" w:cs="楷体"/>
                <w:color w:val="auto"/>
                <w:sz w:val="28"/>
                <w:szCs w:val="28"/>
                <w:highlight w:val="none"/>
                <w:lang w:val="en-US"/>
              </w:rPr>
              <w:t xml:space="preserve">1人（含）的，得</w:t>
            </w:r>
            <w:r>
              <w:rPr>
                <w:rFonts w:hint="eastAsia" w:ascii="楷体" w:hAnsi="楷体" w:eastAsia="楷体" w:cs="楷体"/>
                <w:color w:val="auto"/>
                <w:sz w:val="28"/>
                <w:szCs w:val="28"/>
                <w:highlight w:val="none"/>
                <w:lang w:val="en-US"/>
              </w:rPr>
              <w:t xml:space="preserve">1分，投入</w:t>
            </w:r>
            <w:r>
              <w:rPr>
                <w:rFonts w:hint="eastAsia" w:ascii="楷体" w:hAnsi="楷体" w:eastAsia="楷体" w:cs="楷体"/>
                <w:color w:val="auto"/>
                <w:sz w:val="28"/>
                <w:szCs w:val="28"/>
                <w:highlight w:val="none"/>
                <w:lang w:val="en-US"/>
              </w:rPr>
              <w:t xml:space="preserve">2人及以上的得</w:t>
            </w:r>
            <w:r>
              <w:rPr>
                <w:rFonts w:hint="eastAsia" w:ascii="楷体" w:hAnsi="楷体" w:eastAsia="楷体" w:cs="楷体"/>
                <w:color w:val="auto"/>
                <w:sz w:val="28"/>
                <w:szCs w:val="28"/>
                <w:highlight w:val="none"/>
                <w:lang w:val="en-US"/>
              </w:rPr>
              <w:t xml:space="preserve">2分，满分2分；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注：投标文件中提供上述人员登高证扫描件；</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lang w:val="en-US"/>
              </w:rPr>
              <w:t xml:space="preserve">本项目拟投入资料员、材料员、质量员、施工员的，每有1人得1分，满分4分；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注：投标文件中提供上述人员经建设行政主管部门颁发的证书扫描件。</w:t>
            </w:r>
            <w:r/>
          </w:p>
        </w:tc>
        <w:tc>
          <w:tcPr>
            <w:shd w:val="clear" w:color="auto" w:fill="auto"/>
            <w:tcBorders>
              <w:top w:val="single" w:color="auto" w:sz="4" w:space="0"/>
              <w:left w:val="single" w:color="auto" w:sz="4" w:space="0"/>
              <w:right w:val="single" w:color="auto" w:sz="4" w:space="0"/>
            </w:tcBorders>
            <w:tcW w:w="475" w:type="pct"/>
            <w:vAlign w:val="center"/>
            <w:vMerge w:val="restart"/>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11</w:t>
            </w:r>
            <w:r>
              <w:rPr>
                <w:rFonts w:hint="eastAsia" w:ascii="楷体" w:hAnsi="楷体" w:eastAsia="楷体" w:cs="楷体"/>
                <w:b/>
                <w:bCs/>
                <w:color w:val="auto"/>
                <w:sz w:val="28"/>
                <w:szCs w:val="28"/>
                <w:highlight w:val="none"/>
              </w:rPr>
              <w:t xml:space="preserve">分</w:t>
            </w:r>
            <w:r/>
          </w:p>
        </w:tc>
      </w:tr>
      <w:tr>
        <w:trPr>
          <w:jc w:val="center"/>
          <w:trHeight w:val="1492"/>
        </w:trPr>
        <w:tc>
          <w:tcPr>
            <w:tcBorders>
              <w:left w:val="single" w:color="auto" w:sz="4" w:space="0"/>
              <w:bottom w:val="single" w:color="auto" w:sz="4" w:space="0"/>
              <w:right w:val="single" w:color="auto" w:sz="4" w:space="0"/>
            </w:tcBorders>
            <w:tcW w:w="387" w:type="pct"/>
            <w:vAlign w:val="center"/>
            <w:vMerge w:val="continue"/>
            <w:textDirection w:val="lrTb"/>
            <w:noWrap/>
          </w:tcPr>
          <w:p>
            <w:pPr>
              <w:ind w:firstLine="440"/>
              <w:spacing w:line="360" w:lineRule="auto"/>
              <w:rPr>
                <w:color w:val="auto"/>
                <w:highlight w:val="none"/>
              </w:rPr>
            </w:pPr>
            <w:r>
              <w:rPr>
                <w:color w:val="auto"/>
                <w:highlight w:val="none"/>
              </w:rPr>
            </w:r>
            <w:r/>
          </w:p>
        </w:tc>
        <w:tc>
          <w:tcPr>
            <w:shd w:val="clear" w:color="auto" w:fill="auto"/>
            <w:tcBorders>
              <w:left w:val="single" w:color="auto" w:sz="4" w:space="0"/>
              <w:bottom w:val="single" w:color="auto" w:sz="4" w:space="0"/>
              <w:right w:val="single" w:color="auto" w:sz="4" w:space="0"/>
            </w:tcBorders>
            <w:tcW w:w="683" w:type="pct"/>
            <w:vAlign w:val="center"/>
            <w:vMerge w:val="continue"/>
            <w:textDirection w:val="lrTb"/>
            <w:noWrap/>
          </w:tcPr>
          <w:p>
            <w:pPr>
              <w:ind w:firstLine="440"/>
              <w:spacing w:line="360" w:lineRule="auto"/>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53" w:type="pct"/>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注：1.如同一人具有多项证书，只计取一次；</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2.供应商提供近半年来任意一个月为上述人员缴纳的社保证明材料，未提供不得分。</w:t>
            </w:r>
            <w:r/>
          </w:p>
        </w:tc>
        <w:tc>
          <w:tcPr>
            <w:shd w:val="clear" w:color="auto" w:fill="auto"/>
            <w:tcBorders>
              <w:left w:val="single" w:color="auto" w:sz="4" w:space="0"/>
              <w:bottom w:val="single" w:color="auto" w:sz="4" w:space="0"/>
              <w:right w:val="single" w:color="auto" w:sz="4" w:space="0"/>
            </w:tcBorders>
            <w:tcW w:w="475" w:type="pct"/>
            <w:vAlign w:val="center"/>
            <w:vMerge w:val="continue"/>
            <w:textDirection w:val="lrTb"/>
            <w:noWrap/>
          </w:tcPr>
          <w:p>
            <w:pPr>
              <w:ind w:firstLine="560"/>
              <w:spacing w:line="360" w:lineRule="auto"/>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tc>
      </w:tr>
      <w:tr>
        <w:trPr>
          <w:jc w:val="center"/>
          <w:trHeight w:val="90"/>
        </w:trPr>
        <w:tc>
          <w:tcPr>
            <w:tcBorders>
              <w:top w:val="single" w:color="auto" w:sz="4" w:space="0"/>
              <w:left w:val="single" w:color="auto" w:sz="4" w:space="0"/>
              <w:bottom w:val="single" w:color="auto" w:sz="4" w:space="0"/>
              <w:right w:val="single" w:color="auto" w:sz="4" w:space="0"/>
            </w:tcBorders>
            <w:tcW w:w="387"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拟投入设备</w:t>
            </w:r>
            <w:r/>
          </w:p>
        </w:tc>
        <w:tc>
          <w:tcPr>
            <w:shd w:val="clear" w:color="auto" w:fill="auto"/>
            <w:tcBorders>
              <w:top w:val="single" w:color="auto" w:sz="4" w:space="0"/>
              <w:left w:val="single" w:color="auto" w:sz="4" w:space="0"/>
              <w:bottom w:val="single" w:color="auto" w:sz="4" w:space="0"/>
              <w:right w:val="single" w:color="auto" w:sz="4" w:space="0"/>
            </w:tcBorders>
            <w:tcW w:w="3453" w:type="pct"/>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（1）供应商具有高空作业车（14米及以上高度）并配备</w:t>
            </w:r>
            <w:r>
              <w:rPr>
                <w:rFonts w:hint="eastAsia" w:ascii="楷体" w:hAnsi="楷体" w:eastAsia="楷体" w:cs="楷体"/>
                <w:color w:val="auto"/>
                <w:sz w:val="28"/>
                <w:szCs w:val="28"/>
                <w:highlight w:val="none"/>
                <w:lang w:val="en-US"/>
              </w:rPr>
              <w:t xml:space="preserve">管护高空作业车操作人员</w:t>
            </w:r>
            <w:r>
              <w:rPr>
                <w:rFonts w:hint="eastAsia" w:ascii="楷体" w:hAnsi="楷体" w:eastAsia="楷体" w:cs="楷体"/>
                <w:color w:val="auto"/>
                <w:sz w:val="28"/>
                <w:szCs w:val="28"/>
                <w:highlight w:val="none"/>
                <w:lang w:val="en-US"/>
              </w:rPr>
              <w:t xml:space="preserve">的，有1辆得3分，最高6分。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（2）供应商具有巡视车辆，有1辆得2分</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lang w:val="en-US"/>
              </w:rPr>
              <w:t xml:space="preserve">最高4分。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w:t>
            </w:r>
            <w:r>
              <w:rPr>
                <w:rFonts w:ascii="SimSun" w:hAnsi="SimSun" w:eastAsia="SimSun" w:cs="SimSun"/>
                <w:color w:val="000000"/>
                <w:sz w:val="21"/>
              </w:rPr>
              <w:t xml:space="preserve">供应商具有企业实名登记的无人机的得1分，在此基础上，具有持有与设备匹配的民用无人驾驶航空器操作员执照的操作员加1分（同时需提供中标后根据相关规定完成夜间飞行审批报备的承诺函）。供应商具有民用无人驾驶航空器运营合格证的得1分。最高得分3分</w:t>
            </w:r>
            <w:r>
              <w:rPr>
                <w:rFonts w:hint="eastAsia" w:ascii="楷体" w:hAnsi="楷体" w:eastAsia="楷体" w:cs="楷体"/>
                <w:color w:val="auto"/>
                <w:sz w:val="28"/>
                <w:szCs w:val="28"/>
                <w:highlight w:val="none"/>
                <w:lang w:val="en-US"/>
              </w:rPr>
              <w:t xml:space="preserve">。</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注：（1）如车辆为自有，提供车辆行驶证、车辆（含车牌号）照片及购置发票。如车辆为租赁，提供车辆租赁合同，并提供车辆行驶证、车辆（含车牌号）照片及购置发票。材料提供不全或未提供的不得分。</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（2）高空作业车配备的操作人员需提供高空作业车操作证，未提供不得分；如只配备操作人员未提供高空作业车的不得分。供应商需提供近半年内任意一个月为高空作业车配备的操作人员</w:t>
            </w:r>
            <w:r>
              <w:rPr>
                <w:rFonts w:hint="eastAsia" w:ascii="楷体" w:hAnsi="楷体" w:eastAsia="楷体" w:cs="楷体"/>
                <w:color w:val="auto"/>
                <w:sz w:val="28"/>
                <w:szCs w:val="28"/>
                <w:highlight w:val="none"/>
                <w:lang w:val="en-US"/>
              </w:rPr>
              <w:t xml:space="preserve">缴纳的社保证明材料。</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（3）供应商需提供近半年内任意一个月为持有</w:t>
            </w:r>
            <w:r>
              <w:rPr>
                <w:rFonts w:hint="eastAsia" w:ascii="楷体" w:hAnsi="楷体" w:eastAsia="楷体" w:cs="楷体"/>
                <w:color w:val="auto"/>
                <w:sz w:val="28"/>
                <w:szCs w:val="28"/>
                <w:highlight w:val="none"/>
                <w:lang w:val="en-US"/>
              </w:rPr>
              <w:t xml:space="preserve">无人驾驶航空器操作员执照（允许夜间飞行）的操作员缴纳的社保证明材料。</w:t>
            </w:r>
            <w:r/>
          </w:p>
        </w:tc>
        <w:tc>
          <w:tcPr>
            <w:shd w:val="clear" w:color="auto" w:fill="auto"/>
            <w:tcBorders>
              <w:top w:val="single" w:color="auto" w:sz="4" w:space="0"/>
              <w:left w:val="single" w:color="auto" w:sz="4" w:space="0"/>
              <w:bottom w:val="single" w:color="auto" w:sz="4" w:space="0"/>
              <w:right w:val="single" w:color="auto" w:sz="4" w:space="0"/>
            </w:tcBorders>
            <w:tcW w:w="475"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13分</w:t>
            </w:r>
            <w:r/>
          </w:p>
        </w:tc>
      </w:tr>
    </w:tbl>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（三）价格评估（</w:t>
      </w:r>
      <w:r>
        <w:rPr>
          <w:rFonts w:hint="eastAsia" w:ascii="楷体" w:hAnsi="楷体" w:eastAsia="楷体" w:cs="楷体"/>
          <w:b/>
          <w:bCs/>
          <w:color w:val="auto"/>
          <w:sz w:val="28"/>
          <w:szCs w:val="28"/>
          <w:highlight w:val="none"/>
          <w:lang w:val="en-US"/>
        </w:rPr>
        <w:t xml:space="preserve">1</w:t>
      </w:r>
      <w:r>
        <w:rPr>
          <w:rFonts w:hint="eastAsia" w:ascii="楷体" w:hAnsi="楷体" w:eastAsia="楷体" w:cs="楷体"/>
          <w:b/>
          <w:bCs/>
          <w:color w:val="auto"/>
          <w:sz w:val="28"/>
          <w:szCs w:val="28"/>
          <w:highlight w:val="none"/>
          <w:lang w:val="en-US" w:eastAsia="zh-CN"/>
        </w:rPr>
        <w:t xml:space="preserve">8</w:t>
      </w:r>
      <w:r>
        <w:rPr>
          <w:rFonts w:hint="eastAsia" w:ascii="楷体" w:hAnsi="楷体" w:eastAsia="楷体" w:cs="楷体"/>
          <w:b/>
          <w:bCs/>
          <w:color w:val="auto"/>
          <w:sz w:val="28"/>
          <w:szCs w:val="28"/>
          <w:highlight w:val="none"/>
          <w:lang w:val="en-US"/>
        </w:rPr>
        <w:t xml:space="preserve">分</w:t>
      </w:r>
      <w:r>
        <w:rPr>
          <w:rFonts w:hint="eastAsia" w:ascii="楷体" w:hAnsi="楷体" w:eastAsia="楷体" w:cs="楷体"/>
          <w:b/>
          <w:bCs/>
          <w:color w:val="auto"/>
          <w:sz w:val="28"/>
          <w:szCs w:val="28"/>
          <w:highlight w:val="none"/>
        </w:rPr>
        <w:t xml:space="preserve">）</w:t>
      </w:r>
      <w:r/>
    </w:p>
    <w:tbl>
      <w:tblPr>
        <w:tblStyle w:val="854"/>
        <w:tblW w:w="5061"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81"/>
        <w:gridCol w:w="1380"/>
        <w:gridCol w:w="6984"/>
        <w:gridCol w:w="830"/>
      </w:tblGrid>
      <w:tr>
        <w:trPr>
          <w:jc w:val="center"/>
          <w:trHeight w:val="563"/>
        </w:trPr>
        <w:tc>
          <w:tcPr>
            <w:tcBorders>
              <w:top w:val="single" w:color="auto" w:sz="4" w:space="0"/>
              <w:left w:val="single" w:color="auto" w:sz="4" w:space="0"/>
              <w:bottom w:val="single" w:color="auto" w:sz="4" w:space="0"/>
              <w:right w:val="single" w:color="auto" w:sz="4" w:space="0"/>
            </w:tcBorders>
            <w:tcW w:w="391"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Borders>
              <w:top w:val="single" w:color="auto" w:sz="4" w:space="0"/>
              <w:left w:val="single" w:color="auto" w:sz="4" w:space="0"/>
              <w:bottom w:val="single" w:color="auto" w:sz="4" w:space="0"/>
              <w:right w:val="single" w:color="auto" w:sz="4" w:space="0"/>
            </w:tcBorders>
            <w:tcW w:w="3499" w:type="pct"/>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391"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91"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价格部分</w:t>
            </w:r>
            <w:r/>
          </w:p>
        </w:tc>
        <w:tc>
          <w:tcPr>
            <w:shd w:val="clear" w:color="auto" w:fill="auto"/>
            <w:tcBorders>
              <w:top w:val="single" w:color="auto" w:sz="4" w:space="0"/>
              <w:left w:val="single" w:color="auto" w:sz="4" w:space="0"/>
              <w:bottom w:val="single" w:color="auto" w:sz="4" w:space="0"/>
              <w:right w:val="single" w:color="auto" w:sz="4" w:space="0"/>
            </w:tcBorders>
            <w:tcW w:w="3499" w:type="pct"/>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价格分采用低价优先法计算，即满足招标文件要求且投标价格最低的投标报价为评标基准价，其价格分为满分</w:t>
            </w:r>
            <w:r>
              <w:rPr>
                <w:rFonts w:hint="eastAsia" w:ascii="楷体" w:hAnsi="楷体" w:eastAsia="楷体" w:cs="楷体"/>
                <w:color w:val="auto"/>
                <w:sz w:val="28"/>
                <w:szCs w:val="28"/>
                <w:highlight w:val="none"/>
                <w:lang w:val="en-US"/>
              </w:rPr>
              <w:t xml:space="preserve">18</w:t>
            </w:r>
            <w:r>
              <w:rPr>
                <w:rFonts w:hint="eastAsia" w:ascii="楷体" w:hAnsi="楷体" w:eastAsia="楷体" w:cs="楷体"/>
                <w:color w:val="auto"/>
                <w:sz w:val="28"/>
                <w:szCs w:val="28"/>
                <w:highlight w:val="none"/>
              </w:rPr>
              <w:t xml:space="preserve">分。其他投标人的价格分统一按照下列公式计算：投标报价得分 = (评标基准价／投标报价)×</w:t>
            </w:r>
            <w:r>
              <w:rPr>
                <w:rFonts w:hint="eastAsia" w:ascii="楷体" w:hAnsi="楷体" w:eastAsia="楷体" w:cs="楷体"/>
                <w:color w:val="auto"/>
                <w:sz w:val="28"/>
                <w:szCs w:val="28"/>
                <w:highlight w:val="none"/>
                <w:lang w:val="en-US"/>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18</w:t>
            </w:r>
            <w:r/>
          </w:p>
        </w:tc>
      </w:tr>
    </w:tbl>
    <w:p>
      <w:pPr>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9.相同产品产品的处理原则</w:t>
      </w:r>
      <w:r/>
    </w:p>
    <w:p>
      <w:pPr>
        <w:ind w:firstLine="473"/>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9.1非单一产品采购项目，采购人应当根据采购项目技术构成、产品价格比重等合理确定核心产品。本项目核心产品见投标人须知前附表。</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9.2使用综合评分法的采购项目，核心产品提供相同产品产品且通过资格审查、符合性审查的不同投标人参加同一合同项下投标的，按一家投标人计</w:t>
      </w:r>
      <w:r>
        <w:rPr>
          <w:rFonts w:hint="eastAsia" w:ascii="楷体" w:hAnsi="楷体" w:eastAsia="楷体" w:cs="楷体"/>
          <w:color w:val="auto"/>
          <w:sz w:val="28"/>
          <w:szCs w:val="28"/>
          <w:highlight w:val="none"/>
        </w:rPr>
        <w:t xml:space="preserve">算，评审后得分最高的同产品投标人获得中标候选人推荐资格；评审得分相同的，由采购人或者采购人委托评标委员会按照招标文件规定的方式确定一个投标人获得中标供应商推荐资格，招标文件未规定的采取随机抽取方式确定，其他同产品投标人不作为中标候选人。采用最低评标价法的采购项目，提供相同产品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10.允许修改评标结果的情形</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10.1评标结果汇总完成后，除下列情形外，任何人不得修改评标结果：</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（1）分值汇总计算错误的；</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（2）分项评分超出评分标准范围的；</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（3）评标委员会成员对客观评审因素评分不一致的；</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（4）经评标委员会认定评分畸高、畸低的。</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11.推荐中标候选人</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964"/>
        <w:spacing w:line="360" w:lineRule="auto"/>
        <w:rPr>
          <w:rFonts w:ascii="楷体" w:hAnsi="楷体" w:eastAsia="楷体" w:cs="楷体"/>
          <w:b/>
          <w:color w:val="auto"/>
          <w:sz w:val="24"/>
          <w:szCs w:val="24"/>
          <w:highlight w:val="none"/>
        </w:rPr>
        <w:sectPr>
          <w:footnotePr/>
          <w:endnotePr/>
          <w:type w:val="nextPage"/>
          <w:pgSz w:w="11907" w:h="16839" w:orient="portrait"/>
          <w:pgMar w:top="1134" w:right="1134" w:bottom="1134" w:left="1134" w:header="720" w:footer="720" w:gutter="0"/>
          <w:cols w:num="1" w:sep="0" w:space="1701" w:equalWidth="1"/>
          <w:docGrid w:linePitch="360"/>
        </w:sectPr>
      </w:pPr>
      <w:r>
        <w:rPr>
          <w:rFonts w:hint="eastAsia" w:ascii="楷体" w:hAnsi="楷体" w:eastAsia="楷体" w:cs="楷体"/>
          <w:b/>
          <w:bCs/>
          <w:color w:val="auto"/>
          <w:sz w:val="32"/>
          <w:szCs w:val="32"/>
          <w:highlight w:val="none"/>
          <w:lang w:val="en-US"/>
        </w:rPr>
        <w:br w:type="page" w:clear="all"/>
      </w:r>
      <w:r/>
    </w:p>
    <w:p>
      <w:pPr>
        <w:pStyle w:val="1080"/>
        <w:jc w:val="center"/>
        <w:keepLines w:val="0"/>
        <w:keepNext w:val="0"/>
        <w:spacing w:line="360" w:lineRule="auto"/>
        <w:rPr>
          <w:rFonts w:ascii="楷体" w:hAnsi="楷体" w:eastAsia="楷体" w:cs="楷体"/>
          <w:color w:val="auto"/>
          <w:sz w:val="84"/>
          <w:szCs w:val="84"/>
          <w:highlight w:val="none"/>
        </w:rPr>
      </w:pPr>
      <w:r/>
      <w:bookmarkStart w:id="64" w:name="_Toc10483"/>
      <w:r/>
      <w:bookmarkEnd w:id="64"/>
      <w:r/>
      <w:bookmarkStart w:id="65" w:name="_Toc27326"/>
      <w:r/>
      <w:bookmarkEnd w:id="65"/>
      <w:r/>
      <w:bookmarkStart w:id="66" w:name="_Toc4193"/>
      <w:r/>
      <w:bookmarkEnd w:id="66"/>
      <w:r>
        <w:rPr>
          <w:rFonts w:hint="eastAsia" w:ascii="楷体" w:hAnsi="楷体" w:eastAsia="楷体" w:cs="楷体"/>
          <w:color w:val="auto"/>
          <w:sz w:val="44"/>
          <w:szCs w:val="44"/>
          <w:highlight w:val="none"/>
        </w:rPr>
        <w:t xml:space="preserve">第六部分    投标文件格式</w:t>
      </w:r>
      <w:bookmarkStart w:id="67" w:name="_Hlt26955039"/>
      <w:r/>
      <w:bookmarkEnd w:id="67"/>
      <w:r/>
      <w:bookmarkStart w:id="68" w:name="_Hlt26671244"/>
      <w:r/>
      <w:bookmarkEnd w:id="68"/>
      <w:r/>
      <w:bookmarkStart w:id="69" w:name="_Toc120614282"/>
      <w:r/>
      <w:bookmarkStart w:id="70" w:name="_Toc26554094"/>
      <w:r/>
      <w:bookmarkStart w:id="71" w:name="_Toc49090576"/>
      <w:r/>
      <w:r/>
    </w:p>
    <w:p>
      <w:pPr>
        <w:jc w:val="center"/>
        <w:spacing w:line="360" w:lineRule="auto"/>
        <w:rPr>
          <w:rFonts w:ascii="楷体" w:hAnsi="楷体" w:eastAsia="楷体" w:cs="楷体"/>
          <w:b/>
          <w:color w:val="auto"/>
          <w:sz w:val="84"/>
          <w:szCs w:val="84"/>
          <w:highlight w:val="none"/>
        </w:rPr>
      </w:pPr>
      <w:r>
        <w:rPr>
          <w:rFonts w:ascii="楷体" w:hAnsi="楷体" w:eastAsia="楷体" w:cs="楷体"/>
          <w:b/>
          <w:color w:val="auto"/>
          <w:sz w:val="84"/>
          <w:szCs w:val="84"/>
          <w:highlight w:val="none"/>
        </w:rPr>
      </w:r>
      <w:r/>
    </w:p>
    <w:p>
      <w:pPr>
        <w:jc w:val="center"/>
        <w:spacing w:line="360" w:lineRule="auto"/>
        <w:rPr>
          <w:rFonts w:ascii="楷体" w:hAnsi="楷体" w:eastAsia="楷体" w:cs="楷体"/>
          <w:b/>
          <w:color w:val="auto"/>
          <w:sz w:val="84"/>
          <w:szCs w:val="84"/>
          <w:highlight w:val="none"/>
        </w:rPr>
      </w:pPr>
      <w:r>
        <w:rPr>
          <w:rFonts w:hint="eastAsia" w:ascii="楷体" w:hAnsi="楷体" w:eastAsia="楷体" w:cs="楷体"/>
          <w:b/>
          <w:color w:val="auto"/>
          <w:sz w:val="84"/>
          <w:szCs w:val="84"/>
          <w:highlight w:val="none"/>
        </w:rPr>
        <w:t xml:space="preserve">投 标 文 件</w:t>
      </w:r>
      <w:r/>
    </w:p>
    <w:p>
      <w:pPr>
        <w:jc w:val="both"/>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both"/>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both"/>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center"/>
        <w:spacing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rPr>
        <w:t xml:space="preserve">项目编号：JSZC-321112-JYGS-G2026-0003</w:t>
      </w:r>
      <w:r/>
    </w:p>
    <w:p>
      <w:pPr>
        <w:pStyle w:val="1111"/>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1111"/>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1111"/>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1111"/>
        <w:ind w:firstLine="0"/>
        <w:jc w:val="center"/>
        <w:spacing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rPr>
        <w:t xml:space="preserve">项目名称：丹徒区夜景灯光管护服务项目（2026-2029年）</w:t>
      </w:r>
      <w:r/>
    </w:p>
    <w:p>
      <w:pPr>
        <w:jc w:val="center"/>
        <w:spacing w:line="360" w:lineRule="auto"/>
        <w:rPr>
          <w:rFonts w:ascii="楷体" w:hAnsi="楷体" w:eastAsia="楷体" w:cs="楷体"/>
          <w:b/>
          <w:color w:val="auto"/>
          <w:sz w:val="36"/>
          <w:szCs w:val="36"/>
          <w:highlight w:val="none"/>
        </w:rPr>
      </w:pPr>
      <w:r>
        <w:rPr>
          <w:rFonts w:ascii="楷体" w:hAnsi="楷体" w:eastAsia="楷体" w:cs="楷体"/>
          <w:b/>
          <w:color w:val="auto"/>
          <w:sz w:val="36"/>
          <w:szCs w:val="36"/>
          <w:highlight w:val="none"/>
        </w:rPr>
      </w:r>
      <w:r/>
    </w:p>
    <w:p>
      <w:pPr>
        <w:jc w:val="center"/>
        <w:spacing w:line="360" w:lineRule="auto"/>
        <w:rPr>
          <w:rFonts w:ascii="楷体" w:hAnsi="楷体" w:eastAsia="楷体" w:cs="楷体"/>
          <w:b/>
          <w:color w:val="auto"/>
          <w:sz w:val="36"/>
          <w:szCs w:val="36"/>
          <w:highlight w:val="none"/>
        </w:rPr>
      </w:pPr>
      <w:r>
        <w:rPr>
          <w:rFonts w:ascii="楷体" w:hAnsi="楷体" w:eastAsia="楷体" w:cs="楷体"/>
          <w:b/>
          <w:color w:val="auto"/>
          <w:sz w:val="36"/>
          <w:szCs w:val="36"/>
          <w:highlight w:val="none"/>
        </w:rPr>
      </w:r>
      <w:r/>
    </w:p>
    <w:p>
      <w:pPr>
        <w:jc w:val="center"/>
        <w:spacing w:line="360" w:lineRule="auto"/>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投标人名称</w:t>
      </w:r>
      <w:r>
        <w:rPr>
          <w:rFonts w:hint="eastAsia" w:ascii="楷体" w:hAnsi="楷体" w:eastAsia="楷体" w:cs="楷体"/>
          <w:b/>
          <w:color w:val="auto"/>
          <w:sz w:val="36"/>
          <w:szCs w:val="36"/>
          <w:highlight w:val="none"/>
          <w:lang w:val="en-US"/>
        </w:rPr>
        <w:t xml:space="preserve">(盖章)</w:t>
      </w:r>
      <w:r>
        <w:rPr>
          <w:rFonts w:hint="eastAsia" w:ascii="楷体" w:hAnsi="楷体" w:eastAsia="楷体" w:cs="楷体"/>
          <w:b/>
          <w:color w:val="auto"/>
          <w:sz w:val="36"/>
          <w:szCs w:val="36"/>
          <w:highlight w:val="none"/>
        </w:rPr>
        <w:t xml:space="preserve">：</w:t>
      </w:r>
      <w:bookmarkEnd w:id="69"/>
      <w:r/>
      <w:bookmarkEnd w:id="70"/>
      <w:r/>
      <w:bookmarkEnd w:id="71"/>
      <w:r/>
      <w:r/>
    </w:p>
    <w:p>
      <w:pPr>
        <w:jc w:val="center"/>
        <w:spacing w:line="360" w:lineRule="auto"/>
        <w:rPr>
          <w:rFonts w:ascii="楷体" w:hAnsi="楷体" w:eastAsia="楷体" w:cs="楷体"/>
          <w:b/>
          <w:color w:val="auto"/>
          <w:sz w:val="36"/>
          <w:szCs w:val="36"/>
          <w:highlight w:val="none"/>
        </w:rPr>
      </w:pPr>
      <w:r>
        <w:rPr>
          <w:rFonts w:ascii="楷体" w:hAnsi="楷体" w:eastAsia="楷体" w:cs="楷体"/>
          <w:b/>
          <w:color w:val="auto"/>
          <w:sz w:val="36"/>
          <w:szCs w:val="36"/>
          <w:highlight w:val="none"/>
        </w:rPr>
      </w:r>
      <w:r/>
    </w:p>
    <w:p>
      <w:pPr>
        <w:jc w:val="center"/>
        <w:spacing w:line="360" w:lineRule="auto"/>
        <w:rPr>
          <w:rFonts w:ascii="楷体" w:hAnsi="楷体" w:eastAsia="楷体" w:cs="楷体"/>
          <w:b/>
          <w:color w:val="auto"/>
          <w:sz w:val="36"/>
          <w:szCs w:val="36"/>
          <w:highlight w:val="none"/>
        </w:rPr>
        <w:sectPr>
          <w:headerReference w:type="default" r:id="rId10"/>
          <w:footerReference w:type="default" r:id="rId14"/>
          <w:footnotePr/>
          <w:endnotePr/>
          <w:type w:val="nextPage"/>
          <w:pgSz w:w="11906" w:h="16838" w:orient="portrait"/>
          <w:pgMar w:top="1020" w:right="1020" w:bottom="1020" w:left="1020" w:header="851" w:footer="992" w:gutter="0"/>
          <w:cols w:num="1" w:sep="0" w:space="1701" w:equalWidth="1"/>
          <w:docGrid w:linePitch="360"/>
        </w:sectPr>
      </w:pPr>
      <w:r>
        <w:rPr>
          <w:rFonts w:hint="eastAsia" w:ascii="楷体" w:hAnsi="楷体" w:eastAsia="楷体" w:cs="楷体"/>
          <w:b/>
          <w:color w:val="auto"/>
          <w:sz w:val="36"/>
          <w:szCs w:val="36"/>
          <w:highlight w:val="none"/>
        </w:rPr>
        <w:t xml:space="preserve">日期</w:t>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lang w:val="en-US"/>
        </w:rPr>
        <w:t xml:space="preserve">一、</w:t>
      </w:r>
      <w:r>
        <w:rPr>
          <w:rFonts w:hint="eastAsia" w:ascii="楷体" w:hAnsi="楷体" w:eastAsia="楷体" w:cs="楷体"/>
          <w:b/>
          <w:bCs/>
          <w:color w:val="auto"/>
          <w:sz w:val="36"/>
          <w:szCs w:val="36"/>
          <w:highlight w:val="none"/>
        </w:rPr>
        <w:t xml:space="preserve">资格部分</w:t>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一</w:t>
      </w:r>
      <w:r>
        <w:rPr>
          <w:rFonts w:hint="eastAsia" w:ascii="楷体" w:hAnsi="楷体" w:eastAsia="楷体" w:cs="楷体"/>
          <w:b/>
          <w:bCs/>
          <w:color w:val="auto"/>
          <w:sz w:val="32"/>
          <w:szCs w:val="32"/>
          <w:highlight w:val="none"/>
        </w:rPr>
        <w:t xml:space="preserve">）投标函</w:t>
      </w:r>
      <w:r/>
    </w:p>
    <w:p>
      <w:pPr>
        <w:pStyle w:val="874"/>
        <w:ind w:left="0" w:firstLine="0"/>
        <w:jc w:val="left"/>
        <w:spacing w:line="360" w:lineRule="auto"/>
        <w:rPr>
          <w:rFonts w:ascii="楷体" w:hAnsi="楷体" w:eastAsia="楷体" w:cs="楷体"/>
          <w:b/>
          <w:bCs/>
          <w:color w:val="auto"/>
          <w:sz w:val="28"/>
          <w:szCs w:val="28"/>
          <w:highlight w:val="none"/>
          <w:u w:val="single"/>
        </w:rPr>
      </w:pPr>
      <w:r>
        <w:rPr>
          <w:rFonts w:hint="eastAsia" w:ascii="楷体" w:hAnsi="楷体" w:eastAsia="楷体" w:cs="楷体"/>
          <w:b/>
          <w:bCs/>
          <w:color w:val="auto"/>
          <w:sz w:val="28"/>
          <w:szCs w:val="28"/>
          <w:highlight w:val="none"/>
        </w:rPr>
        <w:t xml:space="preserve">致：</w:t>
      </w:r>
      <w:r>
        <w:rPr>
          <w:rFonts w:hint="eastAsia" w:ascii="楷体" w:hAnsi="楷体" w:eastAsia="楷体" w:cs="楷体"/>
          <w:b/>
          <w:bCs/>
          <w:color w:val="auto"/>
          <w:sz w:val="28"/>
          <w:szCs w:val="28"/>
          <w:highlight w:val="none"/>
          <w:u w:val="single"/>
        </w:rPr>
        <w:t xml:space="preserve">建银工程咨询有限责任公司：</w:t>
      </w:r>
      <w:r/>
    </w:p>
    <w:p>
      <w:pPr>
        <w:pStyle w:val="874"/>
        <w:ind w:left="0" w:firstLine="480"/>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根据贵方关于</w:t>
      </w:r>
      <w:r>
        <w:rPr>
          <w:rFonts w:hint="eastAsia" w:ascii="楷体" w:hAnsi="楷体" w:eastAsia="楷体" w:cs="楷体"/>
          <w:color w:val="auto"/>
          <w:sz w:val="28"/>
          <w:szCs w:val="28"/>
          <w:highlight w:val="none"/>
          <w:u w:val="single"/>
        </w:rPr>
        <w:t xml:space="preserve">丹徒区夜景灯光管护服务项目（2026-2029年）</w:t>
      </w:r>
      <w:r>
        <w:rPr>
          <w:rFonts w:hint="eastAsia" w:ascii="楷体" w:hAnsi="楷体" w:eastAsia="楷体" w:cs="楷体"/>
          <w:color w:val="auto"/>
          <w:sz w:val="28"/>
          <w:szCs w:val="28"/>
          <w:highlight w:val="none"/>
        </w:rPr>
        <w:t xml:space="preserve">的投标邀请，我方已完全理解招标文件的所有内容。</w:t>
      </w:r>
      <w:r/>
    </w:p>
    <w:p>
      <w:pPr>
        <w:pStyle w:val="859"/>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据此函，我方兹宣布同意如下：</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1．按招标文件规定提供货物（服务）的唯一投标报价见开标一览表。</w:t>
      </w:r>
      <w:r>
        <w:rPr>
          <w:rFonts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7456;mso-wrap-distance-left:9.0pt;mso-wrap-distance-top:0.0pt;mso-wrap-distance-right:9.0pt;mso-wrap-distance-bottom:0.0pt;visibility:visible;" from="15.8pt,19.5pt" to="15.8pt,19.5pt" fillcolor="#FFFFFF" strokecolor="#000000"/>
            </w:pict>
          </mc:Fallback>
        </mc:AlternateContent>
      </w:r>
      <w:r>
        <w:rPr>
          <w:rFonts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color="#FFFFFF" strokecolor="#000000"/>
            </w:pict>
          </mc:Fallback>
        </mc:AlternateContent>
      </w:r>
      <w:r>
        <w:rPr>
          <w:rFonts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15.8pt,19.5pt" to="15.8pt,19.5pt" fillcolor="#FFFFFF" strokecolor="#000000"/>
            </w:pict>
          </mc:Fallback>
        </mc:AlternateContent>
      </w:r>
      <w:r>
        <w:rPr>
          <w:rFonts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5.6pt" to="210.1pt,15.6pt" fillcolor="#FFFFFF" strokecolor="#000000"/>
            </w:pict>
          </mc:Fallback>
        </mc:AlternateContent>
      </w:r>
      <w:r/>
    </w:p>
    <w:p>
      <w:pPr>
        <w:ind w:firstLine="480"/>
        <w:spacing w:line="360" w:lineRule="auto"/>
        <w:tabs>
          <w:tab w:val="left" w:pos="1125" w:leader="none"/>
        </w:tabs>
        <w:rPr>
          <w:rFonts w:ascii="楷体" w:hAnsi="楷体" w:eastAsia="楷体" w:cs="楷体"/>
          <w:color w:val="auto"/>
          <w:sz w:val="28"/>
          <w:szCs w:val="28"/>
          <w:highlight w:val="none"/>
        </w:rPr>
      </w:pPr>
      <w:r>
        <w:rPr>
          <w:rFonts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Fonts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color w:val="auto"/>
          <w:sz w:val="28"/>
          <w:szCs w:val="28"/>
          <w:highlight w:val="none"/>
        </w:rPr>
        <w:t xml:space="preserve">2．我方承诺根据招标文件的规定，完成合同义务，并承担责任（如有偏离，在投标文件中另作说明）。</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5．我方同意从规定的招标日期起遵循本招标文件，并在规定的投标有效期期满之前均具有约束力。</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6．我方同意向贵方提供贵方可能要求的与本投标有关的任何证据或资料。</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8．我方承诺：参加政府采购活动前三年内，在经营活动中没有重大违法记录。</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9．本次投标文件内容与招标文件内容偏离情况见偏离说明（如果有）。</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10．遵守招标文件中要求的收费项目和标准。</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11．与本投标有关的一切正式往来通讯请寄：</w:t>
      </w:r>
      <w:r/>
    </w:p>
    <w:p>
      <w:pPr>
        <w:pStyle w:val="859"/>
        <w:ind w:firstLine="480"/>
        <w:spacing w:line="360" w:lineRule="auto"/>
        <w:rPr>
          <w:rFonts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地址： </w:t>
      </w:r>
      <w:r>
        <w:rPr>
          <w:rFonts w:hint="eastAsia" w:ascii="楷体" w:hAnsi="楷体" w:eastAsia="楷体" w:cs="楷体"/>
          <w:b/>
          <w:color w:val="auto"/>
          <w:sz w:val="28"/>
          <w:szCs w:val="28"/>
          <w:highlight w:val="none"/>
          <w:u w:val="single"/>
        </w:rPr>
        <w:t xml:space="preserve">××</w:t>
      </w:r>
      <w:r/>
    </w:p>
    <w:p>
      <w:pPr>
        <w:pStyle w:val="859"/>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电话： </w:t>
      </w:r>
      <w:r>
        <w:rPr>
          <w:rFonts w:hint="eastAsia" w:ascii="楷体" w:hAnsi="楷体" w:eastAsia="楷体" w:cs="楷体"/>
          <w:b/>
          <w:color w:val="auto"/>
          <w:sz w:val="28"/>
          <w:szCs w:val="28"/>
          <w:highlight w:val="none"/>
          <w:u w:val="single"/>
        </w:rPr>
        <w:t xml:space="preserve">××</w:t>
      </w:r>
      <w:r/>
    </w:p>
    <w:p>
      <w:pPr>
        <w:pStyle w:val="859"/>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传真：</w:t>
      </w:r>
      <w:r>
        <w:rPr>
          <w:rFonts w:hint="eastAsia" w:ascii="楷体" w:hAnsi="楷体" w:eastAsia="楷体" w:cs="楷体"/>
          <w:b/>
          <w:color w:val="auto"/>
          <w:sz w:val="28"/>
          <w:szCs w:val="28"/>
          <w:highlight w:val="none"/>
          <w:u w:val="single"/>
        </w:rPr>
        <w:t xml:space="preserve">××</w:t>
      </w:r>
      <w:r/>
    </w:p>
    <w:p>
      <w:pPr>
        <w:pStyle w:val="859"/>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邮政编码：</w:t>
      </w:r>
      <w:r>
        <w:rPr>
          <w:rFonts w:hint="eastAsia" w:ascii="楷体" w:hAnsi="楷体" w:eastAsia="楷体" w:cs="楷体"/>
          <w:b/>
          <w:color w:val="auto"/>
          <w:sz w:val="28"/>
          <w:szCs w:val="28"/>
          <w:highlight w:val="none"/>
          <w:u w:val="single"/>
        </w:rPr>
        <w:t xml:space="preserve">××</w:t>
      </w:r>
      <w:r/>
    </w:p>
    <w:p>
      <w:pPr>
        <w:pStyle w:val="859"/>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投标人（公章）：</w:t>
      </w:r>
      <w:r>
        <w:rPr>
          <w:rFonts w:hint="eastAsia" w:ascii="楷体" w:hAnsi="楷体" w:eastAsia="楷体" w:cs="楷体"/>
          <w:b/>
          <w:color w:val="auto"/>
          <w:sz w:val="28"/>
          <w:szCs w:val="28"/>
          <w:highlight w:val="none"/>
          <w:u w:val="single"/>
        </w:rPr>
        <w:t xml:space="preserve">××</w:t>
      </w:r>
      <w:r/>
    </w:p>
    <w:p>
      <w:pPr>
        <w:pStyle w:val="859"/>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法定代表人签字或盖章： </w:t>
      </w:r>
      <w:r>
        <w:rPr>
          <w:rFonts w:hint="eastAsia" w:ascii="楷体" w:hAnsi="楷体" w:eastAsia="楷体" w:cs="楷体"/>
          <w:b/>
          <w:color w:val="auto"/>
          <w:sz w:val="28"/>
          <w:szCs w:val="28"/>
          <w:highlight w:val="none"/>
          <w:u w:val="single"/>
        </w:rPr>
        <w:t xml:space="preserve">××   </w:t>
      </w:r>
      <w:r/>
    </w:p>
    <w:p>
      <w:pPr>
        <w:pStyle w:val="859"/>
        <w:ind w:right="1060" w:firstLine="480"/>
        <w:jc w:val="both"/>
        <w:spacing w:line="360" w:lineRule="auto"/>
        <w:rPr>
          <w:rFonts w:ascii="楷体" w:hAnsi="楷体" w:eastAsia="楷体" w:cs="楷体"/>
          <w:color w:val="auto"/>
          <w:highlight w:val="none"/>
        </w:rPr>
      </w:pPr>
      <w:r>
        <w:rPr>
          <w:rFonts w:hint="eastAsia" w:ascii="楷体" w:hAnsi="楷体" w:eastAsia="楷体" w:cs="楷体"/>
          <w:color w:val="auto"/>
          <w:sz w:val="28"/>
          <w:szCs w:val="28"/>
          <w:highlight w:val="none"/>
        </w:rPr>
        <w:t xml:space="preserve">日期： </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年</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月</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日 </w:t>
      </w:r>
      <w:r/>
    </w:p>
    <w:p>
      <w:pPr>
        <w:jc w:val="both"/>
        <w:spacing w:line="360" w:lineRule="auto"/>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二</w:t>
      </w:r>
      <w:r>
        <w:rPr>
          <w:rFonts w:hint="eastAsia" w:ascii="楷体" w:hAnsi="楷体" w:eastAsia="楷体" w:cs="楷体"/>
          <w:b/>
          <w:bCs/>
          <w:color w:val="auto"/>
          <w:sz w:val="32"/>
          <w:szCs w:val="32"/>
          <w:highlight w:val="none"/>
        </w:rPr>
        <w:t xml:space="preserve">）独立承担民事责任的能力</w:t>
      </w:r>
      <w:r/>
    </w:p>
    <w:p>
      <w:pPr>
        <w:ind w:firstLine="560"/>
        <w:jc w:val="both"/>
        <w:spacing w:line="360" w:lineRule="auto"/>
        <w:rPr>
          <w:rFonts w:ascii="楷体" w:hAnsi="楷体" w:eastAsia="楷体" w:cs="楷体"/>
          <w:b/>
          <w:bCs/>
          <w:color w:val="auto"/>
          <w:sz w:val="32"/>
          <w:szCs w:val="32"/>
          <w:highlight w:val="none"/>
        </w:rPr>
      </w:pPr>
      <w:r>
        <w:rPr>
          <w:rFonts w:hint="eastAsia" w:ascii="楷体" w:hAnsi="楷体" w:eastAsia="楷体" w:cs="楷体"/>
          <w:color w:val="auto"/>
          <w:sz w:val="28"/>
          <w:szCs w:val="28"/>
          <w:highlight w:val="none"/>
        </w:rPr>
        <w:t xml:space="preserve">提供法人或者其他组织的营业执照等证明文件扫描件；投标人为自然人的，提供其身份证扫描件</w:t>
      </w:r>
      <w:r/>
    </w:p>
    <w:p>
      <w:pPr>
        <w:jc w:val="both"/>
        <w:spacing w:line="360" w:lineRule="auto"/>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三</w:t>
      </w:r>
      <w:r>
        <w:rPr>
          <w:rFonts w:hint="eastAsia" w:ascii="楷体" w:hAnsi="楷体" w:eastAsia="楷体" w:cs="楷体"/>
          <w:b/>
          <w:bCs/>
          <w:color w:val="auto"/>
          <w:sz w:val="32"/>
          <w:szCs w:val="32"/>
          <w:highlight w:val="none"/>
        </w:rPr>
        <w:t xml:space="preserve">）良好的商业信誉和健全的财务会计制度</w:t>
      </w:r>
      <w:r/>
    </w:p>
    <w:p>
      <w:pPr>
        <w:ind w:firstLine="560"/>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提供2024或2025年度财务报告、成立不满一年的提供至少一个月财务报告，或银行出具的资信证明，或财政部门认可的政府采购专业担保机构出具的投标担保函等，或资格承诺函（格式见第六部分）</w:t>
      </w:r>
      <w:r/>
    </w:p>
    <w:p>
      <w:pPr>
        <w:jc w:val="both"/>
        <w:spacing w:line="360" w:lineRule="auto"/>
        <w:rPr>
          <w:rFonts w:ascii="楷体" w:hAnsi="楷体" w:eastAsia="楷体" w:cs="楷体"/>
          <w:b/>
          <w:bCs/>
          <w:color w:val="auto"/>
          <w:sz w:val="32"/>
          <w:highlight w:val="none"/>
        </w:rPr>
      </w:pPr>
      <w:r>
        <w:rPr>
          <w:rFonts w:ascii="楷体" w:hAnsi="楷体" w:eastAsia="楷体" w:cs="楷体"/>
          <w:b/>
          <w:bCs/>
          <w:color w:val="auto"/>
          <w:sz w:val="32"/>
          <w:highlight w:val="none"/>
        </w:rPr>
      </w:r>
      <w:r/>
    </w:p>
    <w:p>
      <w:pPr>
        <w:jc w:val="center"/>
        <w:spacing w:line="360" w:lineRule="auto"/>
        <w:rPr>
          <w:rFonts w:ascii="楷体" w:hAnsi="楷体" w:eastAsia="楷体" w:cs="楷体"/>
          <w:b/>
          <w:bCs/>
          <w:color w:val="auto"/>
          <w:sz w:val="32"/>
          <w:highlight w:val="none"/>
        </w:rPr>
      </w:pPr>
      <w:r>
        <w:rPr>
          <w:rFonts w:hint="eastAsia" w:ascii="楷体" w:hAnsi="楷体" w:eastAsia="楷体" w:cs="楷体"/>
          <w:b/>
          <w:bCs/>
          <w:color w:val="auto"/>
          <w:sz w:val="32"/>
          <w:highlight w:val="none"/>
        </w:rPr>
        <w:t xml:space="preserve">（</w:t>
      </w:r>
      <w:r>
        <w:rPr>
          <w:rFonts w:hint="eastAsia" w:ascii="楷体" w:hAnsi="楷体" w:eastAsia="楷体" w:cs="楷体"/>
          <w:b/>
          <w:bCs/>
          <w:color w:val="auto"/>
          <w:sz w:val="32"/>
          <w:highlight w:val="none"/>
          <w:lang w:val="en-US"/>
        </w:rPr>
        <w:t xml:space="preserve">四</w:t>
      </w:r>
      <w:r>
        <w:rPr>
          <w:rFonts w:hint="eastAsia" w:ascii="楷体" w:hAnsi="楷体" w:eastAsia="楷体" w:cs="楷体"/>
          <w:b/>
          <w:bCs/>
          <w:color w:val="auto"/>
          <w:sz w:val="32"/>
          <w:highlight w:val="none"/>
        </w:rPr>
        <w:t xml:space="preserve">）履行合同所必需的设备和专业技术能力</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填写下述表格或提供资格承诺函（格式见第六部分）</w:t>
      </w:r>
      <w:r/>
    </w:p>
    <w:tbl>
      <w:tblPr>
        <w:tblStyle w:val="854"/>
        <w:tblW w:w="50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2080"/>
        <w:gridCol w:w="1420"/>
        <w:gridCol w:w="473"/>
        <w:gridCol w:w="425"/>
        <w:gridCol w:w="1149"/>
        <w:gridCol w:w="1056"/>
        <w:gridCol w:w="324"/>
        <w:gridCol w:w="1105"/>
        <w:gridCol w:w="789"/>
      </w:tblGrid>
      <w:tr>
        <w:trPr>
          <w:jc w:val="center"/>
          <w:trHeight w:val="558"/>
        </w:trPr>
        <w:tc>
          <w:tcPr>
            <w:shd w:val="clear" w:color="auto" w:fill="d9d9d9"/>
            <w:tcW w:w="53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br w:type="page" w:clear="all"/>
            </w:r>
            <w:r>
              <w:rPr>
                <w:rFonts w:hint="eastAsia" w:ascii="楷体" w:hAnsi="楷体" w:eastAsia="楷体" w:cs="楷体"/>
                <w:b/>
                <w:color w:val="auto"/>
                <w:sz w:val="28"/>
                <w:szCs w:val="28"/>
                <w:highlight w:val="none"/>
              </w:rPr>
              <w:t xml:space="preserve">一</w:t>
            </w:r>
            <w:r/>
          </w:p>
        </w:tc>
        <w:tc>
          <w:tcPr>
            <w:gridSpan w:val="9"/>
            <w:shd w:val="clear" w:color="auto" w:fill="d9d9d9"/>
            <w:tcW w:w="4460"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公司基本信息</w:t>
            </w:r>
            <w:r/>
          </w:p>
        </w:tc>
      </w:tr>
      <w:tr>
        <w:trPr>
          <w:jc w:val="center"/>
          <w:trHeight w:val="558"/>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公司名称</w:t>
            </w:r>
            <w:r/>
          </w:p>
        </w:tc>
        <w:tc>
          <w:tcPr>
            <w:gridSpan w:val="8"/>
            <w:tcW w:w="3407"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8"/>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注册资金</w:t>
            </w:r>
            <w:r/>
          </w:p>
        </w:tc>
        <w:tc>
          <w:tcPr>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gridSpan w:val="3"/>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公司地址</w:t>
            </w:r>
            <w:r/>
          </w:p>
        </w:tc>
        <w:tc>
          <w:tcPr>
            <w:gridSpan w:val="2"/>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8"/>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从业人数</w:t>
            </w:r>
            <w:r/>
          </w:p>
        </w:tc>
        <w:tc>
          <w:tcPr>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gridSpan w:val="3"/>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w:t>
            </w:r>
            <w:r/>
          </w:p>
        </w:tc>
        <w:tc>
          <w:tcPr>
            <w:gridSpan w:val="2"/>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8"/>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开户银行</w:t>
            </w:r>
            <w:r/>
          </w:p>
        </w:tc>
        <w:tc>
          <w:tcPr>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gridSpan w:val="3"/>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账号</w:t>
            </w:r>
            <w:r/>
          </w:p>
        </w:tc>
        <w:tc>
          <w:tcPr>
            <w:gridSpan w:val="2"/>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8"/>
        </w:trPr>
        <w:tc>
          <w:tcPr>
            <w:tcBorders>
              <w:bottom w:val="single" w:color="auto" w:sz="4" w:space="0"/>
            </w:tcBorders>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tcBorders>
              <w:bottom w:val="single" w:color="auto" w:sz="4" w:space="0"/>
            </w:tcBorders>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项目联系人</w:t>
            </w:r>
            <w:r/>
          </w:p>
        </w:tc>
        <w:tc>
          <w:tcPr>
            <w:tcBorders>
              <w:bottom w:val="single" w:color="auto" w:sz="4" w:space="0"/>
            </w:tcBorders>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Borders>
              <w:bottom w:val="single" w:color="auto" w:sz="4" w:space="0"/>
            </w:tcBorders>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gridSpan w:val="3"/>
            <w:tcBorders>
              <w:bottom w:val="single" w:color="auto" w:sz="4" w:space="0"/>
            </w:tcBorders>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w:t>
            </w:r>
            <w:r/>
          </w:p>
        </w:tc>
        <w:tc>
          <w:tcPr>
            <w:gridSpan w:val="2"/>
            <w:tcBorders>
              <w:bottom w:val="single" w:color="auto" w:sz="4" w:space="0"/>
            </w:tcBorders>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8"/>
        </w:trPr>
        <w:tc>
          <w:tcPr>
            <w:shd w:val="clear" w:color="auto" w:fill="d9d9d9"/>
            <w:tcW w:w="53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二</w:t>
            </w:r>
            <w:r/>
          </w:p>
        </w:tc>
        <w:tc>
          <w:tcPr>
            <w:gridSpan w:val="9"/>
            <w:shd w:val="clear" w:color="auto" w:fill="d9d9d9"/>
            <w:tcW w:w="4460"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公司财务状况</w:t>
            </w:r>
            <w:r/>
          </w:p>
        </w:tc>
      </w:tr>
      <w:tr>
        <w:trPr>
          <w:jc w:val="center"/>
          <w:trHeight w:val="552"/>
        </w:trPr>
        <w:tc>
          <w:tcPr>
            <w:tcW w:w="53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tcW w:w="4460"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lang w:val="en-US"/>
              </w:rPr>
              <w:t xml:space="preserve">2024或2025</w:t>
            </w:r>
            <w:r>
              <w:rPr>
                <w:rFonts w:hint="eastAsia" w:ascii="楷体" w:hAnsi="楷体" w:eastAsia="楷体" w:cs="楷体"/>
                <w:b/>
                <w:color w:val="auto"/>
                <w:sz w:val="28"/>
                <w:szCs w:val="28"/>
                <w:highlight w:val="none"/>
              </w:rPr>
              <w:t xml:space="preserve">年度财务状况</w:t>
            </w:r>
            <w:r/>
          </w:p>
        </w:tc>
      </w:tr>
      <w:tr>
        <w:trPr>
          <w:jc w:val="center"/>
          <w:trHeight w:val="1097"/>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营业收入（万）：</w:t>
            </w:r>
            <w:r/>
          </w:p>
        </w:tc>
        <w:tc>
          <w:tcPr>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gridSpan w:val="3"/>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利润总额（万）</w:t>
            </w:r>
            <w:r/>
          </w:p>
        </w:tc>
        <w:tc>
          <w:tcPr>
            <w:gridSpan w:val="2"/>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637"/>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年末“固定资产合计”（万）</w:t>
            </w:r>
            <w:r/>
          </w:p>
        </w:tc>
        <w:tc>
          <w:tcPr>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gridSpan w:val="3"/>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年末“流动资产”余额（万）</w:t>
            </w:r>
            <w:r/>
          </w:p>
        </w:tc>
        <w:tc>
          <w:tcPr>
            <w:gridSpan w:val="2"/>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637"/>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年末“短期负债”余额（万）</w:t>
            </w:r>
            <w:r/>
          </w:p>
        </w:tc>
        <w:tc>
          <w:tcPr>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gridSpan w:val="3"/>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年末“长期负债”余额（万）</w:t>
            </w:r>
            <w:r/>
          </w:p>
        </w:tc>
        <w:tc>
          <w:tcPr>
            <w:gridSpan w:val="2"/>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637"/>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年末“资产总计”余额（万）</w:t>
            </w:r>
            <w:r/>
          </w:p>
        </w:tc>
        <w:tc>
          <w:tcPr>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gridSpan w:val="3"/>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年末“货币资金”余额（万）</w:t>
            </w:r>
            <w:r/>
          </w:p>
        </w:tc>
        <w:tc>
          <w:tcPr>
            <w:gridSpan w:val="2"/>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61"/>
        </w:trPr>
        <w:tc>
          <w:tcPr>
            <w:shd w:val="clear" w:color="auto" w:fill="d9d9d9"/>
            <w:tcW w:w="53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三</w:t>
            </w:r>
            <w:r/>
          </w:p>
        </w:tc>
        <w:tc>
          <w:tcPr>
            <w:gridSpan w:val="9"/>
            <w:shd w:val="clear" w:color="auto" w:fill="d9d9d9"/>
            <w:tcW w:w="4460"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投标人其他信息</w:t>
            </w:r>
            <w:r/>
          </w:p>
        </w:tc>
      </w:tr>
      <w:tr>
        <w:trPr>
          <w:jc w:val="center"/>
          <w:trHeight w:val="1637"/>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公司近三年度取得的相关资质及等级：</w:t>
            </w:r>
            <w:r/>
          </w:p>
        </w:tc>
        <w:tc>
          <w:tcPr>
            <w:gridSpan w:val="8"/>
            <w:tcW w:w="3407"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264"/>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公司近三年度后获得的荣誉及表彰情况：</w:t>
            </w:r>
            <w:r/>
          </w:p>
        </w:tc>
        <w:tc>
          <w:tcPr>
            <w:gridSpan w:val="8"/>
            <w:tcW w:w="3407"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71"/>
        </w:trPr>
        <w:tc>
          <w:tcPr>
            <w:shd w:val="clear" w:color="auto" w:fill="bfbfbf"/>
            <w:tcW w:w="53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四</w:t>
            </w:r>
            <w:r/>
          </w:p>
        </w:tc>
        <w:tc>
          <w:tcPr>
            <w:gridSpan w:val="9"/>
            <w:shd w:val="clear" w:color="auto" w:fill="bfbfbf"/>
            <w:tcW w:w="4460"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提供本项目服务所必须的专业设备一览表 </w:t>
            </w:r>
            <w:r/>
          </w:p>
        </w:tc>
      </w:tr>
      <w:tr>
        <w:trPr>
          <w:jc w:val="center"/>
          <w:trHeight w:val="1097"/>
        </w:trPr>
        <w:tc>
          <w:tcPr>
            <w:shd w:val="clear" w:color="auto" w:fill="ffffff"/>
            <w:tcW w:w="53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序号</w:t>
            </w:r>
            <w:r/>
          </w:p>
        </w:tc>
        <w:tc>
          <w:tcPr>
            <w:gridSpan w:val="3"/>
            <w:shd w:val="clear" w:color="auto" w:fill="ffffff"/>
            <w:tcW w:w="200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品牌、型号及主要参数配置简述</w:t>
            </w:r>
            <w:r/>
          </w:p>
        </w:tc>
        <w:tc>
          <w:tcPr>
            <w:gridSpan w:val="2"/>
            <w:shd w:val="clear" w:color="auto" w:fill="ffffff"/>
            <w:tcW w:w="7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购置年份</w:t>
            </w:r>
            <w:r/>
          </w:p>
        </w:tc>
        <w:tc>
          <w:tcPr>
            <w:shd w:val="clear" w:color="auto" w:fill="ffffff"/>
            <w:tcW w:w="534"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价格</w:t>
            </w:r>
            <w:r/>
          </w:p>
        </w:tc>
        <w:tc>
          <w:tcPr>
            <w:gridSpan w:val="2"/>
            <w:shd w:val="clear" w:color="auto" w:fill="ffffff"/>
            <w:tcW w:w="723"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数量</w:t>
            </w:r>
            <w:r/>
          </w:p>
        </w:tc>
        <w:tc>
          <w:tcPr>
            <w:shd w:val="clear" w:color="auto" w:fill="ffffff"/>
            <w:tcW w:w="3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用途</w:t>
            </w:r>
            <w:r/>
          </w:p>
        </w:tc>
      </w:tr>
      <w:tr>
        <w:trPr>
          <w:jc w:val="center"/>
          <w:trHeight w:val="90"/>
        </w:trPr>
        <w:tc>
          <w:tcPr>
            <w:shd w:val="clear" w:color="auto" w:fill="ffffff"/>
            <w:tcW w:w="539" w:type="pct"/>
            <w:vAlign w:val="center"/>
            <w:textDirection w:val="lrTb"/>
            <w:noWrap/>
          </w:tcPr>
          <w:p>
            <w:pPr>
              <w:pStyle w:val="856"/>
              <w:ind w:firstLine="0"/>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1</w:t>
            </w:r>
            <w:r/>
          </w:p>
        </w:tc>
        <w:tc>
          <w:tcPr>
            <w:gridSpan w:val="3"/>
            <w:shd w:val="clear" w:color="auto" w:fill="ffffff"/>
            <w:tcW w:w="200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534"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23"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3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90"/>
        </w:trPr>
        <w:tc>
          <w:tcPr>
            <w:shd w:val="clear" w:color="auto" w:fill="ffffff"/>
            <w:tcW w:w="539" w:type="pct"/>
            <w:vAlign w:val="center"/>
            <w:textDirection w:val="lrTb"/>
            <w:noWrap/>
          </w:tcPr>
          <w:p>
            <w:pPr>
              <w:pStyle w:val="856"/>
              <w:ind w:firstLine="0"/>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2</w:t>
            </w:r>
            <w:r/>
          </w:p>
        </w:tc>
        <w:tc>
          <w:tcPr>
            <w:gridSpan w:val="3"/>
            <w:shd w:val="clear" w:color="auto" w:fill="ffffff"/>
            <w:tcW w:w="200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534"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23"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3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90"/>
        </w:trPr>
        <w:tc>
          <w:tcPr>
            <w:shd w:val="clear" w:color="auto" w:fill="ffffff"/>
            <w:tcW w:w="539" w:type="pct"/>
            <w:vAlign w:val="center"/>
            <w:textDirection w:val="lrTb"/>
            <w:noWrap/>
          </w:tcPr>
          <w:p>
            <w:pPr>
              <w:pStyle w:val="856"/>
              <w:ind w:firstLine="0"/>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3</w:t>
            </w:r>
            <w:r/>
          </w:p>
        </w:tc>
        <w:tc>
          <w:tcPr>
            <w:gridSpan w:val="3"/>
            <w:shd w:val="clear" w:color="auto" w:fill="ffffff"/>
            <w:tcW w:w="200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534"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23"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3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90"/>
        </w:trPr>
        <w:tc>
          <w:tcPr>
            <w:shd w:val="clear" w:color="auto" w:fill="ffffff"/>
            <w:tcW w:w="539" w:type="pct"/>
            <w:vAlign w:val="center"/>
            <w:textDirection w:val="lrTb"/>
            <w:noWrap/>
          </w:tcPr>
          <w:p>
            <w:pPr>
              <w:pStyle w:val="856"/>
              <w:ind w:firstLine="0"/>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w:t>
            </w:r>
            <w:r/>
          </w:p>
        </w:tc>
        <w:tc>
          <w:tcPr>
            <w:gridSpan w:val="3"/>
            <w:shd w:val="clear" w:color="auto" w:fill="ffffff"/>
            <w:tcW w:w="200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534"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23"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3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589"/>
        </w:trPr>
        <w:tc>
          <w:tcPr>
            <w:shd w:val="clear" w:color="auto" w:fill="bfbfbf"/>
            <w:tcW w:w="53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五</w:t>
            </w:r>
            <w:r/>
          </w:p>
        </w:tc>
        <w:tc>
          <w:tcPr>
            <w:gridSpan w:val="9"/>
            <w:shd w:val="clear" w:color="auto" w:fill="bfbfbf"/>
            <w:tcW w:w="4460"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提供本项目服务所必须的专业技术能力</w:t>
            </w:r>
            <w:r/>
          </w:p>
        </w:tc>
      </w:tr>
      <w:tr>
        <w:trPr>
          <w:jc w:val="center"/>
          <w:trHeight w:val="1651"/>
        </w:trPr>
        <w:tc>
          <w:tcPr>
            <w:gridSpan w:val="10"/>
            <w:shd w:val="clear" w:color="auto" w:fill="ffffff"/>
            <w:tcW w:w="5000"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bl>
    <w:p>
      <w:pPr>
        <w:ind w:firstLine="48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jc w:val="center"/>
        <w:spacing w:line="360" w:lineRule="auto"/>
        <w:rPr>
          <w:rFonts w:ascii="楷体" w:hAnsi="楷体" w:eastAsia="楷体" w:cs="楷体"/>
          <w:b/>
          <w:bCs/>
          <w:color w:val="auto"/>
          <w:sz w:val="32"/>
          <w:szCs w:val="32"/>
          <w:highlight w:val="none"/>
          <w:shd w:val="clear" w:color="auto" w:fill="fafafa"/>
        </w:rPr>
      </w:pPr>
      <w:r>
        <w:rPr>
          <w:rFonts w:hint="eastAsia" w:ascii="楷体" w:hAnsi="楷体" w:eastAsia="楷体" w:cs="楷体"/>
          <w:b/>
          <w:bCs/>
          <w:color w:val="auto"/>
          <w:sz w:val="32"/>
          <w:szCs w:val="32"/>
          <w:highlight w:val="none"/>
          <w:lang w:val="en-US"/>
        </w:rPr>
        <w:t xml:space="preserve">（五）依法缴纳税收和社会保障资金的良好记录</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提供参加本次政府采购活动前半年内任意一个月依法缴纳税收和社会保险的凭据或资格承诺函（格式见第六部分）</w:t>
      </w:r>
      <w:r/>
    </w:p>
    <w:p>
      <w:pP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p>
      <w:pPr>
        <w:jc w:val="cente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w:t>
      </w:r>
      <w:r>
        <w:rPr>
          <w:rFonts w:hint="eastAsia" w:ascii="楷体" w:hAnsi="楷体" w:eastAsia="楷体" w:cs="楷体"/>
          <w:b/>
          <w:color w:val="auto"/>
          <w:sz w:val="32"/>
          <w:szCs w:val="32"/>
          <w:highlight w:val="none"/>
          <w:lang w:val="en-US"/>
        </w:rPr>
        <w:t xml:space="preserve">六</w:t>
      </w:r>
      <w:r>
        <w:rPr>
          <w:rFonts w:hint="eastAsia" w:ascii="楷体" w:hAnsi="楷体" w:eastAsia="楷体" w:cs="楷体"/>
          <w:b/>
          <w:color w:val="auto"/>
          <w:sz w:val="32"/>
          <w:szCs w:val="32"/>
          <w:highlight w:val="none"/>
        </w:rPr>
        <w:t xml:space="preserve">）参加政府采购活动前三年内，在经营活动中没有重大违法记录</w:t>
      </w:r>
      <w:r/>
    </w:p>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（1）投标函或资格承诺函。</w:t>
      </w:r>
      <w:r/>
    </w:p>
    <w:p>
      <w:pPr>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七</w:t>
      </w:r>
      <w:r>
        <w:rPr>
          <w:rFonts w:hint="eastAsia" w:ascii="楷体" w:hAnsi="楷体" w:eastAsia="楷体" w:cs="楷体"/>
          <w:b/>
          <w:bCs/>
          <w:color w:val="auto"/>
          <w:sz w:val="32"/>
          <w:szCs w:val="32"/>
          <w:highlight w:val="none"/>
        </w:rPr>
        <w:t xml:space="preserve">）法律、行政法规规定的其他条件</w:t>
      </w:r>
      <w:r/>
    </w:p>
    <w:p>
      <w:pPr>
        <w:spacing w:line="360" w:lineRule="auto"/>
        <w:rPr>
          <w:rFonts w:ascii="楷体" w:hAnsi="楷体" w:eastAsia="楷体" w:cs="楷体"/>
          <w:color w:val="auto"/>
          <w:highlight w:val="none"/>
        </w:rPr>
      </w:pPr>
      <w:r>
        <w:rPr>
          <w:rFonts w:ascii="楷体" w:hAnsi="楷体" w:eastAsia="楷体" w:cs="楷体"/>
          <w:color w:val="auto"/>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八</w:t>
      </w:r>
      <w:r>
        <w:rPr>
          <w:rFonts w:hint="eastAsia" w:ascii="楷体" w:hAnsi="楷体" w:eastAsia="楷体" w:cs="楷体"/>
          <w:b/>
          <w:bCs/>
          <w:color w:val="auto"/>
          <w:sz w:val="32"/>
          <w:szCs w:val="32"/>
          <w:highlight w:val="none"/>
        </w:rPr>
        <w:t xml:space="preserve">）落实政府采购政策需满足的资格要求</w:t>
      </w:r>
      <w:r/>
    </w:p>
    <w:p>
      <w:pPr>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本项目专门面向中小微企业，</w:t>
      </w:r>
      <w:r>
        <w:rPr>
          <w:rFonts w:hint="eastAsia" w:ascii="楷体" w:hAnsi="楷体" w:eastAsia="楷体" w:cs="楷体"/>
          <w:color w:val="auto"/>
          <w:sz w:val="28"/>
          <w:szCs w:val="28"/>
          <w:highlight w:val="none"/>
          <w:lang w:val="en-US"/>
        </w:rPr>
        <w:t xml:space="preserve">服务</w:t>
      </w:r>
      <w:r>
        <w:rPr>
          <w:rFonts w:hint="eastAsia" w:ascii="楷体" w:hAnsi="楷体" w:eastAsia="楷体" w:cs="楷体"/>
          <w:color w:val="auto"/>
          <w:sz w:val="28"/>
          <w:szCs w:val="28"/>
          <w:highlight w:val="none"/>
        </w:rPr>
        <w:t xml:space="preserve">全部由符合政策要求的中小企业承接，提供中小企业声明函</w:t>
      </w:r>
      <w:r/>
    </w:p>
    <w:p>
      <w:pPr>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九</w:t>
      </w:r>
      <w:r>
        <w:rPr>
          <w:rFonts w:hint="eastAsia" w:ascii="楷体" w:hAnsi="楷体" w:eastAsia="楷体" w:cs="楷体"/>
          <w:b/>
          <w:bCs/>
          <w:color w:val="auto"/>
          <w:sz w:val="32"/>
          <w:szCs w:val="32"/>
          <w:highlight w:val="none"/>
        </w:rPr>
        <w:t xml:space="preserve">）本项目的特定资格要求</w:t>
      </w:r>
      <w:r/>
    </w:p>
    <w:p>
      <w:pPr>
        <w:spacing w:line="360" w:lineRule="auto"/>
        <w:rPr>
          <w:rFonts w:ascii="楷体" w:hAnsi="楷体" w:eastAsia="楷体" w:cs="楷体"/>
          <w:color w:val="auto"/>
          <w:highlight w:val="none"/>
        </w:rPr>
      </w:pPr>
      <w:r>
        <w:rPr>
          <w:rFonts w:ascii="楷体" w:hAnsi="楷体" w:eastAsia="楷体" w:cs="楷体"/>
          <w:color w:val="auto"/>
          <w:highlight w:val="none"/>
        </w:rPr>
      </w:r>
      <w:r/>
    </w:p>
    <w:p>
      <w:pPr>
        <w:jc w:val="center"/>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p>
      <w:pPr>
        <w:jc w:val="center"/>
        <w:spacing w:line="360" w:lineRule="auto"/>
        <w:rPr>
          <w:rFonts w:ascii="楷体" w:hAnsi="楷体" w:eastAsia="楷体" w:cs="楷体"/>
          <w:b/>
          <w:bCs/>
          <w:color w:val="auto"/>
          <w:sz w:val="32"/>
          <w:szCs w:val="32"/>
          <w:highlight w:val="none"/>
          <w:lang w:val="en-US"/>
        </w:rPr>
      </w:pPr>
      <w:r>
        <w:rPr>
          <w:rFonts w:hint="eastAsia" w:ascii="楷体" w:hAnsi="楷体" w:eastAsia="楷体" w:cs="楷体"/>
          <w:b/>
          <w:bCs/>
          <w:color w:val="auto"/>
          <w:sz w:val="28"/>
          <w:szCs w:val="28"/>
          <w:highlight w:val="none"/>
          <w:lang w:val="en-US"/>
        </w:rPr>
        <w:t xml:space="preserve">（十）</w:t>
      </w:r>
      <w:r>
        <w:rPr>
          <w:rFonts w:hint="eastAsia" w:ascii="楷体" w:hAnsi="楷体" w:eastAsia="楷体" w:cs="楷体"/>
          <w:b/>
          <w:bCs/>
          <w:color w:val="auto"/>
          <w:sz w:val="32"/>
          <w:szCs w:val="32"/>
          <w:highlight w:val="none"/>
          <w:lang w:val="en-US"/>
        </w:rPr>
        <w:t xml:space="preserve">资格承诺函</w:t>
      </w:r>
      <w:r/>
    </w:p>
    <w:p>
      <w:pPr>
        <w:spacing w:line="360" w:lineRule="auto"/>
        <w:rPr>
          <w:rFonts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lang w:val="en-US"/>
        </w:rPr>
        <w:t xml:space="preserve">致：</w:t>
      </w:r>
      <w:r>
        <w:rPr>
          <w:rFonts w:hint="eastAsia" w:ascii="楷体" w:hAnsi="楷体" w:eastAsia="楷体" w:cs="楷体"/>
          <w:color w:val="auto"/>
          <w:sz w:val="28"/>
          <w:szCs w:val="28"/>
          <w:highlight w:val="none"/>
          <w:u w:val="single"/>
          <w:lang w:val="en-US"/>
        </w:rPr>
        <w:t xml:space="preserve">    （采购人、采购代理机构）  </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我单位参与</w:t>
      </w:r>
      <w:r>
        <w:rPr>
          <w:rFonts w:hint="eastAsia" w:ascii="楷体" w:hAnsi="楷体" w:eastAsia="楷体" w:cs="楷体"/>
          <w:color w:val="auto"/>
          <w:sz w:val="28"/>
          <w:szCs w:val="28"/>
          <w:highlight w:val="none"/>
          <w:u w:val="single"/>
          <w:lang w:val="en-US"/>
        </w:rPr>
        <w:t xml:space="preserve">  （项目名称）  （项目编号：    ） </w:t>
      </w:r>
      <w:r>
        <w:rPr>
          <w:rFonts w:hint="eastAsia" w:ascii="楷体" w:hAnsi="楷体" w:eastAsia="楷体" w:cs="楷体"/>
          <w:color w:val="auto"/>
          <w:sz w:val="28"/>
          <w:szCs w:val="28"/>
          <w:highlight w:val="none"/>
          <w:lang w:val="en-US"/>
        </w:rPr>
        <w:t xml:space="preserve">项目的政府采购活动，现承诺如下：</w:t>
      </w:r>
      <w:r/>
    </w:p>
    <w:p>
      <w:pPr>
        <w:numPr>
          <w:ilvl w:val="0"/>
          <w:numId w:val="4"/>
        </w:num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我方具有良好的商业信誉和健全的财务会计制度。</w:t>
      </w:r>
      <w:r/>
    </w:p>
    <w:p>
      <w:pPr>
        <w:numPr>
          <w:ilvl w:val="0"/>
          <w:numId w:val="4"/>
        </w:num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我方具有履行合同所必需的设备和专业技术能力。</w:t>
      </w:r>
      <w:r/>
    </w:p>
    <w:p>
      <w:pPr>
        <w:numPr>
          <w:ilvl w:val="0"/>
          <w:numId w:val="4"/>
        </w:num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我方具有依法缴纳税收和社会保障资金的良好记录。</w:t>
      </w:r>
      <w:r/>
    </w:p>
    <w:p>
      <w:pPr>
        <w:numPr>
          <w:ilvl w:val="0"/>
          <w:numId w:val="4"/>
        </w:num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我方参加本项目采购活动前三年内，在经营活动中没有重大违法记录。</w:t>
      </w:r>
      <w:r/>
    </w:p>
    <w:p>
      <w:pPr>
        <w:ind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若我单位承诺不实，自愿承担提供虚假材料谋取中标、成交的法律责任。</w:t>
      </w:r>
      <w:r/>
    </w:p>
    <w:p>
      <w:pPr>
        <w:ind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投标（响应）供应商（全称并盖章）：         </w:t>
      </w:r>
      <w:r/>
    </w:p>
    <w:p>
      <w:pPr>
        <w:ind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供应商法定代表人或授权代表（签字或签章）：    </w:t>
      </w:r>
      <w:r/>
    </w:p>
    <w:p>
      <w:pPr>
        <w:ind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日期：     </w:t>
      </w:r>
      <w:r/>
    </w:p>
    <w:p>
      <w:pPr>
        <w:ind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说明：1.供应商可自行选择是否提供本承诺函，若不提供本承诺函的，应按</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文件要求提供相应的证明材料。</w:t>
      </w:r>
      <w:r/>
    </w:p>
    <w:p>
      <w:pPr>
        <w:ind w:firstLine="117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2.供应商可删减承诺事项，删减的承诺事项须按</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文件要求提供相应的证明材料。比如删去本承诺函第3项的，则应按</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文件要求提供依法缴纳税收和社会保障资金的良好记录。</w:t>
      </w:r>
      <w:r/>
    </w:p>
    <w:p>
      <w:pP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br w:type="page" w:clear="all"/>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二、法定代表人身份证明书</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b/>
          <w:color w:val="auto"/>
          <w:sz w:val="28"/>
          <w:szCs w:val="28"/>
          <w:highlight w:val="none"/>
          <w:u w:val="single"/>
        </w:rPr>
        <w:t xml:space="preserve">××（姓名）</w:t>
      </w:r>
      <w:r>
        <w:rPr>
          <w:rFonts w:hint="eastAsia" w:ascii="楷体" w:hAnsi="楷体" w:eastAsia="楷体" w:cs="楷体"/>
          <w:color w:val="auto"/>
          <w:sz w:val="28"/>
          <w:szCs w:val="28"/>
          <w:highlight w:val="none"/>
        </w:rPr>
        <w:t xml:space="preserve">同志，性别</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，居民身份证号</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，在我单位任职务，系我单位主要负责人即法定代表人。</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  </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    章： </w:t>
      </w:r>
      <w:r/>
    </w:p>
    <w:p>
      <w:pPr>
        <w:ind w:firstLine="560"/>
        <w:spacing w:line="360" w:lineRule="auto"/>
        <w:tabs>
          <w:tab w:val="left" w:pos="7290" w:leader="none"/>
        </w:tabs>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jc w:val="right"/>
        <w:spacing w:line="360" w:lineRule="auto"/>
        <w:tabs>
          <w:tab w:val="left" w:pos="729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年     月    日</w:t>
      </w:r>
      <w:r/>
    </w:p>
    <w:p>
      <w:pP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p>
      <w:pPr>
        <w:ind w:firstLine="643"/>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附：法定代表人居民身份证复印件</w:t>
      </w:r>
      <w:r/>
    </w:p>
    <w:p>
      <w:pPr>
        <w:ind w:firstLine="560"/>
        <w:spacing w:line="360" w:lineRule="auto"/>
        <w:tabs>
          <w:tab w:val="left" w:pos="729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u w:val="single"/>
        </w:rPr>
        <w:t xml:space="preserve">注：1.“法定代表人”直接参加投标响应活动的仅需填写本身份证明</w:t>
      </w:r>
      <w:r>
        <w:rPr>
          <w:rFonts w:hint="eastAsia" w:ascii="楷体" w:hAnsi="楷体" w:eastAsia="楷体" w:cs="楷体"/>
          <w:color w:val="auto"/>
          <w:sz w:val="28"/>
          <w:szCs w:val="28"/>
          <w:highlight w:val="none"/>
        </w:rPr>
        <w:t xml:space="preserve">。</w:t>
      </w:r>
      <w:r/>
    </w:p>
    <w:p>
      <w:pPr>
        <w:ind w:firstLine="562"/>
        <w:spacing w:line="360" w:lineRule="auto"/>
        <w:tabs>
          <w:tab w:val="left" w:pos="7290" w:leader="none"/>
        </w:tabs>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2.投标人属于非法人组织的，按照法律、行政法规规定能够对外代表其从事民事活动的主要负责人，视同法定代表人。</w:t>
      </w:r>
      <w:r/>
    </w:p>
    <w:p>
      <w:pPr>
        <w:spacing w:line="360" w:lineRule="auto"/>
        <w:widowControl/>
        <w:rPr>
          <w:rFonts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三、法定代表人授权委托书</w:t>
      </w:r>
      <w:r/>
    </w:p>
    <w:p>
      <w:pPr>
        <w:ind w:right="420"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right="420"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本授权书声明：</w:t>
      </w:r>
      <w:r>
        <w:rPr>
          <w:rFonts w:hint="eastAsia" w:ascii="楷体" w:hAnsi="楷体" w:eastAsia="楷体" w:cs="楷体"/>
          <w:b/>
          <w:color w:val="auto"/>
          <w:sz w:val="28"/>
          <w:szCs w:val="28"/>
          <w:highlight w:val="none"/>
          <w:u w:val="single"/>
        </w:rPr>
        <w:t xml:space="preserve">×××（投标人名称）</w:t>
      </w:r>
      <w:r>
        <w:rPr>
          <w:rFonts w:hint="eastAsia" w:ascii="楷体" w:hAnsi="楷体" w:eastAsia="楷体" w:cs="楷体"/>
          <w:color w:val="auto"/>
          <w:sz w:val="28"/>
          <w:szCs w:val="28"/>
          <w:highlight w:val="none"/>
        </w:rPr>
        <w:t xml:space="preserve">法定代表人</w:t>
      </w:r>
      <w:r>
        <w:rPr>
          <w:rFonts w:hint="eastAsia" w:ascii="楷体" w:hAnsi="楷体" w:eastAsia="楷体" w:cs="楷体"/>
          <w:b/>
          <w:color w:val="auto"/>
          <w:sz w:val="28"/>
          <w:szCs w:val="28"/>
          <w:highlight w:val="none"/>
          <w:u w:val="single"/>
        </w:rPr>
        <w:t xml:space="preserve">×××（姓名） </w:t>
      </w:r>
      <w:r>
        <w:rPr>
          <w:rFonts w:hint="eastAsia" w:ascii="楷体" w:hAnsi="楷体" w:eastAsia="楷体" w:cs="楷体"/>
          <w:color w:val="auto"/>
          <w:sz w:val="28"/>
          <w:szCs w:val="28"/>
          <w:highlight w:val="none"/>
        </w:rPr>
        <w:t xml:space="preserve">授权</w:t>
      </w:r>
      <w:r>
        <w:rPr>
          <w:rFonts w:hint="eastAsia" w:ascii="楷体" w:hAnsi="楷体" w:eastAsia="楷体" w:cs="楷体"/>
          <w:b/>
          <w:color w:val="auto"/>
          <w:sz w:val="28"/>
          <w:szCs w:val="28"/>
          <w:highlight w:val="none"/>
          <w:u w:val="single"/>
        </w:rPr>
        <w:t xml:space="preserve">×××（委托代理人的姓名、身份证号）</w:t>
      </w:r>
      <w:r>
        <w:rPr>
          <w:rFonts w:hint="eastAsia" w:ascii="楷体" w:hAnsi="楷体" w:eastAsia="楷体" w:cs="楷体"/>
          <w:color w:val="auto"/>
          <w:sz w:val="28"/>
          <w:szCs w:val="28"/>
          <w:highlight w:val="none"/>
        </w:rPr>
        <w:t xml:space="preserve">为我方就</w:t>
      </w:r>
      <w:r>
        <w:rPr>
          <w:rFonts w:hint="eastAsia" w:ascii="楷体" w:hAnsi="楷体" w:eastAsia="楷体" w:cs="楷体"/>
          <w:b/>
          <w:color w:val="auto"/>
          <w:sz w:val="28"/>
          <w:szCs w:val="28"/>
          <w:highlight w:val="none"/>
          <w:u w:val="single"/>
        </w:rPr>
        <w:t xml:space="preserve">××××（代理机构）代理的××××（项目编号）</w:t>
      </w:r>
      <w:r>
        <w:rPr>
          <w:rFonts w:hint="eastAsia" w:ascii="楷体" w:hAnsi="楷体" w:eastAsia="楷体" w:cs="楷体"/>
          <w:bCs/>
          <w:color w:val="auto"/>
          <w:sz w:val="28"/>
          <w:szCs w:val="28"/>
          <w:highlight w:val="none"/>
        </w:rPr>
        <w:t xml:space="preserve">项目</w:t>
      </w:r>
      <w:r>
        <w:rPr>
          <w:rFonts w:hint="eastAsia" w:ascii="楷体" w:hAnsi="楷体" w:eastAsia="楷体" w:cs="楷体"/>
          <w:color w:val="auto"/>
          <w:sz w:val="28"/>
          <w:szCs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ab/>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本授权书于年月日签字生效，特此声明。</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委托代理人身份证号码：</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委托代理人联系电话：（手机）</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法定代表人签字或盖章：          </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投标人名称（公章）：</w:t>
      </w:r>
      <w:r/>
    </w:p>
    <w:p>
      <w:pPr>
        <w:ind w:firstLine="56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日     期：</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643"/>
        <w:spacing w:line="360" w:lineRule="auto"/>
        <w:rPr>
          <w:rFonts w:ascii="楷体" w:hAnsi="楷体" w:eastAsia="楷体" w:cs="楷体"/>
          <w:color w:val="auto"/>
          <w:sz w:val="28"/>
          <w:szCs w:val="28"/>
          <w:highlight w:val="none"/>
          <w:u w:val="single"/>
        </w:rPr>
      </w:pPr>
      <w:r>
        <w:rPr>
          <w:rFonts w:hint="eastAsia" w:ascii="楷体" w:hAnsi="楷体" w:eastAsia="楷体" w:cs="楷体"/>
          <w:b/>
          <w:color w:val="auto"/>
          <w:sz w:val="28"/>
          <w:szCs w:val="28"/>
          <w:highlight w:val="none"/>
        </w:rPr>
        <w:t xml:space="preserve">附：委托代理人居民身份证复印件</w:t>
      </w:r>
      <w:r/>
    </w:p>
    <w:p>
      <w:pPr>
        <w:pStyle w:val="897"/>
        <w:ind w:left="0"/>
        <w:spacing w:before="0" w:line="360" w:lineRule="auto"/>
        <w:tabs>
          <w:tab w:val="left" w:pos="10560" w:leader="none"/>
        </w:tabs>
        <w:rPr>
          <w:rFonts w:ascii="楷体" w:hAnsi="楷体" w:eastAsia="楷体" w:cs="楷体"/>
          <w:color w:val="auto"/>
          <w:sz w:val="28"/>
          <w:szCs w:val="28"/>
          <w:highlight w:val="none"/>
        </w:rPr>
      </w:pPr>
      <w:r>
        <w:rPr>
          <w:rFonts w:hint="eastAsia" w:ascii="楷体" w:hAnsi="楷体" w:eastAsia="楷体" w:cs="楷体"/>
          <w:b/>
          <w:bCs/>
          <w:color w:val="auto"/>
          <w:sz w:val="28"/>
          <w:szCs w:val="28"/>
          <w:highlight w:val="none"/>
          <w:u w:val="single"/>
        </w:rPr>
        <w:t xml:space="preserve">注：</w:t>
      </w:r>
      <w:r>
        <w:rPr>
          <w:rFonts w:hint="eastAsia" w:ascii="楷体" w:hAnsi="楷体" w:eastAsia="楷体" w:cs="楷体"/>
          <w:color w:val="auto"/>
          <w:sz w:val="28"/>
          <w:szCs w:val="28"/>
          <w:highlight w:val="none"/>
          <w:u w:val="single"/>
        </w:rPr>
        <w:t xml:space="preserve">“法定代表人”授权其他人（必须为投标人正式员工，证明材料：近半年内</w:t>
      </w:r>
      <w:r>
        <w:rPr>
          <w:rFonts w:hint="eastAsia" w:ascii="楷体" w:hAnsi="楷体" w:eastAsia="楷体" w:cs="楷体"/>
          <w:color w:val="auto"/>
          <w:sz w:val="28"/>
          <w:szCs w:val="28"/>
          <w:highlight w:val="none"/>
          <w:u w:val="single"/>
          <w:lang w:val="en-US"/>
        </w:rPr>
        <w:t xml:space="preserve">任意</w:t>
      </w:r>
      <w:r>
        <w:rPr>
          <w:rFonts w:hint="eastAsia" w:ascii="楷体" w:hAnsi="楷体" w:eastAsia="楷体" w:cs="楷体"/>
          <w:color w:val="auto"/>
          <w:sz w:val="28"/>
          <w:szCs w:val="28"/>
          <w:highlight w:val="none"/>
          <w:u w:val="single"/>
        </w:rPr>
        <w:t xml:space="preserve">一个月社会保险缴纳材料附后）投标的，须填写法定代表人身份证明书和本委托书</w:t>
      </w:r>
      <w:r>
        <w:rPr>
          <w:rFonts w:hint="eastAsia" w:ascii="楷体" w:hAnsi="楷体" w:eastAsia="楷体" w:cs="楷体"/>
          <w:color w:val="auto"/>
          <w:sz w:val="28"/>
          <w:szCs w:val="28"/>
          <w:highlight w:val="none"/>
        </w:rPr>
        <w:t xml:space="preserve">。</w:t>
      </w:r>
      <w:r/>
    </w:p>
    <w:p>
      <w:pPr>
        <w:pStyle w:val="897"/>
        <w:ind w:left="0"/>
        <w:jc w:val="center"/>
        <w:spacing w:before="0" w:line="360" w:lineRule="auto"/>
        <w:tabs>
          <w:tab w:val="left" w:pos="10560" w:leader="none"/>
        </w:tabs>
        <w:rPr>
          <w:rFonts w:ascii="楷体" w:hAnsi="楷体" w:eastAsia="楷体" w:cs="楷体"/>
          <w:color w:val="auto"/>
          <w:sz w:val="32"/>
          <w:szCs w:val="32"/>
          <w:highlight w:val="none"/>
          <w:shd w:val="clear" w:color="auto" w:fill="ffffff"/>
          <w:lang w:val="en-US"/>
        </w:rPr>
      </w:pPr>
      <w:r>
        <w:rPr>
          <w:rFonts w:ascii="楷体" w:hAnsi="楷体" w:eastAsia="楷体" w:cs="楷体"/>
          <w:color w:val="auto"/>
          <w:sz w:val="32"/>
          <w:szCs w:val="32"/>
          <w:highlight w:val="none"/>
          <w:shd w:val="clear" w:color="auto" w:fill="ffffff"/>
          <w:lang w:val="en-US"/>
        </w:rPr>
      </w:r>
      <w:r/>
    </w:p>
    <w:p>
      <w:pPr>
        <w:pStyle w:val="897"/>
        <w:ind w:left="0"/>
        <w:jc w:val="center"/>
        <w:spacing w:before="0" w:line="360" w:lineRule="auto"/>
        <w:tabs>
          <w:tab w:val="left" w:pos="10560" w:leader="none"/>
        </w:tabs>
        <w:rPr>
          <w:rFonts w:ascii="楷体" w:hAnsi="楷体" w:eastAsia="楷体" w:cs="楷体"/>
          <w:color w:val="auto"/>
          <w:sz w:val="32"/>
          <w:szCs w:val="32"/>
          <w:highlight w:val="none"/>
          <w:shd w:val="clear" w:color="auto" w:fill="ffffff"/>
          <w:lang w:val="en-US"/>
        </w:rPr>
      </w:pPr>
      <w:r>
        <w:rPr>
          <w:rFonts w:ascii="楷体" w:hAnsi="楷体" w:eastAsia="楷体" w:cs="楷体"/>
          <w:color w:val="auto"/>
          <w:sz w:val="32"/>
          <w:szCs w:val="32"/>
          <w:highlight w:val="none"/>
          <w:shd w:val="clear" w:color="auto" w:fill="ffffff"/>
          <w:lang w:val="en-US"/>
        </w:rPr>
      </w:r>
      <w:r/>
    </w:p>
    <w:p>
      <w:pPr>
        <w:pStyle w:val="897"/>
        <w:ind w:left="0"/>
        <w:jc w:val="center"/>
        <w:spacing w:before="0" w:line="360" w:lineRule="auto"/>
        <w:tabs>
          <w:tab w:val="left" w:pos="10560" w:leader="none"/>
        </w:tabs>
        <w:rPr>
          <w:rFonts w:ascii="楷体" w:hAnsi="楷体" w:eastAsia="楷体" w:cs="楷体"/>
          <w:color w:val="auto"/>
          <w:sz w:val="32"/>
          <w:szCs w:val="32"/>
          <w:highlight w:val="none"/>
          <w:shd w:val="clear" w:color="auto" w:fill="ffffff"/>
          <w:lang w:val="en-US"/>
        </w:rPr>
      </w:pPr>
      <w:r>
        <w:rPr>
          <w:rFonts w:ascii="楷体" w:hAnsi="楷体" w:eastAsia="楷体" w:cs="楷体"/>
          <w:color w:val="auto"/>
          <w:sz w:val="32"/>
          <w:szCs w:val="32"/>
          <w:highlight w:val="none"/>
          <w:shd w:val="clear" w:color="auto" w:fill="ffffff"/>
          <w:lang w:val="en-US"/>
        </w:rPr>
      </w:r>
      <w:r/>
    </w:p>
    <w:p>
      <w:pPr>
        <w:pStyle w:val="897"/>
        <w:ind w:left="0"/>
        <w:jc w:val="center"/>
        <w:spacing w:before="0" w:line="360" w:lineRule="auto"/>
        <w:tabs>
          <w:tab w:val="left" w:pos="10560" w:leader="none"/>
        </w:tabs>
        <w:rPr>
          <w:rFonts w:ascii="楷体" w:hAnsi="楷体" w:eastAsia="楷体" w:cs="楷体"/>
          <w:color w:val="auto"/>
          <w:sz w:val="32"/>
          <w:szCs w:val="32"/>
          <w:highlight w:val="none"/>
          <w:shd w:val="clear" w:color="auto" w:fill="ffffff"/>
          <w:lang w:val="en-US"/>
        </w:rPr>
      </w:pPr>
      <w:r>
        <w:rPr>
          <w:rFonts w:ascii="楷体" w:hAnsi="楷体" w:eastAsia="楷体" w:cs="楷体"/>
          <w:color w:val="auto"/>
          <w:sz w:val="32"/>
          <w:szCs w:val="32"/>
          <w:highlight w:val="none"/>
          <w:shd w:val="clear" w:color="auto" w:fill="ffffff"/>
          <w:lang w:val="en-US"/>
        </w:rPr>
      </w:r>
      <w:r/>
    </w:p>
    <w:p>
      <w:pPr>
        <w:pStyle w:val="897"/>
        <w:ind w:left="0"/>
        <w:jc w:val="center"/>
        <w:spacing w:before="0" w:line="360" w:lineRule="auto"/>
        <w:tabs>
          <w:tab w:val="left" w:pos="10560" w:leader="none"/>
        </w:tabs>
        <w:rPr>
          <w:rFonts w:ascii="楷体" w:hAnsi="楷体" w:eastAsia="楷体" w:cs="楷体"/>
          <w:color w:val="auto"/>
          <w:sz w:val="32"/>
          <w:szCs w:val="32"/>
          <w:highlight w:val="none"/>
          <w:shd w:val="clear" w:color="auto" w:fill="ffffff"/>
          <w:lang w:val="en-US"/>
        </w:rPr>
      </w:pPr>
      <w:r>
        <w:rPr>
          <w:rFonts w:ascii="楷体" w:hAnsi="楷体" w:eastAsia="楷体" w:cs="楷体"/>
          <w:color w:val="auto"/>
          <w:sz w:val="32"/>
          <w:szCs w:val="32"/>
          <w:highlight w:val="none"/>
          <w:shd w:val="clear" w:color="auto" w:fill="ffffff"/>
          <w:lang w:val="en-US"/>
        </w:rPr>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四、价格部分</w:t>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开标一览表</w:t>
      </w:r>
      <w:r/>
    </w:p>
    <w:tbl>
      <w:tblPr>
        <w:tblStyle w:val="854"/>
        <w:tblW w:w="9245" w:type="dxa"/>
        <w:jc w:val="center"/>
        <w:tblLayout w:type="fixed"/>
        <w:tblCellMar>
          <w:left w:w="108" w:type="dxa"/>
          <w:top w:w="0" w:type="dxa"/>
          <w:right w:w="108" w:type="dxa"/>
          <w:bottom w:w="0" w:type="dxa"/>
        </w:tblCellMar>
        <w:tblLook w:val="04A0" w:firstRow="1" w:lastRow="0" w:firstColumn="1" w:lastColumn="0" w:noHBand="0" w:noVBand="1"/>
      </w:tblPr>
      <w:tblGrid>
        <w:gridCol w:w="2156"/>
        <w:gridCol w:w="7089"/>
      </w:tblGrid>
      <w:tr>
        <w:trPr>
          <w:jc w:val="center"/>
          <w:trHeight w:val="759"/>
        </w:trPr>
        <w:tc>
          <w:tcPr>
            <w:gridSpan w:val="2"/>
            <w:tcBorders>
              <w:top w:val="none" w:color="000000" w:sz="4" w:space="0"/>
              <w:left w:val="none" w:color="000000" w:sz="4" w:space="0"/>
              <w:bottom w:val="single" w:color="auto" w:sz="4" w:space="0"/>
              <w:right w:val="none" w:color="000000" w:sz="4" w:space="0"/>
            </w:tcBorders>
            <w:tcW w:w="9245" w:type="dxa"/>
            <w:vAlign w:val="center"/>
            <w:textDirection w:val="lrTb"/>
            <w:noWrap w:val="false"/>
          </w:tcPr>
          <w:p>
            <w:pPr>
              <w:spacing w:line="360" w:lineRule="auto"/>
              <w:tabs>
                <w:tab w:val="left" w:pos="2185" w:leader="none"/>
              </w:tabs>
              <w:rPr>
                <w:rFonts w:ascii="楷体" w:hAnsi="楷体" w:eastAsia="楷体" w:cs="宋体"/>
                <w:color w:val="auto"/>
                <w:sz w:val="28"/>
                <w:szCs w:val="28"/>
                <w:highlight w:val="none"/>
              </w:rPr>
            </w:pPr>
            <w:r>
              <w:rPr>
                <w:rFonts w:hint="eastAsia" w:ascii="楷体" w:hAnsi="楷体" w:eastAsia="楷体" w:cs="宋体"/>
                <w:color w:val="auto"/>
                <w:sz w:val="28"/>
                <w:szCs w:val="28"/>
                <w:highlight w:val="none"/>
              </w:rPr>
              <w:t xml:space="preserve">单位名称（公章）：</w:t>
            </w:r>
            <w:r>
              <w:rPr>
                <w:rFonts w:hint="eastAsia" w:hAnsi="宋体"/>
                <w:b/>
                <w:color w:val="auto"/>
                <w:sz w:val="28"/>
                <w:szCs w:val="28"/>
                <w:highlight w:val="none"/>
                <w:u w:val="single"/>
              </w:rPr>
              <w:t xml:space="preserve">××××</w:t>
            </w:r>
            <w:r/>
          </w:p>
        </w:tc>
      </w:tr>
      <w:tr>
        <w:trPr>
          <w:jc w:val="center"/>
          <w:trHeight w:val="1289"/>
        </w:trPr>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both"/>
              <w:spacing w:line="360" w:lineRule="auto"/>
              <w:widowControl/>
              <w:rPr>
                <w:rFonts w:ascii="楷体" w:hAnsi="楷体" w:eastAsia="楷体" w:cs="宋体"/>
                <w:color w:val="auto"/>
                <w:sz w:val="28"/>
                <w:szCs w:val="28"/>
                <w:highlight w:val="none"/>
              </w:rPr>
            </w:pPr>
            <w:r>
              <w:rPr>
                <w:rFonts w:hint="eastAsia" w:ascii="楷体" w:hAnsi="楷体" w:eastAsia="楷体" w:cs="宋体"/>
                <w:color w:val="auto"/>
                <w:sz w:val="28"/>
                <w:szCs w:val="28"/>
                <w:highlight w:val="none"/>
              </w:rPr>
              <w:t xml:space="preserve">项目总报价</w:t>
            </w:r>
            <w:r/>
          </w:p>
        </w:tc>
        <w:tc>
          <w:tcPr>
            <w:tcBorders>
              <w:top w:val="single" w:color="auto" w:sz="4" w:space="0"/>
              <w:left w:val="single" w:color="auto" w:sz="4" w:space="0"/>
              <w:bottom w:val="single" w:color="auto" w:sz="4" w:space="0"/>
              <w:right w:val="single" w:color="auto" w:sz="4" w:space="0"/>
            </w:tcBorders>
            <w:tcW w:w="7089" w:type="dxa"/>
            <w:vAlign w:val="center"/>
            <w:textDirection w:val="lrTb"/>
            <w:noWrap w:val="false"/>
          </w:tcPr>
          <w:p>
            <w:pPr>
              <w:ind w:firstLine="560"/>
              <w:spacing w:line="360" w:lineRule="auto"/>
              <w:widowControl/>
              <w:rPr>
                <w:rFonts w:ascii="楷体" w:hAnsi="楷体" w:eastAsia="楷体" w:cs="宋体"/>
                <w:color w:val="auto"/>
                <w:sz w:val="28"/>
                <w:szCs w:val="28"/>
                <w:highlight w:val="none"/>
              </w:rPr>
            </w:pPr>
            <w:r>
              <w:rPr>
                <w:rFonts w:hint="eastAsia" w:ascii="楷体" w:hAnsi="楷体" w:eastAsia="楷体" w:cs="宋体"/>
                <w:color w:val="auto"/>
                <w:sz w:val="28"/>
                <w:szCs w:val="28"/>
                <w:highlight w:val="none"/>
              </w:rPr>
              <w:t xml:space="preserve">金额（大写）：</w:t>
            </w:r>
            <w:r>
              <w:rPr>
                <w:rFonts w:hint="eastAsia" w:hAnsi="宋体"/>
                <w:b/>
                <w:color w:val="auto"/>
                <w:sz w:val="28"/>
                <w:szCs w:val="28"/>
                <w:highlight w:val="none"/>
                <w:u w:val="single"/>
              </w:rPr>
              <w:t xml:space="preserve">××××</w:t>
            </w:r>
            <w:r>
              <w:rPr>
                <w:rFonts w:hint="eastAsia" w:ascii="楷体" w:hAnsi="楷体" w:eastAsia="楷体" w:cs="宋体"/>
                <w:color w:val="auto"/>
                <w:sz w:val="28"/>
                <w:szCs w:val="28"/>
                <w:highlight w:val="none"/>
              </w:rPr>
              <w:t xml:space="preserve">元人民币                </w:t>
            </w:r>
            <w:r/>
          </w:p>
          <w:p>
            <w:pPr>
              <w:ind w:firstLine="560"/>
              <w:spacing w:line="360" w:lineRule="auto"/>
              <w:tabs>
                <w:tab w:val="left" w:pos="2185" w:leader="none"/>
              </w:tabs>
              <w:rPr>
                <w:rFonts w:ascii="楷体" w:hAnsi="楷体" w:eastAsia="楷体" w:cs="宋体"/>
                <w:color w:val="auto"/>
                <w:sz w:val="28"/>
                <w:szCs w:val="28"/>
                <w:highlight w:val="none"/>
              </w:rPr>
            </w:pPr>
            <w:r>
              <w:rPr>
                <w:rFonts w:hint="eastAsia" w:ascii="楷体" w:hAnsi="楷体" w:eastAsia="楷体" w:cs="宋体"/>
                <w:color w:val="auto"/>
                <w:sz w:val="28"/>
                <w:szCs w:val="28"/>
                <w:highlight w:val="none"/>
              </w:rPr>
              <w:tab/>
            </w:r>
            <w:r>
              <w:rPr>
                <w:rFonts w:hint="eastAsia" w:hAnsi="宋体" w:eastAsia="楷体" w:cs="宋体"/>
                <w:color w:val="auto"/>
                <w:sz w:val="28"/>
                <w:szCs w:val="28"/>
                <w:highlight w:val="none"/>
              </w:rPr>
              <w:t xml:space="preserve">¥</w:t>
            </w:r>
            <w:r>
              <w:rPr>
                <w:rFonts w:hint="eastAsia" w:ascii="楷体" w:hAnsi="楷体" w:eastAsia="楷体" w:cs="宋体"/>
                <w:color w:val="auto"/>
                <w:sz w:val="28"/>
                <w:szCs w:val="28"/>
                <w:highlight w:val="none"/>
              </w:rPr>
              <w:t xml:space="preserve">：</w:t>
            </w:r>
            <w:r>
              <w:rPr>
                <w:rFonts w:hint="eastAsia" w:hAnsi="宋体"/>
                <w:b/>
                <w:color w:val="auto"/>
                <w:sz w:val="28"/>
                <w:szCs w:val="28"/>
                <w:highlight w:val="none"/>
                <w:u w:val="single"/>
              </w:rPr>
              <w:t xml:space="preserve">××××××××</w:t>
            </w:r>
            <w:r>
              <w:rPr>
                <w:rFonts w:hint="eastAsia" w:ascii="楷体" w:hAnsi="楷体" w:eastAsia="楷体" w:cs="宋体"/>
                <w:color w:val="auto"/>
                <w:sz w:val="28"/>
                <w:szCs w:val="28"/>
                <w:highlight w:val="none"/>
              </w:rPr>
              <w:t xml:space="preserve">元 </w:t>
            </w:r>
            <w:r/>
          </w:p>
        </w:tc>
      </w:tr>
      <w:tr>
        <w:trPr>
          <w:jc w:val="center"/>
          <w:trHeight w:val="691"/>
        </w:trPr>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both"/>
              <w:spacing w:line="360" w:lineRule="auto"/>
              <w:widowControl/>
              <w:rPr>
                <w:rFonts w:ascii="楷体" w:hAnsi="楷体" w:eastAsia="楷体" w:cs="宋体"/>
                <w:color w:val="auto"/>
                <w:sz w:val="28"/>
                <w:szCs w:val="28"/>
                <w:highlight w:val="none"/>
              </w:rPr>
            </w:pPr>
            <w:r>
              <w:rPr>
                <w:rFonts w:hint="eastAsia" w:ascii="楷体" w:hAnsi="楷体" w:eastAsia="楷体" w:cs="宋体"/>
                <w:color w:val="auto"/>
                <w:sz w:val="28"/>
                <w:szCs w:val="28"/>
                <w:highlight w:val="none"/>
              </w:rPr>
              <w:t xml:space="preserve">服务期</w:t>
            </w:r>
            <w:r/>
          </w:p>
        </w:tc>
        <w:tc>
          <w:tcPr>
            <w:tcBorders>
              <w:top w:val="single" w:color="auto" w:sz="4" w:space="0"/>
              <w:left w:val="none" w:color="000000" w:sz="4" w:space="0"/>
              <w:bottom w:val="single" w:color="auto" w:sz="4" w:space="0"/>
              <w:right w:val="single" w:color="auto" w:sz="4" w:space="0"/>
            </w:tcBorders>
            <w:tcW w:w="7089" w:type="dxa"/>
            <w:vAlign w:val="center"/>
            <w:textDirection w:val="lrTb"/>
            <w:noWrap w:val="false"/>
          </w:tcPr>
          <w:p>
            <w:pPr>
              <w:ind w:firstLine="560"/>
              <w:spacing w:line="360" w:lineRule="auto"/>
              <w:widowControl/>
              <w:rPr>
                <w:rFonts w:ascii="楷体" w:hAnsi="楷体" w:eastAsia="楷体" w:cs="宋体"/>
                <w:color w:val="auto"/>
                <w:sz w:val="28"/>
                <w:szCs w:val="28"/>
                <w:highlight w:val="none"/>
              </w:rPr>
            </w:pPr>
            <w:r>
              <w:rPr>
                <w:rFonts w:ascii="楷体" w:hAnsi="楷体" w:eastAsia="楷体" w:cs="宋体"/>
                <w:color w:val="auto"/>
                <w:sz w:val="28"/>
                <w:szCs w:val="28"/>
                <w:highlight w:val="none"/>
              </w:rPr>
            </w:r>
            <w:r/>
          </w:p>
        </w:tc>
      </w:tr>
    </w:tbl>
    <w:p>
      <w:pPr>
        <w:jc w:val="both"/>
        <w:spacing w:line="360" w:lineRule="auto"/>
        <w:widowControl/>
        <w:rPr>
          <w:rFonts w:ascii="楷体" w:hAnsi="楷体" w:eastAsia="楷体" w:cs="宋体"/>
          <w:color w:val="auto"/>
          <w:sz w:val="28"/>
          <w:szCs w:val="28"/>
          <w:highlight w:val="none"/>
          <w:lang w:val="en-US"/>
        </w:rPr>
      </w:pPr>
      <w:r>
        <w:rPr>
          <w:rFonts w:ascii="楷体" w:hAnsi="楷体" w:eastAsia="楷体" w:cs="宋体"/>
          <w:color w:val="auto"/>
          <w:sz w:val="28"/>
          <w:szCs w:val="28"/>
          <w:highlight w:val="none"/>
          <w:lang w:val="en-US"/>
        </w:rPr>
      </w:r>
      <w:r/>
    </w:p>
    <w:p>
      <w:pPr>
        <w:jc w:val="both"/>
        <w:spacing w:line="360" w:lineRule="auto"/>
        <w:widowControl/>
        <w:rPr>
          <w:rFonts w:ascii="楷体" w:hAnsi="楷体" w:eastAsia="楷体" w:cs="宋体"/>
          <w:color w:val="auto"/>
          <w:sz w:val="24"/>
          <w:szCs w:val="24"/>
          <w:highlight w:val="none"/>
          <w:lang w:val="en-US"/>
        </w:rPr>
      </w:pPr>
      <w:r>
        <w:rPr>
          <w:rFonts w:hint="eastAsia" w:ascii="楷体" w:hAnsi="楷体" w:eastAsia="楷体" w:cs="宋体"/>
          <w:color w:val="auto"/>
          <w:sz w:val="24"/>
          <w:szCs w:val="24"/>
          <w:highlight w:val="none"/>
          <w:lang w:val="en-US"/>
        </w:rPr>
        <w:t xml:space="preserve">注： 1.“项目总报价”包括本次招标要求提供的货物（服务）已支付或将支付的所有费用；</w:t>
      </w:r>
      <w:r/>
    </w:p>
    <w:p>
      <w:pPr>
        <w:jc w:val="both"/>
        <w:spacing w:line="360" w:lineRule="auto"/>
        <w:widowControl/>
        <w:rPr>
          <w:rFonts w:ascii="楷体" w:hAnsi="楷体" w:eastAsia="楷体" w:cs="宋体"/>
          <w:color w:val="auto"/>
          <w:sz w:val="24"/>
          <w:szCs w:val="24"/>
          <w:highlight w:val="none"/>
          <w:lang w:val="en-US"/>
        </w:rPr>
      </w:pPr>
      <w:r>
        <w:rPr>
          <w:rFonts w:hint="eastAsia" w:ascii="楷体" w:hAnsi="楷体" w:eastAsia="楷体" w:cs="宋体"/>
          <w:color w:val="auto"/>
          <w:sz w:val="24"/>
          <w:szCs w:val="24"/>
          <w:highlight w:val="none"/>
          <w:lang w:val="en-US"/>
        </w:rPr>
        <w:t xml:space="preserve">2.投标人必须据实填写此表，报价所含与招标文件要求的内容一致；</w:t>
      </w:r>
      <w:r/>
    </w:p>
    <w:p>
      <w:pPr>
        <w:jc w:val="both"/>
        <w:spacing w:line="360" w:lineRule="auto"/>
        <w:widowControl/>
        <w:rPr>
          <w:rFonts w:ascii="楷体" w:hAnsi="楷体" w:eastAsia="楷体" w:cs="宋体"/>
          <w:color w:val="auto"/>
          <w:sz w:val="24"/>
          <w:szCs w:val="24"/>
          <w:highlight w:val="none"/>
          <w:lang w:val="en-US"/>
        </w:rPr>
      </w:pPr>
      <w:r>
        <w:rPr>
          <w:rFonts w:hint="eastAsia" w:ascii="楷体" w:hAnsi="楷体" w:eastAsia="楷体" w:cs="宋体"/>
          <w:color w:val="auto"/>
          <w:sz w:val="24"/>
          <w:szCs w:val="24"/>
          <w:highlight w:val="none"/>
          <w:lang w:val="en-US"/>
        </w:rPr>
        <w:t xml:space="preserve">3.报价保留至小数点后两位，四舍五入。</w:t>
      </w:r>
      <w:r/>
    </w:p>
    <w:p>
      <w:pPr>
        <w:jc w:val="both"/>
        <w:spacing w:line="360" w:lineRule="auto"/>
        <w:widowControl/>
        <w:rPr>
          <w:rFonts w:ascii="楷体" w:hAnsi="楷体" w:eastAsia="楷体" w:cs="宋体"/>
          <w:color w:val="auto"/>
          <w:sz w:val="28"/>
          <w:szCs w:val="28"/>
          <w:highlight w:val="none"/>
          <w:lang w:val="en-US"/>
        </w:rPr>
      </w:pPr>
      <w:r>
        <w:rPr>
          <w:rFonts w:ascii="楷体" w:hAnsi="楷体" w:eastAsia="楷体" w:cs="宋体"/>
          <w:color w:val="auto"/>
          <w:sz w:val="28"/>
          <w:szCs w:val="28"/>
          <w:highlight w:val="none"/>
          <w:lang w:val="en-US"/>
        </w:rPr>
      </w:r>
      <w:r/>
    </w:p>
    <w:p>
      <w:pPr>
        <w:jc w:val="both"/>
        <w:spacing w:line="360" w:lineRule="auto"/>
        <w:widowControl/>
        <w:rPr>
          <w:rFonts w:ascii="楷体" w:hAnsi="楷体" w:eastAsia="楷体" w:cs="宋体"/>
          <w:color w:val="auto"/>
          <w:sz w:val="28"/>
          <w:szCs w:val="28"/>
          <w:highlight w:val="none"/>
          <w:lang w:val="en-US"/>
        </w:rPr>
      </w:pPr>
      <w:r>
        <w:rPr>
          <w:rFonts w:hint="eastAsia" w:ascii="楷体" w:hAnsi="楷体" w:eastAsia="楷体" w:cs="宋体"/>
          <w:color w:val="auto"/>
          <w:sz w:val="28"/>
          <w:szCs w:val="28"/>
          <w:highlight w:val="none"/>
          <w:lang w:val="en-US"/>
        </w:rPr>
        <w:t xml:space="preserve">法定代表人签字或盖章：</w:t>
      </w:r>
      <w:r/>
    </w:p>
    <w:p>
      <w:pPr>
        <w:jc w:val="right"/>
        <w:spacing w:line="360" w:lineRule="auto"/>
        <w:widowControl/>
        <w:rPr>
          <w:rFonts w:ascii="楷体" w:hAnsi="楷体" w:eastAsia="楷体" w:cs="宋体"/>
          <w:color w:val="auto"/>
          <w:sz w:val="28"/>
          <w:szCs w:val="28"/>
          <w:highlight w:val="none"/>
          <w:lang w:val="en-US"/>
        </w:rPr>
      </w:pPr>
      <w:r>
        <w:rPr>
          <w:rFonts w:hint="eastAsia" w:ascii="楷体" w:hAnsi="楷体" w:eastAsia="楷体" w:cs="宋体"/>
          <w:color w:val="auto"/>
          <w:sz w:val="28"/>
          <w:szCs w:val="28"/>
          <w:highlight w:val="none"/>
          <w:lang w:val="en-US"/>
        </w:rPr>
        <w:t xml:space="preserve">日期：     年    月    日</w:t>
      </w:r>
      <w:r/>
    </w:p>
    <w:p>
      <w:pPr>
        <w:spacing w:line="360" w:lineRule="auto"/>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br w:type="page" w:clear="all"/>
      </w:r>
      <w:r/>
    </w:p>
    <w:p>
      <w:pPr>
        <w:pStyle w:val="856"/>
        <w:ind w:firstLine="2530"/>
        <w:jc w:val="both"/>
        <w:spacing w:line="360" w:lineRule="auto"/>
        <w:rPr>
          <w:rFonts w:ascii="楷体" w:hAnsi="楷体" w:eastAsia="楷体" w:cs="楷体"/>
          <w:color w:val="auto"/>
          <w:sz w:val="36"/>
          <w:szCs w:val="36"/>
          <w:highlight w:val="none"/>
        </w:rPr>
      </w:pPr>
      <w:r>
        <w:rPr>
          <w:rFonts w:hint="eastAsia" w:ascii="楷体" w:hAnsi="楷体" w:eastAsia="楷体" w:cs="楷体"/>
          <w:b/>
          <w:color w:val="auto"/>
          <w:sz w:val="36"/>
          <w:szCs w:val="36"/>
          <w:highlight w:val="none"/>
        </w:rPr>
        <w:t xml:space="preserve">五、技术部分（与评分标准对应）</w:t>
      </w:r>
      <w:r/>
    </w:p>
    <w:p>
      <w:pPr>
        <w:pStyle w:val="858"/>
        <w:jc w:val="center"/>
        <w:spacing w:line="360" w:lineRule="auto"/>
        <w:tabs>
          <w:tab w:val="left" w:pos="3402" w:leader="none"/>
        </w:tabs>
        <w:rPr>
          <w:rFonts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采购需求偏离表</w:t>
      </w:r>
      <w:r/>
    </w:p>
    <w:tbl>
      <w:tblPr>
        <w:tblStyle w:val="1130"/>
        <w:tblW w:w="93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87"/>
        <w:gridCol w:w="3435"/>
        <w:gridCol w:w="1673"/>
        <w:gridCol w:w="2844"/>
      </w:tblGrid>
      <w:tr>
        <w:trPr>
          <w:jc w:val="center"/>
          <w:trHeight w:val="662"/>
        </w:trPr>
        <w:tc>
          <w:tcPr>
            <w:tcBorders>
              <w:top w:val="single" w:color="000000" w:sz="2" w:space="0"/>
              <w:bottom w:val="single" w:color="000000" w:sz="2" w:space="0"/>
            </w:tcBorders>
            <w:tcW w:w="1387" w:type="dxa"/>
            <w:textDirection w:val="lrTb"/>
            <w:noWrap/>
          </w:tcPr>
          <w:p>
            <w:pPr>
              <w:ind w:left="283"/>
              <w:jc w:val="center"/>
              <w:spacing w:before="208" w:line="360" w:lineRule="auto"/>
              <w:rPr>
                <w:rFonts w:ascii="楷体" w:hAnsi="楷体" w:eastAsia="楷体" w:cs="楷体"/>
                <w:color w:val="auto"/>
                <w:sz w:val="28"/>
                <w:szCs w:val="28"/>
                <w:highlight w:val="none"/>
              </w:rPr>
            </w:pPr>
            <w:r>
              <w:rPr>
                <w:rFonts w:hint="eastAsia" w:ascii="楷体" w:hAnsi="楷体" w:eastAsia="楷体" w:cs="楷体"/>
                <w:color w:val="auto"/>
                <w:spacing w:val="11"/>
                <w:sz w:val="28"/>
                <w:szCs w:val="28"/>
                <w:highlight w:val="none"/>
              </w:rPr>
              <w:t xml:space="preserve">项</w:t>
            </w:r>
            <w:r>
              <w:rPr>
                <w:rFonts w:hint="eastAsia" w:ascii="楷体" w:hAnsi="楷体" w:eastAsia="楷体" w:cs="楷体"/>
                <w:color w:val="auto"/>
                <w:spacing w:val="8"/>
                <w:sz w:val="28"/>
                <w:szCs w:val="28"/>
                <w:highlight w:val="none"/>
              </w:rPr>
              <w:t xml:space="preserve">   目</w:t>
            </w:r>
            <w:r/>
          </w:p>
        </w:tc>
        <w:tc>
          <w:tcPr>
            <w:tcBorders>
              <w:top w:val="single" w:color="000000" w:sz="2" w:space="0"/>
              <w:bottom w:val="single" w:color="000000" w:sz="2" w:space="0"/>
            </w:tcBorders>
            <w:tcW w:w="3435" w:type="dxa"/>
            <w:textDirection w:val="lrTb"/>
            <w:noWrap/>
          </w:tcPr>
          <w:p>
            <w:pPr>
              <w:jc w:val="center"/>
              <w:spacing w:before="208"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招标文件要</w:t>
            </w:r>
            <w:r>
              <w:rPr>
                <w:rFonts w:hint="eastAsia" w:ascii="楷体" w:hAnsi="楷体" w:eastAsia="楷体" w:cs="楷体"/>
                <w:color w:val="auto"/>
                <w:sz w:val="28"/>
                <w:szCs w:val="28"/>
                <w:highlight w:val="none"/>
              </w:rPr>
              <w:t xml:space="preserve">求</w:t>
            </w:r>
            <w:r/>
          </w:p>
        </w:tc>
        <w:tc>
          <w:tcPr>
            <w:tcBorders>
              <w:top w:val="single" w:color="000000" w:sz="2" w:space="0"/>
              <w:bottom w:val="single" w:color="000000" w:sz="2" w:space="0"/>
            </w:tcBorders>
            <w:tcW w:w="1673" w:type="dxa"/>
            <w:textDirection w:val="lrTb"/>
            <w:noWrap/>
          </w:tcPr>
          <w:p>
            <w:pPr>
              <w:ind w:left="192"/>
              <w:jc w:val="center"/>
              <w:spacing w:before="208" w:line="360" w:lineRule="auto"/>
              <w:rPr>
                <w:rFonts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符合或</w:t>
            </w:r>
            <w:r>
              <w:rPr>
                <w:rFonts w:hint="eastAsia" w:ascii="楷体" w:hAnsi="楷体" w:eastAsia="楷体" w:cs="楷体"/>
                <w:color w:val="auto"/>
                <w:spacing w:val="-1"/>
                <w:sz w:val="28"/>
                <w:szCs w:val="28"/>
                <w:highlight w:val="none"/>
              </w:rPr>
              <w:t xml:space="preserve">偏离</w:t>
            </w:r>
            <w:r/>
          </w:p>
        </w:tc>
        <w:tc>
          <w:tcPr>
            <w:tcBorders>
              <w:top w:val="single" w:color="000000" w:sz="2" w:space="0"/>
              <w:bottom w:val="single" w:color="000000" w:sz="2" w:space="0"/>
            </w:tcBorders>
            <w:tcW w:w="2844" w:type="dxa"/>
            <w:textDirection w:val="lrTb"/>
            <w:noWrap/>
          </w:tcPr>
          <w:p>
            <w:pPr>
              <w:jc w:val="center"/>
              <w:spacing w:before="209"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投标人实际响</w:t>
            </w:r>
            <w:r>
              <w:rPr>
                <w:rFonts w:hint="eastAsia" w:ascii="楷体" w:hAnsi="楷体" w:eastAsia="楷体" w:cs="楷体"/>
                <w:color w:val="auto"/>
                <w:sz w:val="28"/>
                <w:szCs w:val="28"/>
                <w:highlight w:val="none"/>
              </w:rPr>
              <w:t xml:space="preserve">应</w:t>
            </w:r>
            <w:r/>
          </w:p>
        </w:tc>
      </w:tr>
      <w:tr>
        <w:trPr>
          <w:jc w:val="center"/>
          <w:trHeight w:val="885"/>
        </w:trPr>
        <w:tc>
          <w:tcPr>
            <w:tcBorders>
              <w:top w:val="single" w:color="000000" w:sz="2" w:space="0"/>
              <w:bottom w:val="single" w:color="000000" w:sz="2" w:space="0"/>
            </w:tcBorders>
            <w:tcW w:w="1387"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3435"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1673"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2844"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787"/>
        </w:trPr>
        <w:tc>
          <w:tcPr>
            <w:tcBorders>
              <w:top w:val="single" w:color="000000" w:sz="2" w:space="0"/>
              <w:bottom w:val="single" w:color="000000" w:sz="2" w:space="0"/>
            </w:tcBorders>
            <w:tcW w:w="1387"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3435"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1673"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2844"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820"/>
        </w:trPr>
        <w:tc>
          <w:tcPr>
            <w:tcBorders>
              <w:top w:val="single" w:color="000000" w:sz="2" w:space="0"/>
              <w:bottom w:val="single" w:color="000000" w:sz="2" w:space="0"/>
            </w:tcBorders>
            <w:tcW w:w="1387"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3435"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1673"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2844"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700"/>
        </w:trPr>
        <w:tc>
          <w:tcPr>
            <w:tcBorders>
              <w:top w:val="single" w:color="000000" w:sz="2" w:space="0"/>
              <w:bottom w:val="single" w:color="000000" w:sz="2" w:space="0"/>
            </w:tcBorders>
            <w:tcW w:w="1387"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3435"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1673"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2844"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700"/>
        </w:trPr>
        <w:tc>
          <w:tcPr>
            <w:tcBorders>
              <w:top w:val="single" w:color="000000" w:sz="2" w:space="0"/>
              <w:bottom w:val="single" w:color="000000" w:sz="2" w:space="0"/>
            </w:tcBorders>
            <w:tcW w:w="1387"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3435"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1673"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2844"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700"/>
        </w:trPr>
        <w:tc>
          <w:tcPr>
            <w:tcBorders>
              <w:top w:val="single" w:color="000000" w:sz="2" w:space="0"/>
              <w:bottom w:val="single" w:color="000000" w:sz="2" w:space="0"/>
            </w:tcBorders>
            <w:tcW w:w="1387"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3435"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1673"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2844"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bl>
    <w:p>
      <w:pPr>
        <w:ind w:firstLine="253"/>
        <w:spacing w:line="360" w:lineRule="auto"/>
        <w:widowControl/>
        <w:rPr>
          <w:rFonts w:ascii="楷体" w:hAnsi="楷体" w:eastAsia="楷体" w:cs="楷体"/>
          <w:color w:val="auto"/>
          <w:spacing w:val="4"/>
          <w:sz w:val="28"/>
          <w:szCs w:val="28"/>
          <w:highlight w:val="none"/>
        </w:rPr>
      </w:pPr>
      <w:r>
        <w:rPr>
          <w:rFonts w:hint="eastAsia" w:ascii="楷体" w:hAnsi="楷体" w:eastAsia="楷体" w:cs="楷体"/>
          <w:color w:val="auto"/>
          <w:spacing w:val="4"/>
          <w:sz w:val="28"/>
          <w:szCs w:val="28"/>
          <w:highlight w:val="none"/>
        </w:rPr>
        <w:t xml:space="preserve">注：</w:t>
      </w:r>
      <w:r/>
    </w:p>
    <w:p>
      <w:pPr>
        <w:ind w:firstLine="253"/>
        <w:spacing w:line="360" w:lineRule="auto"/>
        <w:widowControl/>
        <w:rPr>
          <w:rFonts w:ascii="楷体" w:hAnsi="楷体" w:eastAsia="楷体" w:cs="楷体"/>
          <w:color w:val="auto"/>
          <w:spacing w:val="4"/>
          <w:sz w:val="28"/>
          <w:szCs w:val="28"/>
          <w:highlight w:val="none"/>
          <w:lang w:val="en-US"/>
        </w:rPr>
      </w:pP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4"/>
          <w:sz w:val="28"/>
          <w:szCs w:val="28"/>
          <w:highlight w:val="none"/>
          <w:lang w:val="en-US"/>
        </w:rPr>
        <w:t xml:space="preserve">1</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投标人</w:t>
      </w:r>
      <w:r>
        <w:rPr>
          <w:rFonts w:hint="eastAsia" w:ascii="楷体" w:hAnsi="楷体" w:eastAsia="楷体" w:cs="楷体"/>
          <w:color w:val="auto"/>
          <w:sz w:val="28"/>
          <w:szCs w:val="28"/>
          <w:highlight w:val="none"/>
          <w:lang w:val="en-US"/>
        </w:rPr>
        <w:t xml:space="preserve">需要</w:t>
      </w:r>
      <w:r>
        <w:rPr>
          <w:rFonts w:hint="eastAsia" w:ascii="楷体" w:hAnsi="楷体" w:eastAsia="楷体" w:cs="楷体"/>
          <w:color w:val="auto"/>
          <w:sz w:val="28"/>
          <w:szCs w:val="28"/>
          <w:highlight w:val="none"/>
        </w:rPr>
        <w:t xml:space="preserve">保证：除本项目需求偏离表列出的偏离外，我单位对招标文件的其他项目需求条款完全响应，无偏离。</w:t>
      </w:r>
      <w:r/>
    </w:p>
    <w:p>
      <w:pPr>
        <w:ind w:firstLine="251"/>
        <w:spacing w:line="360" w:lineRule="auto"/>
        <w:widowControl/>
        <w:rPr>
          <w:rFonts w:ascii="楷体" w:hAnsi="楷体" w:eastAsia="楷体" w:cs="楷体"/>
          <w:color w:val="auto"/>
          <w:spacing w:val="2"/>
          <w:sz w:val="28"/>
          <w:szCs w:val="28"/>
          <w:highlight w:val="none"/>
        </w:rPr>
      </w:pP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3"/>
          <w:sz w:val="28"/>
          <w:szCs w:val="28"/>
          <w:highlight w:val="none"/>
          <w:lang w:val="en-US"/>
        </w:rPr>
        <w:t xml:space="preserve">2</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投标人应根据招标文件第</w:t>
      </w:r>
      <w:r>
        <w:rPr>
          <w:rFonts w:hint="eastAsia" w:ascii="楷体" w:hAnsi="楷体" w:eastAsia="楷体" w:cs="楷体"/>
          <w:color w:val="auto"/>
          <w:spacing w:val="2"/>
          <w:sz w:val="28"/>
          <w:szCs w:val="28"/>
          <w:highlight w:val="none"/>
          <w:lang w:val="en-US"/>
        </w:rPr>
        <w:t xml:space="preserve">四部分</w:t>
      </w: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rPr>
        <w:t xml:space="preserve">采购</w:t>
      </w:r>
      <w:r>
        <w:rPr>
          <w:rFonts w:hint="eastAsia" w:ascii="楷体" w:hAnsi="楷体" w:eastAsia="楷体" w:cs="楷体"/>
          <w:color w:val="auto"/>
          <w:spacing w:val="2"/>
          <w:sz w:val="28"/>
          <w:szCs w:val="28"/>
          <w:highlight w:val="none"/>
        </w:rPr>
        <w:t xml:space="preserve">需求”填写本表；</w:t>
      </w:r>
      <w:r/>
    </w:p>
    <w:p>
      <w:pPr>
        <w:ind w:firstLine="249"/>
        <w:spacing w:line="360" w:lineRule="auto"/>
        <w:widowControl/>
        <w:rPr>
          <w:rFonts w:ascii="楷体" w:hAnsi="楷体" w:eastAsia="楷体" w:cs="楷体"/>
          <w:b/>
          <w:bCs/>
          <w:color w:val="auto"/>
          <w:spacing w:val="-5"/>
          <w:sz w:val="28"/>
          <w:szCs w:val="28"/>
          <w:highlight w:val="none"/>
        </w:rPr>
      </w:pP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rPr>
        <w:t xml:space="preserve">3</w:t>
      </w: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7"/>
          <w:sz w:val="28"/>
          <w:szCs w:val="28"/>
          <w:highlight w:val="none"/>
        </w:rPr>
        <w:t xml:space="preserve">投标人如果对招标文件</w:t>
      </w:r>
      <w:r>
        <w:rPr>
          <w:rFonts w:hint="eastAsia" w:ascii="楷体" w:hAnsi="楷体" w:eastAsia="楷体" w:cs="楷体"/>
          <w:color w:val="auto"/>
          <w:spacing w:val="2"/>
          <w:sz w:val="28"/>
          <w:szCs w:val="28"/>
          <w:highlight w:val="none"/>
        </w:rPr>
        <w:t xml:space="preserve">第</w:t>
      </w:r>
      <w:r>
        <w:rPr>
          <w:rFonts w:hint="eastAsia" w:ascii="楷体" w:hAnsi="楷体" w:eastAsia="楷体" w:cs="楷体"/>
          <w:color w:val="auto"/>
          <w:spacing w:val="2"/>
          <w:sz w:val="28"/>
          <w:szCs w:val="28"/>
          <w:highlight w:val="none"/>
          <w:lang w:val="en-US"/>
        </w:rPr>
        <w:t xml:space="preserve">四部分</w:t>
      </w: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rPr>
        <w:t xml:space="preserve">采购</w:t>
      </w:r>
      <w:r>
        <w:rPr>
          <w:rFonts w:hint="eastAsia" w:ascii="楷体" w:hAnsi="楷体" w:eastAsia="楷体" w:cs="楷体"/>
          <w:color w:val="auto"/>
          <w:spacing w:val="2"/>
          <w:sz w:val="28"/>
          <w:szCs w:val="28"/>
          <w:highlight w:val="none"/>
        </w:rPr>
        <w:t xml:space="preserve">需求”</w:t>
      </w:r>
      <w:r>
        <w:rPr>
          <w:rFonts w:hint="eastAsia" w:ascii="楷体" w:hAnsi="楷体" w:eastAsia="楷体" w:cs="楷体"/>
          <w:color w:val="auto"/>
          <w:spacing w:val="7"/>
          <w:sz w:val="28"/>
          <w:szCs w:val="28"/>
          <w:highlight w:val="none"/>
        </w:rPr>
        <w:t xml:space="preserve">部分的响应有偏离，应将偏离条款逐条如实应答，并作出说明，行次不够请自行增加；</w:t>
      </w:r>
      <w:r>
        <w:rPr>
          <w:rFonts w:hint="eastAsia" w:ascii="楷体" w:hAnsi="楷体" w:eastAsia="楷体" w:cs="楷体"/>
          <w:b/>
          <w:bCs/>
          <w:color w:val="auto"/>
          <w:spacing w:val="7"/>
          <w:sz w:val="28"/>
          <w:szCs w:val="28"/>
          <w:highlight w:val="none"/>
        </w:rPr>
        <w:t xml:space="preserve">如投标人无偏离事项，则在表格中“项目” 栏填写“无偏离项”即可；</w:t>
      </w:r>
      <w:r/>
    </w:p>
    <w:p>
      <w:pPr>
        <w:ind w:firstLine="249"/>
        <w:spacing w:line="360" w:lineRule="auto"/>
        <w:widowControl/>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rPr>
        <w:t xml:space="preserve">4</w:t>
      </w:r>
      <w:r>
        <w:rPr>
          <w:rFonts w:hint="eastAsia" w:ascii="楷体" w:hAnsi="楷体" w:eastAsia="楷体" w:cs="楷体"/>
          <w:color w:val="auto"/>
          <w:spacing w:val="2"/>
          <w:sz w:val="28"/>
          <w:szCs w:val="28"/>
          <w:highlight w:val="none"/>
        </w:rPr>
        <w:t xml:space="preserve">）如不提供此表，则视为投标人不满足招标文件第</w:t>
      </w:r>
      <w:r>
        <w:rPr>
          <w:rFonts w:hint="eastAsia" w:ascii="楷体" w:hAnsi="楷体" w:eastAsia="楷体" w:cs="楷体"/>
          <w:color w:val="auto"/>
          <w:spacing w:val="2"/>
          <w:sz w:val="28"/>
          <w:szCs w:val="28"/>
          <w:highlight w:val="none"/>
          <w:lang w:val="en-US"/>
        </w:rPr>
        <w:t xml:space="preserve">四部分采购</w:t>
      </w:r>
      <w:r>
        <w:rPr>
          <w:rFonts w:hint="eastAsia" w:ascii="楷体" w:hAnsi="楷体" w:eastAsia="楷体" w:cs="楷体"/>
          <w:color w:val="auto"/>
          <w:spacing w:val="2"/>
          <w:sz w:val="28"/>
          <w:szCs w:val="28"/>
          <w:highlight w:val="none"/>
        </w:rPr>
        <w:t xml:space="preserve">需求所有条款要求，其投标无效。</w:t>
      </w:r>
      <w:r/>
    </w:p>
    <w:p>
      <w:pPr>
        <w:ind w:firstLine="284"/>
        <w:jc w:val="both"/>
        <w:spacing w:line="360" w:lineRule="auto"/>
        <w:widowControl/>
        <w:rPr>
          <w:rFonts w:ascii="楷体" w:hAnsi="楷体" w:eastAsia="楷体" w:cs="楷体"/>
          <w:color w:val="auto"/>
          <w:spacing w:val="2"/>
          <w:sz w:val="24"/>
          <w:szCs w:val="24"/>
          <w:highlight w:val="none"/>
          <w:lang w:val="en-US"/>
        </w:rPr>
      </w:pP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rPr>
        <w:t xml:space="preserve">5</w:t>
      </w: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rPr>
        <w:t xml:space="preserve">采购需求中实质性条款（加★）如有要求单独提供承诺书或证明材料的，仅提供此偏离表的，仍视为负偏离，作无效标处理。</w:t>
      </w:r>
      <w:r/>
    </w:p>
    <w:p>
      <w:pPr>
        <w:pStyle w:val="858"/>
        <w:spacing w:line="360" w:lineRule="auto"/>
        <w:tabs>
          <w:tab w:val="left" w:pos="3402" w:leader="none"/>
        </w:tabs>
        <w:rPr>
          <w:rFonts w:ascii="楷体" w:hAnsi="楷体" w:eastAsia="楷体" w:cs="楷体"/>
          <w:color w:val="auto"/>
          <w:highlight w:val="none"/>
        </w:rPr>
      </w:pPr>
      <w:r>
        <w:rPr>
          <w:rFonts w:ascii="楷体" w:hAnsi="楷体" w:eastAsia="楷体" w:cs="楷体"/>
          <w:color w:val="auto"/>
          <w:highlight w:val="none"/>
        </w:rPr>
      </w:r>
      <w:r/>
    </w:p>
    <w:p>
      <w:pPr>
        <w:pStyle w:val="858"/>
        <w:spacing w:line="360" w:lineRule="auto"/>
        <w:tabs>
          <w:tab w:val="left" w:pos="3402" w:leader="none"/>
        </w:tabs>
        <w:rPr>
          <w:rFonts w:ascii="楷体" w:hAnsi="楷体" w:eastAsia="楷体" w:cs="楷体"/>
          <w:color w:val="auto"/>
          <w:highlight w:val="none"/>
        </w:rPr>
      </w:pPr>
      <w:r>
        <w:rPr>
          <w:rFonts w:hint="eastAsia" w:ascii="楷体" w:hAnsi="楷体" w:eastAsia="楷体" w:cs="楷体"/>
          <w:color w:val="auto"/>
          <w:highlight w:val="none"/>
        </w:rPr>
        <w:t xml:space="preserve">法定代表人或其授权委托人签字或盖章：</w:t>
      </w:r>
      <w:r/>
    </w:p>
    <w:p>
      <w:pPr>
        <w:pStyle w:val="858"/>
        <w:spacing w:line="360" w:lineRule="auto"/>
        <w:tabs>
          <w:tab w:val="left" w:pos="3402" w:leader="none"/>
        </w:tabs>
        <w:rPr>
          <w:rFonts w:ascii="楷体" w:hAnsi="楷体" w:eastAsia="楷体" w:cs="楷体"/>
          <w:color w:val="auto"/>
          <w:sz w:val="32"/>
          <w:highlight w:val="none"/>
          <w:lang w:val="en-US"/>
        </w:rPr>
      </w:pPr>
      <w:r>
        <w:rPr>
          <w:rFonts w:hint="eastAsia" w:ascii="楷体" w:hAnsi="楷体" w:eastAsia="楷体" w:cs="楷体"/>
          <w:color w:val="auto"/>
          <w:highlight w:val="none"/>
        </w:rPr>
        <w:t xml:space="preserve">投标人名称（加盖公章）：                   日期：  年月日</w:t>
      </w:r>
      <w:r/>
    </w:p>
    <w:p>
      <w:pPr>
        <w:ind w:firstLine="361"/>
        <w:jc w:val="center"/>
        <w:spacing w:line="360" w:lineRule="auto"/>
        <w:widowControl/>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六、商务部分（与评分标准对应）</w:t>
      </w:r>
      <w:r/>
    </w:p>
    <w:p>
      <w:pPr>
        <w:pStyle w:val="856"/>
        <w:ind w:firstLine="3975"/>
        <w:spacing w:line="360" w:lineRule="auto"/>
        <w:rPr>
          <w:rFonts w:ascii="楷体" w:hAnsi="楷体" w:eastAsia="楷体" w:cs="楷体"/>
          <w:b/>
          <w:color w:val="auto"/>
          <w:sz w:val="36"/>
          <w:szCs w:val="36"/>
          <w:highlight w:val="none"/>
          <w:lang w:val="en-US"/>
        </w:rPr>
      </w:pPr>
      <w:r>
        <w:rPr>
          <w:rFonts w:ascii="楷体" w:hAnsi="楷体" w:eastAsia="楷体" w:cs="楷体"/>
          <w:b/>
          <w:color w:val="auto"/>
          <w:sz w:val="36"/>
          <w:szCs w:val="36"/>
          <w:highlight w:val="none"/>
          <w:lang w:val="en-US"/>
        </w:rPr>
      </w:r>
      <w:r/>
    </w:p>
    <w:p>
      <w:pPr>
        <w:spacing w:line="360" w:lineRule="auto"/>
        <w:rPr>
          <w:rFonts w:ascii="楷体" w:hAnsi="楷体" w:eastAsia="楷体" w:cs="楷体"/>
          <w:b/>
          <w:color w:val="auto"/>
          <w:sz w:val="36"/>
          <w:szCs w:val="36"/>
          <w:highlight w:val="none"/>
          <w:lang w:val="en-US"/>
        </w:rPr>
      </w:pPr>
      <w:r>
        <w:rPr>
          <w:rFonts w:hint="eastAsia" w:ascii="楷体" w:hAnsi="楷体" w:eastAsia="楷体" w:cs="楷体"/>
          <w:b/>
          <w:color w:val="auto"/>
          <w:sz w:val="36"/>
          <w:szCs w:val="36"/>
          <w:highlight w:val="none"/>
          <w:lang w:val="en-US"/>
        </w:rPr>
        <w:br w:type="page" w:clear="all"/>
      </w:r>
      <w:r/>
    </w:p>
    <w:p>
      <w:pPr>
        <w:pStyle w:val="856"/>
        <w:ind w:firstLine="0"/>
        <w:jc w:val="center"/>
        <w:spacing w:line="360" w:lineRule="auto"/>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lang w:val="en-US"/>
        </w:rPr>
        <w:t xml:space="preserve">七、</w:t>
      </w:r>
      <w:r>
        <w:rPr>
          <w:rFonts w:hint="eastAsia" w:ascii="楷体" w:hAnsi="楷体" w:eastAsia="楷体" w:cs="楷体"/>
          <w:b/>
          <w:color w:val="auto"/>
          <w:sz w:val="36"/>
          <w:szCs w:val="36"/>
          <w:highlight w:val="none"/>
        </w:rPr>
        <w:t xml:space="preserve">其他部分</w:t>
      </w:r>
      <w:r/>
    </w:p>
    <w:p>
      <w:pPr>
        <w:pStyle w:val="856"/>
        <w:ind w:firstLine="0"/>
        <w:jc w:val="cente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（一）中小企业声明函（服务类）</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rPr>
        <w:t xml:space="preserve">（单位名称）</w:t>
      </w:r>
      <w:r>
        <w:rPr>
          <w:rFonts w:hint="eastAsia" w:ascii="楷体" w:hAnsi="楷体" w:eastAsia="楷体" w:cs="楷体"/>
          <w:color w:val="auto"/>
          <w:spacing w:val="6"/>
          <w:sz w:val="28"/>
          <w:szCs w:val="28"/>
          <w:highlight w:val="none"/>
        </w:rPr>
        <w:t xml:space="preserve">的</w:t>
      </w:r>
      <w:r>
        <w:rPr>
          <w:rFonts w:hint="eastAsia" w:ascii="楷体" w:hAnsi="楷体" w:eastAsia="楷体" w:cs="楷体"/>
          <w:color w:val="auto"/>
          <w:spacing w:val="6"/>
          <w:sz w:val="28"/>
          <w:szCs w:val="28"/>
          <w:highlight w:val="none"/>
          <w:u w:val="single"/>
        </w:rPr>
        <w:t xml:space="preserve">（丹徒区夜景灯光管护服务项目（2026-2029年））</w:t>
      </w:r>
      <w:r>
        <w:rPr>
          <w:rFonts w:hint="eastAsia" w:ascii="楷体" w:hAnsi="楷体" w:eastAsia="楷体" w:cs="楷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6"/>
          <w:sz w:val="28"/>
          <w:szCs w:val="28"/>
          <w:highlight w:val="none"/>
          <w:u w:val="single"/>
        </w:rPr>
        <w:t xml:space="preserve">（丹徒区夜景灯光管护服务项目（2026-2029年））</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pacing w:val="6"/>
          <w:sz w:val="28"/>
          <w:szCs w:val="28"/>
          <w:highlight w:val="none"/>
          <w:u w:val="single"/>
        </w:rPr>
        <w:t xml:space="preserve">（采购文件中明确的所属行业）</w:t>
      </w:r>
      <w:r>
        <w:rPr>
          <w:rFonts w:hint="eastAsia" w:ascii="楷体" w:hAnsi="楷体" w:eastAsia="楷体" w:cs="楷体"/>
          <w:color w:val="auto"/>
          <w:spacing w:val="6"/>
          <w:sz w:val="28"/>
          <w:szCs w:val="28"/>
          <w:highlight w:val="none"/>
        </w:rPr>
        <w:t xml:space="preserve">行业；承接企业为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，从业人员人，营业收入为万元，资产总额为万元，属于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  </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  ……  </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注：1.从业人员、营业收入、资产总额填报上一年度数据，无上一年度数据的新成立企业可不填报。</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3.投标人应当根据采购文件中明确的所属行业，认真对照《关于印发中小企业划型标准规定的通知》（工信部联企业[2011]300号）提供声明函。 投标人提供声明函内容不实的，属于提供虚假材料谋取中标、成交，依照《中华人民共和国政府采购法》等国家有关规定追究相应责任。</w:t>
      </w:r>
      <w:r>
        <w:rPr>
          <w:rFonts w:hint="eastAsia" w:ascii="楷体" w:hAnsi="楷体" w:eastAsia="楷体" w:cs="楷体"/>
          <w:color w:val="auto"/>
          <w:spacing w:val="6"/>
          <w:sz w:val="28"/>
          <w:szCs w:val="28"/>
          <w:highlight w:val="none"/>
        </w:rPr>
        <w:br w:type="page" w:clear="all"/>
      </w:r>
      <w:r/>
    </w:p>
    <w:p>
      <w:pPr>
        <w:jc w:val="center"/>
        <w:spacing w:line="360" w:lineRule="auto"/>
        <w:widowControl/>
        <w:rPr>
          <w:rFonts w:ascii="楷体" w:hAnsi="楷体" w:eastAsia="楷体" w:cs="楷体"/>
          <w:b/>
          <w:color w:val="auto"/>
          <w:sz w:val="32"/>
          <w:szCs w:val="32"/>
          <w:highlight w:val="none"/>
        </w:rPr>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rPr>
        <w:t xml:space="preserve">二</w:t>
      </w:r>
      <w:r>
        <w:rPr>
          <w:rFonts w:hint="eastAsia" w:ascii="楷体" w:hAnsi="楷体" w:eastAsia="楷体" w:cs="楷体"/>
          <w:b/>
          <w:color w:val="auto"/>
          <w:sz w:val="32"/>
          <w:highlight w:val="none"/>
        </w:rPr>
        <w:t xml:space="preserve">）按招标文件要求投标人所能提供的其他文件</w:t>
      </w:r>
      <w:r/>
    </w:p>
    <w:p>
      <w:pPr>
        <w:jc w:val="right"/>
        <w:spacing w:line="360" w:lineRule="auto"/>
        <w:widowControl/>
        <w:rPr>
          <w:rFonts w:ascii="楷体" w:hAnsi="楷体" w:eastAsia="楷体" w:cs="楷体"/>
          <w:color w:val="auto"/>
          <w:sz w:val="24"/>
          <w:highlight w:val="none"/>
        </w:rPr>
      </w:pPr>
      <w:r>
        <w:rPr>
          <w:rFonts w:ascii="楷体" w:hAnsi="楷体" w:eastAsia="楷体" w:cs="楷体"/>
          <w:color w:val="auto"/>
          <w:sz w:val="24"/>
          <w:highlight w:val="none"/>
        </w:rPr>
      </w:r>
      <w:r/>
    </w:p>
    <w:p>
      <w:pPr>
        <w:jc w:val="center"/>
        <w:spacing w:line="360" w:lineRule="auto"/>
        <w:widowControl/>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widowControl/>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pStyle w:val="896"/>
        <w:spacing w:line="360" w:lineRule="auto"/>
        <w:rPr>
          <w:rFonts w:ascii="楷体" w:hAnsi="楷体" w:eastAsia="楷体" w:cs="楷体"/>
          <w:color w:val="auto"/>
          <w:highlight w:val="none"/>
        </w:rPr>
      </w:pPr>
      <w:r>
        <w:rPr>
          <w:rFonts w:ascii="楷体" w:hAnsi="楷体" w:eastAsia="楷体" w:cs="楷体"/>
          <w:color w:val="auto"/>
          <w:highlight w:val="none"/>
        </w:rPr>
      </w:r>
      <w:r/>
    </w:p>
    <w:p>
      <w:pP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br w:type="page" w:clear="all"/>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告供应商书</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中标（成交）供应商：</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如您需要帮助，请致电丹徒区财政局政府采购科，电话：</w:t>
      </w:r>
      <w:r>
        <w:rPr>
          <w:rFonts w:hint="eastAsia" w:ascii="楷体" w:hAnsi="楷体" w:eastAsia="楷体" w:cs="楷体"/>
          <w:color w:val="auto"/>
          <w:sz w:val="28"/>
          <w:szCs w:val="28"/>
          <w:highlight w:val="none"/>
          <w:lang w:val="en-US"/>
        </w:rPr>
        <w:t xml:space="preserve">0511-88992005</w:t>
      </w:r>
      <w:r>
        <w:rPr>
          <w:rFonts w:hint="eastAsia" w:ascii="楷体" w:hAnsi="楷体" w:eastAsia="楷体" w:cs="楷体"/>
          <w:color w:val="auto"/>
          <w:sz w:val="28"/>
          <w:szCs w:val="28"/>
          <w:highlight w:val="none"/>
        </w:rPr>
        <w:t xml:space="preserve">。我们将竭诚为您服务！</w:t>
      </w:r>
      <w:r/>
    </w:p>
    <w:p>
      <w:pPr>
        <w:ind w:right="160" w:firstLine="480"/>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right="160" w:firstLine="480"/>
        <w:jc w:val="right"/>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丹徒区财政局</w:t>
      </w:r>
      <w:r/>
    </w:p>
    <w:sectPr>
      <w:headerReference w:type="default" r:id="rId11"/>
      <w:footerReference w:type="default" r:id="rId15"/>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楷体">
    <w:panose1 w:val="02010609060101010101"/>
  </w:font>
  <w:font w:name="DejaVu Sans">
    <w:panose1 w:val="020B0603030804020204"/>
  </w:font>
  <w:font w:name="Symbol">
    <w:panose1 w:val="05050102010706020507"/>
  </w:font>
  <w:font w:name="Luxi Sans">
    <w:panose1 w:val="020B0503020202020204"/>
  </w:font>
  <w:font w:name="微软雅黑">
    <w:panose1 w:val="020B0503020204020204"/>
  </w:font>
  <w:font w:name="Calibri">
    <w:panose1 w:val="020F0502020204030204"/>
  </w:font>
  <w:font w:name="Helvetica Neue">
    <w:panose1 w:val="020B0503020202020204"/>
  </w:font>
  <w:font w:name="仿宋_GB2312">
    <w:panose1 w:val="02010609060101010101"/>
  </w:font>
  <w:font w:name="幼圆">
    <w:panose1 w:val="02010509060101010101"/>
  </w:font>
  <w:font w:name="黑体">
    <w:panose1 w:val="02010609060101010101"/>
  </w:font>
  <w:font w:name="方正仿宋_GBK">
    <w:panose1 w:val="020B0503020202020204"/>
  </w:font>
  <w:font w:name="方正行楷简体">
    <w:panose1 w:val="020B0503020202020204"/>
  </w:font>
  <w:font w:name="Courier New">
    <w:panose1 w:val="02070309020205020404"/>
  </w:font>
  <w:font w:name="等线">
    <w:panose1 w:val="02010600030101010101"/>
  </w:font>
  <w:font w:name="仿宋">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360"/>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val="en-US"/>
      </w:rPr>
    </w:pPr>
    <w:r>
      <w:rPr>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both"/>
      <w:tabs>
        <w:tab w:val="clear" w:pos="4153" w:leader="none"/>
        <w:tab w:val="clear" w:pos="8306" w:leader="none"/>
      </w:tabs>
      <w:rPr>
        <w:rFonts w:ascii="楷体" w:hAnsi="楷体" w:eastAsia="楷体" w:cs="楷体"/>
        <w:sz w:val="21"/>
        <w:szCs w:val="21"/>
        <w:lang w:val="en-US"/>
      </w:rPr>
    </w:pPr>
    <w:r>
      <w:rPr>
        <w:rFonts w:hint="eastAsia" w:ascii="楷体" w:hAnsi="楷体" w:eastAsia="楷体" w:cs="楷体"/>
        <w:sz w:val="21"/>
        <w:szCs w:val="21"/>
        <w:lang w:val="en-US"/>
      </w:rPr>
      <w:t xml:space="preserve">建银工程咨询有限责任公司招标文件</w:t>
    </w:r>
    <w:r/>
  </w:p>
  <w:p>
    <w:pPr>
      <w:pStyle w:val="1093"/>
      <w:jc w:val="both"/>
      <w:tabs>
        <w:tab w:val="clear" w:pos="4153" w:leader="none"/>
        <w:tab w:val="clear" w:pos="8306" w:leader="none"/>
      </w:tabs>
      <w:rPr>
        <w:sz w:val="21"/>
        <w:szCs w:val="21"/>
      </w:rPr>
      <w:pBdr>
        <w:bottom w:val="none" w:color="000000" w:sz="0" w:space="0"/>
      </w:pBdr>
    </w:pP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853"/>
    <w:link w:val="844"/>
    <w:uiPriority w:val="9"/>
    <w:rPr>
      <w:rFonts w:ascii="Arial" w:hAnsi="Arial" w:eastAsia="Arial" w:cs="Arial"/>
      <w:sz w:val="40"/>
      <w:szCs w:val="40"/>
    </w:rPr>
  </w:style>
  <w:style w:type="character" w:styleId="826">
    <w:name w:val="Heading 2 Char"/>
    <w:basedOn w:val="853"/>
    <w:link w:val="845"/>
    <w:uiPriority w:val="9"/>
    <w:rPr>
      <w:rFonts w:ascii="Arial" w:hAnsi="Arial" w:eastAsia="Arial" w:cs="Arial"/>
      <w:sz w:val="34"/>
    </w:rPr>
  </w:style>
  <w:style w:type="character" w:styleId="827">
    <w:name w:val="Heading 3 Char"/>
    <w:basedOn w:val="853"/>
    <w:link w:val="846"/>
    <w:uiPriority w:val="9"/>
    <w:rPr>
      <w:rFonts w:ascii="Arial" w:hAnsi="Arial" w:eastAsia="Arial" w:cs="Arial"/>
      <w:sz w:val="30"/>
      <w:szCs w:val="30"/>
    </w:rPr>
  </w:style>
  <w:style w:type="character" w:styleId="828">
    <w:name w:val="Heading 4 Char"/>
    <w:basedOn w:val="853"/>
    <w:link w:val="847"/>
    <w:uiPriority w:val="9"/>
    <w:rPr>
      <w:rFonts w:ascii="Arial" w:hAnsi="Arial" w:eastAsia="Arial" w:cs="Arial"/>
      <w:b/>
      <w:bCs/>
      <w:sz w:val="26"/>
      <w:szCs w:val="26"/>
    </w:rPr>
  </w:style>
  <w:style w:type="character" w:styleId="829">
    <w:name w:val="Heading 5 Char"/>
    <w:basedOn w:val="853"/>
    <w:link w:val="848"/>
    <w:uiPriority w:val="9"/>
    <w:rPr>
      <w:rFonts w:ascii="Arial" w:hAnsi="Arial" w:eastAsia="Arial" w:cs="Arial"/>
      <w:b/>
      <w:bCs/>
      <w:sz w:val="24"/>
      <w:szCs w:val="24"/>
    </w:rPr>
  </w:style>
  <w:style w:type="character" w:styleId="830">
    <w:name w:val="Heading 6 Char"/>
    <w:basedOn w:val="853"/>
    <w:link w:val="849"/>
    <w:uiPriority w:val="9"/>
    <w:rPr>
      <w:rFonts w:ascii="Arial" w:hAnsi="Arial" w:eastAsia="Arial" w:cs="Arial"/>
      <w:b/>
      <w:bCs/>
      <w:sz w:val="22"/>
      <w:szCs w:val="22"/>
    </w:rPr>
  </w:style>
  <w:style w:type="character" w:styleId="831">
    <w:name w:val="Heading 7 Char"/>
    <w:basedOn w:val="853"/>
    <w:link w:val="850"/>
    <w:uiPriority w:val="9"/>
    <w:rPr>
      <w:rFonts w:ascii="Arial" w:hAnsi="Arial" w:eastAsia="Arial" w:cs="Arial"/>
      <w:b/>
      <w:bCs/>
      <w:i/>
      <w:iCs/>
      <w:sz w:val="22"/>
      <w:szCs w:val="22"/>
    </w:rPr>
  </w:style>
  <w:style w:type="character" w:styleId="832">
    <w:name w:val="Heading 8 Char"/>
    <w:basedOn w:val="853"/>
    <w:link w:val="851"/>
    <w:uiPriority w:val="9"/>
    <w:rPr>
      <w:rFonts w:ascii="Arial" w:hAnsi="Arial" w:eastAsia="Arial" w:cs="Arial"/>
      <w:i/>
      <w:iCs/>
      <w:sz w:val="22"/>
      <w:szCs w:val="22"/>
    </w:rPr>
  </w:style>
  <w:style w:type="character" w:styleId="833">
    <w:name w:val="Heading 9 Char"/>
    <w:basedOn w:val="853"/>
    <w:link w:val="852"/>
    <w:uiPriority w:val="9"/>
    <w:rPr>
      <w:rFonts w:ascii="Arial" w:hAnsi="Arial" w:eastAsia="Arial" w:cs="Arial"/>
      <w:i/>
      <w:iCs/>
      <w:sz w:val="21"/>
      <w:szCs w:val="21"/>
    </w:rPr>
  </w:style>
  <w:style w:type="character" w:styleId="834">
    <w:name w:val="Title Char"/>
    <w:basedOn w:val="853"/>
    <w:link w:val="879"/>
    <w:uiPriority w:val="10"/>
    <w:rPr>
      <w:sz w:val="48"/>
      <w:szCs w:val="48"/>
    </w:rPr>
  </w:style>
  <w:style w:type="character" w:styleId="835">
    <w:name w:val="Subtitle Char"/>
    <w:basedOn w:val="853"/>
    <w:link w:val="871"/>
    <w:uiPriority w:val="11"/>
    <w:rPr>
      <w:sz w:val="24"/>
      <w:szCs w:val="24"/>
    </w:rPr>
  </w:style>
  <w:style w:type="character" w:styleId="836">
    <w:name w:val="Quote Char"/>
    <w:link w:val="917"/>
    <w:uiPriority w:val="29"/>
    <w:rPr>
      <w:i/>
    </w:rPr>
  </w:style>
  <w:style w:type="character" w:styleId="837">
    <w:name w:val="Intense Quote Char"/>
    <w:link w:val="919"/>
    <w:uiPriority w:val="30"/>
    <w:rPr>
      <w:i/>
    </w:rPr>
  </w:style>
  <w:style w:type="character" w:styleId="838">
    <w:name w:val="Header Char"/>
    <w:basedOn w:val="853"/>
    <w:link w:val="868"/>
    <w:uiPriority w:val="99"/>
  </w:style>
  <w:style w:type="character" w:styleId="839">
    <w:name w:val="Caption Char"/>
    <w:basedOn w:val="857"/>
    <w:link w:val="867"/>
    <w:uiPriority w:val="99"/>
  </w:style>
  <w:style w:type="character" w:styleId="840">
    <w:name w:val="Footnote Text Char"/>
    <w:link w:val="872"/>
    <w:uiPriority w:val="99"/>
    <w:rPr>
      <w:sz w:val="18"/>
    </w:rPr>
  </w:style>
  <w:style w:type="character" w:styleId="841">
    <w:name w:val="Endnote Text Char"/>
    <w:link w:val="865"/>
    <w:uiPriority w:val="99"/>
    <w:rPr>
      <w:sz w:val="20"/>
    </w:rPr>
  </w:style>
  <w:style w:type="paragraph" w:styleId="842">
    <w:name w:val="TOC Heading"/>
    <w:uiPriority w:val="39"/>
    <w:unhideWhenUsed/>
  </w:style>
  <w:style w:type="paragraph" w:styleId="843" w:default="1">
    <w:name w:val="Normal"/>
    <w:next w:val="845"/>
    <w:uiPriority w:val="0"/>
    <w:qFormat/>
    <w:pPr>
      <w:widowControl w:val="off"/>
    </w:pPr>
    <w:rPr>
      <w:rFonts w:ascii="宋体" w:hAnsi="Times New Roman" w:eastAsia="宋体" w:cs="Times New Roman"/>
      <w:sz w:val="22"/>
      <w:szCs w:val="22"/>
      <w:lang w:val="zh-CN" w:eastAsia="zh-CN" w:bidi="ar-SA"/>
    </w:rPr>
  </w:style>
  <w:style w:type="paragraph" w:styleId="844">
    <w:name w:val="Heading 1"/>
    <w:basedOn w:val="843"/>
    <w:next w:val="843"/>
    <w:link w:val="905"/>
    <w:uiPriority w:val="9"/>
    <w:qFormat/>
    <w:pPr>
      <w:keepLines/>
      <w:keepNext/>
      <w:spacing w:before="480" w:after="200"/>
      <w:outlineLvl w:val="0"/>
    </w:pPr>
    <w:rPr>
      <w:rFonts w:ascii="Arial" w:hAnsi="Arial" w:eastAsia="Arial" w:cs="Arial"/>
      <w:sz w:val="40"/>
      <w:szCs w:val="40"/>
    </w:rPr>
  </w:style>
  <w:style w:type="paragraph" w:styleId="845">
    <w:name w:val="Heading 2"/>
    <w:basedOn w:val="843"/>
    <w:next w:val="843"/>
    <w:link w:val="906"/>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link w:val="907"/>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link w:val="908"/>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link w:val="909"/>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910"/>
    <w:uiPriority w:val="9"/>
    <w:unhideWhenUsed/>
    <w:qFormat/>
    <w:pPr>
      <w:keepLines/>
      <w:keepNext/>
      <w:spacing w:before="320" w:after="200"/>
      <w:outlineLvl w:val="5"/>
    </w:pPr>
    <w:rPr>
      <w:rFonts w:ascii="Arial" w:hAnsi="Arial" w:eastAsia="Arial" w:cs="Arial"/>
      <w:b/>
      <w:bCs/>
    </w:rPr>
  </w:style>
  <w:style w:type="paragraph" w:styleId="850">
    <w:name w:val="Heading 7"/>
    <w:basedOn w:val="843"/>
    <w:next w:val="843"/>
    <w:link w:val="911"/>
    <w:uiPriority w:val="9"/>
    <w:unhideWhenUsed/>
    <w:qFormat/>
    <w:pPr>
      <w:keepLines/>
      <w:keepNext/>
      <w:spacing w:before="320" w:after="200"/>
      <w:outlineLvl w:val="6"/>
    </w:pPr>
    <w:rPr>
      <w:rFonts w:ascii="Arial" w:hAnsi="Arial" w:eastAsia="Arial" w:cs="Arial"/>
      <w:b/>
      <w:bCs/>
      <w:i/>
      <w:iCs/>
    </w:rPr>
  </w:style>
  <w:style w:type="paragraph" w:styleId="851">
    <w:name w:val="Heading 8"/>
    <w:basedOn w:val="843"/>
    <w:next w:val="843"/>
    <w:link w:val="912"/>
    <w:uiPriority w:val="9"/>
    <w:unhideWhenUsed/>
    <w:qFormat/>
    <w:pPr>
      <w:keepLines/>
      <w:keepNext/>
      <w:spacing w:before="320" w:after="200"/>
      <w:outlineLvl w:val="7"/>
    </w:pPr>
    <w:rPr>
      <w:rFonts w:ascii="Arial" w:hAnsi="Arial" w:eastAsia="Arial" w:cs="Arial"/>
      <w:i/>
      <w:iCs/>
    </w:rPr>
  </w:style>
  <w:style w:type="paragraph" w:styleId="852">
    <w:name w:val="Heading 9"/>
    <w:basedOn w:val="843"/>
    <w:next w:val="843"/>
    <w:link w:val="913"/>
    <w:uiPriority w:val="9"/>
    <w:unhideWhenUsed/>
    <w:qFormat/>
    <w:pPr>
      <w:keepLines/>
      <w:keepNext/>
      <w:spacing w:before="320" w:after="200"/>
      <w:outlineLvl w:val="8"/>
    </w:pPr>
    <w:rPr>
      <w:rFonts w:ascii="Arial" w:hAnsi="Arial" w:eastAsia="Arial" w:cs="Arial"/>
      <w:i/>
      <w:iCs/>
      <w:sz w:val="21"/>
      <w:szCs w:val="21"/>
    </w:rPr>
  </w:style>
  <w:style w:type="character" w:styleId="853" w:default="1">
    <w:name w:val="Default Paragraph Font"/>
    <w:uiPriority w:val="1"/>
    <w:semiHidden/>
    <w:unhideWhenUsed/>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toc 7"/>
    <w:basedOn w:val="843"/>
    <w:next w:val="843"/>
    <w:uiPriority w:val="39"/>
    <w:unhideWhenUsed/>
    <w:qFormat/>
    <w:pPr>
      <w:ind w:left="1701"/>
      <w:spacing w:after="57"/>
    </w:pPr>
  </w:style>
  <w:style w:type="paragraph" w:styleId="856">
    <w:name w:val="Normal Indent"/>
    <w:basedOn w:val="843"/>
    <w:uiPriority w:val="0"/>
    <w:unhideWhenUsed/>
    <w:qFormat/>
    <w:pPr>
      <w:ind w:firstLine="420"/>
    </w:pPr>
  </w:style>
  <w:style w:type="paragraph" w:styleId="857">
    <w:name w:val="Caption"/>
    <w:basedOn w:val="843"/>
    <w:next w:val="843"/>
    <w:uiPriority w:val="35"/>
    <w:semiHidden/>
    <w:unhideWhenUsed/>
    <w:qFormat/>
    <w:pPr>
      <w:spacing w:line="276" w:lineRule="auto"/>
    </w:pPr>
    <w:rPr>
      <w:b/>
      <w:bCs/>
      <w:color w:val="4f81bd" w:themeColor="accent1"/>
      <w:sz w:val="18"/>
      <w:szCs w:val="18"/>
    </w:rPr>
  </w:style>
  <w:style w:type="paragraph" w:styleId="858">
    <w:name w:val="Body Text"/>
    <w:basedOn w:val="843"/>
    <w:uiPriority w:val="0"/>
    <w:qFormat/>
    <w:rPr>
      <w:rFonts w:ascii="楷体_GB2312" w:hAnsi="Arial" w:eastAsia="楷体_GB2312" w:cstheme="minorBidi"/>
      <w:sz w:val="28"/>
    </w:rPr>
  </w:style>
  <w:style w:type="paragraph" w:styleId="859">
    <w:name w:val="Body Text Indent"/>
    <w:basedOn w:val="843"/>
    <w:next w:val="860"/>
    <w:uiPriority w:val="0"/>
    <w:qFormat/>
    <w:pPr>
      <w:ind w:firstLine="645"/>
    </w:pPr>
    <w:rPr>
      <w:rFonts w:ascii="楷体_GB2312" w:eastAsia="楷体_GB2312" w:hAnsiTheme="minorHAnsi" w:cstheme="minorBidi"/>
      <w:sz w:val="32"/>
    </w:rPr>
  </w:style>
  <w:style w:type="paragraph" w:styleId="860">
    <w:name w:val="envelope return"/>
    <w:basedOn w:val="843"/>
    <w:uiPriority w:val="99"/>
    <w:qFormat/>
    <w:rPr>
      <w:rFonts w:ascii="Arial" w:hAnsi="Arial" w:eastAsia="仿宋"/>
    </w:rPr>
  </w:style>
  <w:style w:type="paragraph" w:styleId="861">
    <w:name w:val="toc 5"/>
    <w:basedOn w:val="843"/>
    <w:next w:val="843"/>
    <w:uiPriority w:val="39"/>
    <w:unhideWhenUsed/>
    <w:qFormat/>
    <w:pPr>
      <w:ind w:left="1134"/>
      <w:spacing w:after="57"/>
    </w:pPr>
  </w:style>
  <w:style w:type="paragraph" w:styleId="862">
    <w:name w:val="toc 3"/>
    <w:basedOn w:val="843"/>
    <w:next w:val="843"/>
    <w:uiPriority w:val="39"/>
    <w:unhideWhenUsed/>
    <w:qFormat/>
    <w:pPr>
      <w:ind w:left="567"/>
      <w:spacing w:after="57"/>
    </w:pPr>
  </w:style>
  <w:style w:type="paragraph" w:styleId="863">
    <w:name w:val="Plain Text"/>
    <w:basedOn w:val="843"/>
    <w:uiPriority w:val="99"/>
    <w:qFormat/>
    <w:rPr>
      <w:rFonts w:hint="eastAsia" w:hAnsi="Courier New"/>
      <w:szCs w:val="20"/>
    </w:rPr>
  </w:style>
  <w:style w:type="paragraph" w:styleId="864">
    <w:name w:val="toc 8"/>
    <w:basedOn w:val="843"/>
    <w:next w:val="843"/>
    <w:uiPriority w:val="39"/>
    <w:unhideWhenUsed/>
    <w:qFormat/>
    <w:pPr>
      <w:ind w:left="1984"/>
      <w:spacing w:after="57"/>
    </w:pPr>
  </w:style>
  <w:style w:type="paragraph" w:styleId="865">
    <w:name w:val="endnote text"/>
    <w:basedOn w:val="843"/>
    <w:link w:val="1050"/>
    <w:uiPriority w:val="99"/>
    <w:semiHidden/>
    <w:unhideWhenUsed/>
    <w:qFormat/>
    <w:rPr>
      <w:sz w:val="20"/>
    </w:rPr>
  </w:style>
  <w:style w:type="paragraph" w:styleId="866">
    <w:name w:val="Balloon Text"/>
    <w:basedOn w:val="843"/>
    <w:link w:val="1141"/>
    <w:uiPriority w:val="99"/>
    <w:semiHidden/>
    <w:unhideWhenUsed/>
    <w:qFormat/>
    <w:rPr>
      <w:sz w:val="18"/>
      <w:szCs w:val="18"/>
    </w:rPr>
  </w:style>
  <w:style w:type="paragraph" w:styleId="867">
    <w:name w:val="Footer"/>
    <w:basedOn w:val="843"/>
    <w:link w:val="923"/>
    <w:uiPriority w:val="99"/>
    <w:unhideWhenUsed/>
    <w:qFormat/>
    <w:pPr>
      <w:tabs>
        <w:tab w:val="center" w:pos="7143" w:leader="none"/>
        <w:tab w:val="right" w:pos="14287" w:leader="none"/>
      </w:tabs>
    </w:pPr>
  </w:style>
  <w:style w:type="paragraph" w:styleId="868">
    <w:name w:val="Header"/>
    <w:basedOn w:val="843"/>
    <w:link w:val="921"/>
    <w:uiPriority w:val="99"/>
    <w:unhideWhenUsed/>
    <w:qFormat/>
    <w:pPr>
      <w:tabs>
        <w:tab w:val="center" w:pos="7143" w:leader="none"/>
        <w:tab w:val="right" w:pos="14287" w:leader="none"/>
      </w:tabs>
    </w:pPr>
  </w:style>
  <w:style w:type="paragraph" w:styleId="869">
    <w:name w:val="toc 1"/>
    <w:basedOn w:val="843"/>
    <w:next w:val="843"/>
    <w:uiPriority w:val="39"/>
    <w:unhideWhenUsed/>
    <w:qFormat/>
    <w:pPr>
      <w:spacing w:after="57"/>
    </w:pPr>
  </w:style>
  <w:style w:type="paragraph" w:styleId="870">
    <w:name w:val="toc 4"/>
    <w:basedOn w:val="843"/>
    <w:next w:val="843"/>
    <w:uiPriority w:val="39"/>
    <w:unhideWhenUsed/>
    <w:qFormat/>
    <w:pPr>
      <w:ind w:left="850"/>
      <w:spacing w:after="57"/>
    </w:pPr>
  </w:style>
  <w:style w:type="paragraph" w:styleId="871">
    <w:name w:val="Subtitle"/>
    <w:basedOn w:val="843"/>
    <w:next w:val="843"/>
    <w:link w:val="916"/>
    <w:uiPriority w:val="11"/>
    <w:qFormat/>
    <w:pPr>
      <w:spacing w:before="200" w:after="200"/>
    </w:pPr>
    <w:rPr>
      <w:sz w:val="24"/>
      <w:szCs w:val="24"/>
    </w:rPr>
  </w:style>
  <w:style w:type="paragraph" w:styleId="872">
    <w:name w:val="footnote text"/>
    <w:basedOn w:val="843"/>
    <w:link w:val="1049"/>
    <w:uiPriority w:val="99"/>
    <w:semiHidden/>
    <w:unhideWhenUsed/>
    <w:qFormat/>
    <w:pPr>
      <w:spacing w:after="40"/>
    </w:pPr>
    <w:rPr>
      <w:sz w:val="18"/>
    </w:rPr>
  </w:style>
  <w:style w:type="paragraph" w:styleId="873">
    <w:name w:val="toc 6"/>
    <w:basedOn w:val="843"/>
    <w:next w:val="843"/>
    <w:uiPriority w:val="39"/>
    <w:unhideWhenUsed/>
    <w:qFormat/>
    <w:pPr>
      <w:ind w:left="1417"/>
      <w:spacing w:after="57"/>
    </w:pPr>
  </w:style>
  <w:style w:type="paragraph" w:styleId="874">
    <w:name w:val="Body Text Indent 3"/>
    <w:basedOn w:val="843"/>
    <w:uiPriority w:val="0"/>
    <w:qFormat/>
    <w:pPr>
      <w:ind w:left="520" w:firstLine="425"/>
      <w:jc w:val="center"/>
    </w:pPr>
    <w:rPr>
      <w:rFonts w:ascii="方正行楷简体" w:hAnsi="Arial" w:eastAsia="方正行楷简体" w:cstheme="minorBidi"/>
      <w:sz w:val="36"/>
    </w:rPr>
  </w:style>
  <w:style w:type="paragraph" w:styleId="875">
    <w:name w:val="table of figures"/>
    <w:basedOn w:val="843"/>
    <w:next w:val="843"/>
    <w:uiPriority w:val="99"/>
    <w:unhideWhenUsed/>
    <w:qFormat/>
  </w:style>
  <w:style w:type="paragraph" w:styleId="876">
    <w:name w:val="toc 2"/>
    <w:basedOn w:val="843"/>
    <w:next w:val="843"/>
    <w:uiPriority w:val="39"/>
    <w:unhideWhenUsed/>
    <w:qFormat/>
    <w:pPr>
      <w:ind w:left="283"/>
      <w:spacing w:after="57"/>
    </w:pPr>
  </w:style>
  <w:style w:type="paragraph" w:styleId="877">
    <w:name w:val="toc 9"/>
    <w:basedOn w:val="843"/>
    <w:next w:val="843"/>
    <w:uiPriority w:val="39"/>
    <w:unhideWhenUsed/>
    <w:qFormat/>
    <w:pPr>
      <w:ind w:left="2268"/>
      <w:spacing w:after="57"/>
    </w:pPr>
  </w:style>
  <w:style w:type="paragraph" w:styleId="878">
    <w:name w:val="Normal (Web)"/>
    <w:basedOn w:val="843"/>
    <w:uiPriority w:val="99"/>
    <w:qFormat/>
    <w:pPr>
      <w:spacing w:before="100" w:beforeAutospacing="1" w:after="100" w:afterAutospacing="1"/>
      <w:widowControl/>
    </w:pPr>
    <w:rPr>
      <w:rFonts w:hAnsi="宋体"/>
      <w:color w:val="000000"/>
      <w:sz w:val="24"/>
      <w:lang w:eastAsia="en-US"/>
    </w:rPr>
  </w:style>
  <w:style w:type="paragraph" w:styleId="879">
    <w:name w:val="Title"/>
    <w:basedOn w:val="843"/>
    <w:next w:val="843"/>
    <w:link w:val="915"/>
    <w:uiPriority w:val="10"/>
    <w:qFormat/>
    <w:pPr>
      <w:contextualSpacing/>
      <w:spacing w:before="300" w:after="200"/>
    </w:pPr>
    <w:rPr>
      <w:sz w:val="48"/>
      <w:szCs w:val="48"/>
    </w:rPr>
  </w:style>
  <w:style w:type="paragraph" w:styleId="880">
    <w:name w:val="Body Text First Indent"/>
    <w:basedOn w:val="858"/>
    <w:uiPriority w:val="0"/>
    <w:semiHidden/>
    <w:unhideWhenUsed/>
    <w:qFormat/>
    <w:pPr>
      <w:ind w:firstLine="420"/>
      <w:spacing w:after="120"/>
    </w:pPr>
    <w:rPr>
      <w:rFonts w:ascii="Arial" w:eastAsiaTheme="minorEastAsia"/>
      <w:sz w:val="21"/>
      <w:szCs w:val="21"/>
    </w:rPr>
  </w:style>
  <w:style w:type="paragraph" w:styleId="881">
    <w:name w:val="Body Text First Indent 2"/>
    <w:basedOn w:val="843"/>
    <w:next w:val="843"/>
    <w:uiPriority w:val="0"/>
    <w:qFormat/>
    <w:pPr>
      <w:ind w:left="420" w:firstLine="420"/>
      <w:spacing w:after="120"/>
    </w:pPr>
    <w:rPr>
      <w:sz w:val="21"/>
    </w:rPr>
  </w:style>
  <w:style w:type="table" w:styleId="8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uiPriority w:val="22"/>
    <w:qFormat/>
    <w:rPr>
      <w:b/>
      <w:bCs/>
    </w:rPr>
  </w:style>
  <w:style w:type="character" w:styleId="884">
    <w:name w:val="endnote reference"/>
    <w:uiPriority w:val="99"/>
    <w:semiHidden/>
    <w:unhideWhenUsed/>
    <w:qFormat/>
    <w:rPr>
      <w:vertAlign w:val="superscript"/>
    </w:rPr>
  </w:style>
  <w:style w:type="character" w:styleId="885">
    <w:name w:val="page number"/>
    <w:basedOn w:val="853"/>
    <w:uiPriority w:val="0"/>
    <w:qFormat/>
  </w:style>
  <w:style w:type="character" w:styleId="886">
    <w:name w:val="Emphasis"/>
    <w:uiPriority w:val="20"/>
    <w:qFormat/>
    <w:rPr>
      <w:color w:val="cc0000"/>
    </w:rPr>
  </w:style>
  <w:style w:type="character" w:styleId="887">
    <w:name w:val="Hyperlink"/>
    <w:uiPriority w:val="99"/>
    <w:unhideWhenUsed/>
    <w:qFormat/>
    <w:rPr>
      <w:color w:val="0000ff" w:themeColor="hyperlink"/>
      <w:u w:val="single"/>
    </w:rPr>
  </w:style>
  <w:style w:type="character" w:styleId="888">
    <w:name w:val="footnote reference"/>
    <w:uiPriority w:val="99"/>
    <w:unhideWhenUsed/>
    <w:qFormat/>
    <w:rPr>
      <w:vertAlign w:val="superscript"/>
    </w:rPr>
  </w:style>
  <w:style w:type="paragraph" w:styleId="889" w:customStyle="1">
    <w:name w:val="正文缩进1"/>
    <w:basedOn w:val="843"/>
    <w:uiPriority w:val="0"/>
    <w:qFormat/>
    <w:pPr>
      <w:ind w:firstLine="420"/>
    </w:pPr>
  </w:style>
  <w:style w:type="paragraph" w:styleId="890"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891" w:customStyle="1">
    <w:name w:val="一级条标题"/>
    <w:basedOn w:val="892"/>
    <w:next w:val="8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2" w:customStyle="1">
    <w:name w:val="章标题"/>
    <w:next w:val="84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3" w:customStyle="1">
    <w:name w:val="段"/>
    <w:basedOn w:val="894"/>
    <w:next w:val="843"/>
    <w:uiPriority w:val="0"/>
    <w:qFormat/>
    <w:pPr>
      <w:ind w:firstLine="200"/>
    </w:pPr>
    <w:rPr>
      <w:rFonts w:hint="eastAsia" w:ascii="宋体"/>
    </w:rPr>
  </w:style>
  <w:style w:type="paragraph" w:styleId="894" w:customStyle="1">
    <w:name w:val="正文11"/>
    <w:next w:val="895"/>
    <w:uiPriority w:val="0"/>
    <w:qFormat/>
    <w:pPr>
      <w:jc w:val="both"/>
      <w:widowControl w:val="off"/>
    </w:pPr>
    <w:rPr>
      <w:rFonts w:ascii="Times New Roman" w:hAnsi="Times New Roman" w:eastAsia="宋体" w:cs="Times New Roman"/>
      <w:sz w:val="21"/>
      <w:szCs w:val="22"/>
      <w:lang w:val="en-US" w:eastAsia="zh-CN" w:bidi="ar-SA"/>
    </w:rPr>
  </w:style>
  <w:style w:type="paragraph" w:styleId="895" w:customStyle="1">
    <w:name w:val="目录 11"/>
    <w:basedOn w:val="896"/>
    <w:next w:val="843"/>
    <w:uiPriority w:val="0"/>
    <w:qFormat/>
  </w:style>
  <w:style w:type="paragraph" w:styleId="896" w:customStyle="1">
    <w:name w:val="正文1"/>
    <w:basedOn w:val="894"/>
    <w:next w:val="897"/>
    <w:uiPriority w:val="0"/>
    <w:qFormat/>
    <w:pPr>
      <w:spacing w:line="460" w:lineRule="exact"/>
    </w:pPr>
    <w:rPr>
      <w:rFonts w:ascii="Helvetica Neue" w:hAnsi="Helvetica Neue" w:cs="Arial Unicode MS"/>
      <w:color w:val="000000"/>
      <w:sz w:val="22"/>
    </w:rPr>
  </w:style>
  <w:style w:type="paragraph" w:styleId="897" w:customStyle="1">
    <w:name w:val="正文文本1"/>
    <w:basedOn w:val="843"/>
    <w:next w:val="891"/>
    <w:link w:val="1085"/>
    <w:uiPriority w:val="0"/>
    <w:qFormat/>
    <w:pPr>
      <w:ind w:left="100"/>
      <w:spacing w:before="129"/>
    </w:pPr>
    <w:rPr>
      <w:sz w:val="18"/>
      <w:szCs w:val="18"/>
    </w:rPr>
  </w:style>
  <w:style w:type="paragraph" w:styleId="898" w:customStyle="1">
    <w:name w:val="正文首行缩进 211"/>
    <w:basedOn w:val="899"/>
    <w:next w:val="901"/>
    <w:uiPriority w:val="0"/>
    <w:qFormat/>
    <w:pPr>
      <w:ind w:left="0" w:firstLine="420"/>
      <w:spacing w:after="0" w:line="360" w:lineRule="auto"/>
    </w:pPr>
    <w:rPr>
      <w:szCs w:val="20"/>
    </w:rPr>
  </w:style>
  <w:style w:type="paragraph" w:styleId="899" w:customStyle="1">
    <w:name w:val="正文文本缩进11"/>
    <w:basedOn w:val="843"/>
    <w:next w:val="900"/>
    <w:link w:val="1062"/>
    <w:uiPriority w:val="99"/>
    <w:unhideWhenUsed/>
    <w:qFormat/>
    <w:pPr>
      <w:ind w:left="420"/>
      <w:spacing w:after="120"/>
      <w:widowControl/>
    </w:pPr>
    <w:rPr>
      <w:rFonts w:hAnsi="宋体"/>
      <w:sz w:val="24"/>
      <w:szCs w:val="24"/>
    </w:rPr>
  </w:style>
  <w:style w:type="paragraph" w:styleId="900" w:customStyle="1">
    <w:name w:val="寄信人地址11"/>
    <w:basedOn w:val="843"/>
    <w:uiPriority w:val="0"/>
    <w:qFormat/>
    <w:rPr>
      <w:rFonts w:ascii="Arial" w:hAnsi="Arial"/>
    </w:rPr>
  </w:style>
  <w:style w:type="paragraph" w:styleId="901" w:customStyle="1">
    <w:name w:val="样式 标题 3 + (中文) 黑体 小四 非加粗 段前: 7.8 磅 段后: 0 磅 行距: 固定值 20 磅_0"/>
    <w:basedOn w:val="902"/>
    <w:uiPriority w:val="0"/>
    <w:qFormat/>
    <w:pPr>
      <w:spacing w:before="0" w:after="0" w:line="400" w:lineRule="exact"/>
    </w:pPr>
    <w:rPr>
      <w:rFonts w:ascii="Times New Roman" w:hAnsi="Times New Roman" w:eastAsia="黑体" w:cs="宋体"/>
      <w:b w:val="0"/>
      <w:bCs w:val="0"/>
      <w:sz w:val="21"/>
      <w:szCs w:val="20"/>
    </w:rPr>
  </w:style>
  <w:style w:type="paragraph" w:styleId="902" w:customStyle="1">
    <w:name w:val="标题 3_0"/>
    <w:basedOn w:val="903"/>
    <w:next w:val="904"/>
    <w:uiPriority w:val="0"/>
    <w:qFormat/>
    <w:pPr>
      <w:keepLines/>
      <w:keepNext/>
      <w:spacing w:before="260" w:after="260" w:line="416" w:lineRule="auto"/>
      <w:outlineLvl w:val="2"/>
    </w:pPr>
    <w:rPr>
      <w:rFonts w:eastAsia="宋体"/>
      <w:b/>
      <w:bCs/>
      <w:sz w:val="32"/>
      <w:szCs w:val="32"/>
    </w:rPr>
  </w:style>
  <w:style w:type="paragraph" w:styleId="903" w:customStyle="1">
    <w:name w:val="正文_0"/>
    <w:next w:val="898"/>
    <w:uiPriority w:val="0"/>
    <w:qFormat/>
    <w:pPr>
      <w:jc w:val="both"/>
      <w:widowControl w:val="off"/>
    </w:pPr>
    <w:rPr>
      <w:rFonts w:ascii="Calibri" w:hAnsi="Calibri" w:eastAsia="仿宋_GB2312" w:cs="Times New Roman"/>
      <w:sz w:val="21"/>
      <w:szCs w:val="22"/>
      <w:lang w:val="en-US" w:eastAsia="zh-CN" w:bidi="ar-SA"/>
    </w:rPr>
  </w:style>
  <w:style w:type="paragraph" w:styleId="904" w:customStyle="1">
    <w:name w:val="正文_1"/>
    <w:next w:val="898"/>
    <w:uiPriority w:val="0"/>
    <w:qFormat/>
    <w:pPr>
      <w:jc w:val="both"/>
      <w:widowControl w:val="off"/>
    </w:pPr>
    <w:rPr>
      <w:rFonts w:ascii="Calibri" w:hAnsi="Calibri" w:eastAsia="仿宋_GB2312" w:cs="Times New Roman"/>
      <w:sz w:val="21"/>
      <w:szCs w:val="22"/>
      <w:lang w:val="en-US" w:eastAsia="zh-CN" w:bidi="ar-SA"/>
    </w:rPr>
  </w:style>
  <w:style w:type="character" w:styleId="905" w:customStyle="1">
    <w:name w:val="标题 1 Char"/>
    <w:link w:val="844"/>
    <w:uiPriority w:val="9"/>
    <w:qFormat/>
    <w:rPr>
      <w:rFonts w:ascii="Arial" w:hAnsi="Arial" w:eastAsia="Arial" w:cs="Arial"/>
      <w:sz w:val="40"/>
      <w:szCs w:val="40"/>
    </w:rPr>
  </w:style>
  <w:style w:type="character" w:styleId="906" w:customStyle="1">
    <w:name w:val="标题 2 Char"/>
    <w:link w:val="845"/>
    <w:uiPriority w:val="9"/>
    <w:qFormat/>
    <w:rPr>
      <w:rFonts w:ascii="Arial" w:hAnsi="Arial" w:eastAsia="Arial" w:cs="Arial"/>
      <w:sz w:val="34"/>
    </w:rPr>
  </w:style>
  <w:style w:type="character" w:styleId="907" w:customStyle="1">
    <w:name w:val="标题 3 Char1"/>
    <w:link w:val="846"/>
    <w:uiPriority w:val="9"/>
    <w:qFormat/>
    <w:rPr>
      <w:rFonts w:ascii="Arial" w:hAnsi="Arial" w:eastAsia="Arial" w:cs="Arial"/>
      <w:sz w:val="30"/>
      <w:szCs w:val="30"/>
    </w:rPr>
  </w:style>
  <w:style w:type="character" w:styleId="908" w:customStyle="1">
    <w:name w:val="标题 4 Char"/>
    <w:link w:val="847"/>
    <w:uiPriority w:val="9"/>
    <w:qFormat/>
    <w:rPr>
      <w:rFonts w:ascii="Arial" w:hAnsi="Arial" w:eastAsia="Arial" w:cs="Arial"/>
      <w:b/>
      <w:bCs/>
      <w:sz w:val="26"/>
      <w:szCs w:val="26"/>
    </w:rPr>
  </w:style>
  <w:style w:type="character" w:styleId="909" w:customStyle="1">
    <w:name w:val="标题 5 Char"/>
    <w:link w:val="848"/>
    <w:uiPriority w:val="9"/>
    <w:qFormat/>
    <w:rPr>
      <w:rFonts w:ascii="Arial" w:hAnsi="Arial" w:eastAsia="Arial" w:cs="Arial"/>
      <w:b/>
      <w:bCs/>
      <w:sz w:val="24"/>
      <w:szCs w:val="24"/>
    </w:rPr>
  </w:style>
  <w:style w:type="character" w:styleId="910" w:customStyle="1">
    <w:name w:val="标题 6 Char"/>
    <w:link w:val="849"/>
    <w:uiPriority w:val="9"/>
    <w:qFormat/>
    <w:rPr>
      <w:rFonts w:ascii="Arial" w:hAnsi="Arial" w:eastAsia="Arial" w:cs="Arial"/>
      <w:b/>
      <w:bCs/>
      <w:sz w:val="22"/>
      <w:szCs w:val="22"/>
    </w:rPr>
  </w:style>
  <w:style w:type="character" w:styleId="911" w:customStyle="1">
    <w:name w:val="标题 7 Char"/>
    <w:link w:val="850"/>
    <w:uiPriority w:val="9"/>
    <w:qFormat/>
    <w:rPr>
      <w:rFonts w:ascii="Arial" w:hAnsi="Arial" w:eastAsia="Arial" w:cs="Arial"/>
      <w:b/>
      <w:bCs/>
      <w:i/>
      <w:iCs/>
      <w:sz w:val="22"/>
      <w:szCs w:val="22"/>
    </w:rPr>
  </w:style>
  <w:style w:type="character" w:styleId="912" w:customStyle="1">
    <w:name w:val="标题 8 Char"/>
    <w:link w:val="851"/>
    <w:uiPriority w:val="9"/>
    <w:qFormat/>
    <w:rPr>
      <w:rFonts w:ascii="Arial" w:hAnsi="Arial" w:eastAsia="Arial" w:cs="Arial"/>
      <w:i/>
      <w:iCs/>
      <w:sz w:val="22"/>
      <w:szCs w:val="22"/>
    </w:rPr>
  </w:style>
  <w:style w:type="character" w:styleId="913" w:customStyle="1">
    <w:name w:val="标题 9 Char"/>
    <w:link w:val="852"/>
    <w:uiPriority w:val="9"/>
    <w:qFormat/>
    <w:rPr>
      <w:rFonts w:ascii="Arial" w:hAnsi="Arial" w:eastAsia="Arial" w:cs="Arial"/>
      <w:i/>
      <w:iCs/>
      <w:sz w:val="21"/>
      <w:szCs w:val="21"/>
    </w:rPr>
  </w:style>
  <w:style w:type="paragraph" w:styleId="914">
    <w:name w:val="No Spacing"/>
    <w:uiPriority w:val="1"/>
    <w:qFormat/>
    <w:rPr>
      <w:rFonts w:ascii="Times New Roman" w:hAnsi="Times New Roman" w:eastAsia="宋体" w:cs="Times New Roman"/>
      <w:lang w:val="en-US" w:eastAsia="zh-CN" w:bidi="ar-SA"/>
    </w:rPr>
  </w:style>
  <w:style w:type="character" w:styleId="915" w:customStyle="1">
    <w:name w:val="标题 Char"/>
    <w:link w:val="879"/>
    <w:uiPriority w:val="10"/>
    <w:qFormat/>
    <w:rPr>
      <w:sz w:val="48"/>
      <w:szCs w:val="48"/>
    </w:rPr>
  </w:style>
  <w:style w:type="character" w:styleId="916" w:customStyle="1">
    <w:name w:val="副标题 Char"/>
    <w:link w:val="871"/>
    <w:uiPriority w:val="11"/>
    <w:qFormat/>
    <w:rPr>
      <w:sz w:val="24"/>
      <w:szCs w:val="24"/>
    </w:rPr>
  </w:style>
  <w:style w:type="paragraph" w:styleId="917">
    <w:name w:val="Quote"/>
    <w:basedOn w:val="843"/>
    <w:next w:val="843"/>
    <w:link w:val="918"/>
    <w:uiPriority w:val="29"/>
    <w:qFormat/>
    <w:pPr>
      <w:ind w:left="720" w:right="720"/>
    </w:pPr>
    <w:rPr>
      <w:i/>
    </w:rPr>
  </w:style>
  <w:style w:type="character" w:styleId="918" w:customStyle="1">
    <w:name w:val="引用 Char"/>
    <w:link w:val="917"/>
    <w:uiPriority w:val="29"/>
    <w:qFormat/>
    <w:rPr>
      <w:i/>
    </w:rPr>
  </w:style>
  <w:style w:type="paragraph" w:styleId="919">
    <w:name w:val="Intense Quote"/>
    <w:basedOn w:val="843"/>
    <w:next w:val="843"/>
    <w:link w:val="9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明显引用 Char"/>
    <w:link w:val="919"/>
    <w:uiPriority w:val="30"/>
    <w:qFormat/>
    <w:rPr>
      <w:i/>
    </w:rPr>
  </w:style>
  <w:style w:type="character" w:styleId="921" w:customStyle="1">
    <w:name w:val="页眉 Char1"/>
    <w:link w:val="868"/>
    <w:uiPriority w:val="99"/>
    <w:qFormat/>
  </w:style>
  <w:style w:type="character" w:styleId="922" w:customStyle="1">
    <w:name w:val="Footer Char"/>
    <w:link w:val="867"/>
    <w:uiPriority w:val="99"/>
    <w:qFormat/>
  </w:style>
  <w:style w:type="character" w:styleId="923" w:customStyle="1">
    <w:name w:val="页脚 Char1"/>
    <w:link w:val="867"/>
    <w:uiPriority w:val="99"/>
    <w:qFormat/>
  </w:style>
  <w:style w:type="table" w:styleId="9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9" w:customStyle="1">
    <w:name w:val="脚注文本 Char"/>
    <w:link w:val="872"/>
    <w:uiPriority w:val="99"/>
    <w:qFormat/>
    <w:rPr>
      <w:sz w:val="18"/>
    </w:rPr>
  </w:style>
  <w:style w:type="character" w:styleId="1050" w:customStyle="1">
    <w:name w:val="尾注文本 Char"/>
    <w:link w:val="865"/>
    <w:uiPriority w:val="99"/>
    <w:qFormat/>
    <w:rPr>
      <w:sz w:val="20"/>
    </w:rPr>
  </w:style>
  <w:style w:type="paragraph" w:styleId="1051" w:customStyle="1">
    <w:name w:val="TOC 标题1"/>
    <w:uiPriority w:val="39"/>
    <w:unhideWhenUsed/>
    <w:qFormat/>
    <w:rPr>
      <w:rFonts w:ascii="Times New Roman" w:hAnsi="Times New Roman" w:eastAsia="宋体" w:cs="Times New Roman"/>
      <w:lang w:val="en-US" w:eastAsia="zh-CN" w:bidi="ar-SA"/>
    </w:rPr>
  </w:style>
  <w:style w:type="paragraph" w:styleId="1052" w:customStyle="1">
    <w:name w:val="标题 111"/>
    <w:basedOn w:val="843"/>
    <w:next w:val="843"/>
    <w:uiPriority w:val="0"/>
    <w:qFormat/>
    <w:pPr>
      <w:keepLines/>
      <w:keepNext/>
      <w:spacing w:before="340" w:after="330" w:line="578" w:lineRule="auto"/>
      <w:outlineLvl w:val="0"/>
    </w:pPr>
    <w:rPr>
      <w:b/>
      <w:bCs/>
      <w:sz w:val="44"/>
    </w:rPr>
  </w:style>
  <w:style w:type="paragraph" w:styleId="1053" w:customStyle="1">
    <w:name w:val="标题 212"/>
    <w:basedOn w:val="843"/>
    <w:next w:val="843"/>
    <w:uiPriority w:val="0"/>
    <w:qFormat/>
    <w:pPr>
      <w:keepLines/>
      <w:keepNext/>
      <w:spacing w:before="260" w:after="260" w:line="415" w:lineRule="auto"/>
      <w:outlineLvl w:val="1"/>
    </w:pPr>
    <w:rPr>
      <w:rFonts w:ascii="Luxi Sans" w:hAnsi="Luxi Sans" w:eastAsia="黑体"/>
      <w:b/>
      <w:sz w:val="32"/>
    </w:rPr>
  </w:style>
  <w:style w:type="paragraph" w:styleId="1054" w:customStyle="1">
    <w:name w:val="标题 311"/>
    <w:basedOn w:val="843"/>
    <w:next w:val="1055"/>
    <w:uiPriority w:val="0"/>
    <w:qFormat/>
    <w:pPr>
      <w:keepLines/>
      <w:keepNext/>
      <w:spacing w:before="260" w:after="260" w:line="415" w:lineRule="auto"/>
      <w:outlineLvl w:val="2"/>
    </w:pPr>
    <w:rPr>
      <w:b/>
      <w:sz w:val="32"/>
    </w:rPr>
  </w:style>
  <w:style w:type="paragraph" w:styleId="1055" w:customStyle="1">
    <w:name w:val="正文缩进112"/>
    <w:basedOn w:val="843"/>
    <w:next w:val="843"/>
    <w:uiPriority w:val="0"/>
    <w:qFormat/>
    <w:pPr>
      <w:ind w:firstLine="420"/>
    </w:pPr>
    <w:rPr>
      <w:rFonts w:ascii="Times New Roman"/>
      <w:sz w:val="20"/>
      <w:szCs w:val="20"/>
    </w:rPr>
  </w:style>
  <w:style w:type="character" w:styleId="1056" w:customStyle="1">
    <w:name w:val="默认段落字体1"/>
    <w:uiPriority w:val="1"/>
    <w:unhideWhenUsed/>
    <w:qFormat/>
  </w:style>
  <w:style w:type="table" w:styleId="1057" w:customStyle="1">
    <w:name w:val="普通表格1"/>
    <w:uiPriority w:val="99"/>
    <w:unhideWhenUsed/>
    <w:qFormat/>
    <w:tblPr>
      <w:tblCellMar>
        <w:left w:w="0" w:type="dxa"/>
        <w:top w:w="0" w:type="dxa"/>
        <w:right w:w="0" w:type="dxa"/>
        <w:bottom w:w="0" w:type="dxa"/>
      </w:tblCellMar>
    </w:tblPr>
  </w:style>
  <w:style w:type="paragraph" w:styleId="1058" w:customStyle="1">
    <w:name w:val="批注文字11"/>
    <w:basedOn w:val="843"/>
    <w:link w:val="1059"/>
    <w:uiPriority w:val="0"/>
    <w:qFormat/>
  </w:style>
  <w:style w:type="character" w:styleId="1059" w:customStyle="1">
    <w:name w:val="批注文字 Char"/>
    <w:link w:val="1058"/>
    <w:uiPriority w:val="0"/>
    <w:qFormat/>
    <w:rPr>
      <w:rFonts w:ascii="宋体"/>
      <w:sz w:val="22"/>
      <w:szCs w:val="22"/>
      <w:lang w:val="zh-CN"/>
    </w:rPr>
  </w:style>
  <w:style w:type="paragraph" w:styleId="1060" w:customStyle="1">
    <w:name w:val="正文文本11"/>
    <w:basedOn w:val="843"/>
    <w:next w:val="1061"/>
    <w:uiPriority w:val="99"/>
    <w:qFormat/>
    <w:pPr>
      <w:ind w:left="100"/>
      <w:spacing w:before="129"/>
    </w:pPr>
    <w:rPr>
      <w:szCs w:val="20"/>
    </w:rPr>
  </w:style>
  <w:style w:type="paragraph" w:styleId="1061" w:customStyle="1">
    <w:name w:val="正文首行缩进11"/>
    <w:basedOn w:val="1060"/>
    <w:uiPriority w:val="0"/>
    <w:qFormat/>
    <w:pPr>
      <w:ind w:firstLine="420"/>
      <w:spacing w:after="120"/>
      <w:tabs>
        <w:tab w:val="left" w:pos="2020" w:leader="none"/>
        <w:tab w:val="center" w:pos="4535" w:leader="none"/>
      </w:tabs>
    </w:pPr>
    <w:rPr>
      <w:rFonts w:ascii="Times New Roman"/>
      <w:sz w:val="21"/>
    </w:rPr>
  </w:style>
  <w:style w:type="character" w:styleId="1062" w:customStyle="1">
    <w:name w:val="正文文本缩进 Char"/>
    <w:link w:val="899"/>
    <w:uiPriority w:val="99"/>
    <w:qFormat/>
    <w:rPr>
      <w:rFonts w:ascii="宋体" w:hAnsi="宋体" w:cs="宋体"/>
      <w:sz w:val="24"/>
      <w:szCs w:val="24"/>
    </w:rPr>
  </w:style>
  <w:style w:type="paragraph" w:styleId="1063" w:customStyle="1">
    <w:name w:val="批注框文本11"/>
    <w:basedOn w:val="843"/>
    <w:link w:val="1064"/>
    <w:uiPriority w:val="0"/>
    <w:qFormat/>
    <w:rPr>
      <w:sz w:val="18"/>
      <w:szCs w:val="18"/>
    </w:rPr>
  </w:style>
  <w:style w:type="character" w:styleId="1064" w:customStyle="1">
    <w:name w:val="批注框文本 Char"/>
    <w:link w:val="1063"/>
    <w:uiPriority w:val="0"/>
    <w:qFormat/>
    <w:rPr>
      <w:rFonts w:ascii="宋体"/>
      <w:sz w:val="18"/>
      <w:szCs w:val="18"/>
      <w:lang w:val="zh-CN"/>
    </w:rPr>
  </w:style>
  <w:style w:type="paragraph" w:styleId="1065" w:customStyle="1">
    <w:name w:val="页脚11"/>
    <w:basedOn w:val="843"/>
    <w:link w:val="1066"/>
    <w:uiPriority w:val="0"/>
    <w:qFormat/>
    <w:pPr>
      <w:tabs>
        <w:tab w:val="center" w:pos="4153" w:leader="none"/>
        <w:tab w:val="right" w:pos="8306" w:leader="none"/>
      </w:tabs>
    </w:pPr>
    <w:rPr>
      <w:sz w:val="18"/>
      <w:szCs w:val="18"/>
    </w:rPr>
  </w:style>
  <w:style w:type="character" w:styleId="1066" w:customStyle="1">
    <w:name w:val="页脚 Char"/>
    <w:link w:val="1065"/>
    <w:uiPriority w:val="0"/>
    <w:qFormat/>
    <w:rPr>
      <w:rFonts w:ascii="宋体"/>
      <w:sz w:val="18"/>
      <w:szCs w:val="18"/>
      <w:lang w:val="zh-CN"/>
    </w:rPr>
  </w:style>
  <w:style w:type="paragraph" w:styleId="1067" w:customStyle="1">
    <w:name w:val="页眉11"/>
    <w:basedOn w:val="843"/>
    <w:link w:val="1068"/>
    <w:uiPriority w:val="0"/>
    <w:qFormat/>
    <w:pPr>
      <w:jc w:val="center"/>
      <w:tabs>
        <w:tab w:val="center" w:pos="4153" w:leader="none"/>
        <w:tab w:val="right" w:pos="8306" w:leader="none"/>
      </w:tabs>
      <w:pBdr>
        <w:bottom w:val="single" w:color="000000" w:sz="6" w:space="1"/>
      </w:pBdr>
    </w:pPr>
    <w:rPr>
      <w:sz w:val="18"/>
      <w:szCs w:val="18"/>
    </w:rPr>
  </w:style>
  <w:style w:type="character" w:styleId="1068" w:customStyle="1">
    <w:name w:val="页眉 Char"/>
    <w:link w:val="1067"/>
    <w:uiPriority w:val="0"/>
    <w:qFormat/>
    <w:rPr>
      <w:rFonts w:ascii="宋体"/>
      <w:sz w:val="18"/>
      <w:szCs w:val="18"/>
      <w:lang w:val="zh-CN"/>
    </w:rPr>
  </w:style>
  <w:style w:type="paragraph" w:styleId="1069" w:customStyle="1">
    <w:name w:val="普通(网站)11"/>
    <w:basedOn w:val="843"/>
    <w:uiPriority w:val="99"/>
    <w:unhideWhenUsed/>
    <w:qFormat/>
    <w:rPr>
      <w:sz w:val="24"/>
      <w:lang w:val="en-US"/>
    </w:rPr>
  </w:style>
  <w:style w:type="paragraph" w:styleId="1070" w:customStyle="1">
    <w:name w:val="批注主题11"/>
    <w:basedOn w:val="1058"/>
    <w:next w:val="1058"/>
    <w:link w:val="1071"/>
    <w:uiPriority w:val="0"/>
    <w:qFormat/>
    <w:rPr>
      <w:rFonts w:ascii="Times New Roman"/>
      <w:b/>
      <w:bCs/>
      <w:sz w:val="20"/>
      <w:szCs w:val="20"/>
    </w:rPr>
  </w:style>
  <w:style w:type="character" w:styleId="1071" w:customStyle="1">
    <w:name w:val="批注主题 Char"/>
    <w:link w:val="1070"/>
    <w:uiPriority w:val="0"/>
    <w:qFormat/>
    <w:rPr>
      <w:b/>
      <w:bCs/>
      <w:lang w:val="zh-CN"/>
    </w:rPr>
  </w:style>
  <w:style w:type="paragraph" w:styleId="1072" w:customStyle="1">
    <w:name w:val="正文首行缩进 21"/>
    <w:basedOn w:val="899"/>
    <w:next w:val="843"/>
    <w:link w:val="1073"/>
    <w:uiPriority w:val="99"/>
    <w:qFormat/>
    <w:pPr>
      <w:ind w:left="200" w:firstLine="200"/>
    </w:pPr>
    <w:rPr>
      <w:rFonts w:ascii="Arial" w:hAnsi="Arial" w:eastAsia="方正仿宋_GBK"/>
      <w:sz w:val="21"/>
      <w:szCs w:val="20"/>
    </w:rPr>
  </w:style>
  <w:style w:type="character" w:styleId="1073" w:customStyle="1">
    <w:name w:val="正文首行缩进 2 Char"/>
    <w:link w:val="1072"/>
    <w:uiPriority w:val="99"/>
    <w:qFormat/>
    <w:rPr>
      <w:rFonts w:ascii="Arial" w:hAnsi="Arial" w:eastAsia="方正仿宋_GBK" w:cs="Arial"/>
      <w:sz w:val="21"/>
      <w:lang w:val="zh-CN"/>
    </w:rPr>
  </w:style>
  <w:style w:type="table" w:styleId="1074" w:customStyle="1">
    <w:name w:val="网格型1"/>
    <w:basedOn w:val="1057"/>
    <w:uiPriority w:val="0"/>
    <w:qFormat/>
    <w:tblPr>
      <w:tblCellMar>
        <w:left w:w="0" w:type="dxa"/>
        <w:top w:w="0" w:type="dxa"/>
        <w:right w:w="0" w:type="dxa"/>
        <w:bottom w:w="0" w:type="dxa"/>
      </w:tblCellMar>
    </w:tblPr>
  </w:style>
  <w:style w:type="character" w:styleId="1075" w:customStyle="1">
    <w:name w:val="页码1"/>
    <w:uiPriority w:val="0"/>
    <w:qFormat/>
  </w:style>
  <w:style w:type="character" w:styleId="1076" w:customStyle="1">
    <w:name w:val="批注引用1"/>
    <w:uiPriority w:val="0"/>
    <w:qFormat/>
    <w:rPr>
      <w:sz w:val="21"/>
      <w:szCs w:val="21"/>
    </w:rPr>
  </w:style>
  <w:style w:type="paragraph" w:styleId="1077" w:customStyle="1">
    <w:name w:val="正文（缩进）"/>
    <w:basedOn w:val="843"/>
    <w:uiPriority w:val="0"/>
    <w:qFormat/>
    <w:pPr>
      <w:ind w:firstLine="200"/>
      <w:spacing w:line="360" w:lineRule="auto"/>
    </w:pPr>
    <w:rPr>
      <w:sz w:val="24"/>
    </w:rPr>
  </w:style>
  <w:style w:type="paragraph" w:styleId="1078" w:customStyle="1">
    <w:name w:val="标题 11"/>
    <w:basedOn w:val="843"/>
    <w:uiPriority w:val="0"/>
    <w:qFormat/>
    <w:pPr>
      <w:jc w:val="center"/>
      <w:keepNext/>
      <w:outlineLvl w:val="0"/>
    </w:pPr>
    <w:rPr>
      <w:rFonts w:ascii="??_GB2312" w:hAnsi="??_GB2312" w:eastAsia="Times New Roman"/>
      <w:sz w:val="28"/>
      <w:szCs w:val="28"/>
      <w:lang w:val="en-US"/>
    </w:rPr>
  </w:style>
  <w:style w:type="paragraph" w:styleId="1079" w:customStyle="1">
    <w:name w:val="标题 211"/>
    <w:basedOn w:val="843"/>
    <w:uiPriority w:val="0"/>
    <w:qFormat/>
    <w:pPr>
      <w:outlineLvl w:val="1"/>
    </w:pPr>
  </w:style>
  <w:style w:type="paragraph" w:styleId="1080" w:customStyle="1">
    <w:name w:val="标题 31"/>
    <w:basedOn w:val="843"/>
    <w:link w:val="1081"/>
    <w:uiPriority w:val="0"/>
    <w:qFormat/>
    <w:pPr>
      <w:keepLines/>
      <w:keepNext/>
      <w:spacing w:line="413" w:lineRule="auto"/>
      <w:outlineLvl w:val="2"/>
    </w:pPr>
    <w:rPr>
      <w:rFonts w:ascii="Times New Roman"/>
      <w:b/>
      <w:sz w:val="32"/>
      <w:szCs w:val="20"/>
      <w:lang w:val="en-US"/>
    </w:rPr>
  </w:style>
  <w:style w:type="character" w:styleId="1081" w:customStyle="1">
    <w:name w:val="标题 3 Char"/>
    <w:link w:val="1080"/>
    <w:uiPriority w:val="0"/>
    <w:qFormat/>
    <w:rPr>
      <w:rFonts w:ascii="Times New Roman" w:hAnsi="Times New Roman" w:eastAsia="宋体" w:cs="Times New Roman"/>
      <w:b/>
      <w:sz w:val="32"/>
      <w:szCs w:val="20"/>
      <w:lang w:val="en-US" w:eastAsia="zh-CN" w:bidi="ar-SA"/>
    </w:rPr>
  </w:style>
  <w:style w:type="paragraph" w:styleId="1082" w:customStyle="1">
    <w:name w:val="标题 41"/>
    <w:basedOn w:val="843"/>
    <w:uiPriority w:val="0"/>
    <w:qFormat/>
    <w:pPr>
      <w:keepLines/>
      <w:keepNext/>
      <w:spacing w:line="372" w:lineRule="auto"/>
      <w:outlineLvl w:val="3"/>
    </w:pPr>
    <w:rPr>
      <w:rFonts w:ascii="Arial" w:hAnsi="Arial" w:eastAsia="黑体"/>
      <w:b/>
      <w:sz w:val="28"/>
      <w:szCs w:val="20"/>
    </w:rPr>
  </w:style>
  <w:style w:type="paragraph" w:styleId="1083" w:customStyle="1">
    <w:name w:val="正文缩进111"/>
    <w:basedOn w:val="843"/>
    <w:uiPriority w:val="0"/>
    <w:qFormat/>
    <w:pPr>
      <w:ind w:firstLine="420"/>
    </w:pPr>
    <w:rPr>
      <w:rFonts w:ascii="Times New Roman"/>
      <w:sz w:val="20"/>
      <w:szCs w:val="20"/>
    </w:rPr>
  </w:style>
  <w:style w:type="paragraph" w:styleId="1084" w:customStyle="1">
    <w:name w:val="批注文字1"/>
    <w:basedOn w:val="843"/>
    <w:uiPriority w:val="0"/>
    <w:qFormat/>
  </w:style>
  <w:style w:type="character" w:styleId="1085" w:customStyle="1">
    <w:name w:val="正文文本 Char"/>
    <w:link w:val="897"/>
    <w:uiPriority w:val="0"/>
    <w:qFormat/>
    <w:rPr>
      <w:rFonts w:ascii="宋体" w:eastAsia="宋体" w:cs="Times New Roman"/>
      <w:sz w:val="18"/>
      <w:szCs w:val="18"/>
      <w:lang w:val="zh-CN" w:eastAsia="zh-CN" w:bidi="ar-SA"/>
    </w:rPr>
  </w:style>
  <w:style w:type="paragraph" w:styleId="1086" w:customStyle="1">
    <w:name w:val="正文文本缩进1"/>
    <w:basedOn w:val="843"/>
    <w:uiPriority w:val="0"/>
    <w:qFormat/>
    <w:pPr>
      <w:ind w:left="200"/>
      <w:spacing w:after="120"/>
    </w:pPr>
  </w:style>
  <w:style w:type="paragraph" w:styleId="1087" w:customStyle="1">
    <w:name w:val="文本块1"/>
    <w:basedOn w:val="843"/>
    <w:uiPriority w:val="0"/>
    <w:qFormat/>
    <w:pPr>
      <w:ind w:left="256" w:right="6" w:firstLine="624"/>
      <w:spacing w:after="160" w:line="259" w:lineRule="auto"/>
    </w:pPr>
    <w:rPr>
      <w:rFonts w:ascii="Calibri" w:hAnsi="Calibri" w:eastAsia="仿宋_GB2312"/>
      <w:sz w:val="28"/>
      <w:szCs w:val="20"/>
    </w:rPr>
  </w:style>
  <w:style w:type="paragraph" w:styleId="1088" w:customStyle="1">
    <w:name w:val="目录 31"/>
    <w:basedOn w:val="843"/>
    <w:uiPriority w:val="0"/>
    <w:qFormat/>
    <w:pPr>
      <w:ind w:left="400"/>
    </w:pPr>
  </w:style>
  <w:style w:type="paragraph" w:styleId="1089" w:customStyle="1">
    <w:name w:val="纯文本1"/>
    <w:basedOn w:val="843"/>
    <w:link w:val="1136"/>
    <w:uiPriority w:val="0"/>
    <w:qFormat/>
  </w:style>
  <w:style w:type="paragraph" w:styleId="1090" w:customStyle="1">
    <w:name w:val="批注框文本1"/>
    <w:basedOn w:val="843"/>
    <w:uiPriority w:val="0"/>
    <w:qFormat/>
    <w:rPr>
      <w:sz w:val="18"/>
      <w:szCs w:val="18"/>
    </w:rPr>
  </w:style>
  <w:style w:type="paragraph" w:styleId="1091" w:customStyle="1">
    <w:name w:val="页脚1"/>
    <w:basedOn w:val="843"/>
    <w:uiPriority w:val="0"/>
    <w:qFormat/>
    <w:pPr>
      <w:tabs>
        <w:tab w:val="center" w:pos="4153" w:leader="none"/>
        <w:tab w:val="right" w:pos="8306" w:leader="none"/>
      </w:tabs>
    </w:pPr>
    <w:rPr>
      <w:sz w:val="18"/>
      <w:szCs w:val="20"/>
    </w:rPr>
  </w:style>
  <w:style w:type="paragraph" w:styleId="1092" w:customStyle="1">
    <w:name w:val="寄信人地址1"/>
    <w:basedOn w:val="843"/>
    <w:uiPriority w:val="0"/>
    <w:qFormat/>
    <w:rPr>
      <w:rFonts w:ascii="Arial" w:hAnsi="Arial" w:eastAsia="仿宋"/>
    </w:rPr>
  </w:style>
  <w:style w:type="paragraph" w:styleId="1093" w:customStyle="1">
    <w:name w:val="页眉1"/>
    <w:basedOn w:val="843"/>
    <w:uiPriority w:val="0"/>
    <w:qFormat/>
    <w:pPr>
      <w:jc w:val="center"/>
      <w:tabs>
        <w:tab w:val="center" w:pos="4153" w:leader="none"/>
        <w:tab w:val="right" w:pos="8306" w:leader="none"/>
      </w:tabs>
      <w:pBdr>
        <w:bottom w:val="single" w:color="000000" w:sz="6" w:space="1"/>
      </w:pBdr>
    </w:pPr>
    <w:rPr>
      <w:sz w:val="18"/>
      <w:szCs w:val="18"/>
    </w:rPr>
  </w:style>
  <w:style w:type="paragraph" w:styleId="1094" w:customStyle="1">
    <w:name w:val="索引标题1"/>
    <w:basedOn w:val="843"/>
    <w:uiPriority w:val="0"/>
    <w:qFormat/>
    <w:rPr>
      <w:rFonts w:ascii="DejaVu Sans" w:hAnsi="DejaVu Sans"/>
      <w:b/>
    </w:rPr>
  </w:style>
  <w:style w:type="paragraph" w:styleId="1095" w:customStyle="1">
    <w:name w:val="索引 11"/>
    <w:basedOn w:val="843"/>
    <w:next w:val="843"/>
    <w:uiPriority w:val="0"/>
    <w:qFormat/>
  </w:style>
  <w:style w:type="paragraph" w:styleId="1096" w:customStyle="1">
    <w:name w:val="目录 41"/>
    <w:basedOn w:val="843"/>
    <w:uiPriority w:val="0"/>
    <w:qFormat/>
    <w:pPr>
      <w:ind w:left="600"/>
    </w:pPr>
  </w:style>
  <w:style w:type="paragraph" w:styleId="1097" w:customStyle="1">
    <w:name w:val="普通(网站)1"/>
    <w:basedOn w:val="843"/>
    <w:uiPriority w:val="0"/>
    <w:qFormat/>
    <w:rPr>
      <w:sz w:val="24"/>
      <w:lang w:val="en-US"/>
    </w:rPr>
  </w:style>
  <w:style w:type="paragraph" w:styleId="1098" w:customStyle="1">
    <w:name w:val="批注主题1"/>
    <w:uiPriority w:val="0"/>
    <w:qFormat/>
    <w:pPr>
      <w:widowControl w:val="off"/>
    </w:pPr>
    <w:rPr>
      <w:rFonts w:ascii="Times New Roman" w:hAnsi="Times New Roman" w:eastAsia="宋体" w:cs="Times New Roman"/>
      <w:b/>
      <w:bCs/>
      <w:sz w:val="21"/>
      <w:szCs w:val="24"/>
      <w:lang w:val="en-US" w:eastAsia="zh-CN" w:bidi="ar-SA"/>
    </w:rPr>
  </w:style>
  <w:style w:type="paragraph" w:styleId="1099" w:customStyle="1">
    <w:name w:val="正文首行缩进1"/>
    <w:basedOn w:val="897"/>
    <w:next w:val="1072"/>
    <w:uiPriority w:val="0"/>
    <w:qFormat/>
    <w:pPr>
      <w:ind w:firstLine="100"/>
      <w:spacing w:after="120"/>
      <w:tabs>
        <w:tab w:val="left" w:pos="2020" w:leader="none"/>
        <w:tab w:val="center" w:pos="4535" w:leader="none"/>
      </w:tabs>
    </w:pPr>
    <w:rPr>
      <w:rFonts w:ascii="Times New Roman"/>
      <w:sz w:val="21"/>
    </w:rPr>
  </w:style>
  <w:style w:type="paragraph" w:styleId="1100" w:customStyle="1">
    <w:name w:val="UserStyle_0"/>
    <w:basedOn w:val="843"/>
    <w:uiPriority w:val="0"/>
    <w:qFormat/>
    <w:pPr>
      <w:jc w:val="both"/>
    </w:pPr>
    <w:rPr>
      <w:rFonts w:ascii="仿宋_GB2312" w:eastAsia="仿宋_GB2312"/>
      <w:b/>
      <w:sz w:val="32"/>
      <w:szCs w:val="32"/>
      <w:lang w:val="en-US"/>
    </w:rPr>
  </w:style>
  <w:style w:type="paragraph" w:styleId="1101" w:customStyle="1">
    <w:name w:val="Normal_2"/>
    <w:uiPriority w:val="0"/>
    <w:qFormat/>
    <w:rPr>
      <w:rFonts w:ascii="Times New Roman" w:hAnsi="Times New Roman" w:eastAsia="Times New Roman" w:cs="Times New Roman"/>
      <w:sz w:val="24"/>
      <w:szCs w:val="24"/>
      <w:lang w:val="en-US" w:eastAsia="zh-CN" w:bidi="ar-SA"/>
    </w:rPr>
  </w:style>
  <w:style w:type="paragraph" w:styleId="110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03" w:customStyle="1">
    <w:name w:val="Char1"/>
    <w:basedOn w:val="843"/>
    <w:uiPriority w:val="0"/>
    <w:qFormat/>
  </w:style>
  <w:style w:type="paragraph" w:styleId="1104" w:customStyle="1">
    <w:name w:val="Normal_3"/>
    <w:uiPriority w:val="0"/>
    <w:qFormat/>
    <w:rPr>
      <w:rFonts w:ascii="Times New Roman" w:hAnsi="Times New Roman" w:eastAsia="Times New Roman" w:cs="Times New Roman"/>
      <w:sz w:val="24"/>
      <w:szCs w:val="24"/>
      <w:lang w:val="en-US" w:eastAsia="zh-CN" w:bidi="ar-SA"/>
    </w:rPr>
  </w:style>
  <w:style w:type="paragraph" w:styleId="1105" w:customStyle="1">
    <w:name w:val="Char"/>
    <w:basedOn w:val="843"/>
    <w:uiPriority w:val="0"/>
    <w:qFormat/>
    <w:rPr>
      <w:sz w:val="24"/>
    </w:rPr>
  </w:style>
  <w:style w:type="paragraph" w:styleId="1106" w:customStyle="1">
    <w:name w:val="No Spacing1"/>
    <w:uiPriority w:val="0"/>
    <w:qFormat/>
    <w:pPr>
      <w:jc w:val="both"/>
      <w:widowControl w:val="off"/>
    </w:pPr>
    <w:rPr>
      <w:rFonts w:ascii="Calibri" w:hAnsi="Calibri" w:eastAsia="宋体" w:cs="Times New Roman"/>
      <w:sz w:val="21"/>
      <w:szCs w:val="22"/>
      <w:lang w:val="en-US" w:eastAsia="zh-CN" w:bidi="ar-SA"/>
    </w:rPr>
  </w:style>
  <w:style w:type="paragraph" w:styleId="1107" w:customStyle="1">
    <w:name w:val="02-标书-标题2"/>
    <w:uiPriority w:val="0"/>
    <w:qFormat/>
    <w:pPr>
      <w:ind w:left="567" w:hanging="567"/>
      <w:spacing w:line="360" w:lineRule="auto"/>
      <w:tabs>
        <w:tab w:val="left" w:pos="567" w:leader="none"/>
      </w:tabs>
      <w:outlineLvl w:val="1"/>
    </w:pPr>
    <w:rPr>
      <w:rFonts w:ascii="黑体" w:hAnsi="Times New Roman" w:eastAsia="黑体" w:cs="Times New Roman"/>
      <w:sz w:val="32"/>
      <w:szCs w:val="28"/>
      <w:lang w:val="en-US" w:eastAsia="zh-CN" w:bidi="ar-SA"/>
    </w:rPr>
  </w:style>
  <w:style w:type="paragraph" w:styleId="1108" w:customStyle="1">
    <w:name w:val="列出段落12"/>
    <w:basedOn w:val="843"/>
    <w:uiPriority w:val="0"/>
    <w:qFormat/>
    <w:pPr>
      <w:ind w:firstLine="200"/>
    </w:pPr>
  </w:style>
  <w:style w:type="paragraph" w:styleId="1109" w:customStyle="1">
    <w:name w:val="普通正文"/>
    <w:basedOn w:val="843"/>
    <w:uiPriority w:val="0"/>
    <w:qFormat/>
    <w:pPr>
      <w:ind w:firstLine="480"/>
      <w:spacing w:before="120" w:after="120" w:line="360" w:lineRule="auto"/>
    </w:pPr>
    <w:rPr>
      <w:rFonts w:ascii="Arial" w:hAnsi="Arial"/>
      <w:sz w:val="24"/>
      <w:szCs w:val="24"/>
    </w:rPr>
  </w:style>
  <w:style w:type="paragraph" w:styleId="1110" w:customStyle="1">
    <w:name w:val="正文缩进11"/>
    <w:basedOn w:val="843"/>
    <w:uiPriority w:val="0"/>
    <w:qFormat/>
    <w:pPr>
      <w:ind w:firstLine="420"/>
    </w:pPr>
  </w:style>
  <w:style w:type="paragraph" w:styleId="1111" w:customStyle="1">
    <w:name w:val="列出段落1"/>
    <w:basedOn w:val="843"/>
    <w:uiPriority w:val="0"/>
    <w:qFormat/>
    <w:pPr>
      <w:ind w:firstLine="200"/>
    </w:pPr>
  </w:style>
  <w:style w:type="paragraph" w:styleId="1112" w:customStyle="1">
    <w:name w:val="Normal_5"/>
    <w:uiPriority w:val="0"/>
    <w:qFormat/>
    <w:rPr>
      <w:rFonts w:ascii="Times New Roman" w:hAnsi="Times New Roman" w:eastAsia="Times New Roman" w:cs="Times New Roman"/>
      <w:sz w:val="24"/>
      <w:szCs w:val="24"/>
      <w:lang w:val="en-US" w:eastAsia="zh-CN" w:bidi="ar-SA"/>
    </w:rPr>
  </w:style>
  <w:style w:type="paragraph" w:styleId="1113" w:customStyle="1">
    <w:name w:val="首行缩进"/>
    <w:basedOn w:val="843"/>
    <w:uiPriority w:val="0"/>
    <w:qFormat/>
    <w:pPr>
      <w:ind w:firstLine="200"/>
    </w:pPr>
    <w:rPr>
      <w:szCs w:val="20"/>
    </w:rPr>
  </w:style>
  <w:style w:type="paragraph" w:styleId="1114" w:customStyle="1">
    <w:name w:val="List Paragraph11"/>
    <w:basedOn w:val="843"/>
    <w:uiPriority w:val="0"/>
    <w:qFormat/>
    <w:pPr>
      <w:ind w:firstLine="200"/>
    </w:pPr>
    <w:rPr>
      <w:rFonts w:ascii="Calibri" w:hAnsi="Calibri" w:eastAsia="等线"/>
    </w:rPr>
  </w:style>
  <w:style w:type="paragraph" w:styleId="1115" w:customStyle="1">
    <w:name w:val="列出段落11"/>
    <w:basedOn w:val="843"/>
    <w:uiPriority w:val="0"/>
    <w:qFormat/>
    <w:pPr>
      <w:contextualSpacing/>
      <w:ind w:left="720"/>
      <w:widowControl/>
    </w:pPr>
    <w:rPr>
      <w:rFonts w:ascii="Calibri" w:hAnsi="Calibri"/>
      <w:sz w:val="24"/>
      <w:szCs w:val="24"/>
      <w:lang w:eastAsia="en-US"/>
    </w:rPr>
  </w:style>
  <w:style w:type="paragraph" w:styleId="1116" w:customStyle="1">
    <w:name w:val="_Style 8"/>
    <w:basedOn w:val="843"/>
    <w:uiPriority w:val="0"/>
    <w:qFormat/>
    <w:pPr>
      <w:ind w:left="720"/>
      <w:widowControl/>
    </w:pPr>
    <w:rPr>
      <w:rFonts w:ascii="Times New Roman"/>
      <w:sz w:val="24"/>
      <w:szCs w:val="24"/>
      <w:lang w:eastAsia="en-US"/>
    </w:rPr>
  </w:style>
  <w:style w:type="paragraph" w:styleId="1117" w:customStyle="1">
    <w:name w:val="修订1"/>
    <w:uiPriority w:val="0"/>
    <w:qFormat/>
    <w:rPr>
      <w:rFonts w:ascii="宋体" w:hAnsi="Times New Roman" w:eastAsia="宋体" w:cs="Times New Roman"/>
      <w:sz w:val="22"/>
      <w:szCs w:val="22"/>
      <w:lang w:val="zh-CN" w:eastAsia="zh-CN" w:bidi="ar-SA"/>
    </w:rPr>
  </w:style>
  <w:style w:type="paragraph" w:styleId="1118" w:customStyle="1">
    <w:name w:val="Other|1"/>
    <w:uiPriority w:val="0"/>
    <w:qFormat/>
    <w:pPr>
      <w:ind w:firstLine="400"/>
      <w:jc w:val="both"/>
      <w:spacing w:line="418" w:lineRule="auto"/>
      <w:widowControl w:val="off"/>
    </w:pPr>
    <w:rPr>
      <w:rFonts w:ascii="宋体" w:hAnsi="Times New Roman" w:eastAsia="宋体" w:cs="Times New Roman"/>
      <w:b/>
      <w:bCs/>
      <w:sz w:val="32"/>
      <w:szCs w:val="32"/>
      <w:lang w:val="zh-TW" w:eastAsia="zh-TW" w:bidi="zh-TW"/>
    </w:rPr>
  </w:style>
  <w:style w:type="paragraph" w:styleId="1119" w:customStyle="1">
    <w:name w:val="二级目录"/>
    <w:uiPriority w:val="0"/>
    <w:qFormat/>
    <w:pPr>
      <w:ind w:left="907" w:hanging="907"/>
      <w:tabs>
        <w:tab w:val="left" w:pos="907" w:leader="none"/>
        <w:tab w:val="left" w:pos="1145" w:leader="none"/>
      </w:tabs>
      <w:outlineLvl w:val="1"/>
    </w:pPr>
    <w:rPr>
      <w:rFonts w:ascii="Times New Roman" w:hAnsi="Times New Roman" w:eastAsia="宋体" w:cs="Times New Roman"/>
      <w:b/>
      <w:sz w:val="28"/>
      <w:lang w:val="en-US" w:eastAsia="zh-CN" w:bidi="ar-SA"/>
    </w:rPr>
  </w:style>
  <w:style w:type="paragraph" w:styleId="1120" w:customStyle="1">
    <w:name w:val="列出段落2"/>
    <w:uiPriority w:val="0"/>
    <w:qFormat/>
    <w:pPr>
      <w:ind w:firstLine="420"/>
      <w:jc w:val="both"/>
      <w:widowControl w:val="off"/>
    </w:pPr>
    <w:rPr>
      <w:rFonts w:ascii="Times New Roman" w:hAnsi="Times New Roman" w:eastAsia="宋体" w:cs="Times New Roman"/>
      <w:sz w:val="21"/>
      <w:szCs w:val="22"/>
      <w:lang w:val="en-US" w:eastAsia="zh-CN" w:bidi="ar-SA"/>
    </w:rPr>
  </w:style>
  <w:style w:type="paragraph" w:styleId="1121" w:customStyle="1">
    <w:name w:val="标题 21"/>
    <w:basedOn w:val="843"/>
    <w:uiPriority w:val="0"/>
    <w:qFormat/>
    <w:pPr>
      <w:jc w:val="center"/>
      <w:keepLines/>
      <w:keepNext/>
      <w:spacing w:before="260" w:after="260" w:line="415" w:lineRule="auto"/>
      <w:outlineLvl w:val="1"/>
    </w:pPr>
    <w:rPr>
      <w:rFonts w:ascii="幼圆" w:hAnsi="幼圆" w:eastAsia="楷体_GB2312"/>
      <w:b/>
      <w:sz w:val="44"/>
      <w:szCs w:val="20"/>
    </w:rPr>
  </w:style>
  <w:style w:type="paragraph" w:styleId="1122" w:customStyle="1">
    <w:name w:val="列出段落3"/>
    <w:basedOn w:val="843"/>
    <w:uiPriority w:val="34"/>
    <w:qFormat/>
    <w:pPr>
      <w:ind w:firstLine="420"/>
    </w:pPr>
  </w:style>
  <w:style w:type="paragraph" w:styleId="1123" w:customStyle="1">
    <w:name w:val="Normal_3_0"/>
    <w:uiPriority w:val="0"/>
    <w:qFormat/>
    <w:rPr>
      <w:rFonts w:ascii="Times New Roman" w:hAnsi="Times New Roman" w:eastAsia="Times New Roman" w:cs="Times New Roman"/>
      <w:sz w:val="24"/>
      <w:szCs w:val="24"/>
      <w:lang w:val="en-US" w:eastAsia="zh-CN" w:bidi="ar-SA"/>
    </w:rPr>
  </w:style>
  <w:style w:type="paragraph" w:styleId="1124" w:customStyle="1">
    <w:name w:val="正文_5"/>
    <w:uiPriority w:val="0"/>
    <w:qFormat/>
    <w:rPr>
      <w:rFonts w:ascii="Times New Roman" w:hAnsi="Times New Roman" w:eastAsia="宋体" w:cs="Times New Roman"/>
      <w:sz w:val="24"/>
      <w:szCs w:val="24"/>
      <w:lang w:val="en-US" w:eastAsia="zh-CN" w:bidi="ar-SA"/>
    </w:rPr>
  </w:style>
  <w:style w:type="character" w:styleId="1125" w:customStyle="1">
    <w:name w:val="font41"/>
    <w:uiPriority w:val="0"/>
    <w:qFormat/>
    <w:rPr>
      <w:rFonts w:hint="eastAsia" w:ascii="宋体" w:hAnsi="宋体" w:eastAsia="宋体" w:cs="宋体"/>
      <w:color w:val="000000"/>
      <w:sz w:val="22"/>
      <w:szCs w:val="22"/>
      <w:u w:val="none"/>
    </w:rPr>
  </w:style>
  <w:style w:type="paragraph" w:styleId="1126" w:customStyle="1">
    <w:name w:val="text-tag"/>
    <w:basedOn w:val="843"/>
    <w:uiPriority w:val="99"/>
    <w:semiHidden/>
    <w:qFormat/>
    <w:pPr>
      <w:spacing w:before="100" w:beforeAutospacing="1" w:after="100" w:afterAutospacing="1"/>
      <w:widowControl/>
    </w:pPr>
    <w:rPr>
      <w:rFonts w:hAnsi="宋体" w:cs="宋体"/>
      <w:sz w:val="24"/>
    </w:rPr>
  </w:style>
  <w:style w:type="paragraph" w:styleId="1127" w:customStyle="1">
    <w:name w:val="正文文本样式"/>
    <w:basedOn w:val="843"/>
    <w:uiPriority w:val="99"/>
    <w:qFormat/>
    <w:pPr>
      <w:ind w:firstLine="482"/>
      <w:spacing w:line="360" w:lineRule="auto"/>
      <w:widowControl/>
    </w:pPr>
    <w:rPr>
      <w:rFonts w:hAnsi="宋体" w:cs="宋体"/>
      <w:sz w:val="24"/>
    </w:rPr>
  </w:style>
  <w:style w:type="paragraph" w:styleId="1128">
    <w:name w:val="List Paragraph"/>
    <w:basedOn w:val="843"/>
    <w:uiPriority w:val="34"/>
    <w:qFormat/>
    <w:pPr>
      <w:ind w:firstLine="420"/>
    </w:pPr>
  </w:style>
  <w:style w:type="paragraph" w:styleId="1129" w:customStyle="1">
    <w:name w:val="Normal_15"/>
    <w:uiPriority w:val="0"/>
    <w:qFormat/>
    <w:pPr>
      <w:jc w:val="both"/>
      <w:widowControl w:val="off"/>
    </w:pPr>
    <w:rPr>
      <w:rFonts w:ascii="Calibri" w:hAnsi="Calibri" w:eastAsia="宋体" w:cs="Times New Roman"/>
      <w:sz w:val="21"/>
      <w:szCs w:val="22"/>
      <w:lang w:val="en-US" w:eastAsia="zh-CN" w:bidi="ar-SA"/>
    </w:rPr>
  </w:style>
  <w:style w:type="table" w:styleId="1130" w:customStyle="1">
    <w:name w:val="Table Normal"/>
    <w:uiPriority w:val="0"/>
    <w:semiHidden/>
    <w:unhideWhenUsed/>
    <w:qFormat/>
    <w:tblPr>
      <w:tblCellMar>
        <w:left w:w="0" w:type="dxa"/>
        <w:top w:w="0" w:type="dxa"/>
        <w:right w:w="0" w:type="dxa"/>
        <w:bottom w:w="0" w:type="dxa"/>
      </w:tblCellMar>
    </w:tblPr>
  </w:style>
  <w:style w:type="paragraph" w:styleId="1131"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1132" w:customStyle="1">
    <w:name w:val="默认段落字体11"/>
    <w:uiPriority w:val="1"/>
    <w:unhideWhenUsed/>
    <w:qFormat/>
  </w:style>
  <w:style w:type="character" w:styleId="1133" w:customStyle="1">
    <w:name w:val="NormalCharacter"/>
    <w:uiPriority w:val="99"/>
    <w:qFormat/>
  </w:style>
  <w:style w:type="paragraph" w:styleId="1134" w:customStyle="1">
    <w:name w:val="Normal_1"/>
    <w:uiPriority w:val="0"/>
    <w:qFormat/>
    <w:rPr>
      <w:rFonts w:ascii="Times New Roman" w:hAnsi="Times New Roman" w:eastAsia="Times New Roman" w:cs="Times New Roman"/>
      <w:sz w:val="24"/>
      <w:szCs w:val="24"/>
      <w:lang w:val="en-US" w:eastAsia="zh-CN" w:bidi="ar-SA"/>
    </w:rPr>
  </w:style>
  <w:style w:type="character" w:styleId="1135" w:customStyle="1">
    <w:name w:val="titlebody"/>
    <w:uiPriority w:val="0"/>
    <w:qFormat/>
    <w:rPr>
      <w:rFonts w:ascii="宋体" w:hAnsi="宋体" w:eastAsia="宋体" w:cs="宋体"/>
      <w:b/>
      <w:bCs/>
      <w:color w:val="000000"/>
      <w:sz w:val="24"/>
      <w:szCs w:val="24"/>
    </w:rPr>
  </w:style>
  <w:style w:type="character" w:styleId="1136" w:customStyle="1">
    <w:name w:val="纯文本 Char"/>
    <w:link w:val="1089"/>
    <w:uiPriority w:val="0"/>
    <w:qFormat/>
  </w:style>
  <w:style w:type="paragraph" w:styleId="1137" w:customStyle="1">
    <w:name w:val="00-合正"/>
    <w:basedOn w:val="843"/>
    <w:uiPriority w:val="0"/>
    <w:qFormat/>
    <w:pPr>
      <w:ind w:firstLine="200"/>
      <w:spacing w:line="560" w:lineRule="exact"/>
    </w:pPr>
    <w:rPr>
      <w:rFonts w:ascii="楷体" w:hAnsi="楷体" w:eastAsia="楷体"/>
      <w:color w:val="000000"/>
      <w:sz w:val="28"/>
    </w:rPr>
  </w:style>
  <w:style w:type="character" w:styleId="1138" w:customStyle="1">
    <w:name w:val="font71"/>
    <w:uiPriority w:val="0"/>
    <w:qFormat/>
    <w:rPr>
      <w:rFonts w:hint="default" w:ascii="方正仿宋_GBK" w:hAnsi="方正仿宋_GBK" w:eastAsia="方正仿宋_GBK" w:cs="方正仿宋_GBK"/>
      <w:b/>
      <w:bCs/>
      <w:color w:val="000000"/>
      <w:sz w:val="24"/>
      <w:szCs w:val="24"/>
      <w:u w:val="none"/>
    </w:rPr>
  </w:style>
  <w:style w:type="character" w:styleId="1139" w:customStyle="1">
    <w:name w:val="font51"/>
    <w:uiPriority w:val="0"/>
    <w:qFormat/>
    <w:rPr>
      <w:rFonts w:hint="eastAsia" w:ascii="宋体" w:hAnsi="宋体" w:eastAsia="宋体" w:cs="宋体"/>
      <w:color w:val="000000"/>
      <w:sz w:val="22"/>
      <w:szCs w:val="22"/>
      <w:u w:val="none"/>
    </w:rPr>
  </w:style>
  <w:style w:type="character" w:styleId="1140" w:customStyle="1">
    <w:name w:val="font81"/>
    <w:uiPriority w:val="0"/>
    <w:qFormat/>
    <w:rPr>
      <w:rFonts w:hint="default" w:ascii="方正仿宋_GBK" w:hAnsi="方正仿宋_GBK" w:eastAsia="方正仿宋_GBK" w:cs="方正仿宋_GBK"/>
      <w:color w:val="000000"/>
      <w:sz w:val="24"/>
      <w:szCs w:val="24"/>
      <w:u w:val="none"/>
    </w:rPr>
  </w:style>
  <w:style w:type="character" w:styleId="1141" w:customStyle="1">
    <w:name w:val="批注框文本 Char1"/>
    <w:basedOn w:val="853"/>
    <w:link w:val="866"/>
    <w:uiPriority w:val="99"/>
    <w:semiHidden/>
    <w:rPr>
      <w:rFonts w:ascii="宋体"/>
      <w:sz w:val="18"/>
      <w:szCs w:val="18"/>
      <w:lang w:val="zh-CN"/>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2"/>
    <customShpInfo spid="_x0000_s2051"/>
    <customShpInfo spid="_x0000_s2050"/>
    <customShpInfo spid="_x0000_s2049"/>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雷舒</cp:lastModifiedBy>
  <cp:revision>17</cp:revision>
  <dcterms:created xsi:type="dcterms:W3CDTF">2026-04-30T07:38:00Z</dcterms:created>
  <dcterms:modified xsi:type="dcterms:W3CDTF">2026-05-20T07:38:46Z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6FA8FE90DB314162AD59C341C768E5D8_13</vt:lpwstr>
  </property>
  <property fmtid="{D5CDD505-2E9C-101B-9397-08002B2CF9AE}" pid="4" name="KSOTemplateDocerSaveRecord">
    <vt:lpwstr>eyJoZGlkIjoiODY2NTNhNjc0MmUwZTE1M2ZlYjRjY2YwYTU3ZDdhYmIiLCJ1c2VySWQiOiI0NjE2NjUyNjkifQ==</vt:lpwstr>
  </property>
</Properties>
</file>