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南通大学附属医院</w:t>
      </w:r>
      <w:r/>
    </w:p>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u w:val="single"/>
        </w:rPr>
        <w:t xml:space="preserve">医用血管造影X射线系统维保服务</w:t>
      </w:r>
      <w:r>
        <w:rPr>
          <w:rFonts w:ascii="SimSun" w:hAnsi="SimSun" w:eastAsia="SimSun" w:cs="SimSun"/>
          <w:b/>
          <w:color w:val="000000"/>
          <w:sz w:val="44"/>
        </w:rPr>
        <w:t xml:space="preserve">采购项目</w:t>
      </w:r>
      <w:r/>
    </w:p>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96"/>
        </w:rPr>
        <w:t xml:space="preserve">招　标　文　件</w:t>
      </w:r>
      <w:r/>
    </w:p>
    <w:p>
      <w:pPr>
        <w:ind w:left="0" w:right="0" w:firstLine="0"/>
        <w:jc w:val="center"/>
        <w:spacing w:before="120" w:after="12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120" w:after="12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项目编号：JSZC-320000-SHGK-G2026-0037</w:t>
      </w:r>
      <w:r/>
    </w:p>
    <w:p>
      <w:pPr>
        <w:ind w:left="0" w:right="0" w:firstLine="0"/>
        <w:jc w:val="center"/>
        <w:spacing w:before="120" w:after="12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采购人：南通大学附属医院</w:t>
      </w:r>
      <w:r/>
    </w:p>
    <w:p>
      <w:pPr>
        <w:ind w:left="0" w:right="0" w:firstLine="0"/>
        <w:jc w:val="center"/>
        <w:spacing w:before="120" w:after="12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采购代理机构：江苏苏豪创新科技集团高科有限公司</w:t>
      </w:r>
      <w:r/>
    </w:p>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40"/>
          <w:sz w:val="36"/>
        </w:rPr>
        <w:t xml:space="preserve">二○二六年五月</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spacing w:before="0" w:after="160" w:line="22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pStyle w:val="709"/>
        <w:ind w:left="0" w:right="0" w:firstLine="0"/>
        <w:jc w:val="center"/>
        <w:spacing w:before="480" w:after="20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0"/>
        </w:rPr>
        <w:t xml:space="preserve"> 目  录</w:t>
      </w:r>
      <w:r/>
    </w:p>
    <w:p>
      <w:pPr>
        <w:ind w:left="0" w:right="0" w:firstLine="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numPr>
          <w:ilvl w:val="0"/>
          <w:numId w:val="9"/>
        </w:numPr>
        <w:jc w:val="both"/>
        <w:spacing w:before="240" w:after="160" w:line="229" w:lineRule="atLeast"/>
        <w:tabs>
          <w:tab w:val="left" w:pos="14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招标公告</w:t>
      </w:r>
      <w:r/>
    </w:p>
    <w:p>
      <w:pPr>
        <w:numPr>
          <w:ilvl w:val="0"/>
          <w:numId w:val="9"/>
        </w:numPr>
        <w:jc w:val="both"/>
        <w:spacing w:before="240" w:after="160" w:line="229" w:lineRule="atLeast"/>
        <w:tabs>
          <w:tab w:val="left" w:pos="14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投标人须知</w:t>
      </w:r>
      <w:r/>
    </w:p>
    <w:p>
      <w:pPr>
        <w:numPr>
          <w:ilvl w:val="0"/>
          <w:numId w:val="9"/>
        </w:numPr>
        <w:jc w:val="both"/>
        <w:spacing w:before="240" w:after="160" w:line="229" w:lineRule="atLeast"/>
        <w:tabs>
          <w:tab w:val="left" w:pos="14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合同文本</w:t>
      </w:r>
      <w:r/>
    </w:p>
    <w:p>
      <w:pPr>
        <w:numPr>
          <w:ilvl w:val="0"/>
          <w:numId w:val="9"/>
        </w:numPr>
        <w:jc w:val="both"/>
        <w:spacing w:before="240" w:after="160" w:line="229" w:lineRule="atLeast"/>
        <w:tabs>
          <w:tab w:val="left" w:pos="14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采购需求</w:t>
      </w:r>
      <w:r/>
    </w:p>
    <w:p>
      <w:pPr>
        <w:numPr>
          <w:ilvl w:val="0"/>
          <w:numId w:val="9"/>
        </w:numPr>
        <w:jc w:val="both"/>
        <w:spacing w:before="240" w:after="160" w:line="229" w:lineRule="atLeast"/>
        <w:tabs>
          <w:tab w:val="left" w:pos="14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评标方法与评标标准</w:t>
      </w:r>
      <w:r/>
    </w:p>
    <w:p>
      <w:pPr>
        <w:numPr>
          <w:ilvl w:val="0"/>
          <w:numId w:val="9"/>
        </w:numPr>
        <w:jc w:val="both"/>
        <w:spacing w:before="240" w:after="160" w:line="229" w:lineRule="atLeast"/>
        <w:tabs>
          <w:tab w:val="left" w:pos="14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投标文件格式</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pStyle w:val="709"/>
        <w:ind w:left="0" w:right="0" w:firstLine="0"/>
        <w:jc w:val="center"/>
        <w:spacing w:before="480" w:after="200" w:line="460" w:lineRule="atLeast"/>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40"/>
        </w:rPr>
        <w:t xml:space="preserve">第一章  招标公告</w:t>
      </w:r>
      <w:r/>
    </w:p>
    <w:p>
      <w:pPr>
        <w:ind w:left="0" w:right="0" w:firstLine="56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受[南通大学附属医院]的委托，江苏苏豪创新科技集团高科有限公司就[医用血管造影X射线系统维保服务采购项目]([JSZC-320000-SHGK-G2026-0037])项目进行公开招标采购，欢迎符合条件的供应商投标。</w:t>
      </w:r>
      <w:r/>
    </w:p>
    <w:p>
      <w:pPr>
        <w:ind w:left="0" w:right="0" w:firstLine="560"/>
        <w:jc w:val="both"/>
        <w:spacing w:before="0" w:after="160" w:line="479" w:lineRule="atLeast"/>
        <w:pBdr>
          <w:top w:val="single" w:color="000000" w:sz="4" w:space="0"/>
          <w:left w:val="single" w:color="000000" w:sz="4" w:space="0"/>
          <w:bottom w:val="single" w:color="000000" w:sz="4" w:space="0"/>
          <w:right w:val="single" w:color="000000" w:sz="4" w:space="0"/>
        </w:pBdr>
      </w:pPr>
      <w:r>
        <w:rPr>
          <w:rFonts w:ascii="FangSong" w:hAnsi="FangSong" w:eastAsia="FangSong" w:cs="FangSong"/>
          <w:color w:val="000000"/>
          <w:sz w:val="28"/>
        </w:rPr>
        <w:t xml:space="preserve">项目概况</w:t>
      </w:r>
      <w:r/>
    </w:p>
    <w:p>
      <w:pPr>
        <w:ind w:left="0" w:right="0" w:firstLine="560"/>
        <w:jc w:val="both"/>
        <w:spacing w:before="0" w:after="160" w:line="479" w:lineRule="atLeast"/>
        <w:pBdr>
          <w:top w:val="single" w:color="000000" w:sz="4" w:space="0"/>
          <w:left w:val="single" w:color="000000" w:sz="4" w:space="0"/>
          <w:bottom w:val="single" w:color="000000" w:sz="4" w:space="0"/>
          <w:right w:val="single" w:color="000000" w:sz="4" w:space="0"/>
        </w:pBdr>
      </w:pPr>
      <w:r>
        <w:rPr>
          <w:rFonts w:ascii="FangSong" w:hAnsi="FangSong" w:eastAsia="FangSong" w:cs="FangSong"/>
          <w:color w:val="000000"/>
          <w:sz w:val="28"/>
        </w:rPr>
        <w:t xml:space="preserve">南通大学附属医院医用血管造影X射线系统维保服务采购项目的潜在投标人可在</w:t>
      </w:r>
      <w:r>
        <w:rPr>
          <w:rFonts w:ascii="FangSong" w:hAnsi="FangSong" w:eastAsia="FangSong" w:cs="FangSong"/>
          <w:color w:val="000000"/>
          <w:sz w:val="28"/>
          <w:u w:val="single"/>
        </w:rPr>
        <w:t xml:space="preserve">“江苏政府采购网”自行免费下载</w:t>
      </w:r>
      <w:r>
        <w:rPr>
          <w:rFonts w:ascii="FangSong" w:hAnsi="FangSong" w:eastAsia="FangSong" w:cs="FangSong"/>
          <w:color w:val="000000"/>
          <w:sz w:val="28"/>
        </w:rPr>
        <w:t xml:space="preserve">招标文件，并于</w:t>
      </w:r>
      <w:r>
        <w:rPr>
          <w:rFonts w:ascii="FangSong" w:hAnsi="FangSong" w:eastAsia="FangSong" w:cs="FangSong"/>
          <w:color w:val="000000"/>
          <w:sz w:val="28"/>
          <w:u w:val="single"/>
        </w:rPr>
        <w:t xml:space="preserve">2026年06月18日14时00分（北京时间）</w:t>
      </w:r>
      <w:r>
        <w:rPr>
          <w:rFonts w:ascii="FangSong" w:hAnsi="FangSong" w:eastAsia="FangSong" w:cs="FangSong"/>
          <w:color w:val="000000"/>
          <w:sz w:val="28"/>
        </w:rPr>
        <w:t xml:space="preserve">前递交投标文件。</w:t>
      </w:r>
      <w:r/>
    </w:p>
    <w:p>
      <w:pPr>
        <w:ind w:left="0" w:right="0" w:firstLine="436"/>
        <w:jc w:val="both"/>
        <w:spacing w:before="145" w:after="145"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一、项目基本情况</w:t>
      </w:r>
      <w:r/>
    </w:p>
    <w:p>
      <w:pPr>
        <w:ind w:left="0" w:right="0" w:firstLine="56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1.项目编号：JSZC-320000-SHGK-G2026-0037</w:t>
      </w:r>
      <w:r/>
    </w:p>
    <w:p>
      <w:pPr>
        <w:ind w:left="0" w:right="0" w:firstLine="56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2.项目名称：南通大学附属医院医用血管造影X射线系统维保服务采购项目</w:t>
      </w:r>
      <w:r/>
    </w:p>
    <w:p>
      <w:pPr>
        <w:ind w:left="0" w:right="0" w:firstLine="56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3.预算金额：人民币525万元/三年（人民币175万元/年）</w:t>
      </w:r>
      <w:r/>
    </w:p>
    <w:p>
      <w:pPr>
        <w:ind w:left="0" w:right="0" w:firstLine="567"/>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4.最高限价：人民币441万元/三年（人民币147万元/年）（投标人投标报价不得超过上述限价金额，否则将作无效标处理）</w:t>
      </w:r>
      <w:r/>
    </w:p>
    <w:p>
      <w:pPr>
        <w:ind w:left="0" w:right="0" w:firstLine="56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5.采购需求：3台飞利浦医用血管造影X射线系统维保服务，详见《第四章 采购需求》</w:t>
      </w:r>
      <w:r/>
    </w:p>
    <w:p>
      <w:pPr>
        <w:ind w:left="0" w:right="0" w:firstLine="56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6.合同履约期限：三年。</w:t>
      </w:r>
      <w:r/>
    </w:p>
    <w:p>
      <w:pPr>
        <w:ind w:left="0" w:right="0" w:firstLine="436"/>
        <w:jc w:val="both"/>
        <w:spacing w:before="145" w:after="145"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二、申请人的资格要求：</w:t>
      </w:r>
      <w:r/>
    </w:p>
    <w:p>
      <w:pPr>
        <w:ind w:left="0" w:right="0" w:firstLine="56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（一）通用资格要求</w:t>
      </w:r>
      <w:r/>
    </w:p>
    <w:p>
      <w:pPr>
        <w:ind w:left="0" w:right="0" w:firstLine="56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1.满足《中华人民共和国政府采购法》第二十二条规定。</w:t>
      </w:r>
      <w:r/>
    </w:p>
    <w:p>
      <w:pPr>
        <w:ind w:left="0" w:right="0" w:firstLine="56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u w:val="none"/>
        </w:rPr>
        <w:t xml:space="preserve">1.1</w:t>
      </w:r>
      <w:r>
        <w:rPr>
          <w:rFonts w:ascii="FangSong" w:hAnsi="FangSong" w:eastAsia="FangSong" w:cs="FangSong"/>
          <w:color w:val="000000"/>
          <w:sz w:val="28"/>
        </w:rPr>
        <w:t xml:space="preserve">具有独立承担民事责任的能力（提供法人或者其他组织的营业执照等证明文件，自然人的身份证明）</w:t>
      </w:r>
      <w:r/>
    </w:p>
    <w:p>
      <w:pPr>
        <w:ind w:left="0" w:right="0" w:firstLine="56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1.2具有良好的商业信誉和健全的财务会计制度（提供2024或2025年度的财务状况报告，成立不满一年不需提供）</w:t>
      </w:r>
      <w:r/>
    </w:p>
    <w:p>
      <w:pPr>
        <w:ind w:left="0" w:right="0" w:firstLine="56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1.3有依法缴纳税收和社会保障资金的良好记录（依法纳税凭据：提供参加政府采购活动前半年内（2025年12月-2026年05月）的任一月依法纳税的凭据，如完税凭证或税务机关开具的完税证明（个人所得税除外）；缴纳社会保险的凭据：提供参加政府采购活动前半年内（2025年12月-2026年05月）的任一月缴纳社会保险的凭据，如专用收据或社会保险缴纳清单；依法免税或不需要缴纳社会保障资金的证明文件：如果供应商依法免税或不需要缴纳社会保障资金，则须提供相应的证明文件，以说明其免税或无需缴纳的依据和情况）</w:t>
      </w:r>
      <w:r/>
    </w:p>
    <w:p>
      <w:pPr>
        <w:ind w:left="0" w:right="0" w:firstLine="56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1.4具有履行合同所必需的设备和专业技术能力（提供书面声明）</w:t>
      </w:r>
      <w:r/>
    </w:p>
    <w:p>
      <w:pPr>
        <w:ind w:left="0" w:right="0" w:firstLine="56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1.5参加采购活动前3年内在经营活动中没有重大违法记录（提供书面声明）</w:t>
      </w:r>
      <w:r/>
    </w:p>
    <w:p>
      <w:pPr>
        <w:ind w:left="0" w:right="0" w:firstLine="56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1.6法律、行政法规规定的其他条件（提供书面声明）。</w:t>
      </w:r>
      <w:r/>
    </w:p>
    <w:p>
      <w:pPr>
        <w:ind w:left="0" w:right="0" w:firstLine="56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left="0" w:right="0" w:firstLine="56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3.本项目不接受联合体投标。</w:t>
      </w:r>
      <w:r/>
    </w:p>
    <w:p>
      <w:pPr>
        <w:ind w:left="0" w:right="0" w:firstLine="56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4.本项目不接受转包、分包。</w:t>
      </w:r>
      <w:r/>
    </w:p>
    <w:p>
      <w:pPr>
        <w:ind w:left="0" w:right="0" w:firstLine="560"/>
        <w:spacing w:before="0" w:after="160" w:line="22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二）落实政府采购政策需满足的资格要求：本项目专门面向中小企业采购。残疾人福利性单位、监狱和戒毒企业（简称监狱企业）视同小型、微型企业。（投标人按要求填写并提供《中小企业声明函》或《残疾人福利性单位声明函》，或提供由省级以上监狱管理局、戒毒管理局(含新疆生产建设兵团)出具的属于监狱企业的证明文件）</w:t>
      </w:r>
      <w:r/>
    </w:p>
    <w:p>
      <w:pPr>
        <w:ind w:left="0" w:right="0" w:firstLine="56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（三）本项目的特定资格要求</w:t>
      </w:r>
      <w:r/>
    </w:p>
    <w:p>
      <w:pPr>
        <w:ind w:left="0" w:right="0" w:firstLine="56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1.投标人须根据所投服务相关产品的类别，提供《医疗器械经营许可证》或《医疗器械经营备案凭证》（复印件）</w:t>
      </w:r>
      <w:r/>
    </w:p>
    <w:p>
      <w:pPr>
        <w:ind w:left="0" w:right="0" w:firstLine="0"/>
        <w:spacing w:before="0" w:after="120" w:line="22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436"/>
        <w:jc w:val="both"/>
        <w:spacing w:before="145" w:after="145"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三、获取招标文件</w:t>
      </w:r>
      <w:r/>
    </w:p>
    <w:p>
      <w:pPr>
        <w:ind w:left="0" w:right="0" w:firstLine="54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1.时间：自招标文件公告发布之日起5个工作日。</w:t>
      </w:r>
      <w:r/>
    </w:p>
    <w:p>
      <w:pPr>
        <w:ind w:left="0" w:right="0" w:firstLine="54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2.方式：在“江苏政府采购网”自行免费下载招标文件。</w:t>
      </w:r>
      <w:r/>
    </w:p>
    <w:p>
      <w:pPr>
        <w:ind w:left="0" w:right="0" w:firstLine="436"/>
        <w:jc w:val="both"/>
        <w:spacing w:before="145" w:after="145"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四、提交投标文件截止时间、开标时间和地点</w:t>
      </w:r>
      <w:r/>
    </w:p>
    <w:p>
      <w:pPr>
        <w:ind w:left="0" w:right="0" w:firstLine="56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1.时间：</w:t>
      </w:r>
      <w:r>
        <w:rPr>
          <w:rFonts w:ascii="FangSong" w:hAnsi="FangSong" w:eastAsia="FangSong" w:cs="FangSong"/>
          <w:color w:val="000000"/>
          <w:sz w:val="28"/>
          <w:u w:val="single"/>
        </w:rPr>
        <w:t xml:space="preserve">2026年06月18日14时00分（北京时间）</w:t>
      </w:r>
      <w:r>
        <w:rPr>
          <w:rFonts w:ascii="FangSong" w:hAnsi="FangSong" w:eastAsia="FangSong" w:cs="FangSong"/>
          <w:color w:val="000000"/>
          <w:sz w:val="28"/>
        </w:rPr>
        <w:t xml:space="preserve">。</w:t>
      </w:r>
      <w:r/>
    </w:p>
    <w:p>
      <w:pPr>
        <w:ind w:left="0" w:right="0" w:firstLine="56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2.地点：“苏采云”政府采购交易系统网上开标大厅。</w:t>
      </w:r>
      <w:r/>
    </w:p>
    <w:p>
      <w:pPr>
        <w:ind w:left="0" w:right="0" w:firstLine="436"/>
        <w:jc w:val="both"/>
        <w:spacing w:before="145" w:after="145"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五、公告期限</w:t>
      </w:r>
      <w:r/>
    </w:p>
    <w:p>
      <w:pPr>
        <w:ind w:left="0" w:right="0" w:firstLine="56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招标公告及招标文件公告期限为自本公告发布之日起5个工作日。</w:t>
      </w:r>
      <w:r/>
    </w:p>
    <w:p>
      <w:pPr>
        <w:ind w:left="0" w:right="0" w:firstLine="436"/>
        <w:jc w:val="both"/>
        <w:spacing w:before="145" w:after="145"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六、其他补充事宜</w:t>
      </w:r>
      <w:r/>
    </w:p>
    <w:p>
      <w:pPr>
        <w:ind w:left="0" w:right="0" w:firstLine="56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1.投标保证金：免收</w:t>
      </w:r>
      <w:r/>
    </w:p>
    <w:p>
      <w:pPr>
        <w:ind w:left="0" w:right="0" w:firstLine="56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2.履约保证金：免收</w:t>
      </w:r>
      <w:r/>
    </w:p>
    <w:p>
      <w:pPr>
        <w:ind w:left="0" w:right="0" w:firstLine="56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3.项目演示、样品、答辩等：无。</w:t>
      </w:r>
      <w:r/>
    </w:p>
    <w:p>
      <w:pPr>
        <w:ind w:left="0" w:right="0" w:firstLine="56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4.有关本次招标的事项若存在变动或修改，均以江苏政府采购网发布的更正或补充通知为准，敬请及时关注。</w:t>
      </w:r>
      <w:r/>
    </w:p>
    <w:p>
      <w:pPr>
        <w:ind w:left="0" w:right="0" w:firstLine="56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p>
    <w:p>
      <w:pPr>
        <w:ind w:left="0" w:right="0" w:firstLine="56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6. “苏采云”系统使用相关提醒</w:t>
      </w:r>
      <w:r/>
    </w:p>
    <w:p>
      <w:pPr>
        <w:ind w:left="0" w:right="0" w:firstLine="560"/>
        <w:jc w:val="both"/>
        <w:spacing w:before="0" w:after="160" w:line="479" w:lineRule="atLeast"/>
        <w:tabs>
          <w:tab w:val="left" w:pos="90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6.1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w:t>
      </w:r>
      <w:r>
        <w:rPr>
          <w:rFonts w:ascii="FangSong" w:hAnsi="FangSong" w:eastAsia="FangSong" w:cs="FangSong"/>
          <w:b/>
          <w:color w:val="000000"/>
          <w:sz w:val="28"/>
        </w:rPr>
        <w:t xml:space="preserve">具体办理指南和操作手册见链接：http://www.ccgp-jiangsu.gov.cn/jiangsu/zlxz/ee/ee3a4bc5a3454aa2b0d9312230633ce9.html。</w:t>
      </w:r>
      <w:r/>
    </w:p>
    <w:p>
      <w:pPr>
        <w:ind w:left="0" w:right="0" w:firstLine="560"/>
        <w:jc w:val="both"/>
        <w:spacing w:before="0" w:after="12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6.2领取CA和办理电子签章请至南通市政务服务中心裙楼四楼（南通市公共资源交中心）CA办理窗口办理，详见《江苏省政府采购数字证书(供应商)</w:t>
      </w:r>
      <w:r>
        <w:rPr>
          <w:rFonts w:ascii="SimSun" w:hAnsi="SimSun" w:eastAsia="SimSun" w:cs="SimSun"/>
          <w:color w:val="000000"/>
          <w:sz w:val="28"/>
        </w:rPr>
        <w:t xml:space="preserve"> </w:t>
      </w:r>
      <w:r>
        <w:rPr>
          <w:rFonts w:ascii="FangSong" w:hAnsi="FangSong" w:eastAsia="FangSong" w:cs="FangSong"/>
          <w:color w:val="000000"/>
          <w:sz w:val="28"/>
        </w:rPr>
        <w:t xml:space="preserve">CA及电子签章办理指南》），请及时进行注册并按要求制作、上传电子投标文件。</w:t>
      </w:r>
      <w:r/>
    </w:p>
    <w:p>
      <w:pPr>
        <w:ind w:left="0" w:right="0" w:firstLine="560"/>
        <w:jc w:val="both"/>
        <w:spacing w:before="0" w:after="12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6.3参与采购活动：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公告内文件获取时间截止后仍可下载采购文</w:t>
      </w:r>
      <w:r>
        <w:rPr>
          <w:rFonts w:ascii="FangSong" w:hAnsi="FangSong" w:eastAsia="FangSong" w:cs="FangSong"/>
          <w:color w:val="000000"/>
          <w:sz w:val="28"/>
        </w:rPr>
        <w:t xml:space="preserve">件，截止后下载采购文件，视为非有效参与方式且不做为供应商权益收到损害的证明材料和依据。</w:t>
      </w:r>
      <w:r/>
    </w:p>
    <w:p>
      <w:pPr>
        <w:ind w:left="0" w:right="0" w:firstLine="562"/>
        <w:jc w:val="both"/>
        <w:spacing w:before="0" w:after="12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6.4</w:t>
      </w:r>
      <w:r>
        <w:rPr>
          <w:rFonts w:ascii="FangSong" w:hAnsi="FangSong" w:eastAsia="FangSong" w:cs="FangSong"/>
          <w:color w:val="000000"/>
          <w:sz w:val="28"/>
        </w:rPr>
        <w:t xml:space="preserve">开标当天投标供应商应及时登录“苏采云”不见面开标大厅，并在规定时间内自行实施远程解密。</w:t>
      </w:r>
      <w:r>
        <w:rPr>
          <w:rFonts w:ascii="FangSong" w:hAnsi="FangSong" w:eastAsia="FangSong" w:cs="FangSong"/>
          <w:b/>
          <w:color w:val="000000"/>
          <w:sz w:val="28"/>
        </w:rPr>
        <w:t xml:space="preserve">投标供应商解密时间限定为响应文件解密指令发出后30分钟（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w:t>
      </w:r>
      <w:r>
        <w:rPr>
          <w:rFonts w:ascii="FangSong" w:hAnsi="FangSong" w:eastAsia="FangSong" w:cs="FangSong"/>
          <w:color w:val="000000"/>
          <w:sz w:val="28"/>
        </w:rPr>
        <w:t xml:space="preserve">因采购人原因或网上招投标平台发生故障，导致无法按时完成响应文件解密或开、评标工作无法进行的，可根据实际情况相应延迟解密时间或调整开、评标时间。</w:t>
      </w:r>
      <w:r/>
    </w:p>
    <w:p>
      <w:pPr>
        <w:ind w:left="0" w:right="0" w:firstLine="436"/>
        <w:jc w:val="both"/>
        <w:spacing w:before="145" w:after="145"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七、本次招标联系方式</w:t>
      </w:r>
      <w:r/>
    </w:p>
    <w:p>
      <w:pPr>
        <w:ind w:left="0" w:right="0" w:firstLine="56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1.采购人信息</w:t>
      </w:r>
      <w:r/>
    </w:p>
    <w:p>
      <w:pPr>
        <w:ind w:left="0" w:right="0" w:firstLine="56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名 称：南通大学附属医院</w:t>
      </w:r>
      <w:r/>
    </w:p>
    <w:p>
      <w:pPr>
        <w:ind w:left="0" w:right="0" w:firstLine="56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地 址：南通市西寺路20号</w:t>
      </w:r>
      <w:r/>
    </w:p>
    <w:p>
      <w:pPr>
        <w:ind w:left="0" w:right="0" w:firstLine="56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联系人：施老师、张老师 </w:t>
      </w:r>
      <w:r/>
    </w:p>
    <w:p>
      <w:pPr>
        <w:ind w:left="0" w:right="0" w:firstLine="56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联系方式：0513-85052089</w:t>
      </w:r>
      <w:r/>
    </w:p>
    <w:p>
      <w:pPr>
        <w:ind w:left="0" w:right="0" w:firstLine="56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2.采购代理机构信息</w:t>
      </w:r>
      <w:r/>
    </w:p>
    <w:p>
      <w:pPr>
        <w:ind w:left="0" w:right="0" w:firstLine="56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名 称：江苏苏豪创新科技集团高科有限公司</w:t>
      </w:r>
      <w:r/>
    </w:p>
    <w:p>
      <w:pPr>
        <w:ind w:left="0" w:right="0" w:firstLine="56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地 址：南京市雨花台区软件大道21号苏豪国际广场北园C座617室</w:t>
      </w:r>
      <w:r/>
    </w:p>
    <w:p>
      <w:pPr>
        <w:ind w:left="0" w:right="0" w:firstLine="56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联系人：吴岢非、吴志叶</w:t>
      </w:r>
      <w:r/>
    </w:p>
    <w:p>
      <w:pPr>
        <w:ind w:left="0" w:right="0" w:firstLine="56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联系方式：025-52875983</w:t>
      </w:r>
      <w:r/>
    </w:p>
    <w:p>
      <w:pPr>
        <w:ind w:left="0" w:right="0" w:firstLine="56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3.项目联系方式：</w:t>
      </w:r>
      <w:r/>
    </w:p>
    <w:p>
      <w:pPr>
        <w:ind w:left="0" w:right="0" w:firstLine="56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项目联系人：吴志叶</w:t>
      </w:r>
      <w:r/>
    </w:p>
    <w:p>
      <w:pPr>
        <w:ind w:left="0" w:right="0" w:firstLine="56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联系方式：025-52875936</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560"/>
        <w:jc w:val="both"/>
        <w:spacing w:before="0" w:after="16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pStyle w:val="709"/>
        <w:ind w:left="0" w:right="0" w:firstLine="0"/>
        <w:jc w:val="center"/>
        <w:spacing w:before="480" w:after="20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0"/>
        </w:rPr>
        <w:t xml:space="preserve">第二章  投标人须知</w:t>
      </w:r>
      <w:r/>
    </w:p>
    <w:p>
      <w:pPr>
        <w:ind w:left="0" w:right="0" w:firstLine="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一、总则</w:t>
      </w:r>
      <w:r/>
    </w:p>
    <w:p>
      <w:pPr>
        <w:ind w:left="0" w:right="0" w:firstLine="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1.招标方式</w:t>
      </w:r>
      <w:r/>
    </w:p>
    <w:p>
      <w:pPr>
        <w:ind w:left="0" w:right="0" w:firstLine="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1.1 本次招标采取公开招标方式，本招标文件仅适用于招标公告中所述项目。</w:t>
      </w:r>
      <w:r/>
    </w:p>
    <w:p>
      <w:pPr>
        <w:ind w:left="0" w:right="0" w:firstLine="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2.合格的投标人</w:t>
      </w:r>
      <w:r/>
    </w:p>
    <w:p>
      <w:pPr>
        <w:ind w:left="0" w:right="0" w:firstLine="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2.1满足招标公告中供应商的资格要求的规定。</w:t>
      </w:r>
      <w:r/>
    </w:p>
    <w:p>
      <w:pPr>
        <w:ind w:left="0" w:right="0" w:firstLine="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2.2 满足本文件实质性条款的规定。</w:t>
      </w:r>
      <w:r/>
    </w:p>
    <w:p>
      <w:pPr>
        <w:ind w:left="0" w:right="0" w:firstLine="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3.适用法律</w:t>
      </w:r>
      <w:r/>
    </w:p>
    <w:p>
      <w:pPr>
        <w:ind w:left="0" w:right="0" w:firstLine="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3.1 本次招标及由此产生的合同受中华人民共和国有关的法律法规制约和保护。</w:t>
      </w:r>
      <w:r/>
    </w:p>
    <w:p>
      <w:pPr>
        <w:ind w:left="0" w:right="0" w:firstLine="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4.投标费用</w:t>
      </w:r>
      <w:r/>
    </w:p>
    <w:p>
      <w:pPr>
        <w:ind w:left="0" w:right="0" w:firstLine="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4.1 投标人应自行承担所有与参加投标有关的费用，无论投标过程中的做法和结果如何，江苏苏豪创新科技集团高科有限公司（以下简称代理机构）在任何情况下均无义务和责任承担这些费用。</w:t>
      </w:r>
      <w:r/>
    </w:p>
    <w:p>
      <w:pPr>
        <w:ind w:left="0" w:right="0" w:firstLine="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4.2本次招标代理机构和采购人不收取标书工本费。</w:t>
      </w:r>
      <w:r/>
    </w:p>
    <w:p>
      <w:pPr>
        <w:ind w:left="0" w:right="0" w:firstLine="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4.3中标人向采购代理机构支付招标服务费，服务费已由采购人计入本项目预算金额中。金额按计价格〔2002〕1980号《招标代理服务收费管理暂行办法》标准的52.67%计取。单个项目代理服务费不足1500元的按1500元收取。</w:t>
      </w:r>
      <w:r/>
    </w:p>
    <w:p>
      <w:pPr>
        <w:ind w:left="0" w:right="0" w:firstLine="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开户名：江苏苏豪创新科技集团高科有限公司</w:t>
      </w:r>
      <w:r/>
    </w:p>
    <w:p>
      <w:pPr>
        <w:ind w:left="0" w:right="0" w:firstLine="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开户行：工行南京市白下支行</w:t>
      </w:r>
      <w:r/>
    </w:p>
    <w:p>
      <w:pPr>
        <w:ind w:left="0" w:right="0" w:firstLine="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账 号：4301013119100888895</w:t>
      </w:r>
      <w:r/>
    </w:p>
    <w:p>
      <w:pPr>
        <w:ind w:left="0" w:right="0" w:firstLine="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5.招标文件的约束力</w:t>
      </w:r>
      <w:r/>
    </w:p>
    <w:p>
      <w:pPr>
        <w:ind w:left="0" w:right="0" w:firstLine="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5.1 投标人一旦参加本项目采购活动，即被认为接受了本招标文件的规定和约束。</w:t>
      </w:r>
      <w:r/>
    </w:p>
    <w:p>
      <w:pPr>
        <w:ind w:left="0" w:right="0" w:firstLine="0"/>
        <w:jc w:val="both"/>
        <w:spacing w:before="145" w:after="145"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二、招标文件</w:t>
      </w:r>
      <w:r/>
    </w:p>
    <w:p>
      <w:pPr>
        <w:ind w:left="0" w:right="0" w:firstLine="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6、招标文件构成</w:t>
      </w:r>
      <w:r/>
    </w:p>
    <w:p>
      <w:pPr>
        <w:ind w:left="0" w:right="0" w:firstLine="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6.1 招标文件由以下部分组成：</w:t>
      </w:r>
      <w:r/>
    </w:p>
    <w:p>
      <w:pPr>
        <w:ind w:left="0" w:right="0" w:firstLine="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（1）投标邀请</w:t>
      </w:r>
      <w:r/>
    </w:p>
    <w:p>
      <w:pPr>
        <w:ind w:left="0" w:right="0" w:firstLine="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（2）投标人须知</w:t>
      </w:r>
      <w:r/>
    </w:p>
    <w:p>
      <w:pPr>
        <w:ind w:left="0" w:right="0" w:firstLine="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（3）合同文本</w:t>
      </w:r>
      <w:r/>
    </w:p>
    <w:p>
      <w:pPr>
        <w:ind w:left="0" w:right="0" w:firstLine="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（4）采购需求</w:t>
      </w:r>
      <w:r/>
    </w:p>
    <w:p>
      <w:pPr>
        <w:ind w:left="0" w:right="0" w:firstLine="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（5）评标方法与评标标准</w:t>
      </w:r>
      <w:r/>
    </w:p>
    <w:p>
      <w:pPr>
        <w:ind w:left="0" w:right="0" w:firstLine="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（6）投标文件格式</w:t>
      </w:r>
      <w:r/>
    </w:p>
    <w:p>
      <w:pPr>
        <w:ind w:left="0" w:right="0" w:firstLine="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请仔细检查招标文件是否齐全，如有缺漏请立即与代理机构联系解决。</w:t>
      </w:r>
      <w:r/>
    </w:p>
    <w:p>
      <w:pPr>
        <w:ind w:left="0" w:right="0" w:firstLine="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right="0" w:firstLine="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7．招标文件的澄清</w:t>
      </w:r>
      <w:r/>
    </w:p>
    <w:p>
      <w:pPr>
        <w:ind w:left="0" w:right="0" w:firstLine="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任何要求对招标文件进行澄清的投标人，应在投标截止期</w:t>
      </w:r>
      <w:r>
        <w:rPr>
          <w:rFonts w:ascii="FangSong" w:hAnsi="FangSong" w:eastAsia="FangSong" w:cs="FangSong"/>
          <w:b/>
          <w:color w:val="000000"/>
          <w:sz w:val="28"/>
        </w:rPr>
        <w:t xml:space="preserve">15日</w:t>
      </w:r>
      <w:r>
        <w:rPr>
          <w:rFonts w:ascii="FangSong" w:hAnsi="FangSong" w:eastAsia="FangSong" w:cs="FangSong"/>
          <w:color w:val="000000"/>
          <w:sz w:val="28"/>
        </w:rPr>
        <w:t xml:space="preserve">前按招标公告中的通讯地址，以书面形式通知代理机构。采购人有权对发出的招标文件进行必要的澄清或修改。</w:t>
      </w:r>
      <w:r/>
    </w:p>
    <w:p>
      <w:pPr>
        <w:ind w:left="0" w:right="0" w:firstLine="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8．招标文件的修改</w:t>
      </w:r>
      <w:r/>
    </w:p>
    <w:p>
      <w:pPr>
        <w:ind w:left="0" w:right="0" w:firstLine="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8.1 在投标截止时间前，代理机构可以对招标文件进行修改。</w:t>
      </w:r>
      <w:r/>
    </w:p>
    <w:p>
      <w:pPr>
        <w:ind w:left="0" w:right="0" w:firstLine="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8.2 代理机构有权按照法定的要求推迟投标截止日期和开标日期。</w:t>
      </w:r>
      <w:r/>
    </w:p>
    <w:p>
      <w:pPr>
        <w:ind w:left="0" w:right="0" w:firstLine="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8.3 招标文件的修改将在江苏政府采购网公布，补充文件将作为招标文件的组成部分，并对投标人具有约束力。</w:t>
      </w:r>
      <w:r/>
    </w:p>
    <w:p>
      <w:pPr>
        <w:ind w:left="0" w:right="0" w:firstLine="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u w:val="single"/>
        </w:rPr>
        <w:t xml:space="preserve">8.4在投标截止日期前，采购单位对招标文件进行澄清或者修改的，通过“苏采云”系统发布澄清公告或者修改的内容。清或者修改的内容以所发布的本项目的“更正(澄清)公告”的形式通知所有获取采购文件的潜在投标人发布本项目的“更正(澄清)公告”后采购代理机构已尽通知义务。敬请各潜在投标人关注本项目的“更正(澄清)公告”，并通过“苏采云”系统重新下载更正(澄清)后的采购文件(后名为“.kedt”)，离线编制响应文件，否则，将自行承担相应的风险。</w:t>
      </w:r>
      <w:r/>
    </w:p>
    <w:p>
      <w:pPr>
        <w:ind w:left="0" w:right="0" w:firstLine="0"/>
        <w:jc w:val="both"/>
        <w:spacing w:before="145" w:after="145"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三、投标文件的编制</w:t>
      </w:r>
      <w:r/>
    </w:p>
    <w:p>
      <w:pPr>
        <w:ind w:left="0" w:right="0" w:firstLine="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9．投标文件的语言及度量衡单位</w:t>
      </w:r>
      <w:r/>
    </w:p>
    <w:p>
      <w:pPr>
        <w:ind w:left="0" w:right="0" w:firstLine="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9.1 投标人提交的投标文件以及投标人与代理机构就有关投标的所有来往通知、函件和文件均应使用简体中文。</w:t>
      </w:r>
      <w:r/>
    </w:p>
    <w:p>
      <w:pPr>
        <w:ind w:left="0" w:right="0" w:firstLine="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9.2 除技术性能另有规定外，投标文件所使用的度量衡单位，均须采用国家法定计量单位。</w:t>
      </w:r>
      <w:r/>
    </w:p>
    <w:p>
      <w:pPr>
        <w:ind w:left="0" w:right="0" w:firstLine="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10．投标文件构成</w:t>
      </w:r>
      <w:r/>
    </w:p>
    <w:p>
      <w:pPr>
        <w:ind w:left="0" w:right="0" w:firstLine="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10.1 投标人编写的投标文件应包括资格证明文件、实质性要求响应及偏离表、投标分项报价表、技术要求响应及偏离表、商务要求响应及偏离表、其他证明文件、投标函、开标一览表等部分。</w:t>
      </w:r>
      <w:r/>
    </w:p>
    <w:p>
      <w:pPr>
        <w:ind w:left="0" w:right="0" w:firstLine="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10.2 如标书制作工具中格式和内容与“江苏政府采购网”发布的招标文件不一致，请以“江苏政府采购网”发布的招标文件为准。</w:t>
      </w:r>
      <w:r/>
    </w:p>
    <w:p>
      <w:pPr>
        <w:ind w:left="0" w:right="0" w:firstLine="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11．证明投标人及投标标的符合招标文件规定的文件</w:t>
      </w:r>
      <w:r/>
    </w:p>
    <w:p>
      <w:pPr>
        <w:ind w:left="0" w:right="0" w:firstLine="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11.1 投标人应按照招标文件要求提交证明文件，证明其及投标标的符合招标文件规定。</w:t>
      </w:r>
      <w:r/>
    </w:p>
    <w:p>
      <w:pPr>
        <w:ind w:left="0" w:right="0" w:firstLine="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11.2招标文件对证明文件无明确形式要求的，证明文件可以以文字资料、图纸和数据等形式提交。</w:t>
      </w:r>
      <w:r/>
    </w:p>
    <w:p>
      <w:pPr>
        <w:ind w:left="0" w:right="0" w:firstLine="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12．投标分项报价表</w:t>
      </w:r>
      <w:r/>
    </w:p>
    <w:p>
      <w:pPr>
        <w:ind w:left="0" w:right="0" w:firstLine="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12.1 投标人按照招标文件规定格式填报投标分项报价表。</w:t>
      </w:r>
      <w:r/>
    </w:p>
    <w:p>
      <w:pPr>
        <w:ind w:left="0" w:right="0" w:firstLine="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12.2投标货币。投标文件中的单价和总价无特殊规定的采用人民币报价，以元为单位标注。招标文件中另有规定的按规定执行。</w:t>
      </w:r>
      <w:r/>
    </w:p>
    <w:p>
      <w:pPr>
        <w:ind w:left="0" w:right="0" w:firstLine="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13．技术要求响应及偏离表、商务要求响应及偏离表</w:t>
      </w:r>
      <w:r/>
    </w:p>
    <w:p>
      <w:pPr>
        <w:ind w:left="0" w:right="0" w:firstLine="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13.1投标人需对招标文件中的技术要求与商务要求逐项作出响应或偏离，并说明原因。</w:t>
      </w:r>
      <w:r/>
    </w:p>
    <w:p>
      <w:pPr>
        <w:ind w:left="0" w:right="0" w:firstLine="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13.2投标人需按照招标文件要求，在投标文件中提供与技术要求和商务要求相关的证明材料。</w:t>
      </w:r>
      <w:r/>
    </w:p>
    <w:p>
      <w:pPr>
        <w:ind w:left="0" w:right="0" w:firstLine="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14．服务承诺、培训计划、人员安排及其他</w:t>
      </w:r>
      <w:r/>
    </w:p>
    <w:p>
      <w:pPr>
        <w:ind w:left="0" w:right="0" w:firstLine="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14.1 投标人需根据招标文件要求提供有关售后服务的管理制度，售后服务机构的分布情况，售后服务人员的数量、素质、技术水平及售后服务的反应能力等。</w:t>
      </w:r>
      <w:r/>
    </w:p>
    <w:p>
      <w:pPr>
        <w:ind w:left="0" w:right="0" w:firstLine="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14.2 投标人需根据招标文件要求提供培训计划。</w:t>
      </w:r>
      <w:r/>
    </w:p>
    <w:p>
      <w:pPr>
        <w:ind w:left="0" w:right="0" w:firstLine="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14.3  投标人需根据招标文件要求提供所投标的的主要组成部分、功能设计、实现思路及关键技术等。</w:t>
      </w:r>
      <w:r/>
    </w:p>
    <w:p>
      <w:pPr>
        <w:ind w:left="0" w:right="0" w:firstLine="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15．投标函和开标一览表</w:t>
      </w:r>
      <w:r/>
    </w:p>
    <w:p>
      <w:pPr>
        <w:ind w:left="0" w:right="0" w:firstLine="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15.1 投标人应按照招标文件中提供的格式完整、正确填写投标函、开标一览表。</w:t>
      </w:r>
      <w:r/>
    </w:p>
    <w:p>
      <w:pPr>
        <w:ind w:left="0" w:right="0" w:firstLine="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15.2 </w:t>
      </w:r>
      <w:r>
        <w:rPr>
          <w:rFonts w:ascii="FangSong" w:hAnsi="FangSong" w:eastAsia="FangSong" w:cs="FangSong"/>
          <w:b/>
          <w:color w:val="000000"/>
          <w:sz w:val="28"/>
        </w:rPr>
        <w:t xml:space="preserve">对于采用货币报价的项目，开标一览表中的投标总报价应与投标分项报价表中的投标总报价一致，如不一致，不作为无效投标处理，但评标时按开标一览表中价格为准。</w:t>
      </w:r>
      <w:r/>
    </w:p>
    <w:p>
      <w:pPr>
        <w:ind w:left="0" w:right="0" w:firstLine="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16．投标有效期</w:t>
      </w:r>
      <w:r/>
    </w:p>
    <w:p>
      <w:pPr>
        <w:ind w:left="0" w:right="0" w:firstLine="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16.1投标有效期为代理机构规定的开标之日后</w:t>
      </w:r>
      <w:r>
        <w:rPr>
          <w:rFonts w:ascii="FangSong" w:hAnsi="FangSong" w:eastAsia="FangSong" w:cs="FangSong"/>
          <w:b/>
          <w:color w:val="000000"/>
          <w:sz w:val="28"/>
          <w:u w:val="single"/>
        </w:rPr>
        <w:t xml:space="preserve">九十（90）天</w:t>
      </w:r>
      <w:r>
        <w:rPr>
          <w:rFonts w:ascii="FangSong" w:hAnsi="FangSong" w:eastAsia="FangSong" w:cs="FangSong"/>
          <w:color w:val="000000"/>
          <w:sz w:val="28"/>
        </w:rPr>
        <w:t xml:space="preserve">。投标有效期比规定短的将被视为未实质性响应招标文件而予以拒绝。</w:t>
      </w:r>
      <w:r/>
    </w:p>
    <w:p>
      <w:pPr>
        <w:ind w:left="0" w:right="0" w:firstLine="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17．投标有效期的延长</w:t>
      </w:r>
      <w:r/>
    </w:p>
    <w:p>
      <w:pPr>
        <w:ind w:left="0" w:right="0" w:firstLine="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17.1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受投标有效期约束的所有权利与义务均延长至新的有效期。</w:t>
      </w:r>
      <w:r/>
    </w:p>
    <w:p>
      <w:pPr>
        <w:ind w:left="0" w:right="0" w:firstLine="0"/>
        <w:jc w:val="both"/>
        <w:spacing w:before="145" w:after="145"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四、投标文件的递交</w:t>
      </w:r>
      <w:r/>
    </w:p>
    <w:p>
      <w:pPr>
        <w:ind w:left="0" w:right="0" w:firstLine="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18．电子投标文件的递交</w:t>
      </w:r>
      <w:r/>
    </w:p>
    <w:p>
      <w:pPr>
        <w:ind w:left="0" w:right="0" w:firstLine="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18.1投标人应当按照《操作手册》规定，在投标截止时间前制作并上传电子投标文件。</w:t>
      </w:r>
      <w:r/>
    </w:p>
    <w:p>
      <w:pPr>
        <w:ind w:left="0" w:right="0" w:firstLine="0"/>
        <w:jc w:val="both"/>
        <w:spacing w:before="280" w:after="29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19．投标截止日期</w:t>
      </w:r>
      <w:r/>
    </w:p>
    <w:p>
      <w:pPr>
        <w:ind w:left="0" w:right="0" w:firstLine="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u w:val="single"/>
        </w:rPr>
        <w:t xml:space="preserve">19.1 投标人上传电子投标文件的时间不得迟于招标公告中规定的投标截止时间。</w:t>
      </w:r>
      <w:r/>
    </w:p>
    <w:p>
      <w:pPr>
        <w:ind w:left="0" w:right="0" w:firstLine="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投标人应充分考虑到网络环境、网络带宽等风险因素，如因投标人自身原因造成电子投标文件上传不成功的，按照本招标文件第二章第27.1.2条规定做无效投标处理。</w:t>
      </w:r>
      <w:r/>
    </w:p>
    <w:p>
      <w:pPr>
        <w:ind w:left="0" w:right="0" w:firstLine="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19.2代理机构可以按照规定，通过修改招标文件酌情延长投标截止日期，在此情况下，投标人的所有权利和义务以及投标人受制的截止日期均应以延长后新的截止日期为准。</w:t>
      </w:r>
      <w:r/>
    </w:p>
    <w:p>
      <w:pPr>
        <w:ind w:left="0" w:right="0" w:firstLine="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20．投标文件的拒收</w:t>
      </w:r>
      <w:r/>
    </w:p>
    <w:p>
      <w:pPr>
        <w:ind w:left="0" w:right="0" w:firstLine="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20.1 代理机构拒绝接收在其规定的投标截止时间后上传的任何投标文件。</w:t>
      </w:r>
      <w:r/>
    </w:p>
    <w:p>
      <w:pPr>
        <w:ind w:left="0" w:right="0" w:firstLine="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21．投标文件的撤回和修改</w:t>
      </w:r>
      <w:r/>
    </w:p>
    <w:p>
      <w:pPr>
        <w:ind w:left="0" w:right="0" w:firstLine="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21.1 投标文件的撤回</w:t>
      </w:r>
      <w:r/>
    </w:p>
    <w:p>
      <w:pPr>
        <w:ind w:left="0" w:right="0" w:firstLine="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21.1.1 电子投标文件的撤回</w:t>
      </w:r>
      <w:r/>
    </w:p>
    <w:p>
      <w:pPr>
        <w:ind w:left="0" w:right="0" w:firstLine="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投标人可在投标截止时间前，撤回其电子投标文件，具体操作方法见《操作手册》。</w:t>
      </w:r>
      <w:r/>
    </w:p>
    <w:p>
      <w:pPr>
        <w:ind w:left="0" w:right="0" w:firstLine="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21.1.2 投标人撤回电子投标文件，则认为其不再参与本项目投标活动。</w:t>
      </w:r>
      <w:r/>
    </w:p>
    <w:p>
      <w:pPr>
        <w:ind w:left="0" w:right="0" w:firstLine="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21.2 投标文件的修改</w:t>
      </w:r>
      <w:r/>
    </w:p>
    <w:p>
      <w:pPr>
        <w:ind w:left="0" w:right="0" w:firstLine="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21.2.1投标人可在投标截止时间前，对其电子投标文件进行修改，具体操作方法见《操作手册》。</w:t>
      </w:r>
      <w:r/>
    </w:p>
    <w:p>
      <w:pPr>
        <w:ind w:left="0" w:right="0" w:firstLine="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21.2.2 在投标截止时间之后，投标人不得对其电子投标文件作任何修改。</w:t>
      </w:r>
      <w:r/>
    </w:p>
    <w:p>
      <w:pPr>
        <w:ind w:left="0" w:right="0" w:firstLine="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21.3 在投标截止时间至招标文件中规定的投标有效期满之间的这段时间内，投标人不得撤回其投标。</w:t>
      </w:r>
      <w:r/>
    </w:p>
    <w:p>
      <w:pPr>
        <w:ind w:left="0" w:right="0" w:firstLine="0"/>
        <w:jc w:val="both"/>
        <w:spacing w:before="145" w:after="145"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五、开标与评标</w:t>
      </w:r>
      <w:r/>
    </w:p>
    <w:p>
      <w:pPr>
        <w:ind w:left="0" w:right="0" w:firstLine="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22．开标</w:t>
      </w:r>
      <w:r/>
    </w:p>
    <w:p>
      <w:pPr>
        <w:ind w:left="0" w:right="0" w:firstLine="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22.1代理机构将在招标公告中规定的时间和地点组织公开开标。投标人应当按照《操作手册》规定，参加开标活动和在苏采云系统规定的时间内对投标文件进行解密。</w:t>
      </w:r>
      <w:r/>
    </w:p>
    <w:p>
      <w:pPr>
        <w:ind w:left="0" w:right="0" w:firstLine="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22.2开标仪式由代理机构组织。苏采云系统将自动对项目进行开标，并宣布各投标人名称和投标价格。</w:t>
      </w:r>
      <w:r/>
    </w:p>
    <w:p>
      <w:pPr>
        <w:ind w:left="0" w:right="0" w:firstLine="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22.3投标人在开标过程中涉及到的投标文件解密、开标结果确认等工作，应按照《操作手册》规定执行。</w:t>
      </w:r>
      <w:r/>
    </w:p>
    <w:p>
      <w:pPr>
        <w:ind w:left="0" w:right="0" w:firstLine="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22.4投标人如果对开标过程和开标记录有疑义，应当根据《操作手册》规定提出，如苏采云系统中《开标记录表》宣布后5分钟内未提出的，视同认可开标结果。</w:t>
      </w:r>
      <w:r/>
    </w:p>
    <w:p>
      <w:pPr>
        <w:ind w:left="0" w:right="0" w:firstLine="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23．评标委员会</w:t>
      </w:r>
      <w:r/>
    </w:p>
    <w:p>
      <w:pPr>
        <w:ind w:left="0" w:right="0" w:firstLine="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23.1开标后，代理机构将立即组织评标委员会（以下简称评委会）进行评标。</w:t>
      </w:r>
      <w:r/>
    </w:p>
    <w:p>
      <w:pPr>
        <w:ind w:left="0" w:right="0" w:firstLine="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23.2 评委会由采购人代表和有关技术、经济等方面的专家组成，且人员构成符合政府采购有关规定。</w:t>
      </w:r>
      <w:r/>
    </w:p>
    <w:p>
      <w:pPr>
        <w:ind w:left="0" w:right="0" w:firstLine="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23.3评委会独立工作，负责评审所有投标文件并确定中标侯选人。</w:t>
      </w:r>
      <w:r/>
    </w:p>
    <w:p>
      <w:pPr>
        <w:ind w:left="0" w:right="0" w:firstLine="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24．评标过程的保密与公正</w:t>
      </w:r>
      <w:r/>
    </w:p>
    <w:p>
      <w:pPr>
        <w:ind w:left="0" w:right="0" w:firstLine="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24.1凡是与审查、澄清、评价和比较投标的有关资料以及授标建议等，采购人、评委、代理机构均不得向投标人或与评标无关的其他人员透露。</w:t>
      </w:r>
      <w:r/>
    </w:p>
    <w:p>
      <w:pPr>
        <w:ind w:left="0" w:right="0" w:firstLine="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24.2在评标过程中，投标人不得以任何行为影响评标过程，否则其投标文件将被作为无效投标文件。</w:t>
      </w:r>
      <w:r/>
    </w:p>
    <w:p>
      <w:pPr>
        <w:ind w:left="0" w:right="0" w:firstLine="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24.3代理机构和评标委员会不向未中标的投标人解释未中标原因，也不公布评标过程中的相关细节。</w:t>
      </w:r>
      <w:r/>
    </w:p>
    <w:p>
      <w:pPr>
        <w:ind w:left="0" w:right="0" w:firstLine="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24.4 采用综合评分法的项目，未中标的投标人可于中标结果公告期限届满之日起通过苏采云系统查看自己的评审得分及排序情况。</w:t>
      </w:r>
      <w:r/>
    </w:p>
    <w:p>
      <w:pPr>
        <w:ind w:left="0" w:right="0" w:firstLine="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25．投标文件的澄清</w:t>
      </w:r>
      <w:r/>
    </w:p>
    <w:p>
      <w:pPr>
        <w:ind w:left="0" w:right="0" w:firstLine="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25.1评标期间，评委会对投标文件中含义不明确、同类问题表述不一致或者有明显文字和计算错误的内容，有权要求投标人作出必要的澄清、说明或者补正。</w:t>
      </w:r>
      <w:r/>
    </w:p>
    <w:p>
      <w:pPr>
        <w:ind w:left="0" w:right="0" w:firstLine="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投标人的澄清、说明或者补正不得超出投标文件的范围或者改变投标文件的实质性内容。</w:t>
      </w:r>
      <w:r/>
    </w:p>
    <w:p>
      <w:pPr>
        <w:ind w:left="0" w:right="0" w:firstLine="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评标委员会并非对每个投标人都做澄清要求。</w:t>
      </w:r>
      <w:r/>
    </w:p>
    <w:p>
      <w:pPr>
        <w:ind w:left="0" w:right="0" w:firstLine="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0" w:right="0" w:firstLine="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25.3 接到评委会澄清、说明和补正要求的投标人如未按规定做出澄清、说明和补正，其风险由投标人自行承担。</w:t>
      </w:r>
      <w:r/>
    </w:p>
    <w:p>
      <w:pPr>
        <w:ind w:left="0" w:right="0" w:firstLine="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26．对投标文件的初审</w:t>
      </w:r>
      <w:r/>
    </w:p>
    <w:p>
      <w:pPr>
        <w:ind w:left="0" w:right="0" w:firstLine="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26.1投标文件初审分为资格审查和符合性审查。</w:t>
      </w:r>
      <w:r/>
    </w:p>
    <w:p>
      <w:pPr>
        <w:ind w:left="0" w:right="0" w:firstLine="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26.1.1 资格审查：依据法律法规和招标文件的规定，由采购人对投标文件中的资格证明文件进行审查。资格审查的结论，采购人以书面形式向评委会进行反馈。</w:t>
      </w:r>
      <w:r/>
    </w:p>
    <w:p>
      <w:pPr>
        <w:ind w:left="0" w:right="0" w:firstLine="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采购人在进行资格性审查的同时，将在“信用中国”网站（www.creditchina.gov.cn）查询投标人的信用记录，以确定投标人是否具备投标资格,查询结果留存并归档。</w:t>
      </w:r>
      <w:r/>
    </w:p>
    <w:p>
      <w:pPr>
        <w:ind w:left="0" w:right="0" w:firstLine="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0" w:right="0" w:firstLine="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26.1.2 符合性审查：依据招标文件的规定，由评委会从投标文件的有效性、完整性和对招标文件的响应程度进行审查，以确定是否对招标文件的实质性要求作出响应。</w:t>
      </w:r>
      <w:r/>
    </w:p>
    <w:p>
      <w:pPr>
        <w:ind w:left="0" w:right="0" w:firstLine="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26.1.3 未通过资格审查或符合性审查的投标人，代理机构将在苏采云系统中告知未通过资格审查或符合性审查的原因，评审结束后，代理机构将不再告知未通过资格审查或符合性审查的原因。</w:t>
      </w:r>
      <w:r/>
    </w:p>
    <w:p>
      <w:pPr>
        <w:ind w:left="0" w:right="0" w:firstLine="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0" w:right="0" w:firstLine="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26.3如果投标文件实质上没有响应招标文件的要求，评委会将予以拒绝，投标人不得通过修改或撤销不合要求的偏离或保留而使其投标成为实质性响应的投标。</w:t>
      </w:r>
      <w:r/>
    </w:p>
    <w:p>
      <w:pPr>
        <w:ind w:left="0" w:right="0" w:firstLine="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26.4评委会将对确定为实质性响应的投标进行进一步审核，看其是否有计算上或累加上的算术错误，修正错误的原则如下：</w:t>
      </w:r>
      <w:r/>
    </w:p>
    <w:p>
      <w:pPr>
        <w:ind w:left="0" w:right="0" w:firstLine="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（1）投标文件中开标一览表内容与投标文件中相应内容不一致的，以开标一览表为准。</w:t>
      </w:r>
      <w:r/>
    </w:p>
    <w:p>
      <w:pPr>
        <w:ind w:left="0" w:right="0" w:firstLine="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（2）大写金额和小写金额不一致的，以大写金额为准。</w:t>
      </w:r>
      <w:r/>
    </w:p>
    <w:p>
      <w:pPr>
        <w:ind w:left="0" w:right="0" w:firstLine="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（3）单价金额小数点或者百分比有明显错位的，以开标一览表的总价为准，并修改单价。</w:t>
      </w:r>
      <w:r/>
    </w:p>
    <w:p>
      <w:pPr>
        <w:ind w:left="0" w:right="0" w:firstLine="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（4）总价金额与按单价汇总金额不一致的，以单价金额计算结果为准。</w:t>
      </w:r>
      <w:r/>
    </w:p>
    <w:p>
      <w:pPr>
        <w:ind w:left="0" w:right="0" w:firstLine="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同时出现两种以上错误的，按照前款规定的顺序修正。</w:t>
      </w:r>
      <w:r/>
    </w:p>
    <w:p>
      <w:pPr>
        <w:ind w:left="0" w:right="0" w:firstLine="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ind w:left="0" w:right="0" w:firstLine="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left="0" w:right="0" w:firstLine="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left="0" w:right="0" w:firstLine="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非单一产品采购项目，招标文件中将载明其中的核心产品。多家投标人提供的核心产品品牌相同的，按前两款规定处理。</w:t>
      </w:r>
      <w:r/>
    </w:p>
    <w:p>
      <w:pPr>
        <w:ind w:left="0" w:right="0" w:firstLine="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26.7投标人在开、评标全过程中应保持通讯畅通，及时登录苏采云系统查阅、答复相关信息，并安排专人与代理机构及评标委员会联系。</w:t>
      </w:r>
      <w:r/>
    </w:p>
    <w:p>
      <w:pPr>
        <w:ind w:left="0" w:right="0" w:firstLine="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27．无效投标条款和废标条款</w:t>
      </w:r>
      <w:r/>
    </w:p>
    <w:p>
      <w:pPr>
        <w:ind w:left="0" w:right="0" w:firstLine="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27.1无效投标条款</w:t>
      </w:r>
      <w:r/>
    </w:p>
    <w:p>
      <w:pPr>
        <w:ind w:left="0" w:right="0" w:firstLine="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27.1.1 投标人在苏采云系统规定的时间内未成功解密电子投标文件的。</w:t>
      </w:r>
      <w:r/>
    </w:p>
    <w:p>
      <w:pPr>
        <w:ind w:left="0" w:right="0" w:firstLine="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27.1.2 投标人未按照招标文件要求上传电子投标文件的。</w:t>
      </w:r>
      <w:r/>
    </w:p>
    <w:p>
      <w:pPr>
        <w:ind w:left="0" w:right="0" w:firstLine="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27.1.3投标人同一分包提交两个（含两个）以上不同的投标报价的。</w:t>
      </w:r>
      <w:r/>
    </w:p>
    <w:p>
      <w:pPr>
        <w:ind w:left="0" w:right="0" w:firstLine="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27.1.4投标人不具备招标文件中规定资格要求的。</w:t>
      </w:r>
      <w:r/>
    </w:p>
    <w:p>
      <w:pPr>
        <w:ind w:left="0" w:right="0" w:firstLine="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27.1.5投标人的报价超过了采购预算或最高限价的。</w:t>
      </w:r>
      <w:r/>
    </w:p>
    <w:p>
      <w:pPr>
        <w:ind w:left="0" w:right="0" w:firstLine="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27.1.6未通过符合性审查的。</w:t>
      </w:r>
      <w:r/>
    </w:p>
    <w:p>
      <w:pPr>
        <w:ind w:left="0" w:right="0" w:firstLine="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27.1.7不符合招标文件中规定的实质性要求的（详见本招标文件第四章采购需求中标有“★”的技术要求及相关商务要求）。</w:t>
      </w:r>
      <w:r/>
    </w:p>
    <w:p>
      <w:pPr>
        <w:ind w:left="0" w:right="0" w:firstLine="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27.1.8 投标人被 “信用中国”网站（www.creditchina.gov.cn）、中国政府采购网（www.ccgp.gov.cn）列入失信被执行人或重大税收违法案件当事人名单或政府采购严重失信行为记录名单。或查询网站后发现投标人存在其他不符合《中华人民共和国政府采购法》第二十二条规定条件的信用记录。</w:t>
      </w:r>
      <w:r/>
    </w:p>
    <w:p>
      <w:pPr>
        <w:ind w:left="0" w:right="0" w:firstLine="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27.1.9 投标文件含有采购人不能接受的附加条件的。</w:t>
      </w:r>
      <w:r/>
    </w:p>
    <w:p>
      <w:pPr>
        <w:ind w:left="0" w:right="0" w:firstLine="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27.1.10</w:t>
      </w:r>
      <w:r>
        <w:rPr>
          <w:rFonts w:ascii="FangSong" w:hAnsi="FangSong" w:eastAsia="FangSong" w:cs="FangSong"/>
          <w:color w:val="ff0000"/>
          <w:sz w:val="28"/>
        </w:rPr>
        <w:t xml:space="preserve">评审过程中出现下列情形之一的，评审委员会应当启动异常低价投标（响应）审查程序：</w:t>
      </w:r>
      <w:r/>
    </w:p>
    <w:p>
      <w:pPr>
        <w:ind w:left="0" w:right="0" w:firstLine="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ff0000"/>
          <w:sz w:val="28"/>
        </w:rPr>
        <w:t xml:space="preserve">（1）投标（响应）报价低于全部通过符合性审查供应商投标（响应）报价平均值50%的，即投标（响应）报价＜全部通过符合性审查供应商投标（响应）报价平均值×50%；</w:t>
      </w:r>
      <w:r/>
    </w:p>
    <w:p>
      <w:pPr>
        <w:ind w:left="0" w:right="0" w:firstLine="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ff0000"/>
          <w:sz w:val="28"/>
        </w:rPr>
        <w:t xml:space="preserve">（2）投标（响应）报价低于通过符合性审查的次低报价供应商投标（响应）报价50%的，即投标（响应）报价＜通过符合性审查的次低报价供应商投标（响应）报价×50%；</w:t>
      </w:r>
      <w:r/>
    </w:p>
    <w:p>
      <w:pPr>
        <w:ind w:left="0" w:right="0" w:firstLine="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ff0000"/>
          <w:sz w:val="28"/>
        </w:rPr>
        <w:t xml:space="preserve">（3）投标（响应）报价低于采购项目最高限价45%的，即投标（响应）报价＜采购项目最高限价×45%；</w:t>
      </w:r>
      <w:r/>
    </w:p>
    <w:p>
      <w:pPr>
        <w:ind w:left="0" w:right="0" w:firstLine="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ff0000"/>
          <w:sz w:val="28"/>
        </w:rPr>
        <w:t xml:space="preserve">（4）评审委员会基于专业判断，认为供应商报价过低，有可能影响产品质量或者不能诚信履约的其他情形。</w:t>
      </w:r>
      <w:r/>
    </w:p>
    <w:p>
      <w:pPr>
        <w:ind w:left="0" w:right="0" w:firstLine="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ff0000"/>
          <w:sz w:val="28"/>
        </w:rPr>
        <w:t xml:space="preserve">启动异常低价投标（响应）审查后，评审委员会应当要求相关供应商在苏采云系统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left="0" w:right="0" w:firstLine="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27.1.11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left="0" w:right="0" w:firstLine="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27.1.12 投标文件未按照招标文件要求加盖CA电子公章的。</w:t>
      </w:r>
      <w:r/>
    </w:p>
    <w:p>
      <w:pPr>
        <w:ind w:left="0" w:right="0" w:firstLine="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27.1.13其他法律、法规及本招标文件规定的属无效投标的情形。</w:t>
      </w:r>
      <w:r/>
    </w:p>
    <w:p>
      <w:pPr>
        <w:ind w:left="0" w:right="0" w:firstLine="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27.1.14投标人的商务技术部分得分相差异常悬殊，评标委员会一致认为得分畸低者有可能影响产品质量或者不能诚信履约的。</w:t>
      </w:r>
      <w:r/>
    </w:p>
    <w:p>
      <w:pPr>
        <w:ind w:left="0" w:right="0" w:firstLine="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27.2废标条款</w:t>
      </w:r>
      <w:r/>
    </w:p>
    <w:p>
      <w:pPr>
        <w:ind w:left="0" w:right="0" w:firstLine="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27.2.1符合专业条件的供应商或者对招标文件作实质响应的供应商不足三家的。</w:t>
      </w:r>
      <w:r/>
    </w:p>
    <w:p>
      <w:pPr>
        <w:ind w:left="0" w:right="0" w:firstLine="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27.2.2出现影响采购公正的违法、违规行为的。</w:t>
      </w:r>
      <w:r/>
    </w:p>
    <w:p>
      <w:pPr>
        <w:ind w:left="0" w:right="0" w:firstLine="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27.2.3因重大变故，采购任务取消的。</w:t>
      </w:r>
      <w:r/>
    </w:p>
    <w:p>
      <w:pPr>
        <w:ind w:left="0" w:right="0" w:firstLine="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27.2.4评标委员会认定招标文件存在歧义、重大缺陷导致评审工作无法进行。</w:t>
      </w:r>
      <w:r/>
    </w:p>
    <w:p>
      <w:pPr>
        <w:ind w:left="0" w:right="0" w:firstLine="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27.2.5 因苏采云系统系统故障原因造成开标不成功的。</w:t>
      </w:r>
      <w:r/>
    </w:p>
    <w:p>
      <w:pPr>
        <w:ind w:left="0" w:right="0" w:firstLine="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27.3 投标截止时间结束后参加投标的供应商不足三家的处理：</w:t>
      </w:r>
      <w:r/>
    </w:p>
    <w:p>
      <w:pPr>
        <w:ind w:left="0" w:right="0" w:firstLine="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27.3.1如出现投标截止时间结束后参加投标的供应商或者在评标期间对招标文件做出实质响应的供应商不足三家情况，按政府采购相关规定执行。</w:t>
      </w:r>
      <w:r/>
    </w:p>
    <w:p>
      <w:pPr>
        <w:ind w:left="0" w:right="0" w:firstLine="0"/>
        <w:jc w:val="both"/>
        <w:spacing w:before="145" w:after="145"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六、定标</w:t>
      </w:r>
      <w:r/>
    </w:p>
    <w:p>
      <w:pPr>
        <w:ind w:left="0" w:right="0" w:firstLine="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28．确定中标单位</w:t>
      </w:r>
      <w:r/>
    </w:p>
    <w:p>
      <w:pPr>
        <w:ind w:left="0" w:right="0" w:firstLine="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28.1中标候选人的选取原则和数量见招标文件第五章规定。 </w:t>
      </w:r>
      <w:r/>
    </w:p>
    <w:p>
      <w:pPr>
        <w:ind w:left="0" w:right="0" w:firstLine="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28.2 采购人应根据评委会推荐的中标候选人确定中标人。</w:t>
      </w:r>
      <w:r/>
    </w:p>
    <w:p>
      <w:pPr>
        <w:ind w:left="0" w:right="0" w:firstLine="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28.3 代理机构将在“江苏政府采购网”发布中标公告，公告期限为1个工作日。</w:t>
      </w:r>
      <w:r/>
    </w:p>
    <w:p>
      <w:pPr>
        <w:ind w:left="0" w:right="0" w:firstLine="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28.4 若有充分证据证明，中标人出现下列情况之一的，一经查实，将被取消中标资格：</w:t>
      </w:r>
      <w:r/>
    </w:p>
    <w:p>
      <w:pPr>
        <w:ind w:left="0" w:right="0" w:firstLine="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28.4.1提供虚假材料谋取中标的。</w:t>
      </w:r>
      <w:r/>
    </w:p>
    <w:p>
      <w:pPr>
        <w:ind w:left="0" w:right="0" w:firstLine="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28.4.2向采购人、代理机构行贿或者提供其他不正当利益的。</w:t>
      </w:r>
      <w:r/>
    </w:p>
    <w:p>
      <w:pPr>
        <w:ind w:left="0" w:right="0" w:firstLine="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28.4.3属于本文件规定的无效条件，但在评标过程中又未被评委会发现的。</w:t>
      </w:r>
      <w:r/>
    </w:p>
    <w:p>
      <w:pPr>
        <w:ind w:left="0" w:right="0" w:firstLine="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28.4.4与采购人或者其他供应商恶意串通的。</w:t>
      </w:r>
      <w:r/>
    </w:p>
    <w:p>
      <w:pPr>
        <w:ind w:left="0" w:right="0" w:firstLine="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28.4.5采取不正当手段诋毁、排挤其他供应商的。</w:t>
      </w:r>
      <w:r/>
    </w:p>
    <w:p>
      <w:pPr>
        <w:ind w:left="0" w:right="0" w:firstLine="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28.5. 有下列情形之一的，视为投标人串通投标，投标无效：</w:t>
      </w:r>
      <w:r/>
    </w:p>
    <w:p>
      <w:pPr>
        <w:ind w:left="0" w:right="0" w:firstLine="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28.5.1不同投标人的投标文件由同一单位或者个人编制；</w:t>
      </w:r>
      <w:r/>
    </w:p>
    <w:p>
      <w:pPr>
        <w:ind w:left="0" w:right="0" w:firstLine="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28.5.2不同投标人委托同一单位或者个人办理投标事宜；</w:t>
      </w:r>
      <w:r/>
    </w:p>
    <w:p>
      <w:pPr>
        <w:ind w:left="0" w:right="0" w:firstLine="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28.5.3 不同投标人的投标文件载明的项目管理成员或者联系人员为同一人；</w:t>
      </w:r>
      <w:r/>
    </w:p>
    <w:p>
      <w:pPr>
        <w:ind w:left="0" w:right="0" w:firstLine="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28.5.4不同投标人的投标文件异常一致或者投标报价呈规律性差异；</w:t>
      </w:r>
      <w:r/>
    </w:p>
    <w:p>
      <w:pPr>
        <w:ind w:left="0" w:right="0" w:firstLine="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29．质疑处理</w:t>
      </w:r>
      <w:r/>
    </w:p>
    <w:p>
      <w:pPr>
        <w:ind w:left="0" w:right="0" w:firstLine="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29.1 提出质疑的供应商应当是参与所质疑项目采购活动的供应商。潜在供应商依法获取其可质疑的采购文件的，可以对采购文件提出质疑。</w:t>
      </w:r>
      <w:r/>
    </w:p>
    <w:p>
      <w:pPr>
        <w:ind w:left="0" w:right="0" w:firstLine="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29.2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p>
    <w:p>
      <w:pPr>
        <w:ind w:left="0" w:right="0" w:firstLine="0"/>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29.2.1对可以质疑的采购文件提出质疑的，为收到采购文件之日或者采购文件公告期限届满之日；</w:t>
        <w:br/>
        <w:t xml:space="preserve"> 29.2.2对采购过程提出质疑的，为各采购程序环节结束之日；</w:t>
        <w:br/>
        <w:t xml:space="preserve"> 29.2.3对中标或者成交结果提出质疑的，为中标或者成交结果公告期限届满之日。</w:t>
      </w:r>
      <w:r/>
    </w:p>
    <w:p>
      <w:pPr>
        <w:ind w:left="0" w:right="0" w:firstLine="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ind w:left="0" w:right="0" w:firstLine="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ind w:left="0" w:right="0" w:firstLine="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29.4 供应商（含潜在供应商）对采购方式、招标文件中采购需求、供应商资格条件、评标方法和评标标准、合同文本及资格审查结果的询问、质疑请向采购人提出，由采购人负责答复。供应商对其他事项的询问、质疑请向代理机构提出，由代理机构负责答复。</w:t>
      </w:r>
      <w:r/>
    </w:p>
    <w:p>
      <w:pPr>
        <w:ind w:left="0" w:right="0" w:firstLine="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采购人及代理机构只接收以纸质原件形式送达的质疑,建议供应商尽量通过邮寄方式提交质疑（采购人和代理机构不接受无快递运单号的快递）。</w:t>
      </w:r>
      <w:r/>
    </w:p>
    <w:p>
      <w:pPr>
        <w:ind w:left="0" w:right="0" w:firstLine="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采购人质疑接收人及联系方式见招标文件第一章。</w:t>
      </w:r>
      <w:r/>
    </w:p>
    <w:p>
      <w:pPr>
        <w:ind w:left="0" w:right="0" w:firstLine="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29.5 以下情形的质疑不予受理</w:t>
      </w:r>
      <w:r/>
    </w:p>
    <w:p>
      <w:pPr>
        <w:ind w:left="0" w:right="0" w:firstLine="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29.5.1 内容不符合《政府采购质疑和投诉办法》第十二条规定的质疑。</w:t>
      </w:r>
      <w:r/>
    </w:p>
    <w:p>
      <w:pPr>
        <w:ind w:left="0" w:right="0" w:firstLine="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29.5.2 超出政府采购法定期限的质疑。</w:t>
      </w:r>
      <w:r/>
    </w:p>
    <w:p>
      <w:pPr>
        <w:ind w:left="0" w:right="0" w:firstLine="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29.5.3 以传真、电子邮件等方式递交的非原件形式的质疑。</w:t>
      </w:r>
      <w:r/>
    </w:p>
    <w:p>
      <w:pPr>
        <w:ind w:left="0" w:right="0" w:firstLine="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29.5.4 未参加投标活动的供应商或在投标活动中自身权益未受到损害的供应商所提出的质疑。</w:t>
      </w:r>
      <w:r/>
    </w:p>
    <w:p>
      <w:pPr>
        <w:ind w:left="0" w:right="0" w:firstLine="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29.5.5供应商组成联合体参加投标，联合体中任何一方或多方未按要求签字、盖章、加盖公章的质疑。</w:t>
      </w:r>
      <w:r/>
    </w:p>
    <w:p>
      <w:pPr>
        <w:ind w:left="0" w:right="0" w:firstLine="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29.6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left="0" w:right="0" w:firstLine="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30．中标通知书</w:t>
      </w:r>
      <w:r/>
    </w:p>
    <w:p>
      <w:pPr>
        <w:ind w:left="0" w:right="0" w:firstLine="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30.l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left="0" w:right="0" w:firstLine="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30.2中标通知书将是合同的一个组成部分。对采购人和中标供应商均具有法律效力。中标通知书发出后，采购人改变中标结果的，或者中标供应商放弃中标项目的，应当依法承担法律责任。</w:t>
      </w:r>
      <w:r/>
    </w:p>
    <w:p>
      <w:pPr>
        <w:ind w:left="0" w:right="0" w:firstLine="0"/>
        <w:jc w:val="both"/>
        <w:spacing w:before="145" w:after="145"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七、授予合同</w:t>
      </w:r>
      <w:r/>
    </w:p>
    <w:p>
      <w:pPr>
        <w:ind w:left="0" w:right="0" w:firstLine="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31. 签订合同</w:t>
      </w:r>
      <w:r/>
    </w:p>
    <w:p>
      <w:pPr>
        <w:ind w:left="0" w:right="0" w:firstLine="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31.l中标人应当在中标通知书发出之日起三十日内，按照招标文件确定的事项与采购人签订政府采购合同。</w:t>
      </w:r>
      <w:r/>
    </w:p>
    <w:p>
      <w:pPr>
        <w:ind w:left="0" w:right="0" w:firstLine="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31.2招标文件、中标人的投标文件及招标过程中有关澄清、承诺文件均应作为合同附件。</w:t>
      </w:r>
      <w:r/>
    </w:p>
    <w:p>
      <w:pPr>
        <w:ind w:left="0" w:right="0" w:firstLine="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31.3 签订合同后，</w:t>
      </w:r>
      <w:r>
        <w:rPr>
          <w:rFonts w:ascii="FangSong" w:hAnsi="FangSong" w:eastAsia="FangSong" w:cs="FangSong"/>
          <w:color w:val="000000"/>
          <w:sz w:val="28"/>
          <w:u w:val="single"/>
        </w:rPr>
        <w:t xml:space="preserve">中标人不得将合同标的进行转包</w:t>
      </w:r>
      <w:r>
        <w:rPr>
          <w:rFonts w:ascii="FangSong" w:hAnsi="FangSong" w:eastAsia="FangSong" w:cs="FangSong"/>
          <w:color w:val="000000"/>
          <w:sz w:val="28"/>
        </w:rPr>
        <w:t xml:space="preserve">。未经采购人同意，中标人也不得采用分包的形式履行合同，否则采购人有权终止合同。转包或分包造成采购人损失的，中标人应承担相应赔偿责任。</w:t>
      </w:r>
      <w:r/>
    </w:p>
    <w:p>
      <w:pPr>
        <w:ind w:left="0" w:right="0" w:firstLine="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32．货物（包含与货物相关的服务）的追加</w:t>
      </w:r>
      <w:r/>
    </w:p>
    <w:p>
      <w:pPr>
        <w:ind w:left="0" w:right="0" w:firstLine="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left="0" w:right="0" w:firstLine="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33．政府采购履约资金扶持政策</w:t>
      </w:r>
      <w:r/>
    </w:p>
    <w:p>
      <w:pPr>
        <w:ind w:left="0" w:right="0" w:firstLine="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p>
    <w:p>
      <w:pPr>
        <w:ind w:left="0" w:right="0" w:firstLine="0"/>
        <w:jc w:val="both"/>
        <w:spacing w:before="0" w:after="16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spacing w:before="0" w:after="160" w:line="22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pStyle w:val="709"/>
        <w:ind w:left="0" w:right="0" w:firstLine="0"/>
        <w:jc w:val="center"/>
        <w:spacing w:before="480" w:after="20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0"/>
        </w:rPr>
        <w:t xml:space="preserve">第三章  合同文本</w:t>
      </w:r>
      <w:r/>
    </w:p>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以下为中标后签定本项目合同的通用条款，采购人与中标人应按此签订采购合同。中标人不得提出实质性的修改，关于专用条款将由采购人与中标人结合本项目具体情况协商后签订。</w:t>
      </w:r>
      <w:r/>
    </w:p>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医用设备维修保养服务合同</w:t>
      </w:r>
      <w:r/>
    </w:p>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合同编号：</w:t>
      </w:r>
      <w:r/>
    </w:p>
    <w:p>
      <w:pPr>
        <w:ind w:left="0" w:right="0" w:firstLine="0"/>
        <w:spacing w:before="0"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      方（买方）：南通大学附属医院</w:t>
      </w:r>
      <w:r/>
    </w:p>
    <w:p>
      <w:pPr>
        <w:ind w:left="0" w:right="0" w:firstLine="0"/>
        <w:spacing w:before="0"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      址：南通市崇川区西寺路20号  </w:t>
        <w:tab/>
      </w:r>
      <w:r/>
    </w:p>
    <w:p>
      <w:pPr>
        <w:ind w:left="0" w:right="0" w:firstLine="0"/>
        <w:spacing w:before="0"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      话：0513-85052476    </w:t>
      </w:r>
      <w:r/>
    </w:p>
    <w:p>
      <w:pPr>
        <w:ind w:left="0" w:right="0" w:firstLine="0"/>
        <w:spacing w:before="0"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      方（卖方）：</w:t>
      </w:r>
      <w:r/>
    </w:p>
    <w:p>
      <w:pPr>
        <w:ind w:left="0" w:right="0" w:firstLine="0"/>
        <w:spacing w:before="0"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      址： </w:t>
      </w:r>
      <w:r/>
    </w:p>
    <w:p>
      <w:pPr>
        <w:ind w:left="0" w:right="0" w:firstLine="0"/>
        <w:spacing w:before="0"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      话：                   传      真：</w:t>
        <w:tab/>
      </w:r>
      <w:r/>
    </w:p>
    <w:p>
      <w:pPr>
        <w:ind w:left="0" w:right="0" w:firstLine="0"/>
        <w:spacing w:before="0"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甲乙双方经过协商，达成本服务合同（以下简称“合同”）。合同内容包括具体条款、附件及合同中提及的其他文件。</w:t>
      </w:r>
      <w:r/>
    </w:p>
    <w:p>
      <w:pPr>
        <w:numPr>
          <w:ilvl w:val="0"/>
          <w:numId w:val="10"/>
        </w:numPr>
        <w:jc w:val="both"/>
        <w:spacing w:before="0" w:after="0"/>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维修、维保服务的医疗设备：</w:t>
      </w:r>
      <w:r/>
    </w:p>
    <w:p>
      <w:pPr>
        <w:ind w:left="0" w:right="0" w:firstLine="0"/>
        <w:spacing w:before="0"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1.1设备名称及维保时间：</w:t>
      </w:r>
      <w:r/>
    </w:p>
    <w:tbl>
      <w:tblPr>
        <w:tblStyle w:val="74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75"/>
        <w:gridCol w:w="1125"/>
        <w:gridCol w:w="1445"/>
        <w:gridCol w:w="1969"/>
        <w:gridCol w:w="1501"/>
        <w:gridCol w:w="1594"/>
      </w:tblGrid>
      <w:tr>
        <w:trPr>
          <w:trHeight w:val="29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top"/>
            <w:textDirection w:val="lrTb"/>
            <w:noWrap w:val="false"/>
          </w:tcPr>
          <w:p>
            <w:pPr>
              <w:ind w:left="0" w:right="0" w:firstLine="0"/>
              <w:jc w:val="center"/>
              <w:spacing w:before="0"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25" w:type="dxa"/>
            <w:vAlign w:val="top"/>
            <w:textDirection w:val="lrTb"/>
            <w:noWrap w:val="false"/>
          </w:tcPr>
          <w:p>
            <w:pPr>
              <w:ind w:left="0" w:right="0" w:firstLine="0"/>
              <w:jc w:val="center"/>
              <w:spacing w:before="0"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45" w:type="dxa"/>
            <w:vAlign w:val="top"/>
            <w:textDirection w:val="lrTb"/>
            <w:noWrap w:val="false"/>
          </w:tcPr>
          <w:p>
            <w:pPr>
              <w:ind w:left="0" w:right="0" w:firstLine="0"/>
              <w:jc w:val="center"/>
              <w:spacing w:before="0"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设备型号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69" w:type="dxa"/>
            <w:vAlign w:val="top"/>
            <w:textDirection w:val="lrTb"/>
            <w:noWrap w:val="false"/>
          </w:tcPr>
          <w:p>
            <w:pPr>
              <w:ind w:left="0" w:right="0" w:firstLine="0"/>
              <w:jc w:val="center"/>
              <w:spacing w:before="0"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设备编号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01" w:type="dxa"/>
            <w:vAlign w:val="top"/>
            <w:textDirection w:val="lrTb"/>
            <w:noWrap w:val="false"/>
          </w:tcPr>
          <w:p>
            <w:pPr>
              <w:ind w:left="0" w:right="0" w:firstLine="0"/>
              <w:jc w:val="center"/>
              <w:spacing w:before="0"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维保开始日期</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94" w:type="dxa"/>
            <w:vAlign w:val="top"/>
            <w:textDirection w:val="lrTb"/>
            <w:noWrap w:val="false"/>
          </w:tcPr>
          <w:p>
            <w:pPr>
              <w:ind w:left="0" w:right="0" w:firstLine="0"/>
              <w:jc w:val="center"/>
              <w:spacing w:before="0"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维保终止日期</w:t>
            </w:r>
            <w:r/>
          </w:p>
        </w:tc>
      </w:tr>
      <w:tr>
        <w:trPr>
          <w:trHeight w:val="32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top"/>
            <w:textDirection w:val="lrTb"/>
            <w:noWrap w:val="false"/>
          </w:tcPr>
          <w:p>
            <w:pPr>
              <w:ind w:left="0" w:right="0" w:firstLine="0"/>
              <w:spacing w:before="0"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01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ind w:left="0" w:right="0" w:firstLine="0"/>
              <w:jc w:val="center"/>
              <w:spacing w:before="0"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5" w:type="dxa"/>
            <w:vAlign w:val="top"/>
            <w:textDirection w:val="lrTb"/>
            <w:noWrap w:val="false"/>
          </w:tcPr>
          <w:p>
            <w:pPr>
              <w:ind w:left="0" w:right="0" w:firstLine="0"/>
              <w:jc w:val="center"/>
              <w:spacing w:before="0"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69" w:type="dxa"/>
            <w:vAlign w:val="top"/>
            <w:textDirection w:val="lrTb"/>
            <w:noWrap w:val="false"/>
          </w:tcPr>
          <w:p>
            <w:pPr>
              <w:ind w:left="0" w:right="0" w:firstLine="0"/>
              <w:jc w:val="center"/>
              <w:spacing w:before="0"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1" w:type="dxa"/>
            <w:vAlign w:val="center"/>
            <w:textDirection w:val="lrTb"/>
            <w:noWrap w:val="false"/>
          </w:tcPr>
          <w:p>
            <w:pPr>
              <w:ind w:left="0" w:right="0" w:firstLine="0"/>
              <w:jc w:val="center"/>
              <w:spacing w:before="0"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4" w:type="dxa"/>
            <w:vAlign w:val="center"/>
            <w:textDirection w:val="lrTb"/>
            <w:noWrap w:val="false"/>
          </w:tcPr>
          <w:p>
            <w:pPr>
              <w:ind w:left="0" w:right="0" w:firstLine="0"/>
              <w:jc w:val="center"/>
              <w:spacing w:before="0"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2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top"/>
            <w:textDirection w:val="lrTb"/>
            <w:noWrap w:val="false"/>
          </w:tcPr>
          <w:p>
            <w:pPr>
              <w:ind w:left="0" w:right="0" w:firstLine="0"/>
              <w:spacing w:before="0"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02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ind w:left="0" w:right="0" w:firstLine="0"/>
              <w:jc w:val="center"/>
              <w:spacing w:before="0"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5" w:type="dxa"/>
            <w:vAlign w:val="top"/>
            <w:textDirection w:val="lrTb"/>
            <w:noWrap w:val="false"/>
          </w:tcPr>
          <w:p>
            <w:pPr>
              <w:ind w:left="0" w:right="0" w:firstLine="0"/>
              <w:jc w:val="center"/>
              <w:spacing w:before="0"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69" w:type="dxa"/>
            <w:vAlign w:val="top"/>
            <w:textDirection w:val="lrTb"/>
            <w:noWrap w:val="false"/>
          </w:tcPr>
          <w:p>
            <w:pPr>
              <w:ind w:left="0" w:right="0" w:firstLine="0"/>
              <w:jc w:val="center"/>
              <w:spacing w:before="0"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1" w:type="dxa"/>
            <w:vAlign w:val="center"/>
            <w:textDirection w:val="lrTb"/>
            <w:noWrap w:val="false"/>
          </w:tcPr>
          <w:p>
            <w:pPr>
              <w:ind w:left="0" w:right="0" w:firstLine="0"/>
              <w:jc w:val="center"/>
              <w:spacing w:before="0"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4" w:type="dxa"/>
            <w:vAlign w:val="center"/>
            <w:textDirection w:val="lrTb"/>
            <w:noWrap w:val="false"/>
          </w:tcPr>
          <w:p>
            <w:pPr>
              <w:ind w:left="0" w:right="0" w:firstLine="0"/>
              <w:jc w:val="center"/>
              <w:spacing w:before="0"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2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top"/>
            <w:textDirection w:val="lrTb"/>
            <w:noWrap w:val="false"/>
          </w:tcPr>
          <w:p>
            <w:pPr>
              <w:ind w:left="0" w:right="0" w:firstLine="0"/>
              <w:spacing w:before="0"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03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ind w:left="0" w:right="0" w:firstLine="0"/>
              <w:jc w:val="center"/>
              <w:spacing w:before="0"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5" w:type="dxa"/>
            <w:vAlign w:val="top"/>
            <w:textDirection w:val="lrTb"/>
            <w:noWrap w:val="false"/>
          </w:tcPr>
          <w:p>
            <w:pPr>
              <w:ind w:left="0" w:right="0" w:firstLine="0"/>
              <w:jc w:val="center"/>
              <w:spacing w:before="0"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69" w:type="dxa"/>
            <w:vAlign w:val="top"/>
            <w:textDirection w:val="lrTb"/>
            <w:noWrap w:val="false"/>
          </w:tcPr>
          <w:p>
            <w:pPr>
              <w:ind w:left="0" w:right="0" w:firstLine="0"/>
              <w:jc w:val="center"/>
              <w:spacing w:before="0"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1" w:type="dxa"/>
            <w:vAlign w:val="center"/>
            <w:textDirection w:val="lrTb"/>
            <w:noWrap w:val="false"/>
          </w:tcPr>
          <w:p>
            <w:pPr>
              <w:ind w:left="0" w:right="0" w:firstLine="0"/>
              <w:jc w:val="center"/>
              <w:spacing w:before="0"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4" w:type="dxa"/>
            <w:vAlign w:val="center"/>
            <w:textDirection w:val="lrTb"/>
            <w:noWrap w:val="false"/>
          </w:tcPr>
          <w:p>
            <w:pPr>
              <w:ind w:left="0" w:right="0" w:firstLine="0"/>
              <w:jc w:val="center"/>
              <w:spacing w:before="0"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2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top"/>
            <w:textDirection w:val="lrTb"/>
            <w:noWrap w:val="false"/>
          </w:tcPr>
          <w:p>
            <w:pPr>
              <w:ind w:left="0" w:right="0" w:firstLine="0"/>
              <w:spacing w:before="0"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04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ind w:left="0" w:right="0" w:firstLine="0"/>
              <w:jc w:val="center"/>
              <w:spacing w:before="0"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5" w:type="dxa"/>
            <w:vAlign w:val="top"/>
            <w:textDirection w:val="lrTb"/>
            <w:noWrap w:val="false"/>
          </w:tcPr>
          <w:p>
            <w:pPr>
              <w:ind w:left="0" w:right="0" w:firstLine="0"/>
              <w:jc w:val="center"/>
              <w:spacing w:before="0"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69" w:type="dxa"/>
            <w:vAlign w:val="top"/>
            <w:textDirection w:val="lrTb"/>
            <w:noWrap w:val="false"/>
          </w:tcPr>
          <w:p>
            <w:pPr>
              <w:ind w:left="0" w:right="0" w:firstLine="0"/>
              <w:jc w:val="center"/>
              <w:spacing w:before="0"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1" w:type="dxa"/>
            <w:vAlign w:val="center"/>
            <w:textDirection w:val="lrTb"/>
            <w:noWrap w:val="false"/>
          </w:tcPr>
          <w:p>
            <w:pPr>
              <w:ind w:left="0" w:right="0" w:firstLine="0"/>
              <w:jc w:val="center"/>
              <w:spacing w:before="0"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4" w:type="dxa"/>
            <w:vAlign w:val="center"/>
            <w:textDirection w:val="lrTb"/>
            <w:noWrap w:val="false"/>
          </w:tcPr>
          <w:p>
            <w:pPr>
              <w:ind w:left="0" w:right="0" w:firstLine="0"/>
              <w:jc w:val="center"/>
              <w:spacing w:before="0"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1.2附加设备名称/服务内容：</w:t>
      </w:r>
      <w:r/>
    </w:p>
    <w:p>
      <w:pPr>
        <w:ind w:left="0" w:right="0" w:firstLine="0"/>
        <w:spacing w:before="0"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p>
    <w:p>
      <w:pPr>
        <w:ind w:left="0" w:right="0" w:firstLine="0"/>
        <w:spacing w:before="0"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乙方仅对以上列明的设备及附加设备/服务（以下简称“设备”）予以保修。</w:t>
      </w:r>
      <w:r/>
    </w:p>
    <w:p>
      <w:pPr>
        <w:ind w:left="0" w:right="0" w:firstLine="0"/>
        <w:spacing w:before="0"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维修、维保响应时间：周一至周日7*24小时，乙方在接到甲方电话后1小时内响应。乙方24小时服务热线电话：</w:t>
      </w:r>
      <w:r/>
    </w:p>
    <w:p>
      <w:pPr>
        <w:ind w:left="0" w:right="0" w:firstLine="0"/>
        <w:spacing w:before="0"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3.乙方的责任：</w:t>
      </w:r>
      <w:r/>
    </w:p>
    <w:p>
      <w:pPr>
        <w:ind w:left="0" w:right="0" w:firstLine="0"/>
        <w:spacing w:before="0"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3.1定期保养：乙方每年至少提供</w:t>
      </w:r>
      <w:r>
        <w:rPr>
          <w:rFonts w:ascii="SimSun" w:hAnsi="SimSun" w:eastAsia="SimSun" w:cs="SimSun"/>
          <w:color w:val="000000"/>
          <w:sz w:val="21"/>
          <w:u w:val="single"/>
        </w:rPr>
        <w:t xml:space="preserve">   </w:t>
      </w:r>
      <w:r>
        <w:rPr>
          <w:rFonts w:ascii="SimSun" w:hAnsi="SimSun" w:eastAsia="SimSun" w:cs="SimSun"/>
          <w:color w:val="000000"/>
          <w:sz w:val="21"/>
        </w:rPr>
        <w:t xml:space="preserve">次定期维护保养，每季度至少</w:t>
      </w:r>
      <w:r>
        <w:rPr>
          <w:rFonts w:ascii="SimSun" w:hAnsi="SimSun" w:eastAsia="SimSun" w:cs="SimSun"/>
          <w:color w:val="000000"/>
          <w:sz w:val="21"/>
          <w:u w:val="single"/>
        </w:rPr>
        <w:t xml:space="preserve">  </w:t>
      </w:r>
      <w:r>
        <w:rPr>
          <w:rFonts w:ascii="SimSun" w:hAnsi="SimSun" w:eastAsia="SimSun" w:cs="SimSun"/>
          <w:color w:val="000000"/>
          <w:sz w:val="21"/>
        </w:rPr>
        <w:t xml:space="preserve"> 次。维护保养前乙方向甲方提供一份计划性的定期维护报告。每次维护保养后乙方向甲方提交经由使用科室及医学装备处技术人员签字确认的纸质维护保养报告，并于年底提交年度保养报告。乙方在预期保养时间之前一周内通知甲方保养时间。计划性定期的维护服务检测包括机器清洁、性能测试及校准、必要的机械或电气的检查，以及非紧急性质的预防性维护，和确保系统能按照制造商的产品规格运行的其它维护。此项定期维护服务间隔进行。</w:t>
      </w:r>
      <w:r/>
    </w:p>
    <w:p>
      <w:pPr>
        <w:ind w:left="0" w:right="0" w:firstLine="0"/>
        <w:spacing w:before="0"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3.2乙方为甲方提供在线支持、现场检修及零备件更换。</w:t>
      </w:r>
      <w:r/>
    </w:p>
    <w:p>
      <w:pPr>
        <w:ind w:left="0" w:right="0" w:firstLine="0"/>
        <w:spacing w:before="0"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3.2.1在线支持服务，乙方资深工程师在线技术支持，答疑，即时诊断机器故障，制定维修方案。</w:t>
      </w:r>
      <w:r/>
    </w:p>
    <w:p>
      <w:pPr>
        <w:ind w:left="0" w:right="0" w:firstLine="0"/>
        <w:spacing w:before="0"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3.2.2现场检修，乙方在接到甲方报修电话后派遣工程师前往维修有关设备。工程师最多不超24小时到达现场。如48小时内无法修复，乙方需提供备用机。</w:t>
      </w:r>
      <w:r/>
    </w:p>
    <w:p>
      <w:pPr>
        <w:ind w:left="0" w:right="0" w:firstLine="420"/>
        <w:spacing w:before="0"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3.2.3零配件更换：在合同有效期内，本合同服务范围内的设备进行维修所发生的一切费用（包括零配件费，乙方人工费和出差费等），由乙方承担。乙方为甲方提供备件,并且所有更换配件均为原厂全新件。</w:t>
      </w:r>
      <w:r/>
    </w:p>
    <w:p>
      <w:pPr>
        <w:ind w:left="0" w:right="0" w:firstLine="420"/>
        <w:spacing w:before="0"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3.2.4乙方保证设备开机率为95%（以一年365天计算），如因乙方原因设备在保修期内未能达到95%的开机率，则每耽搁1天使用，保修期相应延长3天。</w:t>
      </w:r>
      <w:r/>
    </w:p>
    <w:p>
      <w:pPr>
        <w:ind w:left="0" w:right="0" w:firstLine="0"/>
        <w:spacing w:before="0"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4.甲方的责任：</w:t>
      </w:r>
      <w:r/>
    </w:p>
    <w:p>
      <w:pPr>
        <w:ind w:left="0" w:right="0" w:firstLine="0"/>
        <w:spacing w:before="0"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4.1甲方应按机器使用手册的要求进行操作及日常维护，并保证机器所需电源、气源的正常供应及开启和关闭。</w:t>
      </w:r>
      <w:r/>
    </w:p>
    <w:p>
      <w:pPr>
        <w:ind w:left="0" w:right="0" w:firstLine="0"/>
        <w:spacing w:before="0"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4.2甲方应按合同约定的方式按时向乙方支付维修服务费用。</w:t>
      </w:r>
      <w:r/>
    </w:p>
    <w:p>
      <w:pPr>
        <w:ind w:left="0" w:right="0" w:firstLine="0"/>
        <w:spacing w:before="0"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4.3对于合同项目需更换的零配件，如无特殊说明甲方需在更换后将原配件退还给乙方。</w:t>
      </w:r>
      <w:r/>
    </w:p>
    <w:p>
      <w:pPr>
        <w:ind w:left="0" w:right="0" w:firstLine="0"/>
        <w:spacing w:before="0"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5.项目验收：</w:t>
      </w:r>
      <w:r/>
    </w:p>
    <w:p>
      <w:pPr>
        <w:ind w:left="0" w:right="0" w:firstLine="0"/>
        <w:spacing w:before="0"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5.1服务期内服务供应商应每半年一次及时提供巡检保养与维修情况汇总表，汇总维修巡检保养、配件更换及其他服务详情，并提供维修巡检保养报告。</w:t>
      </w:r>
      <w:r/>
    </w:p>
    <w:p>
      <w:pPr>
        <w:ind w:left="0" w:right="0" w:firstLine="0"/>
        <w:spacing w:before="0"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5.2甲方根据南通大学附属医院医疗设备维保服务履约验收单对服务商提供的服务组织验收。</w:t>
      </w:r>
      <w:r/>
    </w:p>
    <w:p>
      <w:pPr>
        <w:ind w:left="0" w:right="0" w:firstLine="0"/>
        <w:spacing w:before="0"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6.合同总价款：</w:t>
      </w:r>
      <w:r/>
    </w:p>
    <w:p>
      <w:pPr>
        <w:ind w:left="0" w:right="0" w:firstLine="420"/>
        <w:spacing w:before="0"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总价（人民币）：</w:t>
      </w:r>
      <w:r>
        <w:rPr>
          <w:rFonts w:ascii="SimSun" w:hAnsi="SimSun" w:eastAsia="SimSun" w:cs="SimSun"/>
          <w:color w:val="000000"/>
          <w:sz w:val="21"/>
          <w:u w:val="single"/>
        </w:rPr>
        <w:t xml:space="preserve">         </w:t>
      </w:r>
      <w:r>
        <w:rPr>
          <w:rFonts w:ascii="SimSun" w:hAnsi="SimSun" w:eastAsia="SimSun" w:cs="SimSun"/>
          <w:color w:val="000000"/>
          <w:sz w:val="21"/>
        </w:rPr>
        <w:t xml:space="preserve">元；（大写）：</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0"/>
        <w:spacing w:before="0"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7.付款方式：</w:t>
      </w:r>
      <w:r/>
    </w:p>
    <w:p>
      <w:pPr>
        <w:ind w:left="0" w:right="0" w:firstLine="420"/>
        <w:spacing w:before="0"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7.1在合同生效且乙方通过项目验收后，甲方应在如下规定时间且收到乙方开具的合规等额的发票后30日内将当年款项支付至乙方指定账户，乙方未将发票提交给甲方的，甲方有权拒付款项且不承担违约责任。</w:t>
      </w:r>
      <w:r/>
    </w:p>
    <w:p>
      <w:pPr>
        <w:ind w:left="0" w:right="0" w:firstLine="420"/>
        <w:spacing w:before="0"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第一期：</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日付人民币</w:t>
      </w:r>
      <w:r>
        <w:rPr>
          <w:rFonts w:ascii="SimSun" w:hAnsi="SimSun" w:eastAsia="SimSun" w:cs="SimSun"/>
          <w:color w:val="000000"/>
          <w:sz w:val="21"/>
          <w:u w:val="single"/>
        </w:rPr>
        <w:t xml:space="preserve">     </w:t>
      </w:r>
      <w:r>
        <w:rPr>
          <w:rFonts w:ascii="SimSun" w:hAnsi="SimSun" w:eastAsia="SimSun" w:cs="SimSun"/>
          <w:color w:val="000000"/>
          <w:sz w:val="21"/>
        </w:rPr>
        <w:t xml:space="preserve">元；</w:t>
      </w:r>
      <w:r/>
    </w:p>
    <w:p>
      <w:pPr>
        <w:ind w:left="0" w:right="0" w:firstLine="420"/>
        <w:spacing w:before="0"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第二期：</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日付人民币</w:t>
      </w:r>
      <w:r>
        <w:rPr>
          <w:rFonts w:ascii="SimSun" w:hAnsi="SimSun" w:eastAsia="SimSun" w:cs="SimSun"/>
          <w:color w:val="000000"/>
          <w:sz w:val="21"/>
          <w:u w:val="single"/>
        </w:rPr>
        <w:t xml:space="preserve">     </w:t>
      </w:r>
      <w:r>
        <w:rPr>
          <w:rFonts w:ascii="SimSun" w:hAnsi="SimSun" w:eastAsia="SimSun" w:cs="SimSun"/>
          <w:color w:val="000000"/>
          <w:sz w:val="21"/>
        </w:rPr>
        <w:t xml:space="preserve">元；</w:t>
      </w:r>
      <w:r/>
    </w:p>
    <w:p>
      <w:pPr>
        <w:ind w:left="0" w:right="0" w:firstLine="420"/>
        <w:spacing w:before="0"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第三期：</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日付人民币</w:t>
      </w:r>
      <w:r>
        <w:rPr>
          <w:rFonts w:ascii="SimSun" w:hAnsi="SimSun" w:eastAsia="SimSun" w:cs="SimSun"/>
          <w:color w:val="000000"/>
          <w:sz w:val="21"/>
          <w:u w:val="single"/>
        </w:rPr>
        <w:t xml:space="preserve">     </w:t>
      </w:r>
      <w:r>
        <w:rPr>
          <w:rFonts w:ascii="SimSun" w:hAnsi="SimSun" w:eastAsia="SimSun" w:cs="SimSun"/>
          <w:color w:val="000000"/>
          <w:sz w:val="21"/>
        </w:rPr>
        <w:t xml:space="preserve">元；</w:t>
      </w:r>
      <w:r/>
    </w:p>
    <w:p>
      <w:pPr>
        <w:ind w:left="0" w:right="0" w:firstLine="420"/>
        <w:spacing w:before="0"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第四期：</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日付人民币</w:t>
      </w:r>
      <w:r>
        <w:rPr>
          <w:rFonts w:ascii="SimSun" w:hAnsi="SimSun" w:eastAsia="SimSun" w:cs="SimSun"/>
          <w:color w:val="000000"/>
          <w:sz w:val="21"/>
          <w:u w:val="single"/>
        </w:rPr>
        <w:t xml:space="preserve">     </w:t>
      </w:r>
      <w:r>
        <w:rPr>
          <w:rFonts w:ascii="SimSun" w:hAnsi="SimSun" w:eastAsia="SimSun" w:cs="SimSun"/>
          <w:color w:val="000000"/>
          <w:sz w:val="21"/>
        </w:rPr>
        <w:t xml:space="preserve">元；</w:t>
      </w:r>
      <w:r/>
    </w:p>
    <w:p>
      <w:pPr>
        <w:ind w:left="0" w:right="0" w:firstLine="420"/>
        <w:spacing w:before="0"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第五期：</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日付人民币</w:t>
      </w:r>
      <w:r>
        <w:rPr>
          <w:rFonts w:ascii="SimSun" w:hAnsi="SimSun" w:eastAsia="SimSun" w:cs="SimSun"/>
          <w:color w:val="000000"/>
          <w:sz w:val="21"/>
          <w:u w:val="single"/>
        </w:rPr>
        <w:t xml:space="preserve">     </w:t>
      </w:r>
      <w:r>
        <w:rPr>
          <w:rFonts w:ascii="SimSun" w:hAnsi="SimSun" w:eastAsia="SimSun" w:cs="SimSun"/>
          <w:color w:val="000000"/>
          <w:sz w:val="21"/>
        </w:rPr>
        <w:t xml:space="preserve">元；</w:t>
      </w:r>
      <w:r/>
    </w:p>
    <w:p>
      <w:pPr>
        <w:ind w:left="0" w:right="0" w:firstLine="420"/>
        <w:spacing w:before="0"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第六期：</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日付人民币</w:t>
      </w:r>
      <w:r>
        <w:rPr>
          <w:rFonts w:ascii="SimSun" w:hAnsi="SimSun" w:eastAsia="SimSun" w:cs="SimSun"/>
          <w:color w:val="000000"/>
          <w:sz w:val="21"/>
          <w:u w:val="single"/>
        </w:rPr>
        <w:t xml:space="preserve">     </w:t>
      </w:r>
      <w:r>
        <w:rPr>
          <w:rFonts w:ascii="SimSun" w:hAnsi="SimSun" w:eastAsia="SimSun" w:cs="SimSun"/>
          <w:color w:val="000000"/>
          <w:sz w:val="21"/>
        </w:rPr>
        <w:t xml:space="preserve">元；</w:t>
      </w:r>
      <w:r/>
    </w:p>
    <w:p>
      <w:pPr>
        <w:ind w:left="420" w:right="0" w:firstLine="0"/>
        <w:spacing w:before="0"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7.2乙方指定账户信息如下：</w:t>
      </w:r>
      <w:r/>
    </w:p>
    <w:p>
      <w:pPr>
        <w:ind w:left="0" w:right="0" w:firstLine="0"/>
        <w:spacing w:before="0"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账  户： </w:t>
      </w:r>
      <w:r/>
    </w:p>
    <w:p>
      <w:pPr>
        <w:ind w:left="0" w:right="0" w:firstLine="0"/>
        <w:spacing w:before="0"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账  号：</w:t>
      </w:r>
      <w:r/>
    </w:p>
    <w:p>
      <w:pPr>
        <w:ind w:left="0" w:right="0" w:firstLine="421"/>
        <w:spacing w:before="0"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开户行： </w:t>
      </w:r>
      <w:r/>
    </w:p>
    <w:p>
      <w:pPr>
        <w:ind w:left="0" w:right="0" w:firstLine="0"/>
        <w:spacing w:before="0"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 争议解决及法律适用：</w:t>
      </w:r>
      <w:r/>
    </w:p>
    <w:p>
      <w:pPr>
        <w:ind w:left="0" w:right="0" w:firstLine="420"/>
        <w:spacing w:before="0"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8.1双方应本着友好协商的原则解决争议。如协商不成，可向甲方所在地方人民法院提起诉讼。</w:t>
      </w:r>
      <w:r/>
    </w:p>
    <w:p>
      <w:pPr>
        <w:ind w:left="0" w:right="0" w:firstLine="420"/>
        <w:spacing w:before="0"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8.2本合同适用中华人民共和国民法典。</w:t>
      </w:r>
      <w:r/>
    </w:p>
    <w:p>
      <w:pPr>
        <w:ind w:left="0" w:right="0" w:firstLine="0"/>
        <w:spacing w:before="0"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9.合同正本一式四份，经双方签署后生效，甲乙双方均同意任何对合同条款的手写改动均无效。</w:t>
      </w:r>
      <w:r/>
    </w:p>
    <w:p>
      <w:pPr>
        <w:ind w:left="0" w:right="0" w:firstLine="0"/>
        <w:spacing w:before="0"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    方：南通大学附属医院               乙    方：</w:t>
      </w:r>
      <w:r/>
    </w:p>
    <w:p>
      <w:pPr>
        <w:ind w:left="0" w:right="0" w:firstLine="0"/>
        <w:spacing w:before="0"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（盖章）</w:t>
        <w:tab/>
        <w:t xml:space="preserve">                             （盖章）</w:t>
      </w:r>
      <w:r/>
    </w:p>
    <w:p>
      <w:pPr>
        <w:ind w:left="0" w:right="0" w:firstLine="0"/>
        <w:spacing w:before="0"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                             法定代表人：</w:t>
      </w:r>
      <w:r/>
    </w:p>
    <w:p>
      <w:pPr>
        <w:ind w:left="0" w:right="0" w:firstLine="0"/>
        <w:spacing w:before="0"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（签字）</w:t>
        <w:tab/>
        <w:t xml:space="preserve">                             （签字）</w:t>
        <w:tab/>
      </w:r>
      <w:r/>
    </w:p>
    <w:p>
      <w:pPr>
        <w:ind w:left="0" w:right="0" w:firstLine="0"/>
        <w:spacing w:before="0"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    期：</w:t>
        <w:tab/>
        <w:t xml:space="preserve">                             日    期：</w:t>
        <w:br w:type="page" w:clear="all"/>
      </w:r>
      <w:r/>
    </w:p>
    <w:p>
      <w:pPr>
        <w:ind w:left="0" w:right="0" w:firstLine="0"/>
        <w:spacing w:before="0" w:after="16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p>
      <w:pPr>
        <w:pStyle w:val="709"/>
        <w:ind w:left="0" w:right="0" w:firstLine="0"/>
        <w:jc w:val="center"/>
        <w:spacing w:before="480" w:after="20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0"/>
        </w:rPr>
        <w:t xml:space="preserve">第四章 采购需求</w:t>
      </w:r>
      <w:r/>
    </w:p>
    <w:p>
      <w:pPr>
        <w:ind w:left="0" w:right="0" w:firstLine="0"/>
        <w:jc w:val="both"/>
        <w:spacing w:before="0" w:after="16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项目属性:服务类项目。</w:t>
      </w:r>
      <w:r/>
    </w:p>
    <w:p>
      <w:pPr>
        <w:pStyle w:val="710"/>
        <w:ind w:left="0" w:right="0" w:firstLine="0"/>
        <w:spacing w:before="0" w:after="0" w:line="39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一、项目概况</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1、设备名称：医用血管造影X射线系统；</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2、设备品牌及型号：飞利浦UNIQ Allura Xper FD10、UNIQ Clarity FD20、Azurion 7 M12；</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3、设备数量：3台；</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4、设备序列号：</w:t>
      </w:r>
      <w:r/>
    </w:p>
    <w:p>
      <w:pPr>
        <w:ind w:left="0" w:right="0" w:firstLine="42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UNIQ Allura Xper FD10：65603422、</w:t>
      </w:r>
      <w:r/>
    </w:p>
    <w:p>
      <w:pPr>
        <w:ind w:left="0" w:right="0" w:firstLine="42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UNIQ Clarity FD20:79137359、</w:t>
      </w:r>
      <w:r/>
    </w:p>
    <w:p>
      <w:pPr>
        <w:ind w:left="0" w:right="0" w:firstLine="42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Azurion 7 M12:89296959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5、服务内容：全保（含第三方医用显示器、巡航导轨），包含不限次人工及配件；</w:t>
      </w:r>
      <w:r/>
    </w:p>
    <w:p>
      <w:pPr>
        <w:ind w:left="0" w:right="0" w:firstLine="0"/>
        <w:spacing w:before="0" w:after="160" w:line="22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pStyle w:val="710"/>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二、技术要求</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1、响应供应商必须具备客户服务专线电话，每年365天（7×24）开通。用户报修响应时间：1小时内，现场维修响应时间：24个小时内。</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2、每年保证开机率≥95％(即正常开机达到347天，停机不超过18天)；及时保证紧急配备件供应。如开机率因维修方原因达不到要求，每超过一天，保修期相应延长3天。</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3、所更换的零部件必须为原厂全新备件。包含主机所有部件，包含探测器、球管、高压发生器等。</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4、供应商在江苏地区需配有专职工程师3名及以上并具有厂家的培训证，提供证书复印件，资格证书在有效期间内。</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5、每次维修服务结束提交合同设备的服务工单/报告，并由采购人签字验收。</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系统保养：每季度定期做1次产品手册规定的专业预防性保养，包括机器清洁、性能测试及校准、必要的机械或电气检查、非紧急性质的补救性维修，确保系统能按照制造商的产品规格运行的其它维护保养内容（安全检查、质量保证、安全升级或远程服务）等，并出具完整的保养报告。</w:t>
      </w:r>
      <w:r/>
    </w:p>
    <w:p>
      <w:pPr>
        <w:ind w:left="0" w:right="0" w:firstLine="0"/>
        <w:spacing w:before="0" w:after="160" w:line="22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pStyle w:val="710"/>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w:t>
      </w:r>
      <w:r>
        <w:rPr>
          <w:rFonts w:ascii="SimSun" w:hAnsi="SimSun" w:eastAsia="SimSun" w:cs="SimSun"/>
          <w:color w:val="000000"/>
          <w:sz w:val="24"/>
        </w:rPr>
        <w:t xml:space="preserve">★</w:t>
      </w:r>
      <w:r>
        <w:rPr>
          <w:rFonts w:ascii="SimSun" w:hAnsi="SimSun" w:eastAsia="SimSun" w:cs="SimSun"/>
          <w:b/>
          <w:color w:val="000000"/>
          <w:sz w:val="24"/>
        </w:rPr>
        <w:t xml:space="preserve">商务要求</w:t>
      </w:r>
      <w:r/>
    </w:p>
    <w:tbl>
      <w:tblPr>
        <w:tblStyle w:val="74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99"/>
        <w:gridCol w:w="1900"/>
        <w:gridCol w:w="6059"/>
      </w:tblGrid>
      <w:tr>
        <w:trPr>
          <w:trHeight w:val="52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00" w:type="dxa"/>
            <w:vAlign w:val="center"/>
            <w:textDirection w:val="lrTb"/>
            <w:noWrap w:val="false"/>
          </w:tcPr>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商务和服务项目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059" w:type="dxa"/>
            <w:vAlign w:val="center"/>
            <w:textDirection w:val="lrTb"/>
            <w:noWrap w:val="false"/>
          </w:tcPr>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商务和服务要求</w:t>
            </w:r>
            <w:r/>
          </w:p>
        </w:tc>
      </w:tr>
      <w:tr>
        <w:trPr>
          <w:trHeight w:val="5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00" w:type="dxa"/>
            <w:vAlign w:val="center"/>
            <w:textDirection w:val="lrTb"/>
            <w:noWrap w:val="false"/>
          </w:tcPr>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买方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59" w:type="dxa"/>
            <w:vAlign w:val="center"/>
            <w:textDirection w:val="lrTb"/>
            <w:noWrap w:val="false"/>
          </w:tcPr>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南通大学附属医院</w:t>
            </w:r>
            <w:r/>
          </w:p>
        </w:tc>
      </w:tr>
      <w:tr>
        <w:trPr>
          <w:trHeight w:val="5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00" w:type="dxa"/>
            <w:vAlign w:val="center"/>
            <w:textDirection w:val="lrTb"/>
            <w:noWrap w:val="false"/>
          </w:tcPr>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卖方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59" w:type="dxa"/>
            <w:vAlign w:val="center"/>
            <w:textDirection w:val="lrTb"/>
            <w:noWrap w:val="false"/>
          </w:tcPr>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待定</w:t>
            </w:r>
            <w:r/>
          </w:p>
        </w:tc>
      </w:tr>
      <w:tr>
        <w:trPr>
          <w:trHeight w:val="5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00" w:type="dxa"/>
            <w:vAlign w:val="center"/>
            <w:textDirection w:val="lrTb"/>
            <w:noWrap w:val="false"/>
          </w:tcPr>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服务期限/地点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59" w:type="dxa"/>
            <w:vAlign w:val="center"/>
            <w:textDirection w:val="lrTb"/>
            <w:noWrap w:val="false"/>
          </w:tcPr>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服务期限：三年</w:t>
            </w:r>
            <w:r/>
          </w:p>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地点：南通大学附属医院指定地点</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00" w:type="dxa"/>
            <w:vAlign w:val="center"/>
            <w:textDirection w:val="lrTb"/>
            <w:noWrap w:val="false"/>
          </w:tcPr>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验收方式及标准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59" w:type="dxa"/>
            <w:vAlign w:val="center"/>
            <w:textDirection w:val="lrTb"/>
            <w:noWrap w:val="false"/>
          </w:tcPr>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1、服务期内服务供应商应每半年一次及时提供巡检保养与维修情况汇总表，汇总维修巡检保养、配件更换及其他服务详情，并提供维修巡检保养报告；</w:t>
            </w:r>
            <w:r/>
          </w:p>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2、甲方根据南通大学附属医院医疗设备维保服务履约验收单对服务商提供的服务组织验收；</w:t>
            </w:r>
            <w:r/>
          </w:p>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3、通过验收则支付相应服务款项，详见项目结算；</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00" w:type="dxa"/>
            <w:vAlign w:val="center"/>
            <w:textDirection w:val="lrTb"/>
            <w:noWrap w:val="false"/>
          </w:tcPr>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项目结算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59" w:type="dxa"/>
            <w:vAlign w:val="center"/>
            <w:textDirection w:val="lrTb"/>
            <w:noWrap w:val="false"/>
          </w:tcPr>
          <w:p>
            <w:pPr>
              <w:ind w:left="0" w:right="0" w:firstLine="0"/>
              <w:spacing w:before="0" w:after="160" w:line="85" w:lineRule="atLeast"/>
              <w:tabs>
                <w:tab w:val="left" w:pos="31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1、合同签订后服务期内每半年经项目验收通过后等比例支付，服务期满经项目验收通过后付清全款。</w:t>
            </w:r>
            <w:r/>
          </w:p>
          <w:p>
            <w:pPr>
              <w:ind w:left="0" w:right="0" w:firstLine="0"/>
              <w:spacing w:before="0" w:after="160" w:line="85" w:lineRule="atLeast"/>
              <w:tabs>
                <w:tab w:val="left" w:pos="31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2、供应商须提供合规等额的发票。</w:t>
            </w:r>
            <w:r/>
          </w:p>
          <w:p>
            <w:pPr>
              <w:ind w:left="0" w:right="0" w:firstLine="0"/>
              <w:spacing w:before="0" w:after="160" w:line="85" w:lineRule="atLeast"/>
              <w:tabs>
                <w:tab w:val="left" w:pos="31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3、如设备提前报废或服务方无法保证部件的提供的情况下经双方协商可提前终止合同，按实际使用天数结算。</w:t>
            </w:r>
            <w:r/>
          </w:p>
        </w:tc>
      </w:tr>
    </w:tbl>
    <w:p>
      <w:pPr>
        <w:ind w:left="0" w:right="0" w:firstLine="480"/>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710"/>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四、其他说明</w:t>
      </w:r>
      <w:r/>
    </w:p>
    <w:p>
      <w:pPr>
        <w:ind w:left="0" w:right="0" w:firstLine="48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4.1上述中加注“★”符号的关键条款指标为实质性要求，不允许负偏离，否则投标无效；加注“▲”符号的重要条款指标；其他为一般条款指标。</w:t>
      </w:r>
      <w:r/>
    </w:p>
    <w:p>
      <w:pPr>
        <w:ind w:left="0" w:right="0" w:firstLine="48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4.2加注“★”符号的关键条款指标、加注“▲”符号的重要条款指标和一般条款指标要求提供相关材料的，均须提供证明材料，未提供的评委有权认定为负偏离。</w:t>
      </w:r>
      <w:r/>
    </w:p>
    <w:p>
      <w:pPr>
        <w:ind w:left="0" w:right="0" w:firstLine="48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4.3商务要求条款均为实质性要求不允许负偏离，否则投标无效。</w:t>
      </w:r>
      <w:r/>
    </w:p>
    <w:p>
      <w:pPr>
        <w:ind w:left="0" w:right="0" w:firstLine="48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4.4对应中小企业划分标准所属行业：其他未列明行业。</w:t>
        <w:br w:type="page" w:clear="all"/>
      </w:r>
      <w:r/>
    </w:p>
    <w:p>
      <w:pPr>
        <w:ind w:left="0" w:right="0" w:firstLine="480"/>
        <w:jc w:val="both"/>
        <w:spacing w:before="0" w:after="160" w:line="22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pStyle w:val="709"/>
        <w:ind w:left="0" w:right="0" w:firstLine="0"/>
        <w:jc w:val="center"/>
        <w:spacing w:before="480" w:after="200" w:line="460" w:lineRule="atLeast"/>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40"/>
        </w:rPr>
        <w:t xml:space="preserve">第五章</w:t>
      </w:r>
      <w:r>
        <w:rPr>
          <w:rFonts w:ascii="Arial" w:hAnsi="Arial" w:eastAsia="Arial" w:cs="Arial"/>
          <w:color w:val="000000"/>
          <w:sz w:val="40"/>
        </w:rPr>
        <w:t xml:space="preserve">  </w:t>
      </w:r>
      <w:r>
        <w:rPr>
          <w:rFonts w:ascii="Microsoft YaHei" w:hAnsi="Microsoft YaHei" w:eastAsia="Microsoft YaHei" w:cs="Microsoft YaHei"/>
          <w:color w:val="000000"/>
          <w:sz w:val="40"/>
        </w:rPr>
        <w:t xml:space="preserve">评标方法与评标标准</w:t>
      </w:r>
      <w:r/>
    </w:p>
    <w:p>
      <w:pPr>
        <w:ind w:left="0" w:right="0" w:firstLine="0"/>
        <w:jc w:val="both"/>
        <w:spacing w:before="0" w:after="160" w:line="22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512"/>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1名中标候选人。</w:t>
      </w:r>
      <w:r/>
    </w:p>
    <w:p>
      <w:pPr>
        <w:ind w:left="0" w:right="0" w:firstLine="482"/>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政府采购政策功能落实</w:t>
      </w:r>
      <w:r/>
    </w:p>
    <w:p>
      <w:pPr>
        <w:ind w:left="0" w:right="0" w:firstLine="480"/>
        <w:spacing w:before="12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根据《政府采购促进中小企业发展管理办法》（财库【2020】46号）要求，本项目属于专门面向中小企业采购的项目。</w:t>
      </w:r>
      <w:r/>
    </w:p>
    <w:p>
      <w:pPr>
        <w:ind w:left="0" w:right="0" w:firstLine="480"/>
        <w:spacing w:before="12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（1）本项目属于服务类采购。即采购服务全部由中小企业承接。（供应商必须提供中小企业声明函（见格式）或《残疾人福利性单位声明函》或监狱和戒毒企业证明材料）</w:t>
      </w:r>
      <w:r/>
    </w:p>
    <w:p>
      <w:pPr>
        <w:ind w:left="0" w:right="0" w:firstLine="480"/>
        <w:spacing w:before="12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（2）中小微企业划型标准请对照《关于印发中小企业划型标准规定的通知》（工信部联企业〔2011〕300号）（详见附件）。本项目采购标的对应的中小企业划分标准所属行业为：其他未列明行业。</w:t>
      </w:r>
      <w:r/>
    </w:p>
    <w:p>
      <w:pPr>
        <w:ind w:left="0" w:right="0" w:firstLine="0"/>
        <w:spacing w:before="0" w:after="120" w:line="22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482"/>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符合性审查内容</w:t>
      </w:r>
      <w:r/>
    </w:p>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（在综合评审之前，评标委员会应当对通过资格审查的投标人的投标文件进行符合性审查；投标文件存在下列情况之一的，属于重大偏差，投标文件无效）</w:t>
      </w:r>
      <w:r/>
    </w:p>
    <w:p>
      <w:pPr>
        <w:numPr>
          <w:ilvl w:val="0"/>
          <w:numId w:val="11"/>
        </w:numP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报价要求：</w:t>
      </w:r>
      <w:r>
        <w:rPr>
          <w:rFonts w:ascii="SimSun" w:hAnsi="SimSun" w:eastAsia="SimSun" w:cs="SimSun"/>
          <w:color w:val="000000"/>
          <w:sz w:val="24"/>
        </w:rPr>
        <w:t xml:space="preserve">具体要求详见报价表要求。</w:t>
      </w:r>
      <w:r/>
    </w:p>
    <w:p>
      <w:pPr>
        <w:numPr>
          <w:ilvl w:val="0"/>
          <w:numId w:val="11"/>
        </w:numP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商务要求：</w:t>
      </w:r>
      <w:r/>
    </w:p>
    <w:p>
      <w:pPr>
        <w:ind w:left="0" w:right="0" w:firstLine="480"/>
        <w:spacing w:before="12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2.1《第六章投标文件格式》中“投标文件构成”有实质性缺漏的；</w:t>
      </w:r>
      <w:r/>
    </w:p>
    <w:p>
      <w:pPr>
        <w:ind w:left="0" w:right="0" w:firstLine="480"/>
        <w:spacing w:before="12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w:t>
      </w:r>
      <w:r>
        <w:rPr>
          <w:rFonts w:ascii="SimSun" w:hAnsi="SimSun" w:eastAsia="SimSun" w:cs="SimSun"/>
          <w:color w:val="000000"/>
          <w:sz w:val="24"/>
          <w:u w:val="none"/>
        </w:rPr>
        <w:t xml:space="preserve">响应文件签字、盖章符合文件要求；</w:t>
      </w:r>
      <w:r/>
    </w:p>
    <w:p>
      <w:pPr>
        <w:ind w:left="0" w:right="0" w:firstLine="480"/>
        <w:spacing w:before="12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2.3出现备选投标方案的；</w:t>
      </w:r>
      <w:r/>
    </w:p>
    <w:p>
      <w:pPr>
        <w:ind w:left="0" w:right="0" w:firstLine="480"/>
        <w:spacing w:before="12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2.4出现采购人不能接受的附加条件的；</w:t>
      </w:r>
      <w:r/>
    </w:p>
    <w:p>
      <w:pPr>
        <w:ind w:left="0" w:right="0" w:firstLine="480"/>
        <w:spacing w:before="12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2.5投标文件出现法律、法规和招标文件规定的其他无效情形；</w:t>
      </w:r>
      <w:r/>
    </w:p>
    <w:p>
      <w:pPr>
        <w:numPr>
          <w:ilvl w:val="0"/>
          <w:numId w:val="11"/>
        </w:numP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技术要求：</w:t>
      </w:r>
      <w:r/>
    </w:p>
    <w:p>
      <w:pPr>
        <w:ind w:left="0" w:right="0" w:firstLine="480"/>
        <w:spacing w:before="12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3.1《技术、商务条款偏离表》中★条款出现任何负偏离的。</w:t>
      </w:r>
      <w:r/>
    </w:p>
    <w:p>
      <w:pPr>
        <w:ind w:left="0" w:right="0" w:firstLine="0"/>
        <w:spacing w:before="0" w:after="120" w:line="22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482"/>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评标方法与评标标准</w:t>
      </w:r>
      <w:r/>
    </w:p>
    <w:tbl>
      <w:tblPr>
        <w:tblStyle w:val="74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36"/>
        <w:gridCol w:w="6886"/>
        <w:gridCol w:w="909"/>
      </w:tblGrid>
      <w:tr>
        <w:trPr>
          <w:trHeight w:val="25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textDirection w:val="lrTb"/>
            <w:noWrap w:val="false"/>
          </w:tcPr>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评审因素</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886" w:type="dxa"/>
            <w:vAlign w:val="center"/>
            <w:textDirection w:val="lrTb"/>
            <w:noWrap w:val="false"/>
          </w:tcPr>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评分标准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09" w:type="dxa"/>
            <w:vAlign w:val="center"/>
            <w:textDirection w:val="lrTb"/>
            <w:noWrap w:val="false"/>
          </w:tcPr>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分值（分）</w:t>
            </w:r>
            <w:r/>
          </w:p>
        </w:tc>
      </w:tr>
      <w:tr>
        <w:trPr>
          <w:trHeight w:val="2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textDirection w:val="lrTb"/>
            <w:noWrap w:val="false"/>
          </w:tcPr>
          <w:p>
            <w:pPr>
              <w:ind w:left="0" w:right="0" w:firstLine="0"/>
              <w:jc w:val="center"/>
              <w:spacing w:before="0"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价格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86" w:type="dxa"/>
            <w:vAlign w:val="center"/>
            <w:textDirection w:val="lrTb"/>
            <w:noWrap w:val="false"/>
          </w:tcPr>
          <w:p>
            <w:pPr>
              <w:ind w:left="0" w:right="0" w:firstLine="0"/>
              <w:spacing w:before="0"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价格分采用低价优先法计算，即满足投标文件要求且价格最低的投标报价为评标基准价，其价格分为满分10分。其他投标人的价格分按照下列公式计算，保留小数点后2位：投标报价得分=（评标基准价／投标报价）×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9" w:type="dxa"/>
            <w:vAlign w:val="center"/>
            <w:textDirection w:val="lrTb"/>
            <w:noWrap w:val="false"/>
          </w:tcPr>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r>
      <w:tr>
        <w:trPr>
          <w:trHeight w:val="2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textDirection w:val="lrTb"/>
            <w:noWrap w:val="false"/>
          </w:tcPr>
          <w:p>
            <w:pPr>
              <w:ind w:left="0" w:right="0" w:firstLine="0"/>
              <w:jc w:val="center"/>
              <w:spacing w:before="0"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技术要求响应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86" w:type="dxa"/>
            <w:vAlign w:val="center"/>
            <w:textDirection w:val="lrTb"/>
            <w:noWrap w:val="false"/>
          </w:tcPr>
          <w:p>
            <w:pPr>
              <w:ind w:left="0" w:right="0" w:firstLine="0"/>
              <w:spacing w:before="0"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评委根据投标文件中《技术要求响应/偏离表》进行评审：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完全响应投标文件第四章采购需求中二、技术要求的，得36分，一般技术指标每有一项正偏离或响应加6分。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9" w:type="dxa"/>
            <w:vAlign w:val="center"/>
            <w:textDirection w:val="lrTb"/>
            <w:noWrap w:val="false"/>
          </w:tcPr>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w:t>
            </w:r>
            <w:r/>
          </w:p>
        </w:tc>
      </w:tr>
      <w:tr>
        <w:trPr>
          <w:trHeight w:val="2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vMerge w:val="restart"/>
            <w:textDirection w:val="lrTb"/>
            <w:noWrap w:val="false"/>
          </w:tcPr>
          <w:p>
            <w:pPr>
              <w:ind w:left="0" w:right="0" w:firstLine="0"/>
              <w:jc w:val="center"/>
              <w:spacing w:before="0"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企业能力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86" w:type="dxa"/>
            <w:vAlign w:val="center"/>
            <w:textDirection w:val="lrTb"/>
            <w:noWrap w:val="false"/>
          </w:tcPr>
          <w:p>
            <w:pPr>
              <w:ind w:left="0" w:right="0" w:firstLine="0"/>
              <w:spacing w:before="0"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具有维保设备培训证书的服务工程师（证书取得日期在开标日起前3年内），提供培训证书（复印件）及投标人为近半年内任意一个月该工程师缴纳社保的证明材料。若投标人为具备制造商授权的服务代理商或者与制造商签署维修服务合作协议的，可提供制造商工程师（需提供为制造商该工程师在投标文件递交截止时间前六个月内任一月份的为其缴纳社保的记录（复印件））。在响应采购需求的基础上（江苏省内3人）的基础上每额外提供1人得3分，最多得9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9" w:type="dxa"/>
            <w:vAlign w:val="center"/>
            <w:textDirection w:val="lrTb"/>
            <w:noWrap w:val="false"/>
          </w:tcPr>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r>
      <w:tr>
        <w:trPr>
          <w:trHeight w:val="255"/>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86" w:type="dxa"/>
            <w:vAlign w:val="center"/>
            <w:textDirection w:val="lrTb"/>
            <w:noWrap w:val="false"/>
          </w:tcPr>
          <w:p>
            <w:pPr>
              <w:ind w:left="0" w:right="0" w:firstLine="0"/>
              <w:spacing w:before="0"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在国内设有零备件库，提供仓库地址、实拍照片、联系人以及场地租赁协议或产权证明材料等相关证明材料的，得6分；若投标人为具备制造商授权的服务代理商或者与制造商签署维修服务合作协议的，可提供制造商仓库相关证明材料（仓库地址、实拍照片、联系人以及场地租赁协议或产权证明材料等）</w:t>
            </w:r>
            <w:r/>
          </w:p>
          <w:p>
            <w:pPr>
              <w:ind w:left="0" w:right="0" w:firstLine="0"/>
              <w:spacing w:before="0"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材料不能体现仓库情况或未提供的不得分。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9" w:type="dxa"/>
            <w:vAlign w:val="center"/>
            <w:textDirection w:val="lrTb"/>
            <w:noWrap w:val="false"/>
          </w:tcPr>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r>
      <w:tr>
        <w:trPr>
          <w:trHeight w:val="4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vMerge w:val="restart"/>
            <w:textDirection w:val="lrTb"/>
            <w:noWrap w:val="false"/>
          </w:tcPr>
          <w:p>
            <w:pPr>
              <w:ind w:left="0" w:right="0" w:firstLine="0"/>
              <w:jc w:val="center"/>
              <w:spacing w:before="0"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服务方案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86" w:type="dxa"/>
            <w:vAlign w:val="center"/>
            <w:textDirection w:val="lrTb"/>
            <w:noWrap w:val="false"/>
          </w:tcPr>
          <w:p>
            <w:pPr>
              <w:ind w:left="0" w:right="0" w:firstLine="0"/>
              <w:spacing w:before="0"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根据各投标人提供的项目实施方案内容（包括但不限于</w:t>
            </w:r>
            <w:r>
              <w:rPr>
                <w:rFonts w:ascii="SimSun" w:hAnsi="SimSun" w:eastAsia="SimSun" w:cs="SimSun"/>
                <w:b/>
                <w:color w:val="000000"/>
                <w:sz w:val="24"/>
              </w:rPr>
              <w:t xml:space="preserve">a项目整体管理方案、b人员组织管理及架构设置、c服务档案管理制度</w:t>
            </w:r>
            <w:r>
              <w:rPr>
                <w:rFonts w:ascii="SimSun" w:hAnsi="SimSun" w:eastAsia="SimSun" w:cs="SimSun"/>
                <w:color w:val="000000"/>
                <w:sz w:val="24"/>
              </w:rPr>
              <w:t xml:space="preserve">等）的完备程度及针对性、合理性进行评审：</w:t>
            </w:r>
            <w:r/>
          </w:p>
          <w:p>
            <w:pPr>
              <w:ind w:left="0" w:right="0" w:firstLine="0"/>
              <w:spacing w:before="0" w:after="16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完全涵盖以上3项内容最多得6分；包含任意1项最多得2分。 </w:t>
            </w:r>
            <w:r/>
          </w:p>
          <w:p>
            <w:pPr>
              <w:ind w:left="0" w:right="0" w:firstLine="0"/>
              <w:spacing w:before="0"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注：评标委员会根据各供应商的对应响应方案按照以下量化评审因素指标对各项要求进行满足性判断：</w:t>
            </w:r>
            <w:r/>
          </w:p>
          <w:p>
            <w:pPr>
              <w:ind w:left="0" w:right="0" w:firstLine="0"/>
              <w:spacing w:before="0"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1、方案内容完整清晰、安排合理、完全针对采购人需求优化设计的，得2分；</w:t>
            </w:r>
            <w:r/>
          </w:p>
          <w:p>
            <w:pPr>
              <w:ind w:left="0" w:right="0" w:firstLine="0"/>
              <w:spacing w:before="0"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2、方案内容不够完整清晰、安排合理性不足、未针对采购人需求设计的，得1分；</w:t>
            </w:r>
            <w:r/>
          </w:p>
          <w:p>
            <w:pPr>
              <w:ind w:left="0" w:right="0" w:firstLine="0"/>
              <w:spacing w:before="0"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3、未提供或者经评标委员会认定完全不具备可行性的不得分。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9" w:type="dxa"/>
            <w:vAlign w:val="center"/>
            <w:textDirection w:val="lrTb"/>
            <w:noWrap w:val="false"/>
          </w:tcPr>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r>
      <w:tr>
        <w:trPr>
          <w:trHeight w:val="494"/>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86" w:type="dxa"/>
            <w:vAlign w:val="center"/>
            <w:textDirection w:val="lrTb"/>
            <w:noWrap w:val="false"/>
          </w:tcPr>
          <w:p>
            <w:pPr>
              <w:ind w:left="0" w:right="0" w:firstLine="0"/>
              <w:spacing w:before="0"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根据各投标人针对本项目拟定的日常维护方案（包括但不限于</w:t>
            </w:r>
            <w:r>
              <w:rPr>
                <w:rFonts w:ascii="SimSun" w:hAnsi="SimSun" w:eastAsia="SimSun" w:cs="SimSun"/>
                <w:b/>
                <w:color w:val="000000"/>
                <w:sz w:val="24"/>
              </w:rPr>
              <w:t xml:space="preserve">a定期维护巡检方案、b维护响应时间节点、c维修流程细则、d内部调度和支持系统、e维保期内的软件技术支持和软件升级、f技术人员管理及流程交接方案</w:t>
            </w:r>
            <w:r>
              <w:rPr>
                <w:rFonts w:ascii="SimSun" w:hAnsi="SimSun" w:eastAsia="SimSun" w:cs="SimSun"/>
                <w:color w:val="000000"/>
                <w:sz w:val="24"/>
              </w:rPr>
              <w:t xml:space="preserve">等）进行评审：</w:t>
            </w:r>
            <w:r/>
          </w:p>
          <w:p>
            <w:pPr>
              <w:ind w:left="0" w:right="0" w:firstLine="0"/>
              <w:spacing w:before="0" w:after="16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完全涵盖以上6项内容最多得6分；包含任意1项最多得1分。 </w:t>
            </w:r>
            <w:r/>
          </w:p>
          <w:p>
            <w:pPr>
              <w:ind w:left="0" w:right="0" w:firstLine="0"/>
              <w:spacing w:before="0"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注：评标委员会根据各供应商的对应响应方案按照以下量化评审因素指标对各项要求进行满足性判断：</w:t>
            </w:r>
            <w:r/>
          </w:p>
          <w:p>
            <w:pPr>
              <w:ind w:left="0" w:right="0" w:firstLine="0"/>
              <w:spacing w:before="0"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1、装调试方案完整详尽，专业性、可行性强，考虑周全，思路特别清晰，符合项目需求，得1分；</w:t>
            </w:r>
            <w:r/>
          </w:p>
          <w:p>
            <w:pPr>
              <w:ind w:left="0" w:right="0" w:firstLine="0"/>
              <w:spacing w:before="0"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2、对项目执行有一定认识，方案较为完整，思路基本清晰，基本符合项目需求，得0.5分；</w:t>
            </w:r>
            <w:r/>
          </w:p>
          <w:p>
            <w:pPr>
              <w:ind w:left="0" w:right="0" w:firstLine="0"/>
              <w:spacing w:before="0"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3、未提供或者经评标委员会认定完全不具备可行性的不得分。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9" w:type="dxa"/>
            <w:vAlign w:val="center"/>
            <w:textDirection w:val="lrTb"/>
            <w:noWrap w:val="false"/>
          </w:tcPr>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r>
      <w:tr>
        <w:trPr>
          <w:trHeight w:val="494"/>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86" w:type="dxa"/>
            <w:vAlign w:val="center"/>
            <w:textDirection w:val="lrTb"/>
            <w:noWrap w:val="false"/>
          </w:tcPr>
          <w:p>
            <w:pPr>
              <w:ind w:left="0" w:right="0" w:firstLine="0"/>
              <w:spacing w:before="0"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根据各投标人针对本项目拟定的培训方案（包括但不限于</w:t>
            </w:r>
            <w:r>
              <w:rPr>
                <w:rFonts w:ascii="SimSun" w:hAnsi="SimSun" w:eastAsia="SimSun" w:cs="SimSun"/>
                <w:b/>
                <w:color w:val="000000"/>
                <w:sz w:val="24"/>
              </w:rPr>
              <w:t xml:space="preserve">a日常维护保养培训、b临时维修使用培训、c培训计划及师资安排</w:t>
            </w:r>
            <w:r>
              <w:rPr>
                <w:rFonts w:ascii="SimSun" w:hAnsi="SimSun" w:eastAsia="SimSun" w:cs="SimSun"/>
                <w:color w:val="000000"/>
                <w:sz w:val="24"/>
              </w:rPr>
              <w:t xml:space="preserve">等）进行评审：</w:t>
            </w:r>
            <w:r/>
          </w:p>
          <w:p>
            <w:pPr>
              <w:ind w:left="0" w:right="0" w:firstLine="0"/>
              <w:spacing w:before="0" w:after="16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完全涵盖以上3项内容最多得6分；包含任意1项最多得2分。 </w:t>
            </w:r>
            <w:r/>
          </w:p>
          <w:p>
            <w:pPr>
              <w:ind w:left="0" w:right="0" w:firstLine="0"/>
              <w:spacing w:before="0"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注：评标委员会根据各供应商的对应响应方案按照以下量化评审因素指标对各项要求进行满足性判断：</w:t>
            </w:r>
            <w:r/>
          </w:p>
          <w:p>
            <w:pPr>
              <w:ind w:left="0" w:right="0" w:firstLine="0"/>
              <w:spacing w:before="0"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1、方案完整详尽，专业性、可行性强，考虑周全，思路特别清晰，符合项目需求，得2分；</w:t>
            </w:r>
            <w:r/>
          </w:p>
          <w:p>
            <w:pPr>
              <w:ind w:left="0" w:right="0" w:firstLine="0"/>
              <w:spacing w:before="0"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2、对项目执行有一定认识，方案较为完整，思路基本清晰，基本符合项目需求，得1分；</w:t>
            </w:r>
            <w:r/>
          </w:p>
          <w:p>
            <w:pPr>
              <w:ind w:left="0" w:right="0" w:firstLine="0"/>
              <w:spacing w:before="0"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3、未提供或者经评标委员会认定完全不具备可行性的不得分。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9" w:type="dxa"/>
            <w:vAlign w:val="center"/>
            <w:textDirection w:val="lrTb"/>
            <w:noWrap w:val="false"/>
          </w:tcPr>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r>
      <w:tr>
        <w:trPr>
          <w:trHeight w:val="494"/>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86" w:type="dxa"/>
            <w:vAlign w:val="center"/>
            <w:textDirection w:val="lrTb"/>
            <w:noWrap w:val="false"/>
          </w:tcPr>
          <w:p>
            <w:pPr>
              <w:ind w:left="0" w:right="0" w:firstLine="0"/>
              <w:spacing w:before="0"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根据各投标人针对本项目拟定的质量管控方案（包括但不限于</w:t>
            </w:r>
            <w:r>
              <w:rPr>
                <w:rFonts w:ascii="SimSun" w:hAnsi="SimSun" w:eastAsia="SimSun" w:cs="SimSun"/>
                <w:b/>
                <w:color w:val="000000"/>
                <w:sz w:val="24"/>
              </w:rPr>
              <w:t xml:space="preserve">a内部质量控制制度、b质控制度实施方案、c质控考核办法</w:t>
            </w:r>
            <w:r>
              <w:rPr>
                <w:rFonts w:ascii="SimSun" w:hAnsi="SimSun" w:eastAsia="SimSun" w:cs="SimSun"/>
                <w:color w:val="000000"/>
                <w:sz w:val="24"/>
              </w:rPr>
              <w:t xml:space="preserve">等）进行评审：</w:t>
            </w:r>
            <w:r/>
          </w:p>
          <w:p>
            <w:pPr>
              <w:ind w:left="0" w:right="0" w:firstLine="0"/>
              <w:spacing w:before="0" w:after="16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完全涵盖以上3项内容最多得6分；包含任意1项最多得2分。 </w:t>
            </w:r>
            <w:r/>
          </w:p>
          <w:p>
            <w:pPr>
              <w:ind w:left="0" w:right="0" w:firstLine="0"/>
              <w:spacing w:before="0"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注：评标委员会根据各供应商的对应响应方案按照以下量化评审因素指标对各项要求进行满足性判断：</w:t>
            </w:r>
            <w:r/>
          </w:p>
          <w:p>
            <w:pPr>
              <w:ind w:left="0" w:right="0" w:firstLine="0"/>
              <w:spacing w:before="0"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1、方案完整详尽，专业性、可行性强，考虑周全，思路特别清晰，符合项目需求，得2分；</w:t>
            </w:r>
            <w:r/>
          </w:p>
          <w:p>
            <w:pPr>
              <w:ind w:left="0" w:right="0" w:firstLine="0"/>
              <w:spacing w:before="0"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2、对项目执行有一定认识，方案较为完整，思路基本清晰，基本符合项目需求，得1分；</w:t>
            </w:r>
            <w:r/>
          </w:p>
          <w:p>
            <w:pPr>
              <w:ind w:left="0" w:right="0" w:firstLine="0"/>
              <w:spacing w:before="0"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3、未提供或者经评标委员会认定完全不具备可行性的不得分。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9" w:type="dxa"/>
            <w:vAlign w:val="center"/>
            <w:textDirection w:val="lrTb"/>
            <w:noWrap w:val="false"/>
          </w:tcPr>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r>
      <w:tr>
        <w:trPr>
          <w:trHeight w:val="494"/>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86" w:type="dxa"/>
            <w:vAlign w:val="center"/>
            <w:textDirection w:val="lrTb"/>
            <w:noWrap w:val="false"/>
          </w:tcPr>
          <w:p>
            <w:pPr>
              <w:ind w:left="0" w:right="0" w:firstLine="0"/>
              <w:spacing w:before="0"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根据各投标人针对本项目拟定的应急维护方案（包括但不限于</w:t>
            </w:r>
            <w:r>
              <w:rPr>
                <w:rFonts w:ascii="SimSun" w:hAnsi="SimSun" w:eastAsia="SimSun" w:cs="SimSun"/>
                <w:b/>
                <w:color w:val="000000"/>
                <w:sz w:val="24"/>
              </w:rPr>
              <w:t xml:space="preserve">a应急目标及原则、b应急响应机制、c重大不良事故及应急场景临时解决方案</w:t>
            </w:r>
            <w:r>
              <w:rPr>
                <w:rFonts w:ascii="SimSun" w:hAnsi="SimSun" w:eastAsia="SimSun" w:cs="SimSun"/>
                <w:color w:val="000000"/>
                <w:sz w:val="24"/>
              </w:rPr>
              <w:t xml:space="preserve">等）进行评审：</w:t>
            </w:r>
            <w:r/>
          </w:p>
          <w:p>
            <w:pPr>
              <w:ind w:left="0" w:right="0" w:firstLine="0"/>
              <w:spacing w:before="0" w:after="16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完全涵盖以上3项内容最多得6分；包含任意1项最多得2分。 </w:t>
            </w:r>
            <w:r/>
          </w:p>
          <w:p>
            <w:pPr>
              <w:ind w:left="0" w:right="0" w:firstLine="0"/>
              <w:spacing w:before="0"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注：评标委员会根据各供应商的对应响应方案按照以下量化评审因素指标对各项要求进行满足性判断：</w:t>
            </w:r>
            <w:r/>
          </w:p>
          <w:p>
            <w:pPr>
              <w:ind w:left="0" w:right="0" w:firstLine="0"/>
              <w:spacing w:before="0"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1、方案完整详尽，专业性、可行性强，考虑周全，思路特别清晰，符合项目需求，得2分；</w:t>
            </w:r>
            <w:r/>
          </w:p>
          <w:p>
            <w:pPr>
              <w:ind w:left="0" w:right="0" w:firstLine="0"/>
              <w:spacing w:before="0"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2、对项目执行有一定认识，方案较为完整，思路基本清晰，基本符合项目需求，得1分；</w:t>
            </w:r>
            <w:r/>
          </w:p>
          <w:p>
            <w:pPr>
              <w:ind w:left="0" w:right="0" w:firstLine="0"/>
              <w:spacing w:before="0"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3、未提供或者经评标委员会认定完全不具备可行性的不得分。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9" w:type="dxa"/>
            <w:vAlign w:val="center"/>
            <w:textDirection w:val="lrTb"/>
            <w:noWrap w:val="false"/>
          </w:tcPr>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r>
      <w:tr>
        <w:trPr>
          <w:trHeight w:val="4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textDirection w:val="lrTb"/>
            <w:noWrap w:val="false"/>
          </w:tcPr>
          <w:p>
            <w:pPr>
              <w:ind w:left="0" w:right="0" w:firstLine="0"/>
              <w:jc w:val="center"/>
              <w:spacing w:before="0"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类似业绩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86" w:type="dxa"/>
            <w:vAlign w:val="center"/>
            <w:textDirection w:val="lrTb"/>
            <w:noWrap w:val="false"/>
          </w:tcPr>
          <w:p>
            <w:pPr>
              <w:ind w:left="0" w:right="0" w:firstLine="0"/>
              <w:spacing w:before="0"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由评委根据投标文件中提供所投服务的类似医院项目业绩情况进行评审：</w:t>
            </w:r>
            <w:r/>
          </w:p>
          <w:p>
            <w:pPr>
              <w:ind w:left="0" w:right="0" w:firstLine="0"/>
              <w:spacing w:before="0"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提供自2023年1月1日以来（以合同签字日期为准）对本项目同型号货物（至少包含1台）进行服务的同一项目下完整合同及发票（复印件）记为一份业绩，每提供一份业绩得3分，最高得9分，未提供或有缺漏的不得分；投标人如为具备制造商授权的服务代理商或者与制造商签署维修服务合作协议的,可提供制造商业绩。</w:t>
            </w:r>
            <w:r>
              <w:rPr>
                <w:rFonts w:ascii="SimSun" w:hAnsi="SimSun" w:eastAsia="SimSun" w:cs="SimSun"/>
                <w:b/>
                <w:color w:val="000000"/>
                <w:sz w:val="24"/>
              </w:rPr>
              <w:t xml:space="preserve">由投标人提供经营业绩情况说明列表，合同及发票对应内容包括采购方名称、维保设备名称或型号、服务期限、合同金额、签订时间等。同一采购方业绩不重复得分。</w:t>
            </w:r>
            <w:r/>
          </w:p>
          <w:p>
            <w:pPr>
              <w:ind w:left="0" w:right="0" w:firstLine="0"/>
              <w:spacing w:before="0" w:after="16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投标人须确保所提供的发票真实有效，二维码及发票号码清晰可辨，所有发票均可通过国家税务总局全国增值税发票查验平台（网址：https://inv-veri.chinatax.gov.cn/）查验。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9" w:type="dxa"/>
            <w:vAlign w:val="center"/>
            <w:textDirection w:val="lrTb"/>
            <w:noWrap w:val="false"/>
          </w:tcPr>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r>
    </w:tbl>
    <w:p>
      <w:pPr>
        <w:ind w:left="0" w:right="0" w:firstLine="0"/>
        <w:spacing w:before="0" w:after="120" w:line="22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pStyle w:val="709"/>
        <w:ind w:left="0" w:right="0" w:firstLine="0"/>
        <w:jc w:val="center"/>
        <w:spacing w:before="480" w:after="200" w:line="460" w:lineRule="atLeast"/>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40"/>
        </w:rPr>
        <w:t xml:space="preserve">第六章  投标文件格式</w:t>
      </w:r>
      <w:r/>
    </w:p>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240" w:after="24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spacing w:before="240" w:after="24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spacing w:before="240" w:after="24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投  标  文 件</w:t>
      </w:r>
      <w:r/>
    </w:p>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p>
    <w:p>
      <w:pPr>
        <w:ind w:left="0" w:right="0" w:firstLine="1084"/>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 号：</w:t>
      </w:r>
      <w:r/>
    </w:p>
    <w:p>
      <w:pPr>
        <w:ind w:left="0" w:right="0" w:firstLine="1084"/>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投标人名称 ：</w:t>
      </w:r>
      <w:r>
        <w:rPr>
          <w:rFonts w:ascii="SimSun" w:hAnsi="SimSun" w:eastAsia="SimSun" w:cs="SimSun"/>
          <w:b/>
          <w:color w:val="000000"/>
          <w:sz w:val="36"/>
          <w:u w:val="single"/>
        </w:rPr>
        <w:t xml:space="preserve">（加盖CA电子公章）</w:t>
      </w:r>
      <w:r/>
    </w:p>
    <w:p>
      <w:pPr>
        <w:ind w:left="0" w:right="0" w:firstLine="1084"/>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日      期 ：</w:t>
      </w:r>
      <w:r/>
    </w:p>
    <w:p>
      <w:pPr>
        <w:ind w:left="0" w:right="0" w:firstLine="0"/>
        <w:jc w:val="center"/>
        <w:spacing w:before="0" w:after="16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16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spacing w:before="0" w:after="160" w:line="22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YouYuan" w:hAnsi="YouYuan" w:eastAsia="YouYuan" w:cs="YouYuan"/>
          <w:b/>
          <w:color w:val="000000"/>
          <w:sz w:val="28"/>
        </w:rPr>
        <w:t xml:space="preserve">投标文件目录</w:t>
      </w:r>
      <w:r/>
    </w:p>
    <w:p>
      <w:pPr>
        <w:ind w:left="0" w:right="0" w:firstLine="0"/>
        <w:jc w:val="center"/>
        <w:spacing w:before="0" w:after="16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62"/>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一、基本目录</w:t>
      </w:r>
      <w:r/>
    </w:p>
    <w:p>
      <w:pPr>
        <w:ind w:left="0" w:right="0" w:firstLine="56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1.开标一览表（格式见附件1）</w:t>
      </w:r>
      <w:r/>
    </w:p>
    <w:p>
      <w:pPr>
        <w:ind w:left="0" w:right="0" w:firstLine="56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2.投标分项报价表（格式见附件2）</w:t>
      </w:r>
      <w:r/>
    </w:p>
    <w:p>
      <w:pPr>
        <w:ind w:left="0" w:right="0" w:firstLine="56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3.技术要求响应及偏离表（格式见附件3）</w:t>
      </w:r>
      <w:r/>
    </w:p>
    <w:p>
      <w:pPr>
        <w:ind w:left="0" w:right="0" w:firstLine="56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4.商务要求响应及偏离表（格式见附件4）</w:t>
      </w:r>
      <w:r/>
    </w:p>
    <w:p>
      <w:pPr>
        <w:ind w:left="0" w:right="0" w:firstLine="562"/>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二、资格审查</w:t>
      </w:r>
      <w:r/>
    </w:p>
    <w:p>
      <w:pPr>
        <w:ind w:left="0" w:right="0" w:firstLine="560"/>
        <w:jc w:val="both"/>
        <w:spacing w:before="0" w:after="160" w:line="22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1.投标人符合《政府采购法》第二十二条规定条件（格式见附件5）</w:t>
      </w:r>
      <w:r/>
    </w:p>
    <w:p>
      <w:pPr>
        <w:ind w:left="0" w:right="0" w:firstLine="56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2.特定资格要求的证明文件（如果本项目对投标人做出特定资格要求的，必须提供）（格式见附件6）</w:t>
      </w:r>
      <w:r/>
    </w:p>
    <w:p>
      <w:pPr>
        <w:ind w:left="0" w:right="0" w:firstLine="56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3.投标函（格式见附件7）</w:t>
      </w:r>
      <w:r/>
    </w:p>
    <w:p>
      <w:pPr>
        <w:ind w:left="0" w:right="0" w:firstLine="56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4.中小微企业声明函（格式见附件8）</w:t>
      </w:r>
      <w:r/>
    </w:p>
    <w:p>
      <w:pPr>
        <w:ind w:left="0" w:right="0" w:firstLine="56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5.残疾人福利性单位声明函（格式见附件9）</w:t>
      </w:r>
      <w:r/>
    </w:p>
    <w:p>
      <w:pPr>
        <w:ind w:left="0" w:right="0" w:firstLine="56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备注：上述“资格审查内容”中1、3条投标人必须在投标文件中提供相关材料，否则作无效投标处理；2条如招标文件要求必须提供相关材料而未提供的，作无效投标处理；4、5条根据政府采购优惠政策落实情况提供——如为专门面向中小企业采购的项目则必须提供。</w:t>
      </w:r>
      <w:r/>
    </w:p>
    <w:p>
      <w:pPr>
        <w:ind w:left="0" w:right="0" w:firstLine="562"/>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三、符合性审查</w:t>
      </w:r>
      <w:r/>
    </w:p>
    <w:p>
      <w:pPr>
        <w:ind w:left="0" w:right="0" w:firstLine="56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投标人必须对采购需求中的实质性要求逐条做出响应，并按照招标文件要求提供证明材料，否则做无效投标处理，详见第五章。</w:t>
      </w:r>
      <w:r/>
    </w:p>
    <w:p>
      <w:pPr>
        <w:ind w:left="0" w:right="0" w:firstLine="562"/>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四、价格扣除证明文件</w:t>
      </w:r>
      <w:r/>
    </w:p>
    <w:p>
      <w:pPr>
        <w:ind w:left="0" w:right="0" w:firstLine="56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1.中小微企业声明函（格式见附件8）</w:t>
      </w:r>
      <w:r/>
    </w:p>
    <w:p>
      <w:pPr>
        <w:ind w:left="0" w:right="0" w:firstLine="56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2.残疾人福利性单位声明函（格式见附件9）</w:t>
      </w:r>
      <w:r/>
    </w:p>
    <w:p>
      <w:pPr>
        <w:ind w:left="0" w:right="0" w:firstLine="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spacing w:before="0" w:after="160" w:line="22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pStyle w:val="710"/>
        <w:ind w:left="0" w:right="0" w:firstLine="0"/>
        <w:spacing w:before="260" w:after="260" w:line="761"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附件1 开标一览表</w:t>
      </w:r>
      <w:r/>
    </w:p>
    <w:p>
      <w:pPr>
        <w:ind w:left="0" w:right="0" w:firstLine="0"/>
        <w:jc w:val="center"/>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开标一览表</w:t>
      </w:r>
      <w:r/>
    </w:p>
    <w:p>
      <w:pPr>
        <w:ind w:left="0" w:right="0" w:firstLine="482"/>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投标人全称（加盖CA电子签章）：</w:t>
      </w:r>
      <w:r/>
    </w:p>
    <w:p>
      <w:pPr>
        <w:ind w:left="0" w:right="0" w:firstLine="482"/>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项目名称：</w:t>
      </w:r>
      <w:r/>
    </w:p>
    <w:p>
      <w:pPr>
        <w:ind w:left="0" w:right="0" w:firstLine="482"/>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项目编号：</w:t>
      </w:r>
      <w:r/>
    </w:p>
    <w:p>
      <w:pPr>
        <w:ind w:left="0" w:right="0" w:firstLine="482"/>
        <w:spacing w:before="0" w:after="160" w:line="4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8"/>
        </w:rPr>
        <w:t xml:space="preserve">  </w:t>
      </w:r>
      <w:r>
        <w:rPr>
          <w:rFonts w:ascii="FangSong" w:hAnsi="FangSong" w:eastAsia="FangSong" w:cs="FangSong"/>
          <w:color w:val="000000"/>
          <w:sz w:val="28"/>
        </w:rPr>
        <w:t xml:space="preserve"> </w:t>
      </w:r>
      <w:r/>
    </w:p>
    <w:tbl>
      <w:tblPr>
        <w:tblStyle w:val="74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050"/>
      </w:tblGrid>
      <w:tr>
        <w:trPr>
          <w:trHeight w:val="7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050" w:type="dxa"/>
            <w:vAlign w:val="center"/>
            <w:textDirection w:val="lrTb"/>
            <w:noWrap w:val="false"/>
          </w:tcPr>
          <w:p>
            <w:pPr>
              <w:ind w:left="0" w:right="0" w:firstLine="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投标总报价</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50" w:type="dxa"/>
            <w:vAlign w:val="center"/>
            <w:textDirection w:val="lrTb"/>
            <w:noWrap w:val="false"/>
          </w:tcPr>
          <w:p>
            <w:pPr>
              <w:ind w:left="0" w:right="0" w:firstLine="0"/>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小写：</w:t>
            </w:r>
            <w:r>
              <w:rPr>
                <w:rFonts w:ascii="Calibri" w:hAnsi="Calibri" w:eastAsia="Calibri" w:cs="Calibri"/>
                <w:color w:val="000000"/>
                <w:sz w:val="28"/>
              </w:rPr>
              <w:t xml:space="preserve">     </w:t>
            </w:r>
            <w:r>
              <w:rPr>
                <w:rFonts w:ascii="FangSong" w:hAnsi="FangSong" w:eastAsia="FangSong" w:cs="FangSong"/>
                <w:color w:val="000000"/>
                <w:sz w:val="28"/>
              </w:rPr>
              <w:t xml:space="preserve">                          （人民币：           元）</w:t>
            </w:r>
            <w:r/>
          </w:p>
        </w:tc>
      </w:tr>
    </w:tbl>
    <w:p>
      <w:pPr>
        <w:ind w:left="0" w:right="0" w:firstLine="0"/>
        <w:jc w:val="both"/>
        <w:spacing w:before="0" w:after="16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480"/>
        <w:jc w:val="both"/>
        <w:spacing w:before="0" w:after="160" w:line="4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8"/>
        </w:rPr>
        <w:t xml:space="preserve"> </w:t>
      </w:r>
      <w:r>
        <w:rPr>
          <w:rFonts w:ascii="FangSong" w:hAnsi="FangSong" w:eastAsia="FangSong" w:cs="FangSong"/>
          <w:color w:val="000000"/>
          <w:sz w:val="28"/>
        </w:rPr>
        <w:t xml:space="preserve">备注：本表格式以苏彩云系统内表格为准。</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spacing w:before="0" w:after="160" w:line="22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pStyle w:val="710"/>
        <w:ind w:left="0" w:right="0" w:firstLine="0"/>
        <w:spacing w:before="260" w:after="260" w:line="761"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附件2 投标分项报价表</w:t>
      </w:r>
      <w:r/>
    </w:p>
    <w:p>
      <w:pPr>
        <w:ind w:left="0" w:right="0" w:firstLine="0"/>
        <w:jc w:val="center"/>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投标分项报价表</w:t>
      </w:r>
      <w:r/>
    </w:p>
    <w:tbl>
      <w:tblPr>
        <w:tblStyle w:val="74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88"/>
        <w:gridCol w:w="1479"/>
        <w:gridCol w:w="1278"/>
        <w:gridCol w:w="717"/>
        <w:gridCol w:w="1167"/>
        <w:gridCol w:w="1278"/>
        <w:gridCol w:w="1279"/>
      </w:tblGrid>
      <w:tr>
        <w:trPr>
          <w:trHeight w:val="29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88" w:type="dxa"/>
            <w:vAlign w:val="center"/>
            <w:textDirection w:val="lrTb"/>
            <w:noWrap w:val="false"/>
          </w:tcPr>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79" w:type="dxa"/>
            <w:vAlign w:val="center"/>
            <w:textDirection w:val="lrTb"/>
            <w:noWrap w:val="false"/>
          </w:tcPr>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分项服务名称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78" w:type="dxa"/>
            <w:vAlign w:val="center"/>
            <w:textDirection w:val="lrTb"/>
            <w:noWrap w:val="false"/>
          </w:tcPr>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交付期</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17" w:type="dxa"/>
            <w:vAlign w:val="center"/>
            <w:textDirection w:val="lrTb"/>
            <w:noWrap w:val="false"/>
          </w:tcPr>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67" w:type="dxa"/>
            <w:vAlign w:val="center"/>
            <w:textDirection w:val="lrTb"/>
            <w:noWrap w:val="false"/>
          </w:tcPr>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78" w:type="dxa"/>
            <w:vAlign w:val="center"/>
            <w:textDirection w:val="lrTb"/>
            <w:noWrap w:val="false"/>
          </w:tcPr>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w:t>
            </w:r>
            <w:r/>
          </w:p>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79" w:type="dxa"/>
            <w:vAlign w:val="center"/>
            <w:textDirection w:val="lrTb"/>
            <w:noWrap w:val="false"/>
          </w:tcPr>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w:t>
            </w:r>
            <w:r/>
          </w:p>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8" w:type="dxa"/>
            <w:vAlign w:val="center"/>
            <w:textDirection w:val="lrTb"/>
            <w:noWrap w:val="false"/>
          </w:tcPr>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9" w:type="dxa"/>
            <w:vAlign w:val="center"/>
            <w:textDirection w:val="lrTb"/>
            <w:noWrap w:val="false"/>
          </w:tcPr>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8" w:type="dxa"/>
            <w:vAlign w:val="center"/>
            <w:textDirection w:val="lrTb"/>
            <w:noWrap w:val="false"/>
          </w:tcPr>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7" w:type="dxa"/>
            <w:vAlign w:val="center"/>
            <w:textDirection w:val="lrTb"/>
            <w:noWrap w:val="false"/>
          </w:tcPr>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7" w:type="dxa"/>
            <w:vAlign w:val="center"/>
            <w:textDirection w:val="lrTb"/>
            <w:noWrap w:val="false"/>
          </w:tcPr>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8" w:type="dxa"/>
            <w:vAlign w:val="center"/>
            <w:textDirection w:val="lrTb"/>
            <w:noWrap w:val="false"/>
          </w:tcPr>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9" w:type="dxa"/>
            <w:vAlign w:val="center"/>
            <w:textDirection w:val="lrTb"/>
            <w:noWrap w:val="false"/>
          </w:tcPr>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8" w:type="dxa"/>
            <w:vAlign w:val="center"/>
            <w:textDirection w:val="lrTb"/>
            <w:noWrap w:val="false"/>
          </w:tcPr>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9" w:type="dxa"/>
            <w:vAlign w:val="center"/>
            <w:textDirection w:val="lrTb"/>
            <w:noWrap w:val="false"/>
          </w:tcPr>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8" w:type="dxa"/>
            <w:vAlign w:val="center"/>
            <w:textDirection w:val="lrTb"/>
            <w:noWrap w:val="false"/>
          </w:tcPr>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7" w:type="dxa"/>
            <w:vAlign w:val="center"/>
            <w:textDirection w:val="lrTb"/>
            <w:noWrap w:val="false"/>
          </w:tcPr>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7" w:type="dxa"/>
            <w:vAlign w:val="center"/>
            <w:textDirection w:val="lrTb"/>
            <w:noWrap w:val="false"/>
          </w:tcPr>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8" w:type="dxa"/>
            <w:vAlign w:val="center"/>
            <w:textDirection w:val="lrTb"/>
            <w:noWrap w:val="false"/>
          </w:tcPr>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9" w:type="dxa"/>
            <w:vAlign w:val="center"/>
            <w:textDirection w:val="lrTb"/>
            <w:noWrap w:val="false"/>
          </w:tcPr>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8" w:type="dxa"/>
            <w:vAlign w:val="center"/>
            <w:textDirection w:val="lrTb"/>
            <w:noWrap w:val="false"/>
          </w:tcPr>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9" w:type="dxa"/>
            <w:vAlign w:val="center"/>
            <w:textDirection w:val="lrTb"/>
            <w:noWrap w:val="false"/>
          </w:tcPr>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8" w:type="dxa"/>
            <w:vAlign w:val="center"/>
            <w:textDirection w:val="lrTb"/>
            <w:noWrap w:val="false"/>
          </w:tcPr>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7" w:type="dxa"/>
            <w:vAlign w:val="center"/>
            <w:textDirection w:val="lrTb"/>
            <w:noWrap w:val="false"/>
          </w:tcPr>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7" w:type="dxa"/>
            <w:vAlign w:val="center"/>
            <w:textDirection w:val="lrTb"/>
            <w:noWrap w:val="false"/>
          </w:tcPr>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8" w:type="dxa"/>
            <w:vAlign w:val="center"/>
            <w:textDirection w:val="lrTb"/>
            <w:noWrap w:val="false"/>
          </w:tcPr>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9" w:type="dxa"/>
            <w:vAlign w:val="center"/>
            <w:textDirection w:val="lrTb"/>
            <w:noWrap w:val="false"/>
          </w:tcPr>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8" w:type="dxa"/>
            <w:vAlign w:val="center"/>
            <w:textDirection w:val="lrTb"/>
            <w:noWrap w:val="false"/>
          </w:tcPr>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9" w:type="dxa"/>
            <w:vAlign w:val="center"/>
            <w:textDirection w:val="lrTb"/>
            <w:noWrap w:val="false"/>
          </w:tcPr>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8" w:type="dxa"/>
            <w:vAlign w:val="center"/>
            <w:textDirection w:val="lrTb"/>
            <w:noWrap w:val="false"/>
          </w:tcPr>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7" w:type="dxa"/>
            <w:vAlign w:val="center"/>
            <w:textDirection w:val="lrTb"/>
            <w:noWrap w:val="false"/>
          </w:tcPr>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7" w:type="dxa"/>
            <w:vAlign w:val="center"/>
            <w:textDirection w:val="lrTb"/>
            <w:noWrap w:val="false"/>
          </w:tcPr>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8" w:type="dxa"/>
            <w:vAlign w:val="center"/>
            <w:textDirection w:val="lrTb"/>
            <w:noWrap w:val="false"/>
          </w:tcPr>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9" w:type="dxa"/>
            <w:vAlign w:val="center"/>
            <w:textDirection w:val="lrTb"/>
            <w:noWrap w:val="false"/>
          </w:tcPr>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54"/>
        </w:trPr>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07" w:type="dxa"/>
            <w:vAlign w:val="center"/>
            <w:textDirection w:val="lrTb"/>
            <w:noWrap w:val="false"/>
          </w:tcPr>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投标总报价（人民币：元）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9" w:type="dxa"/>
            <w:vAlign w:val="center"/>
            <w:textDirection w:val="lrTb"/>
            <w:noWrap w:val="false"/>
          </w:tcPr>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备注：</w:t>
      </w:r>
      <w:r/>
    </w:p>
    <w:p>
      <w:pPr>
        <w:ind w:left="0" w:right="0" w:firstLine="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投标报价采用总承包方式，“投标总报价”应包括采购人需求的服务（包含与服务相关的货物）价格、培训费用等，项目在指定地点、环境交付、安装、调试、验收所需费用和所有相关税金费用及为完成整个项目所产生的其它所有费用，招标文件另有规定的除外。</w:t>
      </w:r>
      <w:r/>
    </w:p>
    <w:p>
      <w:pPr>
        <w:ind w:left="0" w:right="0" w:firstLine="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2.“投标分项报价表”中“投标总报价”数额应当与“开标一览表”中“投标总报价”数额一致。</w:t>
      </w:r>
      <w:r/>
    </w:p>
    <w:p>
      <w:pPr>
        <w:ind w:left="0" w:right="0" w:firstLine="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 项目经办人可以根据项目实际需要对表格结构进行调整。</w:t>
      </w:r>
      <w:r>
        <w:rPr>
          <w:rFonts w:ascii="Calibri" w:hAnsi="Calibri" w:eastAsia="Calibri" w:cs="Calibri"/>
          <w:b/>
          <w:color w:val="000000"/>
          <w:sz w:val="28"/>
        </w:rPr>
        <w:t xml:space="preserve"> </w:t>
      </w:r>
      <w:r/>
    </w:p>
    <w:p>
      <w:pPr>
        <w:ind w:left="0" w:right="0" w:firstLine="0"/>
        <w:jc w:val="both"/>
        <w:spacing w:before="0" w:after="16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center"/>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p>
      <w:pPr>
        <w:ind w:left="0" w:right="0" w:firstLine="56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投标人名称：</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（加盖CA电子公章） </w:t>
      </w:r>
      <w:r/>
    </w:p>
    <w:p>
      <w:pPr>
        <w:ind w:left="0" w:right="0" w:firstLine="56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法定代表人签字/签章或其授权代表签字：</w:t>
      </w:r>
      <w:r/>
    </w:p>
    <w:p>
      <w:pPr>
        <w:ind w:left="0" w:right="0" w:firstLine="56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日期：2026年</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月</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日</w:t>
        <w:br w:type="page" w:clear="all"/>
      </w:r>
      <w:r/>
    </w:p>
    <w:p>
      <w:pPr>
        <w:ind w:left="0" w:right="0" w:firstLine="56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pStyle w:val="710"/>
        <w:ind w:left="0" w:right="0" w:firstLine="0"/>
        <w:spacing w:before="260" w:after="260" w:line="761"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附件3 技术要求响应及偏离表</w:t>
      </w:r>
      <w:r/>
    </w:p>
    <w:p>
      <w:pPr>
        <w:ind w:left="0" w:right="0" w:firstLine="0"/>
        <w:jc w:val="center"/>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技术要求响应及偏离表</w:t>
      </w:r>
      <w:r/>
    </w:p>
    <w:tbl>
      <w:tblPr>
        <w:tblStyle w:val="74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5"/>
        <w:gridCol w:w="3063"/>
        <w:gridCol w:w="3191"/>
        <w:gridCol w:w="212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ind w:left="0" w:right="0" w:firstLine="0"/>
              <w:jc w:val="center"/>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63" w:type="dxa"/>
            <w:vAlign w:val="center"/>
            <w:textDirection w:val="lrTb"/>
            <w:noWrap w:val="false"/>
          </w:tcPr>
          <w:p>
            <w:pPr>
              <w:ind w:left="0" w:right="0" w:firstLine="0"/>
              <w:jc w:val="center"/>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技术要求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91" w:type="dxa"/>
            <w:vAlign w:val="center"/>
            <w:textDirection w:val="lrTb"/>
            <w:noWrap w:val="false"/>
          </w:tcPr>
          <w:p>
            <w:pPr>
              <w:ind w:left="0" w:right="0" w:firstLine="0"/>
              <w:jc w:val="center"/>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28" w:type="dxa"/>
            <w:vAlign w:val="center"/>
            <w:textDirection w:val="lrTb"/>
            <w:noWrap w:val="false"/>
          </w:tcPr>
          <w:p>
            <w:pPr>
              <w:ind w:left="0" w:right="0" w:firstLine="0"/>
              <w:jc w:val="center"/>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响应或正/负偏离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63" w:type="dxa"/>
            <w:vAlign w:val="top"/>
            <w:textDirection w:val="lrTb"/>
            <w:noWrap w:val="false"/>
          </w:tcPr>
          <w:p>
            <w:pPr>
              <w:ind w:left="0" w:right="0" w:firstLine="0"/>
              <w:jc w:val="center"/>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1" w:type="dxa"/>
            <w:vAlign w:val="top"/>
            <w:textDirection w:val="lrTb"/>
            <w:noWrap w:val="false"/>
          </w:tcPr>
          <w:p>
            <w:pPr>
              <w:ind w:left="0" w:right="0" w:firstLine="0"/>
              <w:jc w:val="center"/>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8" w:type="dxa"/>
            <w:vAlign w:val="top"/>
            <w:textDirection w:val="lrTb"/>
            <w:noWrap w:val="false"/>
          </w:tcPr>
          <w:p>
            <w:pPr>
              <w:ind w:left="0" w:right="0" w:firstLine="0"/>
              <w:jc w:val="center"/>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63" w:type="dxa"/>
            <w:vAlign w:val="top"/>
            <w:textDirection w:val="lrTb"/>
            <w:noWrap w:val="false"/>
          </w:tcPr>
          <w:p>
            <w:pPr>
              <w:ind w:left="0" w:right="0" w:firstLine="0"/>
              <w:jc w:val="center"/>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1" w:type="dxa"/>
            <w:vAlign w:val="top"/>
            <w:textDirection w:val="lrTb"/>
            <w:noWrap w:val="false"/>
          </w:tcPr>
          <w:p>
            <w:pPr>
              <w:ind w:left="0" w:right="0" w:firstLine="0"/>
              <w:jc w:val="center"/>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8" w:type="dxa"/>
            <w:vAlign w:val="top"/>
            <w:textDirection w:val="lrTb"/>
            <w:noWrap w:val="false"/>
          </w:tcPr>
          <w:p>
            <w:pPr>
              <w:ind w:left="0" w:right="0" w:firstLine="0"/>
              <w:jc w:val="center"/>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r>
    </w:tbl>
    <w:p>
      <w:pPr>
        <w:ind w:left="0" w:right="0" w:firstLine="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附件3-1  证明材料1，证明材料2，……</w:t>
      </w:r>
      <w:r/>
    </w:p>
    <w:p>
      <w:pPr>
        <w:ind w:left="0" w:right="0" w:firstLine="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备注：</w:t>
      </w:r>
      <w:r/>
    </w:p>
    <w:p>
      <w:pPr>
        <w:ind w:left="0" w:right="0" w:firstLine="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1.投标人需对《第四章 采购需求》二、技术要求逐条做出明确响应。</w:t>
      </w:r>
      <w:r/>
    </w:p>
    <w:p>
      <w:pPr>
        <w:ind w:left="0" w:right="0" w:firstLine="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2.如果招标文件要求提供证明材料，投标人需将证明材料列于该表之下。</w:t>
      </w:r>
      <w:r/>
    </w:p>
    <w:p>
      <w:pPr>
        <w:ind w:left="0" w:right="0" w:firstLine="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56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投标人名称：</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（加盖CA电子公章） </w:t>
      </w:r>
      <w:r/>
    </w:p>
    <w:p>
      <w:pPr>
        <w:ind w:left="0" w:right="0" w:firstLine="56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法定代表人签字/签章或其授权代表签字：</w:t>
      </w:r>
      <w:r/>
    </w:p>
    <w:p>
      <w:pPr>
        <w:ind w:left="0" w:right="0" w:firstLine="56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日期：2026年</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月</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日</w:t>
        <w:br w:type="page" w:clear="all"/>
      </w:r>
      <w:r/>
    </w:p>
    <w:p>
      <w:pPr>
        <w:ind w:left="0" w:right="0" w:firstLine="56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pStyle w:val="710"/>
        <w:ind w:left="0" w:right="0" w:firstLine="0"/>
        <w:jc w:val="center"/>
        <w:spacing w:before="260" w:after="260" w:line="761"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附件4 商务要求响应及偏离表</w:t>
      </w:r>
      <w:r/>
    </w:p>
    <w:p>
      <w:pPr>
        <w:ind w:left="0" w:right="0" w:firstLine="0"/>
        <w:jc w:val="center"/>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商务要求响应及偏离表</w:t>
      </w:r>
      <w:r/>
    </w:p>
    <w:tbl>
      <w:tblPr>
        <w:tblStyle w:val="74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5"/>
        <w:gridCol w:w="3063"/>
        <w:gridCol w:w="3191"/>
        <w:gridCol w:w="212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ind w:left="0" w:right="0" w:firstLine="0"/>
              <w:jc w:val="center"/>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63" w:type="dxa"/>
            <w:vAlign w:val="center"/>
            <w:textDirection w:val="lrTb"/>
            <w:noWrap w:val="false"/>
          </w:tcPr>
          <w:p>
            <w:pPr>
              <w:ind w:left="0" w:right="0" w:firstLine="0"/>
              <w:jc w:val="center"/>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商务要求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91" w:type="dxa"/>
            <w:vAlign w:val="center"/>
            <w:textDirection w:val="lrTb"/>
            <w:noWrap w:val="false"/>
          </w:tcPr>
          <w:p>
            <w:pPr>
              <w:ind w:left="0" w:right="0" w:firstLine="0"/>
              <w:jc w:val="center"/>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28" w:type="dxa"/>
            <w:vAlign w:val="center"/>
            <w:textDirection w:val="lrTb"/>
            <w:noWrap w:val="false"/>
          </w:tcPr>
          <w:p>
            <w:pPr>
              <w:ind w:left="0" w:right="0" w:firstLine="0"/>
              <w:jc w:val="center"/>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响应或正/负偏离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63" w:type="dxa"/>
            <w:vAlign w:val="top"/>
            <w:textDirection w:val="lrTb"/>
            <w:noWrap w:val="false"/>
          </w:tcPr>
          <w:p>
            <w:pPr>
              <w:ind w:left="0" w:right="0" w:firstLine="0"/>
              <w:jc w:val="center"/>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1" w:type="dxa"/>
            <w:vAlign w:val="top"/>
            <w:textDirection w:val="lrTb"/>
            <w:noWrap w:val="false"/>
          </w:tcPr>
          <w:p>
            <w:pPr>
              <w:ind w:left="0" w:right="0" w:firstLine="0"/>
              <w:jc w:val="center"/>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8" w:type="dxa"/>
            <w:vAlign w:val="top"/>
            <w:textDirection w:val="lrTb"/>
            <w:noWrap w:val="false"/>
          </w:tcPr>
          <w:p>
            <w:pPr>
              <w:ind w:left="0" w:right="0" w:firstLine="0"/>
              <w:jc w:val="center"/>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63" w:type="dxa"/>
            <w:vAlign w:val="top"/>
            <w:textDirection w:val="lrTb"/>
            <w:noWrap w:val="false"/>
          </w:tcPr>
          <w:p>
            <w:pPr>
              <w:ind w:left="0" w:right="0" w:firstLine="0"/>
              <w:jc w:val="center"/>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1" w:type="dxa"/>
            <w:vAlign w:val="top"/>
            <w:textDirection w:val="lrTb"/>
            <w:noWrap w:val="false"/>
          </w:tcPr>
          <w:p>
            <w:pPr>
              <w:ind w:left="0" w:right="0" w:firstLine="0"/>
              <w:jc w:val="center"/>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8" w:type="dxa"/>
            <w:vAlign w:val="top"/>
            <w:textDirection w:val="lrTb"/>
            <w:noWrap w:val="false"/>
          </w:tcPr>
          <w:p>
            <w:pPr>
              <w:ind w:left="0" w:right="0" w:firstLine="0"/>
              <w:jc w:val="center"/>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r>
    </w:tbl>
    <w:p>
      <w:pPr>
        <w:ind w:left="0" w:right="0" w:firstLine="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附件4-1  证明材料1，证明材料2，……</w:t>
      </w:r>
      <w:r/>
    </w:p>
    <w:p>
      <w:pPr>
        <w:ind w:left="0" w:right="0" w:firstLine="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备注：</w:t>
      </w:r>
      <w:r/>
    </w:p>
    <w:p>
      <w:pPr>
        <w:ind w:left="0" w:right="0" w:firstLine="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1.投标人需对商务要求逐条做出明确响应。</w:t>
      </w:r>
      <w:r/>
    </w:p>
    <w:p>
      <w:pPr>
        <w:ind w:left="0" w:right="0" w:firstLine="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2.如果招标文件要求提供证明材料，投标人需将证明材料列于该表之下。</w:t>
      </w:r>
      <w:r/>
    </w:p>
    <w:p>
      <w:pPr>
        <w:ind w:left="0" w:right="0" w:firstLine="56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56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投标人名称：</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（加盖CA电子公章） </w:t>
      </w:r>
      <w:r/>
    </w:p>
    <w:p>
      <w:pPr>
        <w:ind w:left="0" w:right="0" w:firstLine="56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法定代表人签字/签章或其授权代表签字：</w:t>
      </w:r>
      <w:r/>
    </w:p>
    <w:p>
      <w:pPr>
        <w:ind w:left="0" w:right="0" w:firstLine="56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日期：2026年</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月</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日</w:t>
        <w:br w:type="page" w:clear="all"/>
      </w:r>
      <w:r/>
    </w:p>
    <w:p>
      <w:pPr>
        <w:ind w:left="0" w:right="0" w:firstLine="56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pStyle w:val="710"/>
        <w:ind w:left="0" w:right="0" w:firstLine="0"/>
        <w:spacing w:before="260" w:after="260" w:line="761"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附件5 声明函</w:t>
      </w:r>
      <w:r/>
    </w:p>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投标人符合《政府采购法》第二十二条规定条件的声明函</w:t>
      </w:r>
      <w:r/>
    </w:p>
    <w:p>
      <w:pPr>
        <w:ind w:left="0" w:right="0" w:firstLine="0"/>
        <w:jc w:val="both"/>
        <w:spacing w:before="0" w:after="16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60"/>
        <w:jc w:val="both"/>
        <w:spacing w:before="0" w:after="16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我单位参加</w:t>
      </w:r>
      <w:r>
        <w:rPr>
          <w:rFonts w:ascii="FangSong" w:hAnsi="FangSong" w:eastAsia="FangSong" w:cs="FangSong"/>
          <w:color w:val="000000"/>
          <w:sz w:val="28"/>
          <w:u w:val="single"/>
        </w:rPr>
        <w:t xml:space="preserve">________________ _</w:t>
      </w:r>
      <w:r>
        <w:rPr>
          <w:rFonts w:ascii="FangSong" w:hAnsi="FangSong" w:eastAsia="FangSong" w:cs="FangSong"/>
          <w:color w:val="000000"/>
          <w:sz w:val="28"/>
        </w:rPr>
        <w:t xml:space="preserve">（项目名称），</w:t>
      </w:r>
      <w:r>
        <w:rPr>
          <w:rFonts w:ascii="FangSong" w:hAnsi="FangSong" w:eastAsia="FangSong" w:cs="FangSong"/>
          <w:color w:val="000000"/>
          <w:sz w:val="28"/>
          <w:u w:val="single"/>
        </w:rPr>
        <w:t xml:space="preserve">_______ __________</w:t>
      </w:r>
      <w:r>
        <w:rPr>
          <w:rFonts w:ascii="FangSong" w:hAnsi="FangSong" w:eastAsia="FangSong" w:cs="FangSong"/>
          <w:color w:val="000000"/>
          <w:sz w:val="28"/>
        </w:rPr>
        <w:t xml:space="preserve">（项目编号）投标活动。针对《中华人民共和国政府采购法》第二十二条规定做出如下声明：</w:t>
      </w:r>
      <w:r/>
    </w:p>
    <w:p>
      <w:pPr>
        <w:ind w:left="0" w:right="0" w:firstLine="560"/>
        <w:jc w:val="both"/>
        <w:spacing w:before="0" w:after="16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1.我单位具有独立承担民事责任的能力；</w:t>
      </w:r>
      <w:r/>
    </w:p>
    <w:p>
      <w:pPr>
        <w:ind w:left="0" w:right="0" w:firstLine="560"/>
        <w:jc w:val="both"/>
        <w:spacing w:before="0" w:after="16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2.我单位具有良好的商业信誉和健全的财务会计制度；</w:t>
      </w:r>
      <w:r/>
    </w:p>
    <w:p>
      <w:pPr>
        <w:ind w:left="0" w:right="0" w:firstLine="560"/>
        <w:jc w:val="both"/>
        <w:spacing w:before="0" w:after="16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3.我单位具有履行合同所必需的设备和专业技术能力；</w:t>
      </w:r>
      <w:r/>
    </w:p>
    <w:p>
      <w:pPr>
        <w:ind w:left="0" w:right="0" w:firstLine="560"/>
        <w:jc w:val="both"/>
        <w:spacing w:before="0" w:after="16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4.我单位有依法缴纳税收和社会保障资金的良好记录；</w:t>
      </w:r>
      <w:r/>
    </w:p>
    <w:p>
      <w:pPr>
        <w:ind w:left="0" w:right="0" w:firstLine="560"/>
        <w:jc w:val="both"/>
        <w:spacing w:before="0" w:after="16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left="0" w:right="0" w:firstLine="560"/>
        <w:jc w:val="both"/>
        <w:spacing w:before="0" w:after="16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6.我单位满足法律、行政法规规定的其他条件。</w:t>
      </w:r>
      <w:r/>
    </w:p>
    <w:p>
      <w:pPr>
        <w:ind w:left="0" w:right="0" w:firstLine="482"/>
        <w:jc w:val="both"/>
        <w:spacing w:before="0" w:after="16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承诺人名称（公章）：</w:t>
      </w:r>
      <w:r/>
    </w:p>
    <w:p>
      <w:pPr>
        <w:ind w:left="0" w:right="0" w:firstLine="0"/>
        <w:jc w:val="right"/>
        <w:spacing w:before="0" w:after="160" w:line="22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日期：</w:t>
      </w:r>
      <w:r>
        <w:rPr>
          <w:rFonts w:ascii="FangSong" w:hAnsi="FangSong" w:eastAsia="FangSong" w:cs="FangSong"/>
          <w:color w:val="000000"/>
          <w:sz w:val="28"/>
          <w:u w:val="single"/>
        </w:rPr>
        <w:t xml:space="preserve">______</w:t>
      </w:r>
      <w:r>
        <w:rPr>
          <w:rFonts w:ascii="FangSong" w:hAnsi="FangSong" w:eastAsia="FangSong" w:cs="FangSong"/>
          <w:color w:val="000000"/>
          <w:sz w:val="28"/>
        </w:rPr>
        <w:t xml:space="preserve">年</w:t>
      </w:r>
      <w:r>
        <w:rPr>
          <w:rFonts w:ascii="FangSong" w:hAnsi="FangSong" w:eastAsia="FangSong" w:cs="FangSong"/>
          <w:color w:val="000000"/>
          <w:sz w:val="28"/>
          <w:u w:val="single"/>
        </w:rPr>
        <w:t xml:space="preserve">___</w:t>
      </w:r>
      <w:r>
        <w:rPr>
          <w:rFonts w:ascii="FangSong" w:hAnsi="FangSong" w:eastAsia="FangSong" w:cs="FangSong"/>
          <w:color w:val="000000"/>
          <w:sz w:val="28"/>
        </w:rPr>
        <w:t xml:space="preserve">月</w:t>
      </w:r>
      <w:r>
        <w:rPr>
          <w:rFonts w:ascii="FangSong" w:hAnsi="FangSong" w:eastAsia="FangSong" w:cs="FangSong"/>
          <w:color w:val="000000"/>
          <w:sz w:val="28"/>
          <w:u w:val="single"/>
        </w:rPr>
        <w:t xml:space="preserve">___</w:t>
      </w:r>
      <w:r>
        <w:rPr>
          <w:rFonts w:ascii="FangSong" w:hAnsi="FangSong" w:eastAsia="FangSong" w:cs="FangSong"/>
          <w:color w:val="000000"/>
          <w:sz w:val="28"/>
        </w:rPr>
        <w:t xml:space="preserve">日</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0"/>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u w:val="single"/>
        </w:rPr>
        <w:t xml:space="preserve">一、具有独立承担民事责任的能力</w:t>
      </w:r>
      <w:r/>
    </w:p>
    <w:p>
      <w:pPr>
        <w:ind w:left="0" w:right="0" w:firstLine="480"/>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法人或者其他组织的营业执照等证明文件，自然人的身份证明</w:t>
      </w:r>
      <w:r/>
    </w:p>
    <w:p>
      <w:pPr>
        <w:ind w:left="0" w:right="0" w:firstLine="0"/>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u w:val="single"/>
        </w:rPr>
        <w:t xml:space="preserve">二、具有良好的商业信誉和健全的财务会计制度</w:t>
      </w:r>
      <w:r/>
    </w:p>
    <w:p>
      <w:pPr>
        <w:ind w:left="0" w:right="0" w:firstLine="480"/>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上一年度的财务状况报告（2024或2025年度经审计的财务报告，或投标截止时间前六个月内任一月份企业编制的会计报表（至少包括资产负债表和利润表），或投标截止时间前六个月内银行出具的资信证明，复印件加盖公章），成立不满一年无需提供</w:t>
      </w:r>
      <w:r/>
    </w:p>
    <w:p>
      <w:pPr>
        <w:ind w:left="0" w:right="0" w:firstLine="0"/>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 </w:t>
      </w:r>
      <w:r/>
    </w:p>
    <w:p>
      <w:pPr>
        <w:ind w:left="0" w:right="0" w:firstLine="0"/>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u w:val="single"/>
        </w:rPr>
        <w:t xml:space="preserve">三、有依法缴纳税收和社会保障资金的良好记录</w:t>
      </w:r>
      <w:r/>
    </w:p>
    <w:p>
      <w:pPr>
        <w:ind w:left="0" w:right="0" w:firstLine="480"/>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依法纳税凭据：提供参加政府采购活动前半年内（2025年12月-2026年05月）的任一月依法纳税的凭据，如完税凭证或税务机关开具的完税证明（个人所得税除外）；</w:t>
      </w:r>
      <w:r/>
    </w:p>
    <w:p>
      <w:pPr>
        <w:ind w:left="0" w:right="0" w:firstLine="480"/>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缴纳社会保险的凭据：提供参加政府采购活动前半年内（2025年12月-2026年05月）的任一月缴纳社会保险的凭据，如专用收据或社会保险缴纳清单；</w:t>
      </w:r>
      <w:r/>
    </w:p>
    <w:p>
      <w:pPr>
        <w:ind w:left="0" w:right="0" w:firstLine="480"/>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依法免税或不需要缴纳社会保障资金的证明文件：如果供应商依法免税或不需要缴纳社会保障资金，则须提供相应的证明文件，以说明其免税或无需缴纳的依据和情况。</w:t>
      </w:r>
      <w:r/>
    </w:p>
    <w:p>
      <w:pPr>
        <w:ind w:left="0" w:right="0" w:firstLine="0"/>
        <w:spacing w:before="0" w:after="120" w:line="22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u w:val="single"/>
        </w:rPr>
        <w:t xml:space="preserve">四、具备履行合同所必需的设备和专业技术能力</w:t>
      </w:r>
      <w:r/>
    </w:p>
    <w:p>
      <w:pPr>
        <w:ind w:left="0" w:right="0" w:firstLine="480"/>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提供书面声明：</w:t>
      </w:r>
      <w:r/>
    </w:p>
    <w:p>
      <w:pPr>
        <w:ind w:left="0" w:right="0" w:firstLine="0"/>
        <w:jc w:val="center"/>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声明</w:t>
      </w:r>
      <w:r/>
    </w:p>
    <w:p>
      <w:pPr>
        <w:ind w:left="0" w:right="0" w:firstLine="480"/>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（采购人）</w:t>
      </w:r>
      <w:r/>
    </w:p>
    <w:p>
      <w:pPr>
        <w:ind w:left="400" w:right="0" w:firstLine="0"/>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我公司郑重声明：具有履行编号为</w:t>
      </w:r>
      <w:r>
        <w:rPr>
          <w:rFonts w:ascii="FangSong" w:hAnsi="FangSong" w:eastAsia="FangSong" w:cs="FangSong"/>
          <w:color w:val="000000"/>
          <w:sz w:val="28"/>
        </w:rPr>
        <w:t xml:space="preserve">JSZC-320</w:t>
      </w:r>
      <w:r>
        <w:rPr>
          <w:rFonts w:ascii="FangSong" w:hAnsi="FangSong" w:eastAsia="FangSong" w:cs="FangSong"/>
          <w:color w:val="000000"/>
          <w:sz w:val="28"/>
          <w:u w:val="single"/>
        </w:rPr>
        <w:t xml:space="preserve">***</w:t>
      </w:r>
      <w:r>
        <w:rPr>
          <w:rFonts w:ascii="FangSong" w:hAnsi="FangSong" w:eastAsia="FangSong" w:cs="FangSong"/>
          <w:color w:val="000000"/>
          <w:sz w:val="28"/>
        </w:rPr>
        <w:t xml:space="preserve">-SHGK-</w:t>
      </w:r>
      <w:r>
        <w:rPr>
          <w:rFonts w:ascii="FangSong" w:hAnsi="FangSong" w:eastAsia="FangSong" w:cs="FangSong"/>
          <w:color w:val="000000"/>
          <w:sz w:val="28"/>
          <w:u w:val="single"/>
        </w:rPr>
        <w:t xml:space="preserve">*****</w:t>
      </w:r>
      <w:r>
        <w:rPr>
          <w:rFonts w:ascii="FangSong" w:hAnsi="FangSong" w:eastAsia="FangSong" w:cs="FangSong"/>
          <w:color w:val="000000"/>
          <w:sz w:val="28"/>
        </w:rPr>
        <w:t xml:space="preserve">-</w:t>
      </w:r>
      <w:r>
        <w:rPr>
          <w:rFonts w:ascii="FangSong" w:hAnsi="FangSong" w:eastAsia="FangSong" w:cs="FangSong"/>
          <w:color w:val="000000"/>
          <w:sz w:val="28"/>
          <w:u w:val="single"/>
        </w:rPr>
        <w:t xml:space="preserve">****</w:t>
      </w:r>
      <w:r>
        <w:rPr>
          <w:rFonts w:ascii="SimSun" w:hAnsi="SimSun" w:eastAsia="SimSun" w:cs="SimSun"/>
          <w:color w:val="000000"/>
          <w:sz w:val="24"/>
        </w:rPr>
        <w:t xml:space="preserve">项下采购项目合同的设备和专业技术能力。</w:t>
      </w:r>
      <w:r/>
    </w:p>
    <w:p>
      <w:pPr>
        <w:ind w:left="0" w:right="0" w:firstLine="480"/>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特此声明！</w:t>
      </w:r>
      <w:r/>
    </w:p>
    <w:p>
      <w:pPr>
        <w:ind w:left="0" w:right="0" w:firstLine="480"/>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w:t>
      </w:r>
      <w:r>
        <w:rPr>
          <w:rFonts w:ascii="SimSun" w:hAnsi="SimSun" w:eastAsia="SimSun" w:cs="SimSun"/>
          <w:color w:val="000000"/>
          <w:sz w:val="24"/>
          <w:u w:val="single"/>
        </w:rPr>
        <w:t xml:space="preserve">（加盖CA电子公章）</w:t>
      </w:r>
      <w:r/>
    </w:p>
    <w:p>
      <w:pPr>
        <w:ind w:left="0" w:right="0" w:firstLine="480"/>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法定代表人（或授权代表）签字：</w:t>
      </w:r>
      <w:r/>
    </w:p>
    <w:p>
      <w:pPr>
        <w:ind w:left="0" w:right="0" w:firstLine="480"/>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投标日期：2026年XX月XX日</w:t>
      </w:r>
      <w:r/>
    </w:p>
    <w:p>
      <w:pPr>
        <w:ind w:left="0" w:right="0" w:firstLine="0"/>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u w:val="single"/>
        </w:rPr>
        <w:t xml:space="preserve">五、参加政府采购活动前 3 年内在经营活动中没有重大违法记录</w:t>
      </w:r>
      <w:r/>
    </w:p>
    <w:p>
      <w:pPr>
        <w:ind w:left="0" w:right="0" w:firstLine="480"/>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提供书面声明：</w:t>
      </w:r>
      <w:r/>
    </w:p>
    <w:p>
      <w:pPr>
        <w:ind w:left="0" w:right="0" w:firstLine="0"/>
        <w:jc w:val="center"/>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声明</w:t>
      </w:r>
      <w:r/>
    </w:p>
    <w:p>
      <w:pPr>
        <w:ind w:left="0" w:right="0" w:firstLine="480"/>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（采购人）</w:t>
      </w:r>
      <w:r/>
    </w:p>
    <w:p>
      <w:pPr>
        <w:ind w:left="0" w:right="0" w:firstLine="0"/>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我单位郑重声明：参加本次政府采购活动前3年内，我单位在经营活动中没有因违法经营受到刑事处罚或者责令停产停业、吊销许可证或者执照、较大数额罚款等行政处罚。</w:t>
      </w:r>
      <w:r/>
    </w:p>
    <w:p>
      <w:pPr>
        <w:ind w:left="0" w:right="0" w:firstLine="480"/>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特此声明！</w:t>
      </w:r>
      <w:r/>
    </w:p>
    <w:p>
      <w:pPr>
        <w:ind w:left="0" w:right="0" w:firstLine="480"/>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6"/>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w:t>
      </w:r>
      <w:r>
        <w:rPr>
          <w:rFonts w:ascii="SimSun" w:hAnsi="SimSun" w:eastAsia="SimSun" w:cs="SimSun"/>
          <w:color w:val="000000"/>
          <w:sz w:val="24"/>
          <w:u w:val="single"/>
        </w:rPr>
        <w:t xml:space="preserve">（加盖CA电子公章）</w:t>
      </w:r>
      <w:r/>
    </w:p>
    <w:p>
      <w:pPr>
        <w:ind w:left="0" w:right="0" w:firstLine="426"/>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法定代表人（或授权代表）签字：</w:t>
      </w:r>
      <w:r/>
    </w:p>
    <w:p>
      <w:pPr>
        <w:ind w:left="0" w:right="0" w:firstLine="425"/>
        <w:jc w:val="both"/>
        <w:spacing w:before="0" w:after="16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投标日期：2026年XX月XX日</w:t>
        <w:br w:type="page" w:clear="all"/>
      </w:r>
      <w:r/>
    </w:p>
    <w:p>
      <w:pPr>
        <w:ind w:left="0" w:right="0" w:firstLine="425"/>
        <w:jc w:val="both"/>
        <w:spacing w:before="0" w:after="16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 </w:t>
      </w:r>
      <w:r>
        <w:rPr>
          <w:rFonts w:ascii="SimSun" w:hAnsi="SimSun" w:eastAsia="SimSun" w:cs="SimSun"/>
          <w:color w:val="000000"/>
          <w:sz w:val="32"/>
          <w:u w:val="single"/>
        </w:rPr>
        <w:t xml:space="preserve">六、具备法律、行政法规规定的其他资格条件的声明</w:t>
      </w:r>
      <w:r/>
    </w:p>
    <w:p>
      <w:pPr>
        <w:ind w:left="0" w:right="0" w:firstLine="560"/>
        <w:jc w:val="center"/>
        <w:spacing w:before="0" w:after="16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声明</w:t>
      </w:r>
      <w:r/>
    </w:p>
    <w:p>
      <w:pPr>
        <w:ind w:left="0" w:right="0" w:firstLine="560"/>
        <w:jc w:val="both"/>
        <w:spacing w:before="0" w:after="16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致：南通大学附属医院</w:t>
      </w:r>
      <w:r/>
    </w:p>
    <w:p>
      <w:pPr>
        <w:ind w:left="0" w:right="0" w:firstLine="560"/>
        <w:jc w:val="both"/>
        <w:spacing w:before="0" w:after="16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我公司郑重声明：我公司具有XXXXX项目（项目编号XXXXXX）法律、行政法规规定的其他资格条件。</w:t>
      </w:r>
      <w:r/>
    </w:p>
    <w:p>
      <w:pPr>
        <w:ind w:left="0" w:right="0" w:firstLine="560"/>
        <w:jc w:val="both"/>
        <w:spacing w:before="0" w:after="16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特此声明！</w:t>
      </w:r>
      <w:r/>
    </w:p>
    <w:p>
      <w:pPr>
        <w:ind w:left="0" w:right="0" w:firstLine="560"/>
        <w:jc w:val="both"/>
        <w:spacing w:before="0" w:after="16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426"/>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投标人名称：</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（加盖CA电子公章） </w:t>
      </w:r>
      <w:r/>
    </w:p>
    <w:p>
      <w:pPr>
        <w:ind w:left="0" w:right="0" w:firstLine="426"/>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法定代表人签字/签章或其授权代表签字：</w:t>
      </w:r>
      <w:r/>
    </w:p>
    <w:p>
      <w:pPr>
        <w:ind w:left="0" w:right="0" w:firstLine="426"/>
        <w:spacing w:before="0" w:after="160" w:line="22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日期：2026年</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月</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日</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 </w:t>
      </w:r>
      <w:r/>
    </w:p>
    <w:p>
      <w:pPr>
        <w:ind w:left="0" w:right="0" w:firstLine="420"/>
        <w:spacing w:before="0" w:after="120" w:line="241"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 </w:t>
      </w:r>
      <w:r/>
    </w:p>
    <w:p>
      <w:pPr>
        <w:pStyle w:val="710"/>
        <w:ind w:left="0" w:right="0" w:firstLine="0"/>
        <w:spacing w:before="260" w:after="260" w:line="761"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附件6特定资格要求的证明文件</w:t>
      </w:r>
      <w:r/>
    </w:p>
    <w:p>
      <w:pPr>
        <w:ind w:left="0" w:right="0" w:firstLine="56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1.投标人须根据所投服务相关产品的类别，提供《医疗器械经营许可证》或《医疗器械经营备案凭证》（复印件）；</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560"/>
        <w:jc w:val="both"/>
        <w:spacing w:before="0" w:after="160" w:line="479" w:lineRule="atLeast"/>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pStyle w:val="710"/>
        <w:ind w:left="0" w:right="0" w:firstLine="0"/>
        <w:jc w:val="center"/>
        <w:spacing w:before="260" w:after="260" w:line="761"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附件7投标函</w:t>
      </w:r>
      <w:r/>
    </w:p>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投标函</w:t>
      </w:r>
      <w:r/>
    </w:p>
    <w:p>
      <w:pPr>
        <w:ind w:left="0" w:right="0" w:firstLine="0"/>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致：江苏苏豪创新科技集团高科有限公司</w:t>
      </w:r>
      <w:r/>
    </w:p>
    <w:p>
      <w:pPr>
        <w:ind w:left="0" w:right="0" w:firstLine="560"/>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根据贵方的JSZC-320***-SHGK-*****-****号招标文件，正式授权下述签字人_____(姓名)代表我方_______（投标人的名称），全权处理本次项目投标的有关事宜。</w:t>
      </w:r>
      <w:r/>
    </w:p>
    <w:p>
      <w:pPr>
        <w:ind w:left="0" w:right="0" w:firstLine="56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据此函，__________签字人兹宣布同意如下：</w:t>
      </w:r>
      <w:r/>
    </w:p>
    <w:p>
      <w:pPr>
        <w:ind w:left="0" w:right="0" w:firstLine="56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1.按招标文件规定的各项要求，向买方提供所需货物（包含与货物相关的服务）。</w:t>
      </w:r>
      <w:r/>
    </w:p>
    <w:p>
      <w:pPr>
        <w:ind w:left="0" w:right="0" w:firstLine="56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2.我们完全理解贵方不一定将合同授予最低报价的投标人。</w:t>
      </w:r>
      <w:r/>
    </w:p>
    <w:p>
      <w:pPr>
        <w:ind w:left="0" w:right="0" w:firstLine="56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3.我们已详细审核全部招标文件及其有效补充文件，我们知道必须放弃提出含糊不清或误解问题的权利。</w:t>
      </w:r>
      <w:r/>
    </w:p>
    <w:p>
      <w:pPr>
        <w:ind w:left="0" w:right="0" w:firstLine="56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4.我们同意从规定的开标日期起遵循本投标文件，并在规定的投标有效期期满之前均具有约束力。</w:t>
      </w:r>
      <w:r/>
    </w:p>
    <w:p>
      <w:pPr>
        <w:ind w:left="0" w:right="0" w:firstLine="56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5.同意向贵方提供贵方可能另外要求的与投标有关的任何证据或资料，并保证我方已提供和将要提供的文件是真实的、准确的。</w:t>
      </w:r>
      <w:r/>
    </w:p>
    <w:p>
      <w:pPr>
        <w:ind w:left="0" w:right="0" w:firstLine="56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6.一旦我方中标,我方将根据招标文件的规定，严格履行合同的责任和义务,并保证在招标文件规定的时间完成项目，交付买方验收、使用。</w:t>
      </w:r>
      <w:r/>
    </w:p>
    <w:p>
      <w:pPr>
        <w:ind w:left="0" w:right="0" w:firstLine="56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7.与本投标有关的正式通讯地址为：</w:t>
      </w:r>
      <w:r/>
    </w:p>
    <w:p>
      <w:pPr>
        <w:ind w:left="0" w:right="0" w:firstLine="560"/>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地         址：</w:t>
      </w:r>
      <w:r/>
    </w:p>
    <w:p>
      <w:pPr>
        <w:ind w:left="0" w:right="0" w:firstLine="560"/>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邮         编：</w:t>
      </w:r>
      <w:r/>
    </w:p>
    <w:p>
      <w:pPr>
        <w:ind w:left="0" w:right="0" w:firstLine="560"/>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电         话：</w:t>
      </w:r>
      <w:r/>
    </w:p>
    <w:p>
      <w:pPr>
        <w:ind w:left="0" w:right="0" w:firstLine="560"/>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传         真：</w:t>
      </w:r>
      <w:r/>
    </w:p>
    <w:p>
      <w:pPr>
        <w:ind w:left="0" w:right="0" w:firstLine="560"/>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投标人开户行：</w:t>
      </w:r>
      <w:r/>
    </w:p>
    <w:p>
      <w:pPr>
        <w:ind w:left="0" w:right="0" w:firstLine="560"/>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账         号： </w:t>
      </w:r>
      <w:r/>
    </w:p>
    <w:p>
      <w:pPr>
        <w:ind w:left="0" w:right="0" w:firstLine="560"/>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日         期：________年____月____日</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 </w:t>
      </w:r>
      <w:r/>
    </w:p>
    <w:p>
      <w:pPr>
        <w:ind w:left="0" w:right="0" w:firstLine="420"/>
        <w:spacing w:before="0" w:after="120" w:line="241"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1"/>
        </w:rPr>
        <w:t xml:space="preserve"> </w:t>
      </w:r>
      <w:r/>
    </w:p>
    <w:p>
      <w:pPr>
        <w:pStyle w:val="710"/>
        <w:ind w:left="0" w:right="0" w:firstLine="0"/>
        <w:jc w:val="center"/>
        <w:spacing w:before="260" w:after="260" w:line="761"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附件8 中小微企业声明函</w:t>
      </w:r>
      <w:r/>
    </w:p>
    <w:p>
      <w:pPr>
        <w:ind w:left="0" w:right="0" w:firstLine="281"/>
        <w:jc w:val="center"/>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中小企业声明函（服务类项目）</w:t>
      </w:r>
      <w:r/>
    </w:p>
    <w:p>
      <w:pPr>
        <w:ind w:left="0" w:right="0" w:firstLine="560"/>
        <w:jc w:val="both"/>
        <w:spacing w:before="0" w:after="160" w:line="6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本公司（联合体）郑重声明，根据《政府采购促进中小企业发展管理办法》(财库[2020]46号)的规定，本公司（联合体）参加江苏苏豪创新科技集团高科有限公司组织的（单位名称）采购编号为JSZC-320</w:t>
      </w:r>
      <w:r>
        <w:rPr>
          <w:rFonts w:ascii="FangSong" w:hAnsi="FangSong" w:eastAsia="FangSong" w:cs="FangSong"/>
          <w:color w:val="000000"/>
          <w:sz w:val="28"/>
          <w:u w:val="single"/>
        </w:rPr>
        <w:t xml:space="preserve">***</w:t>
      </w:r>
      <w:r>
        <w:rPr>
          <w:rFonts w:ascii="FangSong" w:hAnsi="FangSong" w:eastAsia="FangSong" w:cs="FangSong"/>
          <w:color w:val="000000"/>
          <w:sz w:val="28"/>
        </w:rPr>
        <w:t xml:space="preserve">-</w:t>
      </w:r>
      <w:r>
        <w:rPr>
          <w:rFonts w:ascii="FangSong" w:hAnsi="FangSong" w:eastAsia="FangSong" w:cs="FangSong"/>
          <w:color w:val="000000"/>
          <w:sz w:val="28"/>
          <w:u w:val="single"/>
        </w:rPr>
        <w:t xml:space="preserve">****</w:t>
      </w:r>
      <w:r>
        <w:rPr>
          <w:rFonts w:ascii="FangSong" w:hAnsi="FangSong" w:eastAsia="FangSong" w:cs="FangSong"/>
          <w:color w:val="000000"/>
          <w:sz w:val="28"/>
        </w:rPr>
        <w:t xml:space="preserve">-</w:t>
      </w:r>
      <w:r>
        <w:rPr>
          <w:rFonts w:ascii="FangSong" w:hAnsi="FangSong" w:eastAsia="FangSong" w:cs="FangSong"/>
          <w:color w:val="000000"/>
          <w:sz w:val="28"/>
          <w:u w:val="single"/>
        </w:rPr>
        <w:t xml:space="preserve">****</w:t>
      </w:r>
      <w:r>
        <w:rPr>
          <w:rFonts w:ascii="FangSong" w:hAnsi="FangSong" w:eastAsia="FangSong" w:cs="FangSong"/>
          <w:color w:val="000000"/>
          <w:sz w:val="28"/>
        </w:rPr>
        <w:t xml:space="preserve">，（项目名称）（分包号：</w:t>
      </w:r>
      <w:r>
        <w:rPr>
          <w:rFonts w:ascii="FangSong" w:hAnsi="FangSong" w:eastAsia="FangSong" w:cs="FangSong"/>
          <w:color w:val="000000"/>
          <w:sz w:val="28"/>
          <w:u w:val="single"/>
        </w:rPr>
        <w:t xml:space="preserve">**</w:t>
      </w:r>
      <w:r>
        <w:rPr>
          <w:rFonts w:ascii="FangSong" w:hAnsi="FangSong" w:eastAsia="FangSong" w:cs="FangSong"/>
          <w:color w:val="000000"/>
          <w:sz w:val="28"/>
        </w:rPr>
        <w:t xml:space="preserve">）的采购活动，服务全部由符合政策的中小微企业承接。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p>
    <w:p>
      <w:pPr>
        <w:ind w:left="0" w:right="0" w:firstLine="360"/>
        <w:spacing w:before="0" w:after="160" w:line="6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w:t>
      </w:r>
      <w:r>
        <w:rPr>
          <w:rFonts w:ascii="FangSong" w:hAnsi="FangSong" w:eastAsia="FangSong" w:cs="FangSong"/>
          <w:color w:val="000000"/>
          <w:sz w:val="28"/>
          <w:u w:val="single"/>
        </w:rPr>
        <w:t xml:space="preserve">（标的名称）</w:t>
      </w:r>
      <w:r>
        <w:rPr>
          <w:rFonts w:ascii="FangSong" w:hAnsi="FangSong" w:eastAsia="FangSong" w:cs="FangSong"/>
          <w:i/>
          <w:color w:val="000000"/>
          <w:sz w:val="28"/>
        </w:rPr>
        <w:t xml:space="preserve">，</w:t>
      </w:r>
      <w:r>
        <w:rPr>
          <w:rFonts w:ascii="FangSong" w:hAnsi="FangSong" w:eastAsia="FangSong" w:cs="FangSong"/>
          <w:color w:val="000000"/>
          <w:sz w:val="28"/>
        </w:rPr>
        <w:t xml:space="preserve">属于</w:t>
      </w:r>
      <w:r>
        <w:rPr>
          <w:rFonts w:ascii="FangSong" w:hAnsi="FangSong" w:eastAsia="FangSong" w:cs="FangSong"/>
          <w:color w:val="000000"/>
          <w:sz w:val="28"/>
          <w:u w:val="single"/>
        </w:rPr>
        <w:t xml:space="preserve">其他未列明行业</w:t>
      </w:r>
      <w:r>
        <w:rPr>
          <w:rFonts w:ascii="FangSong" w:hAnsi="FangSong" w:eastAsia="FangSong" w:cs="FangSong"/>
          <w:color w:val="000000"/>
          <w:sz w:val="28"/>
        </w:rPr>
        <w:t xml:space="preserve">行业；承接企业为</w:t>
      </w:r>
      <w:r>
        <w:rPr>
          <w:rFonts w:ascii="FangSong" w:hAnsi="FangSong" w:eastAsia="FangSong" w:cs="FangSong"/>
          <w:color w:val="000000"/>
          <w:sz w:val="28"/>
          <w:u w:val="single"/>
        </w:rPr>
        <w:t xml:space="preserve">（企业名称）</w:t>
      </w:r>
      <w:r>
        <w:rPr>
          <w:rFonts w:ascii="FangSong" w:hAnsi="FangSong" w:eastAsia="FangSong" w:cs="FangSong"/>
          <w:color w:val="000000"/>
          <w:sz w:val="28"/>
        </w:rPr>
        <w:t xml:space="preserve">，从业人员</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人，营业收入为</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万元，资产总额为</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万元</w:t>
      </w:r>
      <w:r>
        <w:rPr>
          <w:rFonts w:ascii="FangSong" w:hAnsi="FangSong" w:eastAsia="FangSong" w:cs="FangSong"/>
          <w:color w:val="000000"/>
          <w:sz w:val="23"/>
          <w:vertAlign w:val="superscript"/>
        </w:rPr>
        <w:t xml:space="preserve">1</w:t>
      </w:r>
      <w:r>
        <w:rPr>
          <w:rFonts w:ascii="FangSong" w:hAnsi="FangSong" w:eastAsia="FangSong" w:cs="FangSong"/>
          <w:color w:val="000000"/>
          <w:sz w:val="28"/>
        </w:rPr>
        <w:t xml:space="preserve">，属于</w:t>
      </w:r>
      <w:r>
        <w:rPr>
          <w:rFonts w:ascii="FangSong" w:hAnsi="FangSong" w:eastAsia="FangSong" w:cs="FangSong"/>
          <w:color w:val="000000"/>
          <w:sz w:val="28"/>
          <w:u w:val="single"/>
        </w:rPr>
        <w:t xml:space="preserve">（□中型企业 □小型企业 □微型企业）；</w:t>
      </w:r>
      <w:r/>
    </w:p>
    <w:p>
      <w:pPr>
        <w:ind w:left="0" w:right="0" w:firstLine="360"/>
        <w:spacing w:before="0" w:after="160" w:line="6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w:t>
      </w:r>
      <w:r>
        <w:rPr>
          <w:rFonts w:ascii="FangSong" w:hAnsi="FangSong" w:eastAsia="FangSong" w:cs="FangSong"/>
          <w:color w:val="000000"/>
          <w:sz w:val="28"/>
          <w:u w:val="single"/>
        </w:rPr>
        <w:t xml:space="preserve">（标的名称）</w:t>
      </w:r>
      <w:r>
        <w:rPr>
          <w:rFonts w:ascii="FangSong" w:hAnsi="FangSong" w:eastAsia="FangSong" w:cs="FangSong"/>
          <w:i/>
          <w:color w:val="000000"/>
          <w:sz w:val="28"/>
        </w:rPr>
        <w:t xml:space="preserve">，</w:t>
      </w:r>
      <w:r>
        <w:rPr>
          <w:rFonts w:ascii="FangSong" w:hAnsi="FangSong" w:eastAsia="FangSong" w:cs="FangSong"/>
          <w:color w:val="000000"/>
          <w:sz w:val="28"/>
        </w:rPr>
        <w:t xml:space="preserve">属于</w:t>
      </w:r>
      <w:r>
        <w:rPr>
          <w:rFonts w:ascii="FangSong" w:hAnsi="FangSong" w:eastAsia="FangSong" w:cs="FangSong"/>
          <w:color w:val="000000"/>
          <w:sz w:val="28"/>
          <w:u w:val="single"/>
        </w:rPr>
        <w:t xml:space="preserve">其他未列明行业</w:t>
      </w:r>
      <w:r>
        <w:rPr>
          <w:rFonts w:ascii="FangSong" w:hAnsi="FangSong" w:eastAsia="FangSong" w:cs="FangSong"/>
          <w:color w:val="000000"/>
          <w:sz w:val="28"/>
        </w:rPr>
        <w:t xml:space="preserve">行业；承接企业为</w:t>
      </w:r>
      <w:r>
        <w:rPr>
          <w:rFonts w:ascii="FangSong" w:hAnsi="FangSong" w:eastAsia="FangSong" w:cs="FangSong"/>
          <w:color w:val="000000"/>
          <w:sz w:val="28"/>
          <w:u w:val="single"/>
        </w:rPr>
        <w:t xml:space="preserve">（企业名称）</w:t>
      </w:r>
      <w:r>
        <w:rPr>
          <w:rFonts w:ascii="FangSong" w:hAnsi="FangSong" w:eastAsia="FangSong" w:cs="FangSong"/>
          <w:color w:val="000000"/>
          <w:sz w:val="28"/>
        </w:rPr>
        <w:t xml:space="preserve">，从业人员</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人，营业收入为</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万元，资产总额为</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万元</w:t>
      </w:r>
      <w:r>
        <w:rPr>
          <w:rFonts w:ascii="FangSong" w:hAnsi="FangSong" w:eastAsia="FangSong" w:cs="FangSong"/>
          <w:color w:val="000000"/>
          <w:sz w:val="23"/>
          <w:vertAlign w:val="superscript"/>
        </w:rPr>
        <w:t xml:space="preserve">1</w:t>
      </w:r>
      <w:r>
        <w:rPr>
          <w:rFonts w:ascii="FangSong" w:hAnsi="FangSong" w:eastAsia="FangSong" w:cs="FangSong"/>
          <w:color w:val="000000"/>
          <w:sz w:val="28"/>
        </w:rPr>
        <w:t xml:space="preserve">，属于</w:t>
      </w:r>
      <w:r>
        <w:rPr>
          <w:rFonts w:ascii="FangSong" w:hAnsi="FangSong" w:eastAsia="FangSong" w:cs="FangSong"/>
          <w:color w:val="000000"/>
          <w:sz w:val="28"/>
          <w:u w:val="single"/>
        </w:rPr>
        <w:t xml:space="preserve">（□中型企业 □小型企业 □微型企业）；</w:t>
      </w:r>
      <w:r/>
    </w:p>
    <w:p>
      <w:pPr>
        <w:ind w:left="0" w:right="0" w:firstLine="560"/>
        <w:jc w:val="both"/>
        <w:spacing w:before="0" w:after="160" w:line="6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p>
    <w:p>
      <w:pPr>
        <w:ind w:left="0" w:right="0" w:firstLine="56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以上企业，不属于大企业的分支机构，不存在控股股东为大企业的情形，也不存在与大企业的负责人为同一人的情形。</w:t>
      </w:r>
      <w:r/>
    </w:p>
    <w:p>
      <w:pPr>
        <w:ind w:left="0" w:right="0" w:firstLine="56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本企业对上述声明内容的真实性负责。如有虚假，将依法承担相应责任</w:t>
      </w:r>
      <w:r/>
    </w:p>
    <w:p>
      <w:pPr>
        <w:ind w:left="0" w:right="0" w:firstLine="0"/>
        <w:jc w:val="both"/>
        <w:spacing w:before="0" w:after="160" w:line="4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8"/>
        </w:rPr>
        <w:t xml:space="preserve"> </w:t>
      </w:r>
      <w:r/>
    </w:p>
    <w:p>
      <w:pPr>
        <w:ind w:left="0" w:right="0" w:firstLine="420"/>
        <w:jc w:val="right"/>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企业名称（加盖CA电子公章）：</w:t>
      </w:r>
      <w:r/>
    </w:p>
    <w:p>
      <w:pPr>
        <w:ind w:left="0" w:right="0" w:firstLine="630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日</w:t>
      </w:r>
      <w:r>
        <w:rPr>
          <w:rFonts w:ascii="Calibri" w:hAnsi="Calibri" w:eastAsia="Calibri" w:cs="Calibri"/>
          <w:color w:val="000000"/>
          <w:sz w:val="28"/>
        </w:rPr>
        <w:t xml:space="preserve"> </w:t>
      </w:r>
      <w:r>
        <w:rPr>
          <w:rFonts w:ascii="FangSong" w:hAnsi="FangSong" w:eastAsia="FangSong" w:cs="FangSong"/>
          <w:color w:val="000000"/>
          <w:sz w:val="28"/>
        </w:rPr>
        <w:t xml:space="preserve"> 期：</w:t>
      </w:r>
      <w:r/>
    </w:p>
    <w:p>
      <w:pPr>
        <w:ind w:left="0" w:right="0" w:firstLine="6300"/>
        <w:jc w:val="both"/>
        <w:spacing w:before="0" w:after="16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56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备注：</w:t>
      </w:r>
      <w:r/>
    </w:p>
    <w:p>
      <w:pPr>
        <w:ind w:left="0" w:right="0" w:firstLine="56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1.从业人员、营业收入、资产总额填报上一年度数据，无上一年度数据的新成立企业可不填报。</w:t>
      </w:r>
      <w:r/>
    </w:p>
    <w:p>
      <w:pPr>
        <w:ind w:left="0" w:right="0" w:firstLine="562"/>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2.专门面向中小企业采购的项目，供应商如不提供此声明函，则不能通过资格审查；非专门面向中小企业采购的项目，供应商如不提供此声明函，价格将不做相应扣除。</w:t>
      </w:r>
      <w:r/>
    </w:p>
    <w:p>
      <w:pPr>
        <w:ind w:left="0" w:right="0" w:firstLine="56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3.供应商自行勾选企业规模类型。</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spacing w:before="0" w:after="160" w:line="22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pStyle w:val="710"/>
        <w:ind w:left="0" w:right="0" w:firstLine="0"/>
        <w:jc w:val="center"/>
        <w:spacing w:before="260" w:after="260" w:line="761"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附件9残疾人福利性单位声明函</w:t>
      </w:r>
      <w:r/>
    </w:p>
    <w:p>
      <w:pPr>
        <w:ind w:left="141" w:right="0" w:hanging="141"/>
        <w:jc w:val="center"/>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残疾人福利性单位声明函（服务类项目）</w:t>
      </w:r>
      <w:r/>
    </w:p>
    <w:p>
      <w:pPr>
        <w:ind w:left="0" w:right="0" w:firstLine="56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141号）的规定，本单位为符合条件的残疾人福利性单位，且本单位参加______单位的采购文件编号为JSZC-320</w:t>
      </w:r>
      <w:r>
        <w:rPr>
          <w:rFonts w:ascii="FangSong" w:hAnsi="FangSong" w:eastAsia="FangSong" w:cs="FangSong"/>
          <w:color w:val="000000"/>
          <w:sz w:val="28"/>
          <w:u w:val="single"/>
        </w:rPr>
        <w:t xml:space="preserve">***</w:t>
      </w:r>
      <w:r>
        <w:rPr>
          <w:rFonts w:ascii="FangSong" w:hAnsi="FangSong" w:eastAsia="FangSong" w:cs="FangSong"/>
          <w:color w:val="000000"/>
          <w:sz w:val="28"/>
        </w:rPr>
        <w:t xml:space="preserve">-</w:t>
      </w:r>
      <w:r>
        <w:rPr>
          <w:rFonts w:ascii="FangSong" w:hAnsi="FangSong" w:eastAsia="FangSong" w:cs="FangSong"/>
          <w:color w:val="000000"/>
          <w:sz w:val="28"/>
          <w:u w:val="single"/>
        </w:rPr>
        <w:t xml:space="preserve">*****</w:t>
      </w:r>
      <w:r>
        <w:rPr>
          <w:rFonts w:ascii="FangSong" w:hAnsi="FangSong" w:eastAsia="FangSong" w:cs="FangSong"/>
          <w:color w:val="000000"/>
          <w:sz w:val="28"/>
        </w:rPr>
        <w:t xml:space="preserve">-</w:t>
      </w:r>
      <w:r>
        <w:rPr>
          <w:rFonts w:ascii="FangSong" w:hAnsi="FangSong" w:eastAsia="FangSong" w:cs="FangSong"/>
          <w:color w:val="000000"/>
          <w:sz w:val="28"/>
          <w:u w:val="single"/>
        </w:rPr>
        <w:t xml:space="preserve">****</w:t>
      </w:r>
      <w:r>
        <w:rPr>
          <w:rFonts w:ascii="FangSong" w:hAnsi="FangSong" w:eastAsia="FangSong" w:cs="FangSong"/>
          <w:color w:val="000000"/>
          <w:sz w:val="28"/>
        </w:rPr>
        <w:t xml:space="preserve">的</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项目采购活动提由本单位提供服务。</w:t>
      </w:r>
      <w:r/>
    </w:p>
    <w:p>
      <w:pPr>
        <w:ind w:left="0" w:right="0" w:firstLine="56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本单位对上述声明的真实性负责。如有虚假，将依法承担相应责任。</w:t>
      </w:r>
      <w:r/>
    </w:p>
    <w:p>
      <w:pPr>
        <w:ind w:left="0" w:right="0" w:firstLine="560"/>
        <w:jc w:val="both"/>
        <w:spacing w:before="0" w:after="160" w:line="4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8"/>
        </w:rPr>
        <w:t xml:space="preserve"> </w:t>
      </w:r>
      <w:r/>
    </w:p>
    <w:p>
      <w:pPr>
        <w:ind w:left="0" w:right="0" w:firstLine="56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备注：</w:t>
      </w:r>
      <w:r/>
    </w:p>
    <w:p>
      <w:pPr>
        <w:ind w:left="0" w:right="0" w:firstLine="584"/>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1.专门面向中小微型企业采购的项目，供应商为残疾人福利性单位并提供服务的必须提供此声明函，否则将不能通过资格审查。</w:t>
      </w:r>
      <w:r/>
    </w:p>
    <w:p>
      <w:pPr>
        <w:ind w:left="0" w:right="0" w:firstLine="584"/>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2.非专门面向中小微型企业采购的项目，供应商如不提供此声明函，价格将不做相应扣除。</w:t>
      </w:r>
      <w:r/>
    </w:p>
    <w:p>
      <w:pPr>
        <w:ind w:left="0" w:right="0" w:firstLine="584"/>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3.中标/成交供应商为残疾人福利性单位的，此声明函将随中标/成交结果同时公告，接受社会监督。</w:t>
      </w:r>
      <w:r>
        <w:rPr>
          <w:rFonts w:ascii="Calibri" w:hAnsi="Calibri" w:eastAsia="Calibri" w:cs="Calibri"/>
          <w:color w:val="000000"/>
          <w:spacing w:val="6"/>
          <w:sz w:val="28"/>
        </w:rPr>
        <w:t xml:space="preserve"> </w:t>
      </w:r>
      <w:r/>
    </w:p>
    <w:p>
      <w:pPr>
        <w:ind w:left="0" w:right="0" w:firstLine="584"/>
        <w:jc w:val="center"/>
        <w:spacing w:before="0" w:after="160" w:line="479" w:lineRule="atLeast"/>
        <w:tabs>
          <w:tab w:val="left" w:pos="4860" w:leader="none"/>
        </w:tabs>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8"/>
        </w:rPr>
        <w:t xml:space="preserve">      </w:t>
      </w:r>
      <w:r>
        <w:rPr>
          <w:rFonts w:ascii="FangSong" w:hAnsi="FangSong" w:eastAsia="FangSong" w:cs="FangSong"/>
          <w:color w:val="000000"/>
          <w:sz w:val="28"/>
        </w:rPr>
        <w:t xml:space="preserve"> 供应商全称（加盖CA电子章）：</w:t>
      </w:r>
      <w:r/>
    </w:p>
    <w:p>
      <w:pPr>
        <w:ind w:left="0" w:right="0" w:firstLine="560"/>
        <w:jc w:val="center"/>
        <w:spacing w:before="0" w:after="160" w:line="479" w:lineRule="atLeast"/>
        <w:tabs>
          <w:tab w:val="left" w:pos="4860" w:leader="none"/>
        </w:tabs>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8"/>
        </w:rPr>
        <w:t xml:space="preserve">       </w:t>
      </w:r>
      <w:r>
        <w:rPr>
          <w:rFonts w:ascii="FangSong" w:hAnsi="FangSong" w:eastAsia="FangSong" w:cs="FangSong"/>
          <w:color w:val="000000"/>
          <w:sz w:val="28"/>
        </w:rPr>
        <w:t xml:space="preserve"> 日</w:t>
      </w:r>
      <w:r>
        <w:rPr>
          <w:rFonts w:ascii="Calibri" w:hAnsi="Calibri" w:eastAsia="Calibri" w:cs="Calibri"/>
          <w:color w:val="000000"/>
          <w:sz w:val="28"/>
        </w:rPr>
        <w:t xml:space="preserve"> </w:t>
      </w:r>
      <w:r>
        <w:rPr>
          <w:rFonts w:ascii="FangSong" w:hAnsi="FangSong" w:eastAsia="FangSong" w:cs="FangSong"/>
          <w:color w:val="000000"/>
          <w:sz w:val="28"/>
        </w:rPr>
        <w:t xml:space="preserve"> 期：</w:t>
      </w:r>
      <w:r/>
    </w:p>
    <w:p>
      <w:pPr>
        <w:ind w:left="0" w:right="0" w:firstLine="560"/>
        <w:jc w:val="center"/>
        <w:spacing w:before="0" w:after="160" w:line="479" w:lineRule="atLeast"/>
        <w:tabs>
          <w:tab w:val="left" w:pos="48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center"/>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p>
      <w:pPr>
        <w:ind w:left="0" w:right="0" w:firstLine="0"/>
        <w:jc w:val="center"/>
        <w:spacing w:before="0" w:after="16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pStyle w:val="710"/>
        <w:ind w:left="0" w:right="0" w:firstLine="0"/>
        <w:jc w:val="center"/>
        <w:spacing w:before="260" w:after="260" w:line="761"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附件10实质性要求响应及偏离表</w:t>
      </w:r>
      <w:r/>
    </w:p>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实质性要求响应及偏离表</w:t>
      </w:r>
      <w:r/>
    </w:p>
    <w:tbl>
      <w:tblPr>
        <w:tblStyle w:val="74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80"/>
        <w:gridCol w:w="3455"/>
        <w:gridCol w:w="2510"/>
        <w:gridCol w:w="153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455" w:type="dxa"/>
            <w:vAlign w:val="center"/>
            <w:textDirection w:val="lrTb"/>
            <w:noWrap w:val="false"/>
          </w:tcPr>
          <w:p>
            <w:pPr>
              <w:ind w:left="0" w:right="0" w:firstLine="0"/>
              <w:jc w:val="center"/>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技术要求和商务要求中的实质性要求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10" w:type="dxa"/>
            <w:vAlign w:val="center"/>
            <w:textDirection w:val="lrTb"/>
            <w:noWrap w:val="false"/>
          </w:tcPr>
          <w:p>
            <w:pPr>
              <w:ind w:left="0" w:right="0" w:firstLine="0"/>
              <w:jc w:val="center"/>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38" w:type="dxa"/>
            <w:vAlign w:val="center"/>
            <w:textDirection w:val="lrTb"/>
            <w:noWrap w:val="false"/>
          </w:tcPr>
          <w:p>
            <w:pPr>
              <w:ind w:left="0" w:right="0" w:firstLine="0"/>
              <w:jc w:val="center"/>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响应或正/负偏离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top"/>
            <w:textDirection w:val="lrTb"/>
            <w:noWrap w:val="false"/>
          </w:tcPr>
          <w:p>
            <w:pPr>
              <w:ind w:left="0" w:right="0" w:firstLine="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55" w:type="dxa"/>
            <w:vAlign w:val="top"/>
            <w:textDirection w:val="lrTb"/>
            <w:noWrap w:val="false"/>
          </w:tcPr>
          <w:p>
            <w:pPr>
              <w:ind w:left="0" w:right="0" w:firstLine="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10" w:type="dxa"/>
            <w:vAlign w:val="top"/>
            <w:textDirection w:val="lrTb"/>
            <w:noWrap w:val="false"/>
          </w:tcPr>
          <w:p>
            <w:pPr>
              <w:ind w:left="0" w:right="0" w:firstLine="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8" w:type="dxa"/>
            <w:vAlign w:val="top"/>
            <w:textDirection w:val="lrTb"/>
            <w:noWrap w:val="false"/>
          </w:tcPr>
          <w:p>
            <w:pPr>
              <w:ind w:left="0" w:right="0" w:firstLine="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top"/>
            <w:textDirection w:val="lrTb"/>
            <w:noWrap w:val="false"/>
          </w:tcPr>
          <w:p>
            <w:pPr>
              <w:ind w:left="0" w:right="0" w:firstLine="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55" w:type="dxa"/>
            <w:vAlign w:val="top"/>
            <w:textDirection w:val="lrTb"/>
            <w:noWrap w:val="false"/>
          </w:tcPr>
          <w:p>
            <w:pPr>
              <w:ind w:left="0" w:right="0" w:firstLine="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10" w:type="dxa"/>
            <w:vAlign w:val="top"/>
            <w:textDirection w:val="lrTb"/>
            <w:noWrap w:val="false"/>
          </w:tcPr>
          <w:p>
            <w:pPr>
              <w:ind w:left="0" w:right="0" w:firstLine="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8" w:type="dxa"/>
            <w:vAlign w:val="top"/>
            <w:textDirection w:val="lrTb"/>
            <w:noWrap w:val="false"/>
          </w:tcPr>
          <w:p>
            <w:pPr>
              <w:ind w:left="0" w:right="0" w:firstLine="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top"/>
            <w:textDirection w:val="lrTb"/>
            <w:noWrap w:val="false"/>
          </w:tcPr>
          <w:p>
            <w:pPr>
              <w:ind w:left="0" w:right="0" w:firstLine="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55" w:type="dxa"/>
            <w:vAlign w:val="top"/>
            <w:textDirection w:val="lrTb"/>
            <w:noWrap w:val="false"/>
          </w:tcPr>
          <w:p>
            <w:pPr>
              <w:ind w:left="0" w:right="0" w:firstLine="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10" w:type="dxa"/>
            <w:vAlign w:val="top"/>
            <w:textDirection w:val="lrTb"/>
            <w:noWrap w:val="false"/>
          </w:tcPr>
          <w:p>
            <w:pPr>
              <w:ind w:left="0" w:right="0" w:firstLine="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8" w:type="dxa"/>
            <w:vAlign w:val="top"/>
            <w:textDirection w:val="lrTb"/>
            <w:noWrap w:val="false"/>
          </w:tcPr>
          <w:p>
            <w:pPr>
              <w:ind w:left="0" w:right="0" w:firstLine="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r>
    </w:tbl>
    <w:p>
      <w:pPr>
        <w:ind w:left="0" w:right="0" w:firstLine="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附件证明材料1，证明材料2，……</w:t>
      </w:r>
      <w:r/>
    </w:p>
    <w:p>
      <w:pPr>
        <w:ind w:left="0" w:right="0" w:firstLine="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备注：</w:t>
      </w:r>
      <w:r/>
    </w:p>
    <w:p>
      <w:pPr>
        <w:ind w:left="0" w:right="0" w:firstLine="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1.投标人必须对技术要求和商务要求中的实质性要求逐条做出明确响应，否则作无效投标处理。</w:t>
      </w:r>
      <w:r/>
    </w:p>
    <w:p>
      <w:pPr>
        <w:ind w:left="0" w:right="0" w:firstLine="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2.如果招标文件要求提供证明材料，投标人必须将证明材料列于该表之下。</w:t>
      </w:r>
      <w:r/>
    </w:p>
    <w:p>
      <w:pPr>
        <w:ind w:left="0" w:right="0" w:firstLine="0"/>
        <w:jc w:val="both"/>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3.投标人未对实质性要求逐条作出明确响应的，或未按招标文件要求提供证明材料的，该分包作无效投标处理。</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34"/>
        </w:rPr>
        <w:t xml:space="preserve"> </w:t>
      </w:r>
      <w:r/>
    </w:p>
    <w:p>
      <w:pPr>
        <w:pStyle w:val="710"/>
        <w:ind w:left="0" w:right="0" w:firstLine="0"/>
        <w:jc w:val="center"/>
        <w:spacing w:before="260" w:after="260" w:line="761"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附件11授权委托书（如有）</w:t>
      </w:r>
      <w:r/>
    </w:p>
    <w:p>
      <w:pPr>
        <w:ind w:left="0" w:right="0" w:firstLine="480"/>
        <w:jc w:val="center"/>
        <w:spacing w:before="0" w:after="16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560"/>
        <w:jc w:val="both"/>
        <w:spacing w:before="0" w:after="160" w:line="479" w:lineRule="atLeast"/>
        <w:tabs>
          <w:tab w:val="left" w:pos="3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本授权书声明：____________（投标人名称）授权_____________（授权代表的姓名）为我方就JSZC-320</w:t>
      </w:r>
      <w:r>
        <w:rPr>
          <w:rFonts w:ascii="FangSong" w:hAnsi="FangSong" w:eastAsia="FangSong" w:cs="FangSong"/>
          <w:color w:val="000000"/>
          <w:sz w:val="28"/>
          <w:u w:val="single"/>
        </w:rPr>
        <w:t xml:space="preserve">***</w:t>
      </w:r>
      <w:r>
        <w:rPr>
          <w:rFonts w:ascii="FangSong" w:hAnsi="FangSong" w:eastAsia="FangSong" w:cs="FangSong"/>
          <w:color w:val="000000"/>
          <w:sz w:val="28"/>
        </w:rPr>
        <w:t xml:space="preserve">-SHGK-</w:t>
      </w:r>
      <w:r>
        <w:rPr>
          <w:rFonts w:ascii="FangSong" w:hAnsi="FangSong" w:eastAsia="FangSong" w:cs="FangSong"/>
          <w:color w:val="000000"/>
          <w:sz w:val="28"/>
          <w:u w:val="single"/>
        </w:rPr>
        <w:t xml:space="preserve">*****</w:t>
      </w:r>
      <w:r>
        <w:rPr>
          <w:rFonts w:ascii="FangSong" w:hAnsi="FangSong" w:eastAsia="FangSong" w:cs="FangSong"/>
          <w:color w:val="000000"/>
          <w:sz w:val="28"/>
        </w:rPr>
        <w:t xml:space="preserve">-</w:t>
      </w:r>
      <w:r>
        <w:rPr>
          <w:rFonts w:ascii="FangSong" w:hAnsi="FangSong" w:eastAsia="FangSong" w:cs="FangSong"/>
          <w:color w:val="000000"/>
          <w:sz w:val="28"/>
          <w:u w:val="single"/>
        </w:rPr>
        <w:t xml:space="preserve">****</w:t>
      </w:r>
      <w:r>
        <w:rPr>
          <w:rFonts w:ascii="FangSong" w:hAnsi="FangSong" w:eastAsia="FangSong" w:cs="FangSong"/>
          <w:color w:val="000000"/>
          <w:sz w:val="28"/>
        </w:rPr>
        <w:t xml:space="preserve">号项目采购活动的合法代理人，以本单位名义全权处理一切与该项目采购有关的事务。</w:t>
      </w:r>
      <w:r/>
    </w:p>
    <w:p>
      <w:pPr>
        <w:ind w:left="0" w:right="0" w:firstLine="560"/>
        <w:jc w:val="both"/>
        <w:spacing w:before="0" w:after="160" w:line="479" w:lineRule="atLeast"/>
        <w:tabs>
          <w:tab w:val="left" w:pos="3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本授权书于______年____月____日起生效，特此声明。</w:t>
      </w:r>
      <w:r/>
    </w:p>
    <w:p>
      <w:pPr>
        <w:ind w:left="0" w:right="0" w:firstLine="0"/>
        <w:jc w:val="both"/>
        <w:spacing w:before="0" w:after="160" w:line="479" w:lineRule="atLeast"/>
        <w:tabs>
          <w:tab w:val="left" w:pos="3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0"/>
        <w:jc w:val="both"/>
        <w:spacing w:before="0" w:after="160" w:line="479" w:lineRule="atLeast"/>
        <w:tabs>
          <w:tab w:val="left" w:pos="3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0"/>
        <w:jc w:val="both"/>
        <w:spacing w:before="0" w:after="160" w:line="479" w:lineRule="atLeast"/>
        <w:tabs>
          <w:tab w:val="left" w:pos="3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授权代表姓名：</w:t>
      </w:r>
      <w:r/>
    </w:p>
    <w:p>
      <w:pPr>
        <w:ind w:left="0" w:right="0" w:firstLine="0"/>
        <w:jc w:val="both"/>
        <w:spacing w:before="0" w:after="160" w:line="479" w:lineRule="atLeast"/>
        <w:tabs>
          <w:tab w:val="left" w:pos="3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授权代表身份证号码：</w:t>
      </w:r>
      <w:r/>
    </w:p>
    <w:p>
      <w:pPr>
        <w:ind w:left="0" w:right="0" w:firstLine="0"/>
        <w:jc w:val="both"/>
        <w:spacing w:before="0" w:after="160" w:line="479" w:lineRule="atLeast"/>
        <w:tabs>
          <w:tab w:val="left" w:pos="3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授权代表联系电话：（手机）</w:t>
      </w:r>
      <w:r/>
    </w:p>
    <w:p>
      <w:pPr>
        <w:ind w:left="0" w:right="0" w:firstLine="0"/>
        <w:jc w:val="both"/>
        <w:spacing w:before="0" w:after="160" w:line="479" w:lineRule="atLeast"/>
        <w:tabs>
          <w:tab w:val="left" w:pos="3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投标人名称：</w:t>
      </w:r>
      <w:r>
        <w:rPr>
          <w:rFonts w:ascii="FangSong" w:hAnsi="FangSong" w:eastAsia="FangSong" w:cs="FangSong"/>
          <w:color w:val="000000"/>
          <w:sz w:val="28"/>
          <w:u w:val="single"/>
        </w:rPr>
        <w:t xml:space="preserve">（加盖CA电子公章）</w:t>
      </w:r>
      <w:r/>
    </w:p>
    <w:p>
      <w:pPr>
        <w:ind w:left="0" w:right="0" w:firstLine="0"/>
        <w:jc w:val="both"/>
        <w:spacing w:before="0" w:after="160" w:line="479" w:lineRule="atLeast"/>
        <w:tabs>
          <w:tab w:val="left" w:pos="3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单位地址：</w:t>
      </w:r>
      <w:r/>
    </w:p>
    <w:p>
      <w:pPr>
        <w:ind w:left="0" w:right="0" w:firstLine="0"/>
        <w:jc w:val="both"/>
        <w:spacing w:before="0" w:after="160" w:line="479" w:lineRule="atLeast"/>
        <w:tabs>
          <w:tab w:val="left" w:pos="3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日期：</w:t>
      </w:r>
      <w:r/>
    </w:p>
    <w:p>
      <w:pPr>
        <w:ind w:left="0" w:right="0" w:firstLine="560"/>
        <w:jc w:val="both"/>
        <w:spacing w:before="0" w:after="160" w:line="479" w:lineRule="atLeast"/>
        <w:tabs>
          <w:tab w:val="left" w:pos="3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说明:</w:t>
      </w:r>
      <w:r/>
    </w:p>
    <w:p>
      <w:pPr>
        <w:ind w:left="0" w:right="0" w:firstLine="560"/>
        <w:jc w:val="both"/>
        <w:spacing w:before="0" w:after="160" w:line="479" w:lineRule="atLeast"/>
        <w:tabs>
          <w:tab w:val="left" w:pos="3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(1)本授权委托书之后需附上授权代表身份证复印件。</w:t>
      </w:r>
      <w:r/>
    </w:p>
    <w:p>
      <w:pPr>
        <w:ind w:left="0" w:right="0" w:firstLine="560"/>
        <w:jc w:val="both"/>
        <w:spacing w:before="0" w:after="160" w:line="479" w:lineRule="atLeast"/>
        <w:tabs>
          <w:tab w:val="left" w:pos="3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(2)如果投标人有法定代表人且由其直接参与投标的可以不提供，但必须在营业执照后附法定代表人身份证复印件。</w:t>
      </w:r>
      <w:r/>
    </w:p>
    <w:p>
      <w:pPr>
        <w:ind w:left="0" w:right="0" w:firstLine="560"/>
        <w:jc w:val="both"/>
        <w:spacing w:before="0" w:after="160" w:line="479" w:lineRule="atLeast"/>
        <w:tabs>
          <w:tab w:val="left" w:pos="3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(3)未按上述规定随附身份证复印件的，投标无效。</w:t>
      </w:r>
      <w:r/>
    </w:p>
    <w:p>
      <w:pPr>
        <w:ind w:left="0" w:right="0" w:firstLine="0"/>
        <w:spacing w:before="0" w:after="160" w:line="22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pStyle w:val="710"/>
        <w:ind w:left="0" w:right="0" w:firstLine="0"/>
        <w:jc w:val="center"/>
        <w:spacing w:before="260" w:after="260" w:line="761"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附件12相关业绩案例一览表（如有）</w:t>
      </w:r>
      <w:r/>
    </w:p>
    <w:tbl>
      <w:tblPr>
        <w:tblStyle w:val="74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37"/>
        <w:gridCol w:w="1499"/>
        <w:gridCol w:w="1819"/>
        <w:gridCol w:w="877"/>
        <w:gridCol w:w="877"/>
        <w:gridCol w:w="1919"/>
      </w:tblGrid>
      <w:tr>
        <w:trPr>
          <w:trHeight w:val="730"/>
        </w:trPr>
        <w:tc>
          <w:tcPr>
            <w:tcBorders>
              <w:top w:val="single" w:color="000000" w:sz="12" w:space="0"/>
              <w:left w:val="single" w:color="000000" w:sz="12" w:space="0"/>
              <w:bottom w:val="single" w:color="000000" w:sz="8" w:space="0"/>
              <w:right w:val="single" w:color="000000" w:sz="8" w:space="0"/>
            </w:tcBorders>
            <w:tcMar>
              <w:left w:w="108" w:type="dxa"/>
              <w:top w:w="0" w:type="dxa"/>
              <w:right w:w="108" w:type="dxa"/>
              <w:bottom w:w="0" w:type="dxa"/>
            </w:tcMar>
            <w:tcW w:w="637" w:type="dxa"/>
            <w:vAlign w:val="center"/>
            <w:textDirection w:val="lrTb"/>
            <w:noWrap w:val="false"/>
          </w:tcPr>
          <w:p>
            <w:pPr>
              <w:ind w:left="0" w:right="0" w:firstLine="0"/>
              <w:jc w:val="center"/>
              <w:spacing w:before="240" w:after="24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序号</w:t>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1499" w:type="dxa"/>
            <w:vAlign w:val="center"/>
            <w:textDirection w:val="lrTb"/>
            <w:noWrap w:val="false"/>
          </w:tcPr>
          <w:p>
            <w:pPr>
              <w:ind w:left="0" w:right="0" w:firstLine="0"/>
              <w:jc w:val="center"/>
              <w:spacing w:before="240" w:after="24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项目名称</w:t>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1819" w:type="dxa"/>
            <w:vAlign w:val="center"/>
            <w:textDirection w:val="lrTb"/>
            <w:noWrap w:val="false"/>
          </w:tcPr>
          <w:p>
            <w:pPr>
              <w:ind w:left="0" w:right="0" w:firstLine="0"/>
              <w:jc w:val="center"/>
              <w:spacing w:before="240" w:after="24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供货设备清单</w:t>
            </w:r>
            <w:r/>
          </w:p>
          <w:p>
            <w:pPr>
              <w:ind w:left="0" w:right="0" w:firstLine="0"/>
              <w:jc w:val="center"/>
              <w:spacing w:before="240" w:after="24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（品牌、型号）</w:t>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877" w:type="dxa"/>
            <w:vAlign w:val="center"/>
            <w:textDirection w:val="lrTb"/>
            <w:noWrap w:val="false"/>
          </w:tcPr>
          <w:p>
            <w:pPr>
              <w:ind w:left="0" w:right="0" w:firstLine="0"/>
              <w:jc w:val="center"/>
              <w:spacing w:before="240" w:after="24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数量</w:t>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877" w:type="dxa"/>
            <w:vAlign w:val="center"/>
            <w:textDirection w:val="lrTb"/>
            <w:noWrap w:val="false"/>
          </w:tcPr>
          <w:p>
            <w:pPr>
              <w:ind w:left="0" w:right="0" w:firstLine="0"/>
              <w:jc w:val="center"/>
              <w:spacing w:before="240" w:after="24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签订时间</w:t>
            </w:r>
            <w:r/>
          </w:p>
        </w:tc>
        <w:tc>
          <w:tcPr>
            <w:tcBorders>
              <w:top w:val="single" w:color="000000" w:sz="12" w:space="0"/>
              <w:left w:val="none" w:color="000000" w:sz="4" w:space="0"/>
              <w:bottom w:val="single" w:color="000000" w:sz="8" w:space="0"/>
              <w:right w:val="single" w:color="000000" w:sz="12" w:space="0"/>
            </w:tcBorders>
            <w:tcMar>
              <w:left w:w="108" w:type="dxa"/>
              <w:top w:w="0" w:type="dxa"/>
              <w:right w:w="108" w:type="dxa"/>
              <w:bottom w:w="0" w:type="dxa"/>
            </w:tcMar>
            <w:tcW w:w="1919" w:type="dxa"/>
            <w:vAlign w:val="center"/>
            <w:textDirection w:val="lrTb"/>
            <w:noWrap w:val="false"/>
          </w:tcPr>
          <w:p>
            <w:pPr>
              <w:ind w:left="0" w:right="0" w:firstLine="0"/>
              <w:jc w:val="center"/>
              <w:spacing w:before="240" w:after="24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业主名称</w:t>
            </w:r>
            <w:r/>
          </w:p>
          <w:p>
            <w:pPr>
              <w:ind w:left="0" w:right="0" w:firstLine="0"/>
              <w:jc w:val="center"/>
              <w:spacing w:before="240" w:after="24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联系人/电话</w:t>
            </w:r>
            <w:r/>
          </w:p>
        </w:tc>
      </w:tr>
      <w:tr>
        <w:trPr>
          <w:trHeight w:val="642"/>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637" w:type="dxa"/>
            <w:vAlign w:val="center"/>
            <w:textDirection w:val="lrTb"/>
            <w:noWrap w:val="false"/>
          </w:tcPr>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9" w:type="dxa"/>
            <w:vAlign w:val="center"/>
            <w:textDirection w:val="lrTb"/>
            <w:noWrap w:val="false"/>
          </w:tcPr>
          <w:p>
            <w:pPr>
              <w:ind w:left="0" w:right="0" w:firstLine="480"/>
              <w:jc w:val="center"/>
              <w:spacing w:before="240" w:after="24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9" w:type="dxa"/>
            <w:vAlign w:val="center"/>
            <w:textDirection w:val="lrTb"/>
            <w:noWrap w:val="false"/>
          </w:tcPr>
          <w:p>
            <w:pPr>
              <w:ind w:left="0" w:right="0" w:firstLine="482"/>
              <w:jc w:val="center"/>
              <w:spacing w:before="240" w:after="24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7" w:type="dxa"/>
            <w:vAlign w:val="center"/>
            <w:textDirection w:val="lrTb"/>
            <w:noWrap w:val="false"/>
          </w:tcPr>
          <w:p>
            <w:pPr>
              <w:ind w:left="0" w:right="0" w:firstLine="482"/>
              <w:jc w:val="center"/>
              <w:spacing w:before="240" w:after="24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7" w:type="dxa"/>
            <w:vAlign w:val="center"/>
            <w:textDirection w:val="lrTb"/>
            <w:noWrap w:val="false"/>
          </w:tcPr>
          <w:p>
            <w:pPr>
              <w:ind w:left="0" w:right="0" w:firstLine="482"/>
              <w:jc w:val="center"/>
              <w:spacing w:before="240" w:after="24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919" w:type="dxa"/>
            <w:vAlign w:val="center"/>
            <w:textDirection w:val="lrTb"/>
            <w:noWrap w:val="false"/>
          </w:tcPr>
          <w:p>
            <w:pPr>
              <w:ind w:left="0" w:right="0" w:firstLine="482"/>
              <w:jc w:val="center"/>
              <w:spacing w:before="240" w:after="24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 </w:t>
            </w:r>
            <w:r/>
          </w:p>
        </w:tc>
      </w:tr>
      <w:tr>
        <w:trPr>
          <w:trHeight w:val="642"/>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637" w:type="dxa"/>
            <w:vAlign w:val="center"/>
            <w:textDirection w:val="lrTb"/>
            <w:noWrap w:val="false"/>
          </w:tcPr>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9" w:type="dxa"/>
            <w:vAlign w:val="center"/>
            <w:textDirection w:val="lrTb"/>
            <w:noWrap w:val="false"/>
          </w:tcPr>
          <w:p>
            <w:pPr>
              <w:ind w:left="0" w:right="0" w:firstLine="480"/>
              <w:jc w:val="center"/>
              <w:spacing w:before="240" w:after="24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9" w:type="dxa"/>
            <w:vAlign w:val="center"/>
            <w:textDirection w:val="lrTb"/>
            <w:noWrap w:val="false"/>
          </w:tcPr>
          <w:p>
            <w:pPr>
              <w:ind w:left="0" w:right="0" w:firstLine="482"/>
              <w:jc w:val="center"/>
              <w:spacing w:before="240" w:after="24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7" w:type="dxa"/>
            <w:vAlign w:val="center"/>
            <w:textDirection w:val="lrTb"/>
            <w:noWrap w:val="false"/>
          </w:tcPr>
          <w:p>
            <w:pPr>
              <w:ind w:left="0" w:right="0" w:firstLine="482"/>
              <w:jc w:val="center"/>
              <w:spacing w:before="240" w:after="24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7" w:type="dxa"/>
            <w:vAlign w:val="center"/>
            <w:textDirection w:val="lrTb"/>
            <w:noWrap w:val="false"/>
          </w:tcPr>
          <w:p>
            <w:pPr>
              <w:ind w:left="0" w:right="0" w:firstLine="482"/>
              <w:jc w:val="center"/>
              <w:spacing w:before="240" w:after="24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919" w:type="dxa"/>
            <w:vAlign w:val="center"/>
            <w:textDirection w:val="lrTb"/>
            <w:noWrap w:val="false"/>
          </w:tcPr>
          <w:p>
            <w:pPr>
              <w:ind w:left="0" w:right="0" w:firstLine="482"/>
              <w:jc w:val="center"/>
              <w:spacing w:before="240" w:after="24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 </w:t>
            </w:r>
            <w:r/>
          </w:p>
        </w:tc>
      </w:tr>
      <w:tr>
        <w:trPr>
          <w:trHeight w:val="642"/>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637" w:type="dxa"/>
            <w:vAlign w:val="center"/>
            <w:textDirection w:val="lrTb"/>
            <w:noWrap w:val="false"/>
          </w:tcPr>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9" w:type="dxa"/>
            <w:vAlign w:val="center"/>
            <w:textDirection w:val="lrTb"/>
            <w:noWrap w:val="false"/>
          </w:tcPr>
          <w:p>
            <w:pPr>
              <w:ind w:left="0" w:right="0" w:firstLine="480"/>
              <w:jc w:val="center"/>
              <w:spacing w:before="240" w:after="24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9" w:type="dxa"/>
            <w:vAlign w:val="center"/>
            <w:textDirection w:val="lrTb"/>
            <w:noWrap w:val="false"/>
          </w:tcPr>
          <w:p>
            <w:pPr>
              <w:ind w:left="0" w:right="0" w:firstLine="482"/>
              <w:jc w:val="center"/>
              <w:spacing w:before="240" w:after="24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7" w:type="dxa"/>
            <w:vAlign w:val="center"/>
            <w:textDirection w:val="lrTb"/>
            <w:noWrap w:val="false"/>
          </w:tcPr>
          <w:p>
            <w:pPr>
              <w:ind w:left="0" w:right="0" w:firstLine="482"/>
              <w:jc w:val="center"/>
              <w:spacing w:before="240" w:after="24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7" w:type="dxa"/>
            <w:vAlign w:val="center"/>
            <w:textDirection w:val="lrTb"/>
            <w:noWrap w:val="false"/>
          </w:tcPr>
          <w:p>
            <w:pPr>
              <w:ind w:left="0" w:right="0" w:firstLine="482"/>
              <w:jc w:val="center"/>
              <w:spacing w:before="240" w:after="24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919" w:type="dxa"/>
            <w:vAlign w:val="center"/>
            <w:textDirection w:val="lrTb"/>
            <w:noWrap w:val="false"/>
          </w:tcPr>
          <w:p>
            <w:pPr>
              <w:ind w:left="0" w:right="0" w:firstLine="482"/>
              <w:jc w:val="center"/>
              <w:spacing w:before="240" w:after="24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 </w:t>
            </w:r>
            <w:r/>
          </w:p>
        </w:tc>
      </w:tr>
      <w:tr>
        <w:trPr>
          <w:trHeight w:val="642"/>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637" w:type="dxa"/>
            <w:vAlign w:val="center"/>
            <w:textDirection w:val="lrTb"/>
            <w:noWrap w:val="false"/>
          </w:tcPr>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9" w:type="dxa"/>
            <w:vAlign w:val="center"/>
            <w:textDirection w:val="lrTb"/>
            <w:noWrap w:val="false"/>
          </w:tcPr>
          <w:p>
            <w:pPr>
              <w:ind w:left="0" w:right="0" w:firstLine="480"/>
              <w:jc w:val="center"/>
              <w:spacing w:before="240" w:after="24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9" w:type="dxa"/>
            <w:vAlign w:val="center"/>
            <w:textDirection w:val="lrTb"/>
            <w:noWrap w:val="false"/>
          </w:tcPr>
          <w:p>
            <w:pPr>
              <w:ind w:left="0" w:right="0" w:firstLine="482"/>
              <w:jc w:val="center"/>
              <w:spacing w:before="240" w:after="24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7" w:type="dxa"/>
            <w:vAlign w:val="center"/>
            <w:textDirection w:val="lrTb"/>
            <w:noWrap w:val="false"/>
          </w:tcPr>
          <w:p>
            <w:pPr>
              <w:ind w:left="0" w:right="0" w:firstLine="482"/>
              <w:jc w:val="center"/>
              <w:spacing w:before="240" w:after="24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7" w:type="dxa"/>
            <w:vAlign w:val="center"/>
            <w:textDirection w:val="lrTb"/>
            <w:noWrap w:val="false"/>
          </w:tcPr>
          <w:p>
            <w:pPr>
              <w:ind w:left="0" w:right="0" w:firstLine="482"/>
              <w:jc w:val="center"/>
              <w:spacing w:before="240" w:after="24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919" w:type="dxa"/>
            <w:vAlign w:val="center"/>
            <w:textDirection w:val="lrTb"/>
            <w:noWrap w:val="false"/>
          </w:tcPr>
          <w:p>
            <w:pPr>
              <w:ind w:left="0" w:right="0" w:firstLine="482"/>
              <w:jc w:val="center"/>
              <w:spacing w:before="240" w:after="24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 </w:t>
            </w:r>
            <w:r/>
          </w:p>
        </w:tc>
      </w:tr>
      <w:tr>
        <w:trPr>
          <w:trHeight w:val="642"/>
        </w:trPr>
        <w:tc>
          <w:tcPr>
            <w:tcBorders>
              <w:top w:val="none" w:color="000000" w:sz="4" w:space="0"/>
              <w:left w:val="single" w:color="000000" w:sz="12" w:space="0"/>
              <w:bottom w:val="single" w:color="000000" w:sz="12" w:space="0"/>
              <w:right w:val="single" w:color="000000" w:sz="8" w:space="0"/>
            </w:tcBorders>
            <w:tcMar>
              <w:left w:w="108" w:type="dxa"/>
              <w:top w:w="0" w:type="dxa"/>
              <w:right w:w="108" w:type="dxa"/>
              <w:bottom w:w="0" w:type="dxa"/>
            </w:tcMar>
            <w:tcW w:w="637" w:type="dxa"/>
            <w:vAlign w:val="center"/>
            <w:textDirection w:val="lrTb"/>
            <w:noWrap w:val="false"/>
          </w:tcPr>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w:t>
            </w:r>
            <w:r/>
          </w:p>
        </w:tc>
        <w:tc>
          <w:tcPr>
            <w:tcBorders>
              <w:top w:val="none" w:color="000000" w:sz="4" w:space="0"/>
              <w:left w:val="none" w:color="000000" w:sz="4" w:space="0"/>
              <w:bottom w:val="single" w:color="000000" w:sz="12" w:space="0"/>
              <w:right w:val="single" w:color="000000" w:sz="8" w:space="0"/>
            </w:tcBorders>
            <w:tcMar>
              <w:left w:w="108" w:type="dxa"/>
              <w:top w:w="0" w:type="dxa"/>
              <w:right w:w="108" w:type="dxa"/>
              <w:bottom w:w="0" w:type="dxa"/>
            </w:tcMar>
            <w:tcW w:w="1499" w:type="dxa"/>
            <w:vAlign w:val="center"/>
            <w:textDirection w:val="lrTb"/>
            <w:noWrap w:val="false"/>
          </w:tcPr>
          <w:p>
            <w:pPr>
              <w:ind w:left="0" w:right="0" w:firstLine="480"/>
              <w:jc w:val="center"/>
              <w:spacing w:before="240" w:after="24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8"/>
              </w:rPr>
              <w:t xml:space="preserve"> </w:t>
            </w:r>
            <w:r/>
          </w:p>
        </w:tc>
        <w:tc>
          <w:tcPr>
            <w:tcBorders>
              <w:top w:val="none" w:color="000000" w:sz="4" w:space="0"/>
              <w:left w:val="none" w:color="000000" w:sz="4" w:space="0"/>
              <w:bottom w:val="single" w:color="000000" w:sz="12" w:space="0"/>
              <w:right w:val="single" w:color="000000" w:sz="8" w:space="0"/>
            </w:tcBorders>
            <w:tcMar>
              <w:left w:w="108" w:type="dxa"/>
              <w:top w:w="0" w:type="dxa"/>
              <w:right w:w="108" w:type="dxa"/>
              <w:bottom w:w="0" w:type="dxa"/>
            </w:tcMar>
            <w:tcW w:w="1819" w:type="dxa"/>
            <w:vAlign w:val="center"/>
            <w:textDirection w:val="lrTb"/>
            <w:noWrap w:val="false"/>
          </w:tcPr>
          <w:p>
            <w:pPr>
              <w:ind w:left="0" w:right="0" w:firstLine="482"/>
              <w:jc w:val="center"/>
              <w:spacing w:before="240" w:after="24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 </w:t>
            </w:r>
            <w:r/>
          </w:p>
        </w:tc>
        <w:tc>
          <w:tcPr>
            <w:tcBorders>
              <w:top w:val="none" w:color="000000" w:sz="4" w:space="0"/>
              <w:left w:val="none" w:color="000000" w:sz="4" w:space="0"/>
              <w:bottom w:val="single" w:color="000000" w:sz="12" w:space="0"/>
              <w:right w:val="single" w:color="000000" w:sz="8" w:space="0"/>
            </w:tcBorders>
            <w:tcMar>
              <w:left w:w="108" w:type="dxa"/>
              <w:top w:w="0" w:type="dxa"/>
              <w:right w:w="108" w:type="dxa"/>
              <w:bottom w:w="0" w:type="dxa"/>
            </w:tcMar>
            <w:tcW w:w="877" w:type="dxa"/>
            <w:vAlign w:val="center"/>
            <w:textDirection w:val="lrTb"/>
            <w:noWrap w:val="false"/>
          </w:tcPr>
          <w:p>
            <w:pPr>
              <w:ind w:left="0" w:right="0" w:firstLine="482"/>
              <w:jc w:val="center"/>
              <w:spacing w:before="240" w:after="24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 </w:t>
            </w:r>
            <w:r/>
          </w:p>
        </w:tc>
        <w:tc>
          <w:tcPr>
            <w:tcBorders>
              <w:top w:val="none" w:color="000000" w:sz="4" w:space="0"/>
              <w:left w:val="none" w:color="000000" w:sz="4" w:space="0"/>
              <w:bottom w:val="single" w:color="000000" w:sz="12" w:space="0"/>
              <w:right w:val="single" w:color="000000" w:sz="8" w:space="0"/>
            </w:tcBorders>
            <w:tcMar>
              <w:left w:w="108" w:type="dxa"/>
              <w:top w:w="0" w:type="dxa"/>
              <w:right w:w="108" w:type="dxa"/>
              <w:bottom w:w="0" w:type="dxa"/>
            </w:tcMar>
            <w:tcW w:w="877" w:type="dxa"/>
            <w:vAlign w:val="center"/>
            <w:textDirection w:val="lrTb"/>
            <w:noWrap w:val="false"/>
          </w:tcPr>
          <w:p>
            <w:pPr>
              <w:ind w:left="0" w:right="0" w:firstLine="482"/>
              <w:jc w:val="center"/>
              <w:spacing w:before="240" w:after="24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 </w:t>
            </w:r>
            <w:r/>
          </w:p>
        </w:tc>
        <w:tc>
          <w:tcPr>
            <w:tcBorders>
              <w:top w:val="none" w:color="000000" w:sz="4" w:space="0"/>
              <w:left w:val="none" w:color="000000" w:sz="4" w:space="0"/>
              <w:bottom w:val="single" w:color="000000" w:sz="12" w:space="0"/>
              <w:right w:val="single" w:color="000000" w:sz="12" w:space="0"/>
            </w:tcBorders>
            <w:tcMar>
              <w:left w:w="108" w:type="dxa"/>
              <w:top w:w="0" w:type="dxa"/>
              <w:right w:w="108" w:type="dxa"/>
              <w:bottom w:w="0" w:type="dxa"/>
            </w:tcMar>
            <w:tcW w:w="1919" w:type="dxa"/>
            <w:vAlign w:val="center"/>
            <w:textDirection w:val="lrTb"/>
            <w:noWrap w:val="false"/>
          </w:tcPr>
          <w:p>
            <w:pPr>
              <w:ind w:left="0" w:right="0" w:firstLine="482"/>
              <w:jc w:val="center"/>
              <w:spacing w:before="240" w:after="24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 </w:t>
            </w:r>
            <w:r/>
          </w:p>
        </w:tc>
      </w:tr>
    </w:tbl>
    <w:p>
      <w:pPr>
        <w:ind w:left="0" w:right="0" w:firstLine="0"/>
        <w:jc w:val="both"/>
        <w:spacing w:before="0" w:after="160" w:line="22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28"/>
        </w:rPr>
        <w:t xml:space="preserve">说明：</w:t>
      </w:r>
      <w:r/>
    </w:p>
    <w:p>
      <w:pPr>
        <w:ind w:left="0" w:right="0" w:firstLine="0"/>
        <w:jc w:val="both"/>
        <w:spacing w:before="0" w:after="160" w:line="22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28"/>
        </w:rPr>
        <w:t xml:space="preserve">1.投标人须提供上述业绩合同复印件；</w:t>
      </w:r>
      <w:r/>
    </w:p>
    <w:p>
      <w:pPr>
        <w:ind w:left="0" w:right="0" w:firstLine="0"/>
        <w:jc w:val="both"/>
        <w:spacing w:before="0" w:after="160" w:line="22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28"/>
        </w:rPr>
        <w:t xml:space="preserve">2.所有合同复印件应清晰，应能体现合同签订时间、双方签名盖章等内容；</w:t>
      </w:r>
      <w:r/>
    </w:p>
    <w:p>
      <w:pPr>
        <w:ind w:left="0" w:right="0" w:firstLine="0"/>
        <w:jc w:val="both"/>
        <w:spacing w:before="0" w:after="160" w:line="22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28"/>
        </w:rPr>
        <w:t xml:space="preserve">3.投标人应在不涉及商业秘密的前提下尽可能提供详细的合同复印件内容。</w:t>
      </w:r>
      <w:r/>
    </w:p>
    <w:p>
      <w:r/>
      <w:r/>
    </w:p>
    <w:sectPr>
      <w:headerReference w:type="default" r:id="rId9"/>
      <w:footerReference w:type="default" r:id="rId10"/>
      <w:footnotePr/>
      <w:endnotePr/>
      <w:type w:val="nextPage"/>
      <w:pgSz w:w="11906" w:h="16838" w:orient="portrait"/>
      <w:pgMar w:top="1134" w:right="1418" w:bottom="1134" w:left="1418"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YouYuan">
    <w:panose1 w:val="02010509060101010101"/>
  </w:font>
  <w:font w:name="SimHei">
    <w:panose1 w:val="02010609060101010101"/>
  </w:font>
  <w:font w:name="FangSong">
    <w:panose1 w:val="02010609060101010101"/>
  </w:font>
  <w:font w:name="KaiTi">
    <w:panose1 w:val="02010609060101010101"/>
  </w:font>
  <w:font w:name="Symbol">
    <w:panose1 w:val="05050102010706020507"/>
  </w:font>
  <w:font w:name="Wingdings">
    <w:panose1 w:val="05000000000000000000"/>
  </w:font>
  <w:font w:name="Courier New">
    <w:panose1 w:val="02070309020205020404"/>
  </w:font>
  <w:font w:name="Calibri">
    <w:panose1 w:val="020F0502020204030204"/>
  </w:font>
  <w:font w:name="SimSun">
    <w:panose1 w:val="02010600030101010101"/>
  </w:font>
  <w:font w:name="宋体">
    <w:panose1 w:val="02010600030101010101"/>
  </w:font>
  <w:font w:name="Cambria">
    <w:panose1 w:val="02040503050406030204"/>
  </w:font>
  <w:font w:name="黑体">
    <w:panose1 w:val="02010609060101010101"/>
  </w:font>
  <w:font w:name="楷体_GB2312">
    <w:panose1 w:val="02010609060101010101"/>
  </w:font>
  <w:font w:name="Arial">
    <w:panose1 w:val="020B0604020202020204"/>
  </w:font>
  <w:font w:name="Microsoft YaHei">
    <w:panose1 w:val="020B0503020204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134081143"/>
      <w:rPr/>
    </w:sdtPr>
    <w:sdtContent>
      <w:p>
        <w:pPr>
          <w:pStyle w:val="731"/>
          <w:jc w:val="center"/>
        </w:pPr>
        <w:r>
          <w:fldChar w:fldCharType="begin"/>
        </w:r>
        <w:r>
          <w:instrText xml:space="preserve">PAGE   \* MERGEFORMAT</w:instrText>
        </w:r>
        <w:r>
          <w:fldChar w:fldCharType="separate"/>
        </w:r>
        <w:r>
          <w:rPr>
            <w:lang w:val="zh-CN"/>
          </w:rPr>
          <w:t xml:space="preserve">3</w:t>
        </w:r>
        <w:r>
          <w:rPr>
            <w:lang w:val="zh-CN"/>
          </w:rPr>
          <w:fldChar w:fldCharType="end"/>
        </w:r>
        <w:r/>
      </w:p>
    </w:sdtContent>
  </w:sdt>
  <w:p>
    <w:pPr>
      <w:pStyle w:val="73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pPr>
      <w:r>
        <w:separator/>
      </w:r>
      <w:r/>
    </w:p>
  </w:footnote>
  <w:footnote w:type="continuationSeparator" w:id="0">
    <w:p>
      <w:pPr>
        <w:spacing w:after="0"/>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2"/>
      <w:jc w:val="right"/>
      <w:tabs>
        <w:tab w:val="center" w:pos="4153" w:leader="none"/>
        <w:tab w:val="clear" w:pos="7143" w:leader="none"/>
        <w:tab w:val="right" w:pos="8306" w:leader="none"/>
        <w:tab w:val="clear" w:pos="14287" w:leader="none"/>
      </w:tabs>
      <w:rPr>
        <w:rFonts w:ascii="宋体" w:hAnsi="宋体" w:eastAsia="宋体" w:cs="宋体"/>
        <w:bCs/>
      </w:rPr>
      <w:pBdr>
        <w:bottom w:val="single" w:color="auto" w:sz="4" w:space="0"/>
      </w:pBdr>
    </w:pPr>
    <w:r>
      <w:rPr>
        <w:rFonts w:hint="eastAsia" w:ascii="宋体" w:hAnsi="宋体" w:cs="宋体"/>
        <w:bCs/>
      </w:rPr>
      <w:t xml:space="preserve">江苏苏豪创新科技集团高科有限公司</w:t>
    </w:r>
    <w:r/>
  </w:p>
  <w:p>
    <w:pPr>
      <w:pStyle w:val="732"/>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rPr>
        <w:b/>
        <w:bC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第%1章"/>
      <w:lvlJc w:val="left"/>
      <w:pPr>
        <w:ind w:left="1840" w:hanging="1440"/>
      </w:pPr>
      <w:rPr>
        <w:rFonts w:hint="default"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tab"/>
      <w:lvlText w:val="(%1)"/>
      <w:lvlJc w:val="left"/>
      <w:pPr>
        <w:ind w:left="440" w:hanging="440"/>
      </w:pPr>
    </w:lvl>
    <w:lvl w:ilvl="1">
      <w:start w:val="1"/>
      <w:numFmt w:val="decimal"/>
      <w:isLgl w:val="false"/>
      <w:suff w:val="tab"/>
      <w:lvlText w:val="（%2）"/>
      <w:lvlJc w:val="left"/>
      <w:pPr>
        <w:ind w:left="1160" w:hanging="720"/>
      </w:pPr>
      <w:rPr>
        <w:rFonts w:hint="default" w:cs="Arial"/>
      </w:r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4">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567" w:hanging="567"/>
      </w:pPr>
    </w:lvl>
    <w:lvl w:ilvl="2">
      <w:start w:val="1"/>
      <w:numFmt w:val="decimal"/>
      <w:isLgl w:val="false"/>
      <w:suff w:val="tab"/>
      <w:lvlText w:val="%1.%2.%3."/>
      <w:lvlJc w:val="left"/>
      <w:pPr>
        <w:ind w:left="709" w:hanging="709"/>
      </w:pPr>
    </w:lvl>
    <w:lvl w:ilvl="3">
      <w:start w:val="1"/>
      <w:numFmt w:val="decimal"/>
      <w:isLgl w:val="false"/>
      <w:suff w:val="tab"/>
      <w:lvlText w:val="%1.%2.%3.%4."/>
      <w:lvlJc w:val="left"/>
      <w:pPr>
        <w:ind w:left="851" w:hanging="851"/>
      </w:pPr>
    </w:lvl>
    <w:lvl w:ilvl="4">
      <w:start w:val="1"/>
      <w:numFmt w:val="decimal"/>
      <w:isLgl w:val="false"/>
      <w:suff w:val="tab"/>
      <w:lvlText w:val="%1.%2.%3.%4.%5."/>
      <w:lvlJc w:val="left"/>
      <w:pPr>
        <w:ind w:left="992" w:hanging="992"/>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6" w:hanging="1276"/>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9" w:hanging="1559"/>
      </w:pPr>
    </w:lvl>
  </w:abstractNum>
  <w:abstractNum w:abstractNumId="5">
    <w:multiLevelType w:val="hybridMultilevel"/>
    <w:lvl w:ilvl="0">
      <w:start w:val="1"/>
      <w:numFmt w:val="decimal"/>
      <w:isLgl w:val="false"/>
      <w:suff w:val="tab"/>
      <w:lvlText w:val="第%1章"/>
      <w:lvlJc w:val="left"/>
      <w:pPr>
        <w:ind w:left="1840" w:hanging="1440"/>
      </w:pPr>
      <w:rPr>
        <w:rFonts w:ascii="SimSun" w:hAnsi="SimSun" w:eastAsia="SimSun" w:cs="SimSu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第%1章"/>
      <w:lvlJc w:val="left"/>
      <w:pPr>
        <w:ind w:left="1840" w:hanging="1440"/>
      </w:pPr>
      <w:rPr>
        <w:rFonts w:ascii="SimSun" w:hAnsi="SimSun" w:eastAsia="SimSun" w:cs="SimSu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3"/>
  </w:num>
  <w:num w:numId="3">
    <w:abstractNumId w:val="4"/>
  </w:num>
  <w:num w:numId="4">
    <w:abstractNumId w:val="0"/>
  </w:num>
  <w:num w:numId="5">
    <w:abstractNumId w:val="2"/>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cs="Times New Roman" w:eastAsiaTheme="minorEastAsi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688">
    <w:name w:val="Plain Table 1"/>
    <w:basedOn w:val="71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9">
    <w:name w:val="Plain Table 2"/>
    <w:basedOn w:val="71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0">
    <w:name w:val="Plain Table 3"/>
    <w:basedOn w:val="7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1">
    <w:name w:val="Plain Table 4"/>
    <w:basedOn w:val="7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2">
    <w:name w:val="Plain Table 5"/>
    <w:basedOn w:val="7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3">
    <w:name w:val="Grid Table 1 Light"/>
    <w:basedOn w:val="71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4">
    <w:name w:val="Grid Table 2"/>
    <w:basedOn w:val="71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5">
    <w:name w:val="Grid Table 3"/>
    <w:basedOn w:val="71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6">
    <w:name w:val="Grid Table 4"/>
    <w:basedOn w:val="71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7">
    <w:name w:val="Grid Table 5 Dark"/>
    <w:basedOn w:val="7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698">
    <w:name w:val="Grid Table 6 Colorful"/>
    <w:basedOn w:val="71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699">
    <w:name w:val="Grid Table 7 Colorful"/>
    <w:basedOn w:val="71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00">
    <w:name w:val="List Table 1 Light"/>
    <w:basedOn w:val="71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01">
    <w:name w:val="List Table 2"/>
    <w:basedOn w:val="71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02">
    <w:name w:val="List Table 3"/>
    <w:basedOn w:val="71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3">
    <w:name w:val="List Table 4"/>
    <w:basedOn w:val="71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4">
    <w:name w:val="List Table 5 Dark"/>
    <w:basedOn w:val="71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05">
    <w:name w:val="List Table 6 Colorful"/>
    <w:basedOn w:val="71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06">
    <w:name w:val="List Table 7 Colorful"/>
    <w:basedOn w:val="71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07">
    <w:name w:val="TOC Heading"/>
    <w:uiPriority w:val="39"/>
    <w:unhideWhenUsed/>
  </w:style>
  <w:style w:type="paragraph" w:styleId="708" w:default="1">
    <w:name w:val="Normal"/>
    <w:next w:val="721"/>
    <w:qFormat/>
    <w:pPr>
      <w:spacing w:after="160" w:line="278" w:lineRule="auto"/>
    </w:pPr>
  </w:style>
  <w:style w:type="paragraph" w:styleId="709">
    <w:name w:val="Heading 1"/>
    <w:basedOn w:val="708"/>
    <w:next w:val="708"/>
    <w:link w:val="786"/>
    <w:uiPriority w:val="9"/>
    <w:qFormat/>
    <w:pPr>
      <w:keepLines/>
      <w:keepNext/>
      <w:spacing w:before="480" w:after="200"/>
      <w:outlineLvl w:val="0"/>
    </w:pPr>
    <w:rPr>
      <w:rFonts w:ascii="Arial" w:hAnsi="Arial" w:eastAsia="Arial" w:cs="Arial"/>
      <w:sz w:val="40"/>
      <w:szCs w:val="40"/>
    </w:rPr>
  </w:style>
  <w:style w:type="paragraph" w:styleId="710">
    <w:name w:val="Heading 2"/>
    <w:next w:val="708"/>
    <w:link w:val="787"/>
    <w:unhideWhenUsed/>
    <w:qFormat/>
    <w:pPr>
      <w:keepLines/>
      <w:keepNext/>
      <w:spacing w:before="360" w:after="200" w:line="278" w:lineRule="auto"/>
      <w:outlineLvl w:val="1"/>
    </w:pPr>
    <w:rPr>
      <w:rFonts w:ascii="Arial" w:hAnsi="Arial" w:eastAsia="Arial" w:cs="Arial"/>
      <w:sz w:val="34"/>
    </w:rPr>
  </w:style>
  <w:style w:type="paragraph" w:styleId="711">
    <w:name w:val="Heading 3"/>
    <w:next w:val="708"/>
    <w:link w:val="788"/>
    <w:uiPriority w:val="9"/>
    <w:unhideWhenUsed/>
    <w:qFormat/>
    <w:pPr>
      <w:keepLines/>
      <w:keepNext/>
      <w:spacing w:before="320" w:after="200" w:line="278" w:lineRule="auto"/>
      <w:outlineLvl w:val="2"/>
    </w:pPr>
    <w:rPr>
      <w:rFonts w:ascii="Arial" w:hAnsi="Arial" w:eastAsia="Arial" w:cs="Arial"/>
      <w:sz w:val="30"/>
      <w:szCs w:val="30"/>
    </w:rPr>
  </w:style>
  <w:style w:type="paragraph" w:styleId="712">
    <w:name w:val="Heading 4"/>
    <w:next w:val="708"/>
    <w:link w:val="789"/>
    <w:uiPriority w:val="9"/>
    <w:unhideWhenUsed/>
    <w:qFormat/>
    <w:pPr>
      <w:keepLines/>
      <w:keepNext/>
      <w:spacing w:before="320" w:after="200" w:line="278" w:lineRule="auto"/>
      <w:outlineLvl w:val="3"/>
    </w:pPr>
    <w:rPr>
      <w:rFonts w:ascii="Arial" w:hAnsi="Arial" w:eastAsia="Arial" w:cs="Arial"/>
      <w:b/>
      <w:bCs/>
      <w:sz w:val="26"/>
      <w:szCs w:val="26"/>
    </w:rPr>
  </w:style>
  <w:style w:type="paragraph" w:styleId="713">
    <w:name w:val="Heading 5"/>
    <w:next w:val="708"/>
    <w:link w:val="790"/>
    <w:uiPriority w:val="9"/>
    <w:unhideWhenUsed/>
    <w:qFormat/>
    <w:pPr>
      <w:keepLines/>
      <w:keepNext/>
      <w:spacing w:before="320" w:after="200" w:line="278" w:lineRule="auto"/>
      <w:outlineLvl w:val="4"/>
    </w:pPr>
    <w:rPr>
      <w:rFonts w:ascii="Arial" w:hAnsi="Arial" w:eastAsia="Arial" w:cs="Arial"/>
      <w:b/>
      <w:bCs/>
      <w:sz w:val="24"/>
      <w:szCs w:val="24"/>
    </w:rPr>
  </w:style>
  <w:style w:type="paragraph" w:styleId="714">
    <w:name w:val="Heading 6"/>
    <w:next w:val="708"/>
    <w:link w:val="791"/>
    <w:uiPriority w:val="9"/>
    <w:unhideWhenUsed/>
    <w:qFormat/>
    <w:pPr>
      <w:keepLines/>
      <w:keepNext/>
      <w:spacing w:before="320" w:after="200" w:line="278" w:lineRule="auto"/>
      <w:outlineLvl w:val="5"/>
    </w:pPr>
    <w:rPr>
      <w:rFonts w:ascii="Arial" w:hAnsi="Arial" w:eastAsia="Arial" w:cs="Arial"/>
      <w:b/>
      <w:bCs/>
      <w:sz w:val="22"/>
      <w:szCs w:val="22"/>
    </w:rPr>
  </w:style>
  <w:style w:type="paragraph" w:styleId="715">
    <w:name w:val="Heading 7"/>
    <w:next w:val="708"/>
    <w:link w:val="792"/>
    <w:uiPriority w:val="9"/>
    <w:unhideWhenUsed/>
    <w:qFormat/>
    <w:pPr>
      <w:keepLines/>
      <w:keepNext/>
      <w:spacing w:before="320" w:after="200" w:line="278" w:lineRule="auto"/>
      <w:outlineLvl w:val="6"/>
    </w:pPr>
    <w:rPr>
      <w:rFonts w:ascii="Arial" w:hAnsi="Arial" w:eastAsia="Arial" w:cs="Arial"/>
      <w:b/>
      <w:bCs/>
      <w:i/>
      <w:iCs/>
      <w:sz w:val="22"/>
      <w:szCs w:val="22"/>
    </w:rPr>
  </w:style>
  <w:style w:type="paragraph" w:styleId="716">
    <w:name w:val="Heading 8"/>
    <w:next w:val="708"/>
    <w:link w:val="793"/>
    <w:uiPriority w:val="9"/>
    <w:unhideWhenUsed/>
    <w:qFormat/>
    <w:pPr>
      <w:keepLines/>
      <w:keepNext/>
      <w:spacing w:before="320" w:after="200" w:line="278" w:lineRule="auto"/>
      <w:outlineLvl w:val="7"/>
    </w:pPr>
    <w:rPr>
      <w:rFonts w:ascii="Arial" w:hAnsi="Arial" w:eastAsia="Arial" w:cs="Arial"/>
      <w:i/>
      <w:iCs/>
      <w:sz w:val="22"/>
      <w:szCs w:val="22"/>
    </w:rPr>
  </w:style>
  <w:style w:type="paragraph" w:styleId="717">
    <w:name w:val="Heading 9"/>
    <w:next w:val="708"/>
    <w:link w:val="794"/>
    <w:uiPriority w:val="9"/>
    <w:unhideWhenUsed/>
    <w:qFormat/>
    <w:pPr>
      <w:keepLines/>
      <w:keepNext/>
      <w:spacing w:before="320" w:after="200" w:line="278" w:lineRule="auto"/>
      <w:outlineLvl w:val="8"/>
    </w:pPr>
    <w:rPr>
      <w:rFonts w:ascii="Arial" w:hAnsi="Arial" w:eastAsia="Arial" w:cs="Arial"/>
      <w:i/>
      <w:iCs/>
      <w:sz w:val="21"/>
      <w:szCs w:val="21"/>
    </w:rPr>
  </w:style>
  <w:style w:type="character" w:styleId="718" w:default="1">
    <w:name w:val="Default Paragraph Font"/>
    <w:uiPriority w:val="1"/>
    <w:semiHidden/>
    <w:unhideWhenUsed/>
  </w:style>
  <w:style w:type="table" w:styleId="719" w:default="1">
    <w:name w:val="Normal Table"/>
    <w:uiPriority w:val="99"/>
    <w:semiHidden/>
    <w:unhideWhenUsed/>
    <w:tblPr>
      <w:tblInd w:w="0" w:type="dxa"/>
      <w:tblCellMar>
        <w:left w:w="108" w:type="dxa"/>
        <w:top w:w="0" w:type="dxa"/>
        <w:right w:w="108" w:type="dxa"/>
        <w:bottom w:w="0" w:type="dxa"/>
      </w:tblCellMar>
    </w:tblPr>
  </w:style>
  <w:style w:type="numbering" w:styleId="720" w:default="1">
    <w:name w:val="No List"/>
    <w:uiPriority w:val="99"/>
    <w:semiHidden/>
    <w:unhideWhenUsed/>
  </w:style>
  <w:style w:type="paragraph" w:styleId="721">
    <w:name w:val="Body Text"/>
    <w:basedOn w:val="708"/>
    <w:next w:val="708"/>
    <w:qFormat/>
    <w:rPr>
      <w:rFonts w:ascii="楷体_GB2312" w:hAnsi="Arial" w:eastAsia="楷体_GB2312"/>
      <w:sz w:val="28"/>
      <w:szCs w:val="28"/>
    </w:rPr>
  </w:style>
  <w:style w:type="paragraph" w:styleId="722">
    <w:name w:val="toc 7"/>
    <w:next w:val="708"/>
    <w:uiPriority w:val="39"/>
    <w:unhideWhenUsed/>
    <w:qFormat/>
    <w:pPr>
      <w:ind w:left="1701"/>
      <w:spacing w:after="57" w:line="278" w:lineRule="auto"/>
    </w:pPr>
  </w:style>
  <w:style w:type="paragraph" w:styleId="723">
    <w:name w:val="Caption"/>
    <w:next w:val="708"/>
    <w:uiPriority w:val="35"/>
    <w:semiHidden/>
    <w:unhideWhenUsed/>
    <w:qFormat/>
    <w:pPr>
      <w:spacing w:after="160" w:line="276" w:lineRule="auto"/>
    </w:pPr>
    <w:rPr>
      <w:b/>
      <w:bCs/>
      <w:color w:val="4f81bd" w:themeColor="accent1"/>
      <w:sz w:val="18"/>
      <w:szCs w:val="18"/>
    </w:rPr>
  </w:style>
  <w:style w:type="paragraph" w:styleId="724">
    <w:name w:val="toa heading"/>
    <w:basedOn w:val="708"/>
    <w:next w:val="708"/>
    <w:qFormat/>
    <w:pPr>
      <w:jc w:val="center"/>
      <w:spacing w:before="200" w:after="0" w:line="360" w:lineRule="atLeast"/>
    </w:pPr>
    <w:rPr>
      <w:rFonts w:ascii="Arial" w:hAnsi="Arial" w:eastAsia="黑体" w:cs="Arial"/>
      <w:color w:val="000000"/>
      <w:sz w:val="44"/>
      <w:lang w:eastAsia="en-US"/>
    </w:rPr>
  </w:style>
  <w:style w:type="paragraph" w:styleId="725">
    <w:name w:val="annotation text"/>
    <w:basedOn w:val="708"/>
    <w:link w:val="916"/>
    <w:unhideWhenUsed/>
    <w:qFormat/>
  </w:style>
  <w:style w:type="paragraph" w:styleId="726">
    <w:name w:val="toc 5"/>
    <w:next w:val="708"/>
    <w:uiPriority w:val="39"/>
    <w:unhideWhenUsed/>
    <w:qFormat/>
    <w:pPr>
      <w:ind w:left="1134"/>
      <w:spacing w:after="57" w:line="278" w:lineRule="auto"/>
    </w:pPr>
  </w:style>
  <w:style w:type="paragraph" w:styleId="727">
    <w:name w:val="toc 3"/>
    <w:next w:val="708"/>
    <w:uiPriority w:val="39"/>
    <w:unhideWhenUsed/>
    <w:qFormat/>
    <w:pPr>
      <w:ind w:left="567"/>
      <w:spacing w:after="57" w:line="278" w:lineRule="auto"/>
    </w:pPr>
  </w:style>
  <w:style w:type="paragraph" w:styleId="728">
    <w:name w:val="toc 8"/>
    <w:next w:val="708"/>
    <w:uiPriority w:val="39"/>
    <w:unhideWhenUsed/>
    <w:qFormat/>
    <w:pPr>
      <w:ind w:left="1984"/>
      <w:spacing w:after="57" w:line="278" w:lineRule="auto"/>
    </w:pPr>
  </w:style>
  <w:style w:type="paragraph" w:styleId="729">
    <w:name w:val="endnote text"/>
    <w:link w:val="913"/>
    <w:uiPriority w:val="99"/>
    <w:semiHidden/>
    <w:unhideWhenUsed/>
    <w:qFormat/>
    <w:pPr>
      <w:spacing w:after="160" w:line="278" w:lineRule="auto"/>
    </w:pPr>
  </w:style>
  <w:style w:type="paragraph" w:styleId="730">
    <w:name w:val="Balloon Text"/>
    <w:basedOn w:val="708"/>
    <w:link w:val="918"/>
    <w:uiPriority w:val="99"/>
    <w:semiHidden/>
    <w:unhideWhenUsed/>
    <w:qFormat/>
    <w:rPr>
      <w:sz w:val="18"/>
      <w:szCs w:val="18"/>
    </w:rPr>
  </w:style>
  <w:style w:type="paragraph" w:styleId="731">
    <w:name w:val="Footer"/>
    <w:basedOn w:val="708"/>
    <w:link w:val="805"/>
    <w:uiPriority w:val="99"/>
    <w:unhideWhenUsed/>
    <w:qFormat/>
    <w:pPr>
      <w:tabs>
        <w:tab w:val="center" w:pos="7143" w:leader="none"/>
        <w:tab w:val="right" w:pos="14287" w:leader="none"/>
      </w:tabs>
    </w:pPr>
  </w:style>
  <w:style w:type="paragraph" w:styleId="732">
    <w:name w:val="Header"/>
    <w:basedOn w:val="708"/>
    <w:link w:val="803"/>
    <w:uiPriority w:val="99"/>
    <w:unhideWhenUsed/>
    <w:qFormat/>
    <w:pPr>
      <w:tabs>
        <w:tab w:val="center" w:pos="7143" w:leader="none"/>
        <w:tab w:val="right" w:pos="14287" w:leader="none"/>
      </w:tabs>
    </w:pPr>
  </w:style>
  <w:style w:type="paragraph" w:styleId="733">
    <w:name w:val="toc 1"/>
    <w:next w:val="708"/>
    <w:uiPriority w:val="39"/>
    <w:unhideWhenUsed/>
    <w:qFormat/>
    <w:pPr>
      <w:spacing w:after="57" w:line="278" w:lineRule="auto"/>
    </w:pPr>
  </w:style>
  <w:style w:type="paragraph" w:styleId="734">
    <w:name w:val="toc 4"/>
    <w:next w:val="708"/>
    <w:uiPriority w:val="39"/>
    <w:unhideWhenUsed/>
    <w:qFormat/>
    <w:pPr>
      <w:ind w:left="850"/>
      <w:spacing w:after="57" w:line="278" w:lineRule="auto"/>
    </w:pPr>
  </w:style>
  <w:style w:type="paragraph" w:styleId="735">
    <w:name w:val="Subtitle"/>
    <w:link w:val="798"/>
    <w:uiPriority w:val="11"/>
    <w:qFormat/>
    <w:pPr>
      <w:spacing w:before="200" w:after="200" w:line="278" w:lineRule="auto"/>
    </w:pPr>
    <w:rPr>
      <w:sz w:val="24"/>
      <w:szCs w:val="24"/>
    </w:rPr>
  </w:style>
  <w:style w:type="paragraph" w:styleId="736">
    <w:name w:val="footnote text"/>
    <w:link w:val="912"/>
    <w:unhideWhenUsed/>
    <w:qFormat/>
    <w:pPr>
      <w:spacing w:after="40" w:line="278" w:lineRule="auto"/>
    </w:pPr>
    <w:rPr>
      <w:sz w:val="18"/>
    </w:rPr>
  </w:style>
  <w:style w:type="paragraph" w:styleId="737">
    <w:name w:val="toc 6"/>
    <w:next w:val="708"/>
    <w:uiPriority w:val="39"/>
    <w:unhideWhenUsed/>
    <w:qFormat/>
    <w:pPr>
      <w:ind w:left="1417"/>
      <w:spacing w:after="57" w:line="278" w:lineRule="auto"/>
    </w:pPr>
  </w:style>
  <w:style w:type="paragraph" w:styleId="738">
    <w:name w:val="table of figures"/>
    <w:next w:val="708"/>
    <w:uiPriority w:val="99"/>
    <w:unhideWhenUsed/>
    <w:qFormat/>
    <w:pPr>
      <w:spacing w:after="160" w:line="278" w:lineRule="auto"/>
    </w:pPr>
  </w:style>
  <w:style w:type="paragraph" w:styleId="739">
    <w:name w:val="toc 2"/>
    <w:next w:val="708"/>
    <w:uiPriority w:val="39"/>
    <w:unhideWhenUsed/>
    <w:qFormat/>
    <w:pPr>
      <w:ind w:left="283"/>
      <w:spacing w:after="57" w:line="278" w:lineRule="auto"/>
    </w:pPr>
  </w:style>
  <w:style w:type="paragraph" w:styleId="740">
    <w:name w:val="toc 9"/>
    <w:next w:val="708"/>
    <w:uiPriority w:val="39"/>
    <w:unhideWhenUsed/>
    <w:qFormat/>
    <w:pPr>
      <w:ind w:left="2268"/>
      <w:spacing w:after="57" w:line="278" w:lineRule="auto"/>
    </w:pPr>
  </w:style>
  <w:style w:type="paragraph" w:styleId="741">
    <w:name w:val="Title"/>
    <w:link w:val="797"/>
    <w:uiPriority w:val="10"/>
    <w:qFormat/>
    <w:pPr>
      <w:contextualSpacing/>
      <w:spacing w:before="300" w:after="200" w:line="278" w:lineRule="auto"/>
    </w:pPr>
    <w:rPr>
      <w:sz w:val="48"/>
      <w:szCs w:val="48"/>
    </w:rPr>
  </w:style>
  <w:style w:type="paragraph" w:styleId="742">
    <w:name w:val="annotation subject"/>
    <w:basedOn w:val="725"/>
    <w:next w:val="725"/>
    <w:link w:val="917"/>
    <w:uiPriority w:val="99"/>
    <w:semiHidden/>
    <w:unhideWhenUsed/>
    <w:qFormat/>
    <w:rPr>
      <w:b/>
      <w:bCs/>
    </w:rPr>
  </w:style>
  <w:style w:type="paragraph" w:styleId="743">
    <w:name w:val="Body Text First Indent"/>
    <w:basedOn w:val="721"/>
    <w:qFormat/>
    <w:pPr>
      <w:ind w:firstLine="420"/>
      <w:spacing w:after="120"/>
    </w:pPr>
    <w:rPr>
      <w:sz w:val="21"/>
      <w:szCs w:val="24"/>
      <w:lang w:val="zh-CN"/>
    </w:rPr>
  </w:style>
  <w:style w:type="table" w:styleId="744">
    <w:name w:val="Table Gri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5">
    <w:name w:val="endnote reference"/>
    <w:uiPriority w:val="99"/>
    <w:semiHidden/>
    <w:unhideWhenUsed/>
    <w:qFormat/>
    <w:rPr>
      <w:vertAlign w:val="superscript"/>
    </w:rPr>
  </w:style>
  <w:style w:type="character" w:styleId="746">
    <w:name w:val="Hyperlink"/>
    <w:uiPriority w:val="99"/>
    <w:unhideWhenUsed/>
    <w:qFormat/>
    <w:rPr>
      <w:color w:val="0000ff" w:themeColor="hyperlink"/>
      <w:u w:val="single"/>
    </w:rPr>
  </w:style>
  <w:style w:type="character" w:styleId="747">
    <w:name w:val="annotation reference"/>
    <w:basedOn w:val="718"/>
    <w:unhideWhenUsed/>
    <w:qFormat/>
    <w:rPr>
      <w:sz w:val="21"/>
      <w:szCs w:val="21"/>
    </w:rPr>
  </w:style>
  <w:style w:type="character" w:styleId="748">
    <w:name w:val="footnote reference"/>
    <w:uiPriority w:val="99"/>
    <w:unhideWhenUsed/>
    <w:qFormat/>
    <w:rPr>
      <w:vertAlign w:val="superscript"/>
    </w:rPr>
  </w:style>
  <w:style w:type="character" w:styleId="749" w:customStyle="1">
    <w:name w:val="Heading 1 Char"/>
    <w:basedOn w:val="718"/>
    <w:uiPriority w:val="9"/>
    <w:qFormat/>
    <w:rPr>
      <w:rFonts w:ascii="Arial" w:hAnsi="Arial" w:eastAsia="Arial" w:cs="Arial"/>
      <w:sz w:val="40"/>
      <w:szCs w:val="40"/>
    </w:rPr>
  </w:style>
  <w:style w:type="character" w:styleId="750" w:customStyle="1">
    <w:name w:val="Heading 2 Char"/>
    <w:basedOn w:val="718"/>
    <w:uiPriority w:val="9"/>
    <w:qFormat/>
    <w:rPr>
      <w:rFonts w:ascii="Arial" w:hAnsi="Arial" w:eastAsia="Arial" w:cs="Arial"/>
      <w:sz w:val="34"/>
    </w:rPr>
  </w:style>
  <w:style w:type="character" w:styleId="751" w:customStyle="1">
    <w:name w:val="Heading 3 Char"/>
    <w:basedOn w:val="718"/>
    <w:uiPriority w:val="9"/>
    <w:qFormat/>
    <w:rPr>
      <w:rFonts w:ascii="Arial" w:hAnsi="Arial" w:eastAsia="Arial" w:cs="Arial"/>
      <w:sz w:val="30"/>
      <w:szCs w:val="30"/>
    </w:rPr>
  </w:style>
  <w:style w:type="character" w:styleId="752" w:customStyle="1">
    <w:name w:val="Heading 4 Char"/>
    <w:basedOn w:val="718"/>
    <w:uiPriority w:val="9"/>
    <w:qFormat/>
    <w:rPr>
      <w:rFonts w:ascii="Arial" w:hAnsi="Arial" w:eastAsia="Arial" w:cs="Arial"/>
      <w:b/>
      <w:bCs/>
      <w:sz w:val="26"/>
      <w:szCs w:val="26"/>
    </w:rPr>
  </w:style>
  <w:style w:type="character" w:styleId="753" w:customStyle="1">
    <w:name w:val="Heading 5 Char"/>
    <w:basedOn w:val="718"/>
    <w:uiPriority w:val="9"/>
    <w:qFormat/>
    <w:rPr>
      <w:rFonts w:ascii="Arial" w:hAnsi="Arial" w:eastAsia="Arial" w:cs="Arial"/>
      <w:b/>
      <w:bCs/>
      <w:sz w:val="24"/>
      <w:szCs w:val="24"/>
    </w:rPr>
  </w:style>
  <w:style w:type="character" w:styleId="754" w:customStyle="1">
    <w:name w:val="Heading 6 Char"/>
    <w:basedOn w:val="718"/>
    <w:uiPriority w:val="9"/>
    <w:qFormat/>
    <w:rPr>
      <w:rFonts w:ascii="Arial" w:hAnsi="Arial" w:eastAsia="Arial" w:cs="Arial"/>
      <w:b/>
      <w:bCs/>
      <w:sz w:val="22"/>
      <w:szCs w:val="22"/>
    </w:rPr>
  </w:style>
  <w:style w:type="character" w:styleId="755" w:customStyle="1">
    <w:name w:val="Heading 7 Char"/>
    <w:basedOn w:val="718"/>
    <w:uiPriority w:val="9"/>
    <w:qFormat/>
    <w:rPr>
      <w:rFonts w:ascii="Arial" w:hAnsi="Arial" w:eastAsia="Arial" w:cs="Arial"/>
      <w:b/>
      <w:bCs/>
      <w:i/>
      <w:iCs/>
      <w:sz w:val="22"/>
      <w:szCs w:val="22"/>
    </w:rPr>
  </w:style>
  <w:style w:type="character" w:styleId="756" w:customStyle="1">
    <w:name w:val="Heading 8 Char"/>
    <w:basedOn w:val="718"/>
    <w:uiPriority w:val="9"/>
    <w:qFormat/>
    <w:rPr>
      <w:rFonts w:ascii="Arial" w:hAnsi="Arial" w:eastAsia="Arial" w:cs="Arial"/>
      <w:i/>
      <w:iCs/>
      <w:sz w:val="22"/>
      <w:szCs w:val="22"/>
    </w:rPr>
  </w:style>
  <w:style w:type="character" w:styleId="757" w:customStyle="1">
    <w:name w:val="Heading 9 Char"/>
    <w:basedOn w:val="718"/>
    <w:uiPriority w:val="9"/>
    <w:qFormat/>
    <w:rPr>
      <w:rFonts w:ascii="Arial" w:hAnsi="Arial" w:eastAsia="Arial" w:cs="Arial"/>
      <w:i/>
      <w:iCs/>
      <w:sz w:val="21"/>
      <w:szCs w:val="21"/>
    </w:rPr>
  </w:style>
  <w:style w:type="character" w:styleId="758" w:customStyle="1">
    <w:name w:val="Title Char"/>
    <w:basedOn w:val="718"/>
    <w:uiPriority w:val="10"/>
    <w:qFormat/>
    <w:rPr>
      <w:sz w:val="48"/>
      <w:szCs w:val="48"/>
    </w:rPr>
  </w:style>
  <w:style w:type="character" w:styleId="759" w:customStyle="1">
    <w:name w:val="Subtitle Char"/>
    <w:basedOn w:val="718"/>
    <w:uiPriority w:val="11"/>
    <w:qFormat/>
    <w:rPr>
      <w:sz w:val="24"/>
      <w:szCs w:val="24"/>
    </w:rPr>
  </w:style>
  <w:style w:type="character" w:styleId="760" w:customStyle="1">
    <w:name w:val="Quote Char"/>
    <w:uiPriority w:val="29"/>
    <w:qFormat/>
    <w:rPr>
      <w:i/>
    </w:rPr>
  </w:style>
  <w:style w:type="character" w:styleId="761" w:customStyle="1">
    <w:name w:val="Intense Quote Char"/>
    <w:uiPriority w:val="30"/>
    <w:qFormat/>
    <w:rPr>
      <w:i/>
    </w:rPr>
  </w:style>
  <w:style w:type="character" w:styleId="762" w:customStyle="1">
    <w:name w:val="Header Char"/>
    <w:basedOn w:val="718"/>
    <w:uiPriority w:val="99"/>
    <w:qFormat/>
  </w:style>
  <w:style w:type="character" w:styleId="763" w:customStyle="1">
    <w:name w:val="Caption Char"/>
    <w:uiPriority w:val="99"/>
    <w:qFormat/>
  </w:style>
  <w:style w:type="table" w:styleId="764" w:customStyle="1">
    <w:name w:val="无格式表格 11"/>
    <w:basedOn w:val="719"/>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5" w:customStyle="1">
    <w:name w:val="无格式表格 21"/>
    <w:basedOn w:val="71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6" w:customStyle="1">
    <w:name w:val="无格式表格 31"/>
    <w:basedOn w:val="719"/>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7" w:customStyle="1">
    <w:name w:val="无格式表格 41"/>
    <w:basedOn w:val="719"/>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8" w:customStyle="1">
    <w:name w:val="无格式表格 51"/>
    <w:basedOn w:val="719"/>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9" w:customStyle="1">
    <w:name w:val="网格表 1 浅色1"/>
    <w:basedOn w:val="719"/>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right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70" w:customStyle="1">
    <w:name w:val="网格表 21"/>
    <w:basedOn w:val="719"/>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71" w:customStyle="1">
    <w:name w:val="网格表 31"/>
    <w:basedOn w:val="719"/>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网格表 41"/>
    <w:basedOn w:val="719"/>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3" w:customStyle="1">
    <w:name w:val="网格表 5 深色1"/>
    <w:basedOn w:val="71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4" w:customStyle="1">
    <w:name w:val="网格表 6 彩色1"/>
    <w:basedOn w:val="719"/>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right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775" w:customStyle="1">
    <w:name w:val="网格表 7 彩色1"/>
    <w:basedOn w:val="719"/>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right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76" w:customStyle="1">
    <w:name w:val="清单表 1 浅色1"/>
    <w:basedOn w:val="719"/>
    <w:uiPriority w:val="99"/>
    <w:qFormat/>
    <w:tblPr>
      <w:tblCellMar>
        <w:left w:w="0" w:type="dxa"/>
        <w:right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7" w:customStyle="1">
    <w:name w:val="清单表 21"/>
    <w:basedOn w:val="719"/>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right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78" w:customStyle="1">
    <w:name w:val="清单表 31"/>
    <w:basedOn w:val="71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9" w:customStyle="1">
    <w:name w:val="清单表 41"/>
    <w:basedOn w:val="71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0" w:customStyle="1">
    <w:name w:val="清单表 5 深色1"/>
    <w:basedOn w:val="719"/>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right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781" w:customStyle="1">
    <w:name w:val="清单表 6 彩色1"/>
    <w:basedOn w:val="719"/>
    <w:uiPriority w:val="99"/>
    <w:qFormat/>
    <w:tblPr>
      <w:tblBorders>
        <w:top w:val="single" w:color="7F7F7F" w:themeColor="text1" w:themeTint="80" w:sz="4" w:space="0"/>
        <w:bottom w:val="single" w:color="7F7F7F" w:themeColor="text1" w:themeTint="80" w:sz="4" w:space="0"/>
      </w:tblBorders>
      <w:tblCellMar>
        <w:left w:w="0" w:type="dxa"/>
        <w:right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782" w:customStyle="1">
    <w:name w:val="清单表 7 彩色1"/>
    <w:basedOn w:val="719"/>
    <w:uiPriority w:val="99"/>
    <w:qFormat/>
    <w:tblPr>
      <w:tblBorders>
        <w:right w:val="single" w:color="7F7F7F" w:themeColor="text1" w:themeTint="80" w:sz="4" w:space="0"/>
      </w:tblBorders>
      <w:tblCellMar>
        <w:left w:w="0" w:type="dxa"/>
        <w:right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character" w:styleId="783" w:customStyle="1">
    <w:name w:val="Footnote Text Char"/>
    <w:uiPriority w:val="99"/>
    <w:qFormat/>
    <w:rPr>
      <w:sz w:val="18"/>
    </w:rPr>
  </w:style>
  <w:style w:type="character" w:styleId="784" w:customStyle="1">
    <w:name w:val="Endnote Text Char"/>
    <w:uiPriority w:val="99"/>
    <w:qFormat/>
    <w:rPr>
      <w:sz w:val="20"/>
    </w:rPr>
  </w:style>
  <w:style w:type="paragraph" w:styleId="785" w:customStyle="1">
    <w:name w:val="TOC 标题1"/>
    <w:uiPriority w:val="39"/>
    <w:unhideWhenUsed/>
    <w:qFormat/>
    <w:pPr>
      <w:spacing w:after="160" w:line="278" w:lineRule="auto"/>
    </w:pPr>
  </w:style>
  <w:style w:type="character" w:styleId="786" w:customStyle="1">
    <w:name w:val="标题 1 字符"/>
    <w:link w:val="709"/>
    <w:uiPriority w:val="9"/>
    <w:qFormat/>
    <w:rPr>
      <w:rFonts w:ascii="Arial" w:hAnsi="Arial" w:eastAsia="Arial" w:cs="Arial"/>
      <w:sz w:val="40"/>
      <w:szCs w:val="40"/>
    </w:rPr>
  </w:style>
  <w:style w:type="character" w:styleId="787" w:customStyle="1">
    <w:name w:val="标题 2 字符"/>
    <w:link w:val="710"/>
    <w:qFormat/>
    <w:rPr>
      <w:rFonts w:ascii="Arial" w:hAnsi="Arial" w:eastAsia="Arial" w:cs="Arial"/>
      <w:sz w:val="34"/>
    </w:rPr>
  </w:style>
  <w:style w:type="character" w:styleId="788" w:customStyle="1">
    <w:name w:val="标题 3 字符"/>
    <w:link w:val="711"/>
    <w:uiPriority w:val="9"/>
    <w:qFormat/>
    <w:rPr>
      <w:rFonts w:ascii="Arial" w:hAnsi="Arial" w:eastAsia="Arial" w:cs="Arial"/>
      <w:sz w:val="30"/>
      <w:szCs w:val="30"/>
    </w:rPr>
  </w:style>
  <w:style w:type="character" w:styleId="789" w:customStyle="1">
    <w:name w:val="标题 4 字符"/>
    <w:link w:val="712"/>
    <w:uiPriority w:val="9"/>
    <w:qFormat/>
    <w:rPr>
      <w:rFonts w:ascii="Arial" w:hAnsi="Arial" w:eastAsia="Arial" w:cs="Arial"/>
      <w:b/>
      <w:bCs/>
      <w:sz w:val="26"/>
      <w:szCs w:val="26"/>
    </w:rPr>
  </w:style>
  <w:style w:type="character" w:styleId="790" w:customStyle="1">
    <w:name w:val="标题 5 字符"/>
    <w:link w:val="713"/>
    <w:uiPriority w:val="9"/>
    <w:qFormat/>
    <w:rPr>
      <w:rFonts w:ascii="Arial" w:hAnsi="Arial" w:eastAsia="Arial" w:cs="Arial"/>
      <w:b/>
      <w:bCs/>
      <w:sz w:val="24"/>
      <w:szCs w:val="24"/>
    </w:rPr>
  </w:style>
  <w:style w:type="character" w:styleId="791" w:customStyle="1">
    <w:name w:val="标题 6 字符"/>
    <w:link w:val="714"/>
    <w:uiPriority w:val="9"/>
    <w:qFormat/>
    <w:rPr>
      <w:rFonts w:ascii="Arial" w:hAnsi="Arial" w:eastAsia="Arial" w:cs="Arial"/>
      <w:b/>
      <w:bCs/>
      <w:sz w:val="22"/>
      <w:szCs w:val="22"/>
    </w:rPr>
  </w:style>
  <w:style w:type="character" w:styleId="792" w:customStyle="1">
    <w:name w:val="标题 7 字符"/>
    <w:link w:val="715"/>
    <w:uiPriority w:val="9"/>
    <w:qFormat/>
    <w:rPr>
      <w:rFonts w:ascii="Arial" w:hAnsi="Arial" w:eastAsia="Arial" w:cs="Arial"/>
      <w:b/>
      <w:bCs/>
      <w:i/>
      <w:iCs/>
      <w:sz w:val="22"/>
      <w:szCs w:val="22"/>
    </w:rPr>
  </w:style>
  <w:style w:type="character" w:styleId="793" w:customStyle="1">
    <w:name w:val="标题 8 字符"/>
    <w:link w:val="716"/>
    <w:uiPriority w:val="9"/>
    <w:qFormat/>
    <w:rPr>
      <w:rFonts w:ascii="Arial" w:hAnsi="Arial" w:eastAsia="Arial" w:cs="Arial"/>
      <w:i/>
      <w:iCs/>
      <w:sz w:val="22"/>
      <w:szCs w:val="22"/>
    </w:rPr>
  </w:style>
  <w:style w:type="character" w:styleId="794" w:customStyle="1">
    <w:name w:val="标题 9 字符"/>
    <w:link w:val="717"/>
    <w:uiPriority w:val="9"/>
    <w:qFormat/>
    <w:rPr>
      <w:rFonts w:ascii="Arial" w:hAnsi="Arial" w:eastAsia="Arial" w:cs="Arial"/>
      <w:i/>
      <w:iCs/>
      <w:sz w:val="21"/>
      <w:szCs w:val="21"/>
    </w:rPr>
  </w:style>
  <w:style w:type="paragraph" w:styleId="795">
    <w:name w:val="List Paragraph"/>
    <w:uiPriority w:val="99"/>
    <w:qFormat/>
    <w:pPr>
      <w:contextualSpacing/>
      <w:ind w:left="720"/>
      <w:spacing w:after="160" w:line="278" w:lineRule="auto"/>
    </w:pPr>
  </w:style>
  <w:style w:type="paragraph" w:styleId="796">
    <w:name w:val="No Spacing"/>
    <w:uiPriority w:val="1"/>
    <w:qFormat/>
    <w:pPr>
      <w:spacing w:after="160" w:line="278" w:lineRule="auto"/>
    </w:pPr>
  </w:style>
  <w:style w:type="character" w:styleId="797" w:customStyle="1">
    <w:name w:val="标题 字符"/>
    <w:link w:val="741"/>
    <w:uiPriority w:val="10"/>
    <w:qFormat/>
    <w:rPr>
      <w:sz w:val="48"/>
      <w:szCs w:val="48"/>
    </w:rPr>
  </w:style>
  <w:style w:type="character" w:styleId="798" w:customStyle="1">
    <w:name w:val="副标题 字符"/>
    <w:link w:val="735"/>
    <w:uiPriority w:val="11"/>
    <w:qFormat/>
    <w:rPr>
      <w:sz w:val="24"/>
      <w:szCs w:val="24"/>
    </w:rPr>
  </w:style>
  <w:style w:type="paragraph" w:styleId="799">
    <w:name w:val="Quote"/>
    <w:link w:val="800"/>
    <w:uiPriority w:val="29"/>
    <w:qFormat/>
    <w:pPr>
      <w:ind w:left="720" w:right="720"/>
      <w:spacing w:after="160" w:line="278" w:lineRule="auto"/>
    </w:pPr>
    <w:rPr>
      <w:i/>
    </w:rPr>
  </w:style>
  <w:style w:type="character" w:styleId="800" w:customStyle="1">
    <w:name w:val="引用 字符"/>
    <w:link w:val="799"/>
    <w:uiPriority w:val="29"/>
    <w:qFormat/>
    <w:rPr>
      <w:i/>
    </w:rPr>
  </w:style>
  <w:style w:type="paragraph" w:styleId="801">
    <w:name w:val="Intense Quote"/>
    <w:link w:val="802"/>
    <w:uiPriority w:val="30"/>
    <w:qFormat/>
    <w:pPr>
      <w:ind w:left="720" w:right="720"/>
      <w:spacing w:after="160" w:line="278" w:lineRule="auto"/>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2" w:customStyle="1">
    <w:name w:val="明显引用 字符"/>
    <w:link w:val="801"/>
    <w:uiPriority w:val="30"/>
    <w:qFormat/>
    <w:rPr>
      <w:i/>
    </w:rPr>
  </w:style>
  <w:style w:type="character" w:styleId="803" w:customStyle="1">
    <w:name w:val="页眉 字符"/>
    <w:link w:val="732"/>
    <w:uiPriority w:val="99"/>
    <w:qFormat/>
  </w:style>
  <w:style w:type="character" w:styleId="804" w:customStyle="1">
    <w:name w:val="Footer Char"/>
    <w:uiPriority w:val="99"/>
    <w:qFormat/>
  </w:style>
  <w:style w:type="character" w:styleId="805" w:customStyle="1">
    <w:name w:val="页脚 字符"/>
    <w:link w:val="731"/>
    <w:uiPriority w:val="99"/>
    <w:qFormat/>
  </w:style>
  <w:style w:type="table" w:styleId="806"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07"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08"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9"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10"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1"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2"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3"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14"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15"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16"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7"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8"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9"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26"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27"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28"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9"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0"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1"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2"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3"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4"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5"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6"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7"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38"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839"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40"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41"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42"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43"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4"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45"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46"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7"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8"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9"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0"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1"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2"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3"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4"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5"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6"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57"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8"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9"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0"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1"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2"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63"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64"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5"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6"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7"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8"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9"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0"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1"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2"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3"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74"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75"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76"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77"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78"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79"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880"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881"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882"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883"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884"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885"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6"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87"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888"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9"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0"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1"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92"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93"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94"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95"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6"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7"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8"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99"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00"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01"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02"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3"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4"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5"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06"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7"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08"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09"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0"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1"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2" w:customStyle="1">
    <w:name w:val="脚注文本 字符"/>
    <w:link w:val="736"/>
    <w:qFormat/>
    <w:rPr>
      <w:sz w:val="18"/>
    </w:rPr>
  </w:style>
  <w:style w:type="character" w:styleId="913" w:customStyle="1">
    <w:name w:val="尾注文本 字符"/>
    <w:link w:val="729"/>
    <w:uiPriority w:val="99"/>
    <w:qFormat/>
    <w:rPr>
      <w:sz w:val="20"/>
    </w:rPr>
  </w:style>
  <w:style w:type="paragraph" w:styleId="914" w:customStyle="1">
    <w:name w:val="TOC 标题11"/>
    <w:uiPriority w:val="39"/>
    <w:unhideWhenUsed/>
    <w:qFormat/>
    <w:pPr>
      <w:spacing w:after="160" w:line="278" w:lineRule="auto"/>
    </w:pPr>
  </w:style>
  <w:style w:type="paragraph" w:styleId="915" w:customStyle="1">
    <w:name w:val="修订1"/>
    <w:hidden/>
    <w:uiPriority w:val="99"/>
    <w:semiHidden/>
    <w:qFormat/>
    <w:pPr>
      <w:spacing w:after="160" w:line="278" w:lineRule="auto"/>
    </w:pPr>
  </w:style>
  <w:style w:type="character" w:styleId="916" w:customStyle="1">
    <w:name w:val="批注文字 字符"/>
    <w:basedOn w:val="718"/>
    <w:link w:val="725"/>
    <w:qFormat/>
  </w:style>
  <w:style w:type="character" w:styleId="917" w:customStyle="1">
    <w:name w:val="批注主题 字符"/>
    <w:basedOn w:val="916"/>
    <w:link w:val="742"/>
    <w:uiPriority w:val="99"/>
    <w:semiHidden/>
    <w:qFormat/>
    <w:rPr>
      <w:b/>
      <w:bCs/>
    </w:rPr>
  </w:style>
  <w:style w:type="character" w:styleId="918" w:customStyle="1">
    <w:name w:val="批注框文本 字符"/>
    <w:basedOn w:val="718"/>
    <w:link w:val="730"/>
    <w:uiPriority w:val="99"/>
    <w:semiHidden/>
    <w:qFormat/>
    <w:rPr>
      <w:sz w:val="18"/>
      <w:szCs w:val="18"/>
    </w:rPr>
  </w:style>
  <w:style w:type="paragraph" w:styleId="919" w:customStyle="1">
    <w:name w:val="修订2"/>
    <w:hidden/>
    <w:uiPriority w:val="99"/>
    <w:unhideWhenUsed/>
    <w:qFormat/>
    <w:pPr>
      <w:spacing w:after="160" w:line="278" w:lineRule="auto"/>
    </w:pPr>
  </w:style>
  <w:style w:type="paragraph" w:styleId="920" w:customStyle="1">
    <w:name w:val="修订3"/>
    <w:hidden/>
    <w:uiPriority w:val="99"/>
    <w:semiHidden/>
    <w:qFormat/>
    <w:pPr>
      <w:spacing w:after="160" w:line="278" w:lineRule="auto"/>
    </w:pPr>
  </w:style>
  <w:style w:type="paragraph" w:styleId="921" w:customStyle="1">
    <w:name w:val="普通正文"/>
    <w:basedOn w:val="708"/>
    <w:qFormat/>
    <w:pPr>
      <w:ind w:firstLine="480"/>
      <w:spacing w:before="120" w:after="120" w:line="360" w:lineRule="auto"/>
    </w:pPr>
    <w:rPr>
      <w:rFonts w:ascii="Arial" w:hAnsi="Arial"/>
      <w:szCs w:val="24"/>
    </w:rPr>
  </w:style>
  <w:style w:type="paragraph" w:styleId="922" w:customStyle="1">
    <w:name w:val="_Style 226"/>
    <w:basedOn w:val="709"/>
    <w:next w:val="708"/>
    <w:qFormat/>
    <w:pPr>
      <w:spacing w:line="276" w:lineRule="auto"/>
      <w:outlineLvl w:val="9"/>
    </w:pPr>
    <w:rPr>
      <w:rFonts w:ascii="Cambria" w:hAnsi="Cambria" w:eastAsia="宋体"/>
      <w:bCs/>
      <w:color w:val="365f91"/>
    </w:rPr>
  </w:style>
  <w:style w:type="paragraph" w:styleId="923" w:customStyle="1">
    <w:name w:val="修订4"/>
    <w:hidden/>
    <w:uiPriority w:val="99"/>
    <w:semiHidden/>
    <w:qFormat/>
    <w:pPr>
      <w:spacing w:after="160" w:line="278" w:lineRule="auto"/>
    </w:pPr>
  </w:style>
  <w:style w:type="paragraph" w:styleId="924" w:customStyle="1">
    <w:name w:val="修订5"/>
    <w:hidden/>
    <w:uiPriority w:val="99"/>
    <w:unhideWhenUsed/>
    <w:qFormat/>
    <w:pPr>
      <w:spacing w:after="160" w:line="278" w:lineRule="auto"/>
    </w:pPr>
  </w:style>
  <w:style w:type="paragraph" w:styleId="925" w:customStyle="1">
    <w:name w:val="修订6"/>
    <w:hidden/>
    <w:uiPriority w:val="99"/>
    <w:semiHidden/>
    <w:qFormat/>
    <w:pPr>
      <w:spacing w:after="160" w:line="278" w:lineRule="auto"/>
    </w:pPr>
  </w:style>
  <w:style w:type="paragraph" w:styleId="926" w:customStyle="1">
    <w:name w:val="修订7"/>
    <w:hidden/>
    <w:uiPriority w:val="99"/>
    <w:semiHidden/>
    <w:qFormat/>
    <w:pPr>
      <w:spacing w:after="160" w:line="278" w:lineRule="auto"/>
    </w:pPr>
  </w:style>
  <w:style w:type="paragraph" w:styleId="927" w:customStyle="1">
    <w:name w:val="修订8"/>
    <w:hidden/>
    <w:uiPriority w:val="99"/>
    <w:semiHidden/>
    <w:pPr>
      <w:spacing w:after="160" w:line="278" w:lineRule="auto"/>
    </w:pPr>
  </w:style>
  <w:style w:type="paragraph" w:styleId="928" w:customStyle="1">
    <w:name w:val="Table Text"/>
    <w:basedOn w:val="708"/>
    <w:semiHidden/>
    <w:qFormat/>
    <w:pPr>
      <w:jc w:val="center"/>
      <w:spacing w:before="22" w:line="195" w:lineRule="auto"/>
      <w:framePr w:hSpace="180" w:wrap="around" w:vAnchor="text" w:hAnchor="page" w:xAlign="center" w:y="29"/>
    </w:pPr>
    <w:rPr>
      <w:rFonts w:ascii="宋体" w:hAnsi="宋体" w:eastAsia="宋体" w:cs="宋体"/>
      <w:color w:val="000000"/>
      <w:sz w:val="22"/>
      <w:szCs w:val="22"/>
      <w:lang w:eastAsia="en-US"/>
    </w:rPr>
  </w:style>
  <w:style w:type="paragraph" w:styleId="929" w:customStyle="1">
    <w:name w:val="修订9"/>
    <w:hidden/>
    <w:uiPriority w:val="99"/>
    <w:unhideWhenUsed/>
    <w:pPr>
      <w:spacing w:after="160" w:line="278" w:lineRule="auto"/>
    </w:pPr>
  </w:style>
  <w:style w:type="paragraph" w:styleId="930" w:customStyle="1">
    <w:name w:val="修订10"/>
    <w:hidden/>
    <w:uiPriority w:val="99"/>
    <w:unhideWhenUsed/>
  </w:style>
  <w:style w:type="paragraph" w:styleId="931">
    <w:name w:val="Revision"/>
    <w:hidden/>
    <w:uiPriority w:val="99"/>
    <w:semiHidden/>
  </w:style>
  <w:style w:type="paragraph" w:styleId="932">
    <w:name w:val="index 4"/>
    <w:basedOn w:val="708"/>
    <w:next w:val="708"/>
    <w:qFormat/>
    <w:pPr>
      <w:ind w:left="600"/>
      <w:jc w:val="both"/>
      <w:spacing w:after="0" w:line="240" w:lineRule="auto"/>
      <w:widowControl w:val="off"/>
    </w:pPr>
    <w:rPr>
      <w:rFonts w:ascii="Calibri" w:hAnsi="Calibri" w:eastAsia="宋体"/>
      <w:sz w:val="21"/>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E3A6DD-5F4D-4B01-B3D8-52A8787F80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吴岢非</cp:lastModifiedBy>
  <cp:revision>6</cp:revision>
  <dcterms:created xsi:type="dcterms:W3CDTF">2026-04-29T05:43:00Z</dcterms:created>
  <dcterms:modified xsi:type="dcterms:W3CDTF">2026-05-25T06:41:52Z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C73166466FE346EEAEDD3DA60C49304C_13</vt:lpwstr>
  </property>
  <property fmtid="{D5CDD505-2E9C-101B-9397-08002B2CF9AE}" pid="4" name="KSOTemplateDocerSaveRecord">
    <vt:lpwstr>eyJoZGlkIjoiOTNlNTRkNTQ4MWZmZmViNjg3ODU5MGFlZmY4OTg2YTQifQ==</vt:lpwstr>
  </property>
</Properties>
</file>