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B2E17">
      <w:pPr>
        <w:pStyle w:val="204"/>
        <w:ind w:firstLine="0"/>
        <w:rPr>
          <w:rFonts w:hint="eastAsia" w:eastAsia="黑体"/>
          <w:b/>
          <w:bCs/>
          <w:color w:val="000000"/>
          <w:sz w:val="84"/>
          <w:highlight w:val="none"/>
        </w:rPr>
      </w:pPr>
    </w:p>
    <w:p w14:paraId="1CC9ED0D">
      <w:pPr>
        <w:pStyle w:val="204"/>
        <w:ind w:firstLine="0"/>
        <w:jc w:val="center"/>
        <w:rPr>
          <w:rFonts w:hint="eastAsia" w:eastAsia="黑体"/>
          <w:b/>
          <w:bCs/>
          <w:color w:val="000000"/>
          <w:sz w:val="84"/>
          <w:highlight w:val="none"/>
        </w:rPr>
      </w:pPr>
      <w:r>
        <w:rPr>
          <w:rFonts w:hint="eastAsia" w:eastAsia="黑体"/>
          <w:b/>
          <w:bCs/>
          <w:color w:val="000000"/>
          <w:sz w:val="84"/>
          <w:highlight w:val="none"/>
        </w:rPr>
        <w:t>招　标　文　件</w:t>
      </w:r>
    </w:p>
    <w:p w14:paraId="1DEA9D2C">
      <w:pPr>
        <w:pStyle w:val="204"/>
        <w:ind w:firstLine="0"/>
        <w:jc w:val="center"/>
        <w:rPr>
          <w:rFonts w:hint="eastAsia"/>
          <w:b/>
          <w:bCs/>
          <w:color w:val="000000"/>
          <w:sz w:val="32"/>
          <w:szCs w:val="32"/>
          <w:highlight w:val="none"/>
        </w:rPr>
      </w:pPr>
    </w:p>
    <w:p w14:paraId="2F762C2B">
      <w:pPr>
        <w:pStyle w:val="204"/>
        <w:ind w:firstLine="0"/>
        <w:jc w:val="center"/>
        <w:rPr>
          <w:rFonts w:hint="eastAsia"/>
          <w:b/>
          <w:bCs/>
          <w:color w:val="000000"/>
          <w:sz w:val="32"/>
          <w:szCs w:val="32"/>
          <w:highlight w:val="none"/>
        </w:rPr>
      </w:pPr>
    </w:p>
    <w:p w14:paraId="63EA9978">
      <w:pPr>
        <w:pStyle w:val="204"/>
        <w:spacing w:line="360" w:lineRule="auto"/>
        <w:ind w:firstLine="0"/>
        <w:jc w:val="center"/>
        <w:rPr>
          <w:rFonts w:hint="eastAsia" w:eastAsia="宋体"/>
          <w:b/>
          <w:bCs/>
          <w:color w:val="000000"/>
          <w:sz w:val="32"/>
          <w:szCs w:val="32"/>
          <w:highlight w:val="none"/>
          <w:lang w:eastAsia="zh-CN"/>
        </w:rPr>
      </w:pPr>
      <w:r>
        <w:rPr>
          <w:rFonts w:hint="eastAsia"/>
          <w:b/>
          <w:bCs/>
          <w:color w:val="000000"/>
          <w:sz w:val="32"/>
          <w:szCs w:val="32"/>
          <w:highlight w:val="none"/>
        </w:rPr>
        <w:t>项目名称：</w:t>
      </w:r>
      <w:r>
        <w:rPr>
          <w:rFonts w:hint="eastAsia"/>
          <w:b/>
          <w:bCs/>
          <w:color w:val="000000"/>
          <w:sz w:val="32"/>
          <w:szCs w:val="32"/>
          <w:highlight w:val="none"/>
          <w:lang w:eastAsia="zh-CN"/>
        </w:rPr>
        <w:t>赫顿海工装备（江苏）有限公司环网柜迁移项目</w:t>
      </w:r>
    </w:p>
    <w:p w14:paraId="27A2B103">
      <w:pPr>
        <w:spacing w:line="360" w:lineRule="auto"/>
        <w:jc w:val="center"/>
        <w:rPr>
          <w:rFonts w:hint="eastAsia" w:eastAsia="宋体"/>
          <w:b/>
          <w:color w:val="000000"/>
          <w:sz w:val="32"/>
          <w:szCs w:val="32"/>
          <w:highlight w:val="none"/>
          <w:lang w:eastAsia="zh-CN"/>
        </w:rPr>
      </w:pPr>
      <w:r>
        <w:rPr>
          <w:rFonts w:hint="eastAsia"/>
          <w:b/>
          <w:bCs/>
          <w:color w:val="000000"/>
          <w:sz w:val="32"/>
          <w:szCs w:val="32"/>
          <w:highlight w:val="none"/>
        </w:rPr>
        <w:t>项目编号：</w:t>
      </w:r>
      <w:bookmarkStart w:id="225" w:name="_GoBack"/>
      <w:bookmarkEnd w:id="225"/>
      <w:r>
        <w:rPr>
          <w:rFonts w:hint="eastAsia"/>
          <w:b/>
          <w:bCs/>
          <w:color w:val="000000"/>
          <w:sz w:val="32"/>
          <w:szCs w:val="32"/>
          <w:highlight w:val="none"/>
          <w:lang w:eastAsia="zh-CN"/>
        </w:rPr>
        <w:t>JSZC-321182-ZJSK-G2026-0003</w:t>
      </w:r>
    </w:p>
    <w:p w14:paraId="750E4539">
      <w:pPr>
        <w:spacing w:line="360" w:lineRule="auto"/>
        <w:jc w:val="center"/>
        <w:rPr>
          <w:rFonts w:hint="eastAsia"/>
          <w:b/>
          <w:color w:val="000000"/>
          <w:sz w:val="32"/>
          <w:szCs w:val="32"/>
          <w:highlight w:val="none"/>
        </w:rPr>
      </w:pPr>
      <w:r>
        <w:rPr>
          <w:rFonts w:hint="eastAsia"/>
          <w:b/>
          <w:color w:val="000000"/>
          <w:sz w:val="32"/>
          <w:szCs w:val="32"/>
          <w:highlight w:val="none"/>
        </w:rPr>
        <w:t>（全流程电子化，适用苏采云系统）</w:t>
      </w:r>
    </w:p>
    <w:p w14:paraId="244CF0D4">
      <w:pPr>
        <w:pStyle w:val="204"/>
        <w:spacing w:before="0" w:after="0" w:line="360" w:lineRule="auto"/>
        <w:ind w:firstLine="0"/>
        <w:rPr>
          <w:rFonts w:hint="eastAsia" w:ascii="宋体" w:hAnsi="宋体"/>
          <w:color w:val="000000"/>
          <w:sz w:val="32"/>
          <w:szCs w:val="32"/>
          <w:highlight w:val="none"/>
        </w:rPr>
      </w:pPr>
    </w:p>
    <w:p w14:paraId="22833F40">
      <w:pPr>
        <w:pStyle w:val="204"/>
        <w:spacing w:before="0" w:after="0"/>
        <w:ind w:firstLine="0"/>
        <w:rPr>
          <w:rFonts w:hint="eastAsia" w:ascii="宋体" w:hAnsi="宋体"/>
          <w:color w:val="000000"/>
          <w:sz w:val="32"/>
          <w:szCs w:val="32"/>
          <w:highlight w:val="none"/>
        </w:rPr>
      </w:pPr>
    </w:p>
    <w:p w14:paraId="63E97DE1">
      <w:pPr>
        <w:pStyle w:val="204"/>
        <w:spacing w:before="0" w:after="0"/>
        <w:ind w:firstLine="0"/>
        <w:rPr>
          <w:rFonts w:hint="eastAsia" w:ascii="宋体" w:hAnsi="宋体"/>
          <w:color w:val="000000"/>
          <w:sz w:val="32"/>
          <w:szCs w:val="32"/>
          <w:highlight w:val="none"/>
        </w:rPr>
      </w:pPr>
    </w:p>
    <w:p w14:paraId="439400ED">
      <w:pPr>
        <w:pStyle w:val="204"/>
        <w:spacing w:before="0" w:after="0"/>
        <w:ind w:firstLine="0"/>
        <w:rPr>
          <w:rFonts w:hint="eastAsia" w:ascii="宋体" w:hAnsi="宋体"/>
          <w:color w:val="000000"/>
          <w:sz w:val="32"/>
          <w:szCs w:val="32"/>
          <w:highlight w:val="none"/>
        </w:rPr>
      </w:pPr>
    </w:p>
    <w:p w14:paraId="71CD43DF">
      <w:pPr>
        <w:pStyle w:val="204"/>
        <w:spacing w:before="0" w:after="0"/>
        <w:ind w:firstLine="0"/>
        <w:rPr>
          <w:rFonts w:hint="eastAsia" w:ascii="宋体" w:hAnsi="宋体"/>
          <w:color w:val="000000"/>
          <w:sz w:val="32"/>
          <w:szCs w:val="32"/>
          <w:highlight w:val="none"/>
        </w:rPr>
      </w:pPr>
    </w:p>
    <w:p w14:paraId="6F3097C7">
      <w:pPr>
        <w:pStyle w:val="204"/>
        <w:spacing w:before="0" w:after="0"/>
        <w:ind w:firstLine="0"/>
        <w:rPr>
          <w:rFonts w:hint="eastAsia" w:ascii="宋体" w:hAnsi="宋体"/>
          <w:color w:val="000000"/>
          <w:sz w:val="32"/>
          <w:szCs w:val="32"/>
          <w:highlight w:val="none"/>
        </w:rPr>
      </w:pPr>
    </w:p>
    <w:p w14:paraId="165C9139">
      <w:pPr>
        <w:spacing w:before="120" w:after="120" w:line="360" w:lineRule="auto"/>
        <w:jc w:val="center"/>
        <w:rPr>
          <w:rFonts w:hint="eastAsia" w:ascii="Arial" w:hAnsi="Arial" w:eastAsia="宋体"/>
          <w:b/>
          <w:bCs/>
          <w:color w:val="000000"/>
          <w:sz w:val="32"/>
          <w:szCs w:val="32"/>
          <w:highlight w:val="none"/>
          <w:lang w:eastAsia="zh-CN"/>
        </w:rPr>
      </w:pPr>
      <w:r>
        <w:rPr>
          <w:rFonts w:hint="eastAsia" w:ascii="Arial" w:hAnsi="Arial"/>
          <w:b/>
          <w:bCs/>
          <w:color w:val="000000"/>
          <w:sz w:val="32"/>
          <w:szCs w:val="32"/>
          <w:highlight w:val="none"/>
          <w:lang w:eastAsia="zh-CN"/>
        </w:rPr>
        <w:t>镇江晟科工程管理咨询有限公司</w:t>
      </w:r>
    </w:p>
    <w:p w14:paraId="176B608F">
      <w:pPr>
        <w:spacing w:before="120" w:after="120" w:line="360" w:lineRule="auto"/>
        <w:jc w:val="center"/>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2026年</w:t>
      </w:r>
      <w:r>
        <w:rPr>
          <w:rFonts w:hint="eastAsia" w:ascii="Arial" w:hAnsi="Arial"/>
          <w:b/>
          <w:bCs/>
          <w:color w:val="000000"/>
          <w:sz w:val="32"/>
          <w:szCs w:val="32"/>
          <w:highlight w:val="none"/>
          <w:lang w:val="en-US" w:eastAsia="zh-CN"/>
        </w:rPr>
        <w:t>6</w:t>
      </w:r>
      <w:r>
        <w:rPr>
          <w:rFonts w:hint="eastAsia" w:ascii="Arial" w:hAnsi="Arial"/>
          <w:b/>
          <w:bCs/>
          <w:color w:val="000000"/>
          <w:sz w:val="32"/>
          <w:szCs w:val="32"/>
          <w:highlight w:val="none"/>
          <w:lang w:eastAsia="zh-CN"/>
        </w:rPr>
        <w:t>月</w:t>
      </w:r>
      <w:r>
        <w:rPr>
          <w:rFonts w:hint="eastAsia" w:ascii="Arial" w:hAnsi="Arial"/>
          <w:b/>
          <w:bCs/>
          <w:color w:val="000000"/>
          <w:sz w:val="32"/>
          <w:szCs w:val="32"/>
          <w:highlight w:val="none"/>
          <w:lang w:val="en-US" w:eastAsia="zh-CN"/>
        </w:rPr>
        <w:t>8</w:t>
      </w:r>
      <w:r>
        <w:rPr>
          <w:rFonts w:hint="eastAsia" w:ascii="Arial" w:hAnsi="Arial"/>
          <w:b/>
          <w:bCs/>
          <w:color w:val="000000"/>
          <w:sz w:val="32"/>
          <w:szCs w:val="32"/>
          <w:highlight w:val="none"/>
        </w:rPr>
        <w:t>日</w:t>
      </w:r>
    </w:p>
    <w:p w14:paraId="5D45C8D0">
      <w:pPr>
        <w:pStyle w:val="204"/>
        <w:ind w:firstLine="0"/>
        <w:rPr>
          <w:rFonts w:hint="eastAsia"/>
          <w:color w:val="000000"/>
          <w:highlight w:val="none"/>
          <w:u w:val="single"/>
        </w:rPr>
      </w:pPr>
      <w:r>
        <w:rPr>
          <w:rFonts w:hint="eastAsia"/>
          <w:color w:val="000000"/>
          <w:highlight w:val="none"/>
        </w:rPr>
        <w:t xml:space="preserve">                        </w:t>
      </w:r>
    </w:p>
    <w:p w14:paraId="58B69FF1">
      <w:pPr>
        <w:pStyle w:val="204"/>
        <w:ind w:firstLine="0"/>
        <w:jc w:val="center"/>
        <w:rPr>
          <w:rFonts w:hint="eastAsia"/>
          <w:color w:val="000000"/>
          <w:highlight w:val="none"/>
        </w:rPr>
      </w:pPr>
    </w:p>
    <w:p w14:paraId="671948D5">
      <w:pPr>
        <w:spacing w:line="480" w:lineRule="auto"/>
        <w:jc w:val="center"/>
        <w:outlineLvl w:val="0"/>
        <w:rPr>
          <w:rFonts w:hint="eastAsia"/>
          <w:color w:val="000000"/>
          <w:highlight w:val="none"/>
        </w:rPr>
        <w:sectPr>
          <w:footerReference r:id="rId5" w:type="first"/>
          <w:headerReference r:id="rId3" w:type="default"/>
          <w:footerReference r:id="rId4" w:type="default"/>
          <w:pgSz w:w="11905" w:h="16837"/>
          <w:pgMar w:top="1440" w:right="1418" w:bottom="1440" w:left="1803" w:header="851" w:footer="992" w:gutter="0"/>
          <w:cols w:space="1701" w:num="1"/>
          <w:titlePg/>
          <w:docGrid w:linePitch="360" w:charSpace="0"/>
        </w:sectPr>
      </w:pPr>
      <w:bookmarkStart w:id="0" w:name="_Toc120614210"/>
      <w:bookmarkStart w:id="1" w:name="_Toc479757206"/>
      <w:bookmarkStart w:id="2" w:name="_Toc20823272"/>
      <w:bookmarkStart w:id="3" w:name="_Toc16938516"/>
      <w:bookmarkStart w:id="4" w:name="_Toc513029200"/>
      <w:bookmarkStart w:id="5" w:name="_Toc523127445"/>
    </w:p>
    <w:p w14:paraId="4626C987">
      <w:pPr>
        <w:spacing w:line="480" w:lineRule="auto"/>
        <w:jc w:val="center"/>
        <w:outlineLvl w:val="0"/>
        <w:rPr>
          <w:rFonts w:hint="eastAsia" w:ascii="黑体" w:hAnsi="Arial" w:eastAsia="黑体"/>
          <w:b/>
          <w:color w:val="000000"/>
          <w:sz w:val="44"/>
          <w:highlight w:val="none"/>
        </w:rPr>
      </w:pPr>
      <w:r>
        <w:rPr>
          <w:rFonts w:hint="eastAsia"/>
          <w:color w:val="000000"/>
          <w:highlight w:val="none"/>
        </w:rPr>
        <w:t xml:space="preserve"> </w:t>
      </w:r>
      <w:r>
        <w:rPr>
          <w:rFonts w:hint="eastAsia" w:ascii="黑体" w:hAnsi="Arial" w:eastAsia="黑体"/>
          <w:b/>
          <w:color w:val="000000"/>
          <w:sz w:val="44"/>
          <w:highlight w:val="none"/>
        </w:rPr>
        <w:t>总  目  录</w:t>
      </w:r>
    </w:p>
    <w:p w14:paraId="4A904BE8">
      <w:pPr>
        <w:spacing w:line="480" w:lineRule="auto"/>
        <w:rPr>
          <w:rFonts w:hint="eastAsia" w:ascii="仿宋_GB2312" w:hAnsi="Arial" w:eastAsia="仿宋_GB2312"/>
          <w:b/>
          <w:color w:val="000000"/>
          <w:sz w:val="28"/>
          <w:highlight w:val="none"/>
        </w:rPr>
      </w:pPr>
    </w:p>
    <w:p w14:paraId="09FE487A">
      <w:pPr>
        <w:numPr>
          <w:ilvl w:val="0"/>
          <w:numId w:val="1"/>
        </w:numPr>
        <w:spacing w:line="480" w:lineRule="auto"/>
        <w:outlineLvl w:val="0"/>
        <w:rPr>
          <w:rFonts w:hint="eastAsia" w:ascii="黑体" w:hAnsi="Showcard Gothic" w:eastAsia="黑体"/>
          <w:color w:val="000000"/>
          <w:sz w:val="32"/>
          <w:highlight w:val="none"/>
        </w:rPr>
      </w:pPr>
      <w:r>
        <w:rPr>
          <w:rFonts w:hint="eastAsia" w:ascii="黑体" w:hAnsi="宋体" w:eastAsia="黑体"/>
          <w:color w:val="000000"/>
          <w:sz w:val="36"/>
          <w:highlight w:val="none"/>
        </w:rPr>
        <w:t>投标邀请</w:t>
      </w:r>
      <w:r>
        <w:rPr>
          <w:rFonts w:hint="eastAsia" w:ascii="黑体" w:hAnsi="Showcard Gothic" w:eastAsia="黑体"/>
          <w:color w:val="000000"/>
          <w:sz w:val="36"/>
          <w:highlight w:val="none"/>
        </w:rPr>
        <w:t>……………………………………</w:t>
      </w:r>
      <w:r>
        <w:rPr>
          <w:rFonts w:hint="eastAsia" w:ascii="黑体" w:hAnsi="Showcard Gothic" w:eastAsia="黑体"/>
          <w:color w:val="000000"/>
          <w:sz w:val="36"/>
          <w:highlight w:val="none"/>
          <w:lang w:val="en-US" w:eastAsia="zh-CN"/>
        </w:rPr>
        <w:t xml:space="preserve">01 </w:t>
      </w:r>
      <w:r>
        <w:rPr>
          <w:rFonts w:hint="eastAsia" w:ascii="黑体" w:hAnsi="Showcard Gothic" w:eastAsia="黑体"/>
          <w:color w:val="000000"/>
          <w:sz w:val="36"/>
          <w:highlight w:val="none"/>
        </w:rPr>
        <w:t xml:space="preserve">  </w:t>
      </w:r>
    </w:p>
    <w:p w14:paraId="7914960E">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bCs/>
          <w:color w:val="000000"/>
          <w:sz w:val="36"/>
          <w:szCs w:val="36"/>
          <w:highlight w:val="none"/>
        </w:rPr>
        <w:t>投标人须知</w:t>
      </w:r>
      <w:r>
        <w:rPr>
          <w:rFonts w:hint="eastAsia" w:ascii="黑体" w:hAnsi="Showcard Gothic" w:eastAsia="黑体"/>
          <w:color w:val="000000"/>
          <w:sz w:val="36"/>
          <w:szCs w:val="36"/>
          <w:highlight w:val="none"/>
        </w:rPr>
        <w:t>…</w:t>
      </w:r>
      <w:r>
        <w:rPr>
          <w:rFonts w:hint="eastAsia" w:ascii="黑体" w:hAnsi="Showcard Gothic" w:eastAsia="黑体"/>
          <w:color w:val="000000"/>
          <w:sz w:val="36"/>
          <w:highlight w:val="none"/>
        </w:rPr>
        <w:t>………………………………</w:t>
      </w:r>
      <w:r>
        <w:rPr>
          <w:rFonts w:hint="eastAsia" w:ascii="黑体" w:hAnsi="Showcard Gothic" w:eastAsia="黑体"/>
          <w:color w:val="000000"/>
          <w:sz w:val="36"/>
          <w:highlight w:val="none"/>
          <w:lang w:val="en-US" w:eastAsia="zh-CN"/>
        </w:rPr>
        <w:t xml:space="preserve">07 </w:t>
      </w:r>
      <w:r>
        <w:rPr>
          <w:rFonts w:hint="eastAsia" w:ascii="黑体" w:hAnsi="Showcard Gothic" w:eastAsia="黑体"/>
          <w:color w:val="000000"/>
          <w:sz w:val="36"/>
          <w:highlight w:val="none"/>
        </w:rPr>
        <w:t xml:space="preserve">    </w:t>
      </w:r>
    </w:p>
    <w:p w14:paraId="335F2C75">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color w:val="000000"/>
          <w:sz w:val="36"/>
          <w:highlight w:val="none"/>
        </w:rPr>
        <w:t>合同文本</w:t>
      </w:r>
      <w:r>
        <w:rPr>
          <w:rFonts w:hint="eastAsia" w:ascii="黑体" w:hAnsi="Showcard Gothic" w:eastAsia="黑体"/>
          <w:color w:val="000000"/>
          <w:sz w:val="36"/>
          <w:highlight w:val="none"/>
        </w:rPr>
        <w:t>……………………………………</w:t>
      </w:r>
      <w:r>
        <w:rPr>
          <w:rFonts w:hint="eastAsia" w:ascii="黑体" w:hAnsi="Showcard Gothic" w:eastAsia="黑体"/>
          <w:color w:val="000000"/>
          <w:sz w:val="36"/>
          <w:highlight w:val="none"/>
          <w:lang w:val="en-US" w:eastAsia="zh-CN"/>
        </w:rPr>
        <w:t xml:space="preserve">23 </w:t>
      </w:r>
    </w:p>
    <w:p w14:paraId="08F77639">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color w:val="000000"/>
          <w:sz w:val="36"/>
          <w:highlight w:val="none"/>
        </w:rPr>
        <w:t>招标需求</w:t>
      </w:r>
      <w:r>
        <w:rPr>
          <w:rFonts w:hint="eastAsia" w:ascii="黑体" w:hAnsi="Showcard Gothic" w:eastAsia="黑体"/>
          <w:color w:val="000000"/>
          <w:sz w:val="36"/>
          <w:highlight w:val="none"/>
        </w:rPr>
        <w:t>……………………………………</w:t>
      </w:r>
      <w:r>
        <w:rPr>
          <w:rFonts w:hint="eastAsia" w:ascii="黑体" w:hAnsi="Showcard Gothic" w:eastAsia="黑体"/>
          <w:color w:val="000000"/>
          <w:sz w:val="36"/>
          <w:highlight w:val="none"/>
          <w:lang w:val="en-US" w:eastAsia="zh-CN"/>
        </w:rPr>
        <w:t xml:space="preserve">39 </w:t>
      </w:r>
    </w:p>
    <w:p w14:paraId="0E1826C3">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bCs/>
          <w:color w:val="000000"/>
          <w:sz w:val="36"/>
          <w:szCs w:val="36"/>
          <w:highlight w:val="none"/>
        </w:rPr>
        <w:t>评标方法与评标标准</w:t>
      </w:r>
      <w:r>
        <w:rPr>
          <w:rFonts w:hint="eastAsia" w:ascii="黑体" w:hAnsi="Showcard Gothic" w:eastAsia="黑体"/>
          <w:color w:val="000000"/>
          <w:sz w:val="36"/>
          <w:highlight w:val="none"/>
        </w:rPr>
        <w:t>………………………</w:t>
      </w:r>
      <w:r>
        <w:rPr>
          <w:rFonts w:hint="eastAsia" w:ascii="黑体" w:hAnsi="Showcard Gothic" w:eastAsia="黑体"/>
          <w:color w:val="000000"/>
          <w:sz w:val="36"/>
          <w:highlight w:val="none"/>
          <w:lang w:val="en-US" w:eastAsia="zh-CN"/>
        </w:rPr>
        <w:t xml:space="preserve">43 </w:t>
      </w:r>
    </w:p>
    <w:p w14:paraId="14FFFC75">
      <w:pPr>
        <w:numPr>
          <w:ilvl w:val="0"/>
          <w:numId w:val="1"/>
        </w:numPr>
        <w:spacing w:line="480" w:lineRule="auto"/>
        <w:outlineLvl w:val="0"/>
        <w:rPr>
          <w:rFonts w:hint="eastAsia"/>
          <w:color w:val="000000"/>
          <w:highlight w:val="none"/>
        </w:rPr>
      </w:pPr>
      <w:r>
        <w:rPr>
          <w:rFonts w:hint="eastAsia" w:ascii="黑体" w:hAnsi="宋体" w:eastAsia="黑体"/>
          <w:color w:val="000000"/>
          <w:sz w:val="36"/>
          <w:highlight w:val="none"/>
        </w:rPr>
        <w:t>投标文件格式</w:t>
      </w:r>
      <w:r>
        <w:rPr>
          <w:rFonts w:hint="eastAsia" w:ascii="黑体" w:hAnsi="Showcard Gothic" w:eastAsia="黑体"/>
          <w:color w:val="000000"/>
          <w:sz w:val="36"/>
          <w:highlight w:val="none"/>
        </w:rPr>
        <w:t>………………………………</w:t>
      </w:r>
      <w:r>
        <w:rPr>
          <w:rFonts w:hint="eastAsia" w:ascii="黑体" w:hAnsi="Showcard Gothic" w:eastAsia="黑体"/>
          <w:color w:val="000000"/>
          <w:sz w:val="36"/>
          <w:highlight w:val="none"/>
          <w:lang w:val="en-US" w:eastAsia="zh-CN"/>
        </w:rPr>
        <w:t xml:space="preserve">47 </w:t>
      </w:r>
    </w:p>
    <w:p w14:paraId="2883CD9D">
      <w:pPr>
        <w:rPr>
          <w:rFonts w:hint="eastAsia"/>
          <w:color w:val="000000"/>
          <w:highlight w:val="none"/>
        </w:rPr>
      </w:pPr>
    </w:p>
    <w:p w14:paraId="2E42E643">
      <w:pPr>
        <w:rPr>
          <w:rFonts w:hint="eastAsia"/>
          <w:color w:val="000000"/>
          <w:highlight w:val="none"/>
        </w:rPr>
      </w:pPr>
    </w:p>
    <w:p w14:paraId="07AB7FB8">
      <w:pPr>
        <w:rPr>
          <w:rFonts w:hint="eastAsia"/>
          <w:color w:val="000000"/>
          <w:highlight w:val="none"/>
        </w:rPr>
      </w:pPr>
    </w:p>
    <w:p w14:paraId="73670491">
      <w:pPr>
        <w:rPr>
          <w:rFonts w:hint="eastAsia"/>
          <w:color w:val="000000"/>
          <w:highlight w:val="none"/>
        </w:rPr>
      </w:pPr>
    </w:p>
    <w:p w14:paraId="22DE1D2B">
      <w:pPr>
        <w:rPr>
          <w:rFonts w:hint="eastAsia"/>
          <w:color w:val="000000"/>
          <w:highlight w:val="none"/>
        </w:rPr>
      </w:pPr>
    </w:p>
    <w:p w14:paraId="382578B3">
      <w:pPr>
        <w:rPr>
          <w:rFonts w:hint="eastAsia"/>
          <w:color w:val="000000"/>
          <w:highlight w:val="none"/>
        </w:rPr>
      </w:pPr>
    </w:p>
    <w:p w14:paraId="3B60D9AF">
      <w:pPr>
        <w:rPr>
          <w:rFonts w:hint="eastAsia"/>
          <w:color w:val="000000"/>
          <w:highlight w:val="none"/>
        </w:rPr>
      </w:pPr>
    </w:p>
    <w:p w14:paraId="20B299B3">
      <w:pPr>
        <w:rPr>
          <w:rFonts w:hint="eastAsia"/>
          <w:color w:val="000000"/>
          <w:highlight w:val="none"/>
        </w:rPr>
      </w:pPr>
    </w:p>
    <w:p w14:paraId="02B5D0F0">
      <w:pPr>
        <w:rPr>
          <w:rFonts w:hint="eastAsia"/>
          <w:color w:val="000000"/>
          <w:highlight w:val="none"/>
        </w:rPr>
      </w:pPr>
    </w:p>
    <w:p w14:paraId="6D91E204">
      <w:pPr>
        <w:rPr>
          <w:rFonts w:hint="eastAsia"/>
          <w:color w:val="000000"/>
          <w:highlight w:val="none"/>
        </w:rPr>
      </w:pPr>
    </w:p>
    <w:p w14:paraId="35D00F77">
      <w:pPr>
        <w:rPr>
          <w:rFonts w:hint="eastAsia"/>
          <w:color w:val="000000"/>
          <w:highlight w:val="none"/>
        </w:rPr>
      </w:pPr>
    </w:p>
    <w:p w14:paraId="678DB132">
      <w:pPr>
        <w:rPr>
          <w:rFonts w:hint="eastAsia"/>
          <w:color w:val="000000"/>
          <w:highlight w:val="none"/>
        </w:rPr>
      </w:pPr>
    </w:p>
    <w:p w14:paraId="5754A957">
      <w:pPr>
        <w:rPr>
          <w:rFonts w:hint="eastAsia"/>
          <w:color w:val="000000"/>
          <w:highlight w:val="none"/>
        </w:rPr>
      </w:pPr>
    </w:p>
    <w:p w14:paraId="0F83F0AD">
      <w:pPr>
        <w:rPr>
          <w:rFonts w:hint="eastAsia"/>
          <w:color w:val="000000"/>
          <w:highlight w:val="none"/>
        </w:rPr>
      </w:pPr>
    </w:p>
    <w:p w14:paraId="63387263">
      <w:pPr>
        <w:rPr>
          <w:rFonts w:hint="eastAsia"/>
          <w:color w:val="000000"/>
          <w:highlight w:val="none"/>
        </w:rPr>
      </w:pPr>
    </w:p>
    <w:p w14:paraId="508857C0">
      <w:pPr>
        <w:rPr>
          <w:rFonts w:hint="eastAsia"/>
          <w:color w:val="000000"/>
          <w:highlight w:val="none"/>
        </w:rPr>
      </w:pPr>
    </w:p>
    <w:p w14:paraId="2F12CF56">
      <w:pPr>
        <w:rPr>
          <w:rFonts w:hint="eastAsia"/>
          <w:color w:val="000000"/>
          <w:highlight w:val="none"/>
        </w:rPr>
      </w:pPr>
    </w:p>
    <w:p w14:paraId="1F6257F5">
      <w:pPr>
        <w:rPr>
          <w:rFonts w:hint="eastAsia"/>
          <w:color w:val="000000"/>
          <w:highlight w:val="none"/>
        </w:rPr>
      </w:pPr>
    </w:p>
    <w:p w14:paraId="52B1B6FA">
      <w:pPr>
        <w:rPr>
          <w:rFonts w:hint="eastAsia"/>
          <w:color w:val="000000"/>
          <w:highlight w:val="none"/>
        </w:rPr>
      </w:pPr>
    </w:p>
    <w:p w14:paraId="2463D48A">
      <w:pPr>
        <w:rPr>
          <w:rFonts w:hint="eastAsia"/>
          <w:color w:val="000000"/>
          <w:highlight w:val="none"/>
        </w:rPr>
      </w:pPr>
    </w:p>
    <w:p w14:paraId="0E903950">
      <w:pPr>
        <w:rPr>
          <w:rFonts w:hint="eastAsia"/>
          <w:color w:val="000000"/>
          <w:highlight w:val="none"/>
        </w:rPr>
      </w:pPr>
    </w:p>
    <w:p w14:paraId="236A1AF2">
      <w:pPr>
        <w:rPr>
          <w:rFonts w:hint="eastAsia"/>
          <w:color w:val="000000"/>
          <w:highlight w:val="none"/>
        </w:rPr>
      </w:pPr>
    </w:p>
    <w:p w14:paraId="67D96B79">
      <w:pPr>
        <w:rPr>
          <w:rFonts w:hint="eastAsia"/>
          <w:color w:val="000000"/>
          <w:highlight w:val="none"/>
        </w:rPr>
      </w:pPr>
    </w:p>
    <w:p w14:paraId="4ADE056C">
      <w:pPr>
        <w:rPr>
          <w:rFonts w:hint="eastAsia"/>
          <w:color w:val="000000"/>
          <w:highlight w:val="none"/>
        </w:rPr>
      </w:pPr>
    </w:p>
    <w:p w14:paraId="58649A3A">
      <w:pPr>
        <w:rPr>
          <w:rFonts w:hint="eastAsia"/>
          <w:color w:val="000000"/>
          <w:highlight w:val="none"/>
        </w:rPr>
      </w:pPr>
    </w:p>
    <w:p w14:paraId="26CE7161">
      <w:pPr>
        <w:pStyle w:val="183"/>
        <w:spacing w:before="120" w:after="120" w:line="440" w:lineRule="exact"/>
        <w:rPr>
          <w:rFonts w:hint="eastAsia" w:ascii="黑体" w:eastAsia="黑体"/>
          <w:color w:val="000000"/>
          <w:sz w:val="32"/>
          <w:szCs w:val="32"/>
          <w:highlight w:val="none"/>
        </w:rPr>
        <w:sectPr>
          <w:footerReference r:id="rId7" w:type="first"/>
          <w:footerReference r:id="rId6" w:type="default"/>
          <w:pgSz w:w="11905" w:h="16837"/>
          <w:pgMar w:top="1440" w:right="1418" w:bottom="1440" w:left="1803" w:header="851" w:footer="992" w:gutter="0"/>
          <w:pgNumType w:start="1"/>
          <w:cols w:space="1701" w:num="1"/>
          <w:docGrid w:linePitch="360" w:charSpace="0"/>
        </w:sectPr>
      </w:pPr>
    </w:p>
    <w:p w14:paraId="0356606A">
      <w:pPr>
        <w:pStyle w:val="183"/>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投标邀请</w:t>
      </w:r>
    </w:p>
    <w:p w14:paraId="1B12C6F2">
      <w:pPr>
        <w:pageBreakBefore w:val="0"/>
        <w:widowControl w:val="0"/>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受</w:t>
      </w:r>
      <w:r>
        <w:rPr>
          <w:rFonts w:hint="eastAsia" w:ascii="宋体" w:hAnsi="宋体"/>
          <w:color w:val="000000"/>
          <w:sz w:val="24"/>
          <w:szCs w:val="24"/>
          <w:highlight w:val="none"/>
          <w:u w:val="single"/>
          <w:lang w:eastAsia="zh-CN"/>
        </w:rPr>
        <w:t>扬中经济开发区管理委员会</w:t>
      </w:r>
      <w:r>
        <w:rPr>
          <w:rFonts w:hint="eastAsia" w:ascii="宋体" w:hAnsi="宋体"/>
          <w:color w:val="000000"/>
          <w:sz w:val="24"/>
          <w:szCs w:val="24"/>
          <w:highlight w:val="none"/>
        </w:rPr>
        <w:t>的委托，就</w:t>
      </w:r>
      <w:r>
        <w:rPr>
          <w:rFonts w:hint="eastAsia" w:ascii="宋体" w:hAnsi="宋体"/>
          <w:color w:val="000000"/>
          <w:sz w:val="24"/>
          <w:szCs w:val="24"/>
          <w:highlight w:val="none"/>
          <w:u w:val="single"/>
          <w:lang w:eastAsia="zh-CN"/>
        </w:rPr>
        <w:t>赫顿海工装备（江苏）有限公司环网柜迁移项目</w:t>
      </w:r>
      <w:r>
        <w:rPr>
          <w:rFonts w:hint="eastAsia" w:ascii="宋体" w:hAnsi="宋体"/>
          <w:b w:val="0"/>
          <w:bCs w:val="0"/>
          <w:color w:val="000000"/>
          <w:sz w:val="24"/>
          <w:szCs w:val="24"/>
          <w:highlight w:val="none"/>
          <w:u w:val="single"/>
        </w:rPr>
        <w:t>(</w:t>
      </w:r>
      <w:r>
        <w:rPr>
          <w:rFonts w:hint="eastAsia" w:ascii="宋体" w:hAnsi="宋体"/>
          <w:b w:val="0"/>
          <w:bCs w:val="0"/>
          <w:color w:val="000000"/>
          <w:sz w:val="24"/>
          <w:szCs w:val="24"/>
          <w:highlight w:val="none"/>
          <w:u w:val="single"/>
          <w:lang w:eastAsia="zh-CN"/>
        </w:rPr>
        <w:t>JSZC-321182-ZJSK-G2026-0003</w:t>
      </w:r>
      <w:r>
        <w:rPr>
          <w:rFonts w:hint="eastAsia" w:ascii="宋体" w:hAnsi="宋体"/>
          <w:b w:val="0"/>
          <w:bCs w:val="0"/>
          <w:color w:val="000000"/>
          <w:sz w:val="24"/>
          <w:szCs w:val="24"/>
          <w:highlight w:val="none"/>
          <w:u w:val="single"/>
        </w:rPr>
        <w:t>)</w:t>
      </w:r>
      <w:r>
        <w:rPr>
          <w:rFonts w:hint="eastAsia" w:ascii="宋体" w:hAnsi="宋体"/>
          <w:color w:val="000000"/>
          <w:sz w:val="24"/>
          <w:szCs w:val="24"/>
          <w:highlight w:val="none"/>
        </w:rPr>
        <w:t>项目进行公开招标，欢迎符合条件的</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投标。</w:t>
      </w:r>
    </w:p>
    <w:p w14:paraId="0EA1F556">
      <w:pPr>
        <w:pageBreakBefore w:val="0"/>
        <w:widowControl w:val="0"/>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项目概况</w:t>
      </w:r>
    </w:p>
    <w:p w14:paraId="1F73318A">
      <w:pPr>
        <w:pageBreakBefore w:val="0"/>
        <w:widowControl w:val="0"/>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赫顿海工装备（江苏）有限公司环网柜迁移项目</w:t>
      </w:r>
      <w:r>
        <w:rPr>
          <w:rFonts w:hint="eastAsia" w:ascii="宋体" w:hAnsi="宋体"/>
          <w:color w:val="000000"/>
          <w:sz w:val="24"/>
          <w:szCs w:val="24"/>
          <w:highlight w:val="none"/>
        </w:rPr>
        <w:t>招标项目的潜在投标人可在</w:t>
      </w:r>
      <w:r>
        <w:rPr>
          <w:rFonts w:hint="eastAsia" w:ascii="宋体" w:hAnsi="宋体"/>
          <w:color w:val="000000"/>
          <w:sz w:val="24"/>
          <w:szCs w:val="24"/>
          <w:highlight w:val="none"/>
          <w:u w:val="single"/>
        </w:rPr>
        <w:t>“江苏政府网”www.ccgp-jiangsu.gov.cn自行免费下载</w:t>
      </w:r>
      <w:r>
        <w:rPr>
          <w:rFonts w:hint="eastAsia" w:ascii="宋体" w:hAnsi="宋体"/>
          <w:color w:val="000000"/>
          <w:sz w:val="24"/>
          <w:szCs w:val="24"/>
          <w:highlight w:val="none"/>
        </w:rPr>
        <w:t>招标文件，</w:t>
      </w:r>
      <w:r>
        <w:rPr>
          <w:rFonts w:hint="eastAsia" w:ascii="宋体" w:hAnsi="宋体"/>
          <w:b/>
          <w:bCs/>
          <w:color w:val="FF0000"/>
          <w:sz w:val="24"/>
          <w:szCs w:val="24"/>
          <w:highlight w:val="none"/>
        </w:rPr>
        <w:t>并于</w:t>
      </w:r>
      <w:r>
        <w:rPr>
          <w:rFonts w:hint="eastAsia" w:ascii="宋体" w:hAnsi="宋体"/>
          <w:b/>
          <w:bCs/>
          <w:color w:val="FF0000"/>
          <w:sz w:val="24"/>
          <w:szCs w:val="24"/>
          <w:highlight w:val="none"/>
          <w:u w:val="single"/>
          <w:lang w:eastAsia="zh-CN"/>
        </w:rPr>
        <w:t>2026年</w:t>
      </w:r>
      <w:r>
        <w:rPr>
          <w:rFonts w:hint="eastAsia" w:ascii="宋体" w:hAnsi="宋体"/>
          <w:b/>
          <w:bCs/>
          <w:color w:val="FF0000"/>
          <w:sz w:val="24"/>
          <w:szCs w:val="24"/>
          <w:highlight w:val="none"/>
          <w:u w:val="single"/>
          <w:lang w:val="en-US" w:eastAsia="zh-CN"/>
        </w:rPr>
        <w:t>7</w:t>
      </w:r>
      <w:r>
        <w:rPr>
          <w:rFonts w:hint="eastAsia" w:ascii="宋体" w:hAnsi="宋体"/>
          <w:b/>
          <w:bCs/>
          <w:color w:val="FF0000"/>
          <w:sz w:val="24"/>
          <w:szCs w:val="24"/>
          <w:highlight w:val="none"/>
          <w:u w:val="single"/>
          <w:lang w:eastAsia="zh-CN"/>
        </w:rPr>
        <w:t>月</w:t>
      </w:r>
      <w:r>
        <w:rPr>
          <w:rFonts w:hint="eastAsia" w:ascii="宋体" w:hAnsi="宋体"/>
          <w:b/>
          <w:bCs/>
          <w:color w:val="FF0000"/>
          <w:sz w:val="24"/>
          <w:szCs w:val="24"/>
          <w:highlight w:val="none"/>
          <w:u w:val="single"/>
          <w:lang w:val="en-US" w:eastAsia="zh-CN"/>
        </w:rPr>
        <w:t>20</w:t>
      </w:r>
      <w:r>
        <w:rPr>
          <w:rFonts w:hint="eastAsia" w:ascii="宋体" w:hAnsi="宋体"/>
          <w:b/>
          <w:bCs/>
          <w:color w:val="FF0000"/>
          <w:sz w:val="24"/>
          <w:szCs w:val="24"/>
          <w:highlight w:val="none"/>
          <w:u w:val="single"/>
        </w:rPr>
        <w:t>日</w:t>
      </w:r>
      <w:r>
        <w:rPr>
          <w:rFonts w:hint="eastAsia" w:ascii="宋体" w:hAnsi="宋体"/>
          <w:b/>
          <w:bCs/>
          <w:color w:val="FF0000"/>
          <w:sz w:val="24"/>
          <w:szCs w:val="24"/>
          <w:highlight w:val="none"/>
          <w:u w:val="single"/>
          <w:lang w:val="en-US" w:eastAsia="zh-CN"/>
        </w:rPr>
        <w:t>9</w:t>
      </w:r>
      <w:r>
        <w:rPr>
          <w:rFonts w:hint="eastAsia" w:ascii="宋体" w:hAnsi="宋体"/>
          <w:b/>
          <w:bCs/>
          <w:color w:val="FF0000"/>
          <w:sz w:val="24"/>
          <w:szCs w:val="24"/>
          <w:highlight w:val="none"/>
          <w:u w:val="single"/>
        </w:rPr>
        <w:t>点</w:t>
      </w:r>
      <w:r>
        <w:rPr>
          <w:rFonts w:hint="eastAsia" w:ascii="宋体" w:hAnsi="宋体"/>
          <w:b/>
          <w:bCs/>
          <w:color w:val="FF0000"/>
          <w:sz w:val="24"/>
          <w:szCs w:val="24"/>
          <w:highlight w:val="none"/>
          <w:u w:val="single"/>
          <w:lang w:val="en-US" w:eastAsia="zh-CN"/>
        </w:rPr>
        <w:t>30</w:t>
      </w:r>
      <w:r>
        <w:rPr>
          <w:rFonts w:hint="eastAsia" w:ascii="宋体" w:hAnsi="宋体"/>
          <w:b/>
          <w:bCs/>
          <w:color w:val="FF0000"/>
          <w:sz w:val="24"/>
          <w:szCs w:val="24"/>
          <w:highlight w:val="none"/>
          <w:u w:val="single"/>
        </w:rPr>
        <w:t>分（</w:t>
      </w:r>
      <w:r>
        <w:rPr>
          <w:rFonts w:hint="eastAsia" w:ascii="宋体" w:hAnsi="宋体"/>
          <w:b/>
          <w:bCs/>
          <w:color w:val="FF0000"/>
          <w:sz w:val="24"/>
          <w:szCs w:val="24"/>
          <w:highlight w:val="none"/>
        </w:rPr>
        <w:t>北京时间）前递交投标</w:t>
      </w:r>
      <w:r>
        <w:rPr>
          <w:rFonts w:ascii="宋体" w:hAnsi="宋体"/>
          <w:b/>
          <w:bCs/>
          <w:color w:val="FF0000"/>
          <w:sz w:val="24"/>
          <w:szCs w:val="24"/>
          <w:highlight w:val="none"/>
        </w:rPr>
        <w:t>文件</w:t>
      </w:r>
      <w:r>
        <w:rPr>
          <w:rFonts w:hint="eastAsia" w:ascii="宋体" w:hAnsi="宋体"/>
          <w:b/>
          <w:bCs/>
          <w:color w:val="FF0000"/>
          <w:sz w:val="24"/>
          <w:szCs w:val="24"/>
          <w:highlight w:val="none"/>
        </w:rPr>
        <w:t>。</w:t>
      </w:r>
    </w:p>
    <w:p w14:paraId="29BD98B5">
      <w:pPr>
        <w:pStyle w:val="185"/>
        <w:pageBreakBefore w:val="0"/>
        <w:widowControl w:val="0"/>
        <w:spacing w:before="120" w:after="120" w:line="360" w:lineRule="auto"/>
        <w:ind w:firstLine="373"/>
        <w:rPr>
          <w:color w:val="000000"/>
          <w:sz w:val="24"/>
          <w:szCs w:val="24"/>
          <w:highlight w:val="none"/>
        </w:rPr>
      </w:pPr>
      <w:bookmarkStart w:id="6" w:name="_Toc28359002"/>
      <w:bookmarkStart w:id="7" w:name="_Toc38985263"/>
      <w:bookmarkStart w:id="8" w:name="_Toc35393621"/>
      <w:bookmarkStart w:id="9" w:name="_Toc28359079"/>
      <w:bookmarkStart w:id="10" w:name="_Toc35393790"/>
      <w:bookmarkStart w:id="11" w:name="_Hlk24379207"/>
      <w:r>
        <w:rPr>
          <w:rFonts w:hint="eastAsia"/>
          <w:color w:val="000000"/>
          <w:sz w:val="24"/>
          <w:szCs w:val="24"/>
          <w:highlight w:val="none"/>
        </w:rPr>
        <w:t>一、项目基本情况</w:t>
      </w:r>
      <w:bookmarkEnd w:id="6"/>
      <w:bookmarkEnd w:id="7"/>
      <w:bookmarkEnd w:id="8"/>
      <w:bookmarkEnd w:id="9"/>
      <w:bookmarkEnd w:id="10"/>
    </w:p>
    <w:bookmarkEnd w:id="11"/>
    <w:p w14:paraId="34BC3B5C">
      <w:pPr>
        <w:pageBreakBefore w:val="0"/>
        <w:widowControl w:val="0"/>
        <w:spacing w:line="360" w:lineRule="auto"/>
        <w:ind w:firstLine="480"/>
        <w:rPr>
          <w:rFonts w:hint="eastAsia" w:ascii="宋体" w:hAnsi="宋体"/>
          <w:color w:val="000000"/>
          <w:sz w:val="24"/>
          <w:szCs w:val="24"/>
          <w:highlight w:val="none"/>
        </w:rPr>
      </w:pPr>
      <w:bookmarkStart w:id="12" w:name="_Toc35393791"/>
      <w:bookmarkStart w:id="13" w:name="_Toc28359003"/>
      <w:bookmarkStart w:id="14" w:name="_Toc38985264"/>
      <w:bookmarkStart w:id="15" w:name="_Toc35393622"/>
      <w:bookmarkStart w:id="16" w:name="_Toc28359080"/>
      <w:r>
        <w:rPr>
          <w:rFonts w:hint="eastAsia" w:ascii="宋体" w:hAnsi="宋体"/>
          <w:color w:val="000000"/>
          <w:sz w:val="24"/>
          <w:szCs w:val="24"/>
          <w:highlight w:val="none"/>
        </w:rPr>
        <w:t>1.项目编号：</w:t>
      </w:r>
      <w:r>
        <w:rPr>
          <w:rFonts w:hint="eastAsia" w:ascii="宋体" w:hAnsi="宋体"/>
          <w:color w:val="000000"/>
          <w:sz w:val="24"/>
          <w:szCs w:val="24"/>
          <w:highlight w:val="none"/>
          <w:lang w:eastAsia="zh-CN"/>
        </w:rPr>
        <w:t>JSZC-321182-ZJSK-G2026-0003</w:t>
      </w:r>
      <w:r>
        <w:rPr>
          <w:rFonts w:hint="eastAsia" w:ascii="宋体" w:hAnsi="宋体"/>
          <w:color w:val="000000"/>
          <w:sz w:val="24"/>
          <w:szCs w:val="24"/>
          <w:highlight w:val="none"/>
        </w:rPr>
        <w:t>；</w:t>
      </w:r>
    </w:p>
    <w:p w14:paraId="26B9938E">
      <w:pPr>
        <w:pageBreakBefore w:val="0"/>
        <w:widowControl w:val="0"/>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2.项目名称：</w:t>
      </w:r>
      <w:r>
        <w:rPr>
          <w:rFonts w:hint="eastAsia" w:ascii="宋体" w:hAnsi="宋体"/>
          <w:color w:val="000000"/>
          <w:sz w:val="24"/>
          <w:szCs w:val="24"/>
          <w:highlight w:val="none"/>
          <w:lang w:eastAsia="zh-CN"/>
        </w:rPr>
        <w:t>赫顿海工装备（江苏）有限公司环网柜迁移项目</w:t>
      </w:r>
      <w:r>
        <w:rPr>
          <w:rFonts w:hint="eastAsia" w:ascii="宋体" w:hAnsi="宋体"/>
          <w:color w:val="000000"/>
          <w:sz w:val="24"/>
          <w:szCs w:val="24"/>
          <w:highlight w:val="none"/>
        </w:rPr>
        <w:t>；</w:t>
      </w:r>
    </w:p>
    <w:p w14:paraId="11AF8388">
      <w:pPr>
        <w:pageBreakBefore w:val="0"/>
        <w:widowControl w:val="0"/>
        <w:spacing w:line="360" w:lineRule="auto"/>
        <w:ind w:firstLine="480"/>
        <w:rPr>
          <w:rFonts w:ascii="宋体" w:hAnsi="宋体"/>
          <w:b w:val="0"/>
          <w:bCs w:val="0"/>
          <w:color w:val="000000"/>
          <w:sz w:val="24"/>
          <w:szCs w:val="24"/>
          <w:highlight w:val="none"/>
        </w:rPr>
      </w:pPr>
      <w:r>
        <w:rPr>
          <w:rFonts w:hint="eastAsia" w:ascii="宋体" w:hAnsi="宋体"/>
          <w:b w:val="0"/>
          <w:bCs w:val="0"/>
          <w:color w:val="000000"/>
          <w:sz w:val="24"/>
          <w:szCs w:val="24"/>
          <w:highlight w:val="none"/>
        </w:rPr>
        <w:t>3.预算金额：</w:t>
      </w:r>
      <w:r>
        <w:rPr>
          <w:rFonts w:hint="eastAsia" w:ascii="宋体" w:hAnsi="宋体"/>
          <w:b w:val="0"/>
          <w:bCs w:val="0"/>
          <w:color w:val="000000"/>
          <w:sz w:val="24"/>
          <w:szCs w:val="24"/>
          <w:highlight w:val="none"/>
          <w:lang w:val="en-US" w:eastAsia="zh-CN"/>
        </w:rPr>
        <w:t>180万</w:t>
      </w:r>
      <w:r>
        <w:rPr>
          <w:rFonts w:hint="eastAsia" w:ascii="宋体" w:hAnsi="宋体"/>
          <w:b w:val="0"/>
          <w:bCs w:val="0"/>
          <w:color w:val="000000"/>
          <w:sz w:val="24"/>
          <w:szCs w:val="24"/>
          <w:highlight w:val="none"/>
        </w:rPr>
        <w:t>元（本项目按实结算，最终结算金额不超过该预算）；</w:t>
      </w:r>
    </w:p>
    <w:p w14:paraId="7DDE7E3C">
      <w:pPr>
        <w:pageBreakBefore w:val="0"/>
        <w:widowControl w:val="0"/>
        <w:spacing w:line="360" w:lineRule="auto"/>
        <w:ind w:firstLine="480"/>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4.最高限价</w:t>
      </w:r>
      <w:r>
        <w:rPr>
          <w:rFonts w:hint="eastAsia" w:ascii="宋体" w:hAnsi="宋体" w:eastAsia="宋体" w:cs="Times New Roman"/>
          <w:b w:val="0"/>
          <w:bCs w:val="0"/>
          <w:color w:val="000000"/>
          <w:sz w:val="24"/>
          <w:szCs w:val="24"/>
          <w:highlight w:val="none"/>
          <w:lang w:eastAsia="zh-CN"/>
        </w:rPr>
        <w:t>：</w:t>
      </w:r>
      <w:r>
        <w:rPr>
          <w:rFonts w:hint="eastAsia" w:ascii="宋体" w:hAnsi="宋体" w:cs="Times New Roman"/>
          <w:b w:val="0"/>
          <w:bCs w:val="0"/>
          <w:color w:val="000000"/>
          <w:sz w:val="24"/>
          <w:szCs w:val="24"/>
          <w:highlight w:val="none"/>
          <w:lang w:val="en-US" w:eastAsia="zh-CN"/>
        </w:rPr>
        <w:t>1760103.88</w:t>
      </w:r>
      <w:r>
        <w:rPr>
          <w:rFonts w:hint="eastAsia" w:ascii="宋体" w:hAnsi="宋体" w:eastAsia="宋体" w:cs="Times New Roman"/>
          <w:b w:val="0"/>
          <w:bCs w:val="0"/>
          <w:color w:val="000000"/>
          <w:sz w:val="24"/>
          <w:szCs w:val="24"/>
          <w:highlight w:val="none"/>
          <w:lang w:val="en-US" w:eastAsia="zh-CN"/>
        </w:rPr>
        <w:t>元，投标报价超过该项目最高限价的为无效投标报价。</w:t>
      </w:r>
    </w:p>
    <w:p w14:paraId="4C2E6AE6">
      <w:pPr>
        <w:pageBreakBefore w:val="0"/>
        <w:widowControl w:val="0"/>
        <w:spacing w:line="360" w:lineRule="auto"/>
        <w:ind w:firstLine="480"/>
        <w:rPr>
          <w:rFonts w:hint="eastAsia" w:ascii="宋体" w:hAnsi="宋体"/>
          <w:color w:val="000000"/>
          <w:sz w:val="24"/>
          <w:szCs w:val="24"/>
          <w:highlight w:val="none"/>
          <w:u w:val="single"/>
        </w:rPr>
      </w:pPr>
      <w:r>
        <w:rPr>
          <w:rFonts w:hint="eastAsia" w:ascii="宋体" w:hAnsi="宋体"/>
          <w:color w:val="000000"/>
          <w:sz w:val="24"/>
          <w:szCs w:val="24"/>
          <w:highlight w:val="none"/>
        </w:rPr>
        <w:t>5.需求(简介)：</w:t>
      </w:r>
      <w:r>
        <w:rPr>
          <w:rFonts w:hint="eastAsia" w:ascii="宋体" w:hAnsi="宋体"/>
          <w:color w:val="000000"/>
          <w:sz w:val="24"/>
          <w:szCs w:val="24"/>
          <w:highlight w:val="none"/>
          <w:lang w:eastAsia="zh-CN"/>
        </w:rPr>
        <w:t>赫顿海工装备（江苏）有限公司环网柜迁移项目，</w:t>
      </w:r>
      <w:r>
        <w:rPr>
          <w:rFonts w:hint="eastAsia" w:ascii="宋体" w:hAnsi="宋体" w:cs="宋体"/>
          <w:color w:val="000000"/>
          <w:sz w:val="24"/>
          <w:szCs w:val="24"/>
          <w:highlight w:val="none"/>
        </w:rPr>
        <w:t>详细内容见本招标文件第四章；</w:t>
      </w:r>
    </w:p>
    <w:p w14:paraId="1AFAD92B">
      <w:pPr>
        <w:pageBreakBefore w:val="0"/>
        <w:widowControl w:val="0"/>
        <w:spacing w:line="360" w:lineRule="auto"/>
        <w:ind w:firstLine="48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6.合同履行期限：</w:t>
      </w:r>
      <w:r>
        <w:rPr>
          <w:rFonts w:hint="eastAsia" w:ascii="宋体" w:hAnsi="宋体"/>
          <w:b/>
          <w:bCs/>
          <w:color w:val="FF0000"/>
          <w:sz w:val="24"/>
          <w:szCs w:val="24"/>
          <w:highlight w:val="none"/>
          <w:u w:val="single"/>
          <w:lang w:val="en-US" w:eastAsia="zh-CN"/>
        </w:rPr>
        <w:t xml:space="preserve">  30  </w:t>
      </w:r>
      <w:r>
        <w:rPr>
          <w:rFonts w:hint="eastAsia" w:ascii="宋体" w:hAnsi="宋体"/>
          <w:b/>
          <w:bCs/>
          <w:color w:val="FF0000"/>
          <w:sz w:val="24"/>
          <w:szCs w:val="24"/>
          <w:highlight w:val="none"/>
          <w:lang w:val="en-US" w:eastAsia="zh-CN"/>
        </w:rPr>
        <w:t>日历天</w:t>
      </w:r>
      <w:r>
        <w:rPr>
          <w:rFonts w:hint="eastAsia" w:ascii="宋体" w:hAnsi="宋体"/>
          <w:color w:val="000000"/>
          <w:sz w:val="24"/>
          <w:szCs w:val="24"/>
          <w:highlight w:val="none"/>
          <w:lang w:val="en-US" w:eastAsia="zh-CN"/>
        </w:rPr>
        <w:t>；</w:t>
      </w:r>
    </w:p>
    <w:p w14:paraId="1C5BEF01">
      <w:pPr>
        <w:spacing w:line="44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7. 本项目是否仅面向中小微企业：</w:t>
      </w:r>
      <w:r>
        <w:rPr>
          <w:rFonts w:hint="eastAsia" w:ascii="宋体" w:hAnsi="宋体"/>
          <w:color w:val="000000"/>
          <w:sz w:val="24"/>
          <w:szCs w:val="24"/>
        </w:rPr>
        <w:t>是☑  否□。</w:t>
      </w:r>
    </w:p>
    <w:p w14:paraId="273605C7">
      <w:pPr>
        <w:pStyle w:val="185"/>
        <w:pageBreakBefore w:val="0"/>
        <w:widowControl w:val="0"/>
        <w:spacing w:before="120" w:after="120" w:line="360" w:lineRule="auto"/>
        <w:ind w:firstLine="373"/>
        <w:rPr>
          <w:color w:val="000000"/>
          <w:sz w:val="24"/>
          <w:szCs w:val="24"/>
          <w:highlight w:val="none"/>
        </w:rPr>
      </w:pPr>
      <w:r>
        <w:rPr>
          <w:rFonts w:hint="eastAsia"/>
          <w:color w:val="000000"/>
          <w:sz w:val="24"/>
          <w:szCs w:val="24"/>
          <w:highlight w:val="none"/>
        </w:rPr>
        <w:t>二、申请人的资格要求</w:t>
      </w:r>
      <w:bookmarkEnd w:id="12"/>
      <w:bookmarkEnd w:id="13"/>
      <w:bookmarkEnd w:id="14"/>
      <w:bookmarkEnd w:id="15"/>
      <w:bookmarkEnd w:id="16"/>
    </w:p>
    <w:p w14:paraId="6D6B94CE">
      <w:pPr>
        <w:pageBreakBefore w:val="0"/>
        <w:widowControl w:val="0"/>
        <w:spacing w:line="360" w:lineRule="auto"/>
        <w:ind w:firstLine="482"/>
        <w:rPr>
          <w:rFonts w:hint="eastAsia" w:ascii="宋体" w:hAnsi="宋体"/>
          <w:b/>
          <w:bCs/>
          <w:color w:val="000000"/>
          <w:sz w:val="24"/>
          <w:szCs w:val="24"/>
          <w:highlight w:val="none"/>
        </w:rPr>
      </w:pPr>
      <w:bookmarkStart w:id="17" w:name="_Toc35393623"/>
      <w:bookmarkStart w:id="18" w:name="_Toc35393792"/>
      <w:bookmarkStart w:id="19" w:name="_Toc28359081"/>
      <w:bookmarkStart w:id="20" w:name="_Toc28359004"/>
      <w:bookmarkStart w:id="21" w:name="_Toc38985265"/>
      <w:r>
        <w:rPr>
          <w:rFonts w:hint="eastAsia" w:ascii="宋体" w:hAnsi="宋体"/>
          <w:b/>
          <w:bCs/>
          <w:color w:val="000000"/>
          <w:sz w:val="24"/>
          <w:szCs w:val="24"/>
          <w:highlight w:val="none"/>
        </w:rPr>
        <w:t>（一</w:t>
      </w:r>
      <w:r>
        <w:rPr>
          <w:rFonts w:ascii="宋体" w:hAnsi="宋体"/>
          <w:b/>
          <w:bCs/>
          <w:color w:val="000000"/>
          <w:sz w:val="24"/>
          <w:szCs w:val="24"/>
          <w:highlight w:val="none"/>
        </w:rPr>
        <w:t>）</w:t>
      </w:r>
      <w:r>
        <w:rPr>
          <w:rFonts w:hint="eastAsia" w:ascii="宋体" w:hAnsi="宋体"/>
          <w:b/>
          <w:bCs/>
          <w:color w:val="000000"/>
          <w:sz w:val="24"/>
          <w:szCs w:val="24"/>
          <w:highlight w:val="none"/>
        </w:rPr>
        <w:t>通用</w:t>
      </w:r>
      <w:r>
        <w:rPr>
          <w:rFonts w:ascii="宋体" w:hAnsi="宋体"/>
          <w:b/>
          <w:bCs/>
          <w:color w:val="000000"/>
          <w:sz w:val="24"/>
          <w:szCs w:val="24"/>
          <w:highlight w:val="none"/>
        </w:rPr>
        <w:t>资格要求</w:t>
      </w:r>
    </w:p>
    <w:p w14:paraId="4DAB16A1">
      <w:pPr>
        <w:pageBreakBefore w:val="0"/>
        <w:widowControl w:val="0"/>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1.满足《中华人民共和国政府法》第二十二条规定，并提供下列材料：</w:t>
      </w:r>
    </w:p>
    <w:p w14:paraId="2EA1DAEB">
      <w:pPr>
        <w:pageBreakBefore w:val="0"/>
        <w:widowControl w:val="0"/>
        <w:spacing w:line="360" w:lineRule="auto"/>
        <w:ind w:firstLine="560"/>
        <w:rPr>
          <w:rFonts w:ascii="宋体" w:hAnsi="宋体"/>
          <w:color w:val="000000"/>
          <w:sz w:val="24"/>
          <w:szCs w:val="24"/>
          <w:highlight w:val="none"/>
        </w:rPr>
      </w:pPr>
      <w:r>
        <w:rPr>
          <w:rFonts w:hint="eastAsia" w:ascii="宋体" w:hAnsi="宋体"/>
          <w:color w:val="000000"/>
          <w:sz w:val="24"/>
          <w:szCs w:val="24"/>
          <w:highlight w:val="none"/>
        </w:rPr>
        <w:t>A.具有独立承担民事责任的能力（</w:t>
      </w:r>
      <w:r>
        <w:rPr>
          <w:rFonts w:ascii="宋体" w:hAnsi="宋体"/>
          <w:color w:val="000000"/>
          <w:sz w:val="24"/>
          <w:szCs w:val="24"/>
          <w:highlight w:val="none"/>
        </w:rPr>
        <w:t>提供法人或者其他组织的营业执照等证明文件，自然人的身份证明；如</w:t>
      </w:r>
      <w:r>
        <w:rPr>
          <w:rFonts w:hint="eastAsia" w:ascii="宋体" w:hAnsi="宋体"/>
          <w:color w:val="000000"/>
          <w:sz w:val="24"/>
          <w:szCs w:val="24"/>
          <w:highlight w:val="none"/>
          <w:lang w:eastAsia="zh-CN"/>
        </w:rPr>
        <w:t>投标人</w:t>
      </w:r>
      <w:r>
        <w:rPr>
          <w:rFonts w:ascii="宋体" w:hAnsi="宋体"/>
          <w:color w:val="000000"/>
          <w:sz w:val="24"/>
          <w:szCs w:val="24"/>
          <w:highlight w:val="none"/>
        </w:rPr>
        <w:t>为事业单位，请提供事业单位法人证书</w:t>
      </w:r>
      <w:r>
        <w:rPr>
          <w:rFonts w:hint="eastAsia" w:ascii="宋体" w:hAnsi="宋体"/>
          <w:color w:val="000000"/>
          <w:sz w:val="24"/>
          <w:szCs w:val="24"/>
          <w:highlight w:val="none"/>
        </w:rPr>
        <w:t>）；</w:t>
      </w:r>
    </w:p>
    <w:p w14:paraId="55E9D52E">
      <w:pPr>
        <w:pageBreakBefore w:val="0"/>
        <w:widowControl w:val="0"/>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B.具有良好的商业信誉和健全的财务会计制度</w:t>
      </w:r>
      <w:r>
        <w:rPr>
          <w:rFonts w:hint="eastAsia" w:ascii="宋体" w:hAnsi="宋体"/>
          <w:color w:val="000000"/>
          <w:sz w:val="24"/>
          <w:szCs w:val="28"/>
          <w:highlight w:val="none"/>
        </w:rPr>
        <w:t>【提供</w:t>
      </w:r>
      <w:r>
        <w:rPr>
          <w:rFonts w:hint="eastAsia" w:ascii="宋体" w:hAnsi="宋体"/>
          <w:color w:val="000000"/>
          <w:sz w:val="24"/>
          <w:szCs w:val="28"/>
          <w:highlight w:val="none"/>
          <w:lang w:eastAsia="zh-CN"/>
        </w:rPr>
        <w:t>2025年度财务报告</w:t>
      </w:r>
      <w:r>
        <w:rPr>
          <w:rFonts w:hint="eastAsia" w:ascii="宋体" w:hAnsi="宋体"/>
          <w:color w:val="000000"/>
          <w:sz w:val="24"/>
          <w:szCs w:val="28"/>
          <w:highlight w:val="none"/>
        </w:rPr>
        <w:t>（成立不满一年的提供至少一个月财务报告），或银行出具的资信证明，或财政部门认可的政府专业担保机构出具的投标担保函】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w:t>
      </w:r>
    </w:p>
    <w:p w14:paraId="224AC8D3">
      <w:pPr>
        <w:pageBreakBefore w:val="0"/>
        <w:widowControl w:val="0"/>
        <w:spacing w:line="360" w:lineRule="auto"/>
        <w:ind w:firstLine="560"/>
        <w:rPr>
          <w:rFonts w:ascii="宋体" w:hAnsi="宋体"/>
          <w:color w:val="000000"/>
          <w:sz w:val="24"/>
          <w:szCs w:val="24"/>
          <w:highlight w:val="none"/>
        </w:rPr>
      </w:pPr>
      <w:r>
        <w:rPr>
          <w:rFonts w:hint="eastAsia" w:ascii="宋体" w:hAnsi="宋体"/>
          <w:color w:val="000000"/>
          <w:sz w:val="24"/>
          <w:szCs w:val="24"/>
          <w:highlight w:val="none"/>
        </w:rPr>
        <w:t>C.具有履行合同所必需的设备和专业技术能力{提供投标单位相关信息一览表（见投标文件格式）；</w:t>
      </w:r>
    </w:p>
    <w:p w14:paraId="52A6C6BA">
      <w:pPr>
        <w:pageBreakBefore w:val="0"/>
        <w:widowControl w:val="0"/>
        <w:spacing w:line="360" w:lineRule="auto"/>
        <w:ind w:firstLine="560"/>
        <w:rPr>
          <w:rFonts w:ascii="宋体" w:hAnsi="宋体"/>
          <w:color w:val="000000"/>
          <w:sz w:val="24"/>
          <w:szCs w:val="24"/>
          <w:highlight w:val="none"/>
        </w:rPr>
      </w:pPr>
      <w:r>
        <w:rPr>
          <w:rFonts w:hint="eastAsia" w:ascii="宋体" w:hAnsi="宋体"/>
          <w:color w:val="000000"/>
          <w:sz w:val="24"/>
          <w:szCs w:val="24"/>
          <w:highlight w:val="none"/>
        </w:rPr>
        <w:t>D.提供参加本次政府活动前三年内，在经营活动中没有重大违法记录的承诺函（见投标函第7条）；</w:t>
      </w:r>
    </w:p>
    <w:p w14:paraId="0372BFDB">
      <w:pPr>
        <w:pageBreakBefore w:val="0"/>
        <w:widowControl w:val="0"/>
        <w:spacing w:line="360" w:lineRule="auto"/>
        <w:ind w:firstLine="560"/>
        <w:rPr>
          <w:rFonts w:ascii="宋体" w:hAnsi="宋体"/>
          <w:color w:val="000000"/>
          <w:sz w:val="24"/>
          <w:szCs w:val="24"/>
          <w:highlight w:val="none"/>
        </w:rPr>
      </w:pPr>
      <w:r>
        <w:rPr>
          <w:rFonts w:hint="eastAsia" w:ascii="宋体" w:hAnsi="宋体"/>
          <w:color w:val="000000"/>
          <w:sz w:val="24"/>
          <w:szCs w:val="24"/>
          <w:highlight w:val="none"/>
        </w:rPr>
        <w:t>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依法享受缓缴、免缴税收、社会保障资金的提供证明材料）；</w:t>
      </w:r>
    </w:p>
    <w:p w14:paraId="6B4C5A9C">
      <w:pPr>
        <w:pageBreakBefore w:val="0"/>
        <w:widowControl w:val="0"/>
        <w:spacing w:line="360" w:lineRule="auto"/>
        <w:ind w:firstLine="562"/>
        <w:rPr>
          <w:rFonts w:ascii="宋体" w:hAnsi="宋体"/>
          <w:b w:val="0"/>
          <w:bCs w:val="0"/>
          <w:color w:val="000000"/>
          <w:sz w:val="24"/>
          <w:szCs w:val="24"/>
          <w:highlight w:val="none"/>
        </w:rPr>
      </w:pPr>
      <w:r>
        <w:rPr>
          <w:rFonts w:hint="eastAsia" w:ascii="宋体" w:hAnsi="宋体"/>
          <w:b w:val="0"/>
          <w:bCs w:val="0"/>
          <w:color w:val="000000"/>
          <w:sz w:val="24"/>
          <w:szCs w:val="24"/>
          <w:highlight w:val="none"/>
        </w:rPr>
        <w:t>注：①按</w:t>
      </w:r>
      <w:r>
        <w:rPr>
          <w:rFonts w:ascii="宋体" w:hAnsi="宋体"/>
          <w:b w:val="0"/>
          <w:bCs w:val="0"/>
          <w:color w:val="000000"/>
          <w:sz w:val="24"/>
          <w:szCs w:val="24"/>
          <w:highlight w:val="none"/>
        </w:rPr>
        <w:t>扬财购〔</w:t>
      </w:r>
      <w:r>
        <w:rPr>
          <w:rFonts w:hint="eastAsia" w:ascii="宋体" w:hAnsi="宋体"/>
          <w:b w:val="0"/>
          <w:bCs w:val="0"/>
          <w:color w:val="000000"/>
          <w:sz w:val="24"/>
          <w:szCs w:val="24"/>
          <w:highlight w:val="none"/>
        </w:rPr>
        <w:t>2022</w:t>
      </w:r>
      <w:r>
        <w:rPr>
          <w:rFonts w:ascii="宋体" w:hAnsi="宋体"/>
          <w:b w:val="0"/>
          <w:bCs w:val="0"/>
          <w:color w:val="000000"/>
          <w:sz w:val="24"/>
          <w:szCs w:val="24"/>
          <w:highlight w:val="none"/>
        </w:rPr>
        <w:t>〕1</w:t>
      </w:r>
      <w:r>
        <w:rPr>
          <w:rFonts w:hint="eastAsia" w:ascii="宋体" w:hAnsi="宋体"/>
          <w:b w:val="0"/>
          <w:bCs w:val="0"/>
          <w:color w:val="000000"/>
          <w:sz w:val="24"/>
          <w:szCs w:val="24"/>
          <w:highlight w:val="none"/>
        </w:rPr>
        <w:t>7</w:t>
      </w:r>
      <w:r>
        <w:rPr>
          <w:rFonts w:ascii="宋体" w:hAnsi="宋体"/>
          <w:b w:val="0"/>
          <w:bCs w:val="0"/>
          <w:color w:val="000000"/>
          <w:sz w:val="24"/>
          <w:szCs w:val="24"/>
          <w:highlight w:val="none"/>
        </w:rPr>
        <w:t>号《关于进一步降低政府活动成本减轻政府</w:t>
      </w:r>
      <w:r>
        <w:rPr>
          <w:rFonts w:hint="eastAsia" w:ascii="宋体" w:hAnsi="宋体"/>
          <w:b w:val="0"/>
          <w:bCs w:val="0"/>
          <w:color w:val="000000"/>
          <w:sz w:val="24"/>
          <w:szCs w:val="24"/>
          <w:highlight w:val="none"/>
          <w:lang w:eastAsia="zh-CN"/>
        </w:rPr>
        <w:t>投标人</w:t>
      </w:r>
      <w:r>
        <w:rPr>
          <w:rFonts w:ascii="宋体" w:hAnsi="宋体"/>
          <w:b w:val="0"/>
          <w:bCs w:val="0"/>
          <w:color w:val="000000"/>
          <w:sz w:val="24"/>
          <w:szCs w:val="24"/>
          <w:highlight w:val="none"/>
        </w:rPr>
        <w:t>负担的通知》</w:t>
      </w:r>
      <w:r>
        <w:rPr>
          <w:rFonts w:hint="eastAsia" w:ascii="宋体" w:hAnsi="宋体"/>
          <w:b w:val="0"/>
          <w:bCs w:val="0"/>
          <w:color w:val="000000"/>
          <w:sz w:val="24"/>
          <w:szCs w:val="24"/>
          <w:highlight w:val="none"/>
        </w:rPr>
        <w:t>本项目</w:t>
      </w:r>
      <w:r>
        <w:rPr>
          <w:rFonts w:ascii="宋体" w:hAnsi="宋体"/>
          <w:b w:val="0"/>
          <w:bCs w:val="0"/>
          <w:color w:val="000000"/>
          <w:sz w:val="24"/>
          <w:szCs w:val="24"/>
          <w:highlight w:val="none"/>
        </w:rPr>
        <w:t>申请人的资格条件采取</w:t>
      </w:r>
      <w:r>
        <w:rPr>
          <w:rFonts w:hint="eastAsia" w:ascii="宋体" w:hAnsi="宋体"/>
          <w:b w:val="0"/>
          <w:bCs w:val="0"/>
          <w:color w:val="000000"/>
          <w:sz w:val="24"/>
          <w:szCs w:val="24"/>
          <w:highlight w:val="none"/>
        </w:rPr>
        <w:t>“</w:t>
      </w:r>
      <w:r>
        <w:rPr>
          <w:rFonts w:ascii="宋体" w:hAnsi="宋体"/>
          <w:b w:val="0"/>
          <w:bCs w:val="0"/>
          <w:color w:val="000000"/>
          <w:sz w:val="24"/>
          <w:szCs w:val="24"/>
          <w:highlight w:val="none"/>
        </w:rPr>
        <w:t>信用承诺制</w:t>
      </w:r>
      <w:r>
        <w:rPr>
          <w:rFonts w:hint="eastAsia" w:ascii="宋体" w:hAnsi="宋体"/>
          <w:b w:val="0"/>
          <w:bCs w:val="0"/>
          <w:color w:val="000000"/>
          <w:sz w:val="24"/>
          <w:szCs w:val="24"/>
          <w:highlight w:val="none"/>
        </w:rPr>
        <w:t>”，</w:t>
      </w:r>
      <w:r>
        <w:rPr>
          <w:rFonts w:hint="eastAsia" w:ascii="宋体" w:hAnsi="宋体"/>
          <w:b/>
          <w:bCs/>
          <w:color w:val="000000"/>
          <w:sz w:val="24"/>
          <w:szCs w:val="24"/>
          <w:highlight w:val="none"/>
        </w:rPr>
        <w:t>资格要求</w:t>
      </w:r>
      <w:r>
        <w:rPr>
          <w:rFonts w:ascii="宋体" w:hAnsi="宋体"/>
          <w:b/>
          <w:bCs/>
          <w:color w:val="000000"/>
          <w:sz w:val="24"/>
          <w:szCs w:val="24"/>
          <w:highlight w:val="none"/>
        </w:rPr>
        <w:t>第</w:t>
      </w:r>
      <w:r>
        <w:rPr>
          <w:rFonts w:hint="eastAsia" w:ascii="宋体" w:hAnsi="宋体"/>
          <w:b/>
          <w:bCs/>
          <w:color w:val="000000"/>
          <w:sz w:val="24"/>
          <w:szCs w:val="24"/>
          <w:highlight w:val="none"/>
        </w:rPr>
        <w:t>B</w:t>
      </w:r>
      <w:r>
        <w:rPr>
          <w:rFonts w:ascii="宋体" w:hAnsi="宋体"/>
          <w:b/>
          <w:bCs/>
          <w:color w:val="000000"/>
          <w:sz w:val="24"/>
          <w:szCs w:val="24"/>
          <w:highlight w:val="none"/>
        </w:rPr>
        <w:t>至第</w:t>
      </w:r>
      <w:r>
        <w:rPr>
          <w:rFonts w:hint="eastAsia" w:ascii="宋体" w:hAnsi="宋体"/>
          <w:b/>
          <w:bCs/>
          <w:color w:val="000000"/>
          <w:sz w:val="24"/>
          <w:szCs w:val="24"/>
          <w:highlight w:val="none"/>
        </w:rPr>
        <w:t>E</w:t>
      </w:r>
      <w:r>
        <w:rPr>
          <w:rFonts w:ascii="宋体" w:hAnsi="宋体"/>
          <w:b/>
          <w:bCs/>
          <w:color w:val="000000"/>
          <w:sz w:val="24"/>
          <w:szCs w:val="24"/>
          <w:highlight w:val="none"/>
        </w:rPr>
        <w:t>项，</w:t>
      </w:r>
      <w:r>
        <w:rPr>
          <w:rFonts w:hint="eastAsia" w:ascii="宋体" w:hAnsi="宋体"/>
          <w:b/>
          <w:bCs/>
          <w:color w:val="000000"/>
          <w:sz w:val="24"/>
          <w:szCs w:val="24"/>
          <w:highlight w:val="none"/>
          <w:lang w:eastAsia="zh-CN"/>
        </w:rPr>
        <w:t>投标人</w:t>
      </w:r>
      <w:r>
        <w:rPr>
          <w:rFonts w:ascii="宋体" w:hAnsi="宋体"/>
          <w:b/>
          <w:bCs/>
          <w:color w:val="000000"/>
          <w:sz w:val="24"/>
          <w:szCs w:val="24"/>
          <w:highlight w:val="none"/>
        </w:rPr>
        <w:t>可选择提供资格承诺函</w:t>
      </w:r>
      <w:r>
        <w:rPr>
          <w:rFonts w:hint="eastAsia" w:ascii="宋体" w:hAnsi="宋体"/>
          <w:b w:val="0"/>
          <w:bCs w:val="0"/>
          <w:color w:val="000000"/>
          <w:sz w:val="24"/>
          <w:szCs w:val="24"/>
          <w:highlight w:val="none"/>
        </w:rPr>
        <w:t>（见投标文件格式）</w:t>
      </w:r>
      <w:r>
        <w:rPr>
          <w:rFonts w:ascii="宋体" w:hAnsi="宋体"/>
          <w:b w:val="0"/>
          <w:bCs w:val="0"/>
          <w:color w:val="000000"/>
          <w:sz w:val="24"/>
          <w:szCs w:val="24"/>
          <w:highlight w:val="none"/>
        </w:rPr>
        <w:t>，在</w:t>
      </w:r>
      <w:r>
        <w:rPr>
          <w:rFonts w:hint="eastAsia" w:ascii="宋体" w:hAnsi="宋体"/>
          <w:b w:val="0"/>
          <w:bCs w:val="0"/>
          <w:color w:val="000000"/>
          <w:sz w:val="24"/>
          <w:szCs w:val="24"/>
          <w:highlight w:val="none"/>
        </w:rPr>
        <w:t>投标</w:t>
      </w:r>
      <w:r>
        <w:rPr>
          <w:rFonts w:ascii="宋体" w:hAnsi="宋体"/>
          <w:b w:val="0"/>
          <w:bCs w:val="0"/>
          <w:color w:val="000000"/>
          <w:sz w:val="24"/>
          <w:szCs w:val="24"/>
          <w:highlight w:val="none"/>
        </w:rPr>
        <w:t>文件中无需再提供与</w:t>
      </w:r>
      <w:r>
        <w:rPr>
          <w:rFonts w:hint="eastAsia" w:ascii="宋体" w:hAnsi="宋体"/>
          <w:b w:val="0"/>
          <w:bCs w:val="0"/>
          <w:color w:val="000000"/>
          <w:sz w:val="24"/>
          <w:szCs w:val="24"/>
          <w:highlight w:val="none"/>
        </w:rPr>
        <w:t>第B至第E项</w:t>
      </w:r>
      <w:r>
        <w:rPr>
          <w:rFonts w:ascii="宋体" w:hAnsi="宋体"/>
          <w:b w:val="0"/>
          <w:bCs w:val="0"/>
          <w:color w:val="000000"/>
          <w:sz w:val="24"/>
          <w:szCs w:val="24"/>
          <w:highlight w:val="none"/>
        </w:rPr>
        <w:t>相关的证明材料即可参加活动。</w:t>
      </w:r>
    </w:p>
    <w:p w14:paraId="3E259498">
      <w:pPr>
        <w:pageBreakBefore w:val="0"/>
        <w:widowControl w:val="0"/>
        <w:spacing w:line="360" w:lineRule="auto"/>
        <w:ind w:firstLine="56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②</w:t>
      </w:r>
      <w:r>
        <w:rPr>
          <w:rFonts w:hint="eastAsia" w:ascii="宋体" w:hAnsi="宋体"/>
          <w:b w:val="0"/>
          <w:bCs w:val="0"/>
          <w:color w:val="000000"/>
          <w:sz w:val="24"/>
          <w:szCs w:val="24"/>
          <w:highlight w:val="none"/>
          <w:lang w:eastAsia="zh-CN"/>
        </w:rPr>
        <w:t>投标人</w:t>
      </w:r>
      <w:r>
        <w:rPr>
          <w:rFonts w:hint="eastAsia" w:ascii="宋体" w:hAnsi="宋体"/>
          <w:b w:val="0"/>
          <w:bCs w:val="0"/>
          <w:color w:val="000000"/>
          <w:sz w:val="24"/>
          <w:szCs w:val="24"/>
          <w:highlight w:val="none"/>
        </w:rPr>
        <w:t>可自行选择是否提供承诺函，若不提供承诺函的，应按招标文件要求提供相应的证明材料。</w:t>
      </w:r>
    </w:p>
    <w:p w14:paraId="02334E58">
      <w:pPr>
        <w:pageBreakBefore w:val="0"/>
        <w:widowControl w:val="0"/>
        <w:spacing w:line="360" w:lineRule="auto"/>
        <w:ind w:firstLine="562"/>
        <w:rPr>
          <w:rFonts w:ascii="宋体" w:hAnsi="宋体"/>
          <w:b w:val="0"/>
          <w:bCs w:val="0"/>
          <w:color w:val="000000"/>
          <w:sz w:val="24"/>
          <w:szCs w:val="24"/>
          <w:highlight w:val="none"/>
        </w:rPr>
      </w:pPr>
      <w:r>
        <w:rPr>
          <w:rFonts w:hint="eastAsia" w:ascii="宋体" w:hAnsi="宋体"/>
          <w:b w:val="0"/>
          <w:bCs w:val="0"/>
          <w:color w:val="000000"/>
          <w:sz w:val="24"/>
          <w:szCs w:val="24"/>
          <w:highlight w:val="none"/>
        </w:rPr>
        <w:t>③</w:t>
      </w:r>
      <w:r>
        <w:rPr>
          <w:rFonts w:hint="eastAsia" w:ascii="宋体" w:hAnsi="宋体"/>
          <w:b w:val="0"/>
          <w:bCs w:val="0"/>
          <w:color w:val="000000"/>
          <w:sz w:val="24"/>
          <w:szCs w:val="24"/>
          <w:highlight w:val="none"/>
          <w:lang w:eastAsia="zh-CN"/>
        </w:rPr>
        <w:t>投标人</w:t>
      </w:r>
      <w:r>
        <w:rPr>
          <w:rFonts w:ascii="宋体" w:hAnsi="宋体"/>
          <w:b w:val="0"/>
          <w:bCs w:val="0"/>
          <w:color w:val="000000"/>
          <w:sz w:val="24"/>
          <w:szCs w:val="24"/>
          <w:highlight w:val="none"/>
        </w:rPr>
        <w:t>应当</w:t>
      </w:r>
      <w:r>
        <w:rPr>
          <w:rFonts w:hint="eastAsia" w:ascii="宋体" w:hAnsi="宋体"/>
          <w:b w:val="0"/>
          <w:bCs w:val="0"/>
          <w:color w:val="000000"/>
          <w:sz w:val="24"/>
          <w:szCs w:val="24"/>
          <w:highlight w:val="none"/>
        </w:rPr>
        <w:t>遵循诚实</w:t>
      </w:r>
      <w:r>
        <w:rPr>
          <w:rFonts w:ascii="宋体" w:hAnsi="宋体"/>
          <w:b w:val="0"/>
          <w:bCs w:val="0"/>
          <w:color w:val="000000"/>
          <w:sz w:val="24"/>
          <w:szCs w:val="24"/>
          <w:highlight w:val="none"/>
        </w:rPr>
        <w:t>信用原则，不得</w:t>
      </w:r>
      <w:r>
        <w:rPr>
          <w:rFonts w:hint="eastAsia" w:ascii="宋体" w:hAnsi="宋体"/>
          <w:b w:val="0"/>
          <w:bCs w:val="0"/>
          <w:color w:val="000000"/>
          <w:sz w:val="24"/>
          <w:szCs w:val="24"/>
          <w:highlight w:val="none"/>
          <w:lang w:eastAsia="zh-CN"/>
        </w:rPr>
        <w:t>做虚假</w:t>
      </w:r>
      <w:r>
        <w:rPr>
          <w:rFonts w:ascii="宋体" w:hAnsi="宋体"/>
          <w:b w:val="0"/>
          <w:bCs w:val="0"/>
          <w:color w:val="000000"/>
          <w:sz w:val="24"/>
          <w:szCs w:val="24"/>
          <w:highlight w:val="none"/>
        </w:rPr>
        <w:t>承诺。</w:t>
      </w:r>
      <w:r>
        <w:rPr>
          <w:rFonts w:hint="eastAsia" w:ascii="宋体" w:hAnsi="宋体"/>
          <w:b w:val="0"/>
          <w:bCs w:val="0"/>
          <w:color w:val="000000"/>
          <w:sz w:val="24"/>
          <w:szCs w:val="24"/>
          <w:highlight w:val="none"/>
          <w:lang w:eastAsia="zh-CN"/>
        </w:rPr>
        <w:t>投标人</w:t>
      </w:r>
      <w:r>
        <w:rPr>
          <w:rFonts w:ascii="宋体" w:hAnsi="宋体"/>
          <w:b w:val="0"/>
          <w:bCs w:val="0"/>
          <w:color w:val="000000"/>
          <w:sz w:val="24"/>
          <w:szCs w:val="24"/>
          <w:highlight w:val="none"/>
        </w:rPr>
        <w:t>承诺不实的，属于提供虚假材料谋取中标、成交，应承担相应的法律责任。</w:t>
      </w:r>
    </w:p>
    <w:p w14:paraId="70119D02">
      <w:pPr>
        <w:pageBreakBefore w:val="0"/>
        <w:widowControl w:val="0"/>
        <w:spacing w:line="360" w:lineRule="auto"/>
        <w:ind w:firstLine="480"/>
        <w:rPr>
          <w:rFonts w:hint="eastAsia" w:ascii="华文新魏" w:hAnsi="宋体" w:eastAsia="华文新魏"/>
          <w:color w:val="000000"/>
          <w:sz w:val="36"/>
          <w:szCs w:val="36"/>
          <w:highlight w:val="none"/>
        </w:rPr>
      </w:pPr>
      <w:r>
        <w:rPr>
          <w:rFonts w:hint="eastAsia" w:ascii="宋体" w:hAnsi="宋体"/>
          <w:color w:val="000000"/>
          <w:sz w:val="24"/>
          <w:szCs w:val="24"/>
          <w:highlight w:val="none"/>
        </w:rPr>
        <w:t>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p>
    <w:p w14:paraId="45A7ADEF">
      <w:pPr>
        <w:pageBreakBefore w:val="0"/>
        <w:widowControl w:val="0"/>
        <w:spacing w:line="360" w:lineRule="auto"/>
        <w:ind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3.落实政府政策需满足的资格要求：</w:t>
      </w:r>
    </w:p>
    <w:p w14:paraId="032BC270">
      <w:pPr>
        <w:pageBreakBefore w:val="0"/>
        <w:widowControl w:val="0"/>
        <w:spacing w:line="360" w:lineRule="auto"/>
        <w:ind w:firstLine="480"/>
        <w:rPr>
          <w:rFonts w:hint="eastAsia" w:ascii="宋体" w:hAnsi="宋体" w:eastAsia="宋体" w:cs="Times New Roman"/>
          <w:b w:val="0"/>
          <w:bCs w:val="0"/>
          <w:color w:val="000000"/>
          <w:sz w:val="24"/>
          <w:szCs w:val="24"/>
          <w:highlight w:val="none"/>
        </w:rPr>
      </w:pPr>
      <w:bookmarkStart w:id="22" w:name="OLE_LINK11"/>
      <w:bookmarkStart w:id="23" w:name="OLE_LINK8"/>
      <w:r>
        <w:rPr>
          <w:rFonts w:hint="eastAsia" w:ascii="宋体" w:hAnsi="宋体" w:eastAsia="宋体" w:cs="Times New Roman"/>
          <w:b w:val="0"/>
          <w:bCs w:val="0"/>
          <w:color w:val="000000"/>
          <w:sz w:val="24"/>
          <w:szCs w:val="24"/>
          <w:highlight w:val="none"/>
        </w:rPr>
        <w:t>①</w:t>
      </w:r>
      <w:r>
        <w:rPr>
          <w:rFonts w:hint="eastAsia" w:ascii="宋体" w:hAnsi="宋体" w:eastAsia="宋体" w:cs="Times New Roman"/>
          <w:b/>
          <w:bCs/>
          <w:color w:val="000000"/>
          <w:sz w:val="24"/>
          <w:szCs w:val="24"/>
          <w:highlight w:val="none"/>
        </w:rPr>
        <w:t>本项目为专门面向中小微型企业采购项目，投标人需提供中小企业声明函</w:t>
      </w:r>
      <w:r>
        <w:rPr>
          <w:rFonts w:hint="eastAsia" w:ascii="宋体" w:hAnsi="宋体" w:eastAsia="宋体" w:cs="Times New Roman"/>
          <w:b w:val="0"/>
          <w:bCs w:val="0"/>
          <w:color w:val="000000"/>
          <w:sz w:val="24"/>
          <w:szCs w:val="24"/>
          <w:highlight w:val="none"/>
        </w:rPr>
        <w:t>；</w:t>
      </w:r>
    </w:p>
    <w:p w14:paraId="1E121E9A">
      <w:pPr>
        <w:pageBreakBefore w:val="0"/>
        <w:widowControl w:val="0"/>
        <w:spacing w:line="360" w:lineRule="auto"/>
        <w:ind w:firstLine="480"/>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②</w:t>
      </w:r>
      <w:r>
        <w:rPr>
          <w:rFonts w:hint="eastAsia" w:ascii="宋体" w:hAnsi="宋体" w:eastAsia="宋体" w:cs="Times New Roman"/>
          <w:b w:val="0"/>
          <w:bCs w:val="0"/>
          <w:color w:val="000000"/>
          <w:sz w:val="24"/>
          <w:szCs w:val="24"/>
          <w:highlight w:val="none"/>
          <w:lang w:val="en"/>
        </w:rPr>
        <w:t>残疾人福利性单位、监狱和戒毒企业（简称监狱企业）视同小型、微型企业。（</w:t>
      </w:r>
      <w:r>
        <w:rPr>
          <w:rFonts w:hint="eastAsia" w:ascii="宋体" w:hAnsi="宋体" w:eastAsia="宋体" w:cs="Times New Roman"/>
          <w:b w:val="0"/>
          <w:bCs w:val="0"/>
          <w:color w:val="000000"/>
          <w:sz w:val="24"/>
          <w:szCs w:val="24"/>
          <w:highlight w:val="none"/>
          <w:lang w:val="en" w:eastAsia="zh-CN"/>
        </w:rPr>
        <w:t>投标单位</w:t>
      </w:r>
      <w:r>
        <w:rPr>
          <w:rFonts w:hint="eastAsia" w:ascii="宋体" w:hAnsi="宋体" w:eastAsia="宋体" w:cs="Times New Roman"/>
          <w:b w:val="0"/>
          <w:bCs w:val="0"/>
          <w:color w:val="000000"/>
          <w:sz w:val="24"/>
          <w:szCs w:val="24"/>
          <w:highlight w:val="none"/>
          <w:lang w:val="en"/>
        </w:rPr>
        <w:t>按要求填写并提供《中小微企业声明函》或《残疾人福利性单位声明函》，或提供由省级以上监狱管理局、戒毒管理局(含新疆生产建设兵团)出具的属于监狱企业的证明文件。）</w:t>
      </w:r>
    </w:p>
    <w:p w14:paraId="0AD46A4E">
      <w:pPr>
        <w:pageBreakBefore w:val="0"/>
        <w:widowControl w:val="0"/>
        <w:spacing w:line="360" w:lineRule="auto"/>
        <w:ind w:firstLine="480"/>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③</w:t>
      </w:r>
      <w:r>
        <w:rPr>
          <w:rFonts w:hint="eastAsia" w:ascii="宋体" w:hAnsi="宋体" w:eastAsia="宋体" w:cs="Times New Roman"/>
          <w:b w:val="0"/>
          <w:bCs w:val="0"/>
          <w:color w:val="000000"/>
          <w:sz w:val="24"/>
          <w:szCs w:val="24"/>
          <w:highlight w:val="none"/>
        </w:rPr>
        <w:t>依据工业和信息化部等四部委制定的《中小企业划型标准规定》，本项目对应的中小企业划分标准所属行业为</w:t>
      </w:r>
      <w:r>
        <w:rPr>
          <w:rFonts w:hint="eastAsia" w:ascii="宋体" w:hAnsi="宋体"/>
          <w:b/>
          <w:bCs/>
          <w:color w:val="FF0000"/>
          <w:sz w:val="24"/>
          <w:szCs w:val="24"/>
          <w:highlight w:val="none"/>
          <w:u w:val="none"/>
        </w:rPr>
        <w:t>建筑业</w:t>
      </w:r>
      <w:r>
        <w:rPr>
          <w:rFonts w:hint="eastAsia" w:ascii="宋体" w:hAnsi="宋体" w:eastAsia="宋体" w:cs="Times New Roman"/>
          <w:b w:val="0"/>
          <w:bCs w:val="0"/>
          <w:color w:val="000000"/>
          <w:sz w:val="24"/>
          <w:szCs w:val="24"/>
          <w:highlight w:val="none"/>
        </w:rPr>
        <w:t>。</w:t>
      </w:r>
      <w:bookmarkEnd w:id="22"/>
      <w:bookmarkEnd w:id="23"/>
    </w:p>
    <w:p w14:paraId="4EE18BBE">
      <w:pPr>
        <w:pageBreakBefore w:val="0"/>
        <w:widowControl w:val="0"/>
        <w:numPr>
          <w:ilvl w:val="0"/>
          <w:numId w:val="2"/>
        </w:numPr>
        <w:spacing w:line="360" w:lineRule="auto"/>
        <w:ind w:firstLine="482"/>
        <w:rPr>
          <w:rFonts w:hint="eastAsia" w:ascii="宋体" w:hAnsi="宋体" w:eastAsia="宋体" w:cs="Times New Roman"/>
          <w:b w:val="0"/>
          <w:bCs w:val="0"/>
          <w:color w:val="000000"/>
          <w:sz w:val="24"/>
          <w:szCs w:val="24"/>
          <w:highlight w:val="none"/>
          <w:lang w:val="en-US" w:eastAsia="zh-CN" w:bidi="ar-SA"/>
        </w:rPr>
      </w:pPr>
      <w:r>
        <w:rPr>
          <w:rFonts w:hint="eastAsia" w:ascii="宋体" w:hAnsi="宋体"/>
          <w:b w:val="0"/>
          <w:bCs w:val="0"/>
          <w:color w:val="000000"/>
          <w:sz w:val="24"/>
          <w:szCs w:val="24"/>
          <w:highlight w:val="none"/>
        </w:rPr>
        <w:t>本项目</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u w:val="single"/>
          <w:lang w:val="en-US" w:eastAsia="zh-CN"/>
        </w:rPr>
        <w:t>不</w:t>
      </w:r>
      <w:r>
        <w:rPr>
          <w:rFonts w:hint="eastAsia" w:ascii="宋体" w:hAnsi="宋体"/>
          <w:b w:val="0"/>
          <w:bCs w:val="0"/>
          <w:color w:val="000000"/>
          <w:sz w:val="24"/>
          <w:szCs w:val="24"/>
          <w:highlight w:val="none"/>
          <w:u w:val="single"/>
        </w:rPr>
        <w:t xml:space="preserve">接受 </w:t>
      </w:r>
      <w:r>
        <w:rPr>
          <w:rFonts w:hint="eastAsia" w:ascii="宋体" w:hAnsi="宋体"/>
          <w:b w:val="0"/>
          <w:bCs w:val="0"/>
          <w:color w:val="000000"/>
          <w:sz w:val="24"/>
          <w:szCs w:val="24"/>
          <w:highlight w:val="none"/>
        </w:rPr>
        <w:t>联合体投标</w:t>
      </w:r>
      <w:r>
        <w:rPr>
          <w:rFonts w:hint="eastAsia" w:ascii="宋体" w:hAnsi="宋体"/>
          <w:b w:val="0"/>
          <w:bCs w:val="0"/>
          <w:color w:val="000000"/>
          <w:sz w:val="24"/>
          <w:szCs w:val="24"/>
          <w:highlight w:val="none"/>
          <w:lang w:eastAsia="zh-CN"/>
        </w:rPr>
        <w:t>。</w:t>
      </w:r>
    </w:p>
    <w:p w14:paraId="39E8468E">
      <w:pPr>
        <w:pStyle w:val="199"/>
        <w:pageBreakBefore w:val="0"/>
        <w:widowControl w:val="0"/>
        <w:numPr>
          <w:ilvl w:val="0"/>
          <w:numId w:val="3"/>
        </w:numPr>
        <w:spacing w:line="360" w:lineRule="auto"/>
        <w:ind w:left="280" w:firstLine="0"/>
        <w:rPr>
          <w:rFonts w:hint="eastAsia" w:ascii="宋体" w:hAnsi="宋体"/>
          <w:b/>
          <w:bCs/>
          <w:color w:val="000000"/>
          <w:sz w:val="24"/>
          <w:szCs w:val="24"/>
          <w:highlight w:val="none"/>
        </w:rPr>
      </w:pPr>
      <w:r>
        <w:rPr>
          <w:rFonts w:hint="eastAsia" w:ascii="宋体" w:hAnsi="宋体"/>
          <w:b/>
          <w:bCs/>
          <w:color w:val="000000"/>
          <w:sz w:val="24"/>
          <w:szCs w:val="24"/>
          <w:highlight w:val="none"/>
        </w:rPr>
        <w:t>本项目的特定资格要求：</w:t>
      </w:r>
    </w:p>
    <w:p w14:paraId="229FD6FE">
      <w:pPr>
        <w:pStyle w:val="199"/>
        <w:pageBreakBefore w:val="0"/>
        <w:widowControl w:val="0"/>
        <w:numPr>
          <w:ilvl w:val="0"/>
          <w:numId w:val="0"/>
        </w:numPr>
        <w:spacing w:line="360" w:lineRule="auto"/>
        <w:ind w:firstLine="241"/>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（1）</w:t>
      </w:r>
      <w:r>
        <w:rPr>
          <w:rFonts w:hint="eastAsia" w:ascii="宋体" w:hAnsi="宋体"/>
          <w:b/>
          <w:bCs/>
          <w:color w:val="000000"/>
          <w:sz w:val="24"/>
          <w:szCs w:val="24"/>
          <w:highlight w:val="none"/>
          <w:lang w:val="en-US" w:eastAsia="zh-CN"/>
        </w:rPr>
        <w:t>投标人</w:t>
      </w:r>
      <w:r>
        <w:rPr>
          <w:rFonts w:hint="eastAsia" w:ascii="宋体" w:hAnsi="宋体"/>
          <w:b/>
          <w:bCs/>
          <w:color w:val="000000"/>
          <w:sz w:val="24"/>
          <w:szCs w:val="24"/>
          <w:highlight w:val="none"/>
        </w:rPr>
        <w:t>资质类别和等级：同时具备以下①</w:t>
      </w:r>
      <w:r>
        <w:rPr>
          <w:rFonts w:hint="eastAsia" w:ascii="宋体" w:hAnsi="宋体"/>
          <w:b/>
          <w:bCs/>
          <w:color w:val="000000"/>
          <w:sz w:val="24"/>
          <w:szCs w:val="24"/>
          <w:highlight w:val="none"/>
          <w:lang w:val="en-US" w:eastAsia="zh-CN"/>
        </w:rPr>
        <w:t>②</w:t>
      </w:r>
      <w:r>
        <w:rPr>
          <w:rFonts w:hint="eastAsia" w:ascii="宋体" w:hAnsi="宋体"/>
          <w:b/>
          <w:bCs/>
          <w:color w:val="000000"/>
          <w:sz w:val="24"/>
          <w:szCs w:val="24"/>
          <w:highlight w:val="none"/>
        </w:rPr>
        <w:t>企业资质</w:t>
      </w:r>
      <w:r>
        <w:rPr>
          <w:rFonts w:hint="eastAsia" w:ascii="宋体" w:hAnsi="宋体"/>
          <w:b/>
          <w:bCs/>
          <w:color w:val="000000"/>
          <w:sz w:val="24"/>
          <w:szCs w:val="24"/>
          <w:highlight w:val="none"/>
          <w:lang w:eastAsia="zh-CN"/>
        </w:rPr>
        <w:t>。</w:t>
      </w:r>
    </w:p>
    <w:p w14:paraId="656E19A5">
      <w:pPr>
        <w:spacing w:line="360" w:lineRule="auto"/>
        <w:ind w:firstLine="420"/>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rPr>
        <w:t>①</w:t>
      </w:r>
      <w:r>
        <w:rPr>
          <w:rFonts w:hint="eastAsia" w:ascii="宋体" w:hAnsi="宋体" w:eastAsia="宋体" w:cs="Times New Roman"/>
          <w:b w:val="0"/>
          <w:bCs w:val="0"/>
          <w:color w:val="000000"/>
          <w:sz w:val="24"/>
          <w:szCs w:val="24"/>
          <w:highlight w:val="none"/>
          <w:lang w:val="en-US" w:eastAsia="zh-CN"/>
        </w:rPr>
        <w:t>具备</w:t>
      </w:r>
      <w:r>
        <w:rPr>
          <w:rFonts w:hint="eastAsia" w:ascii="宋体" w:hAnsi="宋体" w:eastAsia="宋体" w:cs="Times New Roman"/>
          <w:b w:val="0"/>
          <w:bCs w:val="0"/>
          <w:color w:val="000000"/>
          <w:sz w:val="24"/>
          <w:szCs w:val="24"/>
          <w:highlight w:val="none"/>
        </w:rPr>
        <w:t>电力工程施工总承包三级及以上资质或输变电工程专业承包叁级及以上资质；</w:t>
      </w:r>
      <w:r>
        <w:rPr>
          <w:rFonts w:hint="eastAsia" w:ascii="宋体" w:hAnsi="宋体" w:eastAsia="宋体" w:cs="Times New Roman"/>
          <w:b/>
          <w:bCs/>
          <w:color w:val="000000"/>
          <w:sz w:val="24"/>
          <w:szCs w:val="24"/>
          <w:highlight w:val="none"/>
          <w:lang w:val="en-US" w:eastAsia="zh-CN" w:bidi="ar-SA"/>
        </w:rPr>
        <w:t>(原件扫描上传)</w:t>
      </w:r>
    </w:p>
    <w:p w14:paraId="153536AC">
      <w:pPr>
        <w:spacing w:line="360" w:lineRule="auto"/>
        <w:ind w:firstLine="420"/>
        <w:rPr>
          <w:rFonts w:hint="eastAsia" w:ascii="宋体" w:hAnsi="宋体" w:eastAsia="宋体" w:cs="Times New Roman"/>
          <w:b/>
          <w:bCs/>
          <w:color w:val="000000"/>
          <w:sz w:val="24"/>
          <w:szCs w:val="24"/>
          <w:highlight w:val="none"/>
          <w:lang w:val="en-US" w:eastAsia="zh-CN" w:bidi="ar-SA"/>
        </w:rPr>
      </w:pPr>
      <w:r>
        <w:rPr>
          <w:rFonts w:hint="eastAsia" w:ascii="宋体" w:hAnsi="宋体"/>
          <w:b w:val="0"/>
          <w:bCs w:val="0"/>
          <w:color w:val="000000"/>
          <w:sz w:val="24"/>
          <w:szCs w:val="24"/>
          <w:highlight w:val="none"/>
        </w:rPr>
        <w:t>②</w:t>
      </w:r>
      <w:r>
        <w:rPr>
          <w:rFonts w:hint="eastAsia" w:ascii="宋体" w:hAnsi="宋体" w:eastAsia="宋体" w:cs="Times New Roman"/>
          <w:b w:val="0"/>
          <w:bCs w:val="0"/>
          <w:color w:val="000000"/>
          <w:sz w:val="24"/>
          <w:szCs w:val="24"/>
          <w:highlight w:val="none"/>
        </w:rPr>
        <w:t>具备国家能源局或电监会颁发的承装和承试电力设施许可证三级及以上资质。</w:t>
      </w:r>
      <w:r>
        <w:rPr>
          <w:rFonts w:hint="eastAsia" w:ascii="宋体" w:hAnsi="宋体" w:eastAsia="宋体" w:cs="Times New Roman"/>
          <w:b/>
          <w:bCs/>
          <w:color w:val="000000"/>
          <w:sz w:val="24"/>
          <w:szCs w:val="24"/>
          <w:highlight w:val="none"/>
          <w:lang w:val="en-US" w:eastAsia="zh-CN" w:bidi="ar-SA"/>
        </w:rPr>
        <w:t>(原件扫描上传)</w:t>
      </w:r>
    </w:p>
    <w:p w14:paraId="03DD37CE">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（2）投标人具备安全生产条件，并取得有效期内的安全生产许可证(原件扫描上传)。</w:t>
      </w:r>
    </w:p>
    <w:p w14:paraId="42B13E2F">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（3）项目负责人资质要求：具备机电工程专业二级（含）以上注册建造师资质。（提供证书、投标截止时间前6个月内任意一个月投标单位为其缴纳社保的证明，退休返聘人员需提供退休证明及劳动合同。）</w:t>
      </w:r>
    </w:p>
    <w:p w14:paraId="25A8AD77">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（4）项目负责人取得安全生产考核合格证（B类证书）(原件扫描上传)。</w:t>
      </w:r>
    </w:p>
    <w:p w14:paraId="0C1A1E1D">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（5）</w:t>
      </w:r>
      <w:bookmarkStart w:id="24" w:name="OLE_LINK20"/>
      <w:r>
        <w:rPr>
          <w:rFonts w:hint="eastAsia" w:ascii="宋体" w:hAnsi="宋体" w:eastAsia="宋体" w:cs="Times New Roman"/>
          <w:b/>
          <w:bCs/>
          <w:color w:val="000000"/>
          <w:sz w:val="24"/>
          <w:szCs w:val="24"/>
          <w:highlight w:val="none"/>
          <w:lang w:val="en-US" w:eastAsia="zh-CN"/>
        </w:rPr>
        <w:t>项目负责人必须满足下列条件：</w:t>
      </w:r>
    </w:p>
    <w:p w14:paraId="6A2BBBBB">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①项目负责人不得同时在两个或者两个以上单位受聘或者执业：</w:t>
      </w:r>
    </w:p>
    <w:p w14:paraId="4121ADB3">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a.同时在两个及以上单位签订劳动合同或交纳社会保险；</w:t>
      </w:r>
    </w:p>
    <w:p w14:paraId="4D0F310F">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b.将本人执（职）业资格证书同时注册在两个及以上单位。</w:t>
      </w:r>
    </w:p>
    <w:p w14:paraId="162D682E">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24"/>
    </w:p>
    <w:p w14:paraId="0FA7559B">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（6）投标人需在投标文件中提供“无数据安全处罚记录”的承诺函（格式自拟），若虚假承诺，招标人有权取消其投标资格。</w:t>
      </w:r>
    </w:p>
    <w:p w14:paraId="5FF6BC2B">
      <w:pPr>
        <w:pStyle w:val="186"/>
        <w:pageBreakBefore w:val="0"/>
        <w:widowControl w:val="0"/>
        <w:spacing w:line="360" w:lineRule="auto"/>
        <w:ind w:left="0" w:firstLine="241"/>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（7）拟投入的项目组成员未受过刑事处罚，提供无犯罪记录证明。</w:t>
      </w:r>
    </w:p>
    <w:p w14:paraId="44638708">
      <w:pPr>
        <w:pStyle w:val="185"/>
        <w:pageBreakBefore w:val="0"/>
        <w:widowControl w:val="0"/>
        <w:spacing w:before="120" w:after="120" w:line="360" w:lineRule="auto"/>
        <w:ind w:firstLine="373"/>
        <w:rPr>
          <w:color w:val="000000"/>
          <w:sz w:val="24"/>
          <w:szCs w:val="24"/>
          <w:highlight w:val="none"/>
        </w:rPr>
      </w:pPr>
      <w:r>
        <w:rPr>
          <w:rFonts w:hint="eastAsia"/>
          <w:color w:val="000000"/>
          <w:sz w:val="24"/>
          <w:szCs w:val="24"/>
          <w:highlight w:val="none"/>
        </w:rPr>
        <w:t>三、获取招标文件</w:t>
      </w:r>
      <w:bookmarkEnd w:id="17"/>
      <w:bookmarkEnd w:id="18"/>
      <w:bookmarkEnd w:id="19"/>
      <w:bookmarkEnd w:id="20"/>
      <w:bookmarkEnd w:id="21"/>
    </w:p>
    <w:p w14:paraId="251BE55A">
      <w:pPr>
        <w:pageBreakBefore w:val="0"/>
        <w:widowControl w:val="0"/>
        <w:spacing w:line="360" w:lineRule="auto"/>
        <w:ind w:firstLine="540"/>
        <w:rPr>
          <w:rFonts w:ascii="宋体" w:hAnsi="宋体" w:cs="宋体"/>
          <w:color w:val="000000"/>
          <w:sz w:val="24"/>
          <w:szCs w:val="24"/>
          <w:highlight w:val="none"/>
        </w:rPr>
      </w:pPr>
      <w:bookmarkStart w:id="25" w:name="_Toc28359005"/>
      <w:bookmarkStart w:id="26" w:name="_Toc28359082"/>
      <w:bookmarkStart w:id="27" w:name="_Toc35393793"/>
      <w:bookmarkStart w:id="28" w:name="_Toc38985266"/>
      <w:bookmarkStart w:id="29" w:name="_Toc35393624"/>
      <w:r>
        <w:rPr>
          <w:rFonts w:hint="eastAsia" w:ascii="宋体" w:hAnsi="宋体" w:cs="宋体"/>
          <w:color w:val="000000"/>
          <w:sz w:val="24"/>
          <w:szCs w:val="24"/>
          <w:highlight w:val="none"/>
        </w:rPr>
        <w:t>1.时间：自招标文件公告发布之日起至提交投标文件截止时间之日止。</w:t>
      </w:r>
    </w:p>
    <w:p w14:paraId="2DB93DC7">
      <w:pPr>
        <w:pageBreakBefore w:val="0"/>
        <w:widowControl w:val="0"/>
        <w:spacing w:line="360" w:lineRule="auto"/>
        <w:ind w:firstLine="540"/>
        <w:rPr>
          <w:rFonts w:ascii="宋体" w:hAnsi="宋体" w:cs="宋体"/>
          <w:color w:val="000000"/>
          <w:sz w:val="24"/>
          <w:szCs w:val="24"/>
          <w:highlight w:val="none"/>
          <w:u w:val="single"/>
        </w:rPr>
      </w:pPr>
      <w:r>
        <w:rPr>
          <w:rFonts w:hint="eastAsia" w:ascii="宋体" w:hAnsi="宋体" w:cs="宋体"/>
          <w:color w:val="000000"/>
          <w:sz w:val="24"/>
          <w:szCs w:val="24"/>
          <w:highlight w:val="none"/>
        </w:rPr>
        <w:t>2.方式：在“江苏政府网”自行免费下载招标文件。</w:t>
      </w:r>
    </w:p>
    <w:p w14:paraId="627C1566">
      <w:pPr>
        <w:pageBreakBefore w:val="0"/>
        <w:widowControl w:val="0"/>
        <w:spacing w:line="360" w:lineRule="auto"/>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（1）登录http://jszfcg.jscz.gov.cn/jszc/login;或进入扬中政府网（http://www.yzzfcg.cn/）首页点击“苏采云”进入系统。</w:t>
      </w:r>
    </w:p>
    <w:p w14:paraId="6905395D">
      <w:pPr>
        <w:pageBreakBefore w:val="0"/>
        <w:widowControl w:val="0"/>
        <w:spacing w:line="360" w:lineRule="auto"/>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（2）“苏采云”系统用户注册--获取“CA数字证书”--CA绑定与登录--网上报名--下载招标文件(后缀名为.kedt”)。</w:t>
      </w:r>
    </w:p>
    <w:p w14:paraId="658BDE80">
      <w:pPr>
        <w:pageBreakBefore w:val="0"/>
        <w:widowControl w:val="0"/>
        <w:spacing w:line="360" w:lineRule="auto"/>
        <w:ind w:firstLine="560"/>
        <w:outlineLvl w:val="2"/>
        <w:rPr>
          <w:rFonts w:ascii="宋体" w:hAnsi="宋体" w:cs="宋体"/>
          <w:color w:val="000000"/>
          <w:sz w:val="24"/>
          <w:szCs w:val="24"/>
          <w:highlight w:val="none"/>
        </w:rPr>
      </w:pPr>
      <w:r>
        <w:rPr>
          <w:rFonts w:hint="eastAsia" w:ascii="宋体" w:hAnsi="宋体" w:cs="宋体"/>
          <w:color w:val="000000"/>
          <w:sz w:val="24"/>
          <w:szCs w:val="24"/>
          <w:highlight w:val="none"/>
        </w:rPr>
        <w:t>3.“CA数字证书”的获取</w:t>
      </w:r>
    </w:p>
    <w:p w14:paraId="092A5AA0">
      <w:pPr>
        <w:pageBreakBefore w:val="0"/>
        <w:widowControl w:val="0"/>
        <w:spacing w:line="360" w:lineRule="auto"/>
        <w:ind w:firstLine="560"/>
        <w:rPr>
          <w:rFonts w:ascii="宋体" w:hAnsi="宋体" w:cs="宋体"/>
          <w:color w:val="000000"/>
          <w:sz w:val="24"/>
          <w:szCs w:val="24"/>
          <w:highlight w:val="none"/>
        </w:rPr>
      </w:pP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需办理CA锁，（“苏采云”系统目前仅支持意源CA、方正签章，CA数字证书及电子签章办理指南详见本公告附件）。客户端工具及</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操作手册扬中政府（http://www.yzzfcg.cn/）首页“资料下载”，进行下载《江苏省政府交易系统（苏采云）</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操作手册及政府客户端》。</w:t>
      </w:r>
    </w:p>
    <w:p w14:paraId="4A6697C5">
      <w:pPr>
        <w:pageBreakBefore w:val="0"/>
        <w:widowControl w:val="0"/>
        <w:spacing w:line="360" w:lineRule="auto"/>
        <w:ind w:firstLine="560"/>
        <w:rPr>
          <w:rFonts w:ascii="宋体" w:hAnsi="宋体" w:cs="宋体"/>
          <w:color w:val="000000"/>
          <w:sz w:val="24"/>
          <w:szCs w:val="24"/>
          <w:highlight w:val="none"/>
        </w:rPr>
      </w:pPr>
      <w:r>
        <w:rPr>
          <w:rFonts w:hint="eastAsia" w:ascii="宋体" w:hAnsi="宋体" w:cs="宋体"/>
          <w:color w:val="000000"/>
          <w:sz w:val="24"/>
          <w:szCs w:val="24"/>
          <w:highlight w:val="none"/>
        </w:rPr>
        <w:t>4.招标文件(后缀名为“. kedt”)、</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操作手册及政府客户端工具可通过“苏采云”系统--已报名项目--报名详情页面内相应链接进行下载；</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操作手册及政府客户端工具也可通过扬中政府网（http://www.yzzfcg.cn/）首页“资料下载”--点击进入《江苏省政府交易系统（苏采云）</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操作手册及政府客户端》进行下载。</w:t>
      </w:r>
    </w:p>
    <w:p w14:paraId="59285318">
      <w:pPr>
        <w:pageBreakBefore w:val="0"/>
        <w:widowControl w:val="0"/>
        <w:spacing w:line="360" w:lineRule="auto"/>
        <w:ind w:firstLine="560"/>
        <w:rPr>
          <w:rFonts w:ascii="宋体" w:hAnsi="宋体" w:cs="宋体"/>
          <w:color w:val="000000"/>
          <w:sz w:val="24"/>
          <w:szCs w:val="24"/>
          <w:highlight w:val="none"/>
        </w:rPr>
      </w:pPr>
      <w:r>
        <w:rPr>
          <w:rFonts w:hint="eastAsia" w:ascii="宋体" w:hAnsi="宋体" w:cs="宋体"/>
          <w:color w:val="000000"/>
          <w:sz w:val="24"/>
          <w:szCs w:val="24"/>
          <w:highlight w:val="none"/>
        </w:rPr>
        <w:t>5.代理机构将数据电文形式的招标文件加载至电子招标投标交易平台，供潜在</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下载或者查阅，各</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应在规定的时间内完成招标文件的下载，逾期可能会造成招标文件无法下载以及投标文件无法上传的情形，由此导致的后果由各</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自行承担。</w:t>
      </w:r>
    </w:p>
    <w:p w14:paraId="74476C83">
      <w:pPr>
        <w:pageBreakBefore w:val="0"/>
        <w:widowControl w:val="0"/>
        <w:spacing w:line="360" w:lineRule="auto"/>
        <w:ind w:firstLine="560"/>
        <w:rPr>
          <w:rFonts w:ascii="宋体" w:hAnsi="宋体" w:cs="宋体"/>
          <w:color w:val="000000"/>
          <w:sz w:val="24"/>
          <w:szCs w:val="24"/>
          <w:highlight w:val="none"/>
        </w:rPr>
      </w:pPr>
      <w:r>
        <w:rPr>
          <w:rFonts w:hint="eastAsia" w:ascii="宋体" w:hAnsi="宋体" w:cs="宋体"/>
          <w:color w:val="000000"/>
          <w:sz w:val="24"/>
          <w:szCs w:val="24"/>
          <w:highlight w:val="none"/>
        </w:rPr>
        <w:t>6.苏采云系统使用谷歌浏览器参与不见面开标。</w:t>
      </w:r>
    </w:p>
    <w:p w14:paraId="1D259F0F">
      <w:pPr>
        <w:pStyle w:val="185"/>
        <w:pageBreakBefore w:val="0"/>
        <w:widowControl w:val="0"/>
        <w:spacing w:before="120" w:after="120" w:line="360" w:lineRule="auto"/>
        <w:ind w:firstLine="373"/>
        <w:rPr>
          <w:color w:val="000000"/>
          <w:sz w:val="24"/>
          <w:szCs w:val="24"/>
          <w:highlight w:val="none"/>
        </w:rPr>
      </w:pPr>
      <w:r>
        <w:rPr>
          <w:rFonts w:hint="eastAsia"/>
          <w:color w:val="000000"/>
          <w:sz w:val="24"/>
          <w:szCs w:val="24"/>
          <w:highlight w:val="none"/>
        </w:rPr>
        <w:t>四、提交投标文件</w:t>
      </w:r>
      <w:bookmarkEnd w:id="25"/>
      <w:bookmarkEnd w:id="26"/>
      <w:r>
        <w:rPr>
          <w:rFonts w:hint="eastAsia"/>
          <w:color w:val="000000"/>
          <w:sz w:val="24"/>
          <w:szCs w:val="24"/>
          <w:highlight w:val="none"/>
        </w:rPr>
        <w:t>截止时间、开标时间和地点</w:t>
      </w:r>
      <w:bookmarkEnd w:id="27"/>
      <w:bookmarkEnd w:id="28"/>
      <w:bookmarkEnd w:id="29"/>
    </w:p>
    <w:p w14:paraId="7A0C20D4">
      <w:pPr>
        <w:pageBreakBefore w:val="0"/>
        <w:widowControl w:val="0"/>
        <w:spacing w:line="360" w:lineRule="auto"/>
        <w:ind w:firstLine="480"/>
        <w:rPr>
          <w:rFonts w:ascii="宋体" w:hAnsi="宋体"/>
          <w:bCs/>
          <w:color w:val="0000FF"/>
          <w:sz w:val="24"/>
          <w:szCs w:val="24"/>
          <w:highlight w:val="none"/>
          <w:u w:val="single"/>
        </w:rPr>
      </w:pPr>
      <w:r>
        <w:rPr>
          <w:rFonts w:hint="eastAsia" w:ascii="宋体" w:hAnsi="宋体"/>
          <w:bCs/>
          <w:color w:val="0000FF"/>
          <w:sz w:val="24"/>
          <w:szCs w:val="24"/>
          <w:highlight w:val="none"/>
          <w:u w:val="single"/>
        </w:rPr>
        <w:t xml:space="preserve">1. </w:t>
      </w:r>
      <w:r>
        <w:rPr>
          <w:rFonts w:hint="eastAsia" w:ascii="宋体" w:hAnsi="宋体"/>
          <w:b/>
          <w:color w:val="0000FF"/>
          <w:sz w:val="24"/>
          <w:szCs w:val="24"/>
          <w:highlight w:val="none"/>
          <w:u w:val="single"/>
          <w:lang w:eastAsia="zh-CN"/>
        </w:rPr>
        <w:t>2026年</w:t>
      </w:r>
      <w:r>
        <w:rPr>
          <w:rFonts w:hint="eastAsia" w:ascii="宋体" w:hAnsi="宋体"/>
          <w:b/>
          <w:color w:val="0000FF"/>
          <w:sz w:val="24"/>
          <w:szCs w:val="24"/>
          <w:highlight w:val="none"/>
          <w:u w:val="single"/>
          <w:lang w:val="en-US" w:eastAsia="zh-CN"/>
        </w:rPr>
        <w:t>7</w:t>
      </w:r>
      <w:r>
        <w:rPr>
          <w:rFonts w:hint="eastAsia" w:ascii="宋体" w:hAnsi="宋体"/>
          <w:b/>
          <w:color w:val="0000FF"/>
          <w:sz w:val="24"/>
          <w:szCs w:val="24"/>
          <w:highlight w:val="none"/>
          <w:u w:val="single"/>
          <w:lang w:eastAsia="zh-CN"/>
        </w:rPr>
        <w:t>月</w:t>
      </w:r>
      <w:r>
        <w:rPr>
          <w:rFonts w:hint="eastAsia" w:ascii="宋体" w:hAnsi="宋体"/>
          <w:b/>
          <w:color w:val="0000FF"/>
          <w:sz w:val="24"/>
          <w:szCs w:val="24"/>
          <w:highlight w:val="none"/>
          <w:u w:val="single"/>
          <w:lang w:val="en-US" w:eastAsia="zh-CN"/>
        </w:rPr>
        <w:t>20</w:t>
      </w:r>
      <w:r>
        <w:rPr>
          <w:rFonts w:hint="eastAsia" w:ascii="宋体" w:hAnsi="宋体"/>
          <w:b/>
          <w:color w:val="0000FF"/>
          <w:sz w:val="24"/>
          <w:szCs w:val="24"/>
          <w:highlight w:val="none"/>
          <w:u w:val="single"/>
        </w:rPr>
        <w:t xml:space="preserve">日 </w:t>
      </w:r>
      <w:r>
        <w:rPr>
          <w:rFonts w:hint="eastAsia" w:ascii="宋体" w:hAnsi="宋体"/>
          <w:b/>
          <w:color w:val="0000FF"/>
          <w:sz w:val="24"/>
          <w:szCs w:val="24"/>
          <w:highlight w:val="none"/>
          <w:u w:val="single"/>
          <w:lang w:val="en-US" w:eastAsia="zh-CN"/>
        </w:rPr>
        <w:t>9</w:t>
      </w:r>
      <w:r>
        <w:rPr>
          <w:rFonts w:hint="eastAsia" w:ascii="宋体" w:hAnsi="宋体"/>
          <w:b/>
          <w:color w:val="0000FF"/>
          <w:sz w:val="24"/>
          <w:szCs w:val="24"/>
          <w:highlight w:val="none"/>
          <w:u w:val="single"/>
        </w:rPr>
        <w:t>点</w:t>
      </w:r>
      <w:r>
        <w:rPr>
          <w:rFonts w:hint="eastAsia" w:ascii="宋体" w:hAnsi="宋体"/>
          <w:b/>
          <w:color w:val="0000FF"/>
          <w:sz w:val="24"/>
          <w:szCs w:val="24"/>
          <w:highlight w:val="none"/>
          <w:u w:val="single"/>
          <w:lang w:val="en-US" w:eastAsia="zh-CN"/>
        </w:rPr>
        <w:t>30</w:t>
      </w:r>
      <w:r>
        <w:rPr>
          <w:rFonts w:hint="eastAsia" w:ascii="宋体" w:hAnsi="宋体"/>
          <w:b/>
          <w:color w:val="0000FF"/>
          <w:sz w:val="24"/>
          <w:szCs w:val="24"/>
          <w:highlight w:val="none"/>
          <w:u w:val="single"/>
        </w:rPr>
        <w:t>分</w:t>
      </w:r>
      <w:r>
        <w:rPr>
          <w:rFonts w:hint="eastAsia" w:ascii="宋体" w:hAnsi="宋体"/>
          <w:b/>
          <w:color w:val="0000FF"/>
          <w:sz w:val="24"/>
          <w:szCs w:val="24"/>
          <w:highlight w:val="none"/>
        </w:rPr>
        <w:t>（北京时间）。</w:t>
      </w:r>
    </w:p>
    <w:p w14:paraId="6C60C1E8">
      <w:pPr>
        <w:pageBreakBefore w:val="0"/>
        <w:widowControl w:val="0"/>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2.地点：“苏采云”政府交易系统网上开标大厅。</w:t>
      </w:r>
    </w:p>
    <w:p w14:paraId="107E96E9">
      <w:pPr>
        <w:pageBreakBefore w:val="0"/>
        <w:widowControl w:val="0"/>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3.本项目采用远程不见面交易模式，通过不见面交易系统及相应的配套硬件设备（摄像头、话筒、麦克风等）完成远程解密、开标现场异议及回复、开标唱标等交互环节。</w:t>
      </w:r>
    </w:p>
    <w:p w14:paraId="1240D778">
      <w:pPr>
        <w:pageBreakBefore w:val="0"/>
        <w:widowControl w:val="0"/>
        <w:spacing w:line="360" w:lineRule="auto"/>
        <w:ind w:firstLine="560"/>
        <w:outlineLvl w:val="2"/>
        <w:rPr>
          <w:rFonts w:ascii="宋体" w:hAnsi="宋体" w:cs="宋体"/>
          <w:color w:val="000000"/>
          <w:sz w:val="24"/>
          <w:szCs w:val="24"/>
          <w:highlight w:val="none"/>
        </w:rPr>
      </w:pPr>
      <w:r>
        <w:rPr>
          <w:rFonts w:hint="eastAsia" w:ascii="宋体" w:hAnsi="宋体" w:cs="宋体"/>
          <w:color w:val="000000"/>
          <w:sz w:val="24"/>
          <w:szCs w:val="24"/>
          <w:highlight w:val="none"/>
        </w:rPr>
        <w:t>4.不见面交易相关要求和说明如下：</w:t>
      </w:r>
    </w:p>
    <w:p w14:paraId="207C97F5">
      <w:pPr>
        <w:pageBreakBefore w:val="0"/>
        <w:widowControl w:val="0"/>
        <w:spacing w:line="360" w:lineRule="auto"/>
        <w:ind w:firstLine="56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（1）不见面开标项目的时间均以国家授时中心发布的时间为准</w:t>
      </w:r>
      <w:r>
        <w:rPr>
          <w:rFonts w:hint="eastAsia" w:ascii="宋体" w:hAnsi="宋体" w:cs="宋体"/>
          <w:color w:val="000000"/>
          <w:sz w:val="24"/>
          <w:szCs w:val="24"/>
          <w:highlight w:val="none"/>
          <w:lang w:eastAsia="zh-CN"/>
        </w:rPr>
        <w:t>。</w:t>
      </w:r>
    </w:p>
    <w:p w14:paraId="513584CF">
      <w:pPr>
        <w:pageBreakBefore w:val="0"/>
        <w:widowControl w:val="0"/>
        <w:spacing w:line="360" w:lineRule="auto"/>
        <w:ind w:firstLine="560"/>
        <w:rPr>
          <w:rFonts w:ascii="宋体" w:hAnsi="宋体" w:cs="宋体"/>
          <w:color w:val="000000"/>
          <w:sz w:val="24"/>
          <w:szCs w:val="24"/>
          <w:highlight w:val="none"/>
        </w:rPr>
      </w:pPr>
      <w:r>
        <w:rPr>
          <w:rFonts w:hint="eastAsia" w:ascii="宋体" w:hAnsi="宋体" w:cs="宋体"/>
          <w:color w:val="000000"/>
          <w:sz w:val="24"/>
          <w:szCs w:val="24"/>
          <w:highlight w:val="none"/>
        </w:rPr>
        <w:t>（2）开标当日，投标人不必抵达开标现场，仅需在任意地点通过“苏采云”系统（网址：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http://jszfcg.jsczt.cn/）“开标大厅”或扬中政府网（http://www.yzzfcg.cn/）首页点击“苏采云”进入系统“开标大厅”参与开标过程</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fldChar w:fldCharType="end"/>
      </w:r>
    </w:p>
    <w:p w14:paraId="5137EC6D">
      <w:pPr>
        <w:pageBreakBefore w:val="0"/>
        <w:widowControl w:val="0"/>
        <w:spacing w:line="360" w:lineRule="auto"/>
        <w:ind w:firstLine="56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cs="宋体"/>
          <w:color w:val="000000"/>
          <w:sz w:val="24"/>
          <w:szCs w:val="24"/>
          <w:highlight w:val="none"/>
          <w:lang w:eastAsia="zh-CN"/>
        </w:rPr>
        <w:t>。</w:t>
      </w:r>
    </w:p>
    <w:p w14:paraId="391AE219">
      <w:pPr>
        <w:pageBreakBefore w:val="0"/>
        <w:widowControl w:val="0"/>
        <w:spacing w:line="360" w:lineRule="auto"/>
        <w:ind w:firstLine="560"/>
        <w:rPr>
          <w:rFonts w:ascii="宋体" w:hAnsi="宋体" w:cs="宋体"/>
          <w:color w:val="000000"/>
          <w:sz w:val="24"/>
          <w:szCs w:val="24"/>
          <w:highlight w:val="none"/>
        </w:rPr>
      </w:pPr>
      <w:r>
        <w:rPr>
          <w:rFonts w:hint="eastAsia" w:ascii="宋体" w:hAnsi="宋体" w:cs="宋体"/>
          <w:color w:val="000000"/>
          <w:sz w:val="24"/>
          <w:szCs w:val="24"/>
          <w:highlight w:val="none"/>
        </w:rPr>
        <w:t>（4）投标文件递交截止时间后，</w:t>
      </w:r>
      <w:r>
        <w:rPr>
          <w:rFonts w:hint="eastAsia" w:ascii="宋体" w:hAnsi="宋体"/>
          <w:color w:val="000000"/>
          <w:sz w:val="24"/>
          <w:highlight w:val="none"/>
        </w:rPr>
        <w:t>招标</w:t>
      </w:r>
      <w:r>
        <w:rPr>
          <w:rFonts w:hint="eastAsia" w:ascii="宋体" w:hAnsi="宋体" w:cs="宋体"/>
          <w:color w:val="000000"/>
          <w:sz w:val="24"/>
          <w:szCs w:val="24"/>
          <w:highlight w:val="none"/>
        </w:rPr>
        <w:t>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已领取副锁（含多把副锁）请注意正副锁的使用差别）。本项目在限定的解密时间内，只要有一家投标人解密成功，即视为网上招投标平台运行无故障。</w:t>
      </w:r>
    </w:p>
    <w:p w14:paraId="49945A29">
      <w:pPr>
        <w:pageBreakBefore w:val="0"/>
        <w:widowControl w:val="0"/>
        <w:spacing w:line="360" w:lineRule="auto"/>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（5）因投标人自身软硬件配备不齐全或发生故障等问题而导致在交互过程中出现不稳定或中断等情况的，由投标人自身承担一切后果。</w:t>
      </w:r>
    </w:p>
    <w:p w14:paraId="02716C42">
      <w:pPr>
        <w:pStyle w:val="185"/>
        <w:pageBreakBefore w:val="0"/>
        <w:widowControl w:val="0"/>
        <w:spacing w:before="120" w:after="120" w:line="360" w:lineRule="auto"/>
        <w:ind w:firstLine="373"/>
        <w:rPr>
          <w:color w:val="000000"/>
          <w:sz w:val="24"/>
          <w:szCs w:val="24"/>
          <w:highlight w:val="none"/>
        </w:rPr>
      </w:pPr>
      <w:bookmarkStart w:id="30" w:name="_Toc38985267"/>
      <w:bookmarkStart w:id="31" w:name="_Toc35393625"/>
      <w:bookmarkStart w:id="32" w:name="_Toc28359084"/>
      <w:bookmarkStart w:id="33" w:name="_Toc35393794"/>
      <w:bookmarkStart w:id="34" w:name="_Toc28359007"/>
      <w:r>
        <w:rPr>
          <w:rFonts w:hint="eastAsia"/>
          <w:color w:val="000000"/>
          <w:sz w:val="24"/>
          <w:szCs w:val="24"/>
          <w:highlight w:val="none"/>
        </w:rPr>
        <w:t>五、公告期限</w:t>
      </w:r>
      <w:bookmarkEnd w:id="30"/>
      <w:bookmarkEnd w:id="31"/>
      <w:bookmarkEnd w:id="32"/>
      <w:bookmarkEnd w:id="33"/>
      <w:bookmarkEnd w:id="34"/>
    </w:p>
    <w:p w14:paraId="7A4ACAF5">
      <w:pPr>
        <w:pageBreakBefore w:val="0"/>
        <w:widowControl w:val="0"/>
        <w:spacing w:line="360" w:lineRule="auto"/>
        <w:ind w:firstLine="480"/>
        <w:rPr>
          <w:rFonts w:ascii="宋体" w:hAnsi="宋体" w:cs="宋体"/>
          <w:color w:val="000000"/>
          <w:sz w:val="24"/>
          <w:szCs w:val="24"/>
          <w:highlight w:val="none"/>
        </w:rPr>
      </w:pPr>
      <w:bookmarkStart w:id="35" w:name="_Toc38985268"/>
      <w:bookmarkStart w:id="36" w:name="_Toc35393626"/>
      <w:bookmarkStart w:id="37" w:name="_Toc35393795"/>
      <w:r>
        <w:rPr>
          <w:rFonts w:hint="eastAsia" w:ascii="宋体" w:hAnsi="宋体" w:cs="宋体"/>
          <w:color w:val="000000"/>
          <w:sz w:val="24"/>
          <w:szCs w:val="24"/>
          <w:highlight w:val="none"/>
        </w:rPr>
        <w:t>招标公告及招标文件公告期限为自本公告发布之日起5个工作日。</w:t>
      </w:r>
    </w:p>
    <w:p w14:paraId="50A269CD">
      <w:pPr>
        <w:pStyle w:val="185"/>
        <w:pageBreakBefore w:val="0"/>
        <w:widowControl w:val="0"/>
        <w:spacing w:before="120" w:after="120" w:line="360" w:lineRule="auto"/>
        <w:ind w:firstLine="373"/>
        <w:rPr>
          <w:color w:val="000000"/>
          <w:sz w:val="24"/>
          <w:szCs w:val="24"/>
          <w:highlight w:val="none"/>
        </w:rPr>
      </w:pPr>
      <w:r>
        <w:rPr>
          <w:rFonts w:hint="eastAsia"/>
          <w:color w:val="000000"/>
          <w:sz w:val="24"/>
          <w:szCs w:val="24"/>
          <w:highlight w:val="none"/>
        </w:rPr>
        <w:t>六、其他补充事宜</w:t>
      </w:r>
      <w:bookmarkEnd w:id="35"/>
      <w:bookmarkEnd w:id="36"/>
      <w:bookmarkEnd w:id="37"/>
    </w:p>
    <w:p w14:paraId="32DF2693">
      <w:pPr>
        <w:pageBreakBefore w:val="0"/>
        <w:widowControl w:val="0"/>
        <w:spacing w:line="360" w:lineRule="auto"/>
        <w:ind w:firstLine="480"/>
        <w:rPr>
          <w:rFonts w:hint="eastAsia" w:ascii="宋体" w:hAnsi="宋体" w:cs="宋体"/>
          <w:color w:val="000000"/>
          <w:sz w:val="24"/>
          <w:szCs w:val="24"/>
          <w:highlight w:val="none"/>
        </w:rPr>
      </w:pPr>
      <w:bookmarkStart w:id="38" w:name="_Toc28359085"/>
      <w:bookmarkStart w:id="39" w:name="_Toc38985269"/>
      <w:bookmarkStart w:id="40" w:name="_Toc28359008"/>
      <w:bookmarkStart w:id="41" w:name="_Toc35393627"/>
      <w:bookmarkStart w:id="42" w:name="_Toc35393796"/>
      <w:r>
        <w:rPr>
          <w:rFonts w:hint="eastAsia" w:ascii="宋体" w:hAnsi="宋体" w:cs="宋体"/>
          <w:color w:val="000000"/>
          <w:sz w:val="24"/>
          <w:szCs w:val="24"/>
          <w:highlight w:val="none"/>
        </w:rPr>
        <w:t>1.现场勘察：</w:t>
      </w:r>
    </w:p>
    <w:p w14:paraId="706CAEC9">
      <w:pPr>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w:t>
      </w:r>
      <w:r>
        <w:rPr>
          <w:rFonts w:hint="eastAsia" w:ascii="宋体" w:hAnsi="宋体"/>
          <w:color w:val="000000"/>
          <w:sz w:val="24"/>
          <w:highlight w:val="none"/>
        </w:rPr>
        <w:t>招标</w:t>
      </w:r>
      <w:r>
        <w:rPr>
          <w:rFonts w:hint="eastAsia" w:ascii="宋体" w:hAnsi="宋体" w:cs="宋体"/>
          <w:color w:val="000000"/>
          <w:sz w:val="24"/>
          <w:szCs w:val="24"/>
          <w:highlight w:val="none"/>
        </w:rPr>
        <w:t>人不组织现场踏勘，</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可自行组织对现场及其周围环境进行踏勘，以便</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自行查明或核实有关编制</w:t>
      </w:r>
      <w:r>
        <w:rPr>
          <w:rFonts w:hint="eastAsia" w:ascii="宋体" w:hAnsi="宋体" w:cs="宋体"/>
          <w:color w:val="000000"/>
          <w:sz w:val="24"/>
          <w:szCs w:val="24"/>
          <w:highlight w:val="none"/>
          <w:lang w:val="en-US" w:eastAsia="zh-CN"/>
        </w:rPr>
        <w:t>投标</w:t>
      </w:r>
      <w:r>
        <w:rPr>
          <w:rFonts w:hint="eastAsia" w:ascii="宋体" w:hAnsi="宋体" w:cs="宋体"/>
          <w:color w:val="000000"/>
          <w:sz w:val="24"/>
          <w:szCs w:val="24"/>
          <w:highlight w:val="none"/>
        </w:rPr>
        <w:t>文件和签订合同所必需的资料。</w:t>
      </w:r>
    </w:p>
    <w:p w14:paraId="1A242FB7">
      <w:pPr>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（2）现场踏勘期间，</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承担自身的费用、责任和风险。如果发生人身伤亡、财物或其他损失，除国家法律法规有规定的之外，</w:t>
      </w:r>
      <w:r>
        <w:rPr>
          <w:rFonts w:hint="eastAsia" w:ascii="宋体" w:hAnsi="宋体"/>
          <w:color w:val="000000"/>
          <w:sz w:val="24"/>
          <w:highlight w:val="none"/>
        </w:rPr>
        <w:t>招标</w:t>
      </w:r>
      <w:r>
        <w:rPr>
          <w:rFonts w:hint="eastAsia" w:ascii="宋体" w:hAnsi="宋体" w:cs="宋体"/>
          <w:color w:val="000000"/>
          <w:sz w:val="24"/>
          <w:szCs w:val="24"/>
          <w:highlight w:val="none"/>
        </w:rPr>
        <w:t>人均不负责。</w:t>
      </w:r>
    </w:p>
    <w:p w14:paraId="6B5A2C59">
      <w:pPr>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2.本项目需要落实的政府政策：</w:t>
      </w:r>
      <w:r>
        <w:rPr>
          <w:rFonts w:hint="eastAsia" w:ascii="宋体" w:hAnsi="宋体" w:cs="宋体"/>
          <w:color w:val="000000"/>
          <w:sz w:val="24"/>
          <w:szCs w:val="24"/>
          <w:highlight w:val="none"/>
          <w:lang w:val="zh-CN"/>
        </w:rPr>
        <w:t>财政部、工业和信息化部关于印发《政府促进中小企业发展管理办法》的通知（财库〔2020〕46号</w:t>
      </w:r>
      <w:r>
        <w:rPr>
          <w:rFonts w:hint="eastAsia" w:ascii="宋体" w:hAnsi="宋体" w:cs="宋体"/>
          <w:color w:val="000000"/>
          <w:sz w:val="24"/>
          <w:szCs w:val="24"/>
          <w:highlight w:val="none"/>
        </w:rPr>
        <w:t>)、《关于进一步加大政府支持中小企业力度的通知》（</w:t>
      </w:r>
      <w:r>
        <w:rPr>
          <w:rFonts w:hint="eastAsia" w:ascii="宋体" w:hAnsi="宋体" w:cs="宋体"/>
          <w:color w:val="000000"/>
          <w:sz w:val="24"/>
          <w:szCs w:val="24"/>
          <w:highlight w:val="none"/>
          <w:lang w:val="zh-CN"/>
        </w:rPr>
        <w:t>财库【</w:t>
      </w:r>
      <w:r>
        <w:rPr>
          <w:rFonts w:hint="eastAsia" w:ascii="宋体" w:hAnsi="宋体" w:cs="宋体"/>
          <w:color w:val="000000"/>
          <w:sz w:val="24"/>
          <w:szCs w:val="24"/>
          <w:highlight w:val="none"/>
        </w:rPr>
        <w:t>2023</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19号）、残疾人福利性单位政策、监狱企业发展政策（具体表述详见文件）。</w:t>
      </w:r>
    </w:p>
    <w:p w14:paraId="32834251">
      <w:pPr>
        <w:pStyle w:val="185"/>
        <w:pageBreakBefore w:val="0"/>
        <w:widowControl w:val="0"/>
        <w:numPr>
          <w:ilvl w:val="0"/>
          <w:numId w:val="4"/>
        </w:numPr>
        <w:spacing w:before="120" w:after="120" w:line="360" w:lineRule="auto"/>
        <w:ind w:firstLine="373"/>
        <w:rPr>
          <w:rFonts w:hint="eastAsia"/>
          <w:color w:val="000000"/>
          <w:sz w:val="24"/>
          <w:szCs w:val="24"/>
          <w:highlight w:val="none"/>
        </w:rPr>
      </w:pPr>
      <w:r>
        <w:rPr>
          <w:rFonts w:hint="eastAsia"/>
          <w:color w:val="000000"/>
          <w:sz w:val="24"/>
          <w:szCs w:val="24"/>
          <w:highlight w:val="none"/>
        </w:rPr>
        <w:t>本次招标联系方式</w:t>
      </w:r>
      <w:bookmarkEnd w:id="38"/>
      <w:bookmarkEnd w:id="39"/>
      <w:bookmarkEnd w:id="40"/>
      <w:bookmarkEnd w:id="41"/>
      <w:bookmarkEnd w:id="42"/>
    </w:p>
    <w:p w14:paraId="3F37CDB4">
      <w:pPr>
        <w:pageBreakBefore w:val="0"/>
        <w:widowControl w:val="0"/>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1.招标人信息</w:t>
      </w:r>
    </w:p>
    <w:p w14:paraId="3F9CB9B5">
      <w:pPr>
        <w:pageBreakBefore w:val="0"/>
        <w:widowControl w:val="0"/>
        <w:spacing w:line="360" w:lineRule="auto"/>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名称：</w:t>
      </w:r>
      <w:r>
        <w:rPr>
          <w:rFonts w:hint="eastAsia" w:ascii="宋体" w:hAnsi="宋体"/>
          <w:color w:val="000000"/>
          <w:sz w:val="24"/>
          <w:szCs w:val="24"/>
          <w:highlight w:val="none"/>
          <w:u w:val="single"/>
          <w:lang w:eastAsia="zh-CN"/>
        </w:rPr>
        <w:t>扬中经济开发区管理委员会</w:t>
      </w:r>
    </w:p>
    <w:p w14:paraId="3C691785">
      <w:pPr>
        <w:pageBreakBefore w:val="0"/>
        <w:widowControl w:val="0"/>
        <w:spacing w:line="360" w:lineRule="auto"/>
        <w:ind w:firstLine="480"/>
        <w:jc w:val="lef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地址：</w:t>
      </w:r>
      <w:r>
        <w:rPr>
          <w:rFonts w:hint="eastAsia" w:ascii="宋体" w:hAnsi="宋体"/>
          <w:color w:val="000000"/>
          <w:sz w:val="24"/>
          <w:szCs w:val="24"/>
          <w:highlight w:val="none"/>
          <w:u w:val="single"/>
          <w:lang w:val="en-US" w:eastAsia="zh-CN"/>
        </w:rPr>
        <w:t>扬中市经济开发区兴隆路8号</w:t>
      </w:r>
    </w:p>
    <w:p w14:paraId="06720E0B">
      <w:pPr>
        <w:pageBreakBefore w:val="0"/>
        <w:widowControl w:val="0"/>
        <w:spacing w:line="360" w:lineRule="auto"/>
        <w:ind w:firstLine="480"/>
        <w:jc w:val="left"/>
        <w:rPr>
          <w:rFonts w:hint="eastAsia" w:ascii="宋体" w:hAnsi="宋体" w:eastAsia="宋体"/>
          <w:color w:val="000000"/>
          <w:sz w:val="24"/>
          <w:szCs w:val="24"/>
          <w:highlight w:val="none"/>
          <w:u w:val="single"/>
          <w:lang w:val="en-US" w:eastAsia="zh-CN"/>
        </w:rPr>
      </w:pPr>
      <w:bookmarkStart w:id="43" w:name="_Toc28359086"/>
      <w:bookmarkStart w:id="44" w:name="_Toc28359009"/>
      <w:r>
        <w:rPr>
          <w:rFonts w:hint="eastAsia" w:ascii="宋体" w:hAnsi="宋体"/>
          <w:color w:val="000000"/>
          <w:sz w:val="24"/>
          <w:szCs w:val="24"/>
          <w:highlight w:val="none"/>
        </w:rPr>
        <w:t>联系人：</w:t>
      </w:r>
      <w:r>
        <w:rPr>
          <w:rFonts w:hint="eastAsia" w:ascii="宋体" w:hAnsi="宋体"/>
          <w:color w:val="000000"/>
          <w:sz w:val="24"/>
          <w:szCs w:val="24"/>
          <w:highlight w:val="none"/>
          <w:u w:val="single"/>
          <w:lang w:val="en-US" w:eastAsia="zh-CN"/>
        </w:rPr>
        <w:t>郭寅江</w:t>
      </w:r>
    </w:p>
    <w:p w14:paraId="2BC790DF">
      <w:pPr>
        <w:pageBreakBefore w:val="0"/>
        <w:widowControl w:val="0"/>
        <w:spacing w:line="360" w:lineRule="auto"/>
        <w:ind w:firstLine="480"/>
        <w:jc w:val="left"/>
        <w:rPr>
          <w:rFonts w:ascii="宋体" w:hAnsi="宋体"/>
          <w:color w:val="000000"/>
          <w:sz w:val="24"/>
          <w:szCs w:val="24"/>
          <w:highlight w:val="none"/>
          <w:u w:val="single"/>
          <w:lang w:val="en-US" w:eastAsia="zh-CN"/>
        </w:rPr>
      </w:pPr>
      <w:r>
        <w:rPr>
          <w:rFonts w:hint="eastAsia" w:ascii="宋体" w:hAnsi="宋体"/>
          <w:color w:val="000000"/>
          <w:sz w:val="24"/>
          <w:szCs w:val="24"/>
          <w:highlight w:val="none"/>
        </w:rPr>
        <w:t>联系方式：</w:t>
      </w:r>
      <w:r>
        <w:rPr>
          <w:rFonts w:hint="eastAsia" w:ascii="宋体" w:hAnsi="宋体"/>
          <w:color w:val="000000"/>
          <w:sz w:val="24"/>
          <w:szCs w:val="24"/>
          <w:highlight w:val="none"/>
          <w:u w:val="single"/>
          <w:lang w:val="en-US" w:eastAsia="zh-CN"/>
        </w:rPr>
        <w:t>18252096636</w:t>
      </w:r>
    </w:p>
    <w:p w14:paraId="0EA7E368">
      <w:pPr>
        <w:pageBreakBefore w:val="0"/>
        <w:widowControl w:val="0"/>
        <w:spacing w:line="360" w:lineRule="auto"/>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2.代理机构信息</w:t>
      </w:r>
    </w:p>
    <w:bookmarkEnd w:id="43"/>
    <w:bookmarkEnd w:id="44"/>
    <w:p w14:paraId="141C1753">
      <w:pPr>
        <w:pageBreakBefore w:val="0"/>
        <w:widowControl w:val="0"/>
        <w:spacing w:line="360" w:lineRule="auto"/>
        <w:ind w:firstLine="480"/>
        <w:outlineLvl w:val="2"/>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rPr>
        <w:t>名称：</w:t>
      </w:r>
      <w:r>
        <w:rPr>
          <w:rFonts w:hint="eastAsia" w:ascii="宋体" w:hAnsi="宋体" w:cs="宋体"/>
          <w:color w:val="000000"/>
          <w:sz w:val="24"/>
          <w:szCs w:val="24"/>
          <w:highlight w:val="none"/>
          <w:u w:val="single"/>
          <w:lang w:eastAsia="zh-CN"/>
        </w:rPr>
        <w:t>镇江晟科工程管理咨询有限公司</w:t>
      </w:r>
    </w:p>
    <w:p w14:paraId="43513128">
      <w:pPr>
        <w:pageBreakBefore w:val="0"/>
        <w:widowControl w:val="0"/>
        <w:spacing w:line="360" w:lineRule="auto"/>
        <w:ind w:firstLine="480"/>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地址：</w:t>
      </w:r>
      <w:r>
        <w:rPr>
          <w:rFonts w:hint="eastAsia" w:ascii="宋体" w:hAnsi="宋体"/>
          <w:color w:val="000000"/>
          <w:sz w:val="24"/>
          <w:szCs w:val="24"/>
          <w:highlight w:val="none"/>
          <w:u w:val="single"/>
          <w:lang w:eastAsia="zh-CN"/>
        </w:rPr>
        <w:t>镇江市扬中市三茅街道三丰路1号</w:t>
      </w:r>
    </w:p>
    <w:p w14:paraId="762D6948">
      <w:pPr>
        <w:pageBreakBefore w:val="0"/>
        <w:widowControl w:val="0"/>
        <w:spacing w:line="360" w:lineRule="auto"/>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联系人：</w:t>
      </w:r>
      <w:r>
        <w:rPr>
          <w:rFonts w:hint="eastAsia" w:ascii="宋体" w:hAnsi="宋体"/>
          <w:color w:val="000000"/>
          <w:sz w:val="24"/>
          <w:szCs w:val="24"/>
          <w:highlight w:val="none"/>
          <w:u w:val="single"/>
          <w:lang w:val="en-US" w:eastAsia="zh-CN"/>
        </w:rPr>
        <w:t>崔婷婷</w:t>
      </w:r>
    </w:p>
    <w:p w14:paraId="6973B944">
      <w:pPr>
        <w:pageBreakBefore w:val="0"/>
        <w:widowControl w:val="0"/>
        <w:spacing w:line="360" w:lineRule="auto"/>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联系方式：</w:t>
      </w:r>
      <w:bookmarkStart w:id="45" w:name="_Toc28359010"/>
      <w:bookmarkStart w:id="46" w:name="_Toc28359087"/>
      <w:r>
        <w:rPr>
          <w:rFonts w:hint="eastAsia" w:ascii="宋体" w:hAnsi="宋体"/>
          <w:color w:val="000000"/>
          <w:sz w:val="24"/>
          <w:szCs w:val="24"/>
          <w:highlight w:val="none"/>
          <w:u w:val="single"/>
          <w:lang w:eastAsia="zh-CN"/>
        </w:rPr>
        <w:t>14705280248</w:t>
      </w:r>
    </w:p>
    <w:bookmarkEnd w:id="45"/>
    <w:bookmarkEnd w:id="46"/>
    <w:p w14:paraId="333787C6">
      <w:pPr>
        <w:pStyle w:val="185"/>
        <w:pageBreakBefore w:val="0"/>
        <w:widowControl w:val="0"/>
        <w:spacing w:before="120" w:after="120" w:line="360" w:lineRule="auto"/>
        <w:ind w:firstLine="373"/>
        <w:rPr>
          <w:color w:val="000000"/>
          <w:sz w:val="24"/>
          <w:szCs w:val="24"/>
          <w:highlight w:val="none"/>
        </w:rPr>
      </w:pPr>
      <w:r>
        <w:rPr>
          <w:rFonts w:hint="eastAsia"/>
          <w:color w:val="000000"/>
          <w:sz w:val="24"/>
          <w:szCs w:val="24"/>
          <w:highlight w:val="none"/>
        </w:rPr>
        <w:t>八、其他</w:t>
      </w:r>
    </w:p>
    <w:p w14:paraId="1B0EF73A">
      <w:pPr>
        <w:pageBreakBefore w:val="0"/>
        <w:widowControl w:val="0"/>
        <w:tabs>
          <w:tab w:val="left" w:pos="900"/>
        </w:tabs>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1.有关本次招标的事项若存在变动或修改，敬请及时关注“江苏政府网”、“扬中政府网”发布的更正公告。</w:t>
      </w:r>
    </w:p>
    <w:p w14:paraId="5D1A3D25">
      <w:pPr>
        <w:pageBreakBefore w:val="0"/>
        <w:widowControl w:val="0"/>
        <w:tabs>
          <w:tab w:val="left" w:pos="900"/>
        </w:tabs>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 本次招标不收取投标保证金。</w:t>
      </w:r>
    </w:p>
    <w:p w14:paraId="44049544">
      <w:pPr>
        <w:spacing w:line="440" w:lineRule="exact"/>
        <w:ind w:firstLine="480"/>
        <w:rPr>
          <w:rFonts w:hint="eastAsia" w:ascii="宋体" w:hAnsi="宋体"/>
          <w:color w:val="000000"/>
          <w:sz w:val="24"/>
          <w:highlight w:val="none"/>
        </w:rPr>
      </w:pPr>
    </w:p>
    <w:p w14:paraId="4025071F">
      <w:pPr>
        <w:spacing w:before="120" w:after="120" w:line="440" w:lineRule="exact"/>
        <w:ind w:right="839"/>
        <w:jc w:val="center"/>
        <w:rPr>
          <w:rFonts w:hint="eastAsia" w:ascii="黑体" w:eastAsia="黑体"/>
          <w:b/>
          <w:bCs/>
          <w:color w:val="000000"/>
          <w:highlight w:val="none"/>
        </w:rPr>
      </w:pPr>
      <w:r>
        <w:rPr>
          <w:rFonts w:ascii="宋体" w:hAnsi="宋体"/>
          <w:color w:val="000000"/>
          <w:sz w:val="24"/>
          <w:szCs w:val="24"/>
          <w:highlight w:val="none"/>
        </w:rPr>
        <w:br w:type="page" w:clear="all"/>
      </w:r>
      <w:bookmarkStart w:id="47" w:name="_Toc120614211"/>
      <w:r>
        <w:rPr>
          <w:rFonts w:hint="eastAsia" w:ascii="黑体" w:eastAsia="黑体"/>
          <w:color w:val="000000"/>
          <w:sz w:val="32"/>
          <w:szCs w:val="32"/>
          <w:highlight w:val="none"/>
        </w:rPr>
        <w:t xml:space="preserve">第二章  </w:t>
      </w:r>
      <w:bookmarkEnd w:id="1"/>
      <w:bookmarkEnd w:id="2"/>
      <w:bookmarkEnd w:id="3"/>
      <w:bookmarkEnd w:id="4"/>
      <w:bookmarkEnd w:id="5"/>
      <w:bookmarkEnd w:id="47"/>
      <w:bookmarkStart w:id="48" w:name="_Toc16938518"/>
      <w:bookmarkStart w:id="49" w:name="_Toc20823274"/>
      <w:bookmarkStart w:id="50" w:name="_Toc513029202"/>
      <w:bookmarkStart w:id="51" w:name="_Toc120614213"/>
      <w:r>
        <w:rPr>
          <w:rFonts w:hint="eastAsia" w:ascii="黑体" w:eastAsia="黑体"/>
          <w:color w:val="000000"/>
          <w:sz w:val="32"/>
          <w:szCs w:val="32"/>
          <w:highlight w:val="none"/>
        </w:rPr>
        <w:t>投标人须知</w:t>
      </w:r>
      <w:bookmarkEnd w:id="48"/>
      <w:bookmarkEnd w:id="49"/>
      <w:bookmarkEnd w:id="50"/>
      <w:bookmarkEnd w:id="51"/>
    </w:p>
    <w:p w14:paraId="5AA1E63A">
      <w:pPr>
        <w:pStyle w:val="185"/>
        <w:spacing w:before="120" w:after="120" w:line="440" w:lineRule="exact"/>
        <w:ind w:firstLine="373"/>
        <w:rPr>
          <w:rFonts w:hint="eastAsia"/>
          <w:color w:val="000000"/>
          <w:sz w:val="24"/>
          <w:szCs w:val="24"/>
          <w:highlight w:val="none"/>
        </w:rPr>
      </w:pPr>
      <w:bookmarkStart w:id="52" w:name="_Toc513029203"/>
      <w:bookmarkStart w:id="53" w:name="_Toc16938519"/>
      <w:bookmarkStart w:id="54" w:name="_Toc120614214"/>
      <w:bookmarkStart w:id="55" w:name="_Toc20823275"/>
      <w:r>
        <w:rPr>
          <w:rFonts w:hint="eastAsia"/>
          <w:color w:val="000000"/>
          <w:sz w:val="24"/>
          <w:szCs w:val="24"/>
          <w:highlight w:val="none"/>
        </w:rPr>
        <w:t>一、总则</w:t>
      </w:r>
      <w:bookmarkEnd w:id="52"/>
      <w:bookmarkEnd w:id="53"/>
      <w:bookmarkEnd w:id="54"/>
      <w:bookmarkEnd w:id="55"/>
    </w:p>
    <w:p w14:paraId="660501B1">
      <w:pPr>
        <w:pStyle w:val="187"/>
        <w:spacing w:before="0" w:after="0" w:line="440" w:lineRule="exact"/>
        <w:ind w:firstLine="360"/>
        <w:rPr>
          <w:rFonts w:hint="eastAsia"/>
          <w:b w:val="0"/>
          <w:bCs w:val="0"/>
          <w:color w:val="000000"/>
          <w:sz w:val="24"/>
          <w:szCs w:val="24"/>
          <w:highlight w:val="none"/>
        </w:rPr>
      </w:pPr>
      <w:bookmarkStart w:id="56" w:name="_Hlt16619475"/>
      <w:bookmarkEnd w:id="56"/>
      <w:bookmarkStart w:id="57" w:name="_Toc458694821"/>
      <w:bookmarkStart w:id="58" w:name="_Toc20823276"/>
      <w:bookmarkStart w:id="59" w:name="_Toc513029204"/>
      <w:bookmarkStart w:id="60" w:name="_Toc16938520"/>
      <w:r>
        <w:rPr>
          <w:rFonts w:hint="eastAsia"/>
          <w:b w:val="0"/>
          <w:bCs w:val="0"/>
          <w:color w:val="000000"/>
          <w:sz w:val="24"/>
          <w:szCs w:val="24"/>
          <w:highlight w:val="none"/>
        </w:rPr>
        <w:t>1</w:t>
      </w:r>
      <w:bookmarkEnd w:id="57"/>
      <w:r>
        <w:rPr>
          <w:rFonts w:hint="eastAsia"/>
          <w:b w:val="0"/>
          <w:bCs w:val="0"/>
          <w:color w:val="000000"/>
          <w:sz w:val="24"/>
          <w:szCs w:val="24"/>
          <w:highlight w:val="none"/>
        </w:rPr>
        <w:t>、招标方式</w:t>
      </w:r>
      <w:bookmarkEnd w:id="58"/>
      <w:bookmarkEnd w:id="59"/>
      <w:bookmarkEnd w:id="60"/>
    </w:p>
    <w:p w14:paraId="22165804">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1.1 本次招标采取公开招标方式，本招标文件仅适用于招标公告中所述项目。</w:t>
      </w:r>
    </w:p>
    <w:p w14:paraId="08F979AC">
      <w:pPr>
        <w:pStyle w:val="187"/>
        <w:spacing w:before="0" w:after="0" w:line="440" w:lineRule="exact"/>
        <w:ind w:firstLine="360"/>
        <w:rPr>
          <w:rFonts w:hint="eastAsia"/>
          <w:b w:val="0"/>
          <w:bCs w:val="0"/>
          <w:color w:val="000000"/>
          <w:sz w:val="24"/>
          <w:szCs w:val="24"/>
          <w:highlight w:val="none"/>
        </w:rPr>
      </w:pPr>
      <w:bookmarkStart w:id="61" w:name="_Toc20823277"/>
      <w:bookmarkStart w:id="62" w:name="_Toc16938521"/>
      <w:bookmarkStart w:id="63" w:name="_Toc513029205"/>
      <w:r>
        <w:rPr>
          <w:rFonts w:hint="eastAsia"/>
          <w:b w:val="0"/>
          <w:bCs w:val="0"/>
          <w:color w:val="000000"/>
          <w:sz w:val="24"/>
          <w:szCs w:val="24"/>
          <w:highlight w:val="none"/>
        </w:rPr>
        <w:t>2、合格的投标人</w:t>
      </w:r>
      <w:bookmarkEnd w:id="61"/>
      <w:bookmarkEnd w:id="62"/>
      <w:bookmarkEnd w:id="63"/>
    </w:p>
    <w:p w14:paraId="16F65C1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2.1满足招标公告中</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的资格要求的规定。</w:t>
      </w:r>
    </w:p>
    <w:p w14:paraId="67868589">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 满足本文件实质性要求和条件的规定。</w:t>
      </w:r>
    </w:p>
    <w:p w14:paraId="6B2A959D">
      <w:pPr>
        <w:pStyle w:val="187"/>
        <w:spacing w:before="0" w:after="0" w:line="440" w:lineRule="exact"/>
        <w:ind w:firstLine="360"/>
        <w:rPr>
          <w:b w:val="0"/>
          <w:bCs w:val="0"/>
          <w:color w:val="000000"/>
          <w:sz w:val="24"/>
          <w:szCs w:val="24"/>
          <w:highlight w:val="none"/>
        </w:rPr>
      </w:pPr>
      <w:bookmarkStart w:id="64" w:name="_Toc16938522"/>
      <w:bookmarkStart w:id="65" w:name="_Toc20823278"/>
      <w:bookmarkStart w:id="66" w:name="_Toc513029206"/>
      <w:r>
        <w:rPr>
          <w:rFonts w:hint="eastAsia"/>
          <w:b w:val="0"/>
          <w:bCs w:val="0"/>
          <w:color w:val="000000"/>
          <w:sz w:val="24"/>
          <w:szCs w:val="24"/>
          <w:highlight w:val="none"/>
        </w:rPr>
        <w:t>3、适用法律</w:t>
      </w:r>
      <w:bookmarkEnd w:id="64"/>
      <w:bookmarkEnd w:id="65"/>
      <w:bookmarkEnd w:id="66"/>
      <w:r>
        <w:rPr>
          <w:rFonts w:hint="eastAsia"/>
          <w:b w:val="0"/>
          <w:bCs w:val="0"/>
          <w:color w:val="000000"/>
          <w:sz w:val="24"/>
          <w:szCs w:val="24"/>
          <w:highlight w:val="none"/>
        </w:rPr>
        <w:t>及政策功能</w:t>
      </w:r>
    </w:p>
    <w:p w14:paraId="63C32C7E">
      <w:pPr>
        <w:spacing w:line="440" w:lineRule="exact"/>
        <w:ind w:firstLine="420"/>
        <w:rPr>
          <w:rFonts w:ascii="宋体" w:hAnsi="宋体"/>
          <w:color w:val="000000"/>
          <w:sz w:val="24"/>
          <w:highlight w:val="none"/>
        </w:rPr>
      </w:pPr>
      <w:r>
        <w:rPr>
          <w:rFonts w:hint="eastAsia" w:ascii="宋体" w:hAnsi="宋体"/>
          <w:color w:val="000000"/>
          <w:sz w:val="24"/>
          <w:highlight w:val="none"/>
        </w:rPr>
        <w:t>本次招标及由此产生的合同受中华人民共和国有关的法律法规制约和保护</w:t>
      </w:r>
      <w:r>
        <w:rPr>
          <w:rFonts w:ascii="宋体" w:hAnsi="宋体"/>
          <w:color w:val="000000"/>
          <w:sz w:val="24"/>
          <w:highlight w:val="none"/>
        </w:rPr>
        <w:t>。</w:t>
      </w:r>
    </w:p>
    <w:p w14:paraId="772AC01A">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3.1支持中小企业发展</w:t>
      </w:r>
    </w:p>
    <w:p w14:paraId="3D04D918">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3.1.1中小企业，是指在中华人民共和国境内依法设立，依据国务院批准的中小企业划分标准确定的中型企业、小型企业和微型企业，但与大企业的负责人为同一人，或者与大企业存在直接控股、管理关系的除外。</w:t>
      </w:r>
    </w:p>
    <w:p w14:paraId="79B5C234">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符合中小企业划分标准的个体工商户，在政府活动中视同中小企业。</w:t>
      </w:r>
    </w:p>
    <w:p w14:paraId="7CAF4194">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3.1.2在政府活动中，投标人提供的货物、工程或者服务符合下列情形的，享受中小企业扶持政策：</w:t>
      </w:r>
    </w:p>
    <w:p w14:paraId="5E216393">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3.1.2.1在货物项目中，货物由中小企业制造，即货物由中小企业生产且使用该中小企业商号或者注册商标；</w:t>
      </w:r>
    </w:p>
    <w:p w14:paraId="71CB84FA">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3.1.2.2在工程项目中，工程由中小企业承建，即工程施工单位为中小企业；</w:t>
      </w:r>
    </w:p>
    <w:p w14:paraId="3E155871">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3.1.2.3在服务项目中，服务由中小企业承接，即提供服务的人员为中小企业依照《中华人民共和国劳动合同法》订立劳动合同的从业人员。</w:t>
      </w:r>
    </w:p>
    <w:p w14:paraId="0D5B0BBD">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在货物项目中，投标人提供的货物既有中小企业制造货物，也有大型企业制造货物的，不享受中小企业扶持政策。</w:t>
      </w:r>
    </w:p>
    <w:p w14:paraId="1EF8C2A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以联合体形式参加政府活动，联合体各方均为中小企业的，联合体视同中小企业。其中，联合体各方均为小微企业的，联合体视同小微企业。</w:t>
      </w:r>
    </w:p>
    <w:p w14:paraId="4C0450CD">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3.1.3根据《政府促进中小企业发展管理办法》要求，对于未预留份额专门面向中小企业的政府货物或服务项目，以及预留份额政府货物或服务项目中的非预留部分标项，对小型和微型企业的投标报价给予</w:t>
      </w:r>
      <w:bookmarkStart w:id="67" w:name="_Hlk132637972"/>
      <w:r>
        <w:rPr>
          <w:rFonts w:hint="eastAsia" w:ascii="宋体" w:hAnsi="宋体"/>
          <w:color w:val="000000"/>
          <w:sz w:val="24"/>
          <w:highlight w:val="none"/>
        </w:rPr>
        <w:t>10%-20%</w:t>
      </w:r>
      <w:bookmarkEnd w:id="67"/>
      <w:r>
        <w:rPr>
          <w:rFonts w:hint="eastAsia" w:ascii="宋体" w:hAnsi="宋体"/>
          <w:color w:val="000000"/>
          <w:sz w:val="24"/>
          <w:highlight w:val="none"/>
        </w:rPr>
        <w:t>的扣除，</w:t>
      </w:r>
      <w:bookmarkStart w:id="68" w:name="_Hlk132637893"/>
      <w:r>
        <w:rPr>
          <w:rFonts w:hint="eastAsia" w:ascii="宋体" w:hAnsi="宋体"/>
          <w:color w:val="000000"/>
          <w:sz w:val="24"/>
          <w:highlight w:val="none"/>
        </w:rPr>
        <w:t>用扣除后的价格参与评审</w:t>
      </w:r>
      <w:bookmarkEnd w:id="68"/>
      <w:r>
        <w:rPr>
          <w:rFonts w:hint="eastAsia" w:ascii="宋体" w:hAnsi="宋体"/>
          <w:color w:val="000000"/>
          <w:sz w:val="24"/>
          <w:highlight w:val="none"/>
        </w:rPr>
        <w:t>。接受大中型企业与小微企业组成联合体或者允许大中型企业向一家或者多家小微企业分包的政府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4ECBD49F">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E49FC6B">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79C5ADA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3.1.6中小企业享受扶持政策获得政府合同的，小微企业不得将合同分包给大中型企业，中型企业不得将合同分包给大型企业。</w:t>
      </w:r>
    </w:p>
    <w:p w14:paraId="34775BB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3.2强制信息安全产品</w:t>
      </w:r>
    </w:p>
    <w:p w14:paraId="75DC596A">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信息安全产品指国家质检总局国家认监委《信息安全产品强制性认证目录》，并获得强制性产品认证证书的产品。</w:t>
      </w:r>
    </w:p>
    <w:p w14:paraId="22653EDA">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3.3支持绿色发展</w:t>
      </w:r>
    </w:p>
    <w:p w14:paraId="2D09C98E">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投标人</w:t>
      </w:r>
      <w:r>
        <w:rPr>
          <w:rFonts w:hint="eastAsia" w:ascii="宋体" w:hAnsi="宋体"/>
          <w:color w:val="000000"/>
          <w:sz w:val="24"/>
          <w:highlight w:val="none"/>
        </w:rPr>
        <w:t>所投产品属于品目清单范围的，依据国家确定的认证机构出具的、处于有效期之内的节能产品、环境标志产品认证证书，对获得证书的产品实施政府优先或强制。</w:t>
      </w:r>
    </w:p>
    <w:p w14:paraId="1730A88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3.3.2本项目中涉及商品包装和快递包装的，参考《财政部办公厅关于印发《商品包装政府需求标准（试行）》、 《快递包装政府需求标准（试行）》的通知》</w:t>
      </w:r>
      <w:bookmarkStart w:id="69" w:name="_Hlk132634610"/>
      <w:r>
        <w:rPr>
          <w:rFonts w:hint="eastAsia" w:ascii="宋体" w:hAnsi="宋体"/>
          <w:color w:val="000000"/>
          <w:sz w:val="24"/>
          <w:highlight w:val="none"/>
        </w:rPr>
        <w:t>（财办库〔2020〕123号）</w:t>
      </w:r>
      <w:bookmarkEnd w:id="69"/>
      <w:r>
        <w:rPr>
          <w:rFonts w:hint="eastAsia" w:ascii="宋体" w:hAnsi="宋体"/>
          <w:color w:val="000000"/>
          <w:sz w:val="24"/>
          <w:highlight w:val="none"/>
        </w:rPr>
        <w:t>规定的包装需求标准。</w:t>
      </w:r>
    </w:p>
    <w:p w14:paraId="347AE94C">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3.3.3纳入政府管理的装修、修缮等项目，鼓励参考财政部办公厅 住房城乡建设部办公厅 工业和信息化部办公厅关于印发《政府支持绿色建材促进建筑品质提升政策项目实施指南》的通知（财办库〔2023〕52号）规定的需求标准。</w:t>
      </w:r>
    </w:p>
    <w:p w14:paraId="34B8A880">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3.3.4招标人数据中心相关设备、运维服务，按照《绿色数据中心政府需求标准（试行）》实施相关活动。</w:t>
      </w:r>
    </w:p>
    <w:p w14:paraId="37160A12">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3.4 根据国家扶持中小企业的有关政策，采购项目中标人在履约过程中如遇到资金困难，凭政府采购合同在相关金融机构办理授信申请，相关事宜详见江苏政府采购网站“政采贷”栏目。</w:t>
      </w:r>
    </w:p>
    <w:p w14:paraId="52C4348E">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3.5支持创新发展</w:t>
      </w:r>
    </w:p>
    <w:p w14:paraId="5CEA132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3.5.1招标人优先被认定为重点推广应用、首台（套）重大装备、重点领域首版次软件的自主创新产品。</w:t>
      </w:r>
    </w:p>
    <w:p w14:paraId="0217C64B">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3.6平等对待内外资企业和符合条件的破产重整企业</w:t>
      </w:r>
    </w:p>
    <w:p w14:paraId="7CF148C8">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3.6.1平等对待内外资企业和符合条件的破产重整企业，切实保障企业公平竞争，平等维护企业的合法利益。</w:t>
      </w:r>
    </w:p>
    <w:p w14:paraId="1F9B61A5">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3.7根据《财政部 司法部关于政府支持监狱企业发展有关问题的通知》（财库〔2014〕68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3.8根据《关于促进残疾人就业政府政策的通知》（财库〔2017〕141 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3.9强制信息安全产品，信息安全产品指国家质检总局国家认监委《信息安全产品强制性认证目录》，并获得强制性产品认证证书的产品。</w:t>
      </w:r>
    </w:p>
    <w:p w14:paraId="02262ED9">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w:t>
      </w:r>
      <w:r>
        <w:rPr>
          <w:rFonts w:hint="eastAsia" w:ascii="宋体" w:hAnsi="宋体"/>
          <w:color w:val="000000"/>
          <w:sz w:val="24"/>
          <w:highlight w:val="none"/>
          <w:lang w:val="en-US" w:eastAsia="zh-CN"/>
        </w:rPr>
        <w:t>0</w:t>
      </w:r>
      <w:r>
        <w:rPr>
          <w:rFonts w:hint="eastAsia" w:ascii="宋体" w:hAnsi="宋体"/>
          <w:color w:val="000000"/>
          <w:sz w:val="24"/>
          <w:highlight w:val="none"/>
        </w:rPr>
        <w:t>根据《财政部发展改革委生态环境部市场监管总局关于调整优化节能产品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投标人</w:t>
      </w:r>
      <w:r>
        <w:rPr>
          <w:rFonts w:hint="eastAsia" w:ascii="宋体" w:hAnsi="宋体"/>
          <w:color w:val="000000"/>
          <w:sz w:val="24"/>
          <w:highlight w:val="none"/>
        </w:rPr>
        <w:t>所投产品属于品目清单范围的，依据国家确定的认证机构出具的、处于有效期之内的节能产品、环境标志产品认证证书，对获得证书的产品实施政府优先或强制。</w:t>
      </w:r>
    </w:p>
    <w:p w14:paraId="749FE6D9">
      <w:pPr>
        <w:spacing w:line="440" w:lineRule="exact"/>
        <w:ind w:firstLine="420"/>
        <w:jc w:val="left"/>
        <w:rPr>
          <w:rFonts w:hint="eastAsia" w:ascii="宋体" w:hAnsi="宋体"/>
          <w:color w:val="000000"/>
          <w:sz w:val="24"/>
          <w:highlight w:val="none"/>
        </w:rPr>
      </w:pPr>
      <w:r>
        <w:rPr>
          <w:rFonts w:hint="eastAsia" w:ascii="宋体" w:hAnsi="宋体"/>
          <w:color w:val="000000"/>
          <w:sz w:val="24"/>
          <w:highlight w:val="none"/>
        </w:rPr>
        <w:t>3.1</w:t>
      </w:r>
      <w:r>
        <w:rPr>
          <w:rFonts w:hint="eastAsia" w:ascii="宋体" w:hAnsi="宋体"/>
          <w:color w:val="000000"/>
          <w:sz w:val="24"/>
          <w:highlight w:val="none"/>
          <w:lang w:val="en-US" w:eastAsia="zh-CN"/>
        </w:rPr>
        <w:t>1</w:t>
      </w:r>
      <w:r>
        <w:rPr>
          <w:rFonts w:hint="eastAsia" w:ascii="宋体" w:hAnsi="宋体"/>
          <w:color w:val="000000"/>
          <w:sz w:val="24"/>
          <w:highlight w:val="none"/>
        </w:rPr>
        <w:t>本项目中涉及商品包装和快递包装的，参考《财政部办公厅关于印发《商品包装政府需求标准（试行）》、《快递包装政府需求标准（试行）》的通知》（财办库〔2020〕123 号）规定的包装需求标准。</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2</w:t>
      </w:r>
      <w:r>
        <w:rPr>
          <w:rFonts w:hint="eastAsia" w:ascii="宋体" w:hAnsi="宋体"/>
          <w:color w:val="000000"/>
          <w:sz w:val="24"/>
          <w:highlight w:val="none"/>
        </w:rPr>
        <w:t>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3.1</w:t>
      </w:r>
      <w:r>
        <w:rPr>
          <w:rFonts w:hint="eastAsia" w:ascii="宋体" w:hAnsi="宋体"/>
          <w:color w:val="000000"/>
          <w:sz w:val="24"/>
          <w:highlight w:val="none"/>
          <w:lang w:val="en-US" w:eastAsia="zh-CN"/>
        </w:rPr>
        <w:t>3</w:t>
      </w:r>
      <w:r>
        <w:rPr>
          <w:rFonts w:hint="eastAsia" w:ascii="宋体" w:hAnsi="宋体"/>
          <w:color w:val="000000"/>
          <w:sz w:val="24"/>
          <w:highlight w:val="none"/>
        </w:rPr>
        <w:t>根据国家扶持中小企业的有关政策，组织方负责代理的项目中标（成交）企业，在履约过程中如遇到资金困难，凭中标（成交）通知书在相关金融机构办理授信申请，相关事宜请查阅“镇江市公共资源交易服务平台---政府”网站。</w:t>
      </w:r>
    </w:p>
    <w:p w14:paraId="368D57E1">
      <w:pPr>
        <w:spacing w:line="440" w:lineRule="exact"/>
        <w:ind w:firstLine="420"/>
        <w:rPr>
          <w:rFonts w:hint="eastAsia" w:ascii="宋体" w:hAnsi="宋体" w:eastAsia="宋体"/>
          <w:color w:val="000000"/>
          <w:sz w:val="24"/>
          <w:highlight w:val="none"/>
          <w:lang w:eastAsia="zh-CN"/>
        </w:rPr>
      </w:pPr>
      <w:r>
        <w:rPr>
          <w:rFonts w:hint="eastAsia" w:ascii="宋体" w:hAnsi="宋体"/>
          <w:color w:val="000000"/>
          <w:sz w:val="24"/>
          <w:highlight w:val="none"/>
        </w:rPr>
        <w:t>3.</w:t>
      </w:r>
      <w:r>
        <w:rPr>
          <w:rFonts w:hint="eastAsia" w:ascii="宋体" w:hAnsi="宋体"/>
          <w:color w:val="000000"/>
          <w:sz w:val="24"/>
          <w:highlight w:val="none"/>
          <w:lang w:val="en-US" w:eastAsia="zh-CN"/>
        </w:rPr>
        <w:t>14</w:t>
      </w:r>
      <w:r>
        <w:rPr>
          <w:rFonts w:hint="eastAsia" w:ascii="宋体" w:hAnsi="宋体"/>
          <w:color w:val="000000"/>
          <w:sz w:val="24"/>
          <w:highlight w:val="none"/>
        </w:rPr>
        <w:t>本项目实施本国产品标准及相关政策</w:t>
      </w:r>
      <w:r>
        <w:rPr>
          <w:rFonts w:hint="eastAsia" w:ascii="宋体" w:hAnsi="宋体"/>
          <w:color w:val="000000"/>
          <w:sz w:val="24"/>
          <w:highlight w:val="none"/>
          <w:lang w:eastAsia="zh-CN"/>
        </w:rPr>
        <w:t>【《国务院办公厅关于在政府采购中实施本国产品标准及相关政策的通知》(国办发〔2025〕34号)和《关于贯彻落实〈国务院办公厅关于在政府采购中实施本国产品标准及相关政策的通知〉的意见》(财库〔2025〕30号)】</w:t>
      </w:r>
    </w:p>
    <w:p w14:paraId="091BDFC2">
      <w:pPr>
        <w:spacing w:line="440" w:lineRule="exact"/>
        <w:ind w:firstLine="420"/>
        <w:rPr>
          <w:rFonts w:hint="eastAsia" w:ascii="宋体" w:hAnsi="宋体"/>
          <w:color w:val="000000"/>
          <w:sz w:val="24"/>
          <w:highlight w:val="none"/>
        </w:rPr>
      </w:pP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1</w:t>
      </w:r>
      <w:r>
        <w:rPr>
          <w:rFonts w:hint="eastAsia" w:ascii="宋体" w:hAnsi="宋体"/>
          <w:color w:val="000000"/>
          <w:sz w:val="24"/>
          <w:highlight w:val="none"/>
          <w:lang w:eastAsia="zh-CN"/>
        </w:rPr>
        <w:t>）</w:t>
      </w:r>
      <w:r>
        <w:rPr>
          <w:rFonts w:hint="eastAsia" w:ascii="宋体" w:hAnsi="宋体"/>
          <w:color w:val="000000"/>
          <w:sz w:val="24"/>
          <w:highlight w:val="none"/>
        </w:rPr>
        <w:t>本项目对采购本国产品给予政策支持，具体内容见招标文件“评标方法及评标标准”。</w:t>
      </w:r>
    </w:p>
    <w:p w14:paraId="68C7C3C7">
      <w:pPr>
        <w:spacing w:line="440" w:lineRule="exact"/>
        <w:ind w:firstLine="420"/>
        <w:rPr>
          <w:rFonts w:hint="eastAsia" w:ascii="宋体" w:hAnsi="宋体"/>
          <w:color w:val="000000"/>
          <w:sz w:val="24"/>
          <w:highlight w:val="none"/>
        </w:rPr>
      </w:pP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2</w:t>
      </w:r>
      <w:r>
        <w:rPr>
          <w:rFonts w:hint="eastAsia" w:ascii="宋体" w:hAnsi="宋体"/>
          <w:color w:val="000000"/>
          <w:sz w:val="24"/>
          <w:highlight w:val="none"/>
          <w:lang w:eastAsia="zh-CN"/>
        </w:rPr>
        <w:t>）</w:t>
      </w:r>
      <w:r>
        <w:rPr>
          <w:rFonts w:hint="eastAsia" w:ascii="宋体" w:hAnsi="宋体"/>
          <w:color w:val="000000"/>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18FBD5B">
      <w:pPr>
        <w:spacing w:line="440" w:lineRule="exact"/>
        <w:ind w:firstLine="420"/>
        <w:rPr>
          <w:rFonts w:hint="eastAsia" w:ascii="宋体" w:hAnsi="宋体"/>
          <w:color w:val="000000"/>
          <w:sz w:val="24"/>
          <w:highlight w:val="none"/>
        </w:rPr>
      </w:pPr>
      <w:r>
        <w:rPr>
          <w:rFonts w:hint="eastAsia" w:ascii="宋体" w:hAnsi="宋体"/>
          <w:color w:val="000000"/>
          <w:sz w:val="24"/>
          <w:highlight w:val="none"/>
          <w:lang w:eastAsia="zh-CN"/>
        </w:rPr>
        <w:t>（</w:t>
      </w:r>
      <w:r>
        <w:rPr>
          <w:rFonts w:hint="eastAsia" w:ascii="宋体" w:hAnsi="宋体"/>
          <w:color w:val="000000"/>
          <w:sz w:val="24"/>
          <w:highlight w:val="none"/>
          <w:lang w:val="en-US" w:eastAsia="zh-CN"/>
        </w:rPr>
        <w:t>3</w:t>
      </w:r>
      <w:r>
        <w:rPr>
          <w:rFonts w:hint="eastAsia" w:ascii="宋体" w:hAnsi="宋体"/>
          <w:color w:val="000000"/>
          <w:sz w:val="24"/>
          <w:highlight w:val="none"/>
          <w:lang w:eastAsia="zh-CN"/>
        </w:rPr>
        <w:t>）</w:t>
      </w:r>
      <w:r>
        <w:rPr>
          <w:rFonts w:hint="eastAsia" w:ascii="宋体" w:hAnsi="宋体"/>
          <w:color w:val="000000"/>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C47953">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w:t>
      </w:r>
      <w:r>
        <w:rPr>
          <w:rFonts w:hint="eastAsia" w:ascii="宋体" w:hAnsi="宋体"/>
          <w:color w:val="000000"/>
          <w:sz w:val="24"/>
          <w:highlight w:val="none"/>
          <w:lang w:val="en-US" w:eastAsia="zh-CN"/>
        </w:rPr>
        <w:t>5</w:t>
      </w:r>
      <w:r>
        <w:rPr>
          <w:rFonts w:hint="eastAsia" w:ascii="宋体" w:hAnsi="宋体"/>
          <w:color w:val="000000"/>
          <w:sz w:val="24"/>
          <w:highlight w:val="none"/>
        </w:rPr>
        <w:t>本次招标及由本次产生的合同受中华人民共和国法律制约和保护。</w:t>
      </w:r>
    </w:p>
    <w:p w14:paraId="77A7A8E3">
      <w:pPr>
        <w:spacing w:line="440" w:lineRule="exact"/>
        <w:ind w:firstLine="420"/>
        <w:rPr>
          <w:rFonts w:hint="eastAsia" w:ascii="宋体" w:hAnsi="宋体"/>
          <w:color w:val="000000"/>
          <w:sz w:val="24"/>
          <w:highlight w:val="none"/>
        </w:rPr>
      </w:pPr>
      <w:r>
        <w:rPr>
          <w:rFonts w:hint="eastAsia" w:ascii="宋体" w:hAnsi="宋体"/>
          <w:color w:val="000000"/>
          <w:sz w:val="24"/>
          <w:highlight w:val="none"/>
        </w:rPr>
        <w:t>3.1</w:t>
      </w:r>
      <w:r>
        <w:rPr>
          <w:rFonts w:hint="eastAsia" w:ascii="宋体" w:hAnsi="宋体"/>
          <w:color w:val="000000"/>
          <w:sz w:val="24"/>
          <w:highlight w:val="none"/>
          <w:lang w:val="en-US" w:eastAsia="zh-CN"/>
        </w:rPr>
        <w:t>6</w:t>
      </w:r>
      <w:r>
        <w:rPr>
          <w:rFonts w:hint="eastAsia" w:ascii="宋体" w:hAnsi="宋体"/>
          <w:color w:val="000000"/>
          <w:sz w:val="24"/>
          <w:highlight w:val="none"/>
          <w:lang w:eastAsia="zh-CN"/>
        </w:rPr>
        <w:t>投标人</w:t>
      </w:r>
      <w:r>
        <w:rPr>
          <w:rFonts w:hint="eastAsia" w:ascii="宋体" w:hAnsi="宋体"/>
          <w:color w:val="000000"/>
          <w:sz w:val="24"/>
          <w:highlight w:val="none"/>
        </w:rPr>
        <w:t>一旦领取了本招标文件并参加投标，即被认为接受了本招标文件的规定和约束。</w:t>
      </w:r>
    </w:p>
    <w:p w14:paraId="6B2C581C">
      <w:pPr>
        <w:pStyle w:val="187"/>
        <w:spacing w:before="0" w:after="0" w:line="440" w:lineRule="exact"/>
        <w:ind w:firstLine="480"/>
        <w:rPr>
          <w:rFonts w:hint="eastAsia"/>
          <w:b w:val="0"/>
          <w:bCs w:val="0"/>
          <w:color w:val="000000"/>
          <w:sz w:val="24"/>
          <w:szCs w:val="24"/>
          <w:highlight w:val="none"/>
        </w:rPr>
      </w:pPr>
      <w:bookmarkStart w:id="70" w:name="_Toc513029207"/>
      <w:bookmarkStart w:id="71" w:name="_Toc20823279"/>
      <w:bookmarkStart w:id="72" w:name="_Toc16938523"/>
      <w:bookmarkStart w:id="73" w:name="_Toc462564067"/>
      <w:r>
        <w:rPr>
          <w:rFonts w:hint="eastAsia"/>
          <w:b w:val="0"/>
          <w:bCs w:val="0"/>
          <w:color w:val="000000"/>
          <w:sz w:val="24"/>
          <w:szCs w:val="24"/>
          <w:highlight w:val="none"/>
        </w:rPr>
        <w:t>4、投标费用</w:t>
      </w:r>
      <w:bookmarkEnd w:id="70"/>
      <w:bookmarkEnd w:id="71"/>
      <w:bookmarkEnd w:id="72"/>
      <w:bookmarkEnd w:id="73"/>
    </w:p>
    <w:p w14:paraId="08F04055">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lang w:eastAsia="zh-CN"/>
        </w:rPr>
        <w:t>镇江晟科工程管理咨询有限公司</w:t>
      </w:r>
      <w:r>
        <w:rPr>
          <w:rFonts w:hint="eastAsia" w:ascii="宋体" w:hAnsi="宋体"/>
          <w:color w:val="000000"/>
          <w:sz w:val="24"/>
          <w:highlight w:val="none"/>
        </w:rPr>
        <w:t>在任何情况下均无义务和责任承担这些费用。</w:t>
      </w:r>
    </w:p>
    <w:p w14:paraId="52562E4C">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4.2本次招标不收取标书工本费。</w:t>
      </w:r>
    </w:p>
    <w:p w14:paraId="11D141CC">
      <w:pPr>
        <w:spacing w:line="440" w:lineRule="exact"/>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4.3招标代理费收费标准：</w:t>
      </w:r>
      <w:r>
        <w:rPr>
          <w:rFonts w:hint="eastAsia" w:ascii="宋体" w:hAnsi="宋体"/>
          <w:color w:val="000000"/>
          <w:sz w:val="24"/>
          <w:szCs w:val="24"/>
          <w:highlight w:val="none"/>
          <w:lang w:val="en-US" w:eastAsia="zh-CN"/>
        </w:rPr>
        <w:t>经招标人与招标代理双方协商</w:t>
      </w:r>
      <w:r>
        <w:rPr>
          <w:rFonts w:hint="eastAsia" w:ascii="宋体" w:hAnsi="宋体"/>
          <w:color w:val="000000"/>
          <w:sz w:val="24"/>
          <w:szCs w:val="24"/>
          <w:highlight w:val="none"/>
        </w:rPr>
        <w:t>确定招标代理服务费</w:t>
      </w:r>
      <w:r>
        <w:rPr>
          <w:rFonts w:hint="eastAsia" w:ascii="宋体" w:hAnsi="宋体"/>
          <w:color w:val="000000"/>
          <w:sz w:val="24"/>
          <w:szCs w:val="24"/>
          <w:highlight w:val="none"/>
          <w:lang w:val="en-US" w:eastAsia="zh-CN"/>
        </w:rPr>
        <w:t>为</w:t>
      </w:r>
      <w:r>
        <w:rPr>
          <w:rFonts w:hint="eastAsia" w:ascii="宋体" w:hAnsi="宋体"/>
          <w:b/>
          <w:bCs/>
          <w:color w:val="000000"/>
          <w:sz w:val="24"/>
          <w:szCs w:val="24"/>
          <w:highlight w:val="none"/>
          <w:u w:val="single"/>
          <w:lang w:val="en-US" w:eastAsia="zh-CN"/>
        </w:rPr>
        <w:t>玖仟元整元（¥9000.00）</w:t>
      </w:r>
      <w:r>
        <w:rPr>
          <w:rFonts w:hint="eastAsia" w:ascii="宋体" w:hAnsi="宋体"/>
          <w:color w:val="000000"/>
          <w:sz w:val="24"/>
          <w:szCs w:val="24"/>
          <w:highlight w:val="none"/>
          <w:lang w:val="en-US" w:eastAsia="zh-CN"/>
        </w:rPr>
        <w:t>。</w:t>
      </w:r>
    </w:p>
    <w:p w14:paraId="26A8F972">
      <w:pPr>
        <w:spacing w:line="440" w:lineRule="exact"/>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4.4招标代理费收取方式：由</w:t>
      </w:r>
      <w:r>
        <w:rPr>
          <w:rFonts w:hint="eastAsia" w:ascii="宋体" w:hAnsi="宋体"/>
          <w:b/>
          <w:bCs/>
          <w:color w:val="000000"/>
          <w:sz w:val="24"/>
          <w:szCs w:val="24"/>
          <w:highlight w:val="none"/>
          <w:u w:val="single"/>
        </w:rPr>
        <w:t>中标人</w:t>
      </w:r>
      <w:r>
        <w:rPr>
          <w:rFonts w:hint="eastAsia" w:ascii="宋体" w:hAnsi="宋体"/>
          <w:color w:val="000000"/>
          <w:sz w:val="24"/>
          <w:szCs w:val="24"/>
          <w:highlight w:val="none"/>
        </w:rPr>
        <w:t>支付。本项目代理服务费已纳入项目成本测算，中标人投标报价时应综合考虑，</w:t>
      </w:r>
      <w:r>
        <w:rPr>
          <w:rFonts w:hint="eastAsia" w:ascii="宋体" w:hAnsi="宋体"/>
          <w:color w:val="000000"/>
          <w:sz w:val="24"/>
          <w:szCs w:val="24"/>
          <w:highlight w:val="none"/>
          <w:lang w:val="en-US" w:eastAsia="zh-CN"/>
        </w:rPr>
        <w:t>招标</w:t>
      </w:r>
      <w:r>
        <w:rPr>
          <w:rFonts w:hint="eastAsia" w:ascii="宋体" w:hAnsi="宋体"/>
          <w:color w:val="000000"/>
          <w:sz w:val="24"/>
          <w:szCs w:val="24"/>
          <w:highlight w:val="none"/>
        </w:rPr>
        <w:t>人不再另行承担</w:t>
      </w:r>
      <w:r>
        <w:rPr>
          <w:rFonts w:hint="eastAsia" w:ascii="宋体" w:hAnsi="宋体"/>
          <w:color w:val="000000"/>
          <w:sz w:val="24"/>
          <w:szCs w:val="24"/>
          <w:highlight w:val="none"/>
          <w:lang w:eastAsia="zh-CN"/>
        </w:rPr>
        <w:t>。</w:t>
      </w:r>
    </w:p>
    <w:p w14:paraId="56D60F1F">
      <w:pPr>
        <w:spacing w:line="440" w:lineRule="exact"/>
        <w:ind w:firstLine="480"/>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由中标人领取中标通知书时一次性付清；</w:t>
      </w:r>
      <w:r>
        <w:rPr>
          <w:rFonts w:hint="eastAsia" w:ascii="宋体" w:hAnsi="宋体" w:eastAsia="宋体" w:cs="Times New Roman"/>
          <w:color w:val="000000"/>
          <w:sz w:val="24"/>
          <w:szCs w:val="24"/>
          <w:highlight w:val="none"/>
        </w:rPr>
        <w:t>中标人如果未按规定</w:t>
      </w:r>
      <w:r>
        <w:rPr>
          <w:rFonts w:hint="eastAsia" w:ascii="宋体" w:hAnsi="宋体" w:eastAsia="宋体" w:cs="Times New Roman"/>
          <w:color w:val="000000"/>
          <w:sz w:val="24"/>
          <w:szCs w:val="24"/>
          <w:highlight w:val="none"/>
          <w:lang w:eastAsia="zh-CN"/>
        </w:rPr>
        <w:t>支付</w:t>
      </w:r>
      <w:r>
        <w:rPr>
          <w:rFonts w:hint="eastAsia" w:ascii="宋体" w:hAnsi="宋体" w:eastAsia="宋体" w:cs="Times New Roman"/>
          <w:color w:val="000000"/>
          <w:sz w:val="24"/>
          <w:szCs w:val="24"/>
          <w:highlight w:val="none"/>
        </w:rPr>
        <w:t>上述费用，招标人或代理机构保留诉讼的权利。中标人需要开代理费发票的，需由中标人</w:t>
      </w:r>
      <w:r>
        <w:rPr>
          <w:rFonts w:hint="eastAsia" w:ascii="宋体" w:hAnsi="宋体" w:eastAsia="宋体" w:cs="Times New Roman"/>
          <w:color w:val="000000"/>
          <w:sz w:val="24"/>
          <w:szCs w:val="24"/>
          <w:highlight w:val="none"/>
          <w:lang w:eastAsia="zh-CN"/>
        </w:rPr>
        <w:t>支付</w:t>
      </w:r>
      <w:r>
        <w:rPr>
          <w:rFonts w:hint="eastAsia" w:ascii="宋体" w:hAnsi="宋体" w:eastAsia="宋体" w:cs="Times New Roman"/>
          <w:color w:val="000000"/>
          <w:sz w:val="24"/>
          <w:szCs w:val="24"/>
          <w:highlight w:val="none"/>
        </w:rPr>
        <w:t>费用后，代理机构将发票开具给中标人。</w:t>
      </w:r>
    </w:p>
    <w:p w14:paraId="2E94186C">
      <w:pPr>
        <w:spacing w:line="440" w:lineRule="exact"/>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4.</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专家评</w:t>
      </w:r>
      <w:r>
        <w:rPr>
          <w:rFonts w:hint="eastAsia" w:ascii="宋体" w:hAnsi="宋体" w:eastAsia="宋体" w:cs="Times New Roman"/>
          <w:color w:val="000000"/>
          <w:sz w:val="24"/>
          <w:szCs w:val="24"/>
          <w:highlight w:val="none"/>
          <w:lang w:eastAsia="zh-CN"/>
        </w:rPr>
        <w:t>审费按</w:t>
      </w:r>
      <w:r>
        <w:rPr>
          <w:rFonts w:hint="default" w:ascii="宋体" w:hAnsi="宋体" w:eastAsia="宋体" w:cs="Times New Roman"/>
          <w:color w:val="000000"/>
          <w:sz w:val="24"/>
          <w:szCs w:val="24"/>
          <w:highlight w:val="none"/>
          <w:lang w:eastAsia="zh-CN"/>
        </w:rPr>
        <w:t>镇财采〔</w:t>
      </w:r>
      <w:r>
        <w:rPr>
          <w:rFonts w:hint="default" w:ascii="宋体" w:hAnsi="宋体" w:eastAsia="宋体" w:cs="Times New Roman"/>
          <w:color w:val="000000"/>
          <w:sz w:val="24"/>
          <w:szCs w:val="24"/>
          <w:highlight w:val="none"/>
          <w:lang w:val="en-US" w:eastAsia="zh-CN"/>
        </w:rPr>
        <w:t>2018</w:t>
      </w:r>
      <w:r>
        <w:rPr>
          <w:rFonts w:hint="default" w:ascii="宋体" w:hAnsi="宋体" w:eastAsia="宋体" w:cs="Times New Roman"/>
          <w:color w:val="000000"/>
          <w:sz w:val="24"/>
          <w:szCs w:val="24"/>
          <w:highlight w:val="none"/>
          <w:lang w:eastAsia="zh-CN"/>
        </w:rPr>
        <w:t>〕</w:t>
      </w:r>
      <w:r>
        <w:rPr>
          <w:rFonts w:hint="default" w:ascii="宋体" w:hAnsi="宋体" w:eastAsia="宋体" w:cs="Times New Roman"/>
          <w:color w:val="000000"/>
          <w:sz w:val="24"/>
          <w:szCs w:val="24"/>
          <w:highlight w:val="none"/>
          <w:lang w:val="en-US" w:eastAsia="zh-CN"/>
        </w:rPr>
        <w:t>8号</w:t>
      </w:r>
      <w:r>
        <w:rPr>
          <w:rFonts w:hint="eastAsia" w:ascii="宋体" w:hAnsi="宋体" w:eastAsia="宋体" w:cs="Times New Roman"/>
          <w:color w:val="000000"/>
          <w:sz w:val="24"/>
          <w:szCs w:val="24"/>
          <w:highlight w:val="none"/>
          <w:lang w:val="en-US" w:eastAsia="zh-CN"/>
        </w:rPr>
        <w:t>文</w:t>
      </w:r>
      <w:r>
        <w:rPr>
          <w:rFonts w:hint="eastAsia" w:ascii="宋体" w:hAnsi="宋体" w:eastAsia="宋体" w:cs="Times New Roman"/>
          <w:color w:val="000000"/>
          <w:sz w:val="24"/>
          <w:szCs w:val="24"/>
          <w:highlight w:val="none"/>
          <w:lang w:eastAsia="zh-CN"/>
        </w:rPr>
        <w:t>《关于规范镇江市政府采购评审专家劳务报酬标准的通知》执行，</w:t>
      </w:r>
      <w:r>
        <w:rPr>
          <w:rFonts w:hint="eastAsia" w:ascii="宋体" w:hAnsi="宋体" w:eastAsia="宋体" w:cs="Times New Roman"/>
          <w:color w:val="000000"/>
          <w:sz w:val="24"/>
          <w:szCs w:val="24"/>
          <w:highlight w:val="none"/>
          <w:lang w:val="en-US" w:eastAsia="zh-CN"/>
        </w:rPr>
        <w:t>由</w:t>
      </w:r>
      <w:r>
        <w:rPr>
          <w:rFonts w:hint="eastAsia" w:ascii="宋体" w:hAnsi="宋体" w:eastAsia="宋体" w:cs="Times New Roman"/>
          <w:b/>
          <w:bCs/>
          <w:color w:val="000000"/>
          <w:sz w:val="24"/>
          <w:szCs w:val="24"/>
          <w:highlight w:val="none"/>
          <w:lang w:val="en-US" w:eastAsia="zh-CN"/>
        </w:rPr>
        <w:t>招标人</w:t>
      </w:r>
      <w:r>
        <w:rPr>
          <w:rFonts w:hint="eastAsia" w:ascii="宋体" w:hAnsi="宋体" w:eastAsia="宋体" w:cs="Times New Roman"/>
          <w:color w:val="000000"/>
          <w:sz w:val="24"/>
          <w:szCs w:val="24"/>
          <w:highlight w:val="none"/>
          <w:lang w:val="en-US" w:eastAsia="zh-CN"/>
        </w:rPr>
        <w:t>承担</w:t>
      </w:r>
      <w:r>
        <w:rPr>
          <w:rFonts w:hint="eastAsia" w:ascii="宋体" w:hAnsi="宋体" w:eastAsia="宋体" w:cs="Times New Roman"/>
          <w:color w:val="000000"/>
          <w:sz w:val="24"/>
          <w:szCs w:val="24"/>
          <w:highlight w:val="none"/>
          <w:lang w:eastAsia="zh-CN"/>
        </w:rPr>
        <w:t>。</w:t>
      </w:r>
    </w:p>
    <w:p w14:paraId="0279A85A">
      <w:pPr>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4.6</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投标人</w:t>
      </w:r>
      <w:r>
        <w:rPr>
          <w:rFonts w:hint="eastAsia" w:ascii="宋体" w:hAnsi="宋体" w:eastAsia="宋体" w:cs="Times New Roman"/>
          <w:color w:val="000000"/>
          <w:sz w:val="24"/>
          <w:szCs w:val="24"/>
          <w:highlight w:val="none"/>
        </w:rPr>
        <w:t>一旦参加本项目</w:t>
      </w:r>
      <w:r>
        <w:rPr>
          <w:rFonts w:hint="eastAsia" w:ascii="宋体" w:hAnsi="宋体" w:eastAsia="宋体" w:cs="Times New Roman"/>
          <w:color w:val="000000"/>
          <w:sz w:val="24"/>
          <w:szCs w:val="24"/>
          <w:highlight w:val="none"/>
          <w:lang w:val="en-US" w:eastAsia="zh-CN"/>
        </w:rPr>
        <w:t>招标</w:t>
      </w:r>
      <w:r>
        <w:rPr>
          <w:rFonts w:hint="eastAsia" w:ascii="宋体" w:hAnsi="宋体" w:eastAsia="宋体" w:cs="Times New Roman"/>
          <w:color w:val="000000"/>
          <w:sz w:val="24"/>
          <w:szCs w:val="24"/>
          <w:highlight w:val="none"/>
        </w:rPr>
        <w:t>活动，即被认为接受了本</w:t>
      </w:r>
      <w:r>
        <w:rPr>
          <w:rFonts w:hint="eastAsia" w:ascii="宋体" w:hAnsi="宋体" w:eastAsia="宋体" w:cs="Times New Roman"/>
          <w:color w:val="000000"/>
          <w:sz w:val="24"/>
          <w:szCs w:val="24"/>
          <w:highlight w:val="none"/>
          <w:lang w:val="en-US" w:eastAsia="zh-CN"/>
        </w:rPr>
        <w:t>招标</w:t>
      </w:r>
      <w:r>
        <w:rPr>
          <w:rFonts w:hint="eastAsia" w:ascii="宋体" w:hAnsi="宋体" w:eastAsia="宋体" w:cs="Times New Roman"/>
          <w:color w:val="000000"/>
          <w:sz w:val="24"/>
          <w:szCs w:val="24"/>
          <w:highlight w:val="none"/>
        </w:rPr>
        <w:t>文件的规定和约束。</w:t>
      </w:r>
    </w:p>
    <w:p w14:paraId="75DC93A6">
      <w:pPr>
        <w:pStyle w:val="187"/>
        <w:spacing w:before="0" w:after="0" w:line="440" w:lineRule="exact"/>
        <w:ind w:firstLine="562"/>
        <w:rPr>
          <w:rFonts w:hint="eastAsia" w:ascii="黑体" w:hAnsi="宋体"/>
          <w:b w:val="0"/>
          <w:bCs w:val="0"/>
          <w:color w:val="000000"/>
          <w:sz w:val="24"/>
          <w:szCs w:val="24"/>
          <w:highlight w:val="none"/>
        </w:rPr>
      </w:pPr>
      <w:r>
        <w:rPr>
          <w:rFonts w:hint="eastAsia" w:ascii="宋体" w:hAnsi="宋体"/>
          <w:color w:val="000000"/>
          <w:szCs w:val="24"/>
          <w:highlight w:val="none"/>
        </w:rPr>
        <w:t>5、</w:t>
      </w:r>
      <w:r>
        <w:rPr>
          <w:rFonts w:hint="eastAsia" w:ascii="黑体" w:hAnsi="宋体"/>
          <w:b w:val="0"/>
          <w:bCs w:val="0"/>
          <w:color w:val="000000"/>
          <w:sz w:val="24"/>
          <w:szCs w:val="24"/>
          <w:highlight w:val="none"/>
        </w:rPr>
        <w:t>招标文件的约束力</w:t>
      </w:r>
    </w:p>
    <w:p w14:paraId="1D7221DE">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 xml:space="preserve"> 投标人一旦参加本项目活动，即被认为接受了本招标文件的规定和约束。</w:t>
      </w:r>
    </w:p>
    <w:p w14:paraId="76310B54">
      <w:pPr>
        <w:pStyle w:val="185"/>
        <w:spacing w:before="120" w:after="120" w:line="440" w:lineRule="exact"/>
        <w:ind w:firstLine="281"/>
        <w:rPr>
          <w:rFonts w:hint="eastAsia"/>
          <w:color w:val="000000"/>
          <w:sz w:val="28"/>
          <w:szCs w:val="28"/>
          <w:highlight w:val="none"/>
        </w:rPr>
      </w:pPr>
      <w:bookmarkStart w:id="74" w:name="_Toc20823281"/>
      <w:bookmarkStart w:id="75" w:name="_Toc120614215"/>
      <w:bookmarkStart w:id="76" w:name="_Toc16938525"/>
      <w:bookmarkStart w:id="77" w:name="_Toc513029209"/>
      <w:r>
        <w:rPr>
          <w:rFonts w:hint="eastAsia"/>
          <w:color w:val="000000"/>
          <w:sz w:val="28"/>
          <w:szCs w:val="28"/>
          <w:highlight w:val="none"/>
        </w:rPr>
        <w:t>二、招标文件</w:t>
      </w:r>
      <w:bookmarkEnd w:id="74"/>
      <w:bookmarkEnd w:id="75"/>
      <w:bookmarkEnd w:id="76"/>
      <w:bookmarkEnd w:id="77"/>
    </w:p>
    <w:p w14:paraId="4D40C426">
      <w:pPr>
        <w:pStyle w:val="187"/>
        <w:spacing w:before="0" w:after="0" w:line="440" w:lineRule="exact"/>
        <w:ind w:firstLine="360"/>
        <w:rPr>
          <w:rFonts w:hint="eastAsia"/>
          <w:b w:val="0"/>
          <w:bCs w:val="0"/>
          <w:color w:val="000000"/>
          <w:sz w:val="24"/>
          <w:szCs w:val="24"/>
          <w:highlight w:val="none"/>
        </w:rPr>
      </w:pPr>
      <w:bookmarkStart w:id="78" w:name="_Toc20823282"/>
      <w:bookmarkStart w:id="79" w:name="_Toc513029210"/>
      <w:bookmarkStart w:id="80" w:name="_Toc16938526"/>
      <w:r>
        <w:rPr>
          <w:rFonts w:hint="eastAsia"/>
          <w:b w:val="0"/>
          <w:bCs w:val="0"/>
          <w:color w:val="000000"/>
          <w:sz w:val="24"/>
          <w:szCs w:val="24"/>
          <w:highlight w:val="none"/>
        </w:rPr>
        <w:t>6、招标文件构成</w:t>
      </w:r>
      <w:bookmarkEnd w:id="78"/>
      <w:bookmarkEnd w:id="79"/>
      <w:bookmarkEnd w:id="80"/>
    </w:p>
    <w:p w14:paraId="79823A4F">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 xml:space="preserve"> 招标文件由以下部分组成：</w:t>
      </w:r>
    </w:p>
    <w:p w14:paraId="7AC6CC10">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（1）投标</w:t>
      </w:r>
      <w:r>
        <w:rPr>
          <w:rFonts w:ascii="宋体" w:hAnsi="宋体"/>
          <w:color w:val="000000"/>
          <w:sz w:val="24"/>
          <w:szCs w:val="24"/>
          <w:highlight w:val="none"/>
        </w:rPr>
        <w:t>邀请</w:t>
      </w:r>
    </w:p>
    <w:p w14:paraId="7E0EEDAC">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（2）投标人须知</w:t>
      </w:r>
    </w:p>
    <w:p w14:paraId="44F4C6BE">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（3）合同文本</w:t>
      </w:r>
    </w:p>
    <w:p w14:paraId="37504384">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（4）招标需求</w:t>
      </w:r>
    </w:p>
    <w:p w14:paraId="57CEF6DE">
      <w:pPr>
        <w:spacing w:line="440" w:lineRule="exact"/>
        <w:ind w:firstLine="360"/>
        <w:rPr>
          <w:rFonts w:hint="eastAsia"/>
          <w:color w:val="000000"/>
          <w:sz w:val="24"/>
          <w:szCs w:val="24"/>
          <w:highlight w:val="none"/>
        </w:rPr>
      </w:pPr>
      <w:r>
        <w:rPr>
          <w:rFonts w:hint="eastAsia" w:ascii="宋体" w:hAnsi="宋体"/>
          <w:color w:val="000000"/>
          <w:sz w:val="24"/>
          <w:szCs w:val="24"/>
          <w:highlight w:val="none"/>
        </w:rPr>
        <w:t>（5）</w:t>
      </w:r>
      <w:r>
        <w:rPr>
          <w:rFonts w:hint="eastAsia" w:hAnsi="宋体"/>
          <w:color w:val="000000"/>
          <w:sz w:val="24"/>
          <w:szCs w:val="24"/>
          <w:highlight w:val="none"/>
        </w:rPr>
        <w:t>评标方法与评标标准</w:t>
      </w:r>
    </w:p>
    <w:p w14:paraId="73C2F5DE">
      <w:pPr>
        <w:spacing w:line="440" w:lineRule="exact"/>
        <w:ind w:firstLine="360"/>
        <w:rPr>
          <w:rFonts w:hint="eastAsia" w:ascii="宋体" w:hAnsi="宋体"/>
          <w:color w:val="000000"/>
          <w:sz w:val="24"/>
          <w:szCs w:val="24"/>
          <w:highlight w:val="none"/>
        </w:rPr>
      </w:pPr>
      <w:r>
        <w:rPr>
          <w:rFonts w:hint="eastAsia" w:ascii="宋体" w:hAnsi="宋体"/>
          <w:color w:val="000000"/>
          <w:sz w:val="24"/>
          <w:szCs w:val="24"/>
          <w:highlight w:val="none"/>
        </w:rPr>
        <w:t>（6）投标文件格式</w:t>
      </w:r>
    </w:p>
    <w:p w14:paraId="19678DB2">
      <w:pPr>
        <w:spacing w:line="440" w:lineRule="exact"/>
        <w:ind w:firstLine="480"/>
        <w:rPr>
          <w:rFonts w:hint="eastAsia" w:ascii="宋体" w:hAnsi="宋体"/>
          <w:color w:val="000000"/>
          <w:sz w:val="24"/>
          <w:szCs w:val="24"/>
          <w:highlight w:val="none"/>
        </w:rPr>
      </w:pPr>
      <w:r>
        <w:rPr>
          <w:rFonts w:hint="eastAsia" w:ascii="宋体" w:hAnsi="宋体"/>
          <w:color w:val="000000"/>
          <w:sz w:val="24"/>
          <w:highlight w:val="none"/>
        </w:rPr>
        <w:t>请仔细检查招标文件是否齐全，如有缺漏请立即与代理机构联系解决。</w:t>
      </w:r>
    </w:p>
    <w:p w14:paraId="7C4C262D">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highlight w:val="none"/>
          <w:lang w:eastAsia="zh-CN"/>
        </w:rPr>
        <w:t>做出</w:t>
      </w:r>
      <w:r>
        <w:rPr>
          <w:rFonts w:hint="eastAsia" w:ascii="宋体" w:hAnsi="宋体"/>
          <w:color w:val="000000"/>
          <w:sz w:val="24"/>
          <w:highlight w:val="none"/>
        </w:rPr>
        <w:t>实质性响应，否则其风险由投标人自行承担。</w:t>
      </w:r>
    </w:p>
    <w:p w14:paraId="5C859AE9">
      <w:pPr>
        <w:pStyle w:val="187"/>
        <w:spacing w:before="0" w:after="0" w:line="440" w:lineRule="exact"/>
        <w:ind w:firstLine="480"/>
        <w:rPr>
          <w:b w:val="0"/>
          <w:bCs w:val="0"/>
          <w:color w:val="000000"/>
          <w:sz w:val="24"/>
          <w:szCs w:val="24"/>
          <w:highlight w:val="none"/>
        </w:rPr>
      </w:pPr>
      <w:bookmarkStart w:id="81" w:name="_Toc513029211"/>
      <w:bookmarkStart w:id="82" w:name="_Toc20823283"/>
      <w:bookmarkStart w:id="83" w:name="_Toc16938527"/>
      <w:bookmarkStart w:id="84" w:name="_Toc462564070"/>
      <w:r>
        <w:rPr>
          <w:rFonts w:hint="eastAsia"/>
          <w:b w:val="0"/>
          <w:bCs w:val="0"/>
          <w:color w:val="000000"/>
          <w:sz w:val="24"/>
          <w:szCs w:val="24"/>
          <w:highlight w:val="none"/>
        </w:rPr>
        <w:t>7、招标文件的澄清</w:t>
      </w:r>
      <w:bookmarkEnd w:id="81"/>
      <w:bookmarkEnd w:id="82"/>
      <w:bookmarkEnd w:id="83"/>
      <w:bookmarkEnd w:id="84"/>
    </w:p>
    <w:p w14:paraId="3016E1CA">
      <w:pPr>
        <w:spacing w:line="440" w:lineRule="exact"/>
        <w:ind w:firstLine="480"/>
        <w:rPr>
          <w:rFonts w:hint="eastAsia" w:ascii="宋体" w:hAnsi="宋体"/>
          <w:color w:val="000000"/>
          <w:sz w:val="24"/>
          <w:szCs w:val="24"/>
          <w:highlight w:val="none"/>
        </w:rPr>
      </w:pPr>
      <w:r>
        <w:rPr>
          <w:rFonts w:hint="eastAsia" w:ascii="宋体" w:hAnsi="宋体"/>
          <w:bCs/>
          <w:color w:val="000000"/>
          <w:sz w:val="24"/>
          <w:highlight w:val="none"/>
        </w:rPr>
        <w:t>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十日</w:t>
      </w:r>
      <w:r>
        <w:rPr>
          <w:rFonts w:hint="eastAsia" w:ascii="仿宋_GB2312" w:hAnsi="仿宋_GB2312"/>
          <w:color w:val="000000"/>
          <w:sz w:val="24"/>
          <w:szCs w:val="24"/>
          <w:highlight w:val="none"/>
        </w:rPr>
        <w:t>前</w:t>
      </w:r>
      <w:r>
        <w:rPr>
          <w:rFonts w:hint="eastAsia" w:ascii="宋体" w:hAnsi="宋体"/>
          <w:color w:val="000000"/>
          <w:sz w:val="24"/>
          <w:highlight w:val="none"/>
        </w:rPr>
        <w:t>按招标公告中的通讯地址，以书面形式通知招标人或代理机构。</w:t>
      </w:r>
    </w:p>
    <w:p w14:paraId="6684A29A">
      <w:pPr>
        <w:pStyle w:val="187"/>
        <w:spacing w:before="0" w:after="0" w:line="440" w:lineRule="exact"/>
        <w:ind w:firstLine="480"/>
        <w:rPr>
          <w:rFonts w:hint="eastAsia"/>
          <w:b w:val="0"/>
          <w:bCs w:val="0"/>
          <w:color w:val="000000"/>
          <w:sz w:val="24"/>
          <w:szCs w:val="24"/>
          <w:highlight w:val="none"/>
        </w:rPr>
      </w:pPr>
      <w:bookmarkStart w:id="85" w:name="_Toc513029212"/>
      <w:bookmarkStart w:id="86" w:name="_Toc462564071"/>
      <w:bookmarkStart w:id="87" w:name="_Toc16938528"/>
      <w:bookmarkStart w:id="88" w:name="_Toc20823284"/>
      <w:r>
        <w:rPr>
          <w:rFonts w:hint="eastAsia"/>
          <w:b w:val="0"/>
          <w:bCs w:val="0"/>
          <w:color w:val="000000"/>
          <w:sz w:val="24"/>
          <w:szCs w:val="24"/>
          <w:highlight w:val="none"/>
        </w:rPr>
        <w:t>8、招标文件的澄清和修改</w:t>
      </w:r>
      <w:bookmarkEnd w:id="85"/>
      <w:bookmarkEnd w:id="86"/>
      <w:bookmarkEnd w:id="87"/>
      <w:bookmarkEnd w:id="88"/>
    </w:p>
    <w:p w14:paraId="3FE994C2">
      <w:pPr>
        <w:spacing w:line="440" w:lineRule="exact"/>
        <w:ind w:firstLine="480"/>
        <w:rPr>
          <w:rFonts w:ascii="宋体" w:hAnsi="宋体"/>
          <w:bCs/>
          <w:color w:val="000000"/>
          <w:sz w:val="24"/>
          <w:highlight w:val="none"/>
        </w:rPr>
      </w:pPr>
      <w:r>
        <w:rPr>
          <w:rFonts w:hint="eastAsia" w:ascii="宋体" w:hAnsi="宋体"/>
          <w:bCs/>
          <w:color w:val="000000"/>
          <w:sz w:val="24"/>
          <w:highlight w:val="none"/>
        </w:rPr>
        <w:t>8.1 任何要求对招标文件进行澄清的潜在投标人，应及时联系项目联系人。</w:t>
      </w:r>
    </w:p>
    <w:p w14:paraId="7BBCA35B">
      <w:pPr>
        <w:spacing w:line="440" w:lineRule="exact"/>
        <w:ind w:firstLine="480"/>
        <w:rPr>
          <w:rFonts w:ascii="宋体" w:hAnsi="宋体"/>
          <w:bCs/>
          <w:color w:val="000000"/>
          <w:sz w:val="24"/>
          <w:highlight w:val="none"/>
        </w:rPr>
      </w:pPr>
      <w:r>
        <w:rPr>
          <w:rFonts w:hint="eastAsia" w:ascii="宋体" w:hAnsi="宋体"/>
          <w:bCs/>
          <w:color w:val="000000"/>
          <w:sz w:val="24"/>
          <w:highlight w:val="none"/>
        </w:rPr>
        <w:t>8.2 按照权责相一致原则，投标人提出的对于招标文件主要商务、技术指标的相关澄清、修改要求，由</w:t>
      </w:r>
      <w:r>
        <w:rPr>
          <w:rFonts w:hint="eastAsia" w:ascii="宋体" w:hAnsi="宋体"/>
          <w:color w:val="000000"/>
          <w:sz w:val="24"/>
          <w:highlight w:val="none"/>
        </w:rPr>
        <w:t>招标</w:t>
      </w:r>
      <w:r>
        <w:rPr>
          <w:rFonts w:hint="eastAsia" w:ascii="宋体" w:hAnsi="宋体"/>
          <w:bCs/>
          <w:color w:val="000000"/>
          <w:sz w:val="24"/>
          <w:highlight w:val="none"/>
        </w:rPr>
        <w:t>人负责答复并视情况作出澄清或修改的决定。</w:t>
      </w:r>
    </w:p>
    <w:p w14:paraId="2B3C0AB4">
      <w:pPr>
        <w:spacing w:line="440" w:lineRule="exact"/>
        <w:ind w:firstLine="480"/>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招标</w:t>
      </w:r>
      <w:r>
        <w:rPr>
          <w:rFonts w:hint="eastAsia" w:ascii="宋体" w:hAnsi="宋体"/>
          <w:bCs/>
          <w:color w:val="000000"/>
          <w:sz w:val="24"/>
          <w:highlight w:val="none"/>
        </w:rPr>
        <w:t>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p>
    <w:p w14:paraId="56C1D33F">
      <w:pPr>
        <w:spacing w:line="440" w:lineRule="exact"/>
        <w:ind w:firstLine="480"/>
        <w:rPr>
          <w:rFonts w:ascii="宋体" w:hAnsi="宋体"/>
          <w:bCs/>
          <w:color w:val="000000"/>
          <w:sz w:val="24"/>
          <w:highlight w:val="none"/>
        </w:rPr>
      </w:pPr>
      <w:r>
        <w:rPr>
          <w:rFonts w:hint="eastAsia" w:ascii="宋体" w:hAnsi="宋体"/>
          <w:bCs/>
          <w:color w:val="000000"/>
          <w:sz w:val="24"/>
          <w:highlight w:val="none"/>
        </w:rPr>
        <w:t>8.4 澄清或者修改的内容可能影响投标文件编制的，</w:t>
      </w:r>
      <w:r>
        <w:rPr>
          <w:rFonts w:hint="eastAsia" w:ascii="宋体" w:hAnsi="宋体"/>
          <w:color w:val="000000"/>
          <w:sz w:val="24"/>
          <w:highlight w:val="none"/>
        </w:rPr>
        <w:t>招标</w:t>
      </w:r>
      <w:r>
        <w:rPr>
          <w:rFonts w:hint="eastAsia" w:ascii="宋体" w:hAnsi="宋体"/>
          <w:bCs/>
          <w:color w:val="000000"/>
          <w:sz w:val="24"/>
          <w:highlight w:val="none"/>
        </w:rPr>
        <w:t>人或者代理机构将在提交截止时间至少15日前，在系统中以书面形式通知所有已获取招标文件的潜在投标人；不足15日的，</w:t>
      </w:r>
      <w:r>
        <w:rPr>
          <w:rFonts w:hint="eastAsia" w:ascii="宋体" w:hAnsi="宋体"/>
          <w:color w:val="000000"/>
          <w:sz w:val="24"/>
          <w:highlight w:val="none"/>
        </w:rPr>
        <w:t>招标</w:t>
      </w:r>
      <w:r>
        <w:rPr>
          <w:rFonts w:hint="eastAsia" w:ascii="宋体" w:hAnsi="宋体"/>
          <w:bCs/>
          <w:color w:val="000000"/>
          <w:sz w:val="24"/>
          <w:highlight w:val="none"/>
        </w:rPr>
        <w:t>人或者代理机构将顺延提交投标文件的截止时间。投标人应及时自行登录系统查看相应内容。</w:t>
      </w:r>
    </w:p>
    <w:p w14:paraId="07991163">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8.5 如澄清或修改公告有重新发布招标文件的，投标人应下载最新发布的招标文件制作投标文件。</w:t>
      </w:r>
      <w:r>
        <w:rPr>
          <w:rFonts w:ascii="宋体" w:hAnsi="宋体"/>
          <w:bCs/>
          <w:color w:val="000000"/>
          <w:sz w:val="24"/>
          <w:highlight w:val="none"/>
        </w:rPr>
        <w:t>因投标人自身原因未能及时获取的</w:t>
      </w:r>
      <w:r>
        <w:rPr>
          <w:rFonts w:hint="eastAsia" w:ascii="宋体" w:hAnsi="宋体"/>
          <w:bCs/>
          <w:color w:val="000000"/>
          <w:sz w:val="24"/>
          <w:highlight w:val="none"/>
        </w:rPr>
        <w:t>，一切后果由投标人自行承担。</w:t>
      </w:r>
    </w:p>
    <w:p w14:paraId="68CB1253">
      <w:pPr>
        <w:pStyle w:val="185"/>
        <w:spacing w:before="120" w:after="120" w:line="440" w:lineRule="exact"/>
        <w:ind w:firstLine="361"/>
        <w:rPr>
          <w:rFonts w:hint="eastAsia"/>
          <w:color w:val="000000"/>
          <w:sz w:val="24"/>
          <w:szCs w:val="24"/>
          <w:highlight w:val="none"/>
        </w:rPr>
      </w:pPr>
      <w:bookmarkStart w:id="89" w:name="_Toc16938529"/>
      <w:bookmarkStart w:id="90" w:name="_Toc513029213"/>
      <w:bookmarkStart w:id="91" w:name="_Toc462564072"/>
      <w:bookmarkStart w:id="92" w:name="_Toc120614216"/>
      <w:bookmarkStart w:id="93" w:name="_Toc20823285"/>
      <w:r>
        <w:rPr>
          <w:rFonts w:hint="eastAsia"/>
          <w:color w:val="000000"/>
          <w:sz w:val="24"/>
          <w:szCs w:val="24"/>
          <w:highlight w:val="none"/>
        </w:rPr>
        <w:t>三、投标文件的编制</w:t>
      </w:r>
      <w:bookmarkEnd w:id="89"/>
      <w:bookmarkEnd w:id="90"/>
      <w:bookmarkEnd w:id="91"/>
      <w:bookmarkEnd w:id="92"/>
      <w:bookmarkEnd w:id="93"/>
    </w:p>
    <w:p w14:paraId="56269CF5">
      <w:pPr>
        <w:pStyle w:val="187"/>
        <w:spacing w:before="0" w:after="0" w:line="440" w:lineRule="exact"/>
        <w:ind w:firstLine="480"/>
        <w:rPr>
          <w:rFonts w:hint="eastAsia"/>
          <w:bCs w:val="0"/>
          <w:color w:val="000000"/>
          <w:sz w:val="24"/>
          <w:szCs w:val="24"/>
          <w:highlight w:val="none"/>
        </w:rPr>
      </w:pPr>
      <w:bookmarkStart w:id="94" w:name="_Toc513029214"/>
      <w:bookmarkStart w:id="95" w:name="_Toc20823286"/>
      <w:bookmarkStart w:id="96" w:name="_Toc462564073"/>
      <w:bookmarkStart w:id="97" w:name="_Toc16938530"/>
      <w:r>
        <w:rPr>
          <w:rFonts w:hint="eastAsia"/>
          <w:b w:val="0"/>
          <w:bCs w:val="0"/>
          <w:color w:val="000000"/>
          <w:sz w:val="24"/>
          <w:szCs w:val="24"/>
          <w:highlight w:val="none"/>
        </w:rPr>
        <w:t>9、投标文件的语言及度量衡单位</w:t>
      </w:r>
      <w:bookmarkEnd w:id="94"/>
      <w:bookmarkEnd w:id="95"/>
      <w:bookmarkEnd w:id="96"/>
      <w:bookmarkEnd w:id="97"/>
    </w:p>
    <w:p w14:paraId="4C0834C9">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简体中文</w:t>
      </w:r>
      <w:r>
        <w:rPr>
          <w:rFonts w:hint="eastAsia" w:ascii="宋体" w:hAnsi="宋体"/>
          <w:color w:val="000000"/>
          <w:sz w:val="24"/>
          <w:highlight w:val="none"/>
        </w:rPr>
        <w:t>。</w:t>
      </w:r>
    </w:p>
    <w:p w14:paraId="6168F116">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9.2</w:t>
      </w:r>
      <w:r>
        <w:rPr>
          <w:rFonts w:hint="eastAsia" w:ascii="宋体" w:hAnsi="宋体"/>
          <w:color w:val="000000"/>
          <w:sz w:val="24"/>
          <w:highlight w:val="none"/>
        </w:rPr>
        <w:t xml:space="preserve"> 除技术性能另有规定外，投标文件所使用的度量衡单位，均须采用国家法定计量单位。</w:t>
      </w:r>
    </w:p>
    <w:p w14:paraId="0A4332B2">
      <w:pPr>
        <w:pStyle w:val="187"/>
        <w:spacing w:before="0" w:after="0" w:line="440" w:lineRule="exact"/>
        <w:ind w:firstLine="360"/>
        <w:rPr>
          <w:rFonts w:hint="eastAsia"/>
          <w:b w:val="0"/>
          <w:bCs w:val="0"/>
          <w:color w:val="000000"/>
          <w:sz w:val="24"/>
          <w:szCs w:val="24"/>
          <w:highlight w:val="none"/>
        </w:rPr>
      </w:pPr>
      <w:bookmarkStart w:id="98" w:name="_Toc16938531"/>
      <w:bookmarkStart w:id="99" w:name="_Toc462564074"/>
      <w:bookmarkStart w:id="100" w:name="_Toc20823287"/>
      <w:bookmarkStart w:id="101" w:name="_Toc513029215"/>
      <w:r>
        <w:rPr>
          <w:rFonts w:hint="eastAsia"/>
          <w:b w:val="0"/>
          <w:bCs w:val="0"/>
          <w:color w:val="000000"/>
          <w:sz w:val="24"/>
          <w:szCs w:val="24"/>
          <w:highlight w:val="none"/>
        </w:rPr>
        <w:t>10、投标文件构成</w:t>
      </w:r>
      <w:bookmarkEnd w:id="98"/>
      <w:bookmarkEnd w:id="99"/>
      <w:bookmarkEnd w:id="100"/>
      <w:bookmarkEnd w:id="101"/>
    </w:p>
    <w:p w14:paraId="6B882C78">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p>
    <w:p w14:paraId="03DB350C">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10.2 如标书制作工具中格式和内容与</w:t>
      </w:r>
      <w:r>
        <w:rPr>
          <w:rFonts w:hint="eastAsia" w:ascii="宋体" w:hAnsi="宋体"/>
          <w:bCs/>
          <w:color w:val="000000"/>
          <w:sz w:val="24"/>
          <w:szCs w:val="24"/>
          <w:highlight w:val="none"/>
        </w:rPr>
        <w:t>“江苏政府网”、“扬中政府网”</w:t>
      </w:r>
      <w:r>
        <w:rPr>
          <w:rFonts w:hint="eastAsia" w:ascii="宋体" w:hAnsi="宋体"/>
          <w:color w:val="000000"/>
          <w:sz w:val="24"/>
          <w:highlight w:val="none"/>
        </w:rPr>
        <w:t>上发布的招标文件不一致，请以</w:t>
      </w:r>
      <w:r>
        <w:rPr>
          <w:rFonts w:hint="eastAsia" w:ascii="宋体" w:hAnsi="宋体"/>
          <w:bCs/>
          <w:color w:val="000000"/>
          <w:sz w:val="24"/>
          <w:szCs w:val="24"/>
          <w:highlight w:val="none"/>
        </w:rPr>
        <w:t>“江苏政府网”、“扬中政府网”</w:t>
      </w:r>
      <w:r>
        <w:rPr>
          <w:rFonts w:hint="eastAsia" w:ascii="宋体" w:hAnsi="宋体"/>
          <w:color w:val="000000"/>
          <w:sz w:val="24"/>
          <w:highlight w:val="none"/>
        </w:rPr>
        <w:t>上发布的招标文件为准。</w:t>
      </w:r>
    </w:p>
    <w:p w14:paraId="48BDCEDD">
      <w:pPr>
        <w:pStyle w:val="187"/>
        <w:spacing w:before="0" w:after="0" w:line="440" w:lineRule="exact"/>
        <w:ind w:firstLine="360"/>
        <w:rPr>
          <w:rFonts w:hint="eastAsia"/>
          <w:b w:val="0"/>
          <w:bCs w:val="0"/>
          <w:color w:val="000000"/>
          <w:sz w:val="24"/>
          <w:szCs w:val="24"/>
          <w:highlight w:val="none"/>
        </w:rPr>
      </w:pPr>
      <w:bookmarkStart w:id="102" w:name="_Hlt26954838"/>
      <w:bookmarkEnd w:id="102"/>
      <w:bookmarkStart w:id="103" w:name="_Hlt26670360"/>
      <w:bookmarkEnd w:id="103"/>
      <w:bookmarkStart w:id="104" w:name="_Hlt26668975"/>
      <w:bookmarkEnd w:id="104"/>
      <w:bookmarkStart w:id="105" w:name="_Toc49090509"/>
      <w:bookmarkStart w:id="106" w:name="_Toc14577357"/>
      <w:bookmarkStart w:id="107" w:name="_Toc513029219"/>
      <w:bookmarkStart w:id="108" w:name="_Toc49090507"/>
      <w:bookmarkStart w:id="109" w:name="_Toc14577354"/>
      <w:bookmarkStart w:id="110" w:name="_Toc513029216"/>
      <w:r>
        <w:rPr>
          <w:rFonts w:hint="eastAsia"/>
          <w:b w:val="0"/>
          <w:bCs w:val="0"/>
          <w:color w:val="000000"/>
          <w:sz w:val="24"/>
          <w:szCs w:val="24"/>
          <w:highlight w:val="none"/>
        </w:rPr>
        <w:t>11、证明投标人及投标标的符合招标文件规定的文件</w:t>
      </w:r>
      <w:bookmarkEnd w:id="105"/>
      <w:bookmarkEnd w:id="106"/>
      <w:bookmarkEnd w:id="107"/>
    </w:p>
    <w:bookmarkEnd w:id="108"/>
    <w:bookmarkEnd w:id="109"/>
    <w:bookmarkEnd w:id="110"/>
    <w:p w14:paraId="2D0046F7">
      <w:pPr>
        <w:spacing w:line="440" w:lineRule="exact"/>
        <w:rPr>
          <w:rFonts w:hint="eastAsia" w:ascii="宋体" w:hAnsi="宋体"/>
          <w:color w:val="000000"/>
          <w:sz w:val="24"/>
          <w:szCs w:val="24"/>
          <w:highlight w:val="none"/>
        </w:rPr>
      </w:pPr>
      <w:bookmarkStart w:id="111" w:name="_Toc14577355"/>
      <w:bookmarkStart w:id="112" w:name="_Toc49090508"/>
      <w:r>
        <w:rPr>
          <w:rFonts w:hint="eastAsia" w:ascii="宋体" w:hAnsi="宋体"/>
          <w:color w:val="000000"/>
          <w:sz w:val="24"/>
          <w:szCs w:val="24"/>
          <w:highlight w:val="none"/>
        </w:rPr>
        <w:t xml:space="preserve">    11.1 投标人应按照招标文件要求提交证明文件，证明其及投标标的符合招标文件规定。</w:t>
      </w:r>
    </w:p>
    <w:p w14:paraId="47CD4F1B">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11.2招标文件对证明文件无明确形式要求的，证明文件可以以文字资料、图纸和数据等形式提交。</w:t>
      </w:r>
    </w:p>
    <w:p w14:paraId="409DEEEB">
      <w:pPr>
        <w:pStyle w:val="187"/>
        <w:spacing w:before="0" w:after="0" w:line="440" w:lineRule="exact"/>
        <w:ind w:firstLine="360"/>
        <w:rPr>
          <w:rFonts w:hint="eastAsia"/>
          <w:b w:val="0"/>
          <w:bCs w:val="0"/>
          <w:color w:val="000000"/>
          <w:sz w:val="24"/>
          <w:szCs w:val="24"/>
          <w:highlight w:val="none"/>
        </w:rPr>
      </w:pPr>
      <w:r>
        <w:rPr>
          <w:rFonts w:hint="eastAsia"/>
          <w:b w:val="0"/>
          <w:bCs w:val="0"/>
          <w:color w:val="000000"/>
          <w:sz w:val="24"/>
          <w:szCs w:val="24"/>
          <w:highlight w:val="none"/>
        </w:rPr>
        <w:t>12、投标分项报价</w:t>
      </w:r>
      <w:bookmarkEnd w:id="111"/>
      <w:bookmarkStart w:id="113" w:name="_Hlt26670373"/>
      <w:bookmarkEnd w:id="113"/>
      <w:r>
        <w:rPr>
          <w:rFonts w:hint="eastAsia"/>
          <w:b w:val="0"/>
          <w:bCs w:val="0"/>
          <w:color w:val="000000"/>
          <w:sz w:val="24"/>
          <w:szCs w:val="24"/>
          <w:highlight w:val="none"/>
        </w:rPr>
        <w:t>表</w:t>
      </w:r>
      <w:bookmarkEnd w:id="112"/>
    </w:p>
    <w:p w14:paraId="23F421F9">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12.1</w:t>
      </w:r>
      <w:r>
        <w:rPr>
          <w:rFonts w:hint="eastAsia" w:ascii="宋体" w:hAnsi="宋体"/>
          <w:color w:val="000000"/>
          <w:sz w:val="24"/>
          <w:szCs w:val="24"/>
          <w:highlight w:val="none"/>
        </w:rPr>
        <w:t xml:space="preserve"> 投</w:t>
      </w:r>
      <w:bookmarkStart w:id="114" w:name="_Hlt26954840"/>
      <w:bookmarkEnd w:id="114"/>
      <w:r>
        <w:rPr>
          <w:rFonts w:hint="eastAsia" w:ascii="宋体" w:hAnsi="宋体"/>
          <w:color w:val="000000"/>
          <w:sz w:val="24"/>
          <w:szCs w:val="24"/>
          <w:highlight w:val="none"/>
        </w:rPr>
        <w:t>标人应按照招标文件规定格式填报投标分项报价表</w:t>
      </w:r>
      <w:bookmarkStart w:id="115" w:name="_Hlt26670399"/>
      <w:bookmarkEnd w:id="115"/>
      <w:r>
        <w:rPr>
          <w:rFonts w:hint="eastAsia" w:ascii="宋体" w:hAnsi="宋体"/>
          <w:color w:val="000000"/>
          <w:sz w:val="24"/>
          <w:szCs w:val="24"/>
          <w:highlight w:val="none"/>
        </w:rPr>
        <w:t>。</w:t>
      </w:r>
    </w:p>
    <w:p w14:paraId="7180D9A8">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12.2</w:t>
      </w:r>
      <w:r>
        <w:rPr>
          <w:rFonts w:hint="eastAsia" w:ascii="宋体" w:hAnsi="宋体"/>
          <w:bCs/>
          <w:color w:val="000000"/>
          <w:sz w:val="24"/>
          <w:szCs w:val="24"/>
          <w:highlight w:val="none"/>
        </w:rPr>
        <w:t>投标货币。投标文件中的单价和总价无特殊规定的采用人民币报价，以元为单位标注。</w:t>
      </w:r>
      <w:r>
        <w:rPr>
          <w:rFonts w:hint="eastAsia" w:ascii="宋体" w:hAnsi="宋体"/>
          <w:color w:val="000000"/>
          <w:sz w:val="24"/>
          <w:szCs w:val="24"/>
          <w:highlight w:val="none"/>
        </w:rPr>
        <w:t>招标文件中另有规定的按规定执行。</w:t>
      </w:r>
      <w:bookmarkStart w:id="116" w:name="_Hlt26670403"/>
      <w:bookmarkEnd w:id="116"/>
      <w:bookmarkStart w:id="117" w:name="_Hlt26668983"/>
      <w:bookmarkEnd w:id="117"/>
      <w:bookmarkStart w:id="118" w:name="_Hlt26954846"/>
      <w:bookmarkEnd w:id="118"/>
      <w:bookmarkStart w:id="119" w:name="_Hlt26954848"/>
      <w:bookmarkEnd w:id="119"/>
      <w:bookmarkStart w:id="120" w:name="_Hlt26670482"/>
      <w:bookmarkEnd w:id="120"/>
      <w:bookmarkStart w:id="121" w:name="_Hlt26954842"/>
      <w:bookmarkEnd w:id="121"/>
      <w:bookmarkStart w:id="122" w:name="_Hlt26670425"/>
      <w:bookmarkEnd w:id="122"/>
      <w:bookmarkStart w:id="123" w:name="_Hlt26954844"/>
      <w:bookmarkEnd w:id="123"/>
      <w:bookmarkStart w:id="124" w:name="_Hlt26670486"/>
      <w:bookmarkEnd w:id="124"/>
      <w:bookmarkStart w:id="125" w:name="_Hlt26954731"/>
      <w:bookmarkEnd w:id="125"/>
    </w:p>
    <w:p w14:paraId="3AA63DE2">
      <w:pPr>
        <w:spacing w:line="440" w:lineRule="exact"/>
        <w:ind w:firstLine="480"/>
        <w:rPr>
          <w:rFonts w:ascii="宋体" w:hAnsi="宋体"/>
          <w:bCs/>
          <w:color w:val="000000"/>
          <w:sz w:val="24"/>
          <w:szCs w:val="24"/>
        </w:rPr>
      </w:pPr>
      <w:r>
        <w:rPr>
          <w:rFonts w:ascii="宋体" w:hAnsi="宋体"/>
          <w:bCs/>
          <w:color w:val="000000"/>
          <w:sz w:val="24"/>
          <w:szCs w:val="24"/>
        </w:rPr>
        <w:t>1</w:t>
      </w:r>
      <w:r>
        <w:rPr>
          <w:rFonts w:hint="eastAsia" w:ascii="宋体" w:hAnsi="宋体"/>
          <w:bCs/>
          <w:color w:val="000000"/>
          <w:sz w:val="24"/>
          <w:szCs w:val="24"/>
        </w:rPr>
        <w:t>2.3项目分项报价明细清单（工程量清单价格编制依据）</w:t>
      </w:r>
    </w:p>
    <w:p w14:paraId="07F73E86">
      <w:pPr>
        <w:spacing w:line="440" w:lineRule="exact"/>
        <w:ind w:firstLine="480"/>
        <w:rPr>
          <w:rFonts w:ascii="宋体" w:hAnsi="宋体"/>
          <w:bCs/>
          <w:color w:val="000000"/>
          <w:sz w:val="24"/>
          <w:szCs w:val="24"/>
        </w:rPr>
      </w:pPr>
      <w:r>
        <w:rPr>
          <w:rFonts w:hint="eastAsia" w:ascii="宋体" w:hAnsi="宋体"/>
          <w:bCs/>
          <w:color w:val="000000"/>
          <w:sz w:val="24"/>
          <w:szCs w:val="24"/>
        </w:rPr>
        <w:t>①以人民币报价，</w:t>
      </w:r>
      <w:r>
        <w:rPr>
          <w:rFonts w:hint="eastAsia" w:ascii="宋体" w:hAnsi="宋体"/>
          <w:bCs/>
          <w:color w:val="000000"/>
          <w:sz w:val="24"/>
          <w:szCs w:val="24"/>
          <w:lang w:eastAsia="zh-CN"/>
        </w:rPr>
        <w:t>投标单位</w:t>
      </w:r>
      <w:r>
        <w:rPr>
          <w:rFonts w:hint="eastAsia" w:ascii="宋体" w:hAnsi="宋体"/>
          <w:bCs/>
          <w:color w:val="000000"/>
          <w:sz w:val="24"/>
          <w:szCs w:val="24"/>
        </w:rPr>
        <w:t>应报本项目各种详细分项单价和总价。</w:t>
      </w:r>
    </w:p>
    <w:p w14:paraId="1AE3FF7C">
      <w:pPr>
        <w:spacing w:line="440" w:lineRule="exact"/>
        <w:ind w:firstLine="480"/>
        <w:rPr>
          <w:rFonts w:ascii="宋体" w:hAnsi="宋体"/>
          <w:bCs/>
          <w:color w:val="000000"/>
          <w:sz w:val="24"/>
          <w:szCs w:val="24"/>
        </w:rPr>
      </w:pPr>
      <w:r>
        <w:rPr>
          <w:rFonts w:hint="eastAsia" w:ascii="宋体" w:hAnsi="宋体"/>
          <w:bCs/>
          <w:color w:val="000000"/>
          <w:sz w:val="24"/>
          <w:szCs w:val="24"/>
        </w:rPr>
        <w:t>②报价中应包括：为完成本项目采购范围内规定的招标代理费、建安工程施工费，其中包括但不限于完成工程项目的技术协调服务费、材料设备采购保管费、检验测试费、保险费、风险费用、费用、利润、税金，以及合同中明确的其他责任、义务等。全部耗材费、施工、设备、管理等各项费用及项目本身已支付或将支付的增值税、各种税金及政策性文件规定的各项应有费用。以及</w:t>
      </w:r>
      <w:r>
        <w:rPr>
          <w:rFonts w:hint="eastAsia" w:ascii="宋体" w:hAnsi="宋体"/>
          <w:bCs/>
          <w:color w:val="000000"/>
          <w:sz w:val="24"/>
          <w:szCs w:val="24"/>
          <w:lang w:eastAsia="zh-CN"/>
        </w:rPr>
        <w:t>投标单位</w:t>
      </w:r>
      <w:r>
        <w:rPr>
          <w:rFonts w:hint="eastAsia" w:ascii="宋体" w:hAnsi="宋体"/>
          <w:bCs/>
          <w:color w:val="000000"/>
          <w:sz w:val="24"/>
          <w:szCs w:val="24"/>
        </w:rPr>
        <w:t>认为需要的其他费用等。投标报价为</w:t>
      </w:r>
      <w:r>
        <w:rPr>
          <w:rFonts w:hint="eastAsia" w:ascii="宋体" w:hAnsi="宋体"/>
          <w:bCs/>
          <w:color w:val="000000"/>
          <w:sz w:val="24"/>
          <w:szCs w:val="24"/>
          <w:lang w:val="en-US" w:eastAsia="zh-CN"/>
        </w:rPr>
        <w:t>合同价</w:t>
      </w:r>
      <w:r>
        <w:rPr>
          <w:rFonts w:hint="eastAsia" w:ascii="宋体" w:hAnsi="宋体"/>
          <w:bCs/>
          <w:color w:val="000000"/>
          <w:sz w:val="24"/>
          <w:szCs w:val="24"/>
        </w:rPr>
        <w:t>，</w:t>
      </w:r>
      <w:r>
        <w:rPr>
          <w:rFonts w:hint="eastAsia" w:ascii="宋体" w:hAnsi="宋体"/>
          <w:bCs/>
          <w:color w:val="000000"/>
          <w:sz w:val="24"/>
          <w:szCs w:val="24"/>
          <w:lang w:eastAsia="zh-CN"/>
        </w:rPr>
        <w:t>投标单位</w:t>
      </w:r>
      <w:r>
        <w:rPr>
          <w:rFonts w:hint="eastAsia" w:ascii="宋体" w:hAnsi="宋体"/>
          <w:bCs/>
          <w:color w:val="000000"/>
          <w:sz w:val="24"/>
          <w:szCs w:val="24"/>
        </w:rPr>
        <w:t>不得再要求追加任何费用。</w:t>
      </w:r>
    </w:p>
    <w:p w14:paraId="2C460555">
      <w:pPr>
        <w:spacing w:line="440" w:lineRule="exact"/>
        <w:ind w:firstLine="480"/>
        <w:rPr>
          <w:rFonts w:ascii="宋体" w:hAnsi="宋体"/>
          <w:bCs/>
          <w:color w:val="000000"/>
          <w:sz w:val="24"/>
          <w:szCs w:val="24"/>
        </w:rPr>
      </w:pPr>
      <w:r>
        <w:rPr>
          <w:rFonts w:ascii="宋体" w:hAnsi="宋体"/>
          <w:bCs/>
          <w:color w:val="000000"/>
          <w:sz w:val="24"/>
          <w:szCs w:val="24"/>
        </w:rPr>
        <w:t>③</w:t>
      </w:r>
      <w:r>
        <w:rPr>
          <w:rFonts w:hint="eastAsia" w:ascii="宋体" w:hAnsi="宋体"/>
          <w:bCs/>
          <w:color w:val="000000"/>
          <w:sz w:val="24"/>
          <w:szCs w:val="24"/>
        </w:rPr>
        <w:t>本工程项目报价方式采用固定综合单价报价：投标人应充分考虑施工期间各类建材的市场风险确定总报价。除非出现下列情况（详见通用施工合同约定），其它各类风险因素均不作调整。</w:t>
      </w:r>
    </w:p>
    <w:p w14:paraId="4709A342">
      <w:pPr>
        <w:spacing w:line="440" w:lineRule="exact"/>
        <w:ind w:firstLine="480"/>
        <w:rPr>
          <w:rFonts w:ascii="宋体" w:hAnsi="宋体"/>
          <w:bCs/>
          <w:color w:val="000000"/>
          <w:sz w:val="24"/>
          <w:szCs w:val="24"/>
        </w:rPr>
      </w:pPr>
      <w:r>
        <w:rPr>
          <w:rFonts w:hint="eastAsia" w:ascii="宋体" w:hAnsi="宋体"/>
          <w:bCs/>
          <w:color w:val="000000"/>
          <w:sz w:val="24"/>
          <w:szCs w:val="24"/>
          <w:lang w:eastAsia="zh-CN"/>
        </w:rPr>
        <w:t>投标单位</w:t>
      </w:r>
      <w:r>
        <w:rPr>
          <w:rFonts w:hint="eastAsia" w:ascii="宋体" w:hAnsi="宋体"/>
          <w:bCs/>
          <w:color w:val="000000"/>
          <w:sz w:val="24"/>
          <w:szCs w:val="24"/>
        </w:rPr>
        <w:t>应根据招标文件所提供的施工图纸、工程量清单、最高限价等资料并充分考虑施工现场状况、施工期间各种建材的市场风险和国家政策性调整风险系数，并计入总报价，今后不作调整。风险范围以外（即工程调整或变更部分）的合同价款调整方法在合同中约定。</w:t>
      </w:r>
    </w:p>
    <w:p w14:paraId="5AC21377">
      <w:pPr>
        <w:spacing w:line="440" w:lineRule="exact"/>
        <w:ind w:firstLine="480"/>
        <w:rPr>
          <w:rFonts w:ascii="宋体" w:hAnsi="宋体"/>
          <w:bCs/>
          <w:color w:val="000000"/>
          <w:sz w:val="24"/>
          <w:szCs w:val="24"/>
        </w:rPr>
      </w:pPr>
      <w:r>
        <w:rPr>
          <w:rFonts w:hint="eastAsia" w:ascii="宋体" w:hAnsi="宋体"/>
          <w:bCs/>
          <w:color w:val="000000"/>
          <w:sz w:val="24"/>
          <w:szCs w:val="24"/>
        </w:rPr>
        <w:t>（1）项目的总报价：包括施工设备、劳务、管理、材料、安装、维护、清理、利润、税金及政策性文件规定的各项应有费用等。</w:t>
      </w:r>
    </w:p>
    <w:p w14:paraId="552C8FD9">
      <w:pPr>
        <w:spacing w:line="440" w:lineRule="exact"/>
        <w:ind w:firstLine="480"/>
        <w:rPr>
          <w:rFonts w:ascii="宋体" w:hAnsi="宋体"/>
          <w:bCs/>
          <w:color w:val="000000"/>
          <w:sz w:val="24"/>
          <w:szCs w:val="24"/>
        </w:rPr>
      </w:pPr>
      <w:r>
        <w:rPr>
          <w:rFonts w:hint="eastAsia" w:ascii="宋体" w:hAnsi="宋体"/>
          <w:bCs/>
          <w:color w:val="000000"/>
          <w:sz w:val="24"/>
          <w:szCs w:val="24"/>
        </w:rPr>
        <w:t>（2）工程量清单报价应包括完成招标文件规定的工程量清单项目所需的全部费用：</w:t>
      </w:r>
    </w:p>
    <w:p w14:paraId="2675BC2B">
      <w:pPr>
        <w:spacing w:line="440" w:lineRule="exact"/>
        <w:ind w:firstLine="480"/>
        <w:rPr>
          <w:rFonts w:ascii="宋体" w:hAnsi="宋体"/>
          <w:bCs/>
          <w:color w:val="000000"/>
          <w:sz w:val="24"/>
          <w:szCs w:val="24"/>
        </w:rPr>
      </w:pPr>
      <w:r>
        <w:rPr>
          <w:rFonts w:hint="eastAsia" w:ascii="宋体" w:hAnsi="宋体"/>
          <w:bCs/>
          <w:color w:val="000000"/>
          <w:sz w:val="24"/>
          <w:szCs w:val="24"/>
        </w:rPr>
        <w:t>①包括分部分项工程费、措施费、其它项目费和税金等。</w:t>
      </w:r>
    </w:p>
    <w:p w14:paraId="4123948B">
      <w:pPr>
        <w:spacing w:line="440" w:lineRule="exact"/>
        <w:ind w:firstLine="480"/>
        <w:rPr>
          <w:rFonts w:ascii="宋体" w:hAnsi="宋体"/>
          <w:bCs/>
          <w:color w:val="000000"/>
          <w:sz w:val="24"/>
          <w:szCs w:val="24"/>
        </w:rPr>
      </w:pPr>
      <w:r>
        <w:rPr>
          <w:rFonts w:hint="eastAsia" w:ascii="宋体" w:hAnsi="宋体"/>
          <w:bCs/>
          <w:color w:val="000000"/>
          <w:sz w:val="24"/>
          <w:szCs w:val="24"/>
        </w:rPr>
        <w:t>②包括完成每分部分项工程所含全部工程内容的费用。</w:t>
      </w:r>
    </w:p>
    <w:p w14:paraId="1D56A82C">
      <w:pPr>
        <w:spacing w:line="440" w:lineRule="exact"/>
        <w:ind w:firstLine="480"/>
        <w:rPr>
          <w:rFonts w:ascii="宋体" w:hAnsi="宋体"/>
          <w:bCs/>
          <w:color w:val="000000"/>
          <w:sz w:val="24"/>
          <w:szCs w:val="24"/>
        </w:rPr>
      </w:pPr>
      <w:r>
        <w:rPr>
          <w:rFonts w:hint="eastAsia" w:ascii="宋体" w:hAnsi="宋体"/>
          <w:bCs/>
          <w:color w:val="000000"/>
          <w:sz w:val="24"/>
          <w:szCs w:val="24"/>
        </w:rPr>
        <w:t>③包括完成每项工程内容所需的全部费用。</w:t>
      </w:r>
    </w:p>
    <w:p w14:paraId="6166DBE3">
      <w:pPr>
        <w:spacing w:line="440" w:lineRule="exact"/>
        <w:ind w:firstLine="480"/>
        <w:rPr>
          <w:rFonts w:ascii="宋体" w:hAnsi="宋体"/>
          <w:bCs/>
          <w:color w:val="000000"/>
          <w:sz w:val="24"/>
          <w:szCs w:val="24"/>
        </w:rPr>
      </w:pPr>
      <w:r>
        <w:rPr>
          <w:rFonts w:hint="eastAsia" w:ascii="宋体" w:hAnsi="宋体"/>
          <w:bCs/>
          <w:color w:val="000000"/>
          <w:sz w:val="24"/>
          <w:szCs w:val="24"/>
        </w:rPr>
        <w:t>④考虑风险因素而调整的费用。</w:t>
      </w:r>
    </w:p>
    <w:p w14:paraId="7D1542D3">
      <w:pPr>
        <w:spacing w:line="440" w:lineRule="exact"/>
        <w:ind w:firstLine="480"/>
        <w:rPr>
          <w:rFonts w:ascii="宋体" w:hAnsi="宋体"/>
          <w:bCs/>
          <w:color w:val="000000"/>
          <w:sz w:val="24"/>
          <w:szCs w:val="24"/>
        </w:rPr>
      </w:pPr>
      <w:r>
        <w:rPr>
          <w:rFonts w:hint="eastAsia" w:ascii="宋体" w:hAnsi="宋体"/>
          <w:bCs/>
          <w:color w:val="000000"/>
          <w:sz w:val="24"/>
          <w:szCs w:val="24"/>
        </w:rPr>
        <w:t>⑤因</w:t>
      </w:r>
      <w:r>
        <w:rPr>
          <w:rFonts w:hint="eastAsia" w:ascii="宋体" w:hAnsi="宋体"/>
          <w:bCs/>
          <w:color w:val="000000"/>
          <w:sz w:val="24"/>
          <w:szCs w:val="24"/>
          <w:lang w:eastAsia="zh-CN"/>
        </w:rPr>
        <w:t>招标人</w:t>
      </w:r>
      <w:r>
        <w:rPr>
          <w:rFonts w:hint="eastAsia" w:ascii="宋体" w:hAnsi="宋体"/>
          <w:bCs/>
          <w:color w:val="000000"/>
          <w:sz w:val="24"/>
          <w:szCs w:val="24"/>
        </w:rPr>
        <w:t>在</w:t>
      </w:r>
      <w:r>
        <w:rPr>
          <w:rFonts w:hint="eastAsia" w:ascii="宋体" w:hAnsi="宋体"/>
          <w:bCs/>
          <w:color w:val="000000"/>
          <w:sz w:val="24"/>
          <w:szCs w:val="24"/>
          <w:lang w:val="en-US" w:eastAsia="zh-CN"/>
        </w:rPr>
        <w:t>招标</w:t>
      </w:r>
      <w:r>
        <w:rPr>
          <w:rFonts w:hint="eastAsia" w:ascii="宋体" w:hAnsi="宋体"/>
          <w:bCs/>
          <w:color w:val="000000"/>
          <w:sz w:val="24"/>
          <w:szCs w:val="24"/>
        </w:rPr>
        <w:t>文件中的要求而发生的费用。</w:t>
      </w:r>
    </w:p>
    <w:p w14:paraId="3D647057">
      <w:pPr>
        <w:spacing w:line="440" w:lineRule="exact"/>
        <w:ind w:firstLine="480"/>
        <w:rPr>
          <w:rFonts w:ascii="宋体" w:hAnsi="宋体"/>
          <w:bCs/>
          <w:color w:val="000000"/>
          <w:sz w:val="24"/>
          <w:szCs w:val="24"/>
        </w:rPr>
      </w:pPr>
      <w:r>
        <w:rPr>
          <w:rFonts w:hint="eastAsia" w:ascii="宋体" w:hAnsi="宋体"/>
          <w:bCs/>
          <w:color w:val="000000"/>
          <w:sz w:val="24"/>
          <w:szCs w:val="24"/>
        </w:rPr>
        <w:t>⑥其它费用。</w:t>
      </w:r>
    </w:p>
    <w:p w14:paraId="66A0F42B">
      <w:pPr>
        <w:spacing w:line="440" w:lineRule="exact"/>
        <w:ind w:firstLine="480"/>
        <w:rPr>
          <w:rFonts w:ascii="宋体" w:hAnsi="宋体"/>
          <w:bCs/>
          <w:color w:val="000000"/>
          <w:sz w:val="24"/>
          <w:szCs w:val="24"/>
        </w:rPr>
      </w:pPr>
      <w:r>
        <w:rPr>
          <w:rFonts w:hint="eastAsia" w:ascii="宋体" w:hAnsi="宋体"/>
          <w:bCs/>
          <w:color w:val="000000"/>
          <w:sz w:val="24"/>
          <w:szCs w:val="24"/>
        </w:rPr>
        <w:t>12.4每种工程量只允许有一种报价，任何有选择报价将不予接受。</w:t>
      </w:r>
      <w:r>
        <w:rPr>
          <w:rFonts w:hint="eastAsia" w:ascii="宋体" w:hAnsi="宋体"/>
          <w:bCs/>
          <w:color w:val="000000"/>
          <w:sz w:val="24"/>
          <w:szCs w:val="24"/>
          <w:lang w:eastAsia="zh-CN"/>
        </w:rPr>
        <w:t>投标单位</w:t>
      </w:r>
      <w:r>
        <w:rPr>
          <w:rFonts w:hint="eastAsia" w:ascii="宋体" w:hAnsi="宋体"/>
          <w:bCs/>
          <w:color w:val="000000"/>
          <w:sz w:val="24"/>
          <w:szCs w:val="24"/>
        </w:rPr>
        <w:t>必须对招标文件中所采购的所有工程量进行报价，只报其中部分工程量的投标文件无效。</w:t>
      </w:r>
    </w:p>
    <w:p w14:paraId="48CA96A6">
      <w:pPr>
        <w:spacing w:line="440" w:lineRule="exact"/>
        <w:ind w:firstLine="480"/>
        <w:rPr>
          <w:rFonts w:hint="eastAsia" w:ascii="宋体" w:hAnsi="宋体"/>
          <w:color w:val="000000"/>
          <w:sz w:val="24"/>
          <w:szCs w:val="24"/>
        </w:rPr>
      </w:pPr>
      <w:r>
        <w:rPr>
          <w:rFonts w:hint="eastAsia" w:ascii="宋体" w:hAnsi="宋体"/>
          <w:bCs/>
          <w:color w:val="000000"/>
          <w:sz w:val="24"/>
          <w:szCs w:val="24"/>
        </w:rPr>
        <w:t>12.5报价执行中华人民共和国国家标准</w:t>
      </w:r>
      <w:r>
        <w:rPr>
          <w:rFonts w:hint="eastAsia" w:ascii="宋体" w:hAnsi="宋体"/>
          <w:bCs/>
          <w:color w:val="auto"/>
          <w:sz w:val="24"/>
          <w:szCs w:val="24"/>
          <w:lang w:eastAsia="zh-CN"/>
        </w:rPr>
        <w:t>《房屋建筑与装饰工程工程量计算标准》（GB/T50854-2024）、《通用安装工程工程量计算标准》（GB/T50856-2024）</w:t>
      </w:r>
      <w:r>
        <w:rPr>
          <w:rFonts w:hint="eastAsia" w:ascii="宋体" w:hAnsi="宋体"/>
          <w:bCs/>
          <w:color w:val="000000"/>
          <w:sz w:val="24"/>
          <w:szCs w:val="24"/>
        </w:rPr>
        <w:t>中有关内容，根据招标文件中的工程量清单、施工图纸、质量、工期等有关要求，施工现场实际情况及</w:t>
      </w:r>
      <w:r>
        <w:rPr>
          <w:rFonts w:hint="eastAsia" w:ascii="宋体" w:hAnsi="宋体"/>
          <w:bCs/>
          <w:color w:val="000000"/>
          <w:sz w:val="24"/>
          <w:szCs w:val="24"/>
          <w:lang w:eastAsia="zh-CN"/>
        </w:rPr>
        <w:t>投标单位</w:t>
      </w:r>
      <w:r>
        <w:rPr>
          <w:rFonts w:hint="eastAsia" w:ascii="宋体" w:hAnsi="宋体"/>
          <w:bCs/>
          <w:color w:val="000000"/>
          <w:sz w:val="24"/>
          <w:szCs w:val="24"/>
        </w:rPr>
        <w:t>的施工方案或施工组织设计，依据企业定额和市场价格信息，考虑市场各类风险因素而增加的费用，由</w:t>
      </w:r>
      <w:r>
        <w:rPr>
          <w:rFonts w:hint="eastAsia" w:ascii="宋体" w:hAnsi="宋体"/>
          <w:bCs/>
          <w:color w:val="000000"/>
          <w:sz w:val="24"/>
          <w:szCs w:val="24"/>
          <w:lang w:eastAsia="zh-CN"/>
        </w:rPr>
        <w:t>投标单位</w:t>
      </w:r>
      <w:r>
        <w:rPr>
          <w:rFonts w:hint="eastAsia" w:ascii="宋体" w:hAnsi="宋体"/>
          <w:bCs/>
          <w:color w:val="000000"/>
          <w:sz w:val="24"/>
          <w:szCs w:val="24"/>
        </w:rPr>
        <w:t>自主报价。</w:t>
      </w:r>
      <w:r>
        <w:rPr>
          <w:rFonts w:hint="eastAsia" w:ascii="宋体" w:hAnsi="宋体"/>
          <w:color w:val="000000"/>
          <w:sz w:val="24"/>
          <w:szCs w:val="24"/>
        </w:rPr>
        <w:t xml:space="preserve"> </w:t>
      </w:r>
    </w:p>
    <w:p w14:paraId="21790489">
      <w:pPr>
        <w:pStyle w:val="187"/>
        <w:spacing w:before="0" w:after="0" w:line="440" w:lineRule="exact"/>
        <w:ind w:firstLine="360"/>
        <w:rPr>
          <w:rFonts w:hint="eastAsia" w:cs="Times New Roman"/>
          <w:b w:val="0"/>
          <w:bCs w:val="0"/>
          <w:color w:val="000000"/>
          <w:sz w:val="24"/>
          <w:szCs w:val="24"/>
          <w:highlight w:val="none"/>
        </w:rPr>
      </w:pPr>
      <w:r>
        <w:rPr>
          <w:rFonts w:hint="eastAsia" w:cs="Times New Roman"/>
          <w:b w:val="0"/>
          <w:bCs w:val="0"/>
          <w:color w:val="000000"/>
          <w:sz w:val="24"/>
          <w:szCs w:val="24"/>
          <w:highlight w:val="none"/>
        </w:rPr>
        <w:t>13、技术要求响应及偏离表、商务要求响应及偏离表</w:t>
      </w:r>
    </w:p>
    <w:p w14:paraId="2C468C93">
      <w:pPr>
        <w:spacing w:line="440" w:lineRule="exact"/>
        <w:ind w:firstLine="480"/>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1</w:t>
      </w:r>
      <w:r>
        <w:rPr>
          <w:rFonts w:hint="eastAsia" w:ascii="宋体" w:hAnsi="Arial" w:cs="宋体"/>
          <w:bCs/>
          <w:color w:val="000000"/>
          <w:sz w:val="24"/>
          <w:szCs w:val="24"/>
          <w:highlight w:val="none"/>
          <w:lang w:val="zh-CN"/>
        </w:rPr>
        <w:t>3</w:t>
      </w:r>
      <w:r>
        <w:rPr>
          <w:rFonts w:ascii="宋体" w:hAnsi="Arial" w:cs="宋体"/>
          <w:bCs/>
          <w:color w:val="000000"/>
          <w:sz w:val="24"/>
          <w:szCs w:val="24"/>
          <w:highlight w:val="none"/>
          <w:lang w:val="zh-CN"/>
        </w:rPr>
        <w:t>.1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投标人需对招标文件中的技术要求与商务要求逐项作出响应或偏离，并说明原因。</w:t>
      </w:r>
    </w:p>
    <w:p w14:paraId="11F315CC">
      <w:pPr>
        <w:tabs>
          <w:tab w:val="left" w:pos="1035"/>
        </w:tabs>
        <w:spacing w:line="440" w:lineRule="exact"/>
        <w:ind w:firstLine="480"/>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13.2 投标人可在投标文件中提供认为需要的其他技术文件或说明。</w:t>
      </w:r>
    </w:p>
    <w:p w14:paraId="04476650">
      <w:pPr>
        <w:pStyle w:val="187"/>
        <w:spacing w:before="0" w:after="0" w:line="440" w:lineRule="exact"/>
        <w:ind w:firstLine="360"/>
        <w:rPr>
          <w:rFonts w:hint="eastAsia" w:cs="Times New Roman"/>
          <w:b w:val="0"/>
          <w:bCs w:val="0"/>
          <w:color w:val="000000"/>
          <w:sz w:val="24"/>
          <w:szCs w:val="24"/>
          <w:highlight w:val="none"/>
        </w:rPr>
      </w:pPr>
      <w:bookmarkStart w:id="126" w:name="_Hlt26670489"/>
      <w:bookmarkEnd w:id="126"/>
      <w:bookmarkStart w:id="127" w:name="_Hlt26954734"/>
      <w:bookmarkEnd w:id="127"/>
      <w:bookmarkStart w:id="128" w:name="_Hlt26954850"/>
      <w:bookmarkEnd w:id="128"/>
      <w:bookmarkStart w:id="129" w:name="_Toc14577360"/>
      <w:bookmarkStart w:id="130" w:name="_Toc49090511"/>
      <w:r>
        <w:rPr>
          <w:rFonts w:hint="eastAsia" w:cs="Times New Roman"/>
          <w:b w:val="0"/>
          <w:bCs w:val="0"/>
          <w:color w:val="000000"/>
          <w:sz w:val="24"/>
          <w:szCs w:val="24"/>
          <w:highlight w:val="none"/>
        </w:rPr>
        <w:t>14、</w:t>
      </w:r>
      <w:bookmarkStart w:id="131" w:name="_Toc49090510"/>
      <w:bookmarkStart w:id="132" w:name="_Toc14577359"/>
      <w:r>
        <w:rPr>
          <w:rFonts w:hint="eastAsia" w:cs="Times New Roman"/>
          <w:b w:val="0"/>
          <w:bCs w:val="0"/>
          <w:color w:val="000000"/>
          <w:sz w:val="24"/>
          <w:szCs w:val="24"/>
          <w:highlight w:val="none"/>
        </w:rPr>
        <w:t>投标函和开标一览表</w:t>
      </w:r>
    </w:p>
    <w:p w14:paraId="52419A07">
      <w:pPr>
        <w:spacing w:line="440" w:lineRule="exact"/>
        <w:ind w:firstLine="480"/>
        <w:rPr>
          <w:rFonts w:ascii="宋体" w:hAnsi="宋体"/>
          <w:color w:val="000000"/>
          <w:sz w:val="24"/>
          <w:szCs w:val="24"/>
        </w:rPr>
      </w:pPr>
      <w:r>
        <w:rPr>
          <w:rFonts w:hint="eastAsia" w:ascii="宋体" w:hAnsi="宋体"/>
          <w:bCs/>
          <w:color w:val="000000"/>
          <w:sz w:val="24"/>
          <w:szCs w:val="24"/>
        </w:rPr>
        <w:t>1</w:t>
      </w:r>
      <w:r>
        <w:rPr>
          <w:rFonts w:hint="eastAsia" w:ascii="宋体" w:hAnsi="宋体"/>
          <w:bCs/>
          <w:color w:val="000000"/>
          <w:sz w:val="24"/>
          <w:szCs w:val="24"/>
          <w:lang w:val="en-US" w:eastAsia="zh-CN"/>
        </w:rPr>
        <w:t>4</w:t>
      </w:r>
      <w:r>
        <w:rPr>
          <w:rFonts w:hint="eastAsia" w:ascii="宋体" w:hAnsi="宋体"/>
          <w:bCs/>
          <w:color w:val="000000"/>
          <w:sz w:val="24"/>
          <w:szCs w:val="24"/>
        </w:rPr>
        <w:t>.1</w:t>
      </w:r>
      <w:r>
        <w:rPr>
          <w:rFonts w:hint="eastAsia" w:ascii="宋体" w:hAnsi="宋体"/>
          <w:color w:val="000000"/>
          <w:sz w:val="24"/>
          <w:szCs w:val="24"/>
        </w:rPr>
        <w:t xml:space="preserve"> 投标人应按照招标文件中提供的格式完整、正确填写投标函、开标一览表。</w:t>
      </w:r>
    </w:p>
    <w:p w14:paraId="3F371DA2">
      <w:pPr>
        <w:spacing w:line="440" w:lineRule="exact"/>
        <w:ind w:firstLine="480"/>
        <w:rPr>
          <w:rFonts w:ascii="宋体" w:hAnsi="宋体"/>
          <w:color w:val="000000"/>
          <w:sz w:val="24"/>
          <w:szCs w:val="24"/>
        </w:rPr>
      </w:pPr>
      <w:r>
        <w:rPr>
          <w:rFonts w:hint="eastAsia" w:ascii="宋体" w:hAnsi="宋体"/>
          <w:bCs/>
          <w:color w:val="000000"/>
          <w:sz w:val="24"/>
          <w:szCs w:val="24"/>
        </w:rPr>
        <w:t>1</w:t>
      </w:r>
      <w:r>
        <w:rPr>
          <w:rFonts w:hint="eastAsia" w:ascii="宋体" w:hAnsi="宋体"/>
          <w:bCs/>
          <w:color w:val="000000"/>
          <w:sz w:val="24"/>
          <w:szCs w:val="24"/>
          <w:lang w:val="en-US" w:eastAsia="zh-CN"/>
        </w:rPr>
        <w:t>4</w:t>
      </w:r>
      <w:r>
        <w:rPr>
          <w:rFonts w:hint="eastAsia" w:ascii="宋体" w:hAnsi="宋体"/>
          <w:bCs/>
          <w:color w:val="000000"/>
          <w:sz w:val="24"/>
          <w:szCs w:val="24"/>
        </w:rPr>
        <w:t>.2</w:t>
      </w:r>
      <w:r>
        <w:rPr>
          <w:rFonts w:hint="eastAsia" w:ascii="宋体" w:hAnsi="宋体"/>
          <w:color w:val="000000"/>
          <w:sz w:val="24"/>
          <w:szCs w:val="24"/>
        </w:rPr>
        <w:t xml:space="preserve"> 对于采用货币报价的项目，</w:t>
      </w:r>
      <w:r>
        <w:rPr>
          <w:rFonts w:hint="eastAsia" w:ascii="宋体" w:hAnsi="宋体"/>
          <w:bCs/>
          <w:color w:val="000000"/>
          <w:sz w:val="24"/>
          <w:szCs w:val="24"/>
        </w:rPr>
        <w:t>开标一览表中的投标总报价应与投标分项报价表中的投标总报价一致，如不一致，</w:t>
      </w:r>
      <w:r>
        <w:rPr>
          <w:rFonts w:hint="eastAsia" w:ascii="宋体" w:hAnsi="宋体"/>
          <w:color w:val="000000"/>
          <w:sz w:val="24"/>
          <w:szCs w:val="24"/>
        </w:rPr>
        <w:t>不作为无效投标处理</w:t>
      </w:r>
      <w:r>
        <w:rPr>
          <w:rFonts w:hint="eastAsia" w:ascii="宋体" w:hAnsi="宋体"/>
          <w:bCs/>
          <w:color w:val="000000"/>
          <w:sz w:val="24"/>
          <w:szCs w:val="24"/>
        </w:rPr>
        <w:t>，但评标时按开标一览表中价格为准</w:t>
      </w:r>
      <w:r>
        <w:rPr>
          <w:rFonts w:hint="eastAsia" w:ascii="宋体" w:hAnsi="宋体"/>
          <w:b/>
          <w:bCs/>
          <w:color w:val="000000"/>
          <w:sz w:val="24"/>
          <w:szCs w:val="24"/>
        </w:rPr>
        <w:t>。</w:t>
      </w:r>
      <w:bookmarkEnd w:id="131"/>
      <w:bookmarkEnd w:id="132"/>
    </w:p>
    <w:p w14:paraId="0D79A907">
      <w:pPr>
        <w:pStyle w:val="187"/>
        <w:spacing w:before="0" w:after="0" w:line="440" w:lineRule="exact"/>
        <w:ind w:firstLine="360"/>
        <w:rPr>
          <w:rFonts w:hint="eastAsia"/>
          <w:b w:val="0"/>
          <w:bCs w:val="0"/>
          <w:color w:val="000000"/>
          <w:sz w:val="24"/>
          <w:szCs w:val="24"/>
          <w:highlight w:val="none"/>
        </w:rPr>
      </w:pPr>
      <w:r>
        <w:rPr>
          <w:rFonts w:hint="eastAsia"/>
          <w:b w:val="0"/>
          <w:bCs w:val="0"/>
          <w:color w:val="000000"/>
          <w:sz w:val="24"/>
          <w:szCs w:val="24"/>
          <w:highlight w:val="none"/>
        </w:rPr>
        <w:t>15、投标有效期</w:t>
      </w:r>
      <w:bookmarkEnd w:id="129"/>
      <w:bookmarkEnd w:id="130"/>
    </w:p>
    <w:p w14:paraId="09EF0832">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招标</w:t>
      </w:r>
      <w:r>
        <w:rPr>
          <w:rFonts w:hint="eastAsia" w:ascii="宋体" w:hAnsi="宋体"/>
          <w:bCs/>
          <w:color w:val="000000"/>
          <w:sz w:val="24"/>
          <w:szCs w:val="24"/>
          <w:highlight w:val="none"/>
        </w:rPr>
        <w:t>人或代理机构规定的开标之日后</w:t>
      </w:r>
      <w:r>
        <w:rPr>
          <w:rFonts w:hint="eastAsia" w:ascii="仿宋_GB2312" w:hAnsi="仿宋_GB2312"/>
          <w:bCs/>
          <w:color w:val="000000"/>
          <w:sz w:val="24"/>
          <w:szCs w:val="24"/>
          <w:highlight w:val="none"/>
        </w:rPr>
        <w:t>六十（60）天</w:t>
      </w:r>
      <w:r>
        <w:rPr>
          <w:rFonts w:hint="eastAsia" w:ascii="宋体" w:hAnsi="宋体"/>
          <w:bCs/>
          <w:color w:val="000000"/>
          <w:sz w:val="24"/>
          <w:szCs w:val="24"/>
          <w:highlight w:val="none"/>
        </w:rPr>
        <w:t>。投标有效期比规定短的将被视为未实质性响应招标</w:t>
      </w:r>
      <w:r>
        <w:rPr>
          <w:rFonts w:ascii="宋体" w:hAnsi="宋体"/>
          <w:bCs/>
          <w:color w:val="000000"/>
          <w:sz w:val="24"/>
          <w:szCs w:val="24"/>
          <w:highlight w:val="none"/>
        </w:rPr>
        <w:t>文件</w:t>
      </w:r>
      <w:r>
        <w:rPr>
          <w:rFonts w:hint="eastAsia" w:ascii="宋体" w:hAnsi="宋体"/>
          <w:bCs/>
          <w:color w:val="000000"/>
          <w:sz w:val="24"/>
          <w:szCs w:val="24"/>
          <w:highlight w:val="none"/>
        </w:rPr>
        <w:t>而予以拒绝。</w:t>
      </w:r>
    </w:p>
    <w:p w14:paraId="639E94BF">
      <w:pPr>
        <w:pStyle w:val="187"/>
        <w:spacing w:before="0" w:after="0" w:line="440" w:lineRule="exact"/>
        <w:ind w:firstLine="360"/>
        <w:rPr>
          <w:rFonts w:hint="eastAsia"/>
          <w:b w:val="0"/>
          <w:bCs w:val="0"/>
          <w:color w:val="000000"/>
          <w:sz w:val="24"/>
          <w:szCs w:val="24"/>
          <w:highlight w:val="none"/>
        </w:rPr>
      </w:pPr>
      <w:r>
        <w:rPr>
          <w:rFonts w:hint="eastAsia"/>
          <w:b w:val="0"/>
          <w:bCs w:val="0"/>
          <w:color w:val="000000"/>
          <w:sz w:val="24"/>
          <w:szCs w:val="24"/>
          <w:highlight w:val="none"/>
        </w:rPr>
        <w:t>16、投标有效期的延长</w:t>
      </w:r>
    </w:p>
    <w:p w14:paraId="452DAFB9">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招标</w:t>
      </w:r>
      <w:r>
        <w:rPr>
          <w:rFonts w:hint="eastAsia" w:ascii="宋体" w:hAnsi="宋体"/>
          <w:color w:val="000000"/>
          <w:sz w:val="24"/>
          <w:szCs w:val="24"/>
          <w:highlight w:val="none"/>
        </w:rPr>
        <w:t>人或代理机构</w:t>
      </w:r>
      <w:r>
        <w:rPr>
          <w:rFonts w:hint="eastAsia" w:ascii="宋体" w:hAnsi="宋体"/>
          <w:bCs/>
          <w:color w:val="000000"/>
          <w:sz w:val="24"/>
          <w:szCs w:val="24"/>
          <w:highlight w:val="none"/>
        </w:rPr>
        <w:t>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w:t>
      </w:r>
      <w:r>
        <w:rPr>
          <w:rFonts w:hint="eastAsia" w:ascii="宋体" w:hAnsi="宋体"/>
          <w:bCs/>
          <w:color w:val="000000"/>
          <w:sz w:val="24"/>
          <w:szCs w:val="24"/>
          <w:highlight w:val="none"/>
        </w:rPr>
        <w:t>同意延长投标有效期的投标人既不能要求也不允许修改其投标文件</w:t>
      </w:r>
      <w:r>
        <w:rPr>
          <w:rFonts w:hint="eastAsia" w:ascii="宋体" w:hAnsi="宋体"/>
          <w:color w:val="000000"/>
          <w:sz w:val="24"/>
          <w:szCs w:val="24"/>
          <w:highlight w:val="none"/>
        </w:rPr>
        <w:t>，同时受投标有效期约束的所有权利与义务均延长至新的有效期</w:t>
      </w:r>
      <w:r>
        <w:rPr>
          <w:rFonts w:hint="eastAsia" w:ascii="宋体" w:hAnsi="宋体"/>
          <w:bCs/>
          <w:color w:val="000000"/>
          <w:sz w:val="24"/>
          <w:szCs w:val="24"/>
          <w:highlight w:val="none"/>
        </w:rPr>
        <w:t>。</w:t>
      </w:r>
    </w:p>
    <w:p w14:paraId="255F09E4">
      <w:pPr>
        <w:pStyle w:val="185"/>
        <w:spacing w:before="120" w:after="120" w:line="440" w:lineRule="exact"/>
        <w:ind w:firstLine="361"/>
        <w:rPr>
          <w:rFonts w:hint="eastAsia"/>
          <w:color w:val="000000"/>
          <w:sz w:val="24"/>
          <w:szCs w:val="24"/>
          <w:highlight w:val="none"/>
        </w:rPr>
      </w:pPr>
      <w:bookmarkStart w:id="133" w:name="_Hlt26954739"/>
      <w:bookmarkEnd w:id="133"/>
      <w:bookmarkStart w:id="134" w:name="_Hlt26954852"/>
      <w:bookmarkEnd w:id="134"/>
      <w:bookmarkStart w:id="135" w:name="_Toc513029224"/>
      <w:bookmarkStart w:id="136" w:name="_Toc20823296"/>
      <w:bookmarkStart w:id="137" w:name="_Toc16938540"/>
      <w:bookmarkStart w:id="138" w:name="_Toc120614217"/>
      <w:r>
        <w:rPr>
          <w:rFonts w:hint="eastAsia"/>
          <w:color w:val="000000"/>
          <w:sz w:val="24"/>
          <w:szCs w:val="24"/>
          <w:highlight w:val="none"/>
        </w:rPr>
        <w:t>四、投标文件的递交</w:t>
      </w:r>
      <w:bookmarkEnd w:id="135"/>
      <w:bookmarkEnd w:id="136"/>
      <w:bookmarkEnd w:id="137"/>
      <w:bookmarkEnd w:id="138"/>
    </w:p>
    <w:p w14:paraId="3A89C014">
      <w:pPr>
        <w:pStyle w:val="187"/>
        <w:spacing w:before="0" w:after="0" w:line="440" w:lineRule="exact"/>
        <w:ind w:firstLine="480"/>
        <w:rPr>
          <w:rFonts w:hint="eastAsia" w:ascii="黑体"/>
          <w:b w:val="0"/>
          <w:bCs w:val="0"/>
          <w:color w:val="000000"/>
          <w:sz w:val="24"/>
          <w:szCs w:val="24"/>
          <w:highlight w:val="none"/>
        </w:rPr>
      </w:pPr>
      <w:bookmarkStart w:id="139" w:name="_Toc20823297"/>
      <w:bookmarkStart w:id="140" w:name="_Toc513029225"/>
      <w:bookmarkStart w:id="141" w:name="_Toc16938541"/>
      <w:bookmarkStart w:id="142" w:name="_Toc462564084"/>
      <w:r>
        <w:rPr>
          <w:rFonts w:hint="eastAsia"/>
          <w:b w:val="0"/>
          <w:bCs w:val="0"/>
          <w:color w:val="000000"/>
          <w:sz w:val="24"/>
          <w:szCs w:val="24"/>
          <w:highlight w:val="none"/>
        </w:rPr>
        <w:t>17、</w:t>
      </w:r>
      <w:r>
        <w:rPr>
          <w:rFonts w:hint="eastAsia" w:ascii="黑体"/>
          <w:b w:val="0"/>
          <w:bCs w:val="0"/>
          <w:color w:val="000000"/>
          <w:sz w:val="24"/>
          <w:szCs w:val="24"/>
          <w:highlight w:val="none"/>
        </w:rPr>
        <w:t>投标文件</w:t>
      </w:r>
      <w:bookmarkEnd w:id="139"/>
      <w:bookmarkEnd w:id="140"/>
      <w:bookmarkEnd w:id="141"/>
      <w:bookmarkEnd w:id="142"/>
      <w:r>
        <w:rPr>
          <w:rFonts w:hint="eastAsia" w:ascii="黑体"/>
          <w:b w:val="0"/>
          <w:bCs w:val="0"/>
          <w:color w:val="000000"/>
          <w:sz w:val="24"/>
          <w:szCs w:val="24"/>
          <w:highlight w:val="none"/>
        </w:rPr>
        <w:t>的递交</w:t>
      </w:r>
    </w:p>
    <w:p w14:paraId="5D5B47DA">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17.1</w:t>
      </w:r>
      <w:r>
        <w:rPr>
          <w:rFonts w:hint="eastAsia" w:ascii="宋体" w:hAnsi="宋体"/>
          <w:bCs/>
          <w:color w:val="000000"/>
          <w:sz w:val="24"/>
          <w:szCs w:val="24"/>
          <w:highlight w:val="none"/>
        </w:rPr>
        <w:t xml:space="preserve"> 电子投标文件的递交</w:t>
      </w:r>
    </w:p>
    <w:p w14:paraId="4A4F3312">
      <w:pPr>
        <w:pStyle w:val="205"/>
        <w:spacing w:line="440" w:lineRule="exact"/>
        <w:ind w:left="525"/>
        <w:rPr>
          <w:rFonts w:hint="eastAsia" w:ascii="宋体" w:hAnsi="宋体"/>
          <w:bCs/>
          <w:color w:val="000000"/>
          <w:sz w:val="24"/>
          <w:szCs w:val="24"/>
          <w:highlight w:val="none"/>
        </w:rPr>
      </w:pPr>
      <w:r>
        <w:rPr>
          <w:rFonts w:hint="eastAsia" w:ascii="宋体" w:hAnsi="宋体"/>
          <w:bCs/>
          <w:color w:val="000000"/>
          <w:sz w:val="24"/>
          <w:szCs w:val="24"/>
          <w:highlight w:val="none"/>
        </w:rPr>
        <w:t>投标人应当按照《操作手册》规定，在投标截止时间前</w:t>
      </w:r>
      <w:r>
        <w:rPr>
          <w:rFonts w:ascii="宋体" w:hAnsi="宋体"/>
          <w:bCs/>
          <w:color w:val="000000"/>
          <w:sz w:val="24"/>
          <w:szCs w:val="24"/>
          <w:highlight w:val="none"/>
        </w:rPr>
        <w:t>制作</w:t>
      </w:r>
      <w:r>
        <w:rPr>
          <w:rFonts w:hint="eastAsia" w:ascii="宋体" w:hAnsi="宋体"/>
          <w:bCs/>
          <w:color w:val="000000"/>
          <w:sz w:val="24"/>
          <w:szCs w:val="24"/>
          <w:highlight w:val="none"/>
        </w:rPr>
        <w:t>并上传电子投</w:t>
      </w:r>
    </w:p>
    <w:p w14:paraId="00F26DF0">
      <w:pPr>
        <w:pStyle w:val="20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标文件。</w:t>
      </w:r>
      <w:bookmarkStart w:id="143" w:name="_Toc20823298"/>
      <w:bookmarkStart w:id="144" w:name="_Toc513029226"/>
      <w:bookmarkStart w:id="145" w:name="_Toc16938542"/>
    </w:p>
    <w:p w14:paraId="08EBED53">
      <w:pPr>
        <w:pStyle w:val="187"/>
        <w:spacing w:before="0" w:after="0" w:line="440" w:lineRule="exact"/>
        <w:ind w:firstLine="360"/>
        <w:rPr>
          <w:rFonts w:hint="eastAsia"/>
          <w:b w:val="0"/>
          <w:color w:val="000000"/>
          <w:sz w:val="24"/>
          <w:szCs w:val="24"/>
          <w:highlight w:val="none"/>
        </w:rPr>
      </w:pPr>
      <w:r>
        <w:rPr>
          <w:rFonts w:hint="eastAsia"/>
          <w:b w:val="0"/>
          <w:color w:val="000000"/>
          <w:sz w:val="24"/>
          <w:szCs w:val="24"/>
          <w:highlight w:val="none"/>
        </w:rPr>
        <w:t>18、投标截止</w:t>
      </w:r>
      <w:bookmarkEnd w:id="143"/>
      <w:bookmarkEnd w:id="144"/>
      <w:bookmarkEnd w:id="145"/>
      <w:r>
        <w:rPr>
          <w:rFonts w:hint="eastAsia"/>
          <w:b w:val="0"/>
          <w:color w:val="000000"/>
          <w:sz w:val="24"/>
          <w:szCs w:val="24"/>
          <w:highlight w:val="none"/>
        </w:rPr>
        <w:t>时间</w:t>
      </w:r>
    </w:p>
    <w:p w14:paraId="6CFE97B0">
      <w:pPr>
        <w:spacing w:line="440" w:lineRule="exact"/>
        <w:ind w:firstLine="480"/>
        <w:rPr>
          <w:rFonts w:hint="eastAsia" w:ascii="宋体" w:hAnsi="宋体"/>
          <w:b/>
          <w:bCs/>
          <w:i/>
          <w:color w:val="000000"/>
          <w:sz w:val="24"/>
          <w:szCs w:val="24"/>
          <w:highlight w:val="none"/>
          <w:u w:val="single"/>
        </w:rPr>
      </w:pPr>
      <w:r>
        <w:rPr>
          <w:rFonts w:hint="eastAsia" w:ascii="宋体" w:hAnsi="宋体"/>
          <w:b/>
          <w:bCs/>
          <w:i/>
          <w:color w:val="000000"/>
          <w:sz w:val="24"/>
          <w:szCs w:val="24"/>
          <w:highlight w:val="none"/>
          <w:u w:val="single"/>
        </w:rPr>
        <w:t>18.1 投标人上传电子投标文件的时间不得迟于招标公告中规定的投标截止时间。</w:t>
      </w:r>
    </w:p>
    <w:p w14:paraId="124C8AD7">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0F028026">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18.2</w:t>
      </w:r>
      <w:r>
        <w:rPr>
          <w:rFonts w:hint="eastAsia" w:ascii="宋体" w:hAnsi="宋体"/>
          <w:bCs/>
          <w:color w:val="000000"/>
          <w:sz w:val="24"/>
          <w:szCs w:val="24"/>
          <w:highlight w:val="none"/>
        </w:rPr>
        <w:t xml:space="preserve"> </w:t>
      </w:r>
      <w:r>
        <w:rPr>
          <w:rFonts w:hint="eastAsia" w:ascii="宋体" w:hAnsi="宋体"/>
          <w:color w:val="000000"/>
          <w:sz w:val="24"/>
          <w:highlight w:val="none"/>
        </w:rPr>
        <w:t>招标</w:t>
      </w:r>
      <w:r>
        <w:rPr>
          <w:rFonts w:hint="eastAsia" w:ascii="宋体" w:hAnsi="宋体"/>
          <w:color w:val="000000"/>
          <w:sz w:val="24"/>
          <w:szCs w:val="24"/>
          <w:highlight w:val="none"/>
        </w:rPr>
        <w:t>人或代理机构</w:t>
      </w:r>
      <w:r>
        <w:rPr>
          <w:rFonts w:hint="eastAsia" w:ascii="宋体" w:hAnsi="宋体"/>
          <w:bCs/>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6AC64B61">
      <w:pPr>
        <w:pStyle w:val="187"/>
        <w:spacing w:before="0" w:after="0" w:line="440" w:lineRule="exact"/>
        <w:ind w:firstLine="360"/>
        <w:rPr>
          <w:rFonts w:hint="eastAsia"/>
          <w:b w:val="0"/>
          <w:bCs w:val="0"/>
          <w:color w:val="000000"/>
          <w:sz w:val="24"/>
          <w:szCs w:val="24"/>
          <w:highlight w:val="none"/>
        </w:rPr>
      </w:pPr>
      <w:bookmarkStart w:id="146" w:name="_Toc20823299"/>
      <w:bookmarkStart w:id="147" w:name="_Toc16938543"/>
      <w:bookmarkStart w:id="148" w:name="_Toc513029227"/>
      <w:r>
        <w:rPr>
          <w:rFonts w:hint="eastAsia"/>
          <w:b w:val="0"/>
          <w:bCs w:val="0"/>
          <w:color w:val="000000"/>
          <w:sz w:val="24"/>
          <w:szCs w:val="24"/>
          <w:highlight w:val="none"/>
        </w:rPr>
        <w:t>19、投标文件</w:t>
      </w:r>
      <w:bookmarkEnd w:id="146"/>
      <w:bookmarkEnd w:id="147"/>
      <w:bookmarkEnd w:id="148"/>
      <w:r>
        <w:rPr>
          <w:rFonts w:hint="eastAsia"/>
          <w:b w:val="0"/>
          <w:bCs w:val="0"/>
          <w:color w:val="000000"/>
          <w:sz w:val="24"/>
          <w:szCs w:val="24"/>
          <w:highlight w:val="none"/>
        </w:rPr>
        <w:t>的拒收</w:t>
      </w:r>
    </w:p>
    <w:p w14:paraId="4C00837D">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19.1</w:t>
      </w:r>
      <w:r>
        <w:rPr>
          <w:rFonts w:hint="eastAsia" w:ascii="宋体" w:hAnsi="宋体"/>
          <w:color w:val="000000"/>
          <w:sz w:val="24"/>
          <w:highlight w:val="none"/>
        </w:rPr>
        <w:t>招标</w:t>
      </w:r>
      <w:r>
        <w:rPr>
          <w:rFonts w:hint="eastAsia" w:ascii="宋体" w:hAnsi="宋体"/>
          <w:color w:val="000000"/>
          <w:sz w:val="24"/>
          <w:szCs w:val="24"/>
          <w:highlight w:val="none"/>
        </w:rPr>
        <w:t>人或代理机构</w:t>
      </w:r>
      <w:r>
        <w:rPr>
          <w:rFonts w:hint="eastAsia" w:ascii="宋体" w:hAnsi="宋体"/>
          <w:bCs/>
          <w:color w:val="000000"/>
          <w:sz w:val="24"/>
          <w:szCs w:val="24"/>
          <w:highlight w:val="none"/>
        </w:rPr>
        <w:t>拒绝接收在其规定的投标截止时间后上传的任何投标文件。</w:t>
      </w:r>
    </w:p>
    <w:p w14:paraId="054BEF4A">
      <w:pPr>
        <w:pStyle w:val="187"/>
        <w:spacing w:before="0" w:after="0" w:line="440" w:lineRule="exact"/>
        <w:ind w:firstLine="360"/>
        <w:rPr>
          <w:rFonts w:hint="eastAsia"/>
          <w:b w:val="0"/>
          <w:bCs w:val="0"/>
          <w:color w:val="000000"/>
          <w:sz w:val="24"/>
          <w:szCs w:val="24"/>
          <w:highlight w:val="none"/>
        </w:rPr>
      </w:pPr>
      <w:bookmarkStart w:id="149" w:name="_Toc513029228"/>
      <w:bookmarkStart w:id="150" w:name="_Toc16938544"/>
      <w:bookmarkStart w:id="151" w:name="_Toc20823300"/>
      <w:r>
        <w:rPr>
          <w:rFonts w:hint="eastAsia"/>
          <w:b w:val="0"/>
          <w:bCs w:val="0"/>
          <w:color w:val="000000"/>
          <w:sz w:val="24"/>
          <w:szCs w:val="24"/>
          <w:highlight w:val="none"/>
        </w:rPr>
        <w:t>20、投标文件的撤回和修改</w:t>
      </w:r>
      <w:bookmarkEnd w:id="149"/>
      <w:bookmarkEnd w:id="150"/>
      <w:bookmarkEnd w:id="151"/>
    </w:p>
    <w:p w14:paraId="4F12D12B">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20.1 投标文件的撤回</w:t>
      </w:r>
    </w:p>
    <w:p w14:paraId="292F4D96">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21.1.1 电子投标文件的撤回</w:t>
      </w:r>
    </w:p>
    <w:p w14:paraId="39BCCD7F">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投标人可在投标截止时间前，撤回其电子投标文件，具体操作方法见《操作手册》。</w:t>
      </w:r>
    </w:p>
    <w:p w14:paraId="61ECADCE">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21.1.</w:t>
      </w:r>
      <w:r>
        <w:rPr>
          <w:rFonts w:ascii="宋体" w:hAnsi="宋体"/>
          <w:color w:val="000000"/>
          <w:sz w:val="24"/>
          <w:szCs w:val="24"/>
          <w:highlight w:val="none"/>
        </w:rPr>
        <w:t>2</w:t>
      </w:r>
      <w:r>
        <w:rPr>
          <w:rFonts w:hint="eastAsia" w:ascii="宋体" w:hAnsi="宋体"/>
          <w:color w:val="000000"/>
          <w:sz w:val="24"/>
          <w:szCs w:val="24"/>
          <w:highlight w:val="none"/>
        </w:rPr>
        <w:t xml:space="preserve"> 投标人撤回电子投标文件，则认为其不再参与本项目投标活动。</w:t>
      </w:r>
    </w:p>
    <w:p w14:paraId="7209456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20.2 投标文件的修改</w:t>
      </w:r>
    </w:p>
    <w:p w14:paraId="29A60750">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20.2.1投标人可在投标截止时间前，对其电子投标文件进行修改，具体操作方法见《操作手册》。</w:t>
      </w:r>
    </w:p>
    <w:p w14:paraId="5B63F31C">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20.2.2</w:t>
      </w:r>
      <w:r>
        <w:rPr>
          <w:rFonts w:hint="eastAsia" w:ascii="宋体" w:hAnsi="宋体"/>
          <w:bCs/>
          <w:color w:val="000000"/>
          <w:sz w:val="24"/>
          <w:szCs w:val="24"/>
          <w:highlight w:val="none"/>
        </w:rPr>
        <w:t xml:space="preserve"> 在投标截止时间之后，投标人不得对其电子投标文件作任何修改。</w:t>
      </w:r>
    </w:p>
    <w:p w14:paraId="6744461E">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p>
    <w:p w14:paraId="0F45EEC1">
      <w:pPr>
        <w:pStyle w:val="185"/>
        <w:spacing w:before="120" w:after="120" w:line="440" w:lineRule="exact"/>
        <w:ind w:firstLine="361"/>
        <w:rPr>
          <w:rFonts w:hint="eastAsia"/>
          <w:color w:val="000000"/>
          <w:sz w:val="24"/>
          <w:szCs w:val="24"/>
          <w:highlight w:val="none"/>
        </w:rPr>
      </w:pPr>
      <w:bookmarkStart w:id="152" w:name="_Toc513029229"/>
      <w:bookmarkStart w:id="153" w:name="_Toc20823301"/>
      <w:bookmarkStart w:id="154" w:name="_Toc120614218"/>
      <w:bookmarkStart w:id="155" w:name="_Toc16938545"/>
      <w:r>
        <w:rPr>
          <w:rFonts w:hint="eastAsia"/>
          <w:color w:val="000000"/>
          <w:sz w:val="24"/>
          <w:szCs w:val="24"/>
          <w:highlight w:val="none"/>
        </w:rPr>
        <w:t>五、开标与评标</w:t>
      </w:r>
      <w:bookmarkEnd w:id="152"/>
      <w:bookmarkEnd w:id="153"/>
      <w:bookmarkEnd w:id="154"/>
      <w:bookmarkEnd w:id="155"/>
    </w:p>
    <w:p w14:paraId="67F59011">
      <w:pPr>
        <w:pStyle w:val="187"/>
        <w:spacing w:before="0" w:after="0" w:line="440" w:lineRule="exact"/>
        <w:ind w:firstLine="360"/>
        <w:rPr>
          <w:rFonts w:hint="eastAsia"/>
          <w:b w:val="0"/>
          <w:bCs w:val="0"/>
          <w:color w:val="000000"/>
          <w:sz w:val="24"/>
          <w:szCs w:val="24"/>
          <w:highlight w:val="none"/>
        </w:rPr>
      </w:pPr>
      <w:bookmarkStart w:id="156" w:name="_Toc16938546"/>
      <w:bookmarkStart w:id="157" w:name="_Toc513029230"/>
      <w:bookmarkStart w:id="158" w:name="_Toc20823302"/>
      <w:r>
        <w:rPr>
          <w:rFonts w:hint="eastAsia"/>
          <w:b w:val="0"/>
          <w:bCs w:val="0"/>
          <w:color w:val="000000"/>
          <w:sz w:val="24"/>
          <w:szCs w:val="24"/>
          <w:highlight w:val="none"/>
        </w:rPr>
        <w:t>21、开标</w:t>
      </w:r>
      <w:bookmarkEnd w:id="156"/>
      <w:bookmarkEnd w:id="157"/>
      <w:bookmarkEnd w:id="158"/>
    </w:p>
    <w:p w14:paraId="6C7AF4D8">
      <w:pPr>
        <w:spacing w:line="440" w:lineRule="exact"/>
        <w:ind w:firstLine="360"/>
        <w:rPr>
          <w:rFonts w:hint="eastAsia"/>
          <w:color w:val="000000"/>
          <w:sz w:val="24"/>
          <w:szCs w:val="24"/>
          <w:highlight w:val="none"/>
        </w:rPr>
      </w:pPr>
      <w:r>
        <w:rPr>
          <w:rFonts w:hint="eastAsia" w:ascii="宋体" w:hAnsi="宋体"/>
          <w:color w:val="000000"/>
          <w:sz w:val="24"/>
          <w:szCs w:val="24"/>
          <w:highlight w:val="none"/>
        </w:rPr>
        <w:t>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代理机构</w:t>
      </w:r>
      <w:r>
        <w:rPr>
          <w:rFonts w:hint="eastAsia" w:ascii="宋体" w:hAnsi="宋体"/>
          <w:bCs/>
          <w:color w:val="000000"/>
          <w:sz w:val="24"/>
          <w:szCs w:val="24"/>
          <w:highlight w:val="none"/>
        </w:rPr>
        <w:t>将在招标公告中规定的时间和地点组织公开开标</w:t>
      </w:r>
      <w:r>
        <w:rPr>
          <w:rFonts w:hint="eastAsia" w:ascii="宋体" w:hAnsi="宋体"/>
          <w:color w:val="000000"/>
          <w:sz w:val="24"/>
          <w:szCs w:val="24"/>
          <w:highlight w:val="none"/>
        </w:rPr>
        <w:t>。投标人应当按照《操作手册》规定，</w:t>
      </w:r>
      <w:r>
        <w:rPr>
          <w:rFonts w:ascii="宋体" w:hAnsi="宋体"/>
          <w:color w:val="000000"/>
          <w:sz w:val="24"/>
          <w:szCs w:val="24"/>
          <w:highlight w:val="none"/>
        </w:rPr>
        <w:t>参加开标活动</w:t>
      </w:r>
      <w:r>
        <w:rPr>
          <w:rFonts w:hint="eastAsia" w:ascii="宋体" w:hAnsi="宋体"/>
          <w:color w:val="000000"/>
          <w:sz w:val="24"/>
          <w:szCs w:val="24"/>
          <w:highlight w:val="none"/>
        </w:rPr>
        <w:t>和在苏采云系统规定的时间内对投标文件进行解密。</w:t>
      </w:r>
    </w:p>
    <w:p w14:paraId="600A511A">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21.2</w:t>
      </w:r>
      <w:r>
        <w:rPr>
          <w:rFonts w:hint="eastAsia" w:ascii="宋体" w:hAnsi="宋体"/>
          <w:color w:val="000000"/>
          <w:sz w:val="24"/>
          <w:szCs w:val="24"/>
          <w:highlight w:val="none"/>
        </w:rPr>
        <w:t>开标仪式由代理机构组织。苏采云系统将自动对</w:t>
      </w:r>
      <w:r>
        <w:rPr>
          <w:rFonts w:ascii="宋体" w:hAnsi="宋体"/>
          <w:color w:val="000000"/>
          <w:sz w:val="24"/>
          <w:szCs w:val="24"/>
          <w:highlight w:val="none"/>
        </w:rPr>
        <w:t>项目进行开标，并</w:t>
      </w:r>
      <w:r>
        <w:rPr>
          <w:rFonts w:hint="eastAsia" w:ascii="宋体" w:hAnsi="宋体"/>
          <w:color w:val="000000"/>
          <w:sz w:val="24"/>
          <w:szCs w:val="24"/>
          <w:highlight w:val="none"/>
        </w:rPr>
        <w:t>宣布各</w:t>
      </w:r>
      <w:r>
        <w:rPr>
          <w:rFonts w:ascii="宋体" w:hAnsi="宋体"/>
          <w:color w:val="000000"/>
          <w:sz w:val="24"/>
          <w:szCs w:val="24"/>
          <w:highlight w:val="none"/>
        </w:rPr>
        <w:t>投标人</w:t>
      </w:r>
      <w:r>
        <w:rPr>
          <w:rFonts w:hint="eastAsia" w:ascii="宋体" w:hAnsi="宋体"/>
          <w:color w:val="000000"/>
          <w:sz w:val="24"/>
          <w:szCs w:val="24"/>
          <w:highlight w:val="none"/>
        </w:rPr>
        <w:t>名称和投标价格。</w:t>
      </w:r>
    </w:p>
    <w:p w14:paraId="18FCDE98">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21.3投标人在开标过程中涉及到的投标文件解密、开标结果确认等工作，应按照《操作手册》规定执行。</w:t>
      </w:r>
    </w:p>
    <w:p w14:paraId="0F48727C">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21.4投标人如果对开标过程和开标记录有疑义，应当根据《操作手册》规定提出，如苏采云系统中《开标记录表》宣布后5分钟内未提出的，视同认可开标结果。</w:t>
      </w:r>
    </w:p>
    <w:p w14:paraId="5DD2FA16">
      <w:pPr>
        <w:pStyle w:val="187"/>
        <w:spacing w:before="0" w:after="0" w:line="440" w:lineRule="exact"/>
        <w:ind w:firstLine="360"/>
        <w:rPr>
          <w:rFonts w:hint="eastAsia"/>
          <w:b w:val="0"/>
          <w:bCs w:val="0"/>
          <w:color w:val="000000"/>
          <w:sz w:val="24"/>
          <w:szCs w:val="24"/>
          <w:highlight w:val="none"/>
        </w:rPr>
      </w:pPr>
      <w:bookmarkStart w:id="159" w:name="_Toc513029231"/>
      <w:bookmarkStart w:id="160" w:name="_Toc20823303"/>
      <w:bookmarkStart w:id="161" w:name="_Toc16938547"/>
      <w:r>
        <w:rPr>
          <w:rFonts w:hint="eastAsia"/>
          <w:b w:val="0"/>
          <w:bCs w:val="0"/>
          <w:color w:val="000000"/>
          <w:sz w:val="24"/>
          <w:szCs w:val="24"/>
          <w:highlight w:val="none"/>
        </w:rPr>
        <w:t>22、评标委员会</w:t>
      </w:r>
    </w:p>
    <w:p w14:paraId="350236BF">
      <w:pPr>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开标后，代理机构将立即组织评标委员会（以下简称评委会）进行评标。</w:t>
      </w:r>
    </w:p>
    <w:p w14:paraId="4162F688">
      <w:pPr>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招标</w:t>
      </w:r>
      <w:r>
        <w:rPr>
          <w:rFonts w:hint="eastAsia" w:ascii="宋体" w:hAnsi="宋体"/>
          <w:color w:val="000000"/>
          <w:sz w:val="24"/>
          <w:szCs w:val="24"/>
          <w:highlight w:val="none"/>
        </w:rPr>
        <w:t>人代表和有关技术、经济等方面的专家组成，且人员构成符合政府有关规定。</w:t>
      </w:r>
    </w:p>
    <w:p w14:paraId="40B37341">
      <w:pPr>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p>
    <w:p w14:paraId="16062415">
      <w:pPr>
        <w:pStyle w:val="187"/>
        <w:spacing w:before="0" w:after="0" w:line="440" w:lineRule="exact"/>
        <w:ind w:firstLine="360"/>
        <w:rPr>
          <w:rFonts w:hint="eastAsia" w:ascii="黑体"/>
          <w:b w:val="0"/>
          <w:bCs w:val="0"/>
          <w:color w:val="000000"/>
          <w:sz w:val="24"/>
          <w:szCs w:val="24"/>
          <w:highlight w:val="none"/>
        </w:rPr>
      </w:pPr>
      <w:r>
        <w:rPr>
          <w:rFonts w:hint="eastAsia" w:ascii="黑体"/>
          <w:b w:val="0"/>
          <w:bCs w:val="0"/>
          <w:color w:val="000000"/>
          <w:sz w:val="24"/>
          <w:szCs w:val="24"/>
          <w:highlight w:val="none"/>
        </w:rPr>
        <w:t>23、评标过程的保密与公正</w:t>
      </w:r>
    </w:p>
    <w:bookmarkEnd w:id="159"/>
    <w:bookmarkEnd w:id="160"/>
    <w:bookmarkEnd w:id="161"/>
    <w:p w14:paraId="09C38223">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23.1</w:t>
      </w:r>
      <w:r>
        <w:rPr>
          <w:rFonts w:hint="eastAsia" w:ascii="宋体" w:hAnsi="宋体"/>
          <w:bCs/>
          <w:color w:val="000000"/>
          <w:sz w:val="24"/>
          <w:szCs w:val="24"/>
          <w:highlight w:val="none"/>
        </w:rPr>
        <w:t>凡是与审查、澄清、评价和比较投标的有关资料以及授标建议等，</w:t>
      </w:r>
      <w:r>
        <w:rPr>
          <w:rFonts w:hint="eastAsia" w:ascii="宋体" w:hAnsi="宋体"/>
          <w:color w:val="000000"/>
          <w:sz w:val="24"/>
          <w:highlight w:val="none"/>
        </w:rPr>
        <w:t>招标</w:t>
      </w:r>
      <w:r>
        <w:rPr>
          <w:rFonts w:hint="eastAsia" w:ascii="宋体" w:hAnsi="宋体"/>
          <w:bCs/>
          <w:color w:val="000000"/>
          <w:sz w:val="24"/>
          <w:szCs w:val="24"/>
          <w:highlight w:val="none"/>
        </w:rPr>
        <w:t>人、评委、</w:t>
      </w:r>
      <w:r>
        <w:rPr>
          <w:rFonts w:hint="eastAsia" w:ascii="宋体" w:hAnsi="宋体"/>
          <w:color w:val="000000"/>
          <w:sz w:val="24"/>
          <w:szCs w:val="24"/>
          <w:highlight w:val="none"/>
        </w:rPr>
        <w:t>代理机构</w:t>
      </w:r>
      <w:r>
        <w:rPr>
          <w:rFonts w:hint="eastAsia" w:ascii="宋体" w:hAnsi="宋体"/>
          <w:bCs/>
          <w:color w:val="000000"/>
          <w:sz w:val="24"/>
          <w:szCs w:val="24"/>
          <w:highlight w:val="none"/>
        </w:rPr>
        <w:t>均不得向投标人或与评标无关的其他人员透露。</w:t>
      </w:r>
    </w:p>
    <w:p w14:paraId="0BCEE171">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23.2在评标过程中，投标人不得以任何行为影响评标过程，否则其投标文件将被作为无效投标文件。</w:t>
      </w:r>
    </w:p>
    <w:p w14:paraId="48AAB71A">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23.</w:t>
      </w:r>
      <w:r>
        <w:rPr>
          <w:rFonts w:ascii="宋体" w:hAnsi="宋体"/>
          <w:color w:val="000000"/>
          <w:sz w:val="24"/>
          <w:szCs w:val="24"/>
          <w:highlight w:val="none"/>
        </w:rPr>
        <w:t>3</w:t>
      </w:r>
      <w:r>
        <w:rPr>
          <w:rFonts w:hint="eastAsia" w:ascii="宋体" w:hAnsi="宋体"/>
          <w:color w:val="000000"/>
          <w:sz w:val="24"/>
          <w:szCs w:val="24"/>
          <w:highlight w:val="none"/>
        </w:rPr>
        <w:t xml:space="preserve"> 代理机构和评标委员会不向未中标的投标人解释未中标原因，也不公布评标过程中的相关细节。</w:t>
      </w:r>
    </w:p>
    <w:p w14:paraId="45EF1944">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23.4 采用综合评分法的项目，未中标的投标人可于中标结果公告期限届满之日起通过苏采云系统查看自己的评审得分及排序情况。</w:t>
      </w:r>
    </w:p>
    <w:p w14:paraId="364DF8C5">
      <w:pPr>
        <w:pStyle w:val="187"/>
        <w:spacing w:before="0" w:after="0" w:line="440" w:lineRule="exact"/>
        <w:ind w:firstLine="360"/>
        <w:rPr>
          <w:rFonts w:hint="eastAsia"/>
          <w:b w:val="0"/>
          <w:bCs w:val="0"/>
          <w:color w:val="000000"/>
          <w:sz w:val="24"/>
          <w:szCs w:val="24"/>
          <w:highlight w:val="none"/>
        </w:rPr>
      </w:pPr>
      <w:bookmarkStart w:id="162" w:name="_Toc20823304"/>
      <w:bookmarkStart w:id="163" w:name="_Toc513029232"/>
      <w:bookmarkStart w:id="164" w:name="_Toc16938548"/>
      <w:r>
        <w:rPr>
          <w:rFonts w:hint="eastAsia"/>
          <w:b w:val="0"/>
          <w:bCs w:val="0"/>
          <w:color w:val="000000"/>
          <w:sz w:val="24"/>
          <w:szCs w:val="24"/>
          <w:highlight w:val="none"/>
        </w:rPr>
        <w:t>24、投标文件的澄清</w:t>
      </w:r>
      <w:bookmarkEnd w:id="162"/>
      <w:bookmarkEnd w:id="163"/>
      <w:bookmarkEnd w:id="164"/>
    </w:p>
    <w:p w14:paraId="10498EAE">
      <w:pPr>
        <w:spacing w:line="440" w:lineRule="exact"/>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4.</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，有权要求投标人作出必要的澄清、说明或者补正。</w:t>
      </w:r>
    </w:p>
    <w:p w14:paraId="2835074E">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6289E045">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评标</w:t>
      </w:r>
      <w:r>
        <w:rPr>
          <w:rFonts w:ascii="宋体" w:hAnsi="宋体"/>
          <w:color w:val="000000"/>
          <w:sz w:val="24"/>
          <w:szCs w:val="24"/>
          <w:highlight w:val="none"/>
        </w:rPr>
        <w:t>委员会并非对每个投标人都做澄清要求</w:t>
      </w:r>
      <w:r>
        <w:rPr>
          <w:rFonts w:hint="eastAsia" w:ascii="宋体" w:hAnsi="宋体"/>
          <w:color w:val="000000"/>
          <w:sz w:val="24"/>
          <w:szCs w:val="24"/>
          <w:highlight w:val="none"/>
        </w:rPr>
        <w:t>。</w:t>
      </w:r>
    </w:p>
    <w:p w14:paraId="5D16F1FF">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3B663048">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p>
    <w:p w14:paraId="64225D86">
      <w:pPr>
        <w:pStyle w:val="187"/>
        <w:spacing w:before="0" w:after="0" w:line="440" w:lineRule="exact"/>
        <w:ind w:firstLine="360"/>
        <w:rPr>
          <w:rFonts w:hint="eastAsia"/>
          <w:b w:val="0"/>
          <w:bCs w:val="0"/>
          <w:color w:val="000000"/>
          <w:sz w:val="24"/>
          <w:szCs w:val="24"/>
          <w:highlight w:val="none"/>
        </w:rPr>
      </w:pPr>
      <w:bookmarkStart w:id="165" w:name="_Toc16938549"/>
      <w:bookmarkStart w:id="166" w:name="_Toc513029233"/>
      <w:bookmarkStart w:id="167" w:name="_Toc20823305"/>
      <w:r>
        <w:rPr>
          <w:rFonts w:hint="eastAsia"/>
          <w:b w:val="0"/>
          <w:bCs w:val="0"/>
          <w:color w:val="000000"/>
          <w:sz w:val="24"/>
          <w:szCs w:val="24"/>
          <w:highlight w:val="none"/>
        </w:rPr>
        <w:t>25、对投标文件的初审</w:t>
      </w:r>
      <w:bookmarkEnd w:id="165"/>
      <w:bookmarkEnd w:id="166"/>
      <w:bookmarkEnd w:id="167"/>
    </w:p>
    <w:p w14:paraId="39FFEFFE">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25.1</w:t>
      </w:r>
      <w:r>
        <w:rPr>
          <w:rFonts w:hint="eastAsia" w:ascii="宋体" w:hAnsi="宋体"/>
          <w:bCs/>
          <w:color w:val="000000"/>
          <w:sz w:val="24"/>
          <w:szCs w:val="24"/>
          <w:highlight w:val="none"/>
        </w:rPr>
        <w:t>投标文件初审分为资格审查和符合性审查。</w:t>
      </w:r>
    </w:p>
    <w:p w14:paraId="0953FB98">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25.1.1 资格审查：依据法律法规和招标文件的规定，由</w:t>
      </w:r>
      <w:r>
        <w:rPr>
          <w:rFonts w:hint="eastAsia" w:ascii="宋体" w:hAnsi="宋体"/>
          <w:color w:val="000000"/>
          <w:sz w:val="24"/>
          <w:highlight w:val="none"/>
        </w:rPr>
        <w:t>招标</w:t>
      </w:r>
      <w:r>
        <w:rPr>
          <w:rFonts w:hint="eastAsia" w:ascii="宋体" w:hAnsi="宋体"/>
          <w:bCs/>
          <w:color w:val="000000"/>
          <w:sz w:val="24"/>
          <w:szCs w:val="24"/>
          <w:highlight w:val="none"/>
        </w:rPr>
        <w:t>人对投标文件中的资格证明文件进行审查。资格审查的结论，</w:t>
      </w:r>
      <w:r>
        <w:rPr>
          <w:rFonts w:hint="eastAsia" w:ascii="宋体" w:hAnsi="宋体"/>
          <w:color w:val="000000"/>
          <w:sz w:val="24"/>
          <w:highlight w:val="none"/>
        </w:rPr>
        <w:t>招标</w:t>
      </w:r>
      <w:r>
        <w:rPr>
          <w:rFonts w:hint="eastAsia" w:ascii="宋体" w:hAnsi="宋体"/>
          <w:bCs/>
          <w:color w:val="000000"/>
          <w:sz w:val="24"/>
          <w:szCs w:val="24"/>
          <w:highlight w:val="none"/>
        </w:rPr>
        <w:t>人以书面形式向评委会进行反馈。</w:t>
      </w:r>
    </w:p>
    <w:p w14:paraId="07DF67C4">
      <w:pPr>
        <w:spacing w:line="440" w:lineRule="exact"/>
        <w:ind w:firstLine="480"/>
        <w:rPr>
          <w:rFonts w:hint="eastAsia" w:ascii="宋体" w:hAnsi="宋体"/>
          <w:bCs/>
          <w:color w:val="000000"/>
          <w:sz w:val="24"/>
          <w:szCs w:val="24"/>
          <w:highlight w:val="none"/>
        </w:rPr>
      </w:pPr>
      <w:r>
        <w:rPr>
          <w:rFonts w:hint="eastAsia" w:ascii="宋体" w:hAnsi="宋体"/>
          <w:color w:val="000000"/>
          <w:sz w:val="24"/>
          <w:highlight w:val="none"/>
        </w:rPr>
        <w:t>招标</w:t>
      </w:r>
      <w:r>
        <w:rPr>
          <w:rFonts w:hint="eastAsia" w:ascii="宋体" w:hAnsi="宋体"/>
          <w:bCs/>
          <w:color w:val="000000"/>
          <w:sz w:val="24"/>
          <w:szCs w:val="24"/>
          <w:highlight w:val="none"/>
        </w:rPr>
        <w:t>人在进行资格性审查的同时，将在“信用中国”网站（www.creditchina.gov.cn）查询投标人的信用记录，以确定投标人是否具备投标资格,查询结果留存并归档。</w:t>
      </w:r>
    </w:p>
    <w:p w14:paraId="6E5F6543">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接受联合体的项目，两个以上的自然人、法人或者其他组织组成一个联合体，以一个</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的身份共同参加政府活动的,联合体成员存在不良信用记录的，视同联合体存在不良应用记录。</w:t>
      </w:r>
    </w:p>
    <w:p w14:paraId="65E13385">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25.1.2 符合性审查：依据招标文件的规定，由评委会从投标文件的有效性、完整性和对招标文件的响应程度进行审查，以确定是否对招标文件的实质性要求作出响应。</w:t>
      </w:r>
    </w:p>
    <w:p w14:paraId="5A890DC0">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25.</w:t>
      </w:r>
      <w:r>
        <w:rPr>
          <w:rFonts w:ascii="宋体" w:hAnsi="宋体"/>
          <w:bCs/>
          <w:color w:val="000000"/>
          <w:sz w:val="24"/>
          <w:szCs w:val="24"/>
          <w:highlight w:val="none"/>
        </w:rPr>
        <w:t>1.</w:t>
      </w:r>
      <w:r>
        <w:rPr>
          <w:rFonts w:hint="eastAsia" w:ascii="宋体" w:hAnsi="宋体"/>
          <w:bCs/>
          <w:color w:val="000000"/>
          <w:sz w:val="24"/>
          <w:szCs w:val="24"/>
          <w:highlight w:val="none"/>
        </w:rPr>
        <w:t>3 未通过资格审查或符合性审查的投标人，代理机构将在</w:t>
      </w:r>
      <w:r>
        <w:rPr>
          <w:rFonts w:hint="eastAsia" w:ascii="宋体" w:hAnsi="宋体"/>
          <w:color w:val="000000"/>
          <w:sz w:val="24"/>
          <w:szCs w:val="24"/>
          <w:highlight w:val="none"/>
        </w:rPr>
        <w:t>苏采云系统</w:t>
      </w:r>
      <w:r>
        <w:rPr>
          <w:rFonts w:hint="eastAsia" w:ascii="宋体" w:hAnsi="宋体"/>
          <w:bCs/>
          <w:color w:val="000000"/>
          <w:sz w:val="24"/>
          <w:szCs w:val="24"/>
          <w:highlight w:val="none"/>
        </w:rPr>
        <w:t>中告知未通过资格审查或符合性审查的原因，</w:t>
      </w:r>
      <w:r>
        <w:rPr>
          <w:rFonts w:ascii="宋体" w:hAnsi="宋体"/>
          <w:bCs/>
          <w:color w:val="000000"/>
          <w:sz w:val="24"/>
          <w:szCs w:val="24"/>
          <w:highlight w:val="none"/>
        </w:rPr>
        <w:t>评标结束后，</w:t>
      </w:r>
      <w:r>
        <w:rPr>
          <w:rFonts w:hint="eastAsia" w:ascii="宋体" w:hAnsi="宋体"/>
          <w:bCs/>
          <w:color w:val="000000"/>
          <w:sz w:val="24"/>
          <w:szCs w:val="24"/>
          <w:highlight w:val="none"/>
        </w:rPr>
        <w:t>代理机构</w:t>
      </w:r>
      <w:r>
        <w:rPr>
          <w:rFonts w:ascii="宋体" w:hAnsi="宋体"/>
          <w:bCs/>
          <w:color w:val="000000"/>
          <w:sz w:val="24"/>
          <w:szCs w:val="24"/>
          <w:highlight w:val="none"/>
        </w:rPr>
        <w:t>将不再告知未通过资格审查和</w:t>
      </w:r>
      <w:r>
        <w:rPr>
          <w:rFonts w:hint="eastAsia" w:ascii="宋体" w:hAnsi="宋体"/>
          <w:bCs/>
          <w:color w:val="000000"/>
          <w:sz w:val="24"/>
          <w:szCs w:val="24"/>
          <w:highlight w:val="none"/>
        </w:rPr>
        <w:t>符合性</w:t>
      </w:r>
      <w:r>
        <w:rPr>
          <w:rFonts w:ascii="宋体" w:hAnsi="宋体"/>
          <w:bCs/>
          <w:color w:val="000000"/>
          <w:sz w:val="24"/>
          <w:szCs w:val="24"/>
          <w:highlight w:val="none"/>
        </w:rPr>
        <w:t>审查的原因。</w:t>
      </w:r>
    </w:p>
    <w:p w14:paraId="5C5568CA">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5</w:t>
      </w:r>
      <w:r>
        <w:rPr>
          <w:rFonts w:hint="eastAsia" w:ascii="宋体" w:hAnsi="宋体"/>
          <w:color w:val="000000"/>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6644082">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DD79C70">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5</w:t>
      </w:r>
      <w:r>
        <w:rPr>
          <w:rFonts w:hint="eastAsia" w:ascii="宋体" w:hAnsi="宋体"/>
          <w:color w:val="000000"/>
          <w:sz w:val="24"/>
          <w:szCs w:val="24"/>
          <w:highlight w:val="none"/>
        </w:rPr>
        <w:t>.3如果投标文件实质上没有响应招标文件的要求，评委会将予以拒绝，投标人不得通过修改或撤销不合要求的偏离或保留而使其投标成为实质性响应的投标。</w:t>
      </w:r>
    </w:p>
    <w:p w14:paraId="3936DB7B">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25.</w:t>
      </w:r>
      <w:r>
        <w:rPr>
          <w:rFonts w:ascii="宋体" w:hAnsi="宋体"/>
          <w:color w:val="000000"/>
          <w:sz w:val="24"/>
          <w:szCs w:val="24"/>
          <w:highlight w:val="none"/>
        </w:rPr>
        <w:t>4</w:t>
      </w:r>
      <w:r>
        <w:rPr>
          <w:rFonts w:hint="eastAsia" w:ascii="宋体" w:hAnsi="宋体"/>
          <w:bCs/>
          <w:color w:val="000000"/>
          <w:sz w:val="24"/>
          <w:szCs w:val="24"/>
          <w:highlight w:val="none"/>
        </w:rPr>
        <w:t>评委会将对确定为实质性响应的投标进行进一步审核，确定其是否有计算上或累加上的算术错误，修正错误的原则如下：</w:t>
      </w:r>
    </w:p>
    <w:p w14:paraId="66AC491F">
      <w:pPr>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（1）投标文件中开标一览表内容与投标文件中相应内容不一致的，以开标一览表为准。</w:t>
      </w:r>
    </w:p>
    <w:p w14:paraId="7713F0FD">
      <w:pPr>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（2）大写金额和小写金额不一致的，以大写金额为准。</w:t>
      </w:r>
    </w:p>
    <w:p w14:paraId="01DC148D">
      <w:pPr>
        <w:spacing w:line="44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（3）单价金额小数点或者百分比有明显错位的，以开标一览表的总价为准，并修改单价。</w:t>
      </w:r>
    </w:p>
    <w:p w14:paraId="1B1FCAE6">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（4）总价金额与按单价汇总金额不一致的，以单价金额计算结果为准。</w:t>
      </w:r>
    </w:p>
    <w:p w14:paraId="15B6A54C">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同时出现两种以上错误的，按照前款规定的顺序修正。</w:t>
      </w:r>
    </w:p>
    <w:p w14:paraId="50EA2FDC">
      <w:pPr>
        <w:spacing w:line="440" w:lineRule="exact"/>
        <w:ind w:firstLine="480"/>
        <w:rPr>
          <w:rFonts w:ascii="宋体" w:hAnsi="宋体"/>
          <w:bCs/>
          <w:color w:val="000000"/>
          <w:sz w:val="24"/>
          <w:szCs w:val="24"/>
          <w:highlight w:val="none"/>
        </w:rPr>
      </w:pPr>
      <w:r>
        <w:rPr>
          <w:rFonts w:hint="eastAsia" w:ascii="宋体" w:hAnsi="宋体"/>
          <w:color w:val="000000"/>
          <w:sz w:val="24"/>
          <w:szCs w:val="24"/>
          <w:highlight w:val="none"/>
        </w:rPr>
        <w:t>25.</w:t>
      </w:r>
      <w:r>
        <w:rPr>
          <w:rFonts w:ascii="宋体" w:hAnsi="宋体"/>
          <w:color w:val="000000"/>
          <w:sz w:val="24"/>
          <w:szCs w:val="24"/>
          <w:highlight w:val="none"/>
        </w:rPr>
        <w:t>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评委会将按上述修正错误的方法调整投标文件中的投标报价，并</w:t>
      </w:r>
      <w:r>
        <w:rPr>
          <w:rFonts w:ascii="宋体" w:hAnsi="宋体"/>
          <w:bCs/>
          <w:color w:val="000000"/>
          <w:sz w:val="24"/>
          <w:szCs w:val="24"/>
          <w:highlight w:val="none"/>
        </w:rPr>
        <w:t>通过</w:t>
      </w:r>
      <w:r>
        <w:rPr>
          <w:rFonts w:hint="eastAsia" w:ascii="宋体" w:hAnsi="宋体"/>
          <w:color w:val="000000"/>
          <w:sz w:val="24"/>
          <w:szCs w:val="24"/>
          <w:highlight w:val="none"/>
        </w:rPr>
        <w:t>苏采云系统</w:t>
      </w:r>
      <w:r>
        <w:rPr>
          <w:rFonts w:hint="eastAsia" w:ascii="宋体" w:hAnsi="宋体"/>
          <w:bCs/>
          <w:color w:val="000000"/>
          <w:sz w:val="24"/>
          <w:szCs w:val="24"/>
          <w:highlight w:val="none"/>
        </w:rPr>
        <w:t>告知</w:t>
      </w:r>
      <w:r>
        <w:rPr>
          <w:rFonts w:ascii="宋体" w:hAnsi="宋体"/>
          <w:bCs/>
          <w:color w:val="000000"/>
          <w:sz w:val="24"/>
          <w:szCs w:val="24"/>
          <w:highlight w:val="none"/>
        </w:rPr>
        <w:t>投标人，</w:t>
      </w:r>
      <w:r>
        <w:rPr>
          <w:rFonts w:hint="eastAsia" w:ascii="宋体" w:hAnsi="宋体"/>
          <w:bCs/>
          <w:color w:val="000000"/>
          <w:sz w:val="24"/>
          <w:szCs w:val="24"/>
          <w:highlight w:val="none"/>
        </w:rPr>
        <w:t>调整后的价格应对投标人具有约束力。如果投标人不接受修正后的价格，则其投标将被拒绝。</w:t>
      </w:r>
    </w:p>
    <w:p w14:paraId="535D21CB">
      <w:pPr>
        <w:spacing w:line="440" w:lineRule="exact"/>
        <w:ind w:firstLine="420"/>
        <w:rPr>
          <w:rFonts w:hint="eastAsia" w:ascii="宋体" w:hAnsi="宋体"/>
          <w:b/>
          <w:bCs/>
          <w:color w:val="000000"/>
          <w:sz w:val="24"/>
          <w:szCs w:val="24"/>
          <w:highlight w:val="none"/>
        </w:rPr>
      </w:pPr>
      <w:bookmarkStart w:id="168" w:name="_Toc16938550"/>
      <w:bookmarkStart w:id="169" w:name="_Toc20823306"/>
      <w:bookmarkStart w:id="170" w:name="_Toc513029234"/>
      <w:r>
        <w:rPr>
          <w:rFonts w:hint="eastAsia" w:ascii="宋体" w:hAnsi="宋体"/>
          <w:b/>
          <w:bCs/>
          <w:color w:val="000000"/>
          <w:sz w:val="24"/>
          <w:szCs w:val="24"/>
          <w:highlight w:val="none"/>
        </w:rPr>
        <w:t>25.6投标人在开、评标全过程中应保持通讯畅通，及时登录苏采云系统查阅</w:t>
      </w:r>
      <w:r>
        <w:rPr>
          <w:rFonts w:ascii="宋体" w:hAnsi="宋体"/>
          <w:b/>
          <w:bCs/>
          <w:color w:val="000000"/>
          <w:sz w:val="24"/>
          <w:szCs w:val="24"/>
          <w:highlight w:val="none"/>
        </w:rPr>
        <w:t>、答复相关</w:t>
      </w:r>
      <w:r>
        <w:rPr>
          <w:rFonts w:hint="eastAsia" w:ascii="宋体" w:hAnsi="宋体"/>
          <w:b/>
          <w:bCs/>
          <w:color w:val="000000"/>
          <w:sz w:val="24"/>
          <w:szCs w:val="24"/>
          <w:highlight w:val="none"/>
        </w:rPr>
        <w:t>信息</w:t>
      </w:r>
      <w:r>
        <w:rPr>
          <w:rFonts w:ascii="宋体" w:hAnsi="宋体"/>
          <w:b/>
          <w:bCs/>
          <w:color w:val="000000"/>
          <w:sz w:val="24"/>
          <w:szCs w:val="24"/>
          <w:highlight w:val="none"/>
        </w:rPr>
        <w:t>，</w:t>
      </w:r>
      <w:r>
        <w:rPr>
          <w:rFonts w:hint="eastAsia" w:ascii="宋体" w:hAnsi="宋体"/>
          <w:b/>
          <w:bCs/>
          <w:color w:val="000000"/>
          <w:sz w:val="24"/>
          <w:szCs w:val="24"/>
          <w:highlight w:val="none"/>
        </w:rPr>
        <w:t>并安排专人与代理机构及评标委员会联系。</w:t>
      </w:r>
    </w:p>
    <w:p w14:paraId="41A14285">
      <w:pPr>
        <w:pStyle w:val="187"/>
        <w:spacing w:before="0" w:after="0" w:line="440" w:lineRule="exact"/>
        <w:ind w:firstLine="360"/>
        <w:rPr>
          <w:rFonts w:hint="eastAsia"/>
          <w:b w:val="0"/>
          <w:bCs w:val="0"/>
          <w:color w:val="000000"/>
          <w:sz w:val="24"/>
          <w:szCs w:val="24"/>
          <w:highlight w:val="none"/>
        </w:rPr>
      </w:pPr>
      <w:r>
        <w:rPr>
          <w:rFonts w:hint="eastAsia"/>
          <w:b w:val="0"/>
          <w:bCs w:val="0"/>
          <w:color w:val="000000"/>
          <w:sz w:val="24"/>
          <w:szCs w:val="24"/>
          <w:highlight w:val="none"/>
        </w:rPr>
        <w:t>26、</w:t>
      </w:r>
      <w:bookmarkEnd w:id="168"/>
      <w:bookmarkEnd w:id="169"/>
      <w:bookmarkEnd w:id="170"/>
      <w:r>
        <w:rPr>
          <w:rFonts w:hint="eastAsia"/>
          <w:b w:val="0"/>
          <w:bCs w:val="0"/>
          <w:color w:val="000000"/>
          <w:sz w:val="24"/>
          <w:szCs w:val="24"/>
          <w:highlight w:val="none"/>
        </w:rPr>
        <w:t>无效投标条款和废标条款</w:t>
      </w:r>
    </w:p>
    <w:p w14:paraId="2655F28E">
      <w:pPr>
        <w:spacing w:line="440" w:lineRule="exact"/>
        <w:ind w:left="479"/>
        <w:rPr>
          <w:rFonts w:hint="eastAsia" w:ascii="宋体" w:hAnsi="宋体"/>
          <w:bCs/>
          <w:color w:val="000000"/>
          <w:sz w:val="24"/>
          <w:szCs w:val="24"/>
          <w:highlight w:val="none"/>
        </w:rPr>
      </w:pPr>
      <w:bookmarkStart w:id="171" w:name="_Toc513029235"/>
      <w:bookmarkStart w:id="172" w:name="_Toc20823307"/>
      <w:bookmarkStart w:id="173" w:name="_Toc16938551"/>
      <w:r>
        <w:rPr>
          <w:rFonts w:hint="eastAsia" w:ascii="宋体" w:hAnsi="宋体"/>
          <w:bCs/>
          <w:color w:val="000000"/>
          <w:sz w:val="24"/>
          <w:szCs w:val="24"/>
          <w:highlight w:val="none"/>
        </w:rPr>
        <w:t>26.1无效投标条款</w:t>
      </w:r>
    </w:p>
    <w:p w14:paraId="59A49742">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 投标人在</w:t>
      </w:r>
      <w:r>
        <w:rPr>
          <w:rFonts w:hint="eastAsia" w:ascii="宋体" w:hAnsi="宋体"/>
          <w:color w:val="000000"/>
          <w:sz w:val="24"/>
          <w:szCs w:val="24"/>
          <w:highlight w:val="none"/>
        </w:rPr>
        <w:t>苏采云系统</w:t>
      </w:r>
      <w:r>
        <w:rPr>
          <w:rFonts w:hint="eastAsia" w:ascii="宋体" w:hAnsi="宋体"/>
          <w:bCs/>
          <w:color w:val="000000"/>
          <w:sz w:val="24"/>
          <w:szCs w:val="24"/>
          <w:highlight w:val="none"/>
        </w:rPr>
        <w:t>规定的时间内未成功解密电子投标文件的。</w:t>
      </w:r>
    </w:p>
    <w:p w14:paraId="777097E0">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26.1.2 投标人未按照招标文件要求上传电子投标文件的。</w:t>
      </w:r>
    </w:p>
    <w:p w14:paraId="08411313">
      <w:pPr>
        <w:spacing w:line="440" w:lineRule="exact"/>
        <w:ind w:left="479"/>
        <w:rPr>
          <w:rFonts w:hint="eastAsia" w:ascii="宋体" w:hAnsi="宋体"/>
          <w:bCs/>
          <w:color w:val="000000"/>
          <w:sz w:val="24"/>
          <w:szCs w:val="24"/>
          <w:highlight w:val="none"/>
        </w:rPr>
      </w:pPr>
      <w:r>
        <w:rPr>
          <w:rFonts w:hint="eastAsia" w:ascii="宋体" w:hAnsi="宋体"/>
          <w:bCs/>
          <w:color w:val="000000"/>
          <w:sz w:val="24"/>
          <w:szCs w:val="24"/>
          <w:highlight w:val="none"/>
        </w:rPr>
        <w:t>26.1.3同一投标人提交两个（含两个）以上不同的投标报价的。</w:t>
      </w:r>
    </w:p>
    <w:p w14:paraId="2BD50197">
      <w:pPr>
        <w:spacing w:line="440" w:lineRule="exact"/>
        <w:ind w:left="479"/>
        <w:rPr>
          <w:rFonts w:hint="eastAsia" w:ascii="宋体" w:hAnsi="宋体"/>
          <w:bCs/>
          <w:color w:val="000000"/>
          <w:sz w:val="24"/>
          <w:szCs w:val="24"/>
          <w:highlight w:val="none"/>
        </w:rPr>
      </w:pPr>
      <w:r>
        <w:rPr>
          <w:rFonts w:hint="eastAsia" w:ascii="宋体" w:hAnsi="宋体"/>
          <w:bCs/>
          <w:color w:val="000000"/>
          <w:sz w:val="24"/>
          <w:szCs w:val="24"/>
          <w:highlight w:val="none"/>
        </w:rPr>
        <w:t>26.1.4投标人不具备招标文件中规定资格要求的。</w:t>
      </w:r>
    </w:p>
    <w:p w14:paraId="521C432A">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26.1.5投标人的报价超过了最高限价的。</w:t>
      </w:r>
    </w:p>
    <w:p w14:paraId="3F0BFB7C">
      <w:pPr>
        <w:spacing w:line="440" w:lineRule="exact"/>
        <w:ind w:firstLine="480"/>
        <w:rPr>
          <w:rFonts w:hint="eastAsia" w:ascii="宋体" w:hAnsi="宋体"/>
          <w:bCs/>
          <w:i/>
          <w:color w:val="000000"/>
          <w:sz w:val="24"/>
          <w:szCs w:val="24"/>
          <w:highlight w:val="none"/>
          <w:u w:val="single"/>
        </w:rPr>
      </w:pPr>
      <w:r>
        <w:rPr>
          <w:rFonts w:hint="eastAsia" w:ascii="宋体" w:hAnsi="宋体"/>
          <w:bCs/>
          <w:color w:val="000000"/>
          <w:sz w:val="24"/>
          <w:szCs w:val="24"/>
          <w:highlight w:val="none"/>
        </w:rPr>
        <w:t>26.1.6未通过符合性审查的。</w:t>
      </w:r>
    </w:p>
    <w:p w14:paraId="04D096F2">
      <w:pPr>
        <w:spacing w:line="440" w:lineRule="exact"/>
        <w:ind w:firstLine="360"/>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本招标文件中斜体且有下划线部分为实质性要求和条件）。</w:t>
      </w:r>
    </w:p>
    <w:p w14:paraId="4F0A1DAA">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26.1.8 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p>
    <w:p w14:paraId="7AE35AE5">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26.1.9 投标文件含有人不能接受的附加条件的。</w:t>
      </w:r>
    </w:p>
    <w:p w14:paraId="1ECC9B4B">
      <w:pPr>
        <w:spacing w:line="440" w:lineRule="exact"/>
        <w:ind w:firstLine="480"/>
        <w:rPr>
          <w:rFonts w:hint="eastAsia" w:ascii="宋体" w:hAnsi="宋体"/>
          <w:color w:val="000000"/>
          <w:sz w:val="24"/>
          <w:szCs w:val="24"/>
          <w:highlight w:val="none"/>
          <w:u w:val="single"/>
        </w:rPr>
      </w:pPr>
      <w:r>
        <w:rPr>
          <w:rFonts w:hint="eastAsia" w:ascii="宋体" w:hAnsi="宋体"/>
          <w:bCs/>
          <w:color w:val="000000"/>
          <w:sz w:val="24"/>
          <w:szCs w:val="24"/>
          <w:highlight w:val="none"/>
        </w:rPr>
        <w:t>26.1.10</w:t>
      </w:r>
      <w:r>
        <w:rPr>
          <w:rFonts w:hint="eastAsia" w:ascii="宋体" w:hAnsi="宋体"/>
          <w:color w:val="000000"/>
          <w:sz w:val="24"/>
          <w:szCs w:val="24"/>
          <w:highlight w:val="none"/>
          <w:u w:val="single"/>
          <w:lang w:eastAsia="zh-CN"/>
        </w:rPr>
        <w:t>评标委员会</w:t>
      </w:r>
      <w:r>
        <w:rPr>
          <w:rFonts w:hint="eastAsia" w:ascii="宋体" w:hAnsi="宋体"/>
          <w:color w:val="000000"/>
          <w:sz w:val="24"/>
          <w:szCs w:val="24"/>
          <w:highlight w:val="none"/>
          <w:u w:val="single"/>
        </w:rPr>
        <w:t>认为</w:t>
      </w:r>
      <w:r>
        <w:rPr>
          <w:rFonts w:hint="eastAsia" w:ascii="宋体" w:hAnsi="宋体"/>
          <w:color w:val="000000"/>
          <w:sz w:val="24"/>
          <w:szCs w:val="24"/>
          <w:highlight w:val="none"/>
          <w:u w:val="single"/>
          <w:lang w:eastAsia="zh-CN"/>
        </w:rPr>
        <w:t>投标人</w:t>
      </w:r>
      <w:r>
        <w:rPr>
          <w:rFonts w:hint="eastAsia" w:ascii="宋体" w:hAnsi="宋体"/>
          <w:color w:val="000000"/>
          <w:sz w:val="24"/>
          <w:szCs w:val="24"/>
          <w:highlight w:val="none"/>
          <w:u w:val="single"/>
        </w:rPr>
        <w:t>的报价明显低于其他通过符合性审查</w:t>
      </w:r>
      <w:r>
        <w:rPr>
          <w:rFonts w:hint="eastAsia" w:ascii="宋体" w:hAnsi="宋体"/>
          <w:color w:val="000000"/>
          <w:sz w:val="24"/>
          <w:szCs w:val="24"/>
          <w:highlight w:val="none"/>
          <w:u w:val="single"/>
          <w:lang w:eastAsia="zh-CN"/>
        </w:rPr>
        <w:t>投标人</w:t>
      </w:r>
      <w:r>
        <w:rPr>
          <w:rFonts w:hint="eastAsia" w:ascii="宋体" w:hAnsi="宋体"/>
          <w:color w:val="000000"/>
          <w:sz w:val="24"/>
          <w:szCs w:val="24"/>
          <w:highlight w:val="none"/>
          <w:u w:val="single"/>
        </w:rPr>
        <w:t>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single"/>
          <w:lang w:eastAsia="zh-CN"/>
        </w:rPr>
        <w:t>投标人</w:t>
      </w:r>
      <w:r>
        <w:rPr>
          <w:rFonts w:hint="eastAsia" w:ascii="宋体" w:hAnsi="宋体"/>
          <w:color w:val="000000"/>
          <w:sz w:val="24"/>
          <w:szCs w:val="24"/>
          <w:highlight w:val="none"/>
          <w:u w:val="single"/>
        </w:rPr>
        <w:t>不能证明其报价合理性的，</w:t>
      </w:r>
      <w:r>
        <w:rPr>
          <w:rFonts w:hint="eastAsia" w:ascii="宋体" w:hAnsi="宋体"/>
          <w:color w:val="000000"/>
          <w:sz w:val="24"/>
          <w:szCs w:val="24"/>
          <w:highlight w:val="none"/>
          <w:u w:val="single"/>
          <w:lang w:eastAsia="zh-CN"/>
        </w:rPr>
        <w:t>评标委员会</w:t>
      </w:r>
      <w:r>
        <w:rPr>
          <w:rFonts w:hint="eastAsia" w:ascii="宋体" w:hAnsi="宋体"/>
          <w:color w:val="000000"/>
          <w:sz w:val="24"/>
          <w:szCs w:val="24"/>
          <w:highlight w:val="none"/>
          <w:u w:val="single"/>
        </w:rPr>
        <w:t>应当将其作为无效响应处理。</w:t>
      </w:r>
    </w:p>
    <w:p w14:paraId="414D65D3">
      <w:pPr>
        <w:tabs>
          <w:tab w:val="left" w:pos="900"/>
        </w:tabs>
        <w:spacing w:line="440" w:lineRule="exact"/>
        <w:ind w:firstLine="477"/>
        <w:rPr>
          <w:rFonts w:hint="eastAsia" w:ascii="宋体" w:hAnsi="宋体"/>
          <w:color w:val="000000"/>
          <w:sz w:val="24"/>
          <w:szCs w:val="24"/>
          <w:highlight w:val="none"/>
          <w:u w:val="single"/>
        </w:rPr>
      </w:pPr>
      <w:r>
        <w:rPr>
          <w:rFonts w:hint="eastAsia" w:ascii="宋体" w:hAnsi="宋体"/>
          <w:color w:val="000000"/>
          <w:sz w:val="24"/>
          <w:szCs w:val="24"/>
          <w:highlight w:val="none"/>
          <w:u w:val="single"/>
        </w:rPr>
        <w:t>评标委员会启动异常低价投标审查的情形和具体要求:</w:t>
      </w:r>
    </w:p>
    <w:p w14:paraId="4D1D3CD7">
      <w:pPr>
        <w:tabs>
          <w:tab w:val="left" w:pos="900"/>
        </w:tabs>
        <w:spacing w:line="440" w:lineRule="exact"/>
        <w:ind w:firstLine="477"/>
        <w:rPr>
          <w:rFonts w:hint="eastAsia" w:ascii="宋体" w:hAnsi="宋体"/>
          <w:color w:val="000000"/>
          <w:sz w:val="24"/>
          <w:szCs w:val="24"/>
          <w:highlight w:val="none"/>
          <w:u w:val="single"/>
        </w:rPr>
      </w:pPr>
      <w:r>
        <w:rPr>
          <w:rFonts w:hint="eastAsia" w:ascii="宋体" w:hAnsi="宋体"/>
          <w:color w:val="000000"/>
          <w:sz w:val="24"/>
          <w:szCs w:val="24"/>
          <w:highlight w:val="none"/>
          <w:u w:val="single"/>
        </w:rPr>
        <w:t>(一)评审过程中出现下列情形之一的，评标委员会应当启动异常低价投标审查程序:</w:t>
      </w:r>
    </w:p>
    <w:p w14:paraId="489DEA75">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1.投标（响应）报价低于全部通过符合性审查</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投标（响应）报价平均值</w:t>
      </w:r>
      <w:r>
        <w:rPr>
          <w:rFonts w:hint="eastAsia" w:ascii="宋体" w:hAnsi="宋体"/>
          <w:color w:val="000000"/>
          <w:sz w:val="24"/>
          <w:szCs w:val="24"/>
          <w:highlight w:val="none"/>
          <w:u w:val="single"/>
          <w:lang w:val="en-US" w:eastAsia="zh-CN"/>
        </w:rPr>
        <w:t>65</w:t>
      </w:r>
      <w:r>
        <w:rPr>
          <w:rFonts w:hint="eastAsia" w:ascii="宋体" w:hAnsi="宋体"/>
          <w:color w:val="000000"/>
          <w:sz w:val="24"/>
          <w:szCs w:val="24"/>
          <w:highlight w:val="none"/>
          <w:u w:val="single"/>
        </w:rPr>
        <w:t>%的，即投标（响应）报价&lt;全部通过符合性审查</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投标（响应）报价平均值×</w:t>
      </w:r>
      <w:r>
        <w:rPr>
          <w:rFonts w:hint="eastAsia" w:ascii="宋体" w:hAnsi="宋体"/>
          <w:color w:val="000000"/>
          <w:sz w:val="24"/>
          <w:szCs w:val="24"/>
          <w:highlight w:val="none"/>
          <w:u w:val="single"/>
          <w:lang w:val="en-US" w:eastAsia="zh-CN"/>
        </w:rPr>
        <w:t>65</w:t>
      </w:r>
      <w:r>
        <w:rPr>
          <w:rFonts w:hint="eastAsia" w:ascii="宋体" w:hAnsi="宋体"/>
          <w:color w:val="000000"/>
          <w:sz w:val="24"/>
          <w:szCs w:val="24"/>
          <w:highlight w:val="none"/>
          <w:u w:val="single"/>
        </w:rPr>
        <w:t>%；</w:t>
      </w:r>
    </w:p>
    <w:p w14:paraId="20472BC4">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2.投标（响应）报价低于通过符合性审查的次低报价</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投标（响应）报价</w:t>
      </w:r>
      <w:r>
        <w:rPr>
          <w:rFonts w:hint="eastAsia" w:ascii="宋体" w:hAnsi="宋体"/>
          <w:color w:val="000000"/>
          <w:sz w:val="24"/>
          <w:szCs w:val="24"/>
          <w:highlight w:val="none"/>
          <w:u w:val="single"/>
          <w:lang w:val="en-US" w:eastAsia="zh-CN"/>
        </w:rPr>
        <w:t>65</w:t>
      </w:r>
      <w:r>
        <w:rPr>
          <w:rFonts w:hint="eastAsia" w:ascii="宋体" w:hAnsi="宋体"/>
          <w:color w:val="000000"/>
          <w:sz w:val="24"/>
          <w:szCs w:val="24"/>
          <w:highlight w:val="none"/>
          <w:u w:val="single"/>
        </w:rPr>
        <w:t>%的，即投标（响应）报价&lt;通过符合性审查的次低报价</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投标（响应）报价×</w:t>
      </w:r>
      <w:r>
        <w:rPr>
          <w:rFonts w:hint="eastAsia" w:ascii="宋体" w:hAnsi="宋体"/>
          <w:color w:val="000000"/>
          <w:sz w:val="24"/>
          <w:szCs w:val="24"/>
          <w:highlight w:val="none"/>
          <w:u w:val="single"/>
          <w:lang w:val="en-US" w:eastAsia="zh-CN"/>
        </w:rPr>
        <w:t>65</w:t>
      </w:r>
      <w:r>
        <w:rPr>
          <w:rFonts w:hint="eastAsia" w:ascii="宋体" w:hAnsi="宋体"/>
          <w:color w:val="000000"/>
          <w:sz w:val="24"/>
          <w:szCs w:val="24"/>
          <w:highlight w:val="none"/>
          <w:u w:val="single"/>
        </w:rPr>
        <w:t>%；</w:t>
      </w:r>
    </w:p>
    <w:p w14:paraId="1BCB3F05">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3.投标（响应）报价低于采购项目最高限价</w:t>
      </w:r>
      <w:r>
        <w:rPr>
          <w:rFonts w:hint="eastAsia" w:ascii="宋体" w:hAnsi="宋体"/>
          <w:color w:val="000000"/>
          <w:sz w:val="24"/>
          <w:szCs w:val="24"/>
          <w:highlight w:val="none"/>
          <w:u w:val="single"/>
          <w:lang w:val="en-US" w:eastAsia="zh-CN"/>
        </w:rPr>
        <w:t>65</w:t>
      </w:r>
      <w:r>
        <w:rPr>
          <w:rFonts w:hint="eastAsia" w:ascii="宋体" w:hAnsi="宋体"/>
          <w:color w:val="000000"/>
          <w:sz w:val="24"/>
          <w:szCs w:val="24"/>
          <w:highlight w:val="none"/>
          <w:u w:val="single"/>
        </w:rPr>
        <w:t>%的，即投标（响应）报价&lt;采购项目最高限价×</w:t>
      </w:r>
      <w:r>
        <w:rPr>
          <w:rFonts w:hint="eastAsia" w:ascii="宋体" w:hAnsi="宋体"/>
          <w:color w:val="000000"/>
          <w:sz w:val="24"/>
          <w:szCs w:val="24"/>
          <w:highlight w:val="none"/>
          <w:u w:val="single"/>
          <w:lang w:val="en-US" w:eastAsia="zh-CN"/>
        </w:rPr>
        <w:t>65</w:t>
      </w:r>
      <w:r>
        <w:rPr>
          <w:rFonts w:hint="eastAsia" w:ascii="宋体" w:hAnsi="宋体"/>
          <w:color w:val="000000"/>
          <w:sz w:val="24"/>
          <w:szCs w:val="24"/>
          <w:highlight w:val="none"/>
          <w:u w:val="single"/>
        </w:rPr>
        <w:t>%；</w:t>
      </w:r>
    </w:p>
    <w:p w14:paraId="6912F915">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4.评审委员会基于专业判断，认为</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报价过低，有可能影响产品质量或者不能诚信履约的其他情形。</w:t>
      </w:r>
    </w:p>
    <w:p w14:paraId="05486419">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招标人</w:t>
      </w:r>
      <w:r>
        <w:rPr>
          <w:rFonts w:hint="eastAsia" w:ascii="宋体" w:hAnsi="宋体"/>
          <w:color w:val="000000"/>
          <w:sz w:val="24"/>
          <w:szCs w:val="24"/>
          <w:highlight w:val="none"/>
          <w:u w:val="single"/>
        </w:rPr>
        <w:t>可以结合具体项目实际情况，提高上述第1项至第3项中启动异常低价投标（响应）审查的数值标准，但是最高不得超过65%。</w:t>
      </w:r>
    </w:p>
    <w:p w14:paraId="65DA97D1">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相关法律法规对</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报价有规定的，从其规定。</w:t>
      </w:r>
    </w:p>
    <w:p w14:paraId="76004EF1">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（二）评审委员会启动异常低价投标（响应）审查后，属于前述第1项至第4项情形的，应当要求相关</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的合理时间一般不少于30分钟。其中，属于第3项情形，</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已随投标（响应）文件一并提交相关书面说明及必要的证明材料的，在评审现场可不再重复提交。</w:t>
      </w:r>
    </w:p>
    <w:p w14:paraId="313EEA6D">
      <w:pPr>
        <w:spacing w:line="44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u w:val="single"/>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000000"/>
          <w:sz w:val="24"/>
          <w:szCs w:val="24"/>
          <w:highlight w:val="none"/>
          <w:u w:val="single"/>
          <w:lang w:eastAsia="zh-CN"/>
        </w:rPr>
        <w:t>投标单位</w:t>
      </w:r>
      <w:r>
        <w:rPr>
          <w:rFonts w:hint="eastAsia" w:ascii="宋体" w:hAnsi="宋体"/>
          <w:color w:val="000000"/>
          <w:sz w:val="24"/>
          <w:szCs w:val="24"/>
          <w:highlight w:val="none"/>
          <w:u w:val="single"/>
        </w:rPr>
        <w:t>不能提供书面说明、证明材料，或者提供的书面说明、证明材料不能证明其报价合理性的，评审委员会应当将其作为无效投标（响应）处理。</w:t>
      </w:r>
    </w:p>
    <w:p w14:paraId="538FD080">
      <w:pPr>
        <w:spacing w:line="440" w:lineRule="exact"/>
        <w:ind w:firstLine="480"/>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26.1.11单位负责人为同一人或者存在直接控股、管理关系的不同投标人，不得参加同一合同项下的政府采购活动。</w:t>
      </w:r>
    </w:p>
    <w:p w14:paraId="2FA2549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26.1.12投标文件未按照招标文件要求加盖C</w:t>
      </w:r>
      <w:r>
        <w:rPr>
          <w:rFonts w:hint="eastAsia" w:ascii="宋体" w:hAnsi="宋体"/>
          <w:bCs/>
          <w:color w:val="000000"/>
          <w:sz w:val="24"/>
          <w:szCs w:val="24"/>
          <w:highlight w:val="none"/>
        </w:rPr>
        <w:t>A电子公章的。</w:t>
      </w:r>
    </w:p>
    <w:p w14:paraId="6864EBE3">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其他法律、法规及本招标文件规定的属无效投标的情形。</w:t>
      </w:r>
    </w:p>
    <w:p w14:paraId="45AE867D">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26.2废标条款</w:t>
      </w:r>
    </w:p>
    <w:p w14:paraId="22703BF7">
      <w:pPr>
        <w:spacing w:line="440" w:lineRule="exact"/>
        <w:ind w:left="479"/>
        <w:rPr>
          <w:rFonts w:hint="eastAsia" w:ascii="宋体" w:hAnsi="宋体"/>
          <w:bCs/>
          <w:color w:val="000000"/>
          <w:sz w:val="24"/>
          <w:szCs w:val="24"/>
          <w:highlight w:val="none"/>
        </w:rPr>
      </w:pPr>
      <w:r>
        <w:rPr>
          <w:rFonts w:hint="eastAsia" w:ascii="宋体" w:hAnsi="宋体"/>
          <w:bCs/>
          <w:color w:val="000000"/>
          <w:sz w:val="24"/>
          <w:szCs w:val="24"/>
          <w:highlight w:val="none"/>
        </w:rPr>
        <w:t>26.2.1符合专业条件的</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或者对招标文件作实质响应的</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不足三家的。</w:t>
      </w:r>
    </w:p>
    <w:p w14:paraId="4A4F0218">
      <w:pPr>
        <w:spacing w:line="440" w:lineRule="exact"/>
        <w:ind w:left="479"/>
        <w:rPr>
          <w:rFonts w:hint="eastAsia" w:ascii="宋体" w:hAnsi="宋体"/>
          <w:bCs/>
          <w:color w:val="000000"/>
          <w:sz w:val="24"/>
          <w:szCs w:val="24"/>
          <w:highlight w:val="none"/>
        </w:rPr>
      </w:pPr>
      <w:r>
        <w:rPr>
          <w:rFonts w:hint="eastAsia" w:ascii="宋体" w:hAnsi="宋体"/>
          <w:bCs/>
          <w:color w:val="000000"/>
          <w:sz w:val="24"/>
          <w:szCs w:val="24"/>
          <w:highlight w:val="none"/>
        </w:rPr>
        <w:t>26.2.2出现影响公正的违法、违规行为的。</w:t>
      </w:r>
    </w:p>
    <w:p w14:paraId="6FDAAA01">
      <w:pPr>
        <w:spacing w:line="440" w:lineRule="exact"/>
        <w:ind w:left="479"/>
        <w:rPr>
          <w:rFonts w:hint="eastAsia" w:ascii="宋体" w:hAnsi="宋体"/>
          <w:bCs/>
          <w:color w:val="000000"/>
          <w:sz w:val="24"/>
          <w:szCs w:val="24"/>
          <w:highlight w:val="none"/>
        </w:rPr>
      </w:pPr>
      <w:r>
        <w:rPr>
          <w:rFonts w:hint="eastAsia" w:ascii="宋体" w:hAnsi="宋体"/>
          <w:bCs/>
          <w:color w:val="000000"/>
          <w:sz w:val="24"/>
          <w:szCs w:val="24"/>
          <w:highlight w:val="none"/>
        </w:rPr>
        <w:t>26.2.3因重大变故，任务取消的。</w:t>
      </w:r>
    </w:p>
    <w:p w14:paraId="47DB2D31">
      <w:pPr>
        <w:spacing w:line="440" w:lineRule="exact"/>
        <w:ind w:left="479"/>
        <w:rPr>
          <w:rFonts w:ascii="宋体" w:hAnsi="宋体"/>
          <w:bCs/>
          <w:color w:val="000000"/>
          <w:sz w:val="24"/>
          <w:szCs w:val="24"/>
          <w:highlight w:val="none"/>
        </w:rPr>
      </w:pPr>
      <w:r>
        <w:rPr>
          <w:rFonts w:hint="eastAsia" w:ascii="宋体" w:hAnsi="宋体"/>
          <w:bCs/>
          <w:color w:val="000000"/>
          <w:sz w:val="24"/>
          <w:szCs w:val="24"/>
          <w:highlight w:val="none"/>
        </w:rPr>
        <w:t>26.2.4评标委员会认定招标文件存在歧义、重大缺陷导致评审工作无法进行。</w:t>
      </w:r>
    </w:p>
    <w:p w14:paraId="788CBDF5">
      <w:pPr>
        <w:spacing w:line="440" w:lineRule="exact"/>
        <w:ind w:left="479"/>
        <w:rPr>
          <w:rFonts w:hint="eastAsia" w:ascii="宋体" w:hAnsi="宋体"/>
          <w:bCs/>
          <w:color w:val="000000"/>
          <w:sz w:val="24"/>
          <w:szCs w:val="24"/>
          <w:highlight w:val="none"/>
        </w:rPr>
      </w:pPr>
      <w:r>
        <w:rPr>
          <w:rFonts w:hint="eastAsia" w:ascii="宋体" w:hAnsi="宋体"/>
          <w:bCs/>
          <w:color w:val="000000"/>
          <w:sz w:val="24"/>
          <w:szCs w:val="24"/>
          <w:highlight w:val="none"/>
        </w:rPr>
        <w:t>26.2.5 因</w:t>
      </w:r>
      <w:r>
        <w:rPr>
          <w:rFonts w:hint="eastAsia" w:ascii="宋体" w:hAnsi="宋体"/>
          <w:color w:val="000000"/>
          <w:sz w:val="24"/>
          <w:szCs w:val="24"/>
          <w:highlight w:val="none"/>
        </w:rPr>
        <w:t>苏采云系统</w:t>
      </w:r>
      <w:r>
        <w:rPr>
          <w:rFonts w:ascii="宋体" w:hAnsi="宋体"/>
          <w:bCs/>
          <w:color w:val="000000"/>
          <w:sz w:val="24"/>
          <w:szCs w:val="24"/>
          <w:highlight w:val="none"/>
        </w:rPr>
        <w:t>系统故障原因造成开标不成功</w:t>
      </w:r>
      <w:r>
        <w:rPr>
          <w:rFonts w:hint="eastAsia" w:ascii="宋体" w:hAnsi="宋体"/>
          <w:bCs/>
          <w:color w:val="000000"/>
          <w:sz w:val="24"/>
          <w:szCs w:val="24"/>
          <w:highlight w:val="none"/>
        </w:rPr>
        <w:t>的</w:t>
      </w:r>
      <w:r>
        <w:rPr>
          <w:rFonts w:ascii="宋体" w:hAnsi="宋体"/>
          <w:bCs/>
          <w:color w:val="000000"/>
          <w:sz w:val="24"/>
          <w:szCs w:val="24"/>
          <w:highlight w:val="none"/>
        </w:rPr>
        <w:t>。</w:t>
      </w:r>
    </w:p>
    <w:p w14:paraId="7A7EB79F">
      <w:pPr>
        <w:spacing w:line="440" w:lineRule="exact"/>
        <w:ind w:left="479"/>
        <w:rPr>
          <w:rFonts w:hint="eastAsia" w:ascii="宋体" w:hAnsi="宋体"/>
          <w:bCs/>
          <w:color w:val="000000"/>
          <w:sz w:val="24"/>
          <w:szCs w:val="24"/>
          <w:highlight w:val="none"/>
        </w:rPr>
      </w:pPr>
      <w:r>
        <w:rPr>
          <w:rFonts w:hint="eastAsia" w:ascii="宋体" w:hAnsi="宋体"/>
          <w:bCs/>
          <w:color w:val="000000"/>
          <w:sz w:val="24"/>
          <w:szCs w:val="24"/>
          <w:highlight w:val="none"/>
        </w:rPr>
        <w:t>26.3 投标截止时间结束后参加投标的</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不足三家的处理：</w:t>
      </w:r>
    </w:p>
    <w:p w14:paraId="7206C19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26.3.1如出现投标截止时间结束后参加投标的</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或者在评标期间对招标文件做出实质响应的</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不足三家情况，按政府相关规定执行。</w:t>
      </w:r>
    </w:p>
    <w:p w14:paraId="5A14E196">
      <w:pPr>
        <w:pStyle w:val="185"/>
        <w:spacing w:before="120" w:after="120" w:line="440" w:lineRule="exact"/>
        <w:ind w:firstLine="361"/>
        <w:rPr>
          <w:rFonts w:hint="eastAsia"/>
          <w:color w:val="000000"/>
          <w:sz w:val="24"/>
          <w:szCs w:val="24"/>
          <w:highlight w:val="none"/>
        </w:rPr>
      </w:pPr>
      <w:bookmarkStart w:id="174" w:name="_Toc120614219"/>
      <w:r>
        <w:rPr>
          <w:rFonts w:hint="eastAsia"/>
          <w:color w:val="000000"/>
          <w:sz w:val="24"/>
          <w:szCs w:val="24"/>
          <w:highlight w:val="none"/>
        </w:rPr>
        <w:t>六、</w:t>
      </w:r>
      <w:bookmarkEnd w:id="171"/>
      <w:bookmarkEnd w:id="172"/>
      <w:bookmarkEnd w:id="173"/>
      <w:r>
        <w:rPr>
          <w:rFonts w:hint="eastAsia"/>
          <w:color w:val="000000"/>
          <w:sz w:val="24"/>
          <w:szCs w:val="24"/>
          <w:highlight w:val="none"/>
        </w:rPr>
        <w:t>定标</w:t>
      </w:r>
      <w:bookmarkEnd w:id="174"/>
    </w:p>
    <w:p w14:paraId="375A5D8E">
      <w:pPr>
        <w:pStyle w:val="187"/>
        <w:spacing w:before="0" w:after="0" w:line="440" w:lineRule="exact"/>
        <w:ind w:firstLine="480"/>
        <w:rPr>
          <w:rFonts w:hint="eastAsia" w:ascii="黑体" w:hAnsi="宋体"/>
          <w:b w:val="0"/>
          <w:color w:val="000000"/>
          <w:sz w:val="24"/>
          <w:szCs w:val="24"/>
          <w:highlight w:val="none"/>
        </w:rPr>
      </w:pPr>
      <w:bookmarkStart w:id="175" w:name="_Toc513029238"/>
      <w:bookmarkStart w:id="176" w:name="_Toc20823310"/>
      <w:bookmarkStart w:id="177" w:name="_Toc16938554"/>
      <w:r>
        <w:rPr>
          <w:rFonts w:hint="eastAsia" w:ascii="黑体" w:hAnsi="宋体"/>
          <w:b w:val="0"/>
          <w:color w:val="000000"/>
          <w:sz w:val="24"/>
          <w:szCs w:val="24"/>
          <w:highlight w:val="none"/>
        </w:rPr>
        <w:t>27、</w:t>
      </w:r>
      <w:bookmarkEnd w:id="175"/>
      <w:r>
        <w:rPr>
          <w:rFonts w:hint="eastAsia" w:ascii="黑体" w:hAnsi="宋体"/>
          <w:b w:val="0"/>
          <w:color w:val="000000"/>
          <w:sz w:val="24"/>
          <w:szCs w:val="24"/>
          <w:highlight w:val="none"/>
        </w:rPr>
        <w:t>确定</w:t>
      </w:r>
      <w:bookmarkEnd w:id="176"/>
      <w:bookmarkEnd w:id="177"/>
      <w:r>
        <w:rPr>
          <w:rFonts w:hint="eastAsia" w:ascii="黑体" w:hAnsi="宋体"/>
          <w:b w:val="0"/>
          <w:color w:val="000000"/>
          <w:sz w:val="24"/>
          <w:szCs w:val="24"/>
          <w:highlight w:val="none"/>
        </w:rPr>
        <w:t>中标单位</w:t>
      </w:r>
    </w:p>
    <w:p w14:paraId="71685B5A">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p>
    <w:p w14:paraId="18A07A4B">
      <w:pPr>
        <w:spacing w:line="44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招标</w:t>
      </w:r>
      <w:r>
        <w:rPr>
          <w:rFonts w:hint="eastAsia" w:ascii="宋体" w:hAnsi="宋体"/>
          <w:bCs/>
          <w:color w:val="000000"/>
          <w:sz w:val="24"/>
          <w:szCs w:val="24"/>
          <w:highlight w:val="none"/>
        </w:rPr>
        <w:t>人应根据评委会推荐的中标候选人确定中标人。</w:t>
      </w:r>
    </w:p>
    <w:p w14:paraId="604244D8">
      <w:pPr>
        <w:spacing w:line="44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代理机构将在“江苏政府网”、“扬中政府网”发布中标公告，公告期限为1个工作日。</w:t>
      </w:r>
    </w:p>
    <w:p w14:paraId="5FE71FE4">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  若有充分证据证明，中标人出现下列情况之一的，一经查实，将被取消中标资格：</w:t>
      </w:r>
    </w:p>
    <w:p w14:paraId="656956E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27.4.1提供虚假材料谋取中标的。</w:t>
      </w:r>
    </w:p>
    <w:p w14:paraId="3F4CCAA9">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27.4.2向</w:t>
      </w:r>
      <w:r>
        <w:rPr>
          <w:rFonts w:hint="eastAsia" w:ascii="宋体" w:hAnsi="宋体"/>
          <w:color w:val="000000"/>
          <w:sz w:val="24"/>
          <w:highlight w:val="none"/>
        </w:rPr>
        <w:t>招标</w:t>
      </w:r>
      <w:r>
        <w:rPr>
          <w:rFonts w:hint="eastAsia" w:ascii="宋体" w:hAnsi="宋体"/>
          <w:color w:val="000000"/>
          <w:sz w:val="24"/>
          <w:szCs w:val="24"/>
          <w:highlight w:val="none"/>
        </w:rPr>
        <w:t>人、代理机构行贿或者提供其他不正当利益的。</w:t>
      </w:r>
    </w:p>
    <w:p w14:paraId="4CE23F14">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27.4.3属于本文件规定的无效条件，但在评标过程中又未被评委会发现的。</w:t>
      </w:r>
    </w:p>
    <w:p w14:paraId="76346493">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27.4.4与</w:t>
      </w:r>
      <w:r>
        <w:rPr>
          <w:rFonts w:hint="eastAsia" w:ascii="宋体" w:hAnsi="宋体"/>
          <w:color w:val="000000"/>
          <w:sz w:val="24"/>
          <w:highlight w:val="none"/>
        </w:rPr>
        <w:t>招标</w:t>
      </w:r>
      <w:r>
        <w:rPr>
          <w:rFonts w:hint="eastAsia" w:ascii="宋体" w:hAnsi="宋体"/>
          <w:color w:val="000000"/>
          <w:sz w:val="24"/>
          <w:szCs w:val="24"/>
          <w:highlight w:val="none"/>
        </w:rPr>
        <w:t>人或者其他</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恶意串通的。</w:t>
      </w:r>
    </w:p>
    <w:p w14:paraId="54EEA244">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27.4.5采取不正当手段诋毁、排挤其他</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的。</w:t>
      </w:r>
    </w:p>
    <w:p w14:paraId="116EF1A3">
      <w:pPr>
        <w:spacing w:line="440" w:lineRule="exact"/>
        <w:ind w:firstLine="480"/>
        <w:rPr>
          <w:rFonts w:ascii="宋体" w:hAnsi="宋体"/>
          <w:color w:val="000000"/>
          <w:sz w:val="24"/>
          <w:szCs w:val="24"/>
          <w:highlight w:val="none"/>
        </w:rPr>
      </w:pPr>
      <w:bookmarkStart w:id="178"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7D92BE4D">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14:paraId="50791CAA">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14:paraId="3524CF4D">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27.5.3 不同投标人的投标文件载明的项目管理成员或者联系人员为同一人。</w:t>
      </w:r>
    </w:p>
    <w:p w14:paraId="7DCE797A">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14:paraId="7D1E073E">
      <w:pPr>
        <w:pStyle w:val="187"/>
        <w:spacing w:before="0" w:after="0" w:line="440" w:lineRule="exact"/>
        <w:ind w:firstLine="480"/>
        <w:rPr>
          <w:rFonts w:hint="eastAsia" w:ascii="黑体" w:hAnsi="宋体"/>
          <w:b w:val="0"/>
          <w:color w:val="000000"/>
          <w:sz w:val="24"/>
          <w:szCs w:val="24"/>
          <w:highlight w:val="none"/>
        </w:rPr>
      </w:pPr>
      <w:r>
        <w:rPr>
          <w:rFonts w:hint="eastAsia" w:ascii="黑体" w:hAnsi="宋体"/>
          <w:b w:val="0"/>
          <w:color w:val="000000"/>
          <w:sz w:val="24"/>
          <w:szCs w:val="24"/>
          <w:highlight w:val="none"/>
        </w:rPr>
        <w:t>28、质疑处理</w:t>
      </w:r>
      <w:bookmarkEnd w:id="178"/>
    </w:p>
    <w:p w14:paraId="640191F8">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28.1 提出质疑的</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应当是参与所质疑项目活动的</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。潜在</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依法获取其可质疑的文件的，可以对文件提出质疑。</w:t>
      </w:r>
    </w:p>
    <w:p w14:paraId="42CF3EE2">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28.2</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招标</w:t>
      </w:r>
      <w:r>
        <w:rPr>
          <w:rFonts w:hint="eastAsia" w:ascii="宋体" w:hAnsi="宋体"/>
          <w:color w:val="000000"/>
          <w:sz w:val="24"/>
          <w:szCs w:val="24"/>
          <w:highlight w:val="none"/>
        </w:rPr>
        <w:t>人提出质疑。上述应知其权益受到损害之日，是指：</w:t>
      </w:r>
    </w:p>
    <w:p w14:paraId="3FCEC51A">
      <w:pPr>
        <w:spacing w:line="440" w:lineRule="exact"/>
        <w:ind w:firstLine="480"/>
        <w:rPr>
          <w:rFonts w:hint="eastAsia" w:hAnsi="宋体" w:cs="宋体"/>
          <w:color w:val="000000"/>
          <w:sz w:val="24"/>
          <w:szCs w:val="24"/>
          <w:highlight w:val="none"/>
        </w:rPr>
      </w:pPr>
      <w:r>
        <w:rPr>
          <w:rFonts w:hint="eastAsia" w:ascii="宋体" w:hAnsi="宋体"/>
          <w:color w:val="000000"/>
          <w:sz w:val="24"/>
          <w:szCs w:val="24"/>
          <w:highlight w:val="none"/>
        </w:rPr>
        <w:t>28.2.1</w:t>
      </w:r>
      <w:r>
        <w:rPr>
          <w:rFonts w:hAnsi="宋体" w:cs="宋体"/>
          <w:color w:val="000000"/>
          <w:sz w:val="24"/>
          <w:szCs w:val="24"/>
          <w:highlight w:val="none"/>
        </w:rPr>
        <w:t>对可以质疑的文件提出质疑的，为收到文件之日或者文件公告期限届满之日；</w:t>
      </w:r>
    </w:p>
    <w:p w14:paraId="4E5689E2">
      <w:pPr>
        <w:spacing w:line="440" w:lineRule="exact"/>
        <w:ind w:firstLine="480"/>
        <w:rPr>
          <w:rFonts w:hint="eastAsia" w:hAnsi="宋体" w:cs="宋体"/>
          <w:color w:val="000000"/>
          <w:sz w:val="24"/>
          <w:szCs w:val="24"/>
          <w:highlight w:val="none"/>
        </w:rPr>
      </w:pPr>
      <w:r>
        <w:rPr>
          <w:rFonts w:hint="eastAsia" w:ascii="宋体" w:hAnsi="宋体"/>
          <w:color w:val="000000"/>
          <w:sz w:val="24"/>
          <w:szCs w:val="24"/>
          <w:highlight w:val="none"/>
        </w:rPr>
        <w:t>28.2.2</w:t>
      </w:r>
      <w:r>
        <w:rPr>
          <w:rFonts w:hAnsi="宋体" w:cs="宋体"/>
          <w:color w:val="000000"/>
          <w:sz w:val="24"/>
          <w:szCs w:val="24"/>
          <w:highlight w:val="none"/>
        </w:rPr>
        <w:t>对过程提出质疑的，为各程序环节结束之日；</w:t>
      </w:r>
    </w:p>
    <w:p w14:paraId="599B5749">
      <w:pPr>
        <w:spacing w:line="440" w:lineRule="exact"/>
        <w:ind w:firstLine="480"/>
        <w:rPr>
          <w:rFonts w:hint="eastAsia" w:hAnsi="宋体" w:cs="宋体"/>
          <w:color w:val="000000"/>
          <w:sz w:val="24"/>
          <w:szCs w:val="24"/>
          <w:highlight w:val="none"/>
        </w:rPr>
      </w:pPr>
      <w:r>
        <w:rPr>
          <w:rFonts w:hint="eastAsia" w:ascii="宋体" w:hAnsi="宋体"/>
          <w:color w:val="000000"/>
          <w:sz w:val="24"/>
          <w:szCs w:val="24"/>
          <w:highlight w:val="none"/>
        </w:rPr>
        <w:t>28.2.3</w:t>
      </w:r>
      <w:r>
        <w:rPr>
          <w:rFonts w:hAnsi="宋体" w:cs="宋体"/>
          <w:color w:val="000000"/>
          <w:sz w:val="24"/>
          <w:szCs w:val="24"/>
          <w:highlight w:val="none"/>
        </w:rPr>
        <w:t>对中标或者成交结果提出质疑的，为中标或者成交结果公告期限届满之日。</w:t>
      </w:r>
    </w:p>
    <w:p w14:paraId="1490C55D">
      <w:pPr>
        <w:spacing w:line="440" w:lineRule="exact"/>
        <w:ind w:firstLine="480"/>
        <w:rPr>
          <w:rFonts w:hint="eastAsia" w:hAnsi="宋体" w:cs="宋体"/>
          <w:color w:val="000000"/>
          <w:sz w:val="24"/>
          <w:szCs w:val="24"/>
          <w:highlight w:val="none"/>
        </w:rPr>
      </w:pPr>
      <w:r>
        <w:rPr>
          <w:rFonts w:hint="eastAsia" w:hAnsi="宋体" w:cs="宋体"/>
          <w:color w:val="000000"/>
          <w:sz w:val="24"/>
          <w:szCs w:val="24"/>
          <w:highlight w:val="none"/>
          <w:lang w:eastAsia="zh-CN"/>
        </w:rPr>
        <w:t>投标人</w:t>
      </w:r>
      <w:r>
        <w:rPr>
          <w:rFonts w:hint="eastAsia" w:hAnsi="宋体" w:cs="宋体"/>
          <w:color w:val="000000"/>
          <w:sz w:val="24"/>
          <w:szCs w:val="24"/>
          <w:highlight w:val="none"/>
        </w:rPr>
        <w:t>应当在法定质疑期内一次性提出针对同一程序环节的质疑。</w:t>
      </w:r>
      <w:r>
        <w:rPr>
          <w:rFonts w:hint="eastAsia" w:hAnsi="宋体" w:cs="宋体"/>
          <w:color w:val="000000"/>
          <w:sz w:val="24"/>
          <w:szCs w:val="24"/>
          <w:highlight w:val="none"/>
          <w:lang w:eastAsia="zh-CN"/>
        </w:rPr>
        <w:t>投标人</w:t>
      </w:r>
      <w:r>
        <w:rPr>
          <w:rFonts w:hint="eastAsia" w:hAnsi="宋体" w:cs="宋体"/>
          <w:color w:val="000000"/>
          <w:sz w:val="24"/>
          <w:szCs w:val="24"/>
          <w:highlight w:val="none"/>
        </w:rPr>
        <w:t>如在法定期限内对同一程序环节提出多次质疑的，代理机构、</w:t>
      </w:r>
      <w:r>
        <w:rPr>
          <w:rFonts w:hint="eastAsia" w:ascii="宋体" w:hAnsi="宋体"/>
          <w:color w:val="000000"/>
          <w:sz w:val="24"/>
          <w:highlight w:val="none"/>
        </w:rPr>
        <w:t>招标</w:t>
      </w:r>
      <w:r>
        <w:rPr>
          <w:rFonts w:hAnsi="宋体" w:cs="宋体"/>
          <w:color w:val="000000"/>
          <w:sz w:val="24"/>
          <w:szCs w:val="24"/>
          <w:highlight w:val="none"/>
        </w:rPr>
        <w:t>人</w:t>
      </w:r>
      <w:r>
        <w:rPr>
          <w:rFonts w:hint="eastAsia" w:hAnsi="宋体" w:cs="宋体"/>
          <w:color w:val="000000"/>
          <w:sz w:val="24"/>
          <w:szCs w:val="24"/>
          <w:highlight w:val="none"/>
        </w:rPr>
        <w:t>将只对</w:t>
      </w:r>
      <w:r>
        <w:rPr>
          <w:rFonts w:hint="eastAsia" w:hAnsi="宋体" w:cs="宋体"/>
          <w:color w:val="000000"/>
          <w:sz w:val="24"/>
          <w:szCs w:val="24"/>
          <w:highlight w:val="none"/>
          <w:lang w:eastAsia="zh-CN"/>
        </w:rPr>
        <w:t>投标人</w:t>
      </w:r>
      <w:r>
        <w:rPr>
          <w:rFonts w:hint="eastAsia" w:hAnsi="宋体" w:cs="宋体"/>
          <w:color w:val="000000"/>
          <w:sz w:val="24"/>
          <w:szCs w:val="24"/>
          <w:highlight w:val="none"/>
        </w:rPr>
        <w:t>第一次质疑作出答复。</w:t>
      </w:r>
    </w:p>
    <w:p w14:paraId="3831D91B">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28.3质疑函必须按照本招标文件中《质疑函范本》要求的格式和内容进行填写。</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如组成联合体参加投标，则《质疑函范本》中要求签字、盖章、加盖公章之处，联合体各方均须按要求签字、盖章、加盖公章。</w:t>
      </w:r>
    </w:p>
    <w:p w14:paraId="4CA3E2D8">
      <w:pPr>
        <w:spacing w:line="440" w:lineRule="exact"/>
        <w:ind w:firstLine="480"/>
        <w:rPr>
          <w:rFonts w:hint="eastAsia" w:ascii="宋体" w:hAnsi="宋体"/>
          <w:b/>
          <w:color w:val="000000"/>
          <w:sz w:val="24"/>
          <w:szCs w:val="24"/>
          <w:highlight w:val="none"/>
        </w:rPr>
      </w:pPr>
      <w:r>
        <w:rPr>
          <w:rFonts w:hint="eastAsia" w:ascii="宋体" w:hAnsi="宋体"/>
          <w:color w:val="000000"/>
          <w:sz w:val="24"/>
          <w:szCs w:val="24"/>
          <w:highlight w:val="none"/>
        </w:rPr>
        <w:t>28.4</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（含潜在</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）对</w:t>
      </w:r>
      <w:r>
        <w:rPr>
          <w:rFonts w:ascii="宋体" w:hAnsi="宋体"/>
          <w:color w:val="000000"/>
          <w:sz w:val="24"/>
          <w:szCs w:val="24"/>
          <w:highlight w:val="none"/>
        </w:rPr>
        <w:t>方式、</w:t>
      </w:r>
      <w:r>
        <w:rPr>
          <w:rFonts w:hint="eastAsia" w:ascii="宋体" w:hAnsi="宋体"/>
          <w:color w:val="000000"/>
          <w:sz w:val="24"/>
          <w:szCs w:val="24"/>
          <w:highlight w:val="none"/>
        </w:rPr>
        <w:t>招标文件中</w:t>
      </w:r>
      <w:r>
        <w:rPr>
          <w:rFonts w:ascii="宋体" w:hAnsi="宋体"/>
          <w:color w:val="000000"/>
          <w:sz w:val="24"/>
          <w:szCs w:val="24"/>
          <w:highlight w:val="none"/>
        </w:rPr>
        <w:t>需求、</w:t>
      </w:r>
      <w:r>
        <w:rPr>
          <w:rFonts w:hint="eastAsia" w:ascii="宋体" w:hAnsi="宋体"/>
          <w:color w:val="000000"/>
          <w:sz w:val="24"/>
          <w:szCs w:val="24"/>
          <w:highlight w:val="none"/>
          <w:lang w:eastAsia="zh-CN"/>
        </w:rPr>
        <w:t>投标人</w:t>
      </w:r>
      <w:r>
        <w:rPr>
          <w:rFonts w:ascii="宋体" w:hAnsi="宋体"/>
          <w:color w:val="000000"/>
          <w:sz w:val="24"/>
          <w:szCs w:val="24"/>
          <w:highlight w:val="none"/>
        </w:rPr>
        <w:t>资格条件、</w:t>
      </w:r>
      <w:r>
        <w:rPr>
          <w:rFonts w:hint="eastAsia" w:ascii="宋体" w:hAnsi="宋体"/>
          <w:color w:val="000000"/>
          <w:sz w:val="24"/>
          <w:szCs w:val="24"/>
          <w:highlight w:val="none"/>
        </w:rPr>
        <w:t>评标方法</w:t>
      </w:r>
      <w:r>
        <w:rPr>
          <w:rFonts w:ascii="宋体" w:hAnsi="宋体"/>
          <w:color w:val="000000"/>
          <w:sz w:val="24"/>
          <w:szCs w:val="24"/>
          <w:highlight w:val="none"/>
        </w:rPr>
        <w:t>和评标标准、合同文本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w:t>
      </w:r>
      <w:r>
        <w:rPr>
          <w:rFonts w:hint="eastAsia" w:ascii="宋体" w:hAnsi="宋体"/>
          <w:color w:val="000000"/>
          <w:sz w:val="24"/>
          <w:highlight w:val="none"/>
        </w:rPr>
        <w:t>招标</w:t>
      </w:r>
      <w:r>
        <w:rPr>
          <w:rFonts w:ascii="宋体" w:hAnsi="宋体"/>
          <w:color w:val="000000"/>
          <w:sz w:val="24"/>
          <w:szCs w:val="24"/>
          <w:highlight w:val="none"/>
        </w:rPr>
        <w:t>人提出，由</w:t>
      </w:r>
      <w:r>
        <w:rPr>
          <w:rFonts w:hint="eastAsia" w:ascii="宋体" w:hAnsi="宋体"/>
          <w:color w:val="000000"/>
          <w:sz w:val="24"/>
          <w:highlight w:val="none"/>
        </w:rPr>
        <w:t>招标</w:t>
      </w:r>
      <w:r>
        <w:rPr>
          <w:rFonts w:ascii="宋体" w:hAnsi="宋体"/>
          <w:color w:val="000000"/>
          <w:sz w:val="24"/>
          <w:szCs w:val="24"/>
          <w:highlight w:val="none"/>
        </w:rPr>
        <w:t>人负责答复。</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对</w:t>
      </w:r>
      <w:r>
        <w:rPr>
          <w:rFonts w:ascii="宋体" w:hAnsi="宋体"/>
          <w:color w:val="000000"/>
          <w:sz w:val="24"/>
          <w:szCs w:val="24"/>
          <w:highlight w:val="none"/>
        </w:rPr>
        <w:t>其他事项</w:t>
      </w:r>
      <w:r>
        <w:rPr>
          <w:rFonts w:hint="eastAsia" w:ascii="宋体" w:hAnsi="宋体"/>
          <w:color w:val="000000"/>
          <w:sz w:val="24"/>
          <w:szCs w:val="24"/>
          <w:highlight w:val="none"/>
        </w:rPr>
        <w:t>的询问</w:t>
      </w:r>
      <w:r>
        <w:rPr>
          <w:rFonts w:ascii="宋体" w:hAnsi="宋体"/>
          <w:color w:val="000000"/>
          <w:sz w:val="24"/>
          <w:szCs w:val="24"/>
          <w:highlight w:val="none"/>
        </w:rPr>
        <w:t>、质疑请向</w:t>
      </w:r>
      <w:r>
        <w:rPr>
          <w:rFonts w:hint="eastAsia" w:ascii="宋体" w:hAnsi="宋体"/>
          <w:color w:val="000000"/>
          <w:sz w:val="24"/>
          <w:szCs w:val="24"/>
          <w:highlight w:val="none"/>
        </w:rPr>
        <w:t>代理机构</w:t>
      </w:r>
      <w:r>
        <w:rPr>
          <w:rFonts w:ascii="宋体" w:hAnsi="宋体"/>
          <w:color w:val="000000"/>
          <w:sz w:val="24"/>
          <w:szCs w:val="24"/>
          <w:highlight w:val="none"/>
        </w:rPr>
        <w:t>提出，由</w:t>
      </w:r>
      <w:r>
        <w:rPr>
          <w:rFonts w:hint="eastAsia" w:ascii="宋体" w:hAnsi="宋体"/>
          <w:color w:val="000000"/>
          <w:sz w:val="24"/>
          <w:szCs w:val="24"/>
          <w:highlight w:val="none"/>
        </w:rPr>
        <w:t>代理机构负责</w:t>
      </w:r>
      <w:r>
        <w:rPr>
          <w:rFonts w:ascii="宋体" w:hAnsi="宋体"/>
          <w:color w:val="000000"/>
          <w:sz w:val="24"/>
          <w:szCs w:val="24"/>
          <w:highlight w:val="none"/>
        </w:rPr>
        <w:t>答复。</w:t>
      </w:r>
    </w:p>
    <w:p w14:paraId="191255A8">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代理机构及</w:t>
      </w:r>
      <w:r>
        <w:rPr>
          <w:rFonts w:hint="eastAsia" w:ascii="宋体" w:hAnsi="宋体"/>
          <w:color w:val="000000"/>
          <w:sz w:val="24"/>
          <w:highlight w:val="none"/>
        </w:rPr>
        <w:t>招标</w:t>
      </w:r>
      <w:r>
        <w:rPr>
          <w:rFonts w:hint="eastAsia" w:ascii="宋体" w:hAnsi="宋体"/>
          <w:color w:val="000000"/>
          <w:sz w:val="24"/>
          <w:szCs w:val="24"/>
          <w:highlight w:val="none"/>
        </w:rPr>
        <w:t>人只接收以纸质原件形式送达的质疑,建议</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尽量通过邮寄方式提交质疑（</w:t>
      </w:r>
      <w:r>
        <w:rPr>
          <w:rFonts w:hint="eastAsia" w:ascii="宋体" w:hAnsi="宋体"/>
          <w:color w:val="000000"/>
          <w:sz w:val="24"/>
          <w:highlight w:val="none"/>
        </w:rPr>
        <w:t>招标</w:t>
      </w:r>
      <w:r>
        <w:rPr>
          <w:rFonts w:hint="eastAsia" w:ascii="宋体" w:hAnsi="宋体"/>
          <w:color w:val="000000"/>
          <w:sz w:val="24"/>
          <w:szCs w:val="24"/>
          <w:highlight w:val="none"/>
        </w:rPr>
        <w:t>人和代理机构不接受未填写快递运单的快件）。</w:t>
      </w:r>
    </w:p>
    <w:p w14:paraId="07707D5E">
      <w:pPr>
        <w:spacing w:line="440" w:lineRule="exact"/>
        <w:ind w:firstLine="480"/>
        <w:rPr>
          <w:rFonts w:hint="eastAsia" w:ascii="宋体" w:hAnsi="宋体"/>
          <w:color w:val="000000"/>
          <w:sz w:val="24"/>
          <w:szCs w:val="24"/>
          <w:highlight w:val="none"/>
        </w:rPr>
      </w:pPr>
      <w:r>
        <w:rPr>
          <w:rFonts w:hint="eastAsia" w:ascii="宋体" w:hAnsi="宋体"/>
          <w:color w:val="000000"/>
          <w:sz w:val="24"/>
          <w:highlight w:val="none"/>
        </w:rPr>
        <w:t>招标</w:t>
      </w:r>
      <w:r>
        <w:rPr>
          <w:rFonts w:hint="eastAsia" w:ascii="宋体" w:hAnsi="宋体"/>
          <w:color w:val="000000"/>
          <w:sz w:val="24"/>
          <w:szCs w:val="24"/>
          <w:highlight w:val="none"/>
        </w:rPr>
        <w:t>人质疑接收人及联系方式见招标文件第一章。</w:t>
      </w:r>
    </w:p>
    <w:p w14:paraId="229EA7AC">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 以下情形的质疑不予受理</w:t>
      </w:r>
    </w:p>
    <w:p w14:paraId="556FA3F5">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28.5.1 内容不符合《政府质疑和投诉办法》第十二条规定的质疑。</w:t>
      </w:r>
    </w:p>
    <w:p w14:paraId="42317F12">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28.5.2 超出政府法定期限的质疑。</w:t>
      </w:r>
    </w:p>
    <w:p w14:paraId="239460BB">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28.5.3 以传真、电子邮件等方式递交的非原件形式的质疑。</w:t>
      </w:r>
    </w:p>
    <w:p w14:paraId="087B1155">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28.5.4 未参加投标活动的</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或在投标活动中自身权益未受到损害的</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所提出的质疑。</w:t>
      </w:r>
    </w:p>
    <w:p w14:paraId="791347EF">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28.5.5</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组成联合体参加投标，联合体中任何一方或多方未按要求签字、盖章、加盖公章的质疑。</w:t>
      </w:r>
    </w:p>
    <w:p w14:paraId="64B2DFD7">
      <w:pPr>
        <w:spacing w:line="440" w:lineRule="exact"/>
        <w:ind w:firstLine="468"/>
        <w:rPr>
          <w:rFonts w:hint="eastAsia" w:ascii="宋体" w:hAnsi="宋体"/>
          <w:color w:val="000000"/>
          <w:sz w:val="24"/>
          <w:szCs w:val="24"/>
          <w:highlight w:val="none"/>
        </w:rPr>
      </w:pPr>
      <w:r>
        <w:rPr>
          <w:rFonts w:hint="eastAsia" w:ascii="宋体" w:hAnsi="宋体"/>
          <w:color w:val="000000"/>
          <w:sz w:val="24"/>
          <w:szCs w:val="24"/>
          <w:highlight w:val="none"/>
        </w:rPr>
        <w:t xml:space="preserve">28.6 </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提出书面质疑必须有理、有据，不得捏造事实、提供虚假材料进行恶意质疑。否则，一经查实，</w:t>
      </w:r>
      <w:r>
        <w:rPr>
          <w:rFonts w:hint="eastAsia" w:ascii="宋体" w:hAnsi="宋体"/>
          <w:color w:val="000000"/>
          <w:sz w:val="24"/>
          <w:highlight w:val="none"/>
        </w:rPr>
        <w:t>招标</w:t>
      </w:r>
      <w:r>
        <w:rPr>
          <w:rFonts w:hint="eastAsia" w:ascii="宋体" w:hAnsi="宋体"/>
          <w:color w:val="000000"/>
          <w:sz w:val="24"/>
          <w:szCs w:val="24"/>
          <w:highlight w:val="none"/>
        </w:rPr>
        <w:t>人或代理机构有权依据政府的有关规定，报请政府监管部门对该</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进行相应的行政处罚和记录该</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的失信信息。</w:t>
      </w:r>
    </w:p>
    <w:p w14:paraId="3A0B9EE1">
      <w:pPr>
        <w:pStyle w:val="187"/>
        <w:spacing w:before="0" w:after="0" w:line="440" w:lineRule="exact"/>
        <w:ind w:firstLine="480"/>
        <w:rPr>
          <w:rFonts w:hint="eastAsia" w:ascii="黑体" w:hAnsi="宋体"/>
          <w:b w:val="0"/>
          <w:color w:val="000000"/>
          <w:sz w:val="24"/>
          <w:szCs w:val="24"/>
          <w:highlight w:val="none"/>
        </w:rPr>
      </w:pPr>
      <w:r>
        <w:rPr>
          <w:rFonts w:hint="eastAsia" w:ascii="黑体" w:hAnsi="宋体"/>
          <w:b w:val="0"/>
          <w:color w:val="000000"/>
          <w:sz w:val="24"/>
          <w:szCs w:val="24"/>
          <w:highlight w:val="none"/>
        </w:rPr>
        <w:t>29、中标通知书</w:t>
      </w:r>
    </w:p>
    <w:p w14:paraId="0FDF6521">
      <w:pPr>
        <w:spacing w:line="44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F27D57">
      <w:pPr>
        <w:spacing w:line="44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29.</w:t>
      </w:r>
      <w:r>
        <w:rPr>
          <w:rFonts w:ascii="宋体" w:hAnsi="宋体"/>
          <w:color w:val="000000"/>
          <w:sz w:val="24"/>
          <w:szCs w:val="24"/>
          <w:highlight w:val="none"/>
        </w:rPr>
        <w:t>2</w:t>
      </w:r>
      <w:r>
        <w:rPr>
          <w:rFonts w:hint="eastAsia" w:ascii="宋体" w:hAnsi="宋体"/>
          <w:color w:val="000000"/>
          <w:sz w:val="24"/>
          <w:szCs w:val="24"/>
          <w:highlight w:val="none"/>
        </w:rPr>
        <w:t>中标通知书将是合同的一个组成部分。对</w:t>
      </w:r>
      <w:r>
        <w:rPr>
          <w:rFonts w:hint="eastAsia" w:ascii="宋体" w:hAnsi="宋体"/>
          <w:color w:val="000000"/>
          <w:sz w:val="24"/>
          <w:highlight w:val="none"/>
        </w:rPr>
        <w:t>招标</w:t>
      </w:r>
      <w:r>
        <w:rPr>
          <w:rFonts w:hint="eastAsia" w:ascii="宋体" w:hAnsi="宋体"/>
          <w:color w:val="000000"/>
          <w:sz w:val="24"/>
          <w:szCs w:val="24"/>
          <w:highlight w:val="none"/>
        </w:rPr>
        <w:t>人和中标人均具有法律效力。中标通知书发出后，</w:t>
      </w:r>
      <w:r>
        <w:rPr>
          <w:rFonts w:hint="eastAsia" w:ascii="宋体" w:hAnsi="宋体"/>
          <w:color w:val="000000"/>
          <w:sz w:val="24"/>
          <w:highlight w:val="none"/>
        </w:rPr>
        <w:t>招标</w:t>
      </w:r>
      <w:r>
        <w:rPr>
          <w:rFonts w:hint="eastAsia" w:ascii="宋体" w:hAnsi="宋体"/>
          <w:color w:val="000000"/>
          <w:sz w:val="24"/>
          <w:szCs w:val="24"/>
          <w:highlight w:val="none"/>
        </w:rPr>
        <w:t>人改变中标结果的，或者中标人放弃中标项目的，应当依法承担法律责任。</w:t>
      </w:r>
    </w:p>
    <w:p w14:paraId="673F2A3C">
      <w:pPr>
        <w:pStyle w:val="185"/>
        <w:spacing w:before="120" w:after="120" w:line="440" w:lineRule="exact"/>
        <w:ind w:firstLine="361"/>
        <w:rPr>
          <w:rFonts w:hint="eastAsia"/>
          <w:color w:val="000000"/>
          <w:sz w:val="24"/>
          <w:szCs w:val="24"/>
          <w:highlight w:val="none"/>
        </w:rPr>
      </w:pPr>
      <w:bookmarkStart w:id="179" w:name="_Toc120614220"/>
      <w:bookmarkStart w:id="180" w:name="_Toc513029236"/>
      <w:bookmarkStart w:id="181" w:name="_Toc16938552"/>
      <w:bookmarkStart w:id="182" w:name="_Toc20823308"/>
      <w:r>
        <w:rPr>
          <w:rFonts w:hint="eastAsia"/>
          <w:color w:val="000000"/>
          <w:sz w:val="24"/>
          <w:szCs w:val="24"/>
          <w:highlight w:val="none"/>
        </w:rPr>
        <w:t>七、授予合同</w:t>
      </w:r>
      <w:bookmarkEnd w:id="179"/>
    </w:p>
    <w:bookmarkEnd w:id="180"/>
    <w:bookmarkEnd w:id="181"/>
    <w:bookmarkEnd w:id="182"/>
    <w:p w14:paraId="6E413202">
      <w:pPr>
        <w:pStyle w:val="187"/>
        <w:spacing w:before="0" w:after="0" w:line="440" w:lineRule="exact"/>
        <w:ind w:firstLine="480"/>
        <w:rPr>
          <w:rFonts w:hint="eastAsia" w:ascii="黑体" w:hAnsi="宋体"/>
          <w:b w:val="0"/>
          <w:color w:val="000000"/>
          <w:sz w:val="24"/>
          <w:szCs w:val="24"/>
          <w:highlight w:val="none"/>
        </w:rPr>
      </w:pPr>
      <w:bookmarkStart w:id="183" w:name="_Toc20823309"/>
      <w:bookmarkStart w:id="184" w:name="_Toc16938553"/>
      <w:bookmarkStart w:id="185" w:name="_Toc513029237"/>
      <w:r>
        <w:rPr>
          <w:rFonts w:hint="eastAsia" w:ascii="黑体" w:hAnsi="宋体"/>
          <w:b w:val="0"/>
          <w:color w:val="000000"/>
          <w:sz w:val="24"/>
          <w:szCs w:val="24"/>
          <w:highlight w:val="none"/>
        </w:rPr>
        <w:t>30. 签订合同</w:t>
      </w:r>
    </w:p>
    <w:p w14:paraId="120579C6">
      <w:pPr>
        <w:spacing w:line="440" w:lineRule="exact"/>
        <w:ind w:firstLine="600"/>
        <w:rPr>
          <w:rFonts w:hint="eastAsia" w:ascii="宋体" w:hAnsi="宋体"/>
          <w:color w:val="000000"/>
          <w:sz w:val="24"/>
          <w:szCs w:val="24"/>
          <w:highlight w:val="none"/>
        </w:rPr>
      </w:pPr>
      <w:r>
        <w:rPr>
          <w:rFonts w:hint="eastAsia" w:ascii="宋体" w:hAnsi="宋体"/>
          <w:bCs/>
          <w:color w:val="000000"/>
          <w:sz w:val="24"/>
          <w:szCs w:val="24"/>
          <w:highlight w:val="none"/>
        </w:rPr>
        <w:t>30</w:t>
      </w:r>
      <w:r>
        <w:rPr>
          <w:rFonts w:hint="eastAsia" w:ascii="宋体" w:hAnsi="宋体"/>
          <w:color w:val="000000"/>
          <w:sz w:val="24"/>
          <w:szCs w:val="24"/>
          <w:highlight w:val="none"/>
        </w:rPr>
        <w:t>.l中标人应当在中标通知书发出之日起十五日内，按照招标文件确定的事项与</w:t>
      </w:r>
      <w:r>
        <w:rPr>
          <w:rFonts w:hint="eastAsia" w:ascii="宋体" w:hAnsi="宋体"/>
          <w:color w:val="000000"/>
          <w:sz w:val="24"/>
          <w:highlight w:val="none"/>
        </w:rPr>
        <w:t>招标</w:t>
      </w:r>
      <w:r>
        <w:rPr>
          <w:rFonts w:hint="eastAsia" w:ascii="宋体" w:hAnsi="宋体"/>
          <w:color w:val="000000"/>
          <w:sz w:val="24"/>
          <w:szCs w:val="24"/>
          <w:highlight w:val="none"/>
        </w:rPr>
        <w:t>人签订政府合同。</w:t>
      </w:r>
    </w:p>
    <w:p w14:paraId="4A8E7D6A">
      <w:pPr>
        <w:spacing w:line="44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招标文件、中标人的投标文件及招标过程中有关澄清、承诺文件均应作为合同附件。</w:t>
      </w:r>
    </w:p>
    <w:p w14:paraId="65C6ABD0">
      <w:pPr>
        <w:spacing w:line="440" w:lineRule="exact"/>
        <w:ind w:firstLine="600"/>
        <w:rPr>
          <w:rFonts w:hint="eastAsia" w:ascii="宋体" w:hAnsi="宋体"/>
          <w:color w:val="000000"/>
          <w:sz w:val="24"/>
          <w:szCs w:val="24"/>
          <w:highlight w:val="none"/>
        </w:rPr>
      </w:pPr>
      <w:r>
        <w:rPr>
          <w:rFonts w:hint="eastAsia" w:ascii="宋体" w:hAnsi="宋体"/>
          <w:color w:val="000000"/>
          <w:sz w:val="24"/>
          <w:szCs w:val="24"/>
          <w:highlight w:val="none"/>
        </w:rPr>
        <w:t>30.3 签订合同后，</w:t>
      </w:r>
      <w:r>
        <w:rPr>
          <w:rFonts w:hint="eastAsia" w:ascii="宋体" w:hAnsi="宋体"/>
          <w:i/>
          <w:color w:val="000000"/>
          <w:sz w:val="24"/>
          <w:szCs w:val="24"/>
          <w:highlight w:val="none"/>
          <w:u w:val="single"/>
        </w:rPr>
        <w:t>中标人不得将合同标的进行转包</w:t>
      </w:r>
      <w:r>
        <w:rPr>
          <w:rFonts w:hint="eastAsia" w:ascii="宋体" w:hAnsi="宋体"/>
          <w:color w:val="000000"/>
          <w:sz w:val="24"/>
          <w:szCs w:val="24"/>
          <w:highlight w:val="none"/>
        </w:rPr>
        <w:t>。未经</w:t>
      </w:r>
      <w:r>
        <w:rPr>
          <w:rFonts w:hint="eastAsia" w:ascii="宋体" w:hAnsi="宋体"/>
          <w:color w:val="000000"/>
          <w:sz w:val="24"/>
          <w:highlight w:val="none"/>
        </w:rPr>
        <w:t>招标</w:t>
      </w:r>
      <w:r>
        <w:rPr>
          <w:rFonts w:hint="eastAsia" w:ascii="宋体" w:hAnsi="宋体"/>
          <w:color w:val="000000"/>
          <w:sz w:val="24"/>
          <w:szCs w:val="24"/>
          <w:highlight w:val="none"/>
        </w:rPr>
        <w:t>人同意，中标人也不得采用分包的形式履行合同，否则</w:t>
      </w:r>
      <w:r>
        <w:rPr>
          <w:rFonts w:hint="eastAsia" w:ascii="宋体" w:hAnsi="宋体"/>
          <w:color w:val="000000"/>
          <w:sz w:val="24"/>
          <w:highlight w:val="none"/>
        </w:rPr>
        <w:t>招标</w:t>
      </w:r>
      <w:r>
        <w:rPr>
          <w:rFonts w:hint="eastAsia" w:ascii="宋体" w:hAnsi="宋体"/>
          <w:color w:val="000000"/>
          <w:sz w:val="24"/>
          <w:szCs w:val="24"/>
          <w:highlight w:val="none"/>
        </w:rPr>
        <w:t>人有权终止合同。转包或分包造成人损失的，中标人应承担相应赔偿责任。</w:t>
      </w:r>
    </w:p>
    <w:p w14:paraId="1F8BBADA">
      <w:pPr>
        <w:pStyle w:val="187"/>
        <w:spacing w:before="0" w:after="0" w:line="440" w:lineRule="exact"/>
        <w:ind w:firstLine="480"/>
        <w:rPr>
          <w:rFonts w:hint="eastAsia" w:ascii="黑体" w:hAnsi="宋体"/>
          <w:b w:val="0"/>
          <w:color w:val="000000"/>
          <w:sz w:val="24"/>
          <w:szCs w:val="24"/>
          <w:highlight w:val="none"/>
        </w:rPr>
      </w:pPr>
      <w:r>
        <w:rPr>
          <w:rFonts w:hint="eastAsia" w:ascii="黑体" w:hAnsi="宋体"/>
          <w:b w:val="0"/>
          <w:color w:val="000000"/>
          <w:sz w:val="24"/>
          <w:szCs w:val="24"/>
          <w:highlight w:val="none"/>
        </w:rPr>
        <w:t>31、服务（包含与服务相关的货物）的追加</w:t>
      </w:r>
    </w:p>
    <w:p w14:paraId="51190A1F">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31.1政府合同履行中，</w:t>
      </w:r>
      <w:r>
        <w:rPr>
          <w:rFonts w:hint="eastAsia" w:ascii="宋体" w:hAnsi="宋体"/>
          <w:color w:val="000000"/>
          <w:sz w:val="24"/>
          <w:highlight w:val="none"/>
        </w:rPr>
        <w:t>招标</w:t>
      </w:r>
      <w:r>
        <w:rPr>
          <w:rFonts w:hint="eastAsia" w:ascii="宋体" w:hAnsi="宋体"/>
          <w:color w:val="000000"/>
          <w:sz w:val="24"/>
          <w:szCs w:val="24"/>
          <w:highlight w:val="none"/>
        </w:rPr>
        <w:t>人需追加与合同标的相同的服务（包含与服务相关的货物），在不改变合同其他条款的前提下，可以与中标人协商签订补充合同，但所有补充合同的金额不超过原合同金额10%。</w:t>
      </w:r>
    </w:p>
    <w:bookmarkEnd w:id="183"/>
    <w:bookmarkEnd w:id="184"/>
    <w:bookmarkEnd w:id="185"/>
    <w:p w14:paraId="7B5CD307">
      <w:pPr>
        <w:pStyle w:val="187"/>
        <w:spacing w:before="0" w:after="0" w:line="440" w:lineRule="exact"/>
        <w:ind w:firstLine="480"/>
        <w:rPr>
          <w:rFonts w:ascii="黑体" w:hAnsi="宋体"/>
          <w:b w:val="0"/>
          <w:color w:val="000000"/>
          <w:sz w:val="24"/>
          <w:szCs w:val="24"/>
          <w:highlight w:val="none"/>
        </w:rPr>
      </w:pPr>
      <w:bookmarkStart w:id="186" w:name="_Toc479757207"/>
      <w:bookmarkStart w:id="187" w:name="_Toc16938558"/>
      <w:bookmarkStart w:id="188" w:name="_Toc513029242"/>
      <w:bookmarkStart w:id="189" w:name="_Toc120614221"/>
      <w:bookmarkStart w:id="190" w:name="_Toc20823314"/>
      <w:r>
        <w:rPr>
          <w:rFonts w:hint="eastAsia" w:ascii="黑体" w:hAnsi="宋体"/>
          <w:b w:val="0"/>
          <w:color w:val="000000"/>
          <w:sz w:val="24"/>
          <w:szCs w:val="24"/>
          <w:highlight w:val="none"/>
        </w:rPr>
        <w:t>32、政府履约资金扶持政策</w:t>
      </w:r>
    </w:p>
    <w:p w14:paraId="03A9DA7B">
      <w:pPr>
        <w:pStyle w:val="186"/>
        <w:spacing w:line="440" w:lineRule="exact"/>
        <w:rPr>
          <w:rFonts w:hint="eastAsia"/>
          <w:color w:val="000000"/>
          <w:sz w:val="24"/>
          <w:szCs w:val="24"/>
          <w:highlight w:val="none"/>
        </w:rPr>
      </w:pPr>
      <w:r>
        <w:rPr>
          <w:rFonts w:hint="eastAsia"/>
          <w:color w:val="000000"/>
          <w:sz w:val="24"/>
          <w:szCs w:val="24"/>
          <w:highlight w:val="none"/>
        </w:rPr>
        <w:t>中标人可凭政府采购合同办理融资贷款，详情请查阅江苏政府采购网站“政采贷”栏目。</w:t>
      </w:r>
    </w:p>
    <w:p w14:paraId="4B20A2BF">
      <w:pPr>
        <w:pStyle w:val="186"/>
        <w:spacing w:line="440" w:lineRule="exact"/>
        <w:rPr>
          <w:rFonts w:hint="eastAsia"/>
          <w:color w:val="000000"/>
          <w:sz w:val="24"/>
          <w:szCs w:val="24"/>
          <w:highlight w:val="none"/>
        </w:rPr>
      </w:pPr>
    </w:p>
    <w:p w14:paraId="001C9F48">
      <w:pPr>
        <w:pStyle w:val="200"/>
        <w:rPr>
          <w:rFonts w:hint="eastAsia"/>
          <w:color w:val="000000"/>
          <w:sz w:val="24"/>
          <w:szCs w:val="24"/>
          <w:highlight w:val="none"/>
        </w:rPr>
      </w:pPr>
    </w:p>
    <w:p w14:paraId="34A77327">
      <w:pPr>
        <w:pStyle w:val="183"/>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第三章  合同</w:t>
      </w:r>
      <w:bookmarkEnd w:id="186"/>
      <w:bookmarkEnd w:id="187"/>
      <w:bookmarkEnd w:id="188"/>
      <w:bookmarkEnd w:id="189"/>
      <w:bookmarkEnd w:id="190"/>
      <w:r>
        <w:rPr>
          <w:rFonts w:hint="eastAsia" w:ascii="黑体" w:eastAsia="黑体"/>
          <w:bCs/>
          <w:color w:val="000000"/>
          <w:sz w:val="32"/>
          <w:szCs w:val="32"/>
          <w:highlight w:val="none"/>
        </w:rPr>
        <w:t>文本</w:t>
      </w:r>
    </w:p>
    <w:p w14:paraId="52830F41">
      <w:pPr>
        <w:spacing w:line="440" w:lineRule="exact"/>
        <w:ind w:firstLine="480"/>
        <w:rPr>
          <w:rFonts w:hint="eastAsia" w:ascii="宋体" w:hAnsi="宋体"/>
          <w:bCs/>
          <w:color w:val="000000"/>
          <w:sz w:val="24"/>
          <w:highlight w:val="none"/>
        </w:rPr>
      </w:pPr>
      <w:bookmarkStart w:id="191" w:name="_Toc16938559"/>
      <w:bookmarkStart w:id="192" w:name="_Toc20823315"/>
      <w:bookmarkStart w:id="193" w:name="_Toc513029243"/>
      <w:r>
        <w:rPr>
          <w:rFonts w:hint="eastAsia" w:ascii="宋体" w:hAnsi="宋体"/>
          <w:bCs/>
          <w:color w:val="000000"/>
          <w:sz w:val="24"/>
          <w:highlight w:val="none"/>
        </w:rPr>
        <w:t>以下为中标后签定本项目合同的通用条款，中标人不得提出实质性的修改。</w:t>
      </w:r>
    </w:p>
    <w:p w14:paraId="2A1B3A52">
      <w:pPr>
        <w:pStyle w:val="206"/>
        <w:widowControl w:val="0"/>
        <w:spacing w:before="0" w:beforeAutospacing="0" w:after="0" w:afterAutospacing="0"/>
        <w:jc w:val="both"/>
        <w:rPr>
          <w:rFonts w:hint="eastAsia"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s">
            <w:drawing>
              <wp:anchor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4" name="文本框 14"/>
                <wp:cNvGraphicFramePr/>
                <a:graphic xmlns:a="http://schemas.openxmlformats.org/drawingml/2006/main">
                  <a:graphicData uri="http://schemas.microsoft.com/office/word/2010/wordprocessingShape">
                    <wps:wsp>
                      <wps:cNvSpPr txBox="1"/>
                      <wps:spPr bwMode="auto">
                        <a:xfrm>
                          <a:off x="0" y="0"/>
                          <a:ext cx="1952625" cy="647700"/>
                        </a:xfrm>
                        <a:prstGeom prst="rect">
                          <a:avLst/>
                        </a:prstGeom>
                        <a:solidFill>
                          <a:srgbClr val="FFFFFF"/>
                        </a:solidFill>
                        <a:ln>
                          <a:solidFill>
                            <a:srgbClr val="000000"/>
                          </a:solidFill>
                        </a:ln>
                      </wps:spPr>
                      <wps:txbx>
                        <w:txbxContent>
                          <w:p w14:paraId="507F8DDB">
                            <w:pPr>
                              <w:pStyle w:val="206"/>
                              <w:widowControl w:val="0"/>
                              <w:spacing w:before="0" w:beforeAutospacing="0" w:after="0" w:afterAutospacing="0"/>
                              <w:jc w:val="center"/>
                              <w:rPr>
                                <w:rFonts w:hint="eastAsia" w:eastAsia="宋体"/>
                              </w:rPr>
                            </w:pPr>
                            <w:r>
                              <w:rPr>
                                <w:rFonts w:hint="eastAsia" w:eastAsia="宋体"/>
                                <w:lang w:bidi="ar"/>
                              </w:rPr>
                              <w:t>合同备案章</w:t>
                            </w:r>
                          </w:p>
                          <w:p w14:paraId="59D7D4BF">
                            <w:pPr>
                              <w:pStyle w:val="206"/>
                              <w:widowControl w:val="0"/>
                              <w:spacing w:before="0" w:beforeAutospacing="0" w:after="0" w:afterAutospacing="0"/>
                              <w:jc w:val="center"/>
                              <w:rPr>
                                <w:rFonts w:hint="eastAsia" w:ascii="仿宋_GB2312" w:hAnsi="Cambria" w:eastAsia="仿宋_GB2312" w:cs="仿宋_GB2312"/>
                              </w:rPr>
                            </w:pPr>
                          </w:p>
                          <w:p w14:paraId="557E4894"/>
                        </w:txbxContent>
                      </wps:txbx>
                      <wps:bodyPr wrap="square" upright="1"/>
                    </wps:wsp>
                  </a:graphicData>
                </a:graphic>
              </wp:anchor>
            </w:drawing>
          </mc:Choice>
          <mc:Fallback>
            <w:pict>
              <v:shape id="_x0000_s1026" o:spid="_x0000_s1026" o:spt="202" type="#_x0000_t202" style="position:absolute;left:0pt;margin-left:286.8pt;margin-top:-1.05pt;height:51pt;width:153.75pt;z-index:251659264;mso-width-relative:page;mso-height-relative:page;" fillcolor="#FFFFFF" filled="t" stroked="t" coordsize="21600,21600" o:gfxdata="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8O/pNkAAAAJAQAADwAA&#10;AAAAAAABACAAAAAiAAAAZHJzL2Rvd25yZXYueG1sUEsBAhQAFAAAAAgAh07iQK/ga/fcAQAAvgMA&#10;AA4AAAAAAAAAAQAgAAAAKAEAAGRycy9lMm9Eb2MueG1sUEsFBgAAAAAGAAYAWQEAAHYFAAAAAA==&#10;">
                <v:fill on="t" focussize="0,0"/>
                <v:stroke color="#000000" joinstyle="round"/>
                <v:imagedata o:title=""/>
                <o:lock v:ext="edit" aspectratio="f"/>
                <v:textbox>
                  <w:txbxContent>
                    <w:p w14:paraId="507F8DDB">
                      <w:pPr>
                        <w:pStyle w:val="206"/>
                        <w:widowControl w:val="0"/>
                        <w:spacing w:before="0" w:beforeAutospacing="0" w:after="0" w:afterAutospacing="0"/>
                        <w:jc w:val="center"/>
                        <w:rPr>
                          <w:rFonts w:hint="eastAsia" w:eastAsia="宋体"/>
                        </w:rPr>
                      </w:pPr>
                      <w:r>
                        <w:rPr>
                          <w:rFonts w:hint="eastAsia" w:eastAsia="宋体"/>
                          <w:lang w:bidi="ar"/>
                        </w:rPr>
                        <w:t>合同备案章</w:t>
                      </w:r>
                    </w:p>
                    <w:p w14:paraId="59D7D4BF">
                      <w:pPr>
                        <w:pStyle w:val="206"/>
                        <w:widowControl w:val="0"/>
                        <w:spacing w:before="0" w:beforeAutospacing="0" w:after="0" w:afterAutospacing="0"/>
                        <w:jc w:val="center"/>
                        <w:rPr>
                          <w:rFonts w:hint="eastAsia" w:ascii="仿宋_GB2312" w:hAnsi="Cambria" w:eastAsia="仿宋_GB2312" w:cs="仿宋_GB2312"/>
                        </w:rPr>
                      </w:pPr>
                    </w:p>
                    <w:p w14:paraId="557E4894"/>
                  </w:txbxContent>
                </v:textbox>
              </v:shape>
            </w:pict>
          </mc:Fallback>
        </mc:AlternateContent>
      </w:r>
      <w:r>
        <w:rPr>
          <w:rFonts w:hint="eastAsia" w:ascii="仿宋_GB2312" w:eastAsia="仿宋_GB2312" w:cs="仿宋_GB2312"/>
          <w:b/>
          <w:bCs/>
          <w:color w:val="000000"/>
          <w:position w:val="120"/>
          <w:highlight w:val="none"/>
        </w:rPr>
        <w:t>合同编号：</w:t>
      </w:r>
      <w:r>
        <w:rPr>
          <w:rFonts w:hint="eastAsia" w:ascii="仿宋_GB2312" w:eastAsia="仿宋_GB2312" w:cs="仿宋_GB2312"/>
          <w:b/>
          <w:bCs/>
          <w:color w:val="000000"/>
          <w:position w:val="120"/>
          <w:highlight w:val="none"/>
          <w:lang w:eastAsia="zh-CN"/>
        </w:rPr>
        <w:t>YZZCSK2026-00X</w:t>
      </w:r>
    </w:p>
    <w:p w14:paraId="7E3D27D8">
      <w:pPr>
        <w:pStyle w:val="206"/>
        <w:widowControl w:val="0"/>
        <w:spacing w:before="600" w:beforeAutospacing="0" w:after="1200" w:afterAutospacing="0"/>
        <w:jc w:val="center"/>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扬中市政府合同</w:t>
      </w:r>
    </w:p>
    <w:p w14:paraId="42BC6026">
      <w:pPr>
        <w:pStyle w:val="206"/>
        <w:widowControl w:val="0"/>
        <w:spacing w:before="0" w:beforeAutospacing="0" w:after="0" w:afterAutospacing="0" w:line="840" w:lineRule="auto"/>
        <w:ind w:firstLine="960"/>
        <w:jc w:val="both"/>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项目名称：</w:t>
      </w:r>
      <w:r>
        <w:rPr>
          <w:rFonts w:hint="eastAsia" w:ascii="黑体" w:eastAsia="黑体" w:cs="黑体"/>
          <w:color w:val="000000"/>
          <w:sz w:val="32"/>
          <w:szCs w:val="32"/>
          <w:highlight w:val="none"/>
          <w:u w:val="single"/>
          <w:lang w:bidi="ar"/>
        </w:rPr>
        <w:t xml:space="preserve">                                 </w:t>
      </w:r>
    </w:p>
    <w:p w14:paraId="3E82C146">
      <w:pPr>
        <w:pStyle w:val="206"/>
        <w:widowControl w:val="0"/>
        <w:spacing w:before="0" w:beforeAutospacing="0" w:after="0" w:afterAutospacing="0" w:line="840" w:lineRule="auto"/>
        <w:ind w:firstLine="960"/>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项目编号：</w:t>
      </w:r>
      <w:r>
        <w:rPr>
          <w:rFonts w:hint="eastAsia" w:ascii="黑体" w:eastAsia="黑体" w:cs="黑体"/>
          <w:color w:val="000000"/>
          <w:sz w:val="32"/>
          <w:szCs w:val="32"/>
          <w:highlight w:val="none"/>
          <w:u w:val="single"/>
          <w:lang w:bidi="ar"/>
        </w:rPr>
        <w:t xml:space="preserve">                                  </w:t>
      </w:r>
    </w:p>
    <w:p w14:paraId="28319C4A">
      <w:pPr>
        <w:pStyle w:val="206"/>
        <w:widowControl w:val="0"/>
        <w:spacing w:before="0" w:beforeAutospacing="0" w:after="0" w:afterAutospacing="0" w:line="840" w:lineRule="auto"/>
        <w:ind w:firstLine="960"/>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招标人：</w:t>
      </w:r>
      <w:r>
        <w:rPr>
          <w:rFonts w:hint="eastAsia" w:ascii="黑体" w:eastAsia="黑体" w:cs="黑体"/>
          <w:color w:val="000000"/>
          <w:sz w:val="32"/>
          <w:szCs w:val="32"/>
          <w:highlight w:val="none"/>
          <w:u w:val="single"/>
          <w:lang w:bidi="ar"/>
        </w:rPr>
        <w:t xml:space="preserve">                                  </w:t>
      </w:r>
    </w:p>
    <w:p w14:paraId="616E0FA8">
      <w:pPr>
        <w:pStyle w:val="206"/>
        <w:widowControl w:val="0"/>
        <w:spacing w:before="0" w:beforeAutospacing="0" w:after="0" w:afterAutospacing="0" w:line="840" w:lineRule="auto"/>
        <w:ind w:firstLine="960"/>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中标单位：</w:t>
      </w:r>
      <w:r>
        <w:rPr>
          <w:rFonts w:hint="eastAsia" w:ascii="黑体" w:eastAsia="黑体" w:cs="黑体"/>
          <w:color w:val="000000"/>
          <w:sz w:val="32"/>
          <w:szCs w:val="32"/>
          <w:highlight w:val="none"/>
          <w:u w:val="single"/>
          <w:lang w:bidi="ar"/>
        </w:rPr>
        <w:t xml:space="preserve">                                    </w:t>
      </w:r>
    </w:p>
    <w:p w14:paraId="13FA35F9">
      <w:pPr>
        <w:pStyle w:val="206"/>
        <w:widowControl w:val="0"/>
        <w:spacing w:before="0" w:beforeAutospacing="0" w:after="0" w:afterAutospacing="0" w:line="360" w:lineRule="auto"/>
        <w:jc w:val="both"/>
        <w:rPr>
          <w:rFonts w:hint="eastAsia" w:ascii="黑体" w:eastAsia="黑体" w:cs="黑体"/>
          <w:color w:val="000000"/>
          <w:sz w:val="32"/>
          <w:szCs w:val="32"/>
          <w:highlight w:val="none"/>
          <w:lang w:bidi="ar"/>
        </w:rPr>
      </w:pPr>
    </w:p>
    <w:p w14:paraId="70E95BC6">
      <w:pPr>
        <w:pStyle w:val="206"/>
        <w:widowControl w:val="0"/>
        <w:spacing w:before="0" w:beforeAutospacing="0" w:after="0" w:afterAutospacing="0" w:line="360" w:lineRule="auto"/>
        <w:jc w:val="center"/>
        <w:rPr>
          <w:rFonts w:hint="eastAsia" w:ascii="黑体" w:eastAsia="黑体" w:cs="黑体"/>
          <w:color w:val="000000"/>
          <w:sz w:val="32"/>
          <w:szCs w:val="32"/>
          <w:highlight w:val="none"/>
          <w:lang w:bidi="ar"/>
        </w:rPr>
      </w:pPr>
    </w:p>
    <w:p w14:paraId="0A275B44">
      <w:pPr>
        <w:pStyle w:val="206"/>
        <w:widowControl w:val="0"/>
        <w:spacing w:before="0" w:beforeAutospacing="0" w:after="0" w:afterAutospacing="0" w:line="360" w:lineRule="auto"/>
        <w:jc w:val="center"/>
        <w:rPr>
          <w:rFonts w:hint="eastAsia" w:ascii="黑体" w:eastAsia="黑体" w:cs="黑体"/>
          <w:color w:val="000000"/>
          <w:sz w:val="32"/>
          <w:szCs w:val="32"/>
          <w:highlight w:val="none"/>
          <w:lang w:eastAsia="zh-CN" w:bidi="ar"/>
        </w:rPr>
      </w:pPr>
      <w:r>
        <w:rPr>
          <w:rFonts w:hint="eastAsia" w:ascii="黑体" w:eastAsia="黑体" w:cs="黑体"/>
          <w:color w:val="000000"/>
          <w:sz w:val="32"/>
          <w:szCs w:val="32"/>
          <w:highlight w:val="none"/>
          <w:lang w:eastAsia="zh-CN" w:bidi="ar"/>
        </w:rPr>
        <w:t>镇江晟科工程管理咨询有限公司</w:t>
      </w:r>
    </w:p>
    <w:p w14:paraId="7085604D">
      <w:pPr>
        <w:pStyle w:val="206"/>
        <w:widowControl w:val="0"/>
        <w:spacing w:before="0" w:beforeAutospacing="0" w:after="0" w:afterAutospacing="0" w:line="360" w:lineRule="auto"/>
        <w:jc w:val="center"/>
        <w:rPr>
          <w:b/>
          <w:bCs/>
          <w:color w:val="000000"/>
          <w:sz w:val="32"/>
          <w:szCs w:val="32"/>
          <w:highlight w:val="none"/>
        </w:rPr>
      </w:pPr>
      <w:r>
        <w:rPr>
          <w:rFonts w:hint="eastAsia" w:ascii="黑体" w:eastAsia="黑体" w:cs="黑体"/>
          <w:color w:val="000000"/>
          <w:sz w:val="32"/>
          <w:szCs w:val="32"/>
          <w:highlight w:val="none"/>
          <w:lang w:bidi="ar"/>
        </w:rPr>
        <w:t>年</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  月    日</w:t>
      </w:r>
    </w:p>
    <w:p w14:paraId="0E1DABA4">
      <w:pPr>
        <w:pStyle w:val="192"/>
        <w:keepNext w:val="0"/>
        <w:keepLines w:val="0"/>
        <w:pageBreakBefore w:val="0"/>
        <w:kinsoku/>
        <w:wordWrap/>
        <w:overflowPunct/>
        <w:topLinePunct w:val="0"/>
        <w:autoSpaceDE/>
        <w:autoSpaceDN/>
        <w:bidi w:val="0"/>
        <w:snapToGrid w:val="0"/>
        <w:spacing w:line="440" w:lineRule="atLeast"/>
        <w:textAlignment w:val="auto"/>
        <w:rPr>
          <w:rFonts w:hint="eastAsia" w:hAnsi="宋体" w:eastAsia="宋体"/>
          <w:color w:val="000000"/>
          <w:sz w:val="24"/>
          <w:szCs w:val="24"/>
          <w:highlight w:val="none"/>
          <w:lang w:eastAsia="zh-CN"/>
        </w:rPr>
      </w:pPr>
      <w:r>
        <w:rPr>
          <w:rFonts w:hAnsi="宋体"/>
          <w:color w:val="000000"/>
          <w:sz w:val="24"/>
          <w:szCs w:val="24"/>
          <w:highlight w:val="none"/>
        </w:rPr>
        <w:br w:type="page" w:clear="all"/>
      </w:r>
      <w:r>
        <w:rPr>
          <w:rFonts w:hAnsi="宋体"/>
          <w:color w:val="000000"/>
          <w:sz w:val="24"/>
          <w:szCs w:val="24"/>
          <w:highlight w:val="none"/>
        </w:rPr>
        <w:t>项目名称：</w:t>
      </w:r>
      <w:r>
        <w:rPr>
          <w:rFonts w:hint="eastAsia" w:hAnsi="宋体"/>
          <w:color w:val="000000"/>
          <w:sz w:val="24"/>
          <w:szCs w:val="24"/>
          <w:highlight w:val="none"/>
          <w:lang w:eastAsia="zh-CN"/>
        </w:rPr>
        <w:t>赫顿海工装备（江苏）有限公司环网柜迁移项目</w:t>
      </w:r>
    </w:p>
    <w:p w14:paraId="18346C53">
      <w:pPr>
        <w:pStyle w:val="192"/>
        <w:keepNext w:val="0"/>
        <w:keepLines w:val="0"/>
        <w:pageBreakBefore w:val="0"/>
        <w:kinsoku/>
        <w:wordWrap/>
        <w:overflowPunct/>
        <w:topLinePunct w:val="0"/>
        <w:autoSpaceDE/>
        <w:autoSpaceDN/>
        <w:bidi w:val="0"/>
        <w:snapToGrid w:val="0"/>
        <w:spacing w:line="440" w:lineRule="atLeast"/>
        <w:textAlignment w:val="auto"/>
        <w:rPr>
          <w:rFonts w:hAnsi="宋体"/>
          <w:color w:val="000000"/>
          <w:sz w:val="24"/>
          <w:szCs w:val="24"/>
          <w:highlight w:val="none"/>
        </w:rPr>
      </w:pPr>
      <w:r>
        <w:rPr>
          <w:rFonts w:hAnsi="宋体"/>
          <w:color w:val="000000"/>
          <w:sz w:val="24"/>
          <w:szCs w:val="24"/>
          <w:highlight w:val="none"/>
        </w:rPr>
        <w:t>项目编号：</w:t>
      </w:r>
      <w:r>
        <w:rPr>
          <w:rFonts w:hint="eastAsia" w:hAnsi="宋体"/>
          <w:color w:val="000000"/>
          <w:sz w:val="24"/>
          <w:szCs w:val="24"/>
          <w:highlight w:val="none"/>
          <w:lang w:eastAsia="zh-CN"/>
        </w:rPr>
        <w:t>JSZC-321182-ZJSK-G2026-0003</w:t>
      </w:r>
      <w:r>
        <w:rPr>
          <w:rFonts w:hint="eastAsia" w:hAnsi="宋体"/>
          <w:color w:val="000000"/>
          <w:sz w:val="24"/>
          <w:szCs w:val="24"/>
          <w:highlight w:val="none"/>
        </w:rPr>
        <w:t xml:space="preserve">    </w:t>
      </w:r>
    </w:p>
    <w:p w14:paraId="0BB3A307">
      <w:pPr>
        <w:pStyle w:val="192"/>
        <w:keepNext w:val="0"/>
        <w:keepLines w:val="0"/>
        <w:pageBreakBefore w:val="0"/>
        <w:kinsoku/>
        <w:wordWrap/>
        <w:overflowPunct/>
        <w:topLinePunct w:val="0"/>
        <w:autoSpaceDE/>
        <w:autoSpaceDN/>
        <w:bidi w:val="0"/>
        <w:snapToGrid w:val="0"/>
        <w:spacing w:line="440" w:lineRule="atLeast"/>
        <w:textAlignment w:val="auto"/>
        <w:rPr>
          <w:rFonts w:hint="eastAsia" w:hAnsi="宋体" w:eastAsia="宋体"/>
          <w:color w:val="000000"/>
          <w:sz w:val="24"/>
          <w:szCs w:val="24"/>
          <w:highlight w:val="none"/>
          <w:u w:val="single"/>
          <w:lang w:eastAsia="zh-CN"/>
        </w:rPr>
      </w:pPr>
      <w:r>
        <w:rPr>
          <w:rFonts w:hAnsi="宋体"/>
          <w:color w:val="000000"/>
          <w:sz w:val="24"/>
          <w:szCs w:val="24"/>
          <w:highlight w:val="none"/>
        </w:rPr>
        <w:t>甲方：（买方）</w:t>
      </w:r>
      <w:r>
        <w:rPr>
          <w:rFonts w:hint="eastAsia" w:hAnsi="宋体"/>
          <w:color w:val="000000"/>
          <w:sz w:val="24"/>
          <w:szCs w:val="24"/>
          <w:highlight w:val="none"/>
          <w:u w:val="single"/>
          <w:lang w:eastAsia="zh-CN"/>
        </w:rPr>
        <w:t>扬中经济开发区管理委员会</w:t>
      </w:r>
    </w:p>
    <w:p w14:paraId="09B6596F">
      <w:pPr>
        <w:pStyle w:val="192"/>
        <w:keepNext w:val="0"/>
        <w:keepLines w:val="0"/>
        <w:pageBreakBefore w:val="0"/>
        <w:kinsoku/>
        <w:wordWrap/>
        <w:overflowPunct/>
        <w:topLinePunct w:val="0"/>
        <w:autoSpaceDE/>
        <w:autoSpaceDN/>
        <w:bidi w:val="0"/>
        <w:snapToGrid w:val="0"/>
        <w:spacing w:line="440" w:lineRule="atLeast"/>
        <w:textAlignment w:val="auto"/>
        <w:rPr>
          <w:rFonts w:hAnsi="宋体"/>
          <w:color w:val="000000"/>
          <w:sz w:val="24"/>
          <w:szCs w:val="24"/>
          <w:highlight w:val="none"/>
        </w:rPr>
      </w:pPr>
      <w:r>
        <w:rPr>
          <w:rFonts w:hAnsi="宋体"/>
          <w:color w:val="000000"/>
          <w:sz w:val="24"/>
          <w:szCs w:val="24"/>
          <w:highlight w:val="none"/>
        </w:rPr>
        <w:t>乙方：（卖方）________</w:t>
      </w:r>
    </w:p>
    <w:p w14:paraId="04FB8BC0">
      <w:pPr>
        <w:pStyle w:val="192"/>
        <w:keepNext w:val="0"/>
        <w:keepLines w:val="0"/>
        <w:pageBreakBefore w:val="0"/>
        <w:kinsoku/>
        <w:wordWrap/>
        <w:overflowPunct/>
        <w:topLinePunct w:val="0"/>
        <w:autoSpaceDE/>
        <w:autoSpaceDN/>
        <w:bidi w:val="0"/>
        <w:snapToGrid w:val="0"/>
        <w:spacing w:line="440" w:lineRule="atLeast"/>
        <w:textAlignment w:val="auto"/>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赫顿海工装备（江苏）有限公司环网柜迁移项目</w:t>
      </w:r>
      <w:r>
        <w:rPr>
          <w:rFonts w:hint="eastAsia" w:hAnsi="宋体"/>
          <w:color w:val="000000"/>
          <w:sz w:val="24"/>
          <w:szCs w:val="24"/>
          <w:highlight w:val="none"/>
        </w:rPr>
        <w:t>（项目编号：</w:t>
      </w:r>
      <w:r>
        <w:rPr>
          <w:rFonts w:hint="eastAsia" w:hAnsi="宋体"/>
          <w:color w:val="000000"/>
          <w:sz w:val="24"/>
          <w:szCs w:val="24"/>
          <w:highlight w:val="none"/>
          <w:lang w:eastAsia="zh-CN"/>
        </w:rPr>
        <w:t>JSZC-321182-ZJSK-G2026-0003</w:t>
      </w:r>
      <w:r>
        <w:rPr>
          <w:rFonts w:hint="eastAsia" w:hAnsi="宋体"/>
          <w:color w:val="000000"/>
          <w:sz w:val="24"/>
          <w:szCs w:val="24"/>
          <w:highlight w:val="none"/>
        </w:rPr>
        <w:t>）</w:t>
      </w:r>
      <w:r>
        <w:rPr>
          <w:rFonts w:hAnsi="宋体"/>
          <w:color w:val="000000"/>
          <w:sz w:val="24"/>
          <w:szCs w:val="24"/>
          <w:highlight w:val="none"/>
        </w:rPr>
        <w:t>公开招标的结果，签署本合同。</w:t>
      </w:r>
    </w:p>
    <w:p w14:paraId="6BDD42D2">
      <w:pPr>
        <w:pStyle w:val="192"/>
        <w:keepNext w:val="0"/>
        <w:keepLines w:val="0"/>
        <w:pageBreakBefore w:val="0"/>
        <w:kinsoku/>
        <w:wordWrap/>
        <w:overflowPunct/>
        <w:topLinePunct w:val="0"/>
        <w:autoSpaceDE/>
        <w:autoSpaceDN/>
        <w:bidi w:val="0"/>
        <w:snapToGrid w:val="0"/>
        <w:spacing w:line="440" w:lineRule="atLeast"/>
        <w:textAlignment w:val="auto"/>
        <w:rPr>
          <w:rFonts w:hAnsi="宋体"/>
          <w:b/>
          <w:color w:val="000000"/>
          <w:sz w:val="24"/>
          <w:szCs w:val="24"/>
          <w:highlight w:val="none"/>
        </w:rPr>
      </w:pPr>
      <w:r>
        <w:rPr>
          <w:rFonts w:hAnsi="宋体"/>
          <w:b/>
          <w:color w:val="000000"/>
          <w:sz w:val="24"/>
          <w:szCs w:val="24"/>
          <w:highlight w:val="none"/>
        </w:rPr>
        <w:t>一、</w:t>
      </w:r>
      <w:r>
        <w:rPr>
          <w:rFonts w:hint="eastAsia" w:hAnsi="宋体"/>
          <w:b/>
          <w:color w:val="000000"/>
          <w:sz w:val="24"/>
          <w:szCs w:val="24"/>
          <w:highlight w:val="none"/>
        </w:rPr>
        <w:t>合同</w:t>
      </w:r>
      <w:r>
        <w:rPr>
          <w:rFonts w:hAnsi="宋体"/>
          <w:b/>
          <w:color w:val="000000"/>
          <w:sz w:val="24"/>
          <w:szCs w:val="24"/>
          <w:highlight w:val="none"/>
        </w:rPr>
        <w:t>内容</w:t>
      </w:r>
    </w:p>
    <w:p w14:paraId="37864979">
      <w:pPr>
        <w:pStyle w:val="192"/>
        <w:keepNext w:val="0"/>
        <w:keepLines w:val="0"/>
        <w:pageBreakBefore w:val="0"/>
        <w:kinsoku/>
        <w:wordWrap/>
        <w:overflowPunct/>
        <w:topLinePunct w:val="0"/>
        <w:autoSpaceDE/>
        <w:autoSpaceDN/>
        <w:bidi w:val="0"/>
        <w:snapToGrid w:val="0"/>
        <w:spacing w:line="440" w:lineRule="atLeast"/>
        <w:ind w:firstLine="480"/>
        <w:textAlignment w:val="auto"/>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标的</w:t>
      </w:r>
      <w:r>
        <w:rPr>
          <w:rFonts w:hAnsi="宋体"/>
          <w:color w:val="000000"/>
          <w:sz w:val="24"/>
          <w:szCs w:val="24"/>
          <w:highlight w:val="none"/>
        </w:rPr>
        <w:t>名称：</w:t>
      </w:r>
      <w:r>
        <w:rPr>
          <w:rFonts w:hint="eastAsia" w:hAnsi="宋体"/>
          <w:color w:val="000000"/>
          <w:sz w:val="24"/>
          <w:szCs w:val="24"/>
          <w:highlight w:val="none"/>
          <w:lang w:eastAsia="zh-CN"/>
        </w:rPr>
        <w:t>赫顿海工装备（江苏）有限公司环网柜迁移项目</w:t>
      </w:r>
      <w:r>
        <w:rPr>
          <w:rFonts w:hint="eastAsia" w:hAnsi="宋体"/>
          <w:color w:val="000000"/>
          <w:sz w:val="24"/>
          <w:szCs w:val="24"/>
          <w:highlight w:val="none"/>
        </w:rPr>
        <w:t>；</w:t>
      </w:r>
    </w:p>
    <w:p w14:paraId="2847BC79">
      <w:pPr>
        <w:pStyle w:val="192"/>
        <w:keepNext w:val="0"/>
        <w:keepLines w:val="0"/>
        <w:pageBreakBefore w:val="0"/>
        <w:kinsoku/>
        <w:wordWrap/>
        <w:overflowPunct/>
        <w:topLinePunct w:val="0"/>
        <w:autoSpaceDE/>
        <w:autoSpaceDN/>
        <w:bidi w:val="0"/>
        <w:snapToGrid w:val="0"/>
        <w:spacing w:line="440" w:lineRule="atLeast"/>
        <w:ind w:firstLine="480"/>
        <w:textAlignment w:val="auto"/>
        <w:rPr>
          <w:rFonts w:hint="eastAsia" w:hAnsi="宋体"/>
          <w:color w:val="000000"/>
          <w:sz w:val="24"/>
          <w:szCs w:val="24"/>
          <w:highlight w:val="none"/>
        </w:rPr>
      </w:pPr>
      <w:r>
        <w:rPr>
          <w:rFonts w:hAnsi="宋体"/>
          <w:color w:val="000000"/>
          <w:sz w:val="24"/>
          <w:szCs w:val="24"/>
          <w:highlight w:val="none"/>
        </w:rPr>
        <w:t>1.2</w:t>
      </w:r>
      <w:r>
        <w:rPr>
          <w:rFonts w:hint="eastAsia" w:hAnsi="宋体"/>
          <w:color w:val="000000"/>
          <w:sz w:val="24"/>
          <w:szCs w:val="24"/>
          <w:highlight w:val="none"/>
        </w:rPr>
        <w:t>标的质量：合格；</w:t>
      </w:r>
    </w:p>
    <w:p w14:paraId="00930E08">
      <w:pPr>
        <w:pStyle w:val="192"/>
        <w:keepNext w:val="0"/>
        <w:keepLines w:val="0"/>
        <w:pageBreakBefore w:val="0"/>
        <w:kinsoku/>
        <w:wordWrap/>
        <w:overflowPunct/>
        <w:topLinePunct w:val="0"/>
        <w:autoSpaceDE/>
        <w:autoSpaceDN/>
        <w:bidi w:val="0"/>
        <w:snapToGrid w:val="0"/>
        <w:spacing w:line="440" w:lineRule="atLeast"/>
        <w:ind w:firstLine="480"/>
        <w:textAlignment w:val="auto"/>
        <w:rPr>
          <w:rFonts w:hint="eastAsia" w:hAnsi="宋体"/>
          <w:color w:val="000000"/>
          <w:sz w:val="24"/>
          <w:szCs w:val="24"/>
          <w:highlight w:val="none"/>
        </w:rPr>
      </w:pPr>
      <w:r>
        <w:rPr>
          <w:rFonts w:hint="eastAsia" w:hAnsi="宋体"/>
          <w:color w:val="000000"/>
          <w:sz w:val="24"/>
          <w:szCs w:val="24"/>
          <w:highlight w:val="none"/>
        </w:rPr>
        <w:t>1.3标的数量（规模）：</w:t>
      </w:r>
      <w:r>
        <w:rPr>
          <w:rFonts w:hint="eastAsia" w:hAnsi="宋体"/>
          <w:color w:val="000000"/>
          <w:sz w:val="24"/>
          <w:szCs w:val="24"/>
          <w:highlight w:val="none"/>
          <w:lang w:eastAsia="zh-CN"/>
        </w:rPr>
        <w:t>赫顿海工装备（江苏）有限公司环网柜迁移项目</w:t>
      </w:r>
      <w:r>
        <w:rPr>
          <w:rFonts w:hint="eastAsia" w:hAnsi="宋体"/>
          <w:color w:val="000000"/>
          <w:sz w:val="24"/>
          <w:szCs w:val="24"/>
          <w:highlight w:val="none"/>
        </w:rPr>
        <w:t>，具体详见需求；</w:t>
      </w:r>
    </w:p>
    <w:p w14:paraId="606A4102">
      <w:pPr>
        <w:pStyle w:val="192"/>
        <w:keepNext w:val="0"/>
        <w:keepLines w:val="0"/>
        <w:pageBreakBefore w:val="0"/>
        <w:kinsoku/>
        <w:wordWrap/>
        <w:overflowPunct/>
        <w:topLinePunct w:val="0"/>
        <w:autoSpaceDE/>
        <w:autoSpaceDN/>
        <w:bidi w:val="0"/>
        <w:snapToGrid w:val="0"/>
        <w:spacing w:line="440" w:lineRule="atLeast"/>
        <w:ind w:firstLine="480"/>
        <w:textAlignment w:val="auto"/>
        <w:rPr>
          <w:rFonts w:hint="eastAsia" w:hAnsi="宋体"/>
          <w:color w:val="000000"/>
          <w:sz w:val="24"/>
          <w:szCs w:val="24"/>
          <w:highlight w:val="none"/>
        </w:rPr>
      </w:pPr>
      <w:r>
        <w:rPr>
          <w:rFonts w:hint="eastAsia" w:hAnsi="宋体"/>
          <w:color w:val="000000"/>
          <w:sz w:val="24"/>
          <w:szCs w:val="24"/>
          <w:highlight w:val="none"/>
        </w:rPr>
        <w:t>1.4履行时间（期限）：</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日历天，即</w:t>
      </w:r>
      <w:r>
        <w:rPr>
          <w:rFonts w:hint="eastAsia" w:hAnsi="宋体"/>
          <w:color w:val="000000"/>
          <w:sz w:val="24"/>
          <w:szCs w:val="24"/>
          <w:highlight w:val="none"/>
          <w:u w:val="single"/>
          <w:lang w:val="en-US" w:eastAsia="zh-CN"/>
        </w:rPr>
        <w:t xml:space="preserve"> </w:t>
      </w:r>
      <w:r>
        <w:rPr>
          <w:rFonts w:hint="eastAsia" w:hAnsi="宋体"/>
          <w:b w:val="0"/>
          <w:bCs w:val="0"/>
          <w:color w:val="00000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年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rPr>
        <w:t xml:space="preserve">  月   日</w:t>
      </w:r>
      <w:r>
        <w:rPr>
          <w:rFonts w:hint="eastAsia" w:hAnsi="宋体"/>
          <w:color w:val="000000"/>
          <w:sz w:val="24"/>
          <w:szCs w:val="24"/>
          <w:highlight w:val="none"/>
        </w:rPr>
        <w:t>；</w:t>
      </w:r>
    </w:p>
    <w:p w14:paraId="139A3114">
      <w:pPr>
        <w:pStyle w:val="192"/>
        <w:keepNext w:val="0"/>
        <w:keepLines w:val="0"/>
        <w:pageBreakBefore w:val="0"/>
        <w:kinsoku/>
        <w:wordWrap/>
        <w:overflowPunct/>
        <w:topLinePunct w:val="0"/>
        <w:autoSpaceDE/>
        <w:autoSpaceDN/>
        <w:bidi w:val="0"/>
        <w:snapToGrid w:val="0"/>
        <w:spacing w:line="440" w:lineRule="atLeast"/>
        <w:ind w:firstLine="480"/>
        <w:textAlignment w:val="auto"/>
        <w:rPr>
          <w:rFonts w:hAnsi="宋体"/>
          <w:color w:val="000000"/>
          <w:sz w:val="24"/>
          <w:szCs w:val="24"/>
          <w:highlight w:val="none"/>
        </w:rPr>
      </w:pPr>
      <w:r>
        <w:rPr>
          <w:rFonts w:hint="eastAsia" w:hAnsi="宋体"/>
          <w:color w:val="000000"/>
          <w:sz w:val="24"/>
          <w:szCs w:val="24"/>
          <w:highlight w:val="none"/>
        </w:rPr>
        <w:t>1.5履行地点：扬中市；</w:t>
      </w:r>
    </w:p>
    <w:p w14:paraId="5A2E053E">
      <w:pPr>
        <w:pStyle w:val="192"/>
        <w:keepNext w:val="0"/>
        <w:keepLines w:val="0"/>
        <w:pageBreakBefore w:val="0"/>
        <w:kinsoku/>
        <w:wordWrap/>
        <w:overflowPunct/>
        <w:topLinePunct w:val="0"/>
        <w:autoSpaceDE/>
        <w:autoSpaceDN/>
        <w:bidi w:val="0"/>
        <w:snapToGrid w:val="0"/>
        <w:spacing w:line="440" w:lineRule="atLeast"/>
        <w:ind w:firstLine="480"/>
        <w:textAlignment w:val="auto"/>
        <w:rPr>
          <w:rFonts w:hint="eastAsia" w:hAnsi="宋体"/>
          <w:color w:val="000000"/>
          <w:sz w:val="24"/>
          <w:szCs w:val="24"/>
          <w:highlight w:val="none"/>
        </w:rPr>
      </w:pPr>
      <w:r>
        <w:rPr>
          <w:rFonts w:hAnsi="宋体"/>
          <w:color w:val="000000"/>
          <w:sz w:val="24"/>
          <w:szCs w:val="24"/>
          <w:highlight w:val="none"/>
        </w:rPr>
        <w:t>1.</w:t>
      </w:r>
      <w:r>
        <w:rPr>
          <w:rFonts w:hint="eastAsia" w:hAnsi="宋体"/>
          <w:color w:val="000000"/>
          <w:sz w:val="24"/>
          <w:szCs w:val="24"/>
          <w:highlight w:val="none"/>
        </w:rPr>
        <w:t>6履行方式：详见合同、招标文件、投标文件等。</w:t>
      </w:r>
    </w:p>
    <w:p w14:paraId="59C321A2">
      <w:pPr>
        <w:pStyle w:val="192"/>
        <w:keepNext w:val="0"/>
        <w:keepLines w:val="0"/>
        <w:pageBreakBefore w:val="0"/>
        <w:kinsoku/>
        <w:wordWrap/>
        <w:overflowPunct/>
        <w:topLinePunct w:val="0"/>
        <w:autoSpaceDE/>
        <w:autoSpaceDN/>
        <w:bidi w:val="0"/>
        <w:snapToGrid w:val="0"/>
        <w:spacing w:line="440" w:lineRule="atLeast"/>
        <w:ind w:firstLine="480"/>
        <w:textAlignment w:val="auto"/>
        <w:rPr>
          <w:rFonts w:hint="eastAsia" w:hAnsi="宋体"/>
          <w:color w:val="000000"/>
          <w:sz w:val="24"/>
          <w:szCs w:val="24"/>
          <w:highlight w:val="none"/>
        </w:rPr>
      </w:pPr>
      <w:r>
        <w:rPr>
          <w:rFonts w:hint="eastAsia" w:ascii="宋体" w:hAnsi="宋体" w:eastAsia="宋体" w:cs="Times New Roman"/>
          <w:color w:val="000000"/>
          <w:sz w:val="24"/>
          <w:szCs w:val="24"/>
          <w:highlight w:val="none"/>
        </w:rPr>
        <w:t>1.</w:t>
      </w:r>
      <w:r>
        <w:rPr>
          <w:rFonts w:hint="eastAsia" w:ascii="宋体" w:hAnsi="宋体" w:eastAsia="宋体" w:cs="Times New Roman"/>
          <w:color w:val="000000"/>
          <w:sz w:val="24"/>
          <w:szCs w:val="24"/>
          <w:highlight w:val="none"/>
          <w:lang w:val="en-US" w:eastAsia="zh-CN"/>
        </w:rPr>
        <w:t>7</w:t>
      </w:r>
      <w:r>
        <w:rPr>
          <w:rFonts w:hint="eastAsia" w:ascii="宋体" w:hAnsi="宋体" w:eastAsia="宋体" w:cs="Times New Roman"/>
          <w:color w:val="000000"/>
          <w:sz w:val="24"/>
          <w:szCs w:val="24"/>
          <w:highlight w:val="none"/>
        </w:rPr>
        <w:t>缺陷责任期：</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年，自工程</w:t>
      </w:r>
      <w:r>
        <w:rPr>
          <w:rFonts w:hint="eastAsia" w:ascii="宋体" w:hAnsi="宋体" w:eastAsia="宋体" w:cs="Times New Roman"/>
          <w:color w:val="000000"/>
          <w:sz w:val="24"/>
          <w:szCs w:val="24"/>
          <w:highlight w:val="none"/>
          <w:lang w:val="en-US" w:eastAsia="zh-CN"/>
        </w:rPr>
        <w:t>竣（</w:t>
      </w:r>
      <w:r>
        <w:rPr>
          <w:rFonts w:hint="eastAsia" w:ascii="宋体" w:hAnsi="宋体" w:eastAsia="宋体" w:cs="Times New Roman"/>
          <w:color w:val="000000"/>
          <w:sz w:val="24"/>
          <w:szCs w:val="24"/>
          <w:highlight w:val="none"/>
        </w:rPr>
        <w:t>交</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工验收之日起开始算。</w:t>
      </w:r>
    </w:p>
    <w:p w14:paraId="41E14EE4">
      <w:pPr>
        <w:pStyle w:val="192"/>
        <w:keepNext w:val="0"/>
        <w:keepLines w:val="0"/>
        <w:pageBreakBefore w:val="0"/>
        <w:kinsoku/>
        <w:wordWrap/>
        <w:overflowPunct/>
        <w:topLinePunct w:val="0"/>
        <w:autoSpaceDE/>
        <w:autoSpaceDN/>
        <w:bidi w:val="0"/>
        <w:snapToGrid w:val="0"/>
        <w:spacing w:line="440" w:lineRule="atLeast"/>
        <w:textAlignment w:val="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二、合同金额</w:t>
      </w:r>
    </w:p>
    <w:p w14:paraId="05B21077">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u w:val="single"/>
        </w:rPr>
      </w:pPr>
      <w:r>
        <w:rPr>
          <w:rFonts w:hint="eastAsia" w:ascii="宋体" w:hAnsi="宋体" w:eastAsia="宋体" w:cs="Times New Roman"/>
          <w:color w:val="000000"/>
          <w:sz w:val="24"/>
          <w:szCs w:val="24"/>
          <w:highlight w:val="none"/>
          <w:lang w:val="en-US" w:eastAsia="zh-CN" w:bidi="ar-SA"/>
        </w:rPr>
        <w:t>2.1 合同价款（人民币大写）：</w:t>
      </w:r>
      <w:r>
        <w:rPr>
          <w:rFonts w:hint="eastAsia" w:ascii="宋体" w:hAnsi="宋体" w:eastAsia="宋体" w:cs="宋体"/>
          <w:color w:val="auto"/>
          <w:sz w:val="24"/>
          <w:szCs w:val="24"/>
          <w:highlight w:val="none"/>
          <w:u w:val="single"/>
        </w:rPr>
        <w:t xml:space="preserve">             元，￥： 元。</w:t>
      </w:r>
    </w:p>
    <w:p w14:paraId="311BB7E9">
      <w:pPr>
        <w:keepNext w:val="0"/>
        <w:keepLines w:val="0"/>
        <w:pageBreakBefore w:val="0"/>
        <w:widowControl/>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6AA29BC3">
      <w:pPr>
        <w:keepNext w:val="0"/>
        <w:keepLines w:val="0"/>
        <w:pageBreakBefore w:val="0"/>
        <w:widowControl/>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AA89C46">
      <w:pPr>
        <w:keepNext w:val="0"/>
        <w:keepLines w:val="0"/>
        <w:pageBreakBefore w:val="0"/>
        <w:widowControl/>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2BD075B9">
      <w:pPr>
        <w:keepNext w:val="0"/>
        <w:keepLines w:val="0"/>
        <w:pageBreakBefore w:val="0"/>
        <w:widowControl/>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71158FA9">
      <w:pPr>
        <w:keepNext w:val="0"/>
        <w:keepLines w:val="0"/>
        <w:pageBreakBefore w:val="0"/>
        <w:widowControl/>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D301473">
      <w:pPr>
        <w:keepNext w:val="0"/>
        <w:keepLines w:val="0"/>
        <w:pageBreakBefore w:val="0"/>
        <w:widowControl/>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以上详见招标文件及投标文件。</w:t>
      </w:r>
    </w:p>
    <w:p w14:paraId="7763F112">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三、合同款项支付</w:t>
      </w:r>
    </w:p>
    <w:p w14:paraId="2CC0AE72">
      <w:pPr>
        <w:keepNext w:val="0"/>
        <w:keepLines w:val="0"/>
        <w:pageBreakBefore w:val="0"/>
        <w:kinsoku/>
        <w:wordWrap/>
        <w:overflowPunct/>
        <w:topLinePunct w:val="0"/>
        <w:autoSpaceDE/>
        <w:autoSpaceDN/>
        <w:bidi w:val="0"/>
        <w:snapToGrid w:val="0"/>
        <w:spacing w:before="120" w:after="120" w:line="440" w:lineRule="atLeast"/>
        <w:ind w:firstLine="480"/>
        <w:jc w:val="left"/>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w:t>
      </w:r>
      <w:r>
        <w:rPr>
          <w:rFonts w:hint="eastAsia" w:ascii="宋体" w:hAnsi="宋体" w:eastAsia="宋体"/>
          <w:color w:val="auto"/>
          <w:sz w:val="24"/>
          <w:szCs w:val="24"/>
          <w:highlight w:val="none"/>
          <w:lang w:val="en-US" w:eastAsia="zh-CN"/>
        </w:rPr>
        <w:t>乙方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（需要/不需要）甲方支付预付款。</w:t>
      </w:r>
    </w:p>
    <w:p w14:paraId="4A0AA00D">
      <w:pPr>
        <w:keepNext w:val="0"/>
        <w:keepLines w:val="0"/>
        <w:pageBreakBefore w:val="0"/>
        <w:kinsoku/>
        <w:wordWrap/>
        <w:overflowPunct/>
        <w:topLinePunct w:val="0"/>
        <w:autoSpaceDE/>
        <w:autoSpaceDN/>
        <w:bidi w:val="0"/>
        <w:snapToGrid w:val="0"/>
        <w:spacing w:line="440" w:lineRule="atLeast"/>
        <w:ind w:firstLine="48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若需要预付款：甲方自收到发票之日起10个工作日内，付至合同价的30%（本项目预付款比例为合同金额的30%，预付款支付金额为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万元）；工程验收合格后付至合同价的80%，审计结束后付至审定价的97%，余款于工程缺陷责任期期满后一次性付清。</w:t>
      </w:r>
    </w:p>
    <w:p w14:paraId="2AD9C291">
      <w:pPr>
        <w:keepNext w:val="0"/>
        <w:keepLines w:val="0"/>
        <w:pageBreakBefore w:val="0"/>
        <w:kinsoku/>
        <w:wordWrap/>
        <w:overflowPunct/>
        <w:topLinePunct w:val="0"/>
        <w:autoSpaceDE/>
        <w:autoSpaceDN/>
        <w:bidi w:val="0"/>
        <w:snapToGrid w:val="0"/>
        <w:spacing w:line="440" w:lineRule="atLeast"/>
        <w:ind w:firstLine="480"/>
        <w:jc w:val="left"/>
        <w:textAlignment w:val="auto"/>
        <w:rPr>
          <w:rFonts w:hint="eastAsia" w:ascii="宋体" w:hAnsi="宋体" w:eastAsia="宋体"/>
          <w:color w:val="000000"/>
          <w:sz w:val="24"/>
          <w:szCs w:val="24"/>
          <w:highlight w:val="none"/>
        </w:rPr>
      </w:pPr>
      <w:r>
        <w:rPr>
          <w:rFonts w:hint="eastAsia" w:ascii="宋体" w:hAnsi="宋体" w:eastAsia="宋体" w:cs="宋体"/>
          <w:b w:val="0"/>
          <w:bCs w:val="0"/>
          <w:color w:val="auto"/>
          <w:sz w:val="24"/>
          <w:szCs w:val="24"/>
          <w:highlight w:val="none"/>
          <w:lang w:val="en-US" w:eastAsia="zh-CN"/>
        </w:rPr>
        <w:t>不需要预付款：工程验收合格后付至合同价的80%，审计结束后付至审定价的97%，余款于工程缺陷责任期期满后一次性付清。</w:t>
      </w:r>
    </w:p>
    <w:p w14:paraId="2A4F9CC9">
      <w:pPr>
        <w:keepNext w:val="0"/>
        <w:keepLines w:val="0"/>
        <w:pageBreakBefore w:val="0"/>
        <w:kinsoku/>
        <w:wordWrap/>
        <w:overflowPunct/>
        <w:topLinePunct w:val="0"/>
        <w:autoSpaceDE/>
        <w:autoSpaceDN/>
        <w:bidi w:val="0"/>
        <w:snapToGrid w:val="0"/>
        <w:spacing w:before="120" w:after="120" w:line="440" w:lineRule="atLeast"/>
        <w:ind w:firstLine="480"/>
        <w:jc w:val="left"/>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2.工作量调整时，结算单价不调整。</w:t>
      </w:r>
    </w:p>
    <w:p w14:paraId="1B0489B6">
      <w:pPr>
        <w:keepNext w:val="0"/>
        <w:keepLines w:val="0"/>
        <w:pageBreakBefore w:val="0"/>
        <w:kinsoku/>
        <w:wordWrap/>
        <w:overflowPunct/>
        <w:topLinePunct w:val="0"/>
        <w:autoSpaceDE/>
        <w:autoSpaceDN/>
        <w:bidi w:val="0"/>
        <w:snapToGrid w:val="0"/>
        <w:spacing w:before="120" w:after="120" w:line="440" w:lineRule="atLeast"/>
        <w:ind w:firstLine="480"/>
        <w:jc w:val="left"/>
        <w:textAlignment w:val="auto"/>
        <w:rPr>
          <w:rFonts w:hint="eastAsia" w:ascii="宋体" w:hAnsi="宋体"/>
          <w:color w:val="000000"/>
          <w:sz w:val="24"/>
          <w:szCs w:val="24"/>
          <w:highlight w:val="none"/>
        </w:rPr>
      </w:pPr>
      <w:r>
        <w:rPr>
          <w:rFonts w:hint="eastAsia" w:ascii="宋体" w:hAnsi="宋体" w:cs="Courier New"/>
          <w:bCs/>
          <w:color w:val="000000"/>
          <w:sz w:val="24"/>
          <w:szCs w:val="24"/>
          <w:highlight w:val="none"/>
          <w:lang w:val="en-US" w:eastAsia="zh-CN"/>
        </w:rPr>
        <w:t>3.</w:t>
      </w:r>
      <w:r>
        <w:rPr>
          <w:rFonts w:hint="eastAsia" w:ascii="宋体" w:hAnsi="宋体"/>
          <w:color w:val="000000"/>
          <w:sz w:val="24"/>
          <w:szCs w:val="24"/>
          <w:highlight w:val="none"/>
        </w:rPr>
        <w:t>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p>
    <w:p w14:paraId="54BCE264">
      <w:pPr>
        <w:keepNext w:val="0"/>
        <w:keepLines w:val="0"/>
        <w:pageBreakBefore w:val="0"/>
        <w:kinsoku/>
        <w:wordWrap/>
        <w:overflowPunct/>
        <w:topLinePunct w:val="0"/>
        <w:autoSpaceDE/>
        <w:autoSpaceDN/>
        <w:bidi w:val="0"/>
        <w:snapToGrid w:val="0"/>
        <w:spacing w:before="120" w:after="120" w:line="440" w:lineRule="atLeast"/>
        <w:ind w:firstLine="672"/>
        <w:jc w:val="left"/>
        <w:textAlignment w:val="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甲方开票信息： </w:t>
      </w:r>
    </w:p>
    <w:p w14:paraId="4DAFE673">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p>
    <w:p w14:paraId="2D01B811">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p>
    <w:p w14:paraId="24FEFF82">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p>
    <w:p w14:paraId="557CD6F8">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p>
    <w:p w14:paraId="2E67DBE5">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p>
    <w:p w14:paraId="349007F4">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p>
    <w:p w14:paraId="194DF286">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p>
    <w:p w14:paraId="32BD473F">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p>
    <w:p w14:paraId="2692D56E">
      <w:pPr>
        <w:keepNext w:val="0"/>
        <w:keepLines w:val="0"/>
        <w:pageBreakBefore w:val="0"/>
        <w:kinsoku/>
        <w:wordWrap/>
        <w:overflowPunct/>
        <w:topLinePunct w:val="0"/>
        <w:autoSpaceDE/>
        <w:autoSpaceDN/>
        <w:bidi w:val="0"/>
        <w:snapToGrid w:val="0"/>
        <w:spacing w:before="120" w:after="120" w:line="440" w:lineRule="atLeast"/>
        <w:ind w:firstLine="672"/>
        <w:jc w:val="left"/>
        <w:textAlignment w:val="auto"/>
        <w:rPr>
          <w:rFonts w:hint="eastAsia" w:ascii="宋体" w:hAnsi="宋体"/>
          <w:color w:val="000000"/>
          <w:sz w:val="24"/>
          <w:szCs w:val="24"/>
          <w:highlight w:val="none"/>
        </w:rPr>
      </w:pPr>
      <w:r>
        <w:rPr>
          <w:rFonts w:hint="eastAsia" w:ascii="宋体" w:hAnsi="宋体"/>
          <w:b/>
          <w:bCs/>
          <w:color w:val="000000"/>
          <w:sz w:val="24"/>
          <w:szCs w:val="24"/>
          <w:highlight w:val="none"/>
        </w:rPr>
        <w:t>乙方开票信息：</w:t>
      </w:r>
      <w:r>
        <w:rPr>
          <w:rFonts w:hint="eastAsia" w:ascii="宋体" w:hAnsi="宋体"/>
          <w:color w:val="000000"/>
          <w:sz w:val="24"/>
          <w:szCs w:val="24"/>
          <w:highlight w:val="none"/>
        </w:rPr>
        <w:t xml:space="preserve"> </w:t>
      </w:r>
    </w:p>
    <w:p w14:paraId="42F73BDA">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p>
    <w:p w14:paraId="579B6FD3">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p>
    <w:p w14:paraId="798DBDA7">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p>
    <w:p w14:paraId="1941EDFB">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p>
    <w:p w14:paraId="3CAFF41B">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p>
    <w:p w14:paraId="3A16BDA2">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p>
    <w:p w14:paraId="6905742C">
      <w:pPr>
        <w:keepNext w:val="0"/>
        <w:keepLines w:val="0"/>
        <w:pageBreakBefore w:val="0"/>
        <w:kinsoku/>
        <w:wordWrap/>
        <w:overflowPunct/>
        <w:topLinePunct w:val="0"/>
        <w:autoSpaceDE/>
        <w:autoSpaceDN/>
        <w:bidi w:val="0"/>
        <w:snapToGrid w:val="0"/>
        <w:spacing w:before="120" w:after="120" w:line="440" w:lineRule="atLeast"/>
        <w:ind w:firstLine="669"/>
        <w:jc w:val="left"/>
        <w:textAlignment w:val="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p>
    <w:p w14:paraId="40085195">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val="en-US" w:eastAsia="zh-CN"/>
        </w:rPr>
        <w:t>四、</w:t>
      </w:r>
      <w:r>
        <w:rPr>
          <w:rFonts w:hint="eastAsia" w:ascii="宋体" w:hAnsi="宋体" w:eastAsia="宋体" w:cs="Times New Roman"/>
          <w:b/>
          <w:color w:val="000000"/>
          <w:sz w:val="24"/>
          <w:szCs w:val="24"/>
          <w:highlight w:val="none"/>
          <w:lang w:eastAsia="zh-CN"/>
        </w:rPr>
        <w:t>履约保证金</w:t>
      </w:r>
    </w:p>
    <w:p w14:paraId="32876584">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☑本项目不收取履约保证金。</w:t>
      </w:r>
    </w:p>
    <w:p w14:paraId="435BB713">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
          <w:color w:val="000000"/>
          <w:sz w:val="24"/>
          <w:szCs w:val="24"/>
          <w:highlight w:val="none"/>
          <w:lang w:val="en-US" w:eastAsia="zh-CN"/>
        </w:rPr>
      </w:pPr>
      <w:r>
        <w:rPr>
          <w:rFonts w:hint="eastAsia" w:ascii="宋体" w:hAnsi="宋体"/>
          <w:bCs/>
          <w:color w:val="000000"/>
          <w:sz w:val="24"/>
          <w:szCs w:val="24"/>
          <w:highlight w:val="none"/>
        </w:rPr>
        <w:t>□本项目中标</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自愿使用履约(保函)保险代替缴纳履约保证金。省财政厅已上线政府采购电子履约保函(保险)平台，平台可通过域名 www.jsdzbh.com 直接访问，也可通过江苏省政府采购网、“苏采云”系统链接访问。</w:t>
      </w:r>
    </w:p>
    <w:p w14:paraId="74336DC5">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五、甲方权利与义务</w:t>
      </w:r>
    </w:p>
    <w:p w14:paraId="1D8DC707">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lang w:eastAsia="zh-CN"/>
        </w:rPr>
        <w:t>开工前</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天，向乙方提供经确认的施工图纸或做法说明</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份，并向乙方进行现场交底。</w:t>
      </w:r>
    </w:p>
    <w:p w14:paraId="6E257BF8">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eastAsia="zh-CN"/>
        </w:rPr>
        <w:t>指派</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为甲方驻工地代表，负责合同履行。对工程质量进行监督检查，办理验收，变更，登记手续和其他事宜。</w:t>
      </w:r>
    </w:p>
    <w:p w14:paraId="3C1ED092">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eastAsia="zh-CN"/>
        </w:rPr>
        <w:t>委托</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val="en-US" w:eastAsia="zh-CN"/>
        </w:rPr>
        <w:t>监理公司进行工程监理，监理公司任命</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为总监理工程师，其职责在监理合同中应明确，并将合同副本交监理公司</w:t>
      </w:r>
      <w:r>
        <w:rPr>
          <w:rFonts w:hint="eastAsia" w:ascii="宋体" w:hAnsi="宋体" w:eastAsia="宋体" w:cs="Times New Roman"/>
          <w:bCs/>
          <w:color w:val="000000"/>
          <w:sz w:val="24"/>
          <w:szCs w:val="24"/>
          <w:highlight w:val="none"/>
          <w:u w:val="single"/>
          <w:lang w:eastAsia="zh-CN"/>
        </w:rPr>
        <w:t xml:space="preserve"> 壹份 </w:t>
      </w:r>
      <w:r>
        <w:rPr>
          <w:rFonts w:hint="eastAsia" w:ascii="宋体" w:hAnsi="宋体" w:eastAsia="宋体" w:cs="Times New Roman"/>
          <w:bCs/>
          <w:color w:val="000000"/>
          <w:sz w:val="24"/>
          <w:szCs w:val="24"/>
          <w:highlight w:val="none"/>
          <w:lang w:eastAsia="zh-CN"/>
        </w:rPr>
        <w:t>（如有需填写）。</w:t>
      </w:r>
    </w:p>
    <w:p w14:paraId="45D80465">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lang w:eastAsia="zh-CN"/>
        </w:rPr>
        <w:t>如确实需要拆改原建筑物结构或设备管线，负责到有关部门办理相应审批手续。</w:t>
      </w:r>
    </w:p>
    <w:p w14:paraId="178E30D8">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lang w:eastAsia="zh-CN"/>
        </w:rPr>
        <w:t>协调有关部门做好现场保卫、消防、垃圾处理等工作。</w:t>
      </w:r>
    </w:p>
    <w:p w14:paraId="4A788CC9">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lang w:eastAsia="zh-CN"/>
        </w:rPr>
        <w:t>如乙方在施工过程中不能按照招标文件响应的承诺或合同约定履约，招标人将保留另行发包或部分另行发包的权利。</w:t>
      </w:r>
    </w:p>
    <w:p w14:paraId="756DF747">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六、乙方权利与义务</w:t>
      </w:r>
    </w:p>
    <w:p w14:paraId="63EEF1DA">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lang w:eastAsia="zh-CN"/>
        </w:rPr>
        <w:t>参加甲方组织的施工图纸或作法说明的现场交底，拟定施工方案和进度计划，交甲方审定。</w:t>
      </w:r>
    </w:p>
    <w:p w14:paraId="404C3789">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eastAsia="zh-CN"/>
        </w:rPr>
        <w:t>指派</w:t>
      </w:r>
      <w:r>
        <w:rPr>
          <w:rFonts w:hint="eastAsia" w:ascii="宋体" w:hAnsi="宋体" w:eastAsia="宋体" w:cs="Times New Roman"/>
          <w:bCs/>
          <w:color w:val="000000"/>
          <w:sz w:val="24"/>
          <w:szCs w:val="24"/>
          <w:highlight w:val="none"/>
          <w:u w:val="single"/>
          <w:lang w:eastAsia="zh-CN"/>
        </w:rPr>
        <w:t xml:space="preserve">      </w:t>
      </w:r>
      <w:r>
        <w:rPr>
          <w:rFonts w:hint="eastAsia" w:ascii="宋体" w:hAnsi="宋体" w:eastAsia="宋体" w:cs="Times New Roman"/>
          <w:bCs/>
          <w:color w:val="000000"/>
          <w:sz w:val="24"/>
          <w:szCs w:val="24"/>
          <w:highlight w:val="none"/>
          <w:lang w:eastAsia="zh-CN"/>
        </w:rPr>
        <w:t>为乙方项目负责人（项目经理），负责合同履行。按要求组织施工，保质、保量、按期完成施工任务，解决由乙方负责的各项事宜。未经</w:t>
      </w:r>
      <w:r>
        <w:rPr>
          <w:rFonts w:hint="eastAsia" w:ascii="宋体" w:hAnsi="宋体" w:eastAsia="宋体" w:cs="Times New Roman"/>
          <w:bCs/>
          <w:color w:val="000000"/>
          <w:sz w:val="24"/>
          <w:szCs w:val="24"/>
          <w:highlight w:val="none"/>
          <w:lang w:val="en-US" w:eastAsia="zh-CN"/>
        </w:rPr>
        <w:t>甲方</w:t>
      </w:r>
      <w:r>
        <w:rPr>
          <w:rFonts w:hint="eastAsia" w:ascii="宋体" w:hAnsi="宋体" w:eastAsia="宋体" w:cs="Times New Roman"/>
          <w:bCs/>
          <w:color w:val="000000"/>
          <w:sz w:val="24"/>
          <w:szCs w:val="24"/>
          <w:highlight w:val="none"/>
          <w:lang w:eastAsia="zh-CN"/>
        </w:rPr>
        <w:t>同意，乙方不得更换项目负责人，否则应赔偿招标人的损失。</w:t>
      </w:r>
    </w:p>
    <w:p w14:paraId="0EA2D7E9">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lang w:eastAsia="zh-CN"/>
        </w:rPr>
        <w:t>严格按定点定位的地点和工程量清单组织施工，保质、保量、按期完成施工任务，如发现违规行为，将停止付款。</w:t>
      </w:r>
    </w:p>
    <w:p w14:paraId="2DA7368E">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lang w:eastAsia="zh-CN"/>
        </w:rPr>
        <w:t>在施工过程中，若确需调整事项，应提交监理审核，经甲方审批后方可调整，乙方不得随意改变设计。</w:t>
      </w:r>
    </w:p>
    <w:p w14:paraId="469BB0FE">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lang w:eastAsia="zh-CN"/>
        </w:rPr>
        <w:t xml:space="preserve">认真做好施工记录，工程竣工或甲方要求提供相关资料时，应及时提交真实完整的施工原始资料和工程决算正式票据，以便于项目审计。 </w:t>
      </w:r>
    </w:p>
    <w:p w14:paraId="2F6B963E">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lang w:eastAsia="zh-CN"/>
        </w:rPr>
        <w:t xml:space="preserve">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p>
    <w:p w14:paraId="55C733B9">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7.</w:t>
      </w:r>
      <w:r>
        <w:rPr>
          <w:rFonts w:hint="eastAsia" w:ascii="宋体" w:hAnsi="宋体" w:eastAsia="宋体" w:cs="Times New Roman"/>
          <w:bCs/>
          <w:color w:val="000000"/>
          <w:sz w:val="24"/>
          <w:szCs w:val="24"/>
          <w:highlight w:val="none"/>
          <w:lang w:eastAsia="zh-CN"/>
        </w:rPr>
        <w:t xml:space="preserve">现场施工配合与协调承包人在实施和完成承建合同工程及修复缺陷过程中的一切作业应保证甲方免于承担因承包人借用、占用或影响作业等所引起的索赔、诉讼费、损害赔偿及其他开支。 </w:t>
      </w:r>
    </w:p>
    <w:p w14:paraId="6902255A">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lang w:eastAsia="zh-CN"/>
        </w:rPr>
        <w:t xml:space="preserve">对现场作业和施工方法负责监理对承包人的施工计划、方法、措施以及设计图纸的审查与批准，或对于分包人的确认和分包人选择的批准，或对于承包人所实施工程的检查和检验，并不意味着可变更或减轻承包人应承担的全部合同义务和责任。 </w:t>
      </w:r>
    </w:p>
    <w:p w14:paraId="468662BA">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9.</w:t>
      </w:r>
      <w:r>
        <w:rPr>
          <w:rFonts w:hint="eastAsia" w:ascii="宋体" w:hAnsi="宋体" w:eastAsia="宋体" w:cs="Times New Roman"/>
          <w:bCs/>
          <w:color w:val="000000"/>
          <w:sz w:val="24"/>
          <w:szCs w:val="24"/>
          <w:highlight w:val="none"/>
          <w:lang w:eastAsia="zh-CN"/>
        </w:rPr>
        <w:t xml:space="preserve">对公众利益损害负责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p>
    <w:p w14:paraId="48F98682">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10.</w:t>
      </w:r>
      <w:r>
        <w:rPr>
          <w:rFonts w:hint="eastAsia" w:ascii="宋体" w:hAnsi="宋体" w:eastAsia="宋体" w:cs="Times New Roman"/>
          <w:bCs/>
          <w:color w:val="000000"/>
          <w:sz w:val="24"/>
          <w:szCs w:val="24"/>
          <w:highlight w:val="none"/>
          <w:lang w:eastAsia="zh-CN"/>
        </w:rPr>
        <w:t xml:space="preserve">对工程施工质量负终身责任 承包人对合同工程的施工质量负终身责任，承包人的法定代表人是工程施工质量的终身责任人。 </w:t>
      </w:r>
    </w:p>
    <w:p w14:paraId="7FFF75CF">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11.</w:t>
      </w:r>
      <w:r>
        <w:rPr>
          <w:rFonts w:hint="eastAsia" w:ascii="宋体" w:hAnsi="宋体" w:eastAsia="宋体" w:cs="Times New Roman"/>
          <w:bCs/>
          <w:color w:val="000000"/>
          <w:sz w:val="24"/>
          <w:szCs w:val="24"/>
          <w:highlight w:val="none"/>
          <w:lang w:eastAsia="zh-CN"/>
        </w:rPr>
        <w:t>饮用水及施工、生活用电等由乙方自行解决。</w:t>
      </w:r>
    </w:p>
    <w:p w14:paraId="712B35EE">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lang w:eastAsia="zh-CN"/>
        </w:rPr>
        <w:t>乙方施工场地及临时建设用地应经甲方同意就近安排，不得破坏或影响周围环境，并自行解决临时建设设施。</w:t>
      </w:r>
    </w:p>
    <w:p w14:paraId="029EB6AD">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13.</w:t>
      </w:r>
      <w:r>
        <w:rPr>
          <w:rFonts w:hint="eastAsia" w:ascii="宋体" w:hAnsi="宋体" w:eastAsia="宋体" w:cs="Times New Roman"/>
          <w:bCs/>
          <w:color w:val="000000"/>
          <w:sz w:val="24"/>
          <w:szCs w:val="24"/>
          <w:highlight w:val="none"/>
          <w:lang w:eastAsia="zh-CN"/>
        </w:rPr>
        <w:t>工程竣工未移交甲方前，负责对现场的一切设施和工程成品进行保护。</w:t>
      </w:r>
    </w:p>
    <w:p w14:paraId="5FE66ECB">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七、关于工期的约定及其他相关的约定</w:t>
      </w:r>
    </w:p>
    <w:p w14:paraId="237955DE">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1</w:t>
      </w:r>
      <w:r>
        <w:rPr>
          <w:rFonts w:hint="eastAsia" w:ascii="宋体" w:hAnsi="宋体" w:eastAsia="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eastAsia="zh-CN"/>
        </w:rPr>
        <w:t>甲方要求比合同约定的工期提前竣工时，应征得乙方同意，并支付乙方因赶工采取的措施费用。</w:t>
      </w:r>
    </w:p>
    <w:p w14:paraId="373E3C05">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2</w:t>
      </w:r>
      <w:r>
        <w:rPr>
          <w:rFonts w:hint="eastAsia" w:ascii="宋体" w:hAnsi="宋体" w:eastAsia="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eastAsia="zh-CN"/>
        </w:rPr>
        <w:t>因甲方未按约定完成工作，影响工期，工期顺延。</w:t>
      </w:r>
    </w:p>
    <w:p w14:paraId="5CC76E38">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3</w:t>
      </w:r>
      <w:r>
        <w:rPr>
          <w:rFonts w:hint="eastAsia" w:ascii="宋体" w:hAnsi="宋体" w:eastAsia="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eastAsia="zh-CN"/>
        </w:rPr>
        <w:t xml:space="preserve"> 因乙方责任，不能按期开工或中途无故停工，影响工期，工期不顺延。</w:t>
      </w:r>
    </w:p>
    <w:p w14:paraId="47309C2A">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4</w:t>
      </w:r>
      <w:r>
        <w:rPr>
          <w:rFonts w:hint="eastAsia" w:ascii="宋体" w:hAnsi="宋体" w:eastAsia="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eastAsia="zh-CN"/>
        </w:rPr>
        <w:t xml:space="preserve"> 因设计变更或非乙方原因造成的停电、停水、停气及不可抗力因素影响，导致停工8 小时以上（一周内累计计算）工期相应顺延。</w:t>
      </w:r>
    </w:p>
    <w:p w14:paraId="43EFCBEC">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八、关于工程质量、验收及质保的约定</w:t>
      </w:r>
    </w:p>
    <w:p w14:paraId="55F73143">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本工程以施工图纸或作法说明、设计变更和国家制订的最新施工及验收规范为质量评定验收标准。</w:t>
      </w:r>
    </w:p>
    <w:p w14:paraId="6CFE13DA">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所有材料进场前须进行环保检测。竣工后对成品进行甲醛检测。如果检验合格，检验费由甲方负担；如果检验不合格，则检验费由乙方负担。</w:t>
      </w:r>
    </w:p>
    <w:p w14:paraId="6E14E46D">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本工程质量应达到最新国家质量评定合格标准。</w:t>
      </w:r>
    </w:p>
    <w:p w14:paraId="4FC266B8">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4778196E">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由于乙方原因造成质量事故，其返工费用由乙方承担，工期不顺延。</w:t>
      </w:r>
    </w:p>
    <w:p w14:paraId="4DF3ECD5">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工程竣工后，乙方应通知甲方验收，甲方自接到验收通知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日内组织验收，并办理验收、移交手续。如甲方在规定时间内未能组织验收，需及时通知乙方，另定验收日期。但甲方应承认乙方竣工日期。</w:t>
      </w:r>
    </w:p>
    <w:p w14:paraId="7334CAB0">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本工程应符合国家环保质量要求,否则应承担违约责任并赔偿甲方损失。</w:t>
      </w:r>
    </w:p>
    <w:p w14:paraId="6295DA6A">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工程交付尚未使用期间凡属工程遗留问题，乙方在接到甲方书面通知后三天内组织整改。逾期甲方将组织整改，一切费用由乙方承担。</w:t>
      </w:r>
    </w:p>
    <w:p w14:paraId="65D4819D">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2F7846E8">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 本工程质量保修期为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年，自工程竣工验收合格之日起算。保修期届满前，乙方须对工程进行全面检查，使本工程达到合同所要求的条件及甲方认为合格的程度。</w:t>
      </w:r>
    </w:p>
    <w:p w14:paraId="1E3FC35B">
      <w:pPr>
        <w:keepNext w:val="0"/>
        <w:keepLines w:val="0"/>
        <w:pageBreakBefore w:val="0"/>
        <w:kinsoku/>
        <w:wordWrap/>
        <w:overflowPunct/>
        <w:topLinePunct w:val="0"/>
        <w:autoSpaceDE/>
        <w:autoSpaceDN/>
        <w:bidi w:val="0"/>
        <w:snapToGrid w:val="0"/>
        <w:spacing w:line="440" w:lineRule="atLeast"/>
        <w:ind w:firstLine="31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 xml:space="preserve">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p>
    <w:p w14:paraId="57CB2B4F">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实际进入施工现场组织施工的项目经理必须是投标项目经理，施工过程中不得更换。如更换，被更换的项目经理资质等级及所完成工程业绩等不得低于原项目经理相应条件，并征得甲方书面同意。</w:t>
      </w:r>
    </w:p>
    <w:p w14:paraId="46054FCE">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p>
    <w:p w14:paraId="3783A3E2">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遵守政府和发包人对施工现场的规定和要求，承担因自身原因违反有关规定造成的损失和罚款。</w:t>
      </w:r>
    </w:p>
    <w:p w14:paraId="3F0B62BF">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乙方应服从甲方的制度、会议、通知等形式的管理，以整个项目全局为重，除履行合同义务外应积极配合其他进场施工单位完成项目目标。甲方对确有证据证明承包人配合、协调不力的行为有权予以罚款。</w:t>
      </w:r>
    </w:p>
    <w:p w14:paraId="6E9674B9">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p>
    <w:p w14:paraId="158DE9A4">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因乙方违反本合同约定而发生诉讼或仲裁的，甲方因此所产生的包括但不限于诉讼费、仲裁费、律师费等均由乙方承担。</w:t>
      </w:r>
    </w:p>
    <w:p w14:paraId="6E2A6B7E">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九、关于工程施工及隐蔽工程验收的约定</w:t>
      </w:r>
    </w:p>
    <w:p w14:paraId="07D68555">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p>
    <w:p w14:paraId="78BA9BDE">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p>
    <w:p w14:paraId="09368667">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十、关于材料供应的约定 </w:t>
      </w:r>
    </w:p>
    <w:p w14:paraId="4A2E8E73">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料原则上由乙方自行采购，招标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p>
    <w:p w14:paraId="00217A06">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十一、关于对施工人员要求的约定</w:t>
      </w:r>
    </w:p>
    <w:p w14:paraId="10FACD55">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所有乙方施工人员必须服从甲方代表及监理的管理，甲方有权指令乙方在 24 小时内撤换不服从管理的乙方人员。</w:t>
      </w:r>
    </w:p>
    <w:p w14:paraId="237CEF8D">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十二、有关安全生产的约定</w:t>
      </w:r>
    </w:p>
    <w:p w14:paraId="68943A04">
      <w:pPr>
        <w:keepNext w:val="0"/>
        <w:keepLines w:val="0"/>
        <w:pageBreakBefore w:val="0"/>
        <w:kinsoku/>
        <w:wordWrap/>
        <w:overflowPunct/>
        <w:topLinePunct w:val="0"/>
        <w:autoSpaceDE/>
        <w:autoSpaceDN/>
        <w:bidi w:val="0"/>
        <w:snapToGrid w:val="0"/>
        <w:spacing w:line="440" w:lineRule="atLeast"/>
        <w:ind w:firstLine="42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p>
    <w:p w14:paraId="3C36D6F1">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十三、履约验收</w:t>
      </w:r>
    </w:p>
    <w:p w14:paraId="7919C5B1">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1.甲方依法组织履约验收工作。</w:t>
      </w:r>
    </w:p>
    <w:p w14:paraId="74DA4AA4">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87033CA">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十四、合同转包或分包</w:t>
      </w:r>
    </w:p>
    <w:p w14:paraId="0DD54A97">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1.乙方不得将合同标的转包给他人履行。</w:t>
      </w:r>
    </w:p>
    <w:p w14:paraId="0C41392F">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2.乙方应当按照投标文件中提供的联合体协议履行合同。</w:t>
      </w:r>
    </w:p>
    <w:p w14:paraId="5F6359D2">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3.乙方如有转包或未经甲方同意的分包行为，甲方有权解除合同。</w:t>
      </w:r>
    </w:p>
    <w:p w14:paraId="359456DC">
      <w:pPr>
        <w:pStyle w:val="192"/>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十五、关于工程价款及结算的约定</w:t>
      </w:r>
    </w:p>
    <w:p w14:paraId="17C3818B">
      <w:pPr>
        <w:keepNext w:val="0"/>
        <w:keepLines w:val="0"/>
        <w:pageBreakBefore w:val="0"/>
        <w:kinsoku/>
        <w:wordWrap/>
        <w:overflowPunct/>
        <w:topLinePunct w:val="0"/>
        <w:autoSpaceDE/>
        <w:autoSpaceDN/>
        <w:bidi w:val="0"/>
        <w:snapToGrid w:val="0"/>
        <w:spacing w:line="440" w:lineRule="atLeast"/>
        <w:ind w:firstLine="480"/>
        <w:textAlignment w:val="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1.双方商定本合同价款采用第</w:t>
      </w:r>
      <w:r>
        <w:rPr>
          <w:rFonts w:hint="eastAsia" w:ascii="宋体" w:hAnsi="宋体" w:eastAsia="宋体" w:cs="Times New Roman"/>
          <w:bCs/>
          <w:color w:val="000000"/>
          <w:sz w:val="24"/>
          <w:szCs w:val="24"/>
          <w:highlight w:val="none"/>
          <w:u w:val="single"/>
          <w:lang w:val="en-US" w:eastAsia="zh-CN"/>
        </w:rPr>
        <w:t>（1）</w:t>
      </w:r>
      <w:r>
        <w:rPr>
          <w:rFonts w:hint="eastAsia" w:ascii="宋体" w:hAnsi="宋体" w:eastAsia="宋体" w:cs="Times New Roman"/>
          <w:bCs/>
          <w:color w:val="000000"/>
          <w:sz w:val="24"/>
          <w:szCs w:val="24"/>
          <w:highlight w:val="none"/>
          <w:lang w:val="en-US" w:eastAsia="zh-CN"/>
        </w:rPr>
        <w:t>种：</w:t>
      </w:r>
    </w:p>
    <w:p w14:paraId="1E2D5FE7">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(1)固定单价（风险费已包含在报价中，其它合同以外价款的调整方法为</w:t>
      </w:r>
      <w:r>
        <w:rPr>
          <w:rFonts w:hint="eastAsia" w:ascii="宋体" w:hAnsi="宋体" w:eastAsia="宋体" w:cs="宋体"/>
          <w:color w:val="auto"/>
          <w:sz w:val="24"/>
          <w:szCs w:val="24"/>
          <w:highlight w:val="none"/>
          <w:u w:val="single"/>
        </w:rPr>
        <w:t>工程量清单中有的项目（项目特征相同）按报价的综合单价计算；报价中没有综合单价的新的工程量清单项目，按照</w:t>
      </w:r>
      <w:r>
        <w:rPr>
          <w:rFonts w:hint="eastAsia" w:ascii="宋体" w:hAnsi="宋体" w:eastAsia="宋体" w:cs="宋体"/>
          <w:color w:val="auto"/>
          <w:sz w:val="24"/>
          <w:szCs w:val="24"/>
          <w:highlight w:val="none"/>
          <w:u w:val="single"/>
          <w:lang w:eastAsia="zh-CN"/>
        </w:rPr>
        <w:t>《房屋建筑与装饰工程工程量计算标准》（GB/T50854-2024）、《通用安装工程工程量计算标准》（GB/T50856-2024）</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2026年《江苏省建筑与装饰工程消耗量》、2026年《江苏省通用安装工程消耗量》</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2026 年《江苏省建设工程费用参考》</w:t>
      </w:r>
      <w:r>
        <w:rPr>
          <w:rFonts w:hint="eastAsia" w:ascii="宋体" w:hAnsi="宋体" w:eastAsia="宋体" w:cs="宋体"/>
          <w:color w:val="auto"/>
          <w:sz w:val="24"/>
          <w:szCs w:val="24"/>
          <w:highlight w:val="none"/>
          <w:u w:val="single"/>
        </w:rPr>
        <w:t>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p>
    <w:p w14:paraId="3EE448B0">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固定价格加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%包干风险系数计算。包干风险包括内容：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4E217B">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可调价格：按照国家有关工程计价规定计算造价，并按有关规定进行调整和竣工结算。</w:t>
      </w:r>
    </w:p>
    <w:p w14:paraId="181CABAF">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结算</w:t>
      </w:r>
    </w:p>
    <w:p w14:paraId="20974AD5">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本工程结算价需经有关部门审定确认，具体如下：</w:t>
      </w:r>
    </w:p>
    <w:p w14:paraId="2A1AC18B">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(1)本工程结算价需经有关部门审定确认，本工程安全文明施工措施费计取基本费及扬尘污染防治增加费，结算时按有关部门核定调整。</w:t>
      </w:r>
    </w:p>
    <w:p w14:paraId="65E13EA7">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(2)乙方竣工验收合格后30天内提交结算送审资料进行结算。超过合同约定时间报送的关于工程量变更等导致工程款变化的结算资料不作为审查的依据。</w:t>
      </w:r>
    </w:p>
    <w:p w14:paraId="4AF29F99">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)乙方提供的竣工资料如有缺项（如试验记录、调试记录等），则视为该项工序现场未做，在工程结算中此部分费用将予以扣除。</w:t>
      </w:r>
    </w:p>
    <w:p w14:paraId="631DE578">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)本工程最终结算价以审计单位审核为准。为避免乙方虚报竣工结算价款，最终审计核减率在</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%以下（</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%），审核费用由甲方承担，核减率在</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以上</w:t>
      </w:r>
      <w:r>
        <w:rPr>
          <w:rFonts w:hint="eastAsia" w:ascii="宋体" w:hAnsi="宋体" w:eastAsia="宋体" w:cs="宋体"/>
          <w:color w:val="auto"/>
          <w:sz w:val="24"/>
          <w:szCs w:val="24"/>
          <w:highlight w:val="none"/>
        </w:rPr>
        <w:t>（含</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%），由乙方承担全部审核费用。乙方承担的审核费用在结算付款中扣除。</w:t>
      </w:r>
    </w:p>
    <w:p w14:paraId="17599D90">
      <w:pPr>
        <w:keepNext w:val="0"/>
        <w:keepLines w:val="0"/>
        <w:pageBreakBefore w:val="0"/>
        <w:tabs>
          <w:tab w:val="left" w:pos="900"/>
        </w:tabs>
        <w:kinsoku/>
        <w:wordWrap/>
        <w:overflowPunct/>
        <w:topLinePunct w:val="0"/>
        <w:autoSpaceDE/>
        <w:autoSpaceDN/>
        <w:bidi w:val="0"/>
        <w:snapToGrid w:val="0"/>
        <w:spacing w:line="440" w:lineRule="atLeast"/>
        <w:ind w:firstLine="420"/>
        <w:textAlignment w:val="auto"/>
        <w:rPr>
          <w:rFonts w:hint="eastAsia" w:ascii="宋体" w:hAnsi="宋体" w:eastAsia="宋体"/>
          <w:color w:val="00000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)乙方需提供增值税专用发票，税率为9%。</w:t>
      </w:r>
    </w:p>
    <w:p w14:paraId="5FB9EB30">
      <w:pPr>
        <w:keepNext w:val="0"/>
        <w:keepLines w:val="0"/>
        <w:pageBreakBefore w:val="0"/>
        <w:numPr>
          <w:ilvl w:val="0"/>
          <w:numId w:val="0"/>
        </w:numPr>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十六、税费</w:t>
      </w:r>
    </w:p>
    <w:p w14:paraId="1700275D">
      <w:pPr>
        <w:keepNext w:val="0"/>
        <w:keepLines w:val="0"/>
        <w:pageBreakBefore w:val="0"/>
        <w:kinsoku/>
        <w:wordWrap/>
        <w:overflowPunct/>
        <w:topLinePunct w:val="0"/>
        <w:autoSpaceDE/>
        <w:autoSpaceDN/>
        <w:bidi w:val="0"/>
        <w:snapToGrid w:val="0"/>
        <w:spacing w:line="440" w:lineRule="atLeast"/>
        <w:ind w:firstLine="480"/>
        <w:textAlignment w:val="auto"/>
        <w:rPr>
          <w:rFonts w:ascii="宋体" w:hAnsi="宋体" w:eastAsia="仿宋_GB2312"/>
          <w:color w:val="000000"/>
          <w:sz w:val="24"/>
          <w:szCs w:val="24"/>
          <w:highlight w:val="none"/>
        </w:rPr>
      </w:pPr>
      <w:r>
        <w:rPr>
          <w:rFonts w:hint="eastAsia" w:ascii="宋体" w:hAnsi="宋体"/>
          <w:color w:val="000000"/>
          <w:sz w:val="24"/>
          <w:szCs w:val="24"/>
          <w:highlight w:val="none"/>
        </w:rPr>
        <w:t>本合同执行中相关的一切税费均由乙方负担。</w:t>
      </w:r>
    </w:p>
    <w:p w14:paraId="32244C03">
      <w:pPr>
        <w:keepNext w:val="0"/>
        <w:keepLines w:val="0"/>
        <w:pageBreakBefore w:val="0"/>
        <w:numPr>
          <w:ilvl w:val="0"/>
          <w:numId w:val="0"/>
        </w:numPr>
        <w:kinsoku/>
        <w:wordWrap/>
        <w:overflowPunct/>
        <w:topLinePunct w:val="0"/>
        <w:autoSpaceDE/>
        <w:autoSpaceDN/>
        <w:bidi w:val="0"/>
        <w:snapToGrid w:val="0"/>
        <w:spacing w:line="440" w:lineRule="atLeast"/>
        <w:textAlignment w:val="auto"/>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十七、违约责任</w:t>
      </w:r>
    </w:p>
    <w:p w14:paraId="300AB648">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1. 由于乙方原因，逾期竣工，每逾期一天，乙方支付甲方</w:t>
      </w:r>
      <w:r>
        <w:rPr>
          <w:rFonts w:hint="eastAsia" w:ascii="宋体" w:hAnsi="宋体" w:eastAsia="宋体" w:cs="Times New Roman"/>
          <w:color w:val="000000"/>
          <w:sz w:val="24"/>
          <w:szCs w:val="24"/>
          <w:highlight w:val="none"/>
          <w:u w:val="single"/>
          <w:lang w:val="en-US" w:eastAsia="zh-CN" w:bidi="ar-SA"/>
        </w:rPr>
        <w:t>5000</w:t>
      </w:r>
      <w:r>
        <w:rPr>
          <w:rFonts w:hint="eastAsia" w:ascii="宋体" w:hAnsi="宋体" w:eastAsia="宋体" w:cs="Times New Roman"/>
          <w:color w:val="000000"/>
          <w:sz w:val="24"/>
          <w:szCs w:val="24"/>
          <w:highlight w:val="none"/>
          <w:lang w:val="en-US" w:eastAsia="zh-CN" w:bidi="ar-SA"/>
        </w:rPr>
        <w:t>元违约金。</w:t>
      </w:r>
    </w:p>
    <w:p w14:paraId="01D0B442">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2. 未经甲方同意乙方不得更换项目负责人及项目管理班子人员，否则每更换项目负责人一次，甲方将从工程款中扣除违约金</w:t>
      </w:r>
      <w:r>
        <w:rPr>
          <w:rFonts w:hint="eastAsia" w:ascii="宋体" w:hAnsi="宋体" w:eastAsia="宋体" w:cs="Times New Roman"/>
          <w:color w:val="000000"/>
          <w:sz w:val="24"/>
          <w:szCs w:val="24"/>
          <w:highlight w:val="none"/>
          <w:u w:val="single"/>
          <w:lang w:val="en-US" w:eastAsia="zh-CN" w:bidi="ar-SA"/>
        </w:rPr>
        <w:t xml:space="preserve"> 1万元</w:t>
      </w:r>
      <w:r>
        <w:rPr>
          <w:rFonts w:hint="eastAsia" w:ascii="宋体" w:hAnsi="宋体" w:eastAsia="宋体" w:cs="Times New Roman"/>
          <w:color w:val="000000"/>
          <w:sz w:val="24"/>
          <w:szCs w:val="24"/>
          <w:highlight w:val="none"/>
          <w:lang w:val="en-US" w:eastAsia="zh-CN" w:bidi="ar-SA"/>
        </w:rPr>
        <w:t>；项目管理班子其它人员每更换一次，或项目经理月到位率不足</w:t>
      </w:r>
      <w:r>
        <w:rPr>
          <w:rFonts w:hint="eastAsia" w:ascii="宋体" w:hAnsi="宋体" w:eastAsia="宋体" w:cs="Times New Roman"/>
          <w:color w:val="000000"/>
          <w:sz w:val="24"/>
          <w:szCs w:val="24"/>
          <w:highlight w:val="none"/>
          <w:u w:val="single"/>
          <w:lang w:val="en-US" w:eastAsia="zh-CN" w:bidi="ar-SA"/>
        </w:rPr>
        <w:t>80%</w:t>
      </w:r>
      <w:r>
        <w:rPr>
          <w:rFonts w:hint="eastAsia" w:ascii="宋体" w:hAnsi="宋体" w:eastAsia="宋体" w:cs="Times New Roman"/>
          <w:color w:val="000000"/>
          <w:sz w:val="24"/>
          <w:szCs w:val="24"/>
          <w:highlight w:val="none"/>
          <w:lang w:val="en-US" w:eastAsia="zh-CN" w:bidi="ar-SA"/>
        </w:rPr>
        <w:t>的，甲方将从工程款中扣除违约金</w:t>
      </w:r>
      <w:r>
        <w:rPr>
          <w:rFonts w:hint="eastAsia" w:ascii="宋体" w:hAnsi="宋体" w:eastAsia="宋体" w:cs="Times New Roman"/>
          <w:color w:val="000000"/>
          <w:sz w:val="24"/>
          <w:szCs w:val="24"/>
          <w:highlight w:val="none"/>
          <w:u w:val="single"/>
          <w:lang w:val="en-US" w:eastAsia="zh-CN" w:bidi="ar-SA"/>
        </w:rPr>
        <w:t>5000</w:t>
      </w:r>
      <w:r>
        <w:rPr>
          <w:rFonts w:hint="eastAsia" w:ascii="宋体" w:hAnsi="宋体" w:eastAsia="宋体" w:cs="Times New Roman"/>
          <w:color w:val="000000"/>
          <w:sz w:val="24"/>
          <w:szCs w:val="24"/>
          <w:highlight w:val="none"/>
          <w:lang w:val="en-US" w:eastAsia="zh-CN" w:bidi="ar-SA"/>
        </w:rPr>
        <w:t>元；项目班子管理人员（除项目经理外）月到位率达不到</w:t>
      </w:r>
      <w:r>
        <w:rPr>
          <w:rFonts w:hint="eastAsia" w:ascii="宋体" w:hAnsi="宋体" w:eastAsia="宋体" w:cs="Times New Roman"/>
          <w:color w:val="000000"/>
          <w:sz w:val="24"/>
          <w:szCs w:val="24"/>
          <w:highlight w:val="none"/>
          <w:u w:val="single"/>
          <w:lang w:val="en-US" w:eastAsia="zh-CN" w:bidi="ar-SA"/>
        </w:rPr>
        <w:t xml:space="preserve"> 90%</w:t>
      </w:r>
      <w:r>
        <w:rPr>
          <w:rFonts w:hint="eastAsia" w:ascii="宋体" w:hAnsi="宋体" w:eastAsia="宋体" w:cs="Times New Roman"/>
          <w:color w:val="000000"/>
          <w:sz w:val="24"/>
          <w:szCs w:val="24"/>
          <w:highlight w:val="none"/>
          <w:lang w:val="en-US" w:eastAsia="zh-CN" w:bidi="ar-SA"/>
        </w:rPr>
        <w:t>的，每人次罚</w:t>
      </w:r>
      <w:r>
        <w:rPr>
          <w:rFonts w:hint="eastAsia" w:ascii="宋体" w:hAnsi="宋体" w:eastAsia="宋体" w:cs="Times New Roman"/>
          <w:color w:val="000000"/>
          <w:sz w:val="24"/>
          <w:szCs w:val="24"/>
          <w:highlight w:val="none"/>
          <w:u w:val="single"/>
          <w:lang w:val="en-US" w:eastAsia="zh-CN" w:bidi="ar-SA"/>
        </w:rPr>
        <w:t>1000</w:t>
      </w:r>
      <w:r>
        <w:rPr>
          <w:rFonts w:hint="eastAsia" w:ascii="宋体" w:hAnsi="宋体" w:eastAsia="宋体" w:cs="Times New Roman"/>
          <w:color w:val="000000"/>
          <w:sz w:val="24"/>
          <w:szCs w:val="24"/>
          <w:highlight w:val="none"/>
          <w:lang w:val="en-US" w:eastAsia="zh-CN" w:bidi="ar-SA"/>
        </w:rPr>
        <w:t>元。</w:t>
      </w:r>
    </w:p>
    <w:p w14:paraId="7870D9A6">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3.乙方应妥善保护甲方提供的设备及工程成品，如造成损失，应照价赔偿。</w:t>
      </w:r>
    </w:p>
    <w:p w14:paraId="4EA44882">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4.甲方未办理任何手续，擅自同意拆改原有建筑物或设备管线，由此发生的损失或事故（包括罚款），由甲方负责并承担损失。</w:t>
      </w:r>
    </w:p>
    <w:p w14:paraId="67EB2669">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5.未经甲方同意，乙方擅自拆改原建筑物结构或设备管线，由此发生的损失或事故（包括罚款），由乙方负责并承担损失。</w:t>
      </w:r>
    </w:p>
    <w:p w14:paraId="4F7F1935">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6.未办理验收手续，甲方提前使用或擅自动用造成损失由甲方负责。</w:t>
      </w:r>
    </w:p>
    <w:p w14:paraId="6E1934E2">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7. 因一方原因，合同无法继续履行时，应通知对方，办理合同终止协议，并由责任方赔偿对方由此造成的经济损失。</w:t>
      </w:r>
    </w:p>
    <w:p w14:paraId="091F85AF">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8.甲乙双方应严格履约，如违约，由违约方承付本合同标的总价 5﹪的违约金给受损方，并赔偿受损方由此造成的一切经济损失。</w:t>
      </w:r>
    </w:p>
    <w:p w14:paraId="6792B4B6">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9.乙方要加强渣土运输车辆的管理，应安排专人负责车辆的冲洗及工地出入口的清理保洁工作，不得污染城市道路，否则处于</w:t>
      </w:r>
      <w:r>
        <w:rPr>
          <w:rFonts w:hint="eastAsia" w:ascii="宋体" w:hAnsi="宋体" w:eastAsia="宋体" w:cs="Times New Roman"/>
          <w:color w:val="000000"/>
          <w:sz w:val="24"/>
          <w:szCs w:val="24"/>
          <w:highlight w:val="none"/>
          <w:u w:val="single"/>
          <w:lang w:val="en-US" w:eastAsia="zh-CN" w:bidi="ar-SA"/>
        </w:rPr>
        <w:t>5000元/次</w:t>
      </w:r>
      <w:r>
        <w:rPr>
          <w:rFonts w:hint="eastAsia" w:ascii="宋体" w:hAnsi="宋体" w:eastAsia="宋体" w:cs="Times New Roman"/>
          <w:color w:val="000000"/>
          <w:sz w:val="24"/>
          <w:szCs w:val="24"/>
          <w:highlight w:val="none"/>
          <w:lang w:val="en-US" w:eastAsia="zh-CN" w:bidi="ar-SA"/>
        </w:rPr>
        <w:t>的罚款。</w:t>
      </w:r>
    </w:p>
    <w:p w14:paraId="2F6C9114">
      <w:pPr>
        <w:pStyle w:val="192"/>
        <w:keepNext w:val="0"/>
        <w:keepLines w:val="0"/>
        <w:pageBreakBefore w:val="0"/>
        <w:kinsoku/>
        <w:wordWrap/>
        <w:overflowPunct/>
        <w:topLinePunct w:val="0"/>
        <w:autoSpaceDE/>
        <w:autoSpaceDN/>
        <w:bidi w:val="0"/>
        <w:snapToGrid w:val="0"/>
        <w:spacing w:line="440" w:lineRule="atLeast"/>
        <w:ind w:left="602" w:hanging="602"/>
        <w:textAlignment w:val="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十</w:t>
      </w:r>
      <w:r>
        <w:rPr>
          <w:rFonts w:hint="eastAsia" w:ascii="宋体" w:hAnsi="宋体" w:eastAsia="宋体" w:cs="Times New Roman"/>
          <w:b/>
          <w:color w:val="000000"/>
          <w:sz w:val="24"/>
          <w:szCs w:val="24"/>
          <w:highlight w:val="none"/>
          <w:lang w:val="en-US" w:eastAsia="zh-CN"/>
        </w:rPr>
        <w:t>八</w:t>
      </w:r>
      <w:r>
        <w:rPr>
          <w:rFonts w:hint="eastAsia" w:ascii="宋体" w:hAnsi="宋体" w:eastAsia="宋体" w:cs="Times New Roman"/>
          <w:b/>
          <w:color w:val="000000"/>
          <w:sz w:val="24"/>
          <w:szCs w:val="24"/>
          <w:highlight w:val="none"/>
        </w:rPr>
        <w:t>、不可抗力事件处理</w:t>
      </w:r>
    </w:p>
    <w:p w14:paraId="01C45C50">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1.在合同有效期内，任何一方因不可抗力事件导致不能履行合同，则合同履行期可延长，其延长期与不可抗力影响 期相同。</w:t>
      </w:r>
    </w:p>
    <w:p w14:paraId="4239F642">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2.不可抗力事件发生后，应立即通知对方，并寄送有关权威机构出具的证明。</w:t>
      </w:r>
    </w:p>
    <w:p w14:paraId="159D8EF7">
      <w:pPr>
        <w:keepNext w:val="0"/>
        <w:keepLines w:val="0"/>
        <w:pageBreakBefore w:val="0"/>
        <w:widowControl w:val="0"/>
        <w:kinsoku/>
        <w:wordWrap/>
        <w:overflowPunct/>
        <w:topLinePunct w:val="0"/>
        <w:autoSpaceDE/>
        <w:autoSpaceDN/>
        <w:bidi w:val="0"/>
        <w:adjustRightInd w:val="0"/>
        <w:snapToGrid w:val="0"/>
        <w:spacing w:line="440" w:lineRule="atLeast"/>
        <w:ind w:firstLine="480" w:firstLineChars="200"/>
        <w:jc w:val="left"/>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3.不可抗力事件延续120天以上，双方应通过友好协商，确定是否继续履行合同。</w:t>
      </w:r>
    </w:p>
    <w:p w14:paraId="2BAD1C32">
      <w:pPr>
        <w:pStyle w:val="192"/>
        <w:keepNext w:val="0"/>
        <w:keepLines w:val="0"/>
        <w:pageBreakBefore w:val="0"/>
        <w:kinsoku/>
        <w:wordWrap/>
        <w:overflowPunct/>
        <w:topLinePunct w:val="0"/>
        <w:autoSpaceDE/>
        <w:autoSpaceDN/>
        <w:bidi w:val="0"/>
        <w:snapToGrid w:val="0"/>
        <w:spacing w:line="440" w:lineRule="atLeast"/>
        <w:ind w:left="602" w:hanging="602"/>
        <w:textAlignment w:val="auto"/>
        <w:rPr>
          <w:rFonts w:hAnsi="宋体"/>
          <w:b/>
          <w:color w:val="000000"/>
          <w:sz w:val="24"/>
          <w:szCs w:val="24"/>
          <w:highlight w:val="none"/>
        </w:rPr>
      </w:pPr>
      <w:r>
        <w:rPr>
          <w:rFonts w:hAnsi="宋体"/>
          <w:b/>
          <w:color w:val="000000"/>
          <w:sz w:val="24"/>
          <w:szCs w:val="24"/>
          <w:highlight w:val="none"/>
        </w:rPr>
        <w:t>十</w:t>
      </w:r>
      <w:r>
        <w:rPr>
          <w:rFonts w:hint="eastAsia" w:hAnsi="宋体"/>
          <w:b/>
          <w:color w:val="000000"/>
          <w:sz w:val="24"/>
          <w:szCs w:val="24"/>
          <w:highlight w:val="none"/>
          <w:lang w:val="en-US" w:eastAsia="zh-CN"/>
        </w:rPr>
        <w:t>九</w:t>
      </w:r>
      <w:r>
        <w:rPr>
          <w:rFonts w:hAnsi="宋体"/>
          <w:b/>
          <w:color w:val="000000"/>
          <w:sz w:val="24"/>
          <w:szCs w:val="24"/>
          <w:highlight w:val="none"/>
        </w:rPr>
        <w:t>、</w:t>
      </w:r>
      <w:r>
        <w:rPr>
          <w:rFonts w:hint="eastAsia" w:hAnsi="宋体"/>
          <w:b/>
          <w:color w:val="000000"/>
          <w:sz w:val="24"/>
          <w:szCs w:val="24"/>
          <w:highlight w:val="none"/>
        </w:rPr>
        <w:t>解决争议的方法</w:t>
      </w:r>
    </w:p>
    <w:p w14:paraId="7E62D3DE">
      <w:pPr>
        <w:pStyle w:val="192"/>
        <w:keepNext w:val="0"/>
        <w:keepLines w:val="0"/>
        <w:pageBreakBefore w:val="0"/>
        <w:kinsoku/>
        <w:wordWrap/>
        <w:overflowPunct/>
        <w:topLinePunct w:val="0"/>
        <w:autoSpaceDE/>
        <w:autoSpaceDN/>
        <w:bidi w:val="0"/>
        <w:snapToGrid w:val="0"/>
        <w:spacing w:line="440" w:lineRule="atLeast"/>
        <w:ind w:left="839" w:hanging="360"/>
        <w:textAlignment w:val="auto"/>
        <w:rPr>
          <w:rFonts w:hint="eastAsia" w:hAnsi="宋体"/>
          <w:color w:val="000000"/>
          <w:sz w:val="24"/>
          <w:szCs w:val="24"/>
          <w:highlight w:val="none"/>
        </w:rPr>
      </w:pPr>
      <w:r>
        <w:rPr>
          <w:rFonts w:hint="eastAsia" w:hAnsi="宋体"/>
          <w:color w:val="000000"/>
          <w:sz w:val="24"/>
          <w:szCs w:val="24"/>
          <w:highlight w:val="none"/>
        </w:rPr>
        <w:t>双方在签订、履行合同中所发生的一切争议，应通过友好协商解决。</w:t>
      </w:r>
    </w:p>
    <w:p w14:paraId="3FCE4E29">
      <w:pPr>
        <w:pStyle w:val="192"/>
        <w:keepNext w:val="0"/>
        <w:keepLines w:val="0"/>
        <w:pageBreakBefore w:val="0"/>
        <w:kinsoku/>
        <w:wordWrap/>
        <w:overflowPunct/>
        <w:topLinePunct w:val="0"/>
        <w:autoSpaceDE/>
        <w:autoSpaceDN/>
        <w:bidi w:val="0"/>
        <w:snapToGrid w:val="0"/>
        <w:spacing w:line="440" w:lineRule="atLeast"/>
        <w:textAlignment w:val="auto"/>
        <w:rPr>
          <w:rFonts w:hint="eastAsia" w:hAnsi="宋体"/>
          <w:color w:val="000000"/>
          <w:sz w:val="24"/>
          <w:szCs w:val="24"/>
          <w:highlight w:val="none"/>
        </w:rPr>
      </w:pPr>
      <w:r>
        <w:rPr>
          <w:rFonts w:hint="eastAsia" w:hAnsi="宋体"/>
          <w:color w:val="000000"/>
          <w:sz w:val="24"/>
          <w:szCs w:val="24"/>
          <w:highlight w:val="none"/>
        </w:rPr>
        <w:t>如协商不成，由甲方住所地人民法院管辖。</w:t>
      </w:r>
    </w:p>
    <w:p w14:paraId="7B534AD5">
      <w:pPr>
        <w:pStyle w:val="192"/>
        <w:keepNext w:val="0"/>
        <w:keepLines w:val="0"/>
        <w:pageBreakBefore w:val="0"/>
        <w:kinsoku/>
        <w:wordWrap/>
        <w:overflowPunct/>
        <w:topLinePunct w:val="0"/>
        <w:autoSpaceDE/>
        <w:autoSpaceDN/>
        <w:bidi w:val="0"/>
        <w:snapToGrid w:val="0"/>
        <w:spacing w:line="440" w:lineRule="atLeast"/>
        <w:ind w:left="602" w:hanging="602"/>
        <w:textAlignment w:val="auto"/>
        <w:rPr>
          <w:rFonts w:hAnsi="宋体"/>
          <w:b/>
          <w:color w:val="000000"/>
          <w:sz w:val="24"/>
          <w:szCs w:val="24"/>
          <w:highlight w:val="none"/>
        </w:rPr>
      </w:pPr>
      <w:r>
        <w:rPr>
          <w:rFonts w:hint="eastAsia" w:hAnsi="宋体"/>
          <w:b/>
          <w:color w:val="000000"/>
          <w:sz w:val="24"/>
          <w:szCs w:val="24"/>
          <w:highlight w:val="none"/>
          <w:lang w:val="en-US" w:eastAsia="zh-CN"/>
        </w:rPr>
        <w:t>二十</w:t>
      </w:r>
      <w:r>
        <w:rPr>
          <w:rFonts w:hAnsi="宋体"/>
          <w:b/>
          <w:color w:val="000000"/>
          <w:sz w:val="24"/>
          <w:szCs w:val="24"/>
          <w:highlight w:val="none"/>
        </w:rPr>
        <w:t>、合同生效及其它</w:t>
      </w:r>
    </w:p>
    <w:p w14:paraId="6615FA5F">
      <w:pPr>
        <w:pStyle w:val="192"/>
        <w:keepNext w:val="0"/>
        <w:keepLines w:val="0"/>
        <w:pageBreakBefore w:val="0"/>
        <w:widowControl w:val="0"/>
        <w:kinsoku/>
        <w:wordWrap/>
        <w:overflowPunct/>
        <w:topLinePunct w:val="0"/>
        <w:autoSpaceDE/>
        <w:autoSpaceDN/>
        <w:bidi w:val="0"/>
        <w:adjustRightInd w:val="0"/>
        <w:snapToGrid w:val="0"/>
        <w:spacing w:line="440" w:lineRule="atLeast"/>
        <w:ind w:left="19" w:leftChars="0" w:firstLine="480" w:firstLineChars="200"/>
        <w:textAlignment w:va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由于非乙方的原因导致合同期延长，甲、乙双方应按约定签定补充协议。</w:t>
      </w:r>
    </w:p>
    <w:p w14:paraId="54D4BCAC">
      <w:pPr>
        <w:pStyle w:val="192"/>
        <w:keepNext w:val="0"/>
        <w:keepLines w:val="0"/>
        <w:pageBreakBefore w:val="0"/>
        <w:widowControl w:val="0"/>
        <w:kinsoku/>
        <w:wordWrap/>
        <w:overflowPunct/>
        <w:topLinePunct w:val="0"/>
        <w:autoSpaceDE/>
        <w:autoSpaceDN/>
        <w:bidi w:val="0"/>
        <w:adjustRightInd w:val="0"/>
        <w:snapToGrid w:val="0"/>
        <w:spacing w:line="440" w:lineRule="atLeast"/>
        <w:ind w:left="0" w:leftChars="0" w:firstLine="480" w:firstLineChars="200"/>
        <w:textAlignment w:va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若实际成交量或合同期因故发生重大变化，双方均可提出合同变更请求并应签订补充协议，但所有补充协议总金额不得超过原合同总金额的10%。</w:t>
      </w:r>
    </w:p>
    <w:p w14:paraId="7181207B">
      <w:pPr>
        <w:pStyle w:val="192"/>
        <w:keepNext w:val="0"/>
        <w:keepLines w:val="0"/>
        <w:pageBreakBefore w:val="0"/>
        <w:widowControl w:val="0"/>
        <w:kinsoku/>
        <w:wordWrap/>
        <w:overflowPunct/>
        <w:topLinePunct w:val="0"/>
        <w:autoSpaceDE/>
        <w:autoSpaceDN/>
        <w:bidi w:val="0"/>
        <w:adjustRightInd w:val="0"/>
        <w:snapToGrid w:val="0"/>
        <w:spacing w:line="440" w:lineRule="atLeast"/>
        <w:ind w:left="19" w:leftChars="0" w:firstLine="480" w:firstLineChars="200"/>
        <w:textAlignment w:va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甲方招标文件、乙方投标文件、会议记录均为本合同的组成部分，具有同等法律效力。</w:t>
      </w:r>
    </w:p>
    <w:p w14:paraId="72DB9DAB">
      <w:pPr>
        <w:pStyle w:val="192"/>
        <w:keepNext w:val="0"/>
        <w:keepLines w:val="0"/>
        <w:pageBreakBefore w:val="0"/>
        <w:widowControl w:val="0"/>
        <w:kinsoku/>
        <w:wordWrap/>
        <w:overflowPunct/>
        <w:topLinePunct w:val="0"/>
        <w:autoSpaceDE/>
        <w:autoSpaceDN/>
        <w:bidi w:val="0"/>
        <w:adjustRightInd w:val="0"/>
        <w:snapToGrid w:val="0"/>
        <w:spacing w:line="440" w:lineRule="atLeast"/>
        <w:ind w:left="19" w:leftChars="0" w:firstLine="480" w:firstLineChars="200"/>
        <w:textAlignment w:va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本合同经各方签字盖章即生效，并自签订之日起七个工作日内，政府代理机构须将合同报政府监督管理部门备案，加盖“扬中市政府备案章”。</w:t>
      </w:r>
    </w:p>
    <w:p w14:paraId="2926DE2D">
      <w:pPr>
        <w:pStyle w:val="192"/>
        <w:keepNext w:val="0"/>
        <w:keepLines w:val="0"/>
        <w:pageBreakBefore w:val="0"/>
        <w:widowControl w:val="0"/>
        <w:kinsoku/>
        <w:wordWrap/>
        <w:overflowPunct/>
        <w:topLinePunct w:val="0"/>
        <w:autoSpaceDE/>
        <w:autoSpaceDN/>
        <w:bidi w:val="0"/>
        <w:adjustRightInd w:val="0"/>
        <w:snapToGrid w:val="0"/>
        <w:spacing w:line="440" w:lineRule="atLeast"/>
        <w:ind w:left="19" w:leftChars="0" w:firstLine="480" w:firstLineChars="200"/>
        <w:textAlignment w:va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本合同一式</w:t>
      </w:r>
      <w:r>
        <w:rPr>
          <w:rFonts w:hint="eastAsia" w:ascii="宋体" w:hAnsi="宋体" w:eastAsia="宋体" w:cs="Times New Roman"/>
          <w:color w:val="000000"/>
          <w:sz w:val="24"/>
          <w:szCs w:val="24"/>
          <w:highlight w:val="none"/>
          <w:lang w:val="en-US" w:eastAsia="zh-CN"/>
        </w:rPr>
        <w:t>六</w:t>
      </w:r>
      <w:r>
        <w:rPr>
          <w:rFonts w:hint="eastAsia" w:ascii="宋体" w:hAnsi="宋体" w:eastAsia="宋体" w:cs="Times New Roman"/>
          <w:color w:val="000000"/>
          <w:sz w:val="24"/>
          <w:szCs w:val="24"/>
          <w:highlight w:val="none"/>
        </w:rPr>
        <w:t>份，甲方、乙方各执</w:t>
      </w:r>
      <w:r>
        <w:rPr>
          <w:rFonts w:hint="eastAsia" w:ascii="宋体" w:hAnsi="宋体" w:eastAsia="宋体" w:cs="Times New Roman"/>
          <w:color w:val="000000"/>
          <w:sz w:val="24"/>
          <w:szCs w:val="24"/>
          <w:highlight w:val="none"/>
          <w:lang w:val="en-US" w:eastAsia="zh-CN"/>
        </w:rPr>
        <w:t>两</w:t>
      </w:r>
      <w:r>
        <w:rPr>
          <w:rFonts w:hint="eastAsia" w:ascii="宋体" w:hAnsi="宋体" w:eastAsia="宋体" w:cs="Times New Roman"/>
          <w:color w:val="000000"/>
          <w:sz w:val="24"/>
          <w:szCs w:val="24"/>
          <w:highlight w:val="none"/>
        </w:rPr>
        <w:t>份、政府代理机构、政府监督管理部门各执</w:t>
      </w:r>
      <w:r>
        <w:rPr>
          <w:rFonts w:hint="eastAsia" w:ascii="宋体" w:hAnsi="宋体" w:eastAsia="宋体" w:cs="Times New Roman"/>
          <w:color w:val="000000"/>
          <w:sz w:val="24"/>
          <w:szCs w:val="24"/>
          <w:highlight w:val="none"/>
          <w:lang w:val="en-US" w:eastAsia="zh-CN"/>
        </w:rPr>
        <w:t>一</w:t>
      </w:r>
      <w:r>
        <w:rPr>
          <w:rFonts w:hint="eastAsia" w:ascii="宋体" w:hAnsi="宋体" w:eastAsia="宋体" w:cs="Times New Roman"/>
          <w:color w:val="000000"/>
          <w:sz w:val="24"/>
          <w:szCs w:val="24"/>
          <w:highlight w:val="none"/>
        </w:rPr>
        <w:t>份。</w:t>
      </w:r>
    </w:p>
    <w:p w14:paraId="7F8C08DF">
      <w:pPr>
        <w:pStyle w:val="192"/>
        <w:keepNext w:val="0"/>
        <w:keepLines w:val="0"/>
        <w:pageBreakBefore w:val="0"/>
        <w:widowControl w:val="0"/>
        <w:kinsoku/>
        <w:wordWrap/>
        <w:overflowPunct/>
        <w:topLinePunct w:val="0"/>
        <w:autoSpaceDE/>
        <w:autoSpaceDN/>
        <w:bidi w:val="0"/>
        <w:adjustRightInd w:val="0"/>
        <w:snapToGrid w:val="0"/>
        <w:spacing w:line="440" w:lineRule="atLeast"/>
        <w:ind w:left="19" w:leftChars="0" w:firstLine="480" w:firstLineChars="200"/>
        <w:textAlignment w:val="auto"/>
        <w:rPr>
          <w:rFonts w:hint="eastAsia" w:ascii="宋体" w:hAnsi="宋体" w:eastAsia="宋体" w:cs="Times New Roman"/>
          <w:color w:val="000000"/>
          <w:sz w:val="24"/>
          <w:szCs w:val="24"/>
          <w:highlight w:val="none"/>
        </w:rPr>
      </w:pPr>
    </w:p>
    <w:p w14:paraId="75507990">
      <w:pPr>
        <w:pStyle w:val="192"/>
        <w:keepNext w:val="0"/>
        <w:keepLines w:val="0"/>
        <w:pageBreakBefore w:val="0"/>
        <w:widowControl w:val="0"/>
        <w:kinsoku/>
        <w:wordWrap/>
        <w:overflowPunct/>
        <w:topLinePunct w:val="0"/>
        <w:autoSpaceDE/>
        <w:autoSpaceDN/>
        <w:bidi w:val="0"/>
        <w:adjustRightInd w:val="0"/>
        <w:snapToGrid w:val="0"/>
        <w:spacing w:line="440" w:lineRule="atLeast"/>
        <w:ind w:left="19" w:leftChars="0" w:firstLine="480" w:firstLineChars="200"/>
        <w:textAlignment w:val="auto"/>
        <w:rPr>
          <w:rFonts w:hint="eastAsia" w:ascii="宋体" w:hAnsi="宋体" w:eastAsia="宋体" w:cs="Times New Roman"/>
          <w:color w:val="000000"/>
          <w:sz w:val="24"/>
          <w:szCs w:val="24"/>
          <w:highlight w:val="none"/>
        </w:rPr>
      </w:pPr>
    </w:p>
    <w:p w14:paraId="6C9148E1">
      <w:pPr>
        <w:keepNext w:val="0"/>
        <w:keepLines w:val="0"/>
        <w:pageBreakBefore w:val="0"/>
        <w:kinsoku/>
        <w:wordWrap/>
        <w:overflowPunct/>
        <w:topLinePunct w:val="0"/>
        <w:autoSpaceDE/>
        <w:autoSpaceDN/>
        <w:bidi w:val="0"/>
        <w:snapToGrid w:val="0"/>
        <w:spacing w:line="440" w:lineRule="atLeast"/>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甲方：（盖章）　　　　   　　      乙方：（盖章）</w:t>
      </w:r>
    </w:p>
    <w:p w14:paraId="3C9E505A">
      <w:pPr>
        <w:keepNext w:val="0"/>
        <w:keepLines w:val="0"/>
        <w:pageBreakBefore w:val="0"/>
        <w:kinsoku/>
        <w:wordWrap/>
        <w:overflowPunct/>
        <w:topLinePunct w:val="0"/>
        <w:autoSpaceDE/>
        <w:autoSpaceDN/>
        <w:bidi w:val="0"/>
        <w:snapToGrid w:val="0"/>
        <w:spacing w:line="440" w:lineRule="atLeast"/>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代表：（签字）　　　　   　　      代表：（签字）</w:t>
      </w:r>
    </w:p>
    <w:p w14:paraId="31FF2FE8">
      <w:pPr>
        <w:keepNext w:val="0"/>
        <w:keepLines w:val="0"/>
        <w:pageBreakBefore w:val="0"/>
        <w:kinsoku/>
        <w:wordWrap/>
        <w:overflowPunct/>
        <w:topLinePunct w:val="0"/>
        <w:autoSpaceDE/>
        <w:autoSpaceDN/>
        <w:bidi w:val="0"/>
        <w:snapToGrid w:val="0"/>
        <w:spacing w:line="440" w:lineRule="atLeast"/>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地址：                             地址：</w:t>
      </w:r>
    </w:p>
    <w:p w14:paraId="3CB9D12B">
      <w:pPr>
        <w:keepNext w:val="0"/>
        <w:keepLines w:val="0"/>
        <w:pageBreakBefore w:val="0"/>
        <w:kinsoku/>
        <w:wordWrap/>
        <w:overflowPunct/>
        <w:topLinePunct w:val="0"/>
        <w:autoSpaceDE/>
        <w:autoSpaceDN/>
        <w:bidi w:val="0"/>
        <w:snapToGrid w:val="0"/>
        <w:spacing w:line="440" w:lineRule="atLeast"/>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日        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日</w:t>
      </w:r>
    </w:p>
    <w:p w14:paraId="46917438">
      <w:pPr>
        <w:keepNext w:val="0"/>
        <w:keepLines w:val="0"/>
        <w:pageBreakBefore w:val="0"/>
        <w:kinsoku/>
        <w:wordWrap/>
        <w:overflowPunct/>
        <w:topLinePunct w:val="0"/>
        <w:autoSpaceDE/>
        <w:autoSpaceDN/>
        <w:bidi w:val="0"/>
        <w:snapToGrid w:val="0"/>
        <w:spacing w:line="440" w:lineRule="atLeast"/>
        <w:jc w:val="left"/>
        <w:textAlignment w:val="auto"/>
        <w:rPr>
          <w:rFonts w:hint="eastAsia" w:ascii="宋体" w:hAnsi="宋体" w:cs="Courier New"/>
          <w:color w:val="000000"/>
          <w:sz w:val="24"/>
          <w:szCs w:val="24"/>
          <w:highlight w:val="none"/>
        </w:rPr>
      </w:pPr>
    </w:p>
    <w:p w14:paraId="0B48100A">
      <w:pPr>
        <w:keepNext w:val="0"/>
        <w:keepLines w:val="0"/>
        <w:pageBreakBefore w:val="0"/>
        <w:kinsoku/>
        <w:wordWrap/>
        <w:overflowPunct/>
        <w:topLinePunct w:val="0"/>
        <w:autoSpaceDE/>
        <w:autoSpaceDN/>
        <w:bidi w:val="0"/>
        <w:snapToGrid w:val="0"/>
        <w:spacing w:line="440" w:lineRule="atLeast"/>
        <w:jc w:val="left"/>
        <w:textAlignment w:val="auto"/>
        <w:rPr>
          <w:rFonts w:hint="eastAsia" w:ascii="宋体" w:hAnsi="宋体" w:cs="Courier New"/>
          <w:color w:val="000000"/>
          <w:sz w:val="24"/>
          <w:szCs w:val="24"/>
          <w:highlight w:val="none"/>
        </w:rPr>
      </w:pPr>
    </w:p>
    <w:p w14:paraId="26679F78">
      <w:pPr>
        <w:keepNext w:val="0"/>
        <w:keepLines w:val="0"/>
        <w:pageBreakBefore w:val="0"/>
        <w:kinsoku/>
        <w:wordWrap/>
        <w:overflowPunct/>
        <w:topLinePunct w:val="0"/>
        <w:autoSpaceDE/>
        <w:autoSpaceDN/>
        <w:bidi w:val="0"/>
        <w:snapToGrid w:val="0"/>
        <w:spacing w:line="440" w:lineRule="atLeast"/>
        <w:jc w:val="left"/>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代理（加盖公章）： </w:t>
      </w:r>
    </w:p>
    <w:p w14:paraId="5EC8023A">
      <w:pPr>
        <w:keepNext w:val="0"/>
        <w:keepLines w:val="0"/>
        <w:pageBreakBefore w:val="0"/>
        <w:kinsoku/>
        <w:wordWrap/>
        <w:overflowPunct/>
        <w:topLinePunct w:val="0"/>
        <w:autoSpaceDE/>
        <w:autoSpaceDN/>
        <w:bidi w:val="0"/>
        <w:snapToGrid w:val="0"/>
        <w:spacing w:line="440" w:lineRule="atLeast"/>
        <w:jc w:val="left"/>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代表：（签字）　</w:t>
      </w:r>
    </w:p>
    <w:p w14:paraId="361FC870">
      <w:pPr>
        <w:keepNext w:val="0"/>
        <w:keepLines w:val="0"/>
        <w:pageBreakBefore w:val="0"/>
        <w:kinsoku/>
        <w:wordWrap/>
        <w:overflowPunct/>
        <w:topLinePunct w:val="0"/>
        <w:autoSpaceDE/>
        <w:autoSpaceDN/>
        <w:bidi w:val="0"/>
        <w:snapToGrid w:val="0"/>
        <w:spacing w:line="440" w:lineRule="atLeast"/>
        <w:jc w:val="left"/>
        <w:textAlignment w:val="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p>
    <w:p w14:paraId="12C6013A">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签约日期：</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年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月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日           </w:t>
      </w:r>
    </w:p>
    <w:p w14:paraId="76B32891">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p w14:paraId="60B9782E">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p w14:paraId="39F3BF4F">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p w14:paraId="02A9010D">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p w14:paraId="784240C8">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p w14:paraId="73D9D13B">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p w14:paraId="7DA70946">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p w14:paraId="17C4B3E4">
      <w:pPr>
        <w:keepNext w:val="0"/>
        <w:keepLines w:val="0"/>
        <w:pageBreakBefore w:val="0"/>
        <w:kinsoku/>
        <w:wordWrap/>
        <w:overflowPunct/>
        <w:topLinePunct w:val="0"/>
        <w:autoSpaceDE/>
        <w:autoSpaceDN/>
        <w:bidi w:val="0"/>
        <w:snapToGrid w:val="0"/>
        <w:spacing w:line="440" w:lineRule="atLeast"/>
        <w:textAlignment w:val="auto"/>
        <w:rPr>
          <w:rFonts w:hint="eastAsia" w:ascii="宋体" w:hAnsi="宋体" w:cs="Courier New"/>
          <w:color w:val="000000"/>
          <w:sz w:val="24"/>
          <w:szCs w:val="24"/>
          <w:highlight w:val="none"/>
        </w:rPr>
      </w:pPr>
    </w:p>
    <w:bookmarkEnd w:id="191"/>
    <w:bookmarkEnd w:id="192"/>
    <w:bookmarkEnd w:id="193"/>
    <w:p w14:paraId="0BC0CDA7">
      <w:pPr>
        <w:spacing w:before="156" w:after="156" w:line="440" w:lineRule="exact"/>
        <w:jc w:val="center"/>
        <w:rPr>
          <w:rFonts w:hint="eastAsia" w:ascii="宋体" w:hAnsi="宋体"/>
          <w:b/>
          <w:color w:val="auto"/>
          <w:sz w:val="30"/>
          <w:szCs w:val="30"/>
          <w:highlight w:val="none"/>
        </w:rPr>
      </w:pPr>
      <w:bookmarkStart w:id="194" w:name="_Hlt16619350"/>
      <w:bookmarkStart w:id="195" w:name="_Toc120614244"/>
      <w:bookmarkStart w:id="196" w:name="_Toc16938590"/>
      <w:bookmarkStart w:id="197" w:name="_Toc20823346"/>
      <w:bookmarkStart w:id="198" w:name="_Toc462564139"/>
      <w:bookmarkStart w:id="199" w:name="_Toc479757211"/>
      <w:r>
        <w:rPr>
          <w:rFonts w:hint="eastAsia" w:ascii="宋体" w:hAnsi="宋体"/>
          <w:b/>
          <w:color w:val="auto"/>
          <w:sz w:val="30"/>
          <w:szCs w:val="30"/>
          <w:highlight w:val="none"/>
        </w:rPr>
        <w:t>工程质量保修书</w:t>
      </w:r>
    </w:p>
    <w:p w14:paraId="7E9E3DEE">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发包人（全称）：             </w:t>
      </w:r>
      <w:r>
        <w:rPr>
          <w:rFonts w:ascii="宋体" w:hAnsi="宋体" w:cs="宋体"/>
          <w:color w:val="auto"/>
          <w:szCs w:val="24"/>
          <w:highlight w:val="none"/>
          <w:shd w:val="clear" w:color="auto" w:fill="FFFFFF"/>
        </w:rPr>
        <w:t xml:space="preserve">   </w:t>
      </w:r>
    </w:p>
    <w:p w14:paraId="17BAD17E">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xml:space="preserve">承包人（全称）：                          </w:t>
      </w:r>
      <w:r>
        <w:rPr>
          <w:rFonts w:ascii="宋体" w:hAnsi="宋体" w:cs="宋体"/>
          <w:color w:val="auto"/>
          <w:szCs w:val="24"/>
          <w:highlight w:val="none"/>
          <w:shd w:val="clear" w:color="auto" w:fill="FFFFFF"/>
        </w:rPr>
        <w:t xml:space="preserve"> </w:t>
      </w:r>
    </w:p>
    <w:p w14:paraId="75039654">
      <w:pPr>
        <w:spacing w:line="360" w:lineRule="auto"/>
        <w:ind w:firstLine="525"/>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发包人和承包人根据《中华人民共和国建筑法》、《建设工程质量管理条例》和《房屋建筑工程质量保修办法》，经协商一致，就</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（工程全称）签订工程质量保修书。</w:t>
      </w:r>
    </w:p>
    <w:p w14:paraId="25AB0044">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一、工程质量保修范围和内容</w:t>
      </w:r>
    </w:p>
    <w:p w14:paraId="2C35EBF9">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承包人在质量保修期内，按照有关法律规定和合同约定，承担本工程质量保修责任。</w:t>
      </w:r>
    </w:p>
    <w:p w14:paraId="2BAA7CEF">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4"/>
          <w:highlight w:val="none"/>
          <w:u w:val="single"/>
          <w:shd w:val="clear" w:color="auto" w:fill="FFFFFF"/>
        </w:rPr>
        <w:t>凡属乙方加工及施工工艺、施工方法及材料质量等质量问题造成的需返工修补的情况。</w:t>
      </w:r>
    </w:p>
    <w:p w14:paraId="4687AF9F">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二、质量保修期</w:t>
      </w:r>
    </w:p>
    <w:p w14:paraId="5E693596">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auto"/>
          <w:szCs w:val="24"/>
          <w:highlight w:val="none"/>
          <w:shd w:val="clear" w:color="auto" w:fill="FFFFFF"/>
        </w:rPr>
        <w:t>1</w:t>
      </w:r>
      <w:r>
        <w:rPr>
          <w:rFonts w:hint="eastAsia" w:ascii="宋体" w:hAnsi="宋体" w:cs="宋体"/>
          <w:color w:val="auto"/>
          <w:szCs w:val="24"/>
          <w:highlight w:val="none"/>
          <w:shd w:val="clear" w:color="auto" w:fill="FFFFFF"/>
        </w:rPr>
        <w:t>．地基基础工程和主体结构工程为设计文件规定的工程合理使用年限；</w:t>
      </w:r>
    </w:p>
    <w:p w14:paraId="053998A2">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本工程质量保修期为</w:t>
      </w:r>
      <w:r>
        <w:rPr>
          <w:rFonts w:hint="eastAsia"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年 ，从工程竣工验收合格之日起，2 年内因工程质量问题所发生的材料费、保修人工费等均由乙方负责免费维修和更换。</w:t>
      </w:r>
    </w:p>
    <w:p w14:paraId="0DA129DD">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2、在乙方对质量保证期内出现的质量问题进行维修时，乙方应相应延长维修或更换部分的质量保证期。</w:t>
      </w:r>
    </w:p>
    <w:p w14:paraId="7ACFC0CC">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3、质量保证期内因甲方原因或自然灾害而造成的损坏，乙方不承担保修责任，但乙方有义务对此进行维修，维修发生的材料和人工费用由甲方承担。</w:t>
      </w:r>
    </w:p>
    <w:p w14:paraId="0F24572F">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4、屋面防水工程、有防水要求的卫生间、房间和外墙面的防渗为</w:t>
      </w:r>
      <w:r>
        <w:rPr>
          <w:rFonts w:ascii="宋体" w:hAnsi="宋体" w:cs="宋体"/>
          <w:color w:val="auto"/>
          <w:szCs w:val="24"/>
          <w:highlight w:val="none"/>
          <w:u w:val="single"/>
          <w:shd w:val="clear" w:color="auto" w:fill="FFFFFF"/>
        </w:rPr>
        <w:t xml:space="preserve">  5 </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年；</w:t>
      </w:r>
    </w:p>
    <w:p w14:paraId="00317055">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5、装修工程为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年；</w:t>
      </w:r>
    </w:p>
    <w:p w14:paraId="03AF2095">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6、电气管线、给排水管道、设备安装工程为</w:t>
      </w:r>
      <w:r>
        <w:rPr>
          <w:rFonts w:ascii="宋体" w:hAnsi="宋体" w:cs="宋体"/>
          <w:color w:val="auto"/>
          <w:szCs w:val="24"/>
          <w:highlight w:val="none"/>
          <w:shd w:val="clear" w:color="auto" w:fill="FFFFFF"/>
        </w:rPr>
        <w:t xml:space="preserve"> </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年；</w:t>
      </w:r>
    </w:p>
    <w:p w14:paraId="7081B457">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7、供热与供冷系统为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个采暖期、供冷期；</w:t>
      </w:r>
    </w:p>
    <w:p w14:paraId="3AF06F5E">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8、住宅小区内的给排水设施、道路等配套工程为</w:t>
      </w:r>
      <w:r>
        <w:rPr>
          <w:rFonts w:ascii="宋体" w:hAnsi="宋体" w:cs="宋体"/>
          <w:color w:val="auto"/>
          <w:szCs w:val="24"/>
          <w:highlight w:val="none"/>
          <w:u w:val="single"/>
          <w:shd w:val="clear" w:color="auto" w:fill="FFFFFF"/>
        </w:rPr>
        <w:t xml:space="preserve">  2  </w:t>
      </w:r>
      <w:r>
        <w:rPr>
          <w:rFonts w:hint="eastAsia" w:ascii="宋体" w:hAnsi="宋体" w:cs="宋体"/>
          <w:color w:val="auto"/>
          <w:szCs w:val="24"/>
          <w:highlight w:val="none"/>
          <w:shd w:val="clear" w:color="auto" w:fill="FFFFFF"/>
        </w:rPr>
        <w:t>年；</w:t>
      </w:r>
    </w:p>
    <w:p w14:paraId="34ED434A">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三、缺陷责任期</w:t>
      </w:r>
    </w:p>
    <w:p w14:paraId="0D3B3511">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工程缺陷责任期为</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u w:val="single"/>
          <w:shd w:val="clear" w:color="auto" w:fill="FFFFFF"/>
        </w:rPr>
        <w:t>24</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个月，缺陷责任期自工程竣工验收合格之日起计算。单位工程先于全部工程进行验收，单位工程缺陷责任期自单位工程验收合格之日起算。</w:t>
      </w:r>
    </w:p>
    <w:p w14:paraId="336F9615">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四、质量保修责任</w:t>
      </w:r>
    </w:p>
    <w:p w14:paraId="5ADD735A">
      <w:pPr>
        <w:spacing w:line="360" w:lineRule="auto"/>
        <w:ind w:firstLine="420"/>
        <w:jc w:val="left"/>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1</w:t>
      </w:r>
      <w:r>
        <w:rPr>
          <w:rFonts w:hint="eastAsia" w:ascii="宋体" w:hAnsi="宋体" w:cs="宋体"/>
          <w:color w:val="auto"/>
          <w:szCs w:val="24"/>
          <w:highlight w:val="none"/>
          <w:shd w:val="clear" w:color="auto" w:fill="FFFFFF"/>
        </w:rPr>
        <w:t>．属于保修范围、内容的项目，承包人应当在接到保修通知之日起</w:t>
      </w:r>
      <w:r>
        <w:rPr>
          <w:rFonts w:ascii="宋体" w:hAnsi="宋体" w:cs="宋体"/>
          <w:color w:val="auto"/>
          <w:szCs w:val="24"/>
          <w:highlight w:val="none"/>
          <w:shd w:val="clear" w:color="auto" w:fill="FFFFFF"/>
        </w:rPr>
        <w:t>7</w:t>
      </w:r>
      <w:r>
        <w:rPr>
          <w:rFonts w:hint="eastAsia" w:ascii="宋体" w:hAnsi="宋体" w:cs="宋体"/>
          <w:color w:val="auto"/>
          <w:szCs w:val="24"/>
          <w:highlight w:val="none"/>
          <w:shd w:val="clear" w:color="auto" w:fill="FFFFFF"/>
        </w:rPr>
        <w:t>天内派人保修。承包人不在约定期限内派人保修的，发包人可以委托他人修理，保修费用从质量保修金内扣除。</w:t>
      </w:r>
    </w:p>
    <w:p w14:paraId="7C9F27B9">
      <w:pPr>
        <w:spacing w:line="360" w:lineRule="auto"/>
        <w:ind w:firstLine="420"/>
        <w:jc w:val="left"/>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2</w:t>
      </w:r>
      <w:r>
        <w:rPr>
          <w:rFonts w:hint="eastAsia" w:ascii="宋体" w:hAnsi="宋体" w:cs="宋体"/>
          <w:color w:val="auto"/>
          <w:szCs w:val="24"/>
          <w:highlight w:val="none"/>
          <w:shd w:val="clear" w:color="auto" w:fill="FFFFFF"/>
        </w:rPr>
        <w:t>．发生紧急事故需抢修的，承包人在接到事故通知后，应当立即到达事故现场抢修。非承包人施工质量引起的事故，费用由发包人承担。</w:t>
      </w:r>
    </w:p>
    <w:p w14:paraId="00C3D0DB">
      <w:pPr>
        <w:spacing w:line="360" w:lineRule="auto"/>
        <w:ind w:firstLine="420"/>
        <w:jc w:val="left"/>
        <w:rPr>
          <w:rFonts w:hint="eastAsia" w:ascii="宋体" w:hAnsi="宋体" w:cs="宋体"/>
          <w:color w:val="auto"/>
          <w:szCs w:val="24"/>
          <w:highlight w:val="none"/>
          <w:shd w:val="clear" w:color="auto" w:fill="FFFFFF"/>
        </w:rPr>
      </w:pPr>
      <w:r>
        <w:rPr>
          <w:rFonts w:ascii="宋体" w:hAnsi="宋体" w:cs="宋体"/>
          <w:color w:val="auto"/>
          <w:szCs w:val="24"/>
          <w:highlight w:val="none"/>
          <w:shd w:val="clear" w:color="auto" w:fill="FFFFFF"/>
        </w:rPr>
        <w:t>3</w:t>
      </w:r>
      <w:r>
        <w:rPr>
          <w:rFonts w:hint="eastAsia" w:ascii="宋体" w:hAnsi="宋体" w:cs="宋体"/>
          <w:color w:val="auto"/>
          <w:szCs w:val="24"/>
          <w:highlight w:val="none"/>
          <w:shd w:val="clear" w:color="auto" w:fill="FFFFFF"/>
        </w:rPr>
        <w:t>．在国家规定的工程合理使用年限内，承包人要确保工程质量。因承包人原因致使工程在合理使用年限内成人身和财产损害的，承包人应承担损害赔偿责任。</w:t>
      </w:r>
    </w:p>
    <w:p w14:paraId="733023B8">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8D73299">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5．质量保修完成后，由发包人组织验收。</w:t>
      </w:r>
    </w:p>
    <w:p w14:paraId="12BCD40D">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五、保修费用</w:t>
      </w:r>
    </w:p>
    <w:p w14:paraId="711FC099">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　保修费用由造成质量缺陷的责任方承担。本工程约定的工程质量保修金为施工合同价的 3%。本工程双方约定的乙方向甲方支付工程质量保修金的金额为人民币（大写）</w:t>
      </w:r>
      <w:r>
        <w:rPr>
          <w:rFonts w:hint="eastAsia"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 xml:space="preserve"> ；质量保修金银行利率不计。</w:t>
      </w:r>
    </w:p>
    <w:p w14:paraId="6A2CB187">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六、质量保修金的退还</w:t>
      </w:r>
    </w:p>
    <w:p w14:paraId="4FA3834D">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发包人在质量保修期满后，将剩余质量保修金（不计利息）返还承包人。</w:t>
      </w:r>
    </w:p>
    <w:p w14:paraId="4EF0F318">
      <w:pPr>
        <w:spacing w:line="360" w:lineRule="auto"/>
        <w:ind w:firstLine="525"/>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七、双方约定的其他工程质量保修事项：</w:t>
      </w:r>
      <w:r>
        <w:rPr>
          <w:rFonts w:hint="eastAsia" w:ascii="宋体" w:hAnsi="宋体" w:cs="宋体"/>
          <w:color w:val="auto"/>
          <w:szCs w:val="24"/>
          <w:highlight w:val="none"/>
          <w:u w:val="single"/>
          <w:shd w:val="clear" w:color="auto" w:fill="FFFFFF"/>
        </w:rPr>
        <w:t>保修期内因承包人不能及时履行保修义务，发包人有权另请第三方维修，费用按实际发生费用的</w:t>
      </w:r>
      <w:r>
        <w:rPr>
          <w:rFonts w:ascii="宋体" w:hAnsi="宋体" w:cs="宋体"/>
          <w:color w:val="auto"/>
          <w:szCs w:val="24"/>
          <w:highlight w:val="none"/>
          <w:u w:val="single"/>
          <w:shd w:val="clear" w:color="auto" w:fill="FFFFFF"/>
        </w:rPr>
        <w:t>2</w:t>
      </w:r>
      <w:r>
        <w:rPr>
          <w:rFonts w:hint="eastAsia" w:ascii="宋体" w:hAnsi="宋体" w:cs="宋体"/>
          <w:color w:val="auto"/>
          <w:szCs w:val="24"/>
          <w:highlight w:val="none"/>
          <w:u w:val="single"/>
          <w:shd w:val="clear" w:color="auto" w:fill="FFFFFF"/>
        </w:rPr>
        <w:t>倍从保修金中扣除</w:t>
      </w:r>
      <w:r>
        <w:rPr>
          <w:rFonts w:ascii="宋体" w:hAnsi="宋体" w:cs="宋体"/>
          <w:color w:val="auto"/>
          <w:szCs w:val="24"/>
          <w:highlight w:val="none"/>
          <w:u w:val="single"/>
          <w:shd w:val="clear" w:color="auto" w:fill="FFFFFF"/>
        </w:rPr>
        <w:t xml:space="preserve">  </w:t>
      </w:r>
      <w:r>
        <w:rPr>
          <w:rFonts w:hint="eastAsia" w:ascii="宋体" w:hAnsi="宋体" w:cs="宋体"/>
          <w:color w:val="auto"/>
          <w:szCs w:val="24"/>
          <w:highlight w:val="none"/>
          <w:u w:val="single"/>
          <w:shd w:val="clear" w:color="auto" w:fill="FFFFFF"/>
        </w:rPr>
        <w:t>。</w:t>
      </w:r>
    </w:p>
    <w:p w14:paraId="0CAABC8F">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工程质量保修书由发包人、承包人在工程竣工验收前共同签署，作为施工合同附件，其有效期限至保修期满。</w:t>
      </w:r>
    </w:p>
    <w:p w14:paraId="0D106F74">
      <w:pPr>
        <w:spacing w:line="360" w:lineRule="auto"/>
        <w:ind w:firstLine="420"/>
        <w:jc w:val="left"/>
        <w:rPr>
          <w:rFonts w:hint="eastAsia" w:ascii="宋体" w:hAnsi="宋体" w:cs="宋体"/>
          <w:color w:val="auto"/>
          <w:szCs w:val="24"/>
          <w:highlight w:val="none"/>
          <w:shd w:val="clear" w:color="auto" w:fill="FFFFFF"/>
        </w:rPr>
      </w:pPr>
    </w:p>
    <w:p w14:paraId="4A905CC7">
      <w:pPr>
        <w:spacing w:line="360" w:lineRule="auto"/>
        <w:ind w:firstLine="420"/>
        <w:jc w:val="left"/>
        <w:rPr>
          <w:rFonts w:hint="eastAsia" w:ascii="宋体" w:hAnsi="宋体" w:cs="宋体"/>
          <w:color w:val="auto"/>
          <w:szCs w:val="24"/>
          <w:highlight w:val="none"/>
          <w:shd w:val="clear" w:color="auto" w:fill="FFFFFF"/>
        </w:rPr>
      </w:pPr>
    </w:p>
    <w:p w14:paraId="1F441B82">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发包人</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公章</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承包人</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公章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w:t>
      </w:r>
      <w:r>
        <w:rPr>
          <w:rFonts w:ascii="宋体" w:hAnsi="宋体" w:cs="宋体"/>
          <w:color w:val="auto"/>
          <w:szCs w:val="24"/>
          <w:highlight w:val="none"/>
          <w:shd w:val="clear" w:color="auto" w:fill="FFFFFF"/>
        </w:rPr>
        <w:t xml:space="preserve"> </w:t>
      </w:r>
    </w:p>
    <w:p w14:paraId="12DFFC35">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址：</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地</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址：</w:t>
      </w:r>
    </w:p>
    <w:p w14:paraId="35DB36A6">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法定代表人</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签字</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法定代表人</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签字</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w:t>
      </w:r>
    </w:p>
    <w:p w14:paraId="35CC5D64">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委托代理人</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签字</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委托代理人</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签字</w:t>
      </w:r>
      <w:r>
        <w:rPr>
          <w:rFonts w:ascii="宋体" w:hAnsi="宋体" w:cs="宋体"/>
          <w:color w:val="auto"/>
          <w:szCs w:val="24"/>
          <w:highlight w:val="none"/>
          <w:shd w:val="clear" w:color="auto" w:fill="FFFFFF"/>
        </w:rPr>
        <w:t>)</w:t>
      </w:r>
      <w:r>
        <w:rPr>
          <w:rFonts w:hint="eastAsia" w:ascii="宋体" w:hAnsi="宋体" w:cs="宋体"/>
          <w:color w:val="auto"/>
          <w:szCs w:val="24"/>
          <w:highlight w:val="none"/>
          <w:shd w:val="clear" w:color="auto" w:fill="FFFFFF"/>
        </w:rPr>
        <w:t>：</w:t>
      </w:r>
    </w:p>
    <w:p w14:paraId="7C278C0F">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话：</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电</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话：</w:t>
      </w:r>
    </w:p>
    <w:p w14:paraId="14350746">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真：</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传</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真：</w:t>
      </w:r>
    </w:p>
    <w:p w14:paraId="5164CA97">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开户银行：                                      开户银行：</w:t>
      </w:r>
    </w:p>
    <w:p w14:paraId="22BCEB9B">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 xml:space="preserve">号：                    </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账</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号：</w:t>
      </w:r>
    </w:p>
    <w:p w14:paraId="44A7709A">
      <w:pPr>
        <w:spacing w:line="360" w:lineRule="auto"/>
        <w:ind w:firstLine="420"/>
        <w:jc w:val="left"/>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邮政编码：</w:t>
      </w:r>
      <w:r>
        <w:rPr>
          <w:rFonts w:ascii="宋体" w:hAnsi="宋体" w:cs="宋体"/>
          <w:color w:val="auto"/>
          <w:szCs w:val="24"/>
          <w:highlight w:val="none"/>
          <w:shd w:val="clear" w:color="auto" w:fill="FFFFFF"/>
        </w:rPr>
        <w:t xml:space="preserve">                                      </w:t>
      </w:r>
      <w:r>
        <w:rPr>
          <w:rFonts w:hint="eastAsia" w:ascii="宋体" w:hAnsi="宋体" w:cs="宋体"/>
          <w:color w:val="auto"/>
          <w:szCs w:val="24"/>
          <w:highlight w:val="none"/>
          <w:shd w:val="clear" w:color="auto" w:fill="FFFFFF"/>
        </w:rPr>
        <w:t>邮政编码：</w:t>
      </w:r>
    </w:p>
    <w:p w14:paraId="66978EDF">
      <w:pPr>
        <w:spacing w:before="156" w:after="156" w:line="440" w:lineRule="exact"/>
        <w:rPr>
          <w:rFonts w:ascii="宋体"/>
          <w:b/>
          <w:color w:val="auto"/>
          <w:sz w:val="24"/>
          <w:szCs w:val="24"/>
          <w:highlight w:val="none"/>
        </w:rPr>
      </w:pPr>
    </w:p>
    <w:p w14:paraId="5F50F36D">
      <w:pPr>
        <w:spacing w:line="480" w:lineRule="exact"/>
        <w:jc w:val="center"/>
        <w:rPr>
          <w:rFonts w:hint="eastAsia" w:ascii="宋体" w:hAnsi="宋体" w:cs="方正小标宋_GBK"/>
          <w:b/>
          <w:color w:val="auto"/>
          <w:sz w:val="30"/>
          <w:szCs w:val="30"/>
          <w:highlight w:val="none"/>
        </w:rPr>
      </w:pPr>
      <w:bookmarkStart w:id="200" w:name="_Toc496171633"/>
      <w:bookmarkStart w:id="201" w:name="_Toc504121797"/>
    </w:p>
    <w:p w14:paraId="0E16B0F6">
      <w:pPr>
        <w:spacing w:line="480" w:lineRule="exact"/>
        <w:jc w:val="center"/>
        <w:rPr>
          <w:rFonts w:hint="eastAsia" w:ascii="宋体" w:hAnsi="宋体" w:cs="方正小标宋_GBK"/>
          <w:b/>
          <w:color w:val="auto"/>
          <w:sz w:val="30"/>
          <w:szCs w:val="30"/>
          <w:highlight w:val="none"/>
        </w:rPr>
      </w:pPr>
    </w:p>
    <w:p w14:paraId="57220D86">
      <w:pPr>
        <w:spacing w:line="480" w:lineRule="exact"/>
        <w:jc w:val="center"/>
        <w:rPr>
          <w:rFonts w:hint="eastAsia" w:ascii="宋体" w:hAnsi="宋体" w:cs="方正小标宋_GBK"/>
          <w:b/>
          <w:color w:val="auto"/>
          <w:sz w:val="30"/>
          <w:szCs w:val="30"/>
          <w:highlight w:val="none"/>
        </w:rPr>
      </w:pPr>
    </w:p>
    <w:p w14:paraId="3F978473">
      <w:pPr>
        <w:spacing w:after="120"/>
        <w:rPr>
          <w:color w:val="auto"/>
          <w:szCs w:val="24"/>
          <w:highlight w:val="none"/>
        </w:rPr>
      </w:pPr>
    </w:p>
    <w:p w14:paraId="32C1002D">
      <w:pPr>
        <w:spacing w:line="480" w:lineRule="exact"/>
        <w:jc w:val="center"/>
        <w:rPr>
          <w:rFonts w:hint="eastAsia" w:ascii="宋体" w:hAnsi="宋体"/>
          <w:b/>
          <w:bCs/>
          <w:color w:val="auto"/>
          <w:sz w:val="30"/>
          <w:szCs w:val="30"/>
          <w:highlight w:val="none"/>
        </w:rPr>
      </w:pPr>
      <w:r>
        <w:rPr>
          <w:rFonts w:hint="eastAsia" w:ascii="宋体" w:hAnsi="宋体" w:cs="方正小标宋_GBK"/>
          <w:b/>
          <w:color w:val="auto"/>
          <w:sz w:val="30"/>
          <w:szCs w:val="30"/>
          <w:highlight w:val="none"/>
        </w:rPr>
        <w:t>施工单位安全施工承诺书</w:t>
      </w:r>
    </w:p>
    <w:p w14:paraId="3130945E">
      <w:pPr>
        <w:spacing w:line="480" w:lineRule="exact"/>
        <w:ind w:firstLine="646"/>
        <w:rPr>
          <w:rFonts w:hint="eastAsia" w:ascii="宋体" w:hAnsi="宋体" w:cs="仿宋"/>
          <w:color w:val="auto"/>
          <w:szCs w:val="21"/>
          <w:highlight w:val="none"/>
        </w:rPr>
      </w:pPr>
      <w:r>
        <w:rPr>
          <w:rFonts w:hint="eastAsia" w:ascii="宋体" w:hAnsi="宋体" w:cs="仿宋"/>
          <w:color w:val="auto"/>
          <w:szCs w:val="21"/>
          <w:highlight w:val="none"/>
        </w:rPr>
        <w:t>本单位郑重承诺:在</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工程施工过程中，严格遵守《建筑法》、《安全生产法》、《建设工程安全生产管理条例》、《安全生产许可证条例》、《施工企业安全生产评价标准》、《建筑施工安全检查标准》、《危险性较大的分部分项工程安全管理规定》《水利水电工程施工发包与承包违法行为认定查处管理办法》等法律法规规章、规范标准和各项规定。</w:t>
      </w:r>
    </w:p>
    <w:p w14:paraId="2FB8A1B5">
      <w:pPr>
        <w:spacing w:line="480" w:lineRule="exact"/>
        <w:ind w:firstLine="646"/>
        <w:rPr>
          <w:rFonts w:hint="eastAsia" w:ascii="宋体" w:hAnsi="宋体" w:cs="仿宋"/>
          <w:color w:val="auto"/>
          <w:szCs w:val="21"/>
          <w:highlight w:val="none"/>
        </w:rPr>
      </w:pPr>
      <w:r>
        <w:rPr>
          <w:rFonts w:hint="eastAsia" w:ascii="宋体" w:hAnsi="宋体" w:cs="仿宋"/>
          <w:color w:val="auto"/>
          <w:szCs w:val="21"/>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59206223">
      <w:pPr>
        <w:spacing w:line="480" w:lineRule="exact"/>
        <w:ind w:firstLine="646"/>
        <w:rPr>
          <w:rFonts w:hint="eastAsia" w:ascii="宋体" w:hAnsi="宋体" w:cs="仿宋"/>
          <w:color w:val="auto"/>
          <w:szCs w:val="21"/>
          <w:highlight w:val="none"/>
        </w:rPr>
      </w:pPr>
      <w:r>
        <w:rPr>
          <w:rFonts w:hint="eastAsia" w:ascii="宋体" w:hAnsi="宋体" w:cs="仿宋"/>
          <w:color w:val="auto"/>
          <w:szCs w:val="21"/>
          <w:highlight w:val="none"/>
        </w:rPr>
        <w:t>单位法定代表人</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授权</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为本工程项目经理。</w:t>
      </w:r>
    </w:p>
    <w:p w14:paraId="4A61BA32">
      <w:pPr>
        <w:spacing w:line="480" w:lineRule="exact"/>
        <w:ind w:firstLine="646"/>
        <w:rPr>
          <w:rFonts w:hint="eastAsia" w:ascii="宋体" w:hAnsi="宋体" w:cs="仿宋"/>
          <w:color w:val="auto"/>
          <w:szCs w:val="21"/>
          <w:highlight w:val="none"/>
        </w:rPr>
      </w:pPr>
      <w:r>
        <w:rPr>
          <w:rFonts w:hint="eastAsia" w:ascii="宋体" w:hAnsi="宋体" w:cs="仿宋"/>
          <w:color w:val="auto"/>
          <w:szCs w:val="21"/>
          <w:highlight w:val="none"/>
        </w:rPr>
        <w:t>承诺期内，若违反上述承诺内容，本企业和承诺人愿意接受建设行政主管部门及其他有关部门依据有关法律法规给予的处罚。</w:t>
      </w:r>
    </w:p>
    <w:tbl>
      <w:tblPr>
        <w:tblStyle w:val="30"/>
        <w:tblW w:w="0" w:type="auto"/>
        <w:jc w:val="center"/>
        <w:tblLayout w:type="fixed"/>
        <w:tblCellMar>
          <w:top w:w="0" w:type="dxa"/>
          <w:left w:w="0" w:type="dxa"/>
          <w:bottom w:w="0" w:type="dxa"/>
          <w:right w:w="0" w:type="dxa"/>
        </w:tblCellMar>
      </w:tblPr>
      <w:tblGrid>
        <w:gridCol w:w="2613"/>
        <w:gridCol w:w="2828"/>
        <w:gridCol w:w="1478"/>
        <w:gridCol w:w="2153"/>
      </w:tblGrid>
      <w:tr w14:paraId="3C3132EC">
        <w:tblPrEx>
          <w:tblCellMar>
            <w:top w:w="0" w:type="dxa"/>
            <w:left w:w="0" w:type="dxa"/>
            <w:bottom w:w="0" w:type="dxa"/>
            <w:right w:w="0" w:type="dxa"/>
          </w:tblCellMar>
        </w:tblPrEx>
        <w:trPr>
          <w:trHeight w:val="624" w:hRule="atLeast"/>
          <w:jc w:val="center"/>
        </w:trPr>
        <w:tc>
          <w:tcPr>
            <w:tcW w:w="2613" w:type="dxa"/>
            <w:tcBorders>
              <w:top w:val="single" w:color="auto" w:sz="4" w:space="0"/>
              <w:left w:val="single" w:color="auto" w:sz="8" w:space="0"/>
              <w:bottom w:val="single" w:color="auto" w:sz="4" w:space="0"/>
              <w:right w:val="single" w:color="auto" w:sz="4" w:space="0"/>
            </w:tcBorders>
            <w:vAlign w:val="center"/>
          </w:tcPr>
          <w:p w14:paraId="2230F612">
            <w:pPr>
              <w:widowControl/>
              <w:spacing w:line="480" w:lineRule="exact"/>
              <w:jc w:val="center"/>
              <w:outlineLvl w:val="0"/>
              <w:rPr>
                <w:rFonts w:hint="eastAsia" w:ascii="宋体" w:hAnsi="宋体" w:cs="仿宋"/>
                <w:color w:val="auto"/>
                <w:szCs w:val="21"/>
                <w:highlight w:val="none"/>
              </w:rPr>
            </w:pPr>
            <w:r>
              <w:rPr>
                <w:rFonts w:hint="eastAsia" w:ascii="宋体" w:hAnsi="宋体" w:cs="仿宋"/>
                <w:color w:val="auto"/>
                <w:szCs w:val="21"/>
                <w:highlight w:val="none"/>
              </w:rPr>
              <w:t>法定代表人（签名）</w:t>
            </w:r>
          </w:p>
        </w:tc>
        <w:tc>
          <w:tcPr>
            <w:tcW w:w="2828" w:type="dxa"/>
            <w:tcBorders>
              <w:top w:val="single" w:color="auto" w:sz="4" w:space="0"/>
              <w:left w:val="single" w:color="auto" w:sz="4" w:space="0"/>
              <w:bottom w:val="single" w:color="auto" w:sz="4" w:space="0"/>
              <w:right w:val="single" w:color="auto" w:sz="4" w:space="0"/>
            </w:tcBorders>
            <w:vAlign w:val="center"/>
          </w:tcPr>
          <w:p w14:paraId="4B5CC537">
            <w:pPr>
              <w:widowControl/>
              <w:spacing w:line="480" w:lineRule="exact"/>
              <w:jc w:val="center"/>
              <w:outlineLvl w:val="0"/>
              <w:rPr>
                <w:rFonts w:hint="eastAsia" w:ascii="宋体" w:hAnsi="宋体" w:cs="仿宋"/>
                <w:color w:val="auto"/>
                <w:szCs w:val="21"/>
                <w:highlight w:val="none"/>
              </w:rPr>
            </w:pPr>
          </w:p>
        </w:tc>
        <w:tc>
          <w:tcPr>
            <w:tcW w:w="1478" w:type="dxa"/>
            <w:tcBorders>
              <w:top w:val="single" w:color="auto" w:sz="4" w:space="0"/>
              <w:left w:val="single" w:color="auto" w:sz="4" w:space="0"/>
              <w:bottom w:val="single" w:color="auto" w:sz="4" w:space="0"/>
              <w:right w:val="single" w:color="auto" w:sz="4" w:space="0"/>
            </w:tcBorders>
            <w:vAlign w:val="center"/>
          </w:tcPr>
          <w:p w14:paraId="41069D0E">
            <w:pPr>
              <w:widowControl/>
              <w:spacing w:line="480" w:lineRule="exact"/>
              <w:jc w:val="center"/>
              <w:outlineLvl w:val="0"/>
              <w:rPr>
                <w:rFonts w:hint="eastAsia" w:ascii="宋体" w:hAnsi="宋体" w:cs="仿宋"/>
                <w:color w:val="auto"/>
                <w:szCs w:val="21"/>
                <w:highlight w:val="none"/>
              </w:rPr>
            </w:pPr>
            <w:r>
              <w:rPr>
                <w:rFonts w:hint="eastAsia" w:ascii="宋体" w:hAnsi="宋体" w:cs="仿宋"/>
                <w:color w:val="auto"/>
                <w:szCs w:val="21"/>
                <w:highlight w:val="none"/>
              </w:rPr>
              <w:t>承诺日期</w:t>
            </w:r>
          </w:p>
        </w:tc>
        <w:tc>
          <w:tcPr>
            <w:tcW w:w="2153" w:type="dxa"/>
            <w:tcBorders>
              <w:top w:val="single" w:color="auto" w:sz="4" w:space="0"/>
              <w:left w:val="single" w:color="auto" w:sz="4" w:space="0"/>
              <w:bottom w:val="single" w:color="auto" w:sz="4" w:space="0"/>
              <w:right w:val="single" w:color="auto" w:sz="4" w:space="0"/>
            </w:tcBorders>
            <w:vAlign w:val="center"/>
          </w:tcPr>
          <w:p w14:paraId="35C40644">
            <w:pPr>
              <w:widowControl/>
              <w:spacing w:line="480" w:lineRule="exact"/>
              <w:jc w:val="center"/>
              <w:outlineLvl w:val="0"/>
              <w:rPr>
                <w:rFonts w:hint="eastAsia" w:ascii="宋体" w:hAnsi="宋体" w:cs="仿宋"/>
                <w:color w:val="auto"/>
                <w:szCs w:val="21"/>
                <w:highlight w:val="none"/>
              </w:rPr>
            </w:pPr>
          </w:p>
        </w:tc>
      </w:tr>
      <w:tr w14:paraId="1E856F1C">
        <w:tblPrEx>
          <w:tblCellMar>
            <w:top w:w="0" w:type="dxa"/>
            <w:left w:w="0" w:type="dxa"/>
            <w:bottom w:w="0" w:type="dxa"/>
            <w:right w:w="0" w:type="dxa"/>
          </w:tblCellMar>
        </w:tblPrEx>
        <w:trPr>
          <w:trHeight w:val="514" w:hRule="atLeast"/>
          <w:jc w:val="center"/>
        </w:trPr>
        <w:tc>
          <w:tcPr>
            <w:tcW w:w="2613" w:type="dxa"/>
            <w:tcBorders>
              <w:top w:val="single" w:color="auto" w:sz="4" w:space="0"/>
              <w:left w:val="single" w:color="auto" w:sz="8" w:space="0"/>
              <w:bottom w:val="single" w:color="auto" w:sz="4" w:space="0"/>
              <w:right w:val="single" w:color="auto" w:sz="4" w:space="0"/>
            </w:tcBorders>
            <w:vAlign w:val="center"/>
          </w:tcPr>
          <w:p w14:paraId="467B67DE">
            <w:pPr>
              <w:widowControl/>
              <w:spacing w:line="480" w:lineRule="exact"/>
              <w:jc w:val="center"/>
              <w:outlineLvl w:val="0"/>
              <w:rPr>
                <w:rFonts w:hint="eastAsia" w:ascii="宋体" w:hAnsi="宋体" w:cs="仿宋"/>
                <w:color w:val="auto"/>
                <w:szCs w:val="21"/>
                <w:highlight w:val="none"/>
              </w:rPr>
            </w:pPr>
            <w:r>
              <w:rPr>
                <w:rFonts w:hint="eastAsia" w:ascii="宋体" w:hAnsi="宋体" w:cs="仿宋"/>
                <w:color w:val="auto"/>
                <w:szCs w:val="21"/>
                <w:highlight w:val="none"/>
              </w:rPr>
              <w:t>联系方式</w:t>
            </w:r>
          </w:p>
        </w:tc>
        <w:tc>
          <w:tcPr>
            <w:tcW w:w="6459" w:type="dxa"/>
            <w:gridSpan w:val="3"/>
            <w:tcBorders>
              <w:top w:val="single" w:color="auto" w:sz="4" w:space="0"/>
              <w:left w:val="single" w:color="auto" w:sz="4" w:space="0"/>
              <w:bottom w:val="single" w:color="auto" w:sz="4" w:space="0"/>
              <w:right w:val="single" w:color="auto" w:sz="4" w:space="0"/>
            </w:tcBorders>
            <w:vAlign w:val="center"/>
          </w:tcPr>
          <w:p w14:paraId="074C8B37">
            <w:pPr>
              <w:widowControl/>
              <w:spacing w:line="480" w:lineRule="exact"/>
              <w:ind w:left="269" w:hanging="268"/>
              <w:jc w:val="center"/>
              <w:outlineLvl w:val="0"/>
              <w:rPr>
                <w:rFonts w:hint="eastAsia" w:ascii="宋体" w:hAnsi="宋体" w:cs="仿宋"/>
                <w:color w:val="auto"/>
                <w:szCs w:val="21"/>
                <w:highlight w:val="none"/>
              </w:rPr>
            </w:pPr>
          </w:p>
        </w:tc>
      </w:tr>
      <w:tr w14:paraId="2CE41115">
        <w:tblPrEx>
          <w:tblCellMar>
            <w:top w:w="0" w:type="dxa"/>
            <w:left w:w="0" w:type="dxa"/>
            <w:bottom w:w="0" w:type="dxa"/>
            <w:right w:w="0" w:type="dxa"/>
          </w:tblCellMar>
        </w:tblPrEx>
        <w:trPr>
          <w:trHeight w:val="608" w:hRule="atLeast"/>
          <w:jc w:val="center"/>
        </w:trPr>
        <w:tc>
          <w:tcPr>
            <w:tcW w:w="2613" w:type="dxa"/>
            <w:tcBorders>
              <w:top w:val="single" w:color="auto" w:sz="4" w:space="0"/>
              <w:left w:val="single" w:color="auto" w:sz="8" w:space="0"/>
              <w:bottom w:val="single" w:color="auto" w:sz="4" w:space="0"/>
              <w:right w:val="single" w:color="auto" w:sz="4" w:space="0"/>
            </w:tcBorders>
            <w:vAlign w:val="center"/>
          </w:tcPr>
          <w:p w14:paraId="00044C82">
            <w:pPr>
              <w:widowControl/>
              <w:spacing w:line="480" w:lineRule="exact"/>
              <w:jc w:val="center"/>
              <w:outlineLvl w:val="0"/>
              <w:rPr>
                <w:rFonts w:hint="eastAsia" w:ascii="宋体" w:hAnsi="宋体" w:cs="仿宋"/>
                <w:b/>
                <w:bCs/>
                <w:color w:val="auto"/>
                <w:szCs w:val="21"/>
                <w:highlight w:val="none"/>
              </w:rPr>
            </w:pPr>
            <w:r>
              <w:rPr>
                <w:rFonts w:hint="eastAsia" w:ascii="宋体" w:hAnsi="宋体" w:cs="仿宋"/>
                <w:color w:val="auto"/>
                <w:szCs w:val="21"/>
                <w:highlight w:val="none"/>
              </w:rPr>
              <w:t>项目经理（签名）</w:t>
            </w:r>
          </w:p>
        </w:tc>
        <w:tc>
          <w:tcPr>
            <w:tcW w:w="2828" w:type="dxa"/>
            <w:tcBorders>
              <w:top w:val="single" w:color="auto" w:sz="4" w:space="0"/>
              <w:left w:val="single" w:color="auto" w:sz="4" w:space="0"/>
              <w:bottom w:val="single" w:color="auto" w:sz="4" w:space="0"/>
              <w:right w:val="single" w:color="auto" w:sz="4" w:space="0"/>
            </w:tcBorders>
            <w:vAlign w:val="center"/>
          </w:tcPr>
          <w:p w14:paraId="3FF7C7B5">
            <w:pPr>
              <w:widowControl/>
              <w:spacing w:line="480" w:lineRule="exact"/>
              <w:jc w:val="center"/>
              <w:outlineLvl w:val="0"/>
              <w:rPr>
                <w:rFonts w:hint="eastAsia" w:ascii="宋体" w:hAnsi="宋体" w:cs="仿宋"/>
                <w:b/>
                <w:bCs/>
                <w:color w:val="auto"/>
                <w:szCs w:val="21"/>
                <w:highlight w:val="none"/>
              </w:rPr>
            </w:pPr>
          </w:p>
        </w:tc>
        <w:tc>
          <w:tcPr>
            <w:tcW w:w="1478" w:type="dxa"/>
            <w:tcBorders>
              <w:top w:val="single" w:color="auto" w:sz="4" w:space="0"/>
              <w:left w:val="single" w:color="auto" w:sz="4" w:space="0"/>
              <w:bottom w:val="single" w:color="auto" w:sz="4" w:space="0"/>
              <w:right w:val="single" w:color="auto" w:sz="4" w:space="0"/>
            </w:tcBorders>
            <w:vAlign w:val="center"/>
          </w:tcPr>
          <w:p w14:paraId="1FB5323D">
            <w:pPr>
              <w:widowControl/>
              <w:spacing w:line="480" w:lineRule="exact"/>
              <w:jc w:val="center"/>
              <w:outlineLvl w:val="0"/>
              <w:rPr>
                <w:rFonts w:hint="eastAsia" w:ascii="宋体" w:hAnsi="宋体" w:cs="仿宋"/>
                <w:color w:val="auto"/>
                <w:szCs w:val="21"/>
                <w:highlight w:val="none"/>
              </w:rPr>
            </w:pPr>
            <w:r>
              <w:rPr>
                <w:rFonts w:hint="eastAsia" w:ascii="宋体" w:hAnsi="宋体" w:cs="仿宋"/>
                <w:color w:val="auto"/>
                <w:szCs w:val="21"/>
                <w:highlight w:val="none"/>
              </w:rPr>
              <w:t>承诺日期</w:t>
            </w:r>
          </w:p>
        </w:tc>
        <w:tc>
          <w:tcPr>
            <w:tcW w:w="2153" w:type="dxa"/>
            <w:tcBorders>
              <w:top w:val="single" w:color="auto" w:sz="4" w:space="0"/>
              <w:left w:val="single" w:color="auto" w:sz="4" w:space="0"/>
              <w:bottom w:val="single" w:color="auto" w:sz="4" w:space="0"/>
              <w:right w:val="single" w:color="auto" w:sz="4" w:space="0"/>
            </w:tcBorders>
            <w:vAlign w:val="center"/>
          </w:tcPr>
          <w:p w14:paraId="05551A71">
            <w:pPr>
              <w:widowControl/>
              <w:spacing w:line="480" w:lineRule="exact"/>
              <w:jc w:val="center"/>
              <w:outlineLvl w:val="0"/>
              <w:rPr>
                <w:rFonts w:hint="eastAsia" w:ascii="宋体" w:hAnsi="宋体" w:cs="仿宋"/>
                <w:b/>
                <w:bCs/>
                <w:color w:val="auto"/>
                <w:szCs w:val="21"/>
                <w:highlight w:val="none"/>
              </w:rPr>
            </w:pPr>
          </w:p>
        </w:tc>
      </w:tr>
      <w:tr w14:paraId="0E39B0EA">
        <w:tblPrEx>
          <w:tblCellMar>
            <w:top w:w="0" w:type="dxa"/>
            <w:left w:w="0" w:type="dxa"/>
            <w:bottom w:w="0" w:type="dxa"/>
            <w:right w:w="0" w:type="dxa"/>
          </w:tblCellMar>
        </w:tblPrEx>
        <w:trPr>
          <w:trHeight w:val="546" w:hRule="atLeast"/>
          <w:jc w:val="center"/>
        </w:trPr>
        <w:tc>
          <w:tcPr>
            <w:tcW w:w="2613" w:type="dxa"/>
            <w:tcBorders>
              <w:top w:val="single" w:color="auto" w:sz="4" w:space="0"/>
              <w:left w:val="single" w:color="auto" w:sz="8" w:space="0"/>
              <w:bottom w:val="single" w:color="auto" w:sz="4" w:space="0"/>
              <w:right w:val="single" w:color="auto" w:sz="4" w:space="0"/>
            </w:tcBorders>
            <w:vAlign w:val="center"/>
          </w:tcPr>
          <w:p w14:paraId="447016AA">
            <w:pPr>
              <w:widowControl/>
              <w:spacing w:line="480" w:lineRule="exact"/>
              <w:jc w:val="center"/>
              <w:outlineLvl w:val="0"/>
              <w:rPr>
                <w:rFonts w:hint="eastAsia" w:ascii="宋体" w:hAnsi="宋体" w:cs="仿宋"/>
                <w:color w:val="auto"/>
                <w:szCs w:val="21"/>
                <w:highlight w:val="none"/>
              </w:rPr>
            </w:pPr>
            <w:r>
              <w:rPr>
                <w:rFonts w:hint="eastAsia" w:ascii="宋体" w:hAnsi="宋体" w:cs="仿宋"/>
                <w:color w:val="auto"/>
                <w:szCs w:val="21"/>
                <w:highlight w:val="none"/>
              </w:rPr>
              <w:t>联系方式</w:t>
            </w:r>
          </w:p>
        </w:tc>
        <w:tc>
          <w:tcPr>
            <w:tcW w:w="6459" w:type="dxa"/>
            <w:gridSpan w:val="3"/>
            <w:tcBorders>
              <w:top w:val="single" w:color="auto" w:sz="4" w:space="0"/>
              <w:left w:val="single" w:color="auto" w:sz="4" w:space="0"/>
              <w:bottom w:val="single" w:color="auto" w:sz="4" w:space="0"/>
              <w:right w:val="single" w:color="auto" w:sz="4" w:space="0"/>
            </w:tcBorders>
            <w:vAlign w:val="center"/>
          </w:tcPr>
          <w:p w14:paraId="1B224EE7">
            <w:pPr>
              <w:widowControl/>
              <w:spacing w:line="480" w:lineRule="exact"/>
              <w:jc w:val="center"/>
              <w:outlineLvl w:val="0"/>
              <w:rPr>
                <w:rFonts w:hint="eastAsia" w:ascii="宋体" w:hAnsi="宋体" w:cs="仿宋"/>
                <w:color w:val="auto"/>
                <w:szCs w:val="21"/>
                <w:highlight w:val="none"/>
              </w:rPr>
            </w:pPr>
          </w:p>
        </w:tc>
      </w:tr>
    </w:tbl>
    <w:p w14:paraId="5644AEF0">
      <w:pPr>
        <w:widowControl/>
        <w:shd w:val="clear" w:color="auto" w:fill="FFFFFF"/>
        <w:spacing w:line="480" w:lineRule="exact"/>
        <w:rPr>
          <w:rFonts w:hint="eastAsia" w:ascii="宋体" w:hAnsi="宋体" w:cs="宋体"/>
          <w:color w:val="auto"/>
          <w:szCs w:val="21"/>
          <w:highlight w:val="none"/>
        </w:rPr>
      </w:pPr>
      <w:r>
        <w:rPr>
          <w:rFonts w:ascii="宋体" w:hAnsi="宋体" w:cs="宋体"/>
          <w:color w:val="auto"/>
          <w:szCs w:val="21"/>
          <w:highlight w:val="none"/>
        </w:rPr>
        <w:t xml:space="preserve"> </w:t>
      </w:r>
    </w:p>
    <w:p w14:paraId="23F8144A">
      <w:pPr>
        <w:spacing w:line="480" w:lineRule="exact"/>
        <w:ind w:firstLine="645"/>
        <w:rPr>
          <w:rFonts w:hint="eastAsia" w:ascii="宋体" w:hAnsi="宋体" w:cs="仿宋"/>
          <w:color w:val="auto"/>
          <w:szCs w:val="21"/>
          <w:highlight w:val="none"/>
        </w:rPr>
      </w:pPr>
      <w:r>
        <w:rPr>
          <w:rFonts w:ascii="宋体" w:hAnsi="宋体" w:cs="宋体"/>
          <w:color w:val="auto"/>
          <w:szCs w:val="21"/>
          <w:highlight w:val="none"/>
        </w:rPr>
        <w:t xml:space="preserve">                                        </w:t>
      </w:r>
      <w:r>
        <w:rPr>
          <w:rFonts w:hint="eastAsia" w:ascii="宋体" w:hAnsi="宋体" w:cs="仿宋"/>
          <w:color w:val="auto"/>
          <w:szCs w:val="21"/>
          <w:highlight w:val="none"/>
        </w:rPr>
        <w:t xml:space="preserve"> （单位公章）</w:t>
      </w:r>
    </w:p>
    <w:bookmarkEnd w:id="200"/>
    <w:bookmarkEnd w:id="201"/>
    <w:p w14:paraId="7F2F3252">
      <w:pPr>
        <w:spacing w:line="480" w:lineRule="exact"/>
        <w:rPr>
          <w:rFonts w:hint="eastAsia" w:ascii="宋体" w:hAnsi="宋体" w:cs="宋体"/>
          <w:color w:val="auto"/>
          <w:szCs w:val="21"/>
          <w:highlight w:val="none"/>
        </w:rPr>
      </w:pPr>
    </w:p>
    <w:p w14:paraId="50AA7304">
      <w:pPr>
        <w:pStyle w:val="16"/>
        <w:spacing w:before="120" w:after="120" w:line="360" w:lineRule="auto"/>
        <w:ind w:firstLine="600"/>
        <w:rPr>
          <w:rFonts w:hint="eastAsia" w:hAnsi="宋体" w:cs="宋体"/>
          <w:bCs/>
          <w:color w:val="auto"/>
          <w:szCs w:val="44"/>
          <w:highlight w:val="none"/>
        </w:rPr>
      </w:pPr>
    </w:p>
    <w:p w14:paraId="360B4AC7">
      <w:pPr>
        <w:pStyle w:val="16"/>
        <w:spacing w:before="120" w:after="120" w:line="360" w:lineRule="auto"/>
        <w:ind w:firstLine="600"/>
        <w:rPr>
          <w:rFonts w:hint="eastAsia" w:hAnsi="宋体" w:cs="宋体"/>
          <w:bCs/>
          <w:color w:val="auto"/>
          <w:szCs w:val="44"/>
          <w:highlight w:val="none"/>
        </w:rPr>
      </w:pPr>
    </w:p>
    <w:p w14:paraId="6A408477">
      <w:pPr>
        <w:pStyle w:val="16"/>
        <w:spacing w:before="120" w:after="120" w:line="360" w:lineRule="auto"/>
        <w:ind w:firstLine="600"/>
        <w:rPr>
          <w:rFonts w:hint="eastAsia" w:hAnsi="宋体" w:cs="宋体"/>
          <w:bCs/>
          <w:color w:val="auto"/>
          <w:szCs w:val="44"/>
          <w:highlight w:val="none"/>
        </w:rPr>
      </w:pPr>
    </w:p>
    <w:p w14:paraId="4826B0B5">
      <w:pPr>
        <w:pStyle w:val="16"/>
        <w:spacing w:before="120" w:after="120" w:line="360" w:lineRule="auto"/>
        <w:ind w:firstLine="600"/>
        <w:rPr>
          <w:rFonts w:hint="eastAsia" w:hAnsi="宋体" w:cs="宋体"/>
          <w:bCs/>
          <w:color w:val="auto"/>
          <w:szCs w:val="44"/>
          <w:highlight w:val="none"/>
        </w:rPr>
      </w:pPr>
    </w:p>
    <w:p w14:paraId="0F55E3AD">
      <w:pPr>
        <w:pStyle w:val="16"/>
        <w:spacing w:before="120" w:after="120" w:line="360" w:lineRule="auto"/>
        <w:ind w:firstLine="600"/>
        <w:rPr>
          <w:rFonts w:hint="eastAsia" w:hAnsi="宋体" w:cs="宋体"/>
          <w:bCs/>
          <w:color w:val="auto"/>
          <w:szCs w:val="44"/>
          <w:highlight w:val="none"/>
        </w:rPr>
      </w:pPr>
    </w:p>
    <w:p w14:paraId="63390B4A">
      <w:pPr>
        <w:pStyle w:val="16"/>
        <w:spacing w:before="120" w:after="120" w:line="360" w:lineRule="auto"/>
        <w:ind w:firstLine="600"/>
        <w:rPr>
          <w:rFonts w:hint="eastAsia" w:hAnsi="宋体" w:cs="宋体"/>
          <w:bCs/>
          <w:color w:val="auto"/>
          <w:szCs w:val="44"/>
          <w:highlight w:val="none"/>
        </w:rPr>
      </w:pPr>
    </w:p>
    <w:p w14:paraId="6D0C281B">
      <w:pPr>
        <w:jc w:val="center"/>
        <w:rPr>
          <w:rFonts w:hint="eastAsia" w:ascii="宋体" w:hAnsi="宋体" w:cs="宋体"/>
          <w:color w:val="auto"/>
          <w:sz w:val="24"/>
          <w:szCs w:val="24"/>
          <w:highlight w:val="none"/>
        </w:rPr>
      </w:pPr>
      <w:r>
        <w:rPr>
          <w:rFonts w:hint="eastAsia" w:ascii="宋体" w:hAnsi="宋体" w:cs="宋体"/>
          <w:color w:val="auto"/>
          <w:sz w:val="28"/>
          <w:szCs w:val="28"/>
          <w:highlight w:val="none"/>
          <w:lang w:val="zh-CN"/>
        </w:rPr>
        <w:t xml:space="preserve"> </w:t>
      </w:r>
      <w:r>
        <w:rPr>
          <w:rFonts w:ascii="宋体" w:hAnsi="宋体" w:cs="宋体"/>
          <w:color w:val="auto"/>
          <w:sz w:val="28"/>
          <w:szCs w:val="28"/>
          <w:highlight w:val="none"/>
          <w:lang w:val="zh-CN"/>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4"/>
          <w:szCs w:val="24"/>
          <w:highlight w:val="none"/>
          <w:u w:val="single"/>
          <w:lang w:val="zh-CN"/>
        </w:rPr>
        <w:t xml:space="preserve">工程合同编号：       </w:t>
      </w:r>
    </w:p>
    <w:p w14:paraId="066B7FDC">
      <w:pPr>
        <w:spacing w:after="312"/>
        <w:ind w:firstLine="5320"/>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u w:val="single"/>
          <w:lang w:val="zh-CN"/>
        </w:rPr>
        <w:t xml:space="preserve">廉政合同编号：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p>
    <w:p w14:paraId="6514CBB3">
      <w:pPr>
        <w:jc w:val="center"/>
        <w:rPr>
          <w:rFonts w:hint="eastAsia" w:ascii="宋体" w:hAnsi="宋体" w:cs="宋体"/>
          <w:color w:val="auto"/>
          <w:sz w:val="28"/>
          <w:szCs w:val="28"/>
          <w:highlight w:val="none"/>
          <w:lang w:val="zh-CN"/>
        </w:rPr>
      </w:pPr>
    </w:p>
    <w:p w14:paraId="69D77561">
      <w:pPr>
        <w:jc w:val="center"/>
        <w:rPr>
          <w:rFonts w:hint="eastAsia" w:ascii="宋体" w:hAnsi="宋体" w:cs="宋体"/>
          <w:color w:val="auto"/>
          <w:sz w:val="84"/>
          <w:szCs w:val="84"/>
          <w:highlight w:val="none"/>
          <w:lang w:val="zh-CN"/>
        </w:rPr>
      </w:pPr>
    </w:p>
    <w:p w14:paraId="09BF04E6">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工 程 建 设 项 目 </w:t>
      </w:r>
    </w:p>
    <w:p w14:paraId="002BAC4C">
      <w:pPr>
        <w:spacing w:before="312"/>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廉    </w:t>
      </w:r>
    </w:p>
    <w:p w14:paraId="267D90B0">
      <w:pPr>
        <w:spacing w:before="312"/>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政    </w:t>
      </w:r>
    </w:p>
    <w:p w14:paraId="3A2488CE">
      <w:pPr>
        <w:spacing w:before="312"/>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合    </w:t>
      </w:r>
    </w:p>
    <w:p w14:paraId="26A11909">
      <w:pPr>
        <w:spacing w:before="312"/>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同</w:t>
      </w:r>
    </w:p>
    <w:p w14:paraId="0D4A2BB7">
      <w:pPr>
        <w:pStyle w:val="213"/>
        <w:spacing w:line="400" w:lineRule="atLeast"/>
        <w:rPr>
          <w:rFonts w:hint="eastAsia" w:ascii="宋体" w:hAnsi="宋体"/>
          <w:color w:val="auto"/>
          <w:highlight w:val="none"/>
        </w:rPr>
      </w:pPr>
      <w:r>
        <w:rPr>
          <w:rFonts w:hint="eastAsia" w:ascii="宋体" w:hAnsi="宋体" w:cs="宋体"/>
          <w:color w:val="auto"/>
          <w:szCs w:val="21"/>
          <w:highlight w:val="none"/>
          <w:lang w:val="zh-CN"/>
        </w:rPr>
        <w:br w:type="page" w:clear="all"/>
      </w:r>
      <w:bookmarkStart w:id="202" w:name="_Toc13371"/>
      <w:r>
        <w:rPr>
          <w:rFonts w:hint="eastAsia" w:ascii="宋体" w:hAnsi="宋体"/>
          <w:color w:val="auto"/>
          <w:highlight w:val="none"/>
        </w:rPr>
        <w:t>廉 政 合 同</w:t>
      </w:r>
      <w:bookmarkEnd w:id="202"/>
    </w:p>
    <w:p w14:paraId="717BBCDB">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p>
    <w:p w14:paraId="3309124C">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第一条</w:t>
      </w:r>
      <w:r>
        <w:rPr>
          <w:rFonts w:ascii="宋体" w:hAnsi="宋体"/>
          <w:color w:val="auto"/>
          <w:sz w:val="21"/>
          <w:szCs w:val="21"/>
          <w:highlight w:val="none"/>
        </w:rPr>
        <w:t xml:space="preserve">    </w:t>
      </w:r>
      <w:r>
        <w:rPr>
          <w:rFonts w:hint="eastAsia" w:ascii="宋体" w:hAnsi="宋体"/>
          <w:color w:val="auto"/>
          <w:sz w:val="21"/>
          <w:szCs w:val="21"/>
          <w:highlight w:val="none"/>
        </w:rPr>
        <w:t>甲乙双方的权利和义务</w:t>
      </w:r>
    </w:p>
    <w:p w14:paraId="7E0FC772">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（一）严格遵守国家关于市场准入、勘测设计、施工监理、招标投标、工程施工、设备安装和市场经营活动等有关法律法规及相关政策，以及廉政建设的各项规定。</w:t>
      </w:r>
    </w:p>
    <w:p w14:paraId="3E635873">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（二）严格执行本项目甲乙双方签订的施工合同文件，自觉按合同办事。</w:t>
      </w:r>
    </w:p>
    <w:p w14:paraId="04450D52">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p>
    <w:p w14:paraId="681CB896">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p>
    <w:p w14:paraId="30E23C5E">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第二条</w:t>
      </w:r>
      <w:r>
        <w:rPr>
          <w:rFonts w:ascii="宋体" w:hAnsi="宋体"/>
          <w:color w:val="auto"/>
          <w:sz w:val="21"/>
          <w:szCs w:val="21"/>
          <w:highlight w:val="none"/>
        </w:rPr>
        <w:t xml:space="preserve">    </w:t>
      </w:r>
      <w:r>
        <w:rPr>
          <w:rFonts w:hint="eastAsia" w:ascii="宋体" w:hAnsi="宋体"/>
          <w:color w:val="auto"/>
          <w:sz w:val="21"/>
          <w:szCs w:val="21"/>
          <w:highlight w:val="none"/>
        </w:rPr>
        <w:t>甲方的责任</w:t>
      </w:r>
    </w:p>
    <w:p w14:paraId="7232AEDF">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甲方的领导和从事该工程项目的工作人员，在工程项目的事前、事中、事后应遵守以下规定：</w:t>
      </w:r>
    </w:p>
    <w:p w14:paraId="1D6BA137">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（一）禁止向乙方索要、接受回扣、礼金、有价证券、贵重物品和好处费、感谢费或在乙方报销任何应由甲方（个人）支付的费用。</w:t>
      </w:r>
    </w:p>
    <w:p w14:paraId="45148CBA">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（二）禁止参加乙方安排的宴请和健身、娱乐等活动或接受乙方提供的通讯工具、交通工具和高档办公用品等。</w:t>
      </w:r>
    </w:p>
    <w:p w14:paraId="40679BEE">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（三）禁止要求、暗示和接受乙方为个人装修住房、婚丧嫁娶、配偶子女的工作安排以及出国（境）、旅游等提供方便。</w:t>
      </w:r>
    </w:p>
    <w:p w14:paraId="61D5C390">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（四）禁止允许、纵容配偶、子女从事与乙方承包本工程有关的设备材料供应、工程分包、劳务等经济活动，并为其提供便利条件。</w:t>
      </w:r>
    </w:p>
    <w:p w14:paraId="60BC5DCD">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（五）禁止以任何理由向乙方推荐分包单位或要求乙方购买项目合同规定外的材料、设备和服务等。</w:t>
      </w:r>
    </w:p>
    <w:p w14:paraId="3567704B">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第三条</w:t>
      </w:r>
      <w:r>
        <w:rPr>
          <w:rFonts w:ascii="宋体" w:hAnsi="宋体"/>
          <w:color w:val="auto"/>
          <w:sz w:val="21"/>
          <w:szCs w:val="21"/>
          <w:highlight w:val="none"/>
        </w:rPr>
        <w:t xml:space="preserve">    </w:t>
      </w:r>
      <w:r>
        <w:rPr>
          <w:rFonts w:hint="eastAsia" w:ascii="宋体" w:hAnsi="宋体"/>
          <w:color w:val="auto"/>
          <w:sz w:val="21"/>
          <w:szCs w:val="21"/>
          <w:highlight w:val="none"/>
        </w:rPr>
        <w:t>乙方的责任</w:t>
      </w:r>
    </w:p>
    <w:p w14:paraId="5C4BB986">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乙方应与甲方保持正常的业务交往，按照有关法律法规和程序开展业务工作，严格执行工程建设的有关方针、政策，尤其是有关强制性标准和规范，并遵守以下规定：</w:t>
      </w:r>
    </w:p>
    <w:p w14:paraId="60192012">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（一）不准以任何理由、任何形式向甲方及其工作人员行贿或馈赠礼金、有价证券、贵重物品。</w:t>
      </w:r>
    </w:p>
    <w:p w14:paraId="3EF03CF0">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（二）不准以任何名义为甲方及其工作人员报销应由对方或个人支付的费用。</w:t>
      </w:r>
    </w:p>
    <w:p w14:paraId="215E9A55">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（三）不准以任何理由安排甲方工作人员参加宴请及健身、娱乐和旅游等活动。</w:t>
      </w:r>
    </w:p>
    <w:p w14:paraId="45536BDF">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（四）不准为甲方单位和工作人员购置或提供通讯工具、交通工具和高档办公用品和装修住房等。</w:t>
      </w:r>
    </w:p>
    <w:p w14:paraId="2C5E1E4F">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第四条</w:t>
      </w:r>
      <w:r>
        <w:rPr>
          <w:rFonts w:ascii="宋体" w:hAnsi="宋体"/>
          <w:color w:val="auto"/>
          <w:sz w:val="21"/>
          <w:szCs w:val="21"/>
          <w:highlight w:val="none"/>
        </w:rPr>
        <w:t xml:space="preserve">    </w:t>
      </w:r>
      <w:r>
        <w:rPr>
          <w:rFonts w:hint="eastAsia" w:ascii="宋体" w:hAnsi="宋体"/>
          <w:color w:val="auto"/>
          <w:sz w:val="21"/>
          <w:szCs w:val="21"/>
          <w:highlight w:val="none"/>
        </w:rPr>
        <w:t>违约责任</w:t>
      </w:r>
    </w:p>
    <w:p w14:paraId="31BD7D70">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（一）甲方工作人员违反本合同第一、第二条责任行为的，按照管理权限，依据有关法律法规和规定给予党纪政纪处分或组织处理；涉嫌犯罪的，移交司法机关追究刑事责任。</w:t>
      </w:r>
    </w:p>
    <w:p w14:paraId="4D820921">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（二）乙方工作人员违反本合同第一、第三条责任行为的，</w:t>
      </w:r>
      <w:r>
        <w:rPr>
          <w:rFonts w:hint="eastAsia" w:ascii="宋体" w:hAnsi="宋体"/>
          <w:color w:val="auto"/>
          <w:sz w:val="21"/>
          <w:szCs w:val="21"/>
          <w:highlight w:val="none"/>
          <w:lang w:val="zh-CN"/>
        </w:rPr>
        <w:t>有关行政主管部门有权中止工程项目建设合同</w:t>
      </w:r>
      <w:r>
        <w:rPr>
          <w:rFonts w:hint="eastAsia" w:ascii="宋体" w:hAnsi="宋体"/>
          <w:color w:val="auto"/>
          <w:sz w:val="21"/>
          <w:szCs w:val="21"/>
          <w:highlight w:val="none"/>
        </w:rPr>
        <w:t>；涉嫌犯罪的，移交司法机关追究刑事责任；情节严重的，有关部门将依据《</w:t>
      </w:r>
      <w:r>
        <w:rPr>
          <w:rFonts w:hint="eastAsia" w:ascii="宋体" w:hAnsi="宋体"/>
          <w:color w:val="auto"/>
          <w:sz w:val="21"/>
          <w:szCs w:val="21"/>
          <w:highlight w:val="none"/>
          <w:lang w:eastAsia="zh-CN"/>
        </w:rPr>
        <w:t>镇江市</w:t>
      </w:r>
      <w:r>
        <w:rPr>
          <w:rFonts w:hint="eastAsia" w:ascii="宋体" w:hAnsi="宋体"/>
          <w:color w:val="auto"/>
          <w:sz w:val="21"/>
          <w:szCs w:val="21"/>
          <w:highlight w:val="none"/>
        </w:rPr>
        <w:t>邗江区建设工程市场廉政准入规定》等给予乙方处罚。</w:t>
      </w:r>
    </w:p>
    <w:p w14:paraId="10A50FDB">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（三）乙方如将部分辅助项目分包的，有责任向承包方交待本合同的具体内容，并要求其严格执行本合同规定。</w:t>
      </w:r>
    </w:p>
    <w:p w14:paraId="275E085F">
      <w:pPr>
        <w:pStyle w:val="214"/>
        <w:tabs>
          <w:tab w:val="left" w:pos="158"/>
        </w:tabs>
        <w:spacing w:line="360" w:lineRule="auto"/>
        <w:ind w:firstLine="420"/>
        <w:rPr>
          <w:rFonts w:ascii="宋体"/>
          <w:color w:val="auto"/>
          <w:sz w:val="21"/>
          <w:szCs w:val="21"/>
          <w:highlight w:val="none"/>
          <w:lang w:val="zh-CN"/>
        </w:rPr>
      </w:pPr>
      <w:r>
        <w:rPr>
          <w:rFonts w:hint="eastAsia" w:ascii="宋体" w:hAnsi="宋体"/>
          <w:color w:val="auto"/>
          <w:sz w:val="21"/>
          <w:szCs w:val="21"/>
          <w:highlight w:val="none"/>
        </w:rPr>
        <w:t>（</w:t>
      </w:r>
      <w:r>
        <w:rPr>
          <w:rFonts w:hint="eastAsia" w:ascii="宋体" w:hAnsi="宋体"/>
          <w:color w:val="auto"/>
          <w:sz w:val="21"/>
          <w:szCs w:val="21"/>
          <w:highlight w:val="none"/>
          <w:lang w:val="zh-CN"/>
        </w:rPr>
        <w:t>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p>
    <w:p w14:paraId="5D73E6BF">
      <w:pPr>
        <w:pStyle w:val="214"/>
        <w:spacing w:line="360" w:lineRule="auto"/>
        <w:ind w:firstLine="420"/>
        <w:rPr>
          <w:rFonts w:ascii="宋体"/>
          <w:color w:val="auto"/>
          <w:sz w:val="21"/>
          <w:szCs w:val="21"/>
          <w:highlight w:val="none"/>
          <w:lang w:val="zh-CN"/>
        </w:rPr>
      </w:pPr>
      <w:r>
        <w:rPr>
          <w:rFonts w:hint="eastAsia" w:ascii="宋体" w:hAnsi="宋体"/>
          <w:color w:val="auto"/>
          <w:sz w:val="21"/>
          <w:szCs w:val="21"/>
          <w:highlight w:val="none"/>
          <w:lang w:val="zh-CN"/>
        </w:rPr>
        <w:t>（五）甲乙双方人员赠送、贿赂、接受或索要钱物的行为，如果一方发生，另一方当事人应立即主动报告本单位领导，或向区纪委、监察局、检察院等有关部门举报。</w:t>
      </w:r>
    </w:p>
    <w:p w14:paraId="42681D1B">
      <w:pPr>
        <w:pStyle w:val="214"/>
        <w:tabs>
          <w:tab w:val="left" w:pos="628"/>
        </w:tabs>
        <w:spacing w:line="360" w:lineRule="auto"/>
        <w:ind w:firstLine="420"/>
        <w:rPr>
          <w:rFonts w:ascii="宋体"/>
          <w:color w:val="auto"/>
          <w:sz w:val="21"/>
          <w:szCs w:val="21"/>
          <w:highlight w:val="none"/>
        </w:rPr>
      </w:pPr>
      <w:r>
        <w:rPr>
          <w:rFonts w:hint="eastAsia" w:ascii="宋体" w:hAnsi="宋体"/>
          <w:color w:val="auto"/>
          <w:sz w:val="21"/>
          <w:szCs w:val="21"/>
          <w:highlight w:val="none"/>
        </w:rPr>
        <w:t>第五条</w:t>
      </w:r>
      <w:r>
        <w:rPr>
          <w:rFonts w:ascii="宋体" w:hAnsi="宋体"/>
          <w:color w:val="auto"/>
          <w:sz w:val="21"/>
          <w:szCs w:val="21"/>
          <w:highlight w:val="none"/>
        </w:rPr>
        <w:t xml:space="preserve">    </w:t>
      </w:r>
      <w:r>
        <w:rPr>
          <w:rFonts w:hint="eastAsia" w:ascii="宋体" w:hAnsi="宋体"/>
          <w:color w:val="auto"/>
          <w:sz w:val="21"/>
          <w:szCs w:val="21"/>
          <w:highlight w:val="none"/>
        </w:rPr>
        <w:t>本合同作为工程合同的附件，与工程合同具有同等法律效力，甲乙双方签署后立即生效。</w:t>
      </w:r>
    </w:p>
    <w:p w14:paraId="2F3167FB">
      <w:pPr>
        <w:pStyle w:val="214"/>
        <w:spacing w:line="360" w:lineRule="auto"/>
        <w:ind w:firstLine="420"/>
        <w:rPr>
          <w:rFonts w:ascii="宋体"/>
          <w:color w:val="auto"/>
          <w:sz w:val="21"/>
          <w:szCs w:val="21"/>
          <w:highlight w:val="none"/>
        </w:rPr>
      </w:pPr>
      <w:r>
        <w:rPr>
          <w:rFonts w:hint="eastAsia" w:ascii="宋体" w:hAnsi="宋体"/>
          <w:color w:val="auto"/>
          <w:sz w:val="21"/>
          <w:szCs w:val="21"/>
          <w:highlight w:val="none"/>
        </w:rPr>
        <w:t>第六条</w:t>
      </w:r>
      <w:r>
        <w:rPr>
          <w:rFonts w:ascii="宋体" w:hAnsi="宋体"/>
          <w:color w:val="auto"/>
          <w:sz w:val="21"/>
          <w:szCs w:val="21"/>
          <w:highlight w:val="none"/>
        </w:rPr>
        <w:t xml:space="preserve">    </w:t>
      </w:r>
      <w:r>
        <w:rPr>
          <w:rFonts w:hint="eastAsia" w:ascii="宋体" w:hAnsi="宋体"/>
          <w:color w:val="auto"/>
          <w:sz w:val="21"/>
          <w:szCs w:val="21"/>
          <w:highlight w:val="none"/>
        </w:rPr>
        <w:t>本合同的有效期为双方签署之日起至该工程项目竣工验收合格、工程资金结清时止。</w:t>
      </w:r>
    </w:p>
    <w:p w14:paraId="156ED37D">
      <w:pPr>
        <w:pStyle w:val="214"/>
        <w:spacing w:line="360" w:lineRule="auto"/>
        <w:ind w:firstLine="420"/>
        <w:rPr>
          <w:rFonts w:hint="eastAsia" w:ascii="宋体" w:hAnsi="宋体" w:cs="宋体"/>
          <w:color w:val="auto"/>
          <w:sz w:val="21"/>
          <w:szCs w:val="21"/>
          <w:highlight w:val="none"/>
        </w:rPr>
      </w:pPr>
      <w:r>
        <w:rPr>
          <w:rFonts w:hint="eastAsia" w:ascii="宋体" w:hAnsi="宋体"/>
          <w:color w:val="auto"/>
          <w:sz w:val="21"/>
          <w:szCs w:val="21"/>
          <w:highlight w:val="none"/>
        </w:rPr>
        <w:t>第七条</w:t>
      </w:r>
      <w:r>
        <w:rPr>
          <w:rFonts w:ascii="宋体" w:hAnsi="宋体"/>
          <w:color w:val="auto"/>
          <w:sz w:val="21"/>
          <w:szCs w:val="21"/>
          <w:highlight w:val="none"/>
        </w:rPr>
        <w:t xml:space="preserve">    </w:t>
      </w:r>
      <w:r>
        <w:rPr>
          <w:rFonts w:hint="eastAsia" w:ascii="宋体" w:hAnsi="宋体" w:cs="宋体"/>
          <w:color w:val="auto"/>
          <w:sz w:val="21"/>
          <w:szCs w:val="21"/>
          <w:highlight w:val="none"/>
        </w:rPr>
        <w:t>本协议共陆份，甲方持有叁份，乙方执贰份，见证方一份，具有同等法律效力。本合同自甲乙双方签字盖章之日起生效。</w:t>
      </w:r>
    </w:p>
    <w:p w14:paraId="2B49D44C">
      <w:pPr>
        <w:pStyle w:val="214"/>
        <w:spacing w:line="360" w:lineRule="auto"/>
        <w:ind w:firstLine="420"/>
        <w:rPr>
          <w:rFonts w:hint="eastAsia" w:ascii="宋体" w:hAnsi="宋体" w:cs="宋体"/>
          <w:color w:val="auto"/>
          <w:sz w:val="21"/>
          <w:szCs w:val="21"/>
          <w:highlight w:val="none"/>
        </w:rPr>
      </w:pPr>
    </w:p>
    <w:p w14:paraId="57B42AF1">
      <w:pPr>
        <w:pStyle w:val="214"/>
        <w:spacing w:line="360" w:lineRule="auto"/>
        <w:rPr>
          <w:rFonts w:ascii="宋体"/>
          <w:color w:val="auto"/>
          <w:sz w:val="21"/>
          <w:szCs w:val="21"/>
          <w:highlight w:val="none"/>
        </w:rPr>
      </w:pPr>
      <w:r>
        <w:rPr>
          <w:rFonts w:hint="eastAsia" w:ascii="宋体" w:hAnsi="宋体"/>
          <w:color w:val="auto"/>
          <w:sz w:val="21"/>
          <w:szCs w:val="21"/>
          <w:highlight w:val="none"/>
        </w:rPr>
        <w:t>甲方单位：（盖章）</w:t>
      </w:r>
      <w:r>
        <w:rPr>
          <w:rFonts w:ascii="宋体" w:hAnsi="宋体"/>
          <w:color w:val="auto"/>
          <w:sz w:val="21"/>
          <w:szCs w:val="21"/>
          <w:highlight w:val="none"/>
        </w:rPr>
        <w:t xml:space="preserve">                        </w:t>
      </w:r>
      <w:r>
        <w:rPr>
          <w:rFonts w:hint="eastAsia" w:ascii="宋体" w:hAnsi="宋体"/>
          <w:color w:val="auto"/>
          <w:sz w:val="21"/>
          <w:szCs w:val="21"/>
          <w:highlight w:val="none"/>
        </w:rPr>
        <w:t>乙方单位：（盖章）</w:t>
      </w:r>
    </w:p>
    <w:p w14:paraId="35E032CC">
      <w:pPr>
        <w:pStyle w:val="214"/>
        <w:spacing w:line="360" w:lineRule="auto"/>
        <w:rPr>
          <w:rFonts w:ascii="宋体"/>
          <w:color w:val="auto"/>
          <w:sz w:val="21"/>
          <w:szCs w:val="21"/>
          <w:highlight w:val="none"/>
        </w:rPr>
      </w:pPr>
      <w:r>
        <w:rPr>
          <w:rFonts w:hint="eastAsia" w:ascii="宋体" w:hAnsi="宋体"/>
          <w:color w:val="auto"/>
          <w:sz w:val="21"/>
          <w:szCs w:val="21"/>
          <w:highlight w:val="none"/>
        </w:rPr>
        <w:t>法定代表人：</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法定代表人：</w:t>
      </w:r>
    </w:p>
    <w:p w14:paraId="75098E61">
      <w:pPr>
        <w:pStyle w:val="214"/>
        <w:spacing w:line="360" w:lineRule="auto"/>
        <w:rPr>
          <w:rFonts w:ascii="宋体"/>
          <w:color w:val="auto"/>
          <w:sz w:val="21"/>
          <w:szCs w:val="21"/>
          <w:highlight w:val="none"/>
        </w:rPr>
      </w:pPr>
      <w:r>
        <w:rPr>
          <w:rFonts w:hint="eastAsia" w:ascii="宋体" w:hAnsi="宋体"/>
          <w:color w:val="auto"/>
          <w:sz w:val="21"/>
          <w:szCs w:val="21"/>
          <w:highlight w:val="none"/>
        </w:rPr>
        <w:t>地址：</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地址：</w:t>
      </w:r>
    </w:p>
    <w:p w14:paraId="0AA80A04">
      <w:pPr>
        <w:pStyle w:val="214"/>
        <w:spacing w:line="360" w:lineRule="auto"/>
        <w:rPr>
          <w:rFonts w:ascii="宋体"/>
          <w:color w:val="auto"/>
          <w:sz w:val="21"/>
          <w:szCs w:val="21"/>
          <w:highlight w:val="none"/>
        </w:rPr>
      </w:pPr>
      <w:r>
        <w:rPr>
          <w:rFonts w:hint="eastAsia" w:ascii="宋体" w:hAnsi="宋体"/>
          <w:color w:val="auto"/>
          <w:sz w:val="21"/>
          <w:szCs w:val="21"/>
          <w:highlight w:val="none"/>
        </w:rPr>
        <w:t>电话：</w:t>
      </w:r>
      <w:r>
        <w:rPr>
          <w:rFonts w:ascii="宋体" w:hAnsi="宋体"/>
          <w:color w:val="auto"/>
          <w:sz w:val="21"/>
          <w:szCs w:val="21"/>
          <w:highlight w:val="none"/>
        </w:rPr>
        <w:t xml:space="preserve">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电话：</w:t>
      </w:r>
    </w:p>
    <w:p w14:paraId="6B94E8C8">
      <w:pPr>
        <w:pStyle w:val="214"/>
        <w:spacing w:line="360" w:lineRule="auto"/>
        <w:ind w:firstLine="315"/>
        <w:rPr>
          <w:rFonts w:ascii="宋体"/>
          <w:color w:val="auto"/>
          <w:sz w:val="21"/>
          <w:szCs w:val="21"/>
          <w:highlight w:val="none"/>
        </w:rPr>
      </w:pPr>
      <w:r>
        <w:rPr>
          <w:rFonts w:hint="eastAsia" w:ascii="宋体" w:hAnsi="宋体"/>
          <w:color w:val="auto"/>
          <w:sz w:val="21"/>
          <w:szCs w:val="21"/>
          <w:highlight w:val="none"/>
        </w:rPr>
        <w:t>年</w:t>
      </w:r>
      <w:r>
        <w:rPr>
          <w:rFonts w:ascii="宋体" w:hAnsi="宋体"/>
          <w:color w:val="auto"/>
          <w:sz w:val="21"/>
          <w:szCs w:val="21"/>
          <w:highlight w:val="none"/>
        </w:rPr>
        <w:t xml:space="preserve">      </w:t>
      </w:r>
      <w:r>
        <w:rPr>
          <w:rFonts w:hint="eastAsia" w:ascii="宋体" w:hAnsi="宋体"/>
          <w:color w:val="auto"/>
          <w:sz w:val="21"/>
          <w:szCs w:val="21"/>
          <w:highlight w:val="none"/>
        </w:rPr>
        <w:t>月</w:t>
      </w:r>
      <w:r>
        <w:rPr>
          <w:rFonts w:ascii="宋体" w:hAnsi="宋体"/>
          <w:color w:val="auto"/>
          <w:sz w:val="21"/>
          <w:szCs w:val="21"/>
          <w:highlight w:val="none"/>
        </w:rPr>
        <w:t xml:space="preserve">      </w:t>
      </w:r>
      <w:r>
        <w:rPr>
          <w:rFonts w:hint="eastAsia" w:ascii="宋体" w:hAnsi="宋体"/>
          <w:color w:val="auto"/>
          <w:sz w:val="21"/>
          <w:szCs w:val="21"/>
          <w:highlight w:val="none"/>
        </w:rPr>
        <w:t>日</w:t>
      </w:r>
      <w:r>
        <w:rPr>
          <w:rFonts w:ascii="宋体" w:hAnsi="宋体"/>
          <w:color w:val="auto"/>
          <w:sz w:val="21"/>
          <w:szCs w:val="21"/>
          <w:highlight w:val="none"/>
        </w:rPr>
        <w:t xml:space="preserve">                             </w:t>
      </w:r>
      <w:r>
        <w:rPr>
          <w:rFonts w:hint="eastAsia" w:ascii="宋体" w:hAnsi="宋体"/>
          <w:color w:val="auto"/>
          <w:sz w:val="21"/>
          <w:szCs w:val="21"/>
          <w:highlight w:val="none"/>
        </w:rPr>
        <w:t>年</w:t>
      </w:r>
      <w:r>
        <w:rPr>
          <w:rFonts w:ascii="宋体" w:hAnsi="宋体"/>
          <w:color w:val="auto"/>
          <w:sz w:val="21"/>
          <w:szCs w:val="21"/>
          <w:highlight w:val="none"/>
        </w:rPr>
        <w:t xml:space="preserve">      </w:t>
      </w:r>
      <w:r>
        <w:rPr>
          <w:rFonts w:hint="eastAsia" w:ascii="宋体" w:hAnsi="宋体"/>
          <w:color w:val="auto"/>
          <w:sz w:val="21"/>
          <w:szCs w:val="21"/>
          <w:highlight w:val="none"/>
        </w:rPr>
        <w:t>月</w:t>
      </w:r>
      <w:r>
        <w:rPr>
          <w:rFonts w:ascii="宋体" w:hAnsi="宋体"/>
          <w:color w:val="auto"/>
          <w:sz w:val="21"/>
          <w:szCs w:val="21"/>
          <w:highlight w:val="none"/>
        </w:rPr>
        <w:t xml:space="preserve">      </w:t>
      </w:r>
      <w:r>
        <w:rPr>
          <w:rFonts w:hint="eastAsia" w:ascii="宋体" w:hAnsi="宋体"/>
          <w:color w:val="auto"/>
          <w:sz w:val="21"/>
          <w:szCs w:val="21"/>
          <w:highlight w:val="none"/>
        </w:rPr>
        <w:t>日</w:t>
      </w:r>
    </w:p>
    <w:p w14:paraId="664824BE">
      <w:pPr>
        <w:pStyle w:val="3"/>
        <w:spacing w:before="400" w:after="400" w:line="240" w:lineRule="auto"/>
        <w:jc w:val="center"/>
        <w:rPr>
          <w:rFonts w:hint="eastAsia" w:ascii="宋体" w:hAnsi="宋体" w:cs="宋体"/>
          <w:color w:val="auto"/>
          <w:sz w:val="36"/>
          <w:szCs w:val="36"/>
          <w:highlight w:val="none"/>
        </w:rPr>
      </w:pPr>
      <w:r>
        <w:rPr>
          <w:rFonts w:hint="eastAsia" w:ascii="黑体" w:eastAsia="黑体"/>
          <w:bCs/>
          <w:color w:val="000000"/>
          <w:sz w:val="32"/>
          <w:szCs w:val="32"/>
          <w:highlight w:val="none"/>
        </w:rPr>
        <w:br w:type="page" w:clear="all"/>
      </w:r>
      <w:bookmarkEnd w:id="194"/>
      <w:bookmarkEnd w:id="195"/>
      <w:bookmarkEnd w:id="196"/>
      <w:bookmarkEnd w:id="197"/>
      <w:bookmarkStart w:id="203" w:name="_Toc120614281"/>
      <w:bookmarkStart w:id="204" w:name="_Toc26554093"/>
      <w:bookmarkStart w:id="205" w:name="_Toc49090575"/>
      <w:r>
        <w:rPr>
          <w:rFonts w:hint="eastAsia" w:ascii="宋体" w:hAnsi="宋体" w:cs="宋体"/>
          <w:color w:val="auto"/>
          <w:sz w:val="36"/>
          <w:szCs w:val="36"/>
          <w:highlight w:val="none"/>
        </w:rPr>
        <w:t xml:space="preserve">第四章  </w:t>
      </w:r>
      <w:bookmarkStart w:id="206" w:name="_Hlk136339660"/>
      <w:bookmarkStart w:id="207" w:name="_Hlk207357238"/>
      <w:r>
        <w:rPr>
          <w:rFonts w:hint="eastAsia" w:ascii="宋体" w:hAnsi="宋体" w:cs="宋体"/>
          <w:color w:val="auto"/>
          <w:sz w:val="36"/>
          <w:szCs w:val="36"/>
          <w:highlight w:val="none"/>
        </w:rPr>
        <w:t>项目需求</w:t>
      </w:r>
    </w:p>
    <w:p w14:paraId="78B68102">
      <w:pPr>
        <w:spacing w:line="380" w:lineRule="exact"/>
        <w:rPr>
          <w:rFonts w:hint="eastAsia" w:ascii="宋体" w:hAnsi="宋体"/>
          <w:b/>
          <w:color w:val="auto"/>
          <w:highlight w:val="none"/>
        </w:rPr>
      </w:pPr>
      <w:r>
        <w:rPr>
          <w:rFonts w:hint="eastAsia" w:ascii="宋体" w:hAnsi="宋体"/>
          <w:b/>
          <w:color w:val="auto"/>
          <w:highlight w:val="none"/>
        </w:rPr>
        <w:t>一、项目概况</w:t>
      </w:r>
    </w:p>
    <w:p w14:paraId="0C8030D3">
      <w:pPr>
        <w:spacing w:line="380" w:lineRule="exact"/>
        <w:ind w:firstLine="420"/>
        <w:rPr>
          <w:rFonts w:hint="eastAsia" w:ascii="宋体" w:hAnsi="宋体" w:eastAsia="宋体" w:cs="Calibri"/>
          <w:color w:val="auto"/>
          <w:szCs w:val="21"/>
          <w:highlight w:val="none"/>
          <w:lang w:eastAsia="zh-CN"/>
        </w:rPr>
      </w:pPr>
      <w:r>
        <w:rPr>
          <w:rFonts w:hint="eastAsia" w:ascii="宋体" w:hAnsi="宋体" w:eastAsia="宋体" w:cs="Calibri"/>
          <w:color w:val="auto"/>
          <w:szCs w:val="21"/>
          <w:highlight w:val="none"/>
        </w:rPr>
        <w:t>1、项目名称：</w:t>
      </w:r>
      <w:r>
        <w:rPr>
          <w:rFonts w:hint="eastAsia" w:ascii="宋体" w:hAnsi="宋体" w:eastAsia="宋体" w:cs="Calibri"/>
          <w:color w:val="auto"/>
          <w:szCs w:val="21"/>
          <w:highlight w:val="none"/>
          <w:lang w:eastAsia="zh-CN"/>
        </w:rPr>
        <w:t>赫顿海工装备（江苏）有限公司环网柜迁移项目采购服务</w:t>
      </w:r>
    </w:p>
    <w:p w14:paraId="2CDDD550">
      <w:pPr>
        <w:spacing w:line="380" w:lineRule="exact"/>
        <w:ind w:firstLine="420"/>
        <w:rPr>
          <w:rFonts w:hint="eastAsia" w:ascii="宋体" w:hAnsi="宋体" w:eastAsia="宋体" w:cs="Calibri"/>
          <w:color w:val="auto"/>
          <w:szCs w:val="21"/>
          <w:highlight w:val="none"/>
        </w:rPr>
      </w:pPr>
      <w:r>
        <w:rPr>
          <w:rFonts w:hint="eastAsia" w:ascii="宋体" w:hAnsi="宋体" w:eastAsia="宋体" w:cs="Calibri"/>
          <w:color w:val="auto"/>
          <w:szCs w:val="21"/>
          <w:highlight w:val="none"/>
        </w:rPr>
        <w:t>2、工期要求：合同签订后30日历天内完成整个工程的工程量并且合格，可交付</w:t>
      </w:r>
      <w:r>
        <w:rPr>
          <w:rFonts w:hint="eastAsia" w:ascii="宋体" w:hAnsi="宋体" w:eastAsia="宋体" w:cs="Calibri"/>
          <w:color w:val="auto"/>
          <w:szCs w:val="21"/>
          <w:highlight w:val="none"/>
          <w:lang w:eastAsia="zh-CN"/>
        </w:rPr>
        <w:t>招标人</w:t>
      </w:r>
      <w:r>
        <w:rPr>
          <w:rFonts w:hint="eastAsia" w:ascii="宋体" w:hAnsi="宋体" w:eastAsia="宋体" w:cs="Calibri"/>
          <w:color w:val="auto"/>
          <w:szCs w:val="21"/>
          <w:highlight w:val="none"/>
        </w:rPr>
        <w:t>竣工验收投入使用。具体开工日期以开工令为准。</w:t>
      </w:r>
    </w:p>
    <w:p w14:paraId="554D1C8D">
      <w:pPr>
        <w:spacing w:line="380" w:lineRule="exact"/>
        <w:ind w:firstLine="420"/>
        <w:rPr>
          <w:rFonts w:hint="eastAsia" w:ascii="宋体" w:hAnsi="宋体" w:eastAsia="宋体" w:cs="Calibri"/>
          <w:color w:val="auto"/>
          <w:szCs w:val="21"/>
          <w:highlight w:val="none"/>
        </w:rPr>
      </w:pPr>
      <w:r>
        <w:rPr>
          <w:rFonts w:hint="eastAsia" w:ascii="宋体" w:hAnsi="宋体" w:eastAsia="宋体" w:cs="Calibri"/>
          <w:color w:val="auto"/>
          <w:szCs w:val="21"/>
          <w:highlight w:val="none"/>
        </w:rPr>
        <w:t>3、</w:t>
      </w:r>
      <w:r>
        <w:rPr>
          <w:rFonts w:hint="eastAsia" w:ascii="宋体" w:hAnsi="宋体" w:eastAsia="宋体" w:cs="Calibri"/>
          <w:color w:val="auto"/>
          <w:szCs w:val="21"/>
          <w:highlight w:val="none"/>
          <w:lang w:eastAsia="zh-CN"/>
        </w:rPr>
        <w:t>投标单位</w:t>
      </w:r>
      <w:r>
        <w:rPr>
          <w:rFonts w:hint="eastAsia" w:ascii="宋体" w:hAnsi="宋体" w:eastAsia="宋体" w:cs="Calibri"/>
          <w:color w:val="auto"/>
          <w:szCs w:val="21"/>
          <w:highlight w:val="none"/>
        </w:rPr>
        <w:t>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w:t>
      </w:r>
      <w:r>
        <w:rPr>
          <w:rFonts w:hint="eastAsia" w:ascii="宋体" w:hAnsi="宋体" w:eastAsia="宋体" w:cs="Calibri"/>
          <w:color w:val="auto"/>
          <w:szCs w:val="21"/>
          <w:highlight w:val="none"/>
          <w:lang w:eastAsia="zh-CN"/>
        </w:rPr>
        <w:t>投标单位</w:t>
      </w:r>
      <w:r>
        <w:rPr>
          <w:rFonts w:hint="eastAsia" w:ascii="宋体" w:hAnsi="宋体" w:eastAsia="宋体" w:cs="Calibri"/>
          <w:color w:val="auto"/>
          <w:szCs w:val="21"/>
          <w:highlight w:val="none"/>
        </w:rPr>
        <w:t>负全部责任。</w:t>
      </w:r>
    </w:p>
    <w:p w14:paraId="4FAF0227">
      <w:pPr>
        <w:spacing w:line="380" w:lineRule="exact"/>
        <w:ind w:firstLine="420"/>
        <w:rPr>
          <w:rFonts w:hint="eastAsia" w:ascii="宋体" w:hAnsi="宋体" w:eastAsia="宋体" w:cs="Calibri"/>
          <w:color w:val="auto"/>
          <w:szCs w:val="21"/>
          <w:highlight w:val="none"/>
        </w:rPr>
      </w:pPr>
      <w:bookmarkStart w:id="208" w:name="_Toc73113915"/>
      <w:r>
        <w:rPr>
          <w:rFonts w:hint="eastAsia" w:ascii="宋体" w:hAnsi="宋体" w:eastAsia="宋体" w:cs="Calibri"/>
          <w:color w:val="auto"/>
          <w:szCs w:val="21"/>
          <w:highlight w:val="none"/>
        </w:rPr>
        <w:t>4、</w:t>
      </w:r>
      <w:bookmarkEnd w:id="208"/>
      <w:r>
        <w:rPr>
          <w:rFonts w:hint="eastAsia" w:ascii="宋体" w:hAnsi="宋体" w:eastAsia="宋体" w:cs="Calibri"/>
          <w:color w:val="auto"/>
          <w:szCs w:val="21"/>
          <w:highlight w:val="none"/>
        </w:rPr>
        <w:t>预算金额：</w:t>
      </w:r>
      <w:r>
        <w:rPr>
          <w:rFonts w:hint="eastAsia" w:ascii="宋体" w:hAnsi="宋体" w:eastAsia="宋体" w:cs="Calibri"/>
          <w:color w:val="auto"/>
          <w:szCs w:val="21"/>
          <w:highlight w:val="none"/>
          <w:lang w:val="en-US" w:eastAsia="zh-CN"/>
        </w:rPr>
        <w:t>180</w:t>
      </w:r>
      <w:r>
        <w:rPr>
          <w:rFonts w:hint="eastAsia" w:ascii="宋体" w:hAnsi="宋体" w:eastAsia="宋体" w:cs="Calibri"/>
          <w:color w:val="auto"/>
          <w:szCs w:val="21"/>
          <w:highlight w:val="none"/>
        </w:rPr>
        <w:t>万元</w:t>
      </w:r>
      <w:r>
        <w:rPr>
          <w:rFonts w:hint="eastAsia" w:ascii="宋体" w:hAnsi="宋体" w:eastAsia="宋体" w:cs="Calibri"/>
          <w:color w:val="auto"/>
          <w:szCs w:val="21"/>
          <w:highlight w:val="none"/>
          <w:lang w:eastAsia="zh-CN"/>
        </w:rPr>
        <w:t>，</w:t>
      </w:r>
      <w:r>
        <w:rPr>
          <w:rFonts w:hint="eastAsia" w:ascii="宋体" w:hAnsi="宋体" w:eastAsia="宋体" w:cs="Calibri"/>
          <w:color w:val="auto"/>
          <w:szCs w:val="21"/>
          <w:highlight w:val="none"/>
        </w:rPr>
        <w:t>最高投标限价：</w:t>
      </w:r>
      <w:r>
        <w:rPr>
          <w:rFonts w:hint="eastAsia" w:ascii="宋体" w:hAnsi="宋体" w:cs="Calibri"/>
          <w:color w:val="auto"/>
          <w:szCs w:val="21"/>
          <w:highlight w:val="none"/>
          <w:lang w:val="en-US" w:eastAsia="zh-CN"/>
        </w:rPr>
        <w:t>1760103.88</w:t>
      </w:r>
      <w:r>
        <w:rPr>
          <w:rFonts w:hint="eastAsia" w:ascii="宋体" w:hAnsi="宋体" w:eastAsia="宋体" w:cs="Calibri"/>
          <w:color w:val="auto"/>
          <w:szCs w:val="21"/>
          <w:highlight w:val="none"/>
        </w:rPr>
        <w:t>元，超过最高投标限价的视为无效报价，按照无效响应处理。</w:t>
      </w:r>
    </w:p>
    <w:p w14:paraId="07F2711B">
      <w:pPr>
        <w:spacing w:line="380" w:lineRule="exact"/>
        <w:ind w:firstLine="420"/>
        <w:rPr>
          <w:rFonts w:hint="eastAsia" w:ascii="宋体" w:hAnsi="宋体" w:eastAsia="宋体" w:cs="Calibri"/>
          <w:color w:val="auto"/>
          <w:szCs w:val="21"/>
          <w:highlight w:val="none"/>
        </w:rPr>
      </w:pPr>
      <w:r>
        <w:rPr>
          <w:rFonts w:hint="eastAsia" w:ascii="宋体" w:hAnsi="宋体" w:eastAsia="宋体" w:cs="Calibri"/>
          <w:color w:val="auto"/>
          <w:szCs w:val="21"/>
          <w:highlight w:val="none"/>
        </w:rPr>
        <w:t>5、工作内容：包含但不限于施工图纸和工程量清单范围内的所有工程施工。</w:t>
      </w:r>
    </w:p>
    <w:p w14:paraId="7AE9D19A">
      <w:pPr>
        <w:spacing w:line="380" w:lineRule="exact"/>
        <w:ind w:firstLine="420"/>
        <w:rPr>
          <w:rFonts w:hint="eastAsia" w:ascii="宋体" w:hAnsi="宋体" w:eastAsia="宋体" w:cs="Calibri"/>
          <w:color w:val="auto"/>
          <w:szCs w:val="21"/>
          <w:highlight w:val="none"/>
        </w:rPr>
      </w:pPr>
      <w:r>
        <w:rPr>
          <w:rFonts w:hint="eastAsia" w:ascii="宋体" w:hAnsi="宋体" w:eastAsia="宋体" w:cs="Calibri"/>
          <w:color w:val="auto"/>
          <w:szCs w:val="21"/>
          <w:highlight w:val="none"/>
        </w:rPr>
        <w:t>6、验收：</w:t>
      </w:r>
      <w:r>
        <w:rPr>
          <w:rFonts w:hint="eastAsia" w:ascii="宋体" w:hAnsi="宋体" w:eastAsia="宋体" w:cs="Calibri"/>
          <w:color w:val="auto"/>
          <w:szCs w:val="21"/>
          <w:highlight w:val="none"/>
          <w:lang w:val="en-US" w:eastAsia="zh-CN"/>
        </w:rPr>
        <w:t>工程</w:t>
      </w:r>
      <w:r>
        <w:rPr>
          <w:rFonts w:hint="eastAsia" w:ascii="宋体" w:hAnsi="宋体" w:eastAsia="宋体" w:cs="Calibri"/>
          <w:color w:val="auto"/>
          <w:szCs w:val="21"/>
          <w:highlight w:val="none"/>
        </w:rPr>
        <w:t>项目总体验收。项目施工完成后，由</w:t>
      </w:r>
      <w:r>
        <w:rPr>
          <w:rFonts w:hint="eastAsia" w:ascii="宋体" w:hAnsi="宋体" w:eastAsia="宋体" w:cs="Calibri"/>
          <w:color w:val="auto"/>
          <w:szCs w:val="21"/>
          <w:highlight w:val="none"/>
          <w:lang w:eastAsia="zh-CN"/>
        </w:rPr>
        <w:t>招标人</w:t>
      </w:r>
      <w:r>
        <w:rPr>
          <w:rFonts w:hint="eastAsia" w:ascii="宋体" w:hAnsi="宋体" w:eastAsia="宋体" w:cs="Calibri"/>
          <w:color w:val="auto"/>
          <w:szCs w:val="21"/>
          <w:highlight w:val="none"/>
        </w:rPr>
        <w:t>会同本项目</w:t>
      </w:r>
      <w:r>
        <w:rPr>
          <w:rFonts w:hint="eastAsia" w:ascii="宋体" w:hAnsi="宋体" w:eastAsia="宋体" w:cs="Calibri"/>
          <w:color w:val="auto"/>
          <w:szCs w:val="21"/>
          <w:highlight w:val="none"/>
          <w:lang w:eastAsia="zh-CN"/>
        </w:rPr>
        <w:t>中标人</w:t>
      </w:r>
      <w:r>
        <w:rPr>
          <w:rFonts w:hint="eastAsia" w:ascii="宋体" w:hAnsi="宋体" w:eastAsia="宋体" w:cs="Calibri"/>
          <w:color w:val="auto"/>
          <w:szCs w:val="21"/>
          <w:highlight w:val="none"/>
        </w:rPr>
        <w:t>组织开展对所有施工项目的验收工作并形成专门的验收报告。如验收不通过的项目，</w:t>
      </w:r>
      <w:r>
        <w:rPr>
          <w:rFonts w:hint="eastAsia" w:ascii="宋体" w:hAnsi="宋体" w:eastAsia="宋体" w:cs="Calibri"/>
          <w:color w:val="auto"/>
          <w:szCs w:val="21"/>
          <w:highlight w:val="none"/>
          <w:lang w:eastAsia="zh-CN"/>
        </w:rPr>
        <w:t>中标人</w:t>
      </w:r>
      <w:r>
        <w:rPr>
          <w:rFonts w:hint="eastAsia" w:ascii="宋体" w:hAnsi="宋体" w:eastAsia="宋体" w:cs="Calibri"/>
          <w:color w:val="auto"/>
          <w:szCs w:val="21"/>
          <w:highlight w:val="none"/>
        </w:rPr>
        <w:t>应无条件进行整改直至验收通过。</w:t>
      </w:r>
    </w:p>
    <w:p w14:paraId="771AF502">
      <w:pPr>
        <w:spacing w:line="380" w:lineRule="exact"/>
        <w:rPr>
          <w:rFonts w:hint="eastAsia" w:ascii="宋体" w:hAnsi="宋体"/>
          <w:b/>
          <w:color w:val="auto"/>
          <w:highlight w:val="none"/>
        </w:rPr>
      </w:pPr>
      <w:r>
        <w:rPr>
          <w:rFonts w:hint="eastAsia" w:ascii="宋体" w:hAnsi="宋体"/>
          <w:b/>
          <w:color w:val="auto"/>
          <w:highlight w:val="none"/>
        </w:rPr>
        <w:t>二、其他须知</w:t>
      </w:r>
      <w:bookmarkEnd w:id="206"/>
    </w:p>
    <w:p w14:paraId="1AAF5F5F">
      <w:pPr>
        <w:spacing w:line="380" w:lineRule="exact"/>
        <w:ind w:firstLine="420"/>
        <w:rPr>
          <w:rFonts w:hint="eastAsia" w:ascii="宋体" w:hAnsi="宋体" w:cs="Calibri"/>
          <w:color w:val="auto"/>
          <w:szCs w:val="21"/>
          <w:highlight w:val="none"/>
        </w:rPr>
      </w:pPr>
      <w:r>
        <w:rPr>
          <w:rFonts w:hint="eastAsia" w:ascii="宋体" w:hAnsi="宋体" w:cs="Calibri"/>
          <w:color w:val="auto"/>
          <w:szCs w:val="21"/>
          <w:highlight w:val="none"/>
        </w:rPr>
        <w:t>1、报价应按照</w:t>
      </w:r>
      <w:r>
        <w:rPr>
          <w:rFonts w:hint="eastAsia" w:ascii="宋体" w:hAnsi="宋体" w:cs="Calibri"/>
          <w:color w:val="auto"/>
          <w:szCs w:val="21"/>
          <w:highlight w:val="none"/>
          <w:lang w:eastAsia="zh-CN"/>
        </w:rPr>
        <w:t>招标人</w:t>
      </w:r>
      <w:r>
        <w:rPr>
          <w:rFonts w:hint="eastAsia" w:ascii="宋体" w:hAnsi="宋体" w:cs="Calibri"/>
          <w:color w:val="auto"/>
          <w:szCs w:val="21"/>
          <w:highlight w:val="none"/>
        </w:rPr>
        <w:t>提供的工程量清单的格式，不得改变工程量清单，不可竞争费用不得让利。</w:t>
      </w:r>
      <w:r>
        <w:rPr>
          <w:rFonts w:hint="eastAsia" w:ascii="宋体" w:hAnsi="宋体" w:cs="Calibri"/>
          <w:color w:val="auto"/>
          <w:szCs w:val="21"/>
          <w:highlight w:val="none"/>
          <w:lang w:eastAsia="zh-CN"/>
        </w:rPr>
        <w:t>投标单位投标报价</w:t>
      </w:r>
      <w:r>
        <w:rPr>
          <w:rFonts w:hint="eastAsia" w:ascii="宋体" w:hAnsi="宋体" w:cs="Calibri"/>
          <w:color w:val="auto"/>
          <w:szCs w:val="21"/>
          <w:highlight w:val="none"/>
        </w:rPr>
        <w:t>应有详细的报价组成，其中暂列金额、安全文明施工措施费、</w:t>
      </w:r>
      <w:r>
        <w:rPr>
          <w:rFonts w:hint="eastAsia" w:ascii="宋体" w:hAnsi="宋体" w:cs="Calibri"/>
          <w:color w:val="auto"/>
          <w:szCs w:val="21"/>
          <w:highlight w:val="none"/>
          <w:lang w:eastAsia="zh-CN"/>
        </w:rPr>
        <w:t>税金</w:t>
      </w:r>
      <w:r>
        <w:rPr>
          <w:rFonts w:hint="eastAsia" w:ascii="宋体" w:hAnsi="宋体" w:cs="Calibri"/>
          <w:color w:val="auto"/>
          <w:szCs w:val="21"/>
          <w:highlight w:val="none"/>
        </w:rPr>
        <w:t>为不可竞争费，应按</w:t>
      </w:r>
      <w:r>
        <w:rPr>
          <w:rFonts w:hint="eastAsia" w:ascii="宋体" w:hAnsi="宋体" w:cs="Calibri"/>
          <w:color w:val="auto"/>
          <w:szCs w:val="21"/>
          <w:highlight w:val="none"/>
          <w:lang w:eastAsia="zh-CN"/>
        </w:rPr>
        <w:t>招标人</w:t>
      </w:r>
      <w:r>
        <w:rPr>
          <w:rFonts w:hint="eastAsia" w:ascii="宋体" w:hAnsi="宋体" w:cs="Calibri"/>
          <w:color w:val="auto"/>
          <w:szCs w:val="21"/>
          <w:highlight w:val="none"/>
        </w:rPr>
        <w:t>提供的工程量清单及相关费用、费率报价。</w:t>
      </w:r>
    </w:p>
    <w:p w14:paraId="54EA7A41">
      <w:pPr>
        <w:spacing w:line="380" w:lineRule="exact"/>
        <w:ind w:firstLine="420"/>
        <w:jc w:val="left"/>
        <w:rPr>
          <w:rFonts w:hint="eastAsia" w:ascii="宋体" w:hAnsi="宋体" w:cs="Calibri"/>
          <w:color w:val="auto"/>
          <w:szCs w:val="21"/>
          <w:highlight w:val="none"/>
        </w:rPr>
      </w:pPr>
      <w:r>
        <w:rPr>
          <w:rFonts w:hint="eastAsia" w:ascii="宋体" w:hAnsi="宋体" w:cs="Calibri"/>
          <w:color w:val="auto"/>
          <w:szCs w:val="21"/>
          <w:highlight w:val="none"/>
        </w:rPr>
        <w:t>2、本工程结算价需经有关部门审定确认，合同价中的安全文明施工措施费结算时按有权部门的核定结果调整；合同价中的暂列金额（税金前）在工程款支付时、结算审定结果中扣除。</w:t>
      </w:r>
    </w:p>
    <w:p w14:paraId="4260F90A">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3</w:t>
      </w:r>
      <w:r>
        <w:rPr>
          <w:rFonts w:ascii="宋体" w:hAnsi="宋体"/>
          <w:color w:val="auto"/>
          <w:szCs w:val="21"/>
          <w:highlight w:val="none"/>
        </w:rPr>
        <w:t>、</w:t>
      </w:r>
      <w:r>
        <w:rPr>
          <w:rFonts w:hint="eastAsia" w:ascii="宋体" w:hAnsi="宋体"/>
          <w:color w:val="auto"/>
          <w:szCs w:val="21"/>
          <w:highlight w:val="none"/>
          <w:lang w:eastAsia="zh-CN"/>
        </w:rPr>
        <w:t>投标单位</w:t>
      </w:r>
      <w:r>
        <w:rPr>
          <w:rFonts w:ascii="宋体" w:hAnsi="宋体"/>
          <w:color w:val="auto"/>
          <w:szCs w:val="21"/>
          <w:highlight w:val="none"/>
        </w:rPr>
        <w:t>应彻底自行踏勘现场，以充分了解项目位置、交通状况以及工作范围等任何足以影响其报价的情况。任何忽视或误解项目基本情况，而使</w:t>
      </w:r>
      <w:r>
        <w:rPr>
          <w:rFonts w:hint="eastAsia" w:ascii="宋体" w:hAnsi="宋体"/>
          <w:color w:val="auto"/>
          <w:szCs w:val="21"/>
          <w:highlight w:val="none"/>
          <w:lang w:eastAsia="zh-CN"/>
        </w:rPr>
        <w:t>招标人</w:t>
      </w:r>
      <w:r>
        <w:rPr>
          <w:rFonts w:ascii="宋体" w:hAnsi="宋体"/>
          <w:color w:val="auto"/>
          <w:szCs w:val="21"/>
          <w:highlight w:val="none"/>
        </w:rPr>
        <w:t>在项目实施过程中蒙受的损失，将由</w:t>
      </w:r>
      <w:r>
        <w:rPr>
          <w:rFonts w:hint="eastAsia" w:ascii="宋体" w:hAnsi="宋体"/>
          <w:color w:val="auto"/>
          <w:szCs w:val="21"/>
          <w:highlight w:val="none"/>
          <w:lang w:eastAsia="zh-CN"/>
        </w:rPr>
        <w:t>投标单位</w:t>
      </w:r>
      <w:r>
        <w:rPr>
          <w:rFonts w:ascii="宋体" w:hAnsi="宋体"/>
          <w:color w:val="auto"/>
          <w:szCs w:val="21"/>
          <w:highlight w:val="none"/>
        </w:rPr>
        <w:t>进行赔偿。施工现场实际情况：现状道路通畅；交通便利，有道路通入施工现场；环境保护要求：必须符合当地环保部门对噪音、粉尘、污水、垃圾的限制或处理要求。</w:t>
      </w:r>
    </w:p>
    <w:p w14:paraId="1D3EBDEA">
      <w:pPr>
        <w:spacing w:line="380" w:lineRule="exact"/>
        <w:ind w:firstLine="422"/>
        <w:rPr>
          <w:rFonts w:hint="eastAsia" w:ascii="宋体" w:hAnsi="宋体"/>
          <w:b/>
          <w:bCs/>
          <w:i/>
          <w:color w:val="auto"/>
          <w:szCs w:val="21"/>
          <w:highlight w:val="none"/>
          <w:u w:val="single"/>
          <w:lang w:val="en-US" w:eastAsia="zh-CN"/>
        </w:rPr>
      </w:pPr>
      <w:r>
        <w:rPr>
          <w:rFonts w:hint="eastAsia" w:ascii="宋体" w:hAnsi="宋体"/>
          <w:b/>
          <w:bCs/>
          <w:i/>
          <w:color w:val="auto"/>
          <w:szCs w:val="21"/>
          <w:highlight w:val="none"/>
          <w:u w:val="single"/>
          <w:lang w:val="en-US" w:eastAsia="zh-CN"/>
        </w:rPr>
        <w:t>4、本项目采用固定单价合同，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p>
    <w:p w14:paraId="0B088637">
      <w:pPr>
        <w:spacing w:line="380" w:lineRule="exact"/>
        <w:ind w:firstLine="422"/>
        <w:rPr>
          <w:rFonts w:hint="eastAsia" w:ascii="宋体" w:hAnsi="宋体"/>
          <w:b/>
          <w:bCs/>
          <w:i/>
          <w:color w:val="auto"/>
          <w:szCs w:val="21"/>
          <w:highlight w:val="none"/>
          <w:u w:val="single"/>
          <w:lang w:val="en-US" w:eastAsia="zh-CN"/>
        </w:rPr>
      </w:pPr>
      <w:r>
        <w:rPr>
          <w:rFonts w:hint="eastAsia" w:ascii="宋体" w:hAnsi="宋体"/>
          <w:b/>
          <w:bCs/>
          <w:i/>
          <w:color w:val="auto"/>
          <w:szCs w:val="21"/>
          <w:highlight w:val="none"/>
          <w:u w:val="single"/>
          <w:lang w:val="en-US" w:eastAsia="zh-CN"/>
        </w:rPr>
        <w:t>5、施工质量要求：合格，项目免费质保期按工程质量保修书执行。</w:t>
      </w:r>
    </w:p>
    <w:p w14:paraId="6111950A">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6</w:t>
      </w:r>
      <w:r>
        <w:rPr>
          <w:rFonts w:ascii="宋体" w:hAnsi="宋体"/>
          <w:color w:val="auto"/>
          <w:szCs w:val="21"/>
          <w:highlight w:val="none"/>
        </w:rPr>
        <w:t>、</w:t>
      </w:r>
      <w:r>
        <w:rPr>
          <w:rFonts w:hint="eastAsia" w:ascii="宋体" w:hAnsi="宋体"/>
          <w:color w:val="auto"/>
          <w:szCs w:val="21"/>
          <w:highlight w:val="none"/>
          <w:lang w:eastAsia="zh-CN"/>
        </w:rPr>
        <w:t>投标单位</w:t>
      </w:r>
      <w:r>
        <w:rPr>
          <w:rFonts w:ascii="宋体" w:hAnsi="宋体"/>
          <w:color w:val="auto"/>
          <w:szCs w:val="21"/>
          <w:highlight w:val="none"/>
        </w:rPr>
        <w:t>需要</w:t>
      </w:r>
      <w:r>
        <w:rPr>
          <w:rFonts w:hint="eastAsia" w:ascii="宋体" w:hAnsi="宋体"/>
          <w:color w:val="auto"/>
          <w:szCs w:val="21"/>
          <w:highlight w:val="none"/>
          <w:lang w:val="en-US" w:eastAsia="zh-CN"/>
        </w:rPr>
        <w:t>招标</w:t>
      </w:r>
      <w:r>
        <w:rPr>
          <w:rFonts w:ascii="宋体" w:hAnsi="宋体"/>
          <w:color w:val="auto"/>
          <w:szCs w:val="21"/>
          <w:highlight w:val="none"/>
        </w:rPr>
        <w:t>的部分主要材料应选用国内中档以上品牌，并达到环保要求。在签订合同之前，</w:t>
      </w:r>
      <w:r>
        <w:rPr>
          <w:rFonts w:hint="eastAsia" w:ascii="宋体" w:hAnsi="宋体"/>
          <w:color w:val="auto"/>
          <w:szCs w:val="21"/>
          <w:highlight w:val="none"/>
          <w:lang w:eastAsia="zh-CN"/>
        </w:rPr>
        <w:t>招标人</w:t>
      </w:r>
      <w:r>
        <w:rPr>
          <w:rFonts w:ascii="宋体" w:hAnsi="宋体"/>
          <w:color w:val="auto"/>
          <w:szCs w:val="21"/>
          <w:highlight w:val="none"/>
        </w:rPr>
        <w:t>如认为</w:t>
      </w:r>
      <w:r>
        <w:rPr>
          <w:rFonts w:hint="eastAsia" w:ascii="宋体" w:hAnsi="宋体"/>
          <w:color w:val="auto"/>
          <w:szCs w:val="21"/>
          <w:highlight w:val="none"/>
          <w:lang w:eastAsia="zh-CN"/>
        </w:rPr>
        <w:t>中标人</w:t>
      </w:r>
      <w:r>
        <w:rPr>
          <w:rFonts w:ascii="宋体" w:hAnsi="宋体"/>
          <w:color w:val="auto"/>
          <w:szCs w:val="21"/>
          <w:highlight w:val="none"/>
        </w:rPr>
        <w:t>在</w:t>
      </w:r>
      <w:r>
        <w:rPr>
          <w:rFonts w:hint="eastAsia" w:ascii="宋体" w:hAnsi="宋体"/>
          <w:color w:val="auto"/>
          <w:szCs w:val="21"/>
          <w:highlight w:val="none"/>
          <w:lang w:eastAsia="zh-CN"/>
        </w:rPr>
        <w:t>招标文件</w:t>
      </w:r>
      <w:r>
        <w:rPr>
          <w:rFonts w:ascii="宋体" w:hAnsi="宋体"/>
          <w:color w:val="auto"/>
          <w:szCs w:val="21"/>
          <w:highlight w:val="none"/>
        </w:rPr>
        <w:t>提供的品牌达不到品牌的要求，则</w:t>
      </w:r>
      <w:r>
        <w:rPr>
          <w:rFonts w:hint="eastAsia" w:ascii="宋体" w:hAnsi="宋体"/>
          <w:color w:val="auto"/>
          <w:szCs w:val="21"/>
          <w:highlight w:val="none"/>
          <w:lang w:eastAsia="zh-CN"/>
        </w:rPr>
        <w:t>招标人</w:t>
      </w:r>
      <w:r>
        <w:rPr>
          <w:rFonts w:ascii="宋体" w:hAnsi="宋体"/>
          <w:color w:val="auto"/>
          <w:szCs w:val="21"/>
          <w:highlight w:val="none"/>
        </w:rPr>
        <w:t>可以要求</w:t>
      </w:r>
      <w:r>
        <w:rPr>
          <w:rFonts w:hint="eastAsia" w:ascii="宋体" w:hAnsi="宋体"/>
          <w:color w:val="auto"/>
          <w:szCs w:val="21"/>
          <w:highlight w:val="none"/>
          <w:lang w:eastAsia="zh-CN"/>
        </w:rPr>
        <w:t>中标人</w:t>
      </w:r>
      <w:r>
        <w:rPr>
          <w:rFonts w:ascii="宋体" w:hAnsi="宋体"/>
          <w:color w:val="auto"/>
          <w:szCs w:val="21"/>
          <w:highlight w:val="none"/>
        </w:rPr>
        <w:t>选用其它中等以上档次品牌，</w:t>
      </w:r>
      <w:r>
        <w:rPr>
          <w:rFonts w:hint="eastAsia" w:ascii="宋体" w:hAnsi="宋体"/>
          <w:color w:val="auto"/>
          <w:szCs w:val="21"/>
          <w:highlight w:val="none"/>
          <w:lang w:eastAsia="zh-CN"/>
        </w:rPr>
        <w:t>中标人</w:t>
      </w:r>
      <w:r>
        <w:rPr>
          <w:rFonts w:ascii="宋体" w:hAnsi="宋体"/>
          <w:color w:val="auto"/>
          <w:szCs w:val="21"/>
          <w:highlight w:val="none"/>
        </w:rPr>
        <w:t>须无条件接受且不增加其</w:t>
      </w:r>
      <w:r>
        <w:rPr>
          <w:rFonts w:hint="eastAsia" w:ascii="宋体" w:hAnsi="宋体"/>
          <w:color w:val="auto"/>
          <w:szCs w:val="21"/>
          <w:highlight w:val="none"/>
          <w:lang w:eastAsia="zh-CN"/>
        </w:rPr>
        <w:t>投标报价</w:t>
      </w:r>
      <w:r>
        <w:rPr>
          <w:rFonts w:ascii="宋体" w:hAnsi="宋体"/>
          <w:color w:val="auto"/>
          <w:szCs w:val="21"/>
          <w:highlight w:val="none"/>
        </w:rPr>
        <w:t xml:space="preserve">。 </w:t>
      </w:r>
    </w:p>
    <w:p w14:paraId="7A8F8F26">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7</w:t>
      </w:r>
      <w:r>
        <w:rPr>
          <w:rFonts w:ascii="宋体" w:hAnsi="宋体"/>
          <w:color w:val="auto"/>
          <w:szCs w:val="21"/>
          <w:highlight w:val="none"/>
        </w:rPr>
        <w:t>、</w:t>
      </w:r>
      <w:r>
        <w:rPr>
          <w:rFonts w:hint="eastAsia" w:ascii="宋体" w:hAnsi="宋体"/>
          <w:color w:val="auto"/>
          <w:szCs w:val="21"/>
          <w:highlight w:val="none"/>
          <w:lang w:eastAsia="zh-CN"/>
        </w:rPr>
        <w:t>中标人</w:t>
      </w:r>
      <w:r>
        <w:rPr>
          <w:rFonts w:ascii="宋体" w:hAnsi="宋体"/>
          <w:color w:val="auto"/>
          <w:szCs w:val="21"/>
          <w:highlight w:val="none"/>
        </w:rPr>
        <w:t xml:space="preserve">必须服从现场管理，对工序和材料及时报验，原材料及配件必须符合国家标准，经复试合格后方可使用。 </w:t>
      </w:r>
    </w:p>
    <w:p w14:paraId="7073A1EF">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8</w:t>
      </w:r>
      <w:r>
        <w:rPr>
          <w:rFonts w:ascii="宋体" w:hAnsi="宋体"/>
          <w:color w:val="auto"/>
          <w:szCs w:val="21"/>
          <w:highlight w:val="none"/>
        </w:rPr>
        <w:t>、施工过程中产生的垃圾及时清运，费用由</w:t>
      </w:r>
      <w:r>
        <w:rPr>
          <w:rFonts w:hint="eastAsia" w:ascii="宋体" w:hAnsi="宋体"/>
          <w:color w:val="auto"/>
          <w:szCs w:val="21"/>
          <w:highlight w:val="none"/>
          <w:lang w:eastAsia="zh-CN"/>
        </w:rPr>
        <w:t>中标人</w:t>
      </w:r>
      <w:r>
        <w:rPr>
          <w:rFonts w:ascii="宋体" w:hAnsi="宋体"/>
          <w:color w:val="auto"/>
          <w:szCs w:val="21"/>
          <w:highlight w:val="none"/>
        </w:rPr>
        <w:t>承担；建设工程不能影响整体美观，不能影响其他设施、设备的使用及功能，不能影响</w:t>
      </w:r>
      <w:r>
        <w:rPr>
          <w:rFonts w:hint="eastAsia" w:ascii="宋体" w:hAnsi="宋体"/>
          <w:color w:val="auto"/>
          <w:szCs w:val="21"/>
          <w:highlight w:val="none"/>
          <w:lang w:eastAsia="zh-CN"/>
        </w:rPr>
        <w:t>招标人</w:t>
      </w:r>
      <w:r>
        <w:rPr>
          <w:rFonts w:ascii="宋体" w:hAnsi="宋体"/>
          <w:color w:val="auto"/>
          <w:szCs w:val="21"/>
          <w:highlight w:val="none"/>
        </w:rPr>
        <w:t xml:space="preserve">正常工作开展。 </w:t>
      </w:r>
    </w:p>
    <w:p w14:paraId="1F1834DA">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9</w:t>
      </w:r>
      <w:r>
        <w:rPr>
          <w:rFonts w:ascii="宋体" w:hAnsi="宋体"/>
          <w:color w:val="auto"/>
          <w:szCs w:val="21"/>
          <w:highlight w:val="none"/>
        </w:rPr>
        <w:t>、施工过程中，</w:t>
      </w:r>
      <w:r>
        <w:rPr>
          <w:rFonts w:hint="eastAsia" w:ascii="宋体" w:hAnsi="宋体"/>
          <w:color w:val="auto"/>
          <w:szCs w:val="21"/>
          <w:highlight w:val="none"/>
          <w:lang w:eastAsia="zh-CN"/>
        </w:rPr>
        <w:t>投标单位</w:t>
      </w:r>
      <w:r>
        <w:rPr>
          <w:rFonts w:ascii="宋体" w:hAnsi="宋体"/>
          <w:color w:val="auto"/>
          <w:szCs w:val="21"/>
          <w:highlight w:val="none"/>
        </w:rPr>
        <w:t>需采取措施保护现场及周边相关财务、物品、设施等，因</w:t>
      </w:r>
      <w:r>
        <w:rPr>
          <w:rFonts w:hint="eastAsia" w:ascii="宋体" w:hAnsi="宋体"/>
          <w:color w:val="auto"/>
          <w:szCs w:val="21"/>
          <w:highlight w:val="none"/>
          <w:lang w:eastAsia="zh-CN"/>
        </w:rPr>
        <w:t>投标单位</w:t>
      </w:r>
      <w:r>
        <w:rPr>
          <w:rFonts w:ascii="宋体" w:hAnsi="宋体"/>
          <w:color w:val="auto"/>
          <w:szCs w:val="21"/>
          <w:highlight w:val="none"/>
        </w:rPr>
        <w:t>的不规范操作、误操作等原因造成相关设施的损坏、设备的停用等后果均由</w:t>
      </w:r>
      <w:r>
        <w:rPr>
          <w:rFonts w:hint="eastAsia" w:ascii="宋体" w:hAnsi="宋体"/>
          <w:color w:val="auto"/>
          <w:szCs w:val="21"/>
          <w:highlight w:val="none"/>
          <w:lang w:eastAsia="zh-CN"/>
        </w:rPr>
        <w:t>投标单位</w:t>
      </w:r>
      <w:r>
        <w:rPr>
          <w:rFonts w:ascii="宋体" w:hAnsi="宋体"/>
          <w:color w:val="auto"/>
          <w:szCs w:val="21"/>
          <w:highlight w:val="none"/>
        </w:rPr>
        <w:t>承担，由</w:t>
      </w:r>
      <w:r>
        <w:rPr>
          <w:rFonts w:hint="eastAsia" w:ascii="宋体" w:hAnsi="宋体"/>
          <w:color w:val="auto"/>
          <w:szCs w:val="21"/>
          <w:highlight w:val="none"/>
          <w:lang w:eastAsia="zh-CN"/>
        </w:rPr>
        <w:t>投标单位</w:t>
      </w:r>
      <w:r>
        <w:rPr>
          <w:rFonts w:ascii="宋体" w:hAnsi="宋体"/>
          <w:color w:val="auto"/>
          <w:szCs w:val="21"/>
          <w:highlight w:val="none"/>
        </w:rPr>
        <w:t xml:space="preserve">原样修复并自行承担相关费用。 </w:t>
      </w:r>
    </w:p>
    <w:p w14:paraId="7EB05FBD">
      <w:pPr>
        <w:spacing w:line="380" w:lineRule="exact"/>
        <w:ind w:firstLine="420"/>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lang w:val="en-US" w:eastAsia="zh-CN"/>
        </w:rPr>
        <w:t>0</w:t>
      </w:r>
      <w:r>
        <w:rPr>
          <w:rFonts w:ascii="宋体" w:hAnsi="宋体"/>
          <w:color w:val="auto"/>
          <w:szCs w:val="21"/>
          <w:highlight w:val="none"/>
        </w:rPr>
        <w:t>、工程量清单编制依据</w:t>
      </w:r>
    </w:p>
    <w:p w14:paraId="68BAC295">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10</w:t>
      </w:r>
      <w:r>
        <w:rPr>
          <w:rFonts w:hint="eastAsia" w:ascii="宋体" w:hAnsi="宋体"/>
          <w:color w:val="auto"/>
          <w:szCs w:val="21"/>
          <w:highlight w:val="none"/>
        </w:rPr>
        <w:t>.1 建设单位提供的设计图纸及有关编制要求。</w:t>
      </w:r>
    </w:p>
    <w:p w14:paraId="5FC7BD9F">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10</w:t>
      </w:r>
      <w:r>
        <w:rPr>
          <w:rFonts w:hint="eastAsia" w:ascii="宋体" w:hAnsi="宋体"/>
          <w:color w:val="auto"/>
          <w:szCs w:val="21"/>
          <w:highlight w:val="none"/>
        </w:rPr>
        <w:t>.2</w:t>
      </w:r>
      <w:r>
        <w:rPr>
          <w:rFonts w:ascii="宋体" w:hAnsi="宋体"/>
          <w:color w:val="auto"/>
          <w:szCs w:val="21"/>
          <w:highlight w:val="none"/>
        </w:rPr>
        <w:t>本项目拟定的招标文件</w:t>
      </w:r>
      <w:r>
        <w:rPr>
          <w:rFonts w:hint="eastAsia" w:ascii="宋体" w:hAnsi="宋体"/>
          <w:color w:val="auto"/>
          <w:szCs w:val="21"/>
          <w:highlight w:val="none"/>
        </w:rPr>
        <w:t>。</w:t>
      </w:r>
    </w:p>
    <w:p w14:paraId="0CC26165">
      <w:pPr>
        <w:spacing w:line="380" w:lineRule="exact"/>
        <w:ind w:firstLine="420"/>
        <w:rPr>
          <w:rFonts w:hint="eastAsia" w:ascii="宋体" w:hAnsi="宋体"/>
          <w:color w:val="auto"/>
          <w:szCs w:val="21"/>
          <w:highlight w:val="none"/>
        </w:rPr>
      </w:pPr>
      <w:r>
        <w:rPr>
          <w:rFonts w:hint="eastAsia" w:ascii="宋体" w:hAnsi="宋体"/>
          <w:color w:val="auto"/>
          <w:szCs w:val="21"/>
          <w:highlight w:val="none"/>
          <w:lang w:val="en-US" w:eastAsia="zh-CN"/>
        </w:rPr>
        <w:t>10</w:t>
      </w:r>
      <w:r>
        <w:rPr>
          <w:rFonts w:hint="eastAsia" w:ascii="宋体" w:hAnsi="宋体"/>
          <w:color w:val="auto"/>
          <w:szCs w:val="21"/>
          <w:highlight w:val="none"/>
        </w:rPr>
        <w:t>.3</w:t>
      </w:r>
      <w:r>
        <w:rPr>
          <w:rFonts w:hint="eastAsia" w:ascii="宋体" w:hAnsi="宋体"/>
          <w:color w:val="auto"/>
          <w:szCs w:val="21"/>
          <w:highlight w:val="none"/>
          <w:lang w:eastAsia="zh-CN"/>
        </w:rPr>
        <w:t>《房屋建筑与装饰工程工程量计算标准》（GB/T50854-2024）、《通用安装工程工程量计算标准》（GB/T50856-2024）</w:t>
      </w:r>
      <w:r>
        <w:rPr>
          <w:rFonts w:hint="eastAsia" w:ascii="宋体" w:hAnsi="宋体"/>
          <w:color w:val="auto"/>
          <w:szCs w:val="21"/>
          <w:highlight w:val="none"/>
        </w:rPr>
        <w:t>。</w:t>
      </w:r>
    </w:p>
    <w:p w14:paraId="181F10FF">
      <w:pPr>
        <w:spacing w:line="38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w:t>
      </w:r>
      <w:r>
        <w:rPr>
          <w:rFonts w:hint="eastAsia" w:ascii="宋体" w:hAnsi="宋体"/>
          <w:color w:val="auto"/>
          <w:szCs w:val="21"/>
          <w:highlight w:val="none"/>
        </w:rPr>
        <w:t>.4</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2026年《江苏省建筑与装饰工程消耗量》、2026年《江苏省通用安装工程消耗量》镇江市</w:t>
      </w:r>
      <w:r>
        <w:rPr>
          <w:rFonts w:ascii="宋体" w:hAnsi="宋体"/>
          <w:color w:val="auto"/>
          <w:szCs w:val="21"/>
          <w:highlight w:val="none"/>
        </w:rPr>
        <w:t>关于工程造价的现行有关规定</w:t>
      </w:r>
      <w:r>
        <w:rPr>
          <w:rFonts w:hint="eastAsia" w:ascii="宋体" w:hAnsi="宋体"/>
          <w:color w:val="auto"/>
          <w:szCs w:val="21"/>
          <w:highlight w:val="none"/>
        </w:rPr>
        <w:t>。</w:t>
      </w:r>
    </w:p>
    <w:p w14:paraId="7ADBCE0A">
      <w:pPr>
        <w:spacing w:line="38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10.5材料价格按照《镇江工程造价管理》2026年第5期，信息价中没有的材料价格参考市场价或者询价确定。</w:t>
      </w:r>
    </w:p>
    <w:p w14:paraId="5D7C59CE">
      <w:pPr>
        <w:spacing w:line="38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10.6人工按普工 140 元/工日计算。</w:t>
      </w:r>
    </w:p>
    <w:p w14:paraId="068E1D90">
      <w:pPr>
        <w:spacing w:line="38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10.7税金按照苏建函价（2019〕178号文件一般计税模式计取，</w:t>
      </w:r>
      <w:r>
        <w:rPr>
          <w:rFonts w:hint="eastAsia" w:ascii="宋体" w:hAnsi="宋体"/>
          <w:b/>
          <w:bCs/>
          <w:color w:val="auto"/>
          <w:szCs w:val="21"/>
          <w:highlight w:val="none"/>
          <w:lang w:val="en-US" w:eastAsia="zh-CN"/>
        </w:rPr>
        <w:t>本工程税金计9%</w:t>
      </w:r>
      <w:r>
        <w:rPr>
          <w:rFonts w:hint="eastAsia" w:ascii="宋体" w:hAnsi="宋体"/>
          <w:color w:val="auto"/>
          <w:szCs w:val="21"/>
          <w:highlight w:val="none"/>
          <w:lang w:val="en-US" w:eastAsia="zh-CN"/>
        </w:rPr>
        <w:t>。</w:t>
      </w:r>
    </w:p>
    <w:p w14:paraId="596FEEE2">
      <w:pPr>
        <w:spacing w:line="380" w:lineRule="exact"/>
        <w:ind w:firstLine="42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10.8本工程设置合同中约定的其他项目：</w:t>
      </w:r>
      <w:r>
        <w:rPr>
          <w:rFonts w:hint="eastAsia" w:ascii="宋体" w:hAnsi="宋体"/>
          <w:b/>
          <w:bCs/>
          <w:color w:val="auto"/>
          <w:szCs w:val="21"/>
          <w:highlight w:val="none"/>
          <w:lang w:val="en-US" w:eastAsia="zh-CN"/>
        </w:rPr>
        <w:t>设计费51000元+招标代理费9000元，该费用为不可竞争费用，结算时按实际交费情况凭票据计算。</w:t>
      </w:r>
    </w:p>
    <w:p w14:paraId="1837FFE9">
      <w:pPr>
        <w:spacing w:line="38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10.9与本工程相关的现行设计、施工规范和标准图集、造价文件等。</w:t>
      </w:r>
    </w:p>
    <w:p w14:paraId="33071B1F">
      <w:pPr>
        <w:spacing w:line="38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10.10工程特点及常规或类似工程的施工组织设计。</w:t>
      </w:r>
    </w:p>
    <w:p w14:paraId="62324412">
      <w:pPr>
        <w:spacing w:line="380" w:lineRule="exact"/>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10.11国家、行业的地方政府的法律、法规及有关规定。</w:t>
      </w:r>
    </w:p>
    <w:p w14:paraId="4B6A44F7">
      <w:pPr>
        <w:widowControl/>
        <w:spacing w:line="380" w:lineRule="exact"/>
        <w:ind w:firstLine="420"/>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、报价编制要求</w:t>
      </w:r>
    </w:p>
    <w:p w14:paraId="46E4995D">
      <w:pPr>
        <w:spacing w:line="380" w:lineRule="exact"/>
        <w:ind w:firstLine="420"/>
        <w:rPr>
          <w:rFonts w:hint="eastAsia" w:ascii="宋体" w:hAnsi="宋体"/>
          <w:color w:val="auto"/>
          <w:szCs w:val="21"/>
          <w:highlight w:val="none"/>
        </w:rPr>
      </w:pPr>
      <w:r>
        <w:rPr>
          <w:rFonts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ascii="宋体" w:hAnsi="宋体" w:cs="宋体"/>
          <w:color w:val="auto"/>
          <w:szCs w:val="21"/>
          <w:highlight w:val="none"/>
          <w:lang w:bidi="ar"/>
        </w:rPr>
        <w:t>.</w:t>
      </w:r>
      <w:r>
        <w:rPr>
          <w:rFonts w:hint="eastAsia" w:ascii="宋体" w:hAnsi="宋体" w:cs="宋体"/>
          <w:color w:val="auto"/>
          <w:szCs w:val="21"/>
          <w:highlight w:val="none"/>
          <w:lang w:bidi="ar"/>
        </w:rPr>
        <w:t>1</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测量数据及提供的相关资料，最终做法及工程量按实</w:t>
      </w:r>
      <w:r>
        <w:rPr>
          <w:rFonts w:hint="eastAsia" w:ascii="宋体" w:hAnsi="宋体"/>
          <w:color w:val="auto"/>
          <w:szCs w:val="21"/>
          <w:highlight w:val="none"/>
        </w:rPr>
        <w:t>；</w:t>
      </w:r>
    </w:p>
    <w:p w14:paraId="4ADC5243">
      <w:pPr>
        <w:spacing w:line="380" w:lineRule="exact"/>
        <w:ind w:firstLine="420"/>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lang w:val="en-US" w:eastAsia="zh-CN"/>
        </w:rPr>
        <w:t>1</w:t>
      </w:r>
      <w:r>
        <w:rPr>
          <w:rFonts w:ascii="宋体" w:hAnsi="宋体"/>
          <w:color w:val="auto"/>
          <w:szCs w:val="21"/>
          <w:highlight w:val="none"/>
        </w:rPr>
        <w:t>.</w:t>
      </w:r>
      <w:r>
        <w:rPr>
          <w:rFonts w:hint="eastAsia" w:ascii="宋体" w:hAnsi="宋体"/>
          <w:color w:val="auto"/>
          <w:szCs w:val="21"/>
          <w:highlight w:val="none"/>
        </w:rPr>
        <w:t>2本工程所有工程量根据</w:t>
      </w:r>
      <w:r>
        <w:rPr>
          <w:rFonts w:hint="eastAsia" w:ascii="宋体" w:hAnsi="宋体" w:cs="宋体"/>
          <w:color w:val="auto"/>
          <w:szCs w:val="21"/>
          <w:highlight w:val="none"/>
          <w:lang w:eastAsia="zh-CN" w:bidi="ar"/>
        </w:rPr>
        <w:t>招标人</w:t>
      </w:r>
      <w:r>
        <w:rPr>
          <w:rFonts w:hint="eastAsia" w:ascii="宋体" w:hAnsi="宋体"/>
          <w:color w:val="auto"/>
          <w:szCs w:val="21"/>
          <w:highlight w:val="none"/>
        </w:rPr>
        <w:t>提供工程量计算；</w:t>
      </w:r>
    </w:p>
    <w:p w14:paraId="014CA724">
      <w:pPr>
        <w:spacing w:line="380" w:lineRule="exact"/>
        <w:ind w:firstLine="42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ascii="宋体" w:hAnsi="宋体"/>
          <w:color w:val="auto"/>
          <w:szCs w:val="21"/>
          <w:highlight w:val="none"/>
        </w:rPr>
        <w:t>.</w:t>
      </w:r>
      <w:r>
        <w:rPr>
          <w:rFonts w:hint="eastAsia" w:ascii="宋体" w:hAnsi="宋体"/>
          <w:color w:val="auto"/>
          <w:szCs w:val="21"/>
          <w:highlight w:val="none"/>
        </w:rPr>
        <w:t>3</w:t>
      </w:r>
      <w:r>
        <w:rPr>
          <w:rFonts w:hint="eastAsia" w:ascii="宋体" w:hAnsi="宋体" w:cs="宋体"/>
          <w:color w:val="auto"/>
          <w:szCs w:val="21"/>
          <w:highlight w:val="none"/>
          <w:lang w:bidi="ar"/>
        </w:rPr>
        <w:t>所有</w:t>
      </w:r>
      <w:r>
        <w:rPr>
          <w:rFonts w:hint="eastAsia" w:ascii="宋体" w:hAnsi="宋体" w:cs="宋体"/>
          <w:color w:val="auto"/>
          <w:szCs w:val="21"/>
          <w:highlight w:val="none"/>
          <w:lang w:eastAsia="zh-CN" w:bidi="ar"/>
        </w:rPr>
        <w:t>投标报价</w:t>
      </w:r>
      <w:r>
        <w:rPr>
          <w:rFonts w:hint="eastAsia" w:ascii="宋体" w:hAnsi="宋体" w:cs="宋体"/>
          <w:color w:val="auto"/>
          <w:szCs w:val="21"/>
          <w:highlight w:val="none"/>
          <w:lang w:bidi="ar"/>
        </w:rPr>
        <w:t>以人民币表示，</w:t>
      </w:r>
      <w:r>
        <w:rPr>
          <w:rFonts w:hint="eastAsia" w:ascii="宋体" w:hAnsi="宋体" w:cs="宋体"/>
          <w:color w:val="auto"/>
          <w:szCs w:val="21"/>
          <w:highlight w:val="none"/>
          <w:lang w:eastAsia="zh-CN" w:bidi="ar"/>
        </w:rPr>
        <w:t>投标单位</w:t>
      </w:r>
      <w:r>
        <w:rPr>
          <w:rFonts w:hint="eastAsia" w:ascii="宋体" w:hAnsi="宋体" w:cs="宋体"/>
          <w:color w:val="auto"/>
          <w:szCs w:val="21"/>
          <w:highlight w:val="none"/>
          <w:lang w:bidi="ar"/>
        </w:rPr>
        <w:t>报价单位为元，保留小数点后两位。</w:t>
      </w:r>
    </w:p>
    <w:p w14:paraId="74B4B889">
      <w:pPr>
        <w:spacing w:line="380" w:lineRule="exact"/>
        <w:ind w:firstLine="42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ascii="宋体" w:hAnsi="宋体"/>
          <w:color w:val="auto"/>
          <w:szCs w:val="21"/>
          <w:highlight w:val="none"/>
        </w:rPr>
        <w:t>.</w:t>
      </w:r>
      <w:r>
        <w:rPr>
          <w:rFonts w:hint="eastAsia" w:ascii="宋体" w:hAnsi="宋体"/>
          <w:color w:val="auto"/>
          <w:szCs w:val="21"/>
          <w:highlight w:val="none"/>
        </w:rPr>
        <w:t>4</w:t>
      </w:r>
      <w:r>
        <w:rPr>
          <w:rFonts w:hint="eastAsia" w:ascii="宋体" w:hAnsi="宋体" w:cs="宋体"/>
          <w:color w:val="auto"/>
          <w:szCs w:val="21"/>
          <w:highlight w:val="none"/>
          <w:lang w:eastAsia="zh-CN" w:bidi="ar"/>
        </w:rPr>
        <w:t>投标单位</w:t>
      </w:r>
      <w:r>
        <w:rPr>
          <w:rFonts w:ascii="宋体" w:hAnsi="宋体" w:cs="宋体"/>
          <w:color w:val="auto"/>
          <w:szCs w:val="21"/>
          <w:highlight w:val="none"/>
          <w:lang w:bidi="ar"/>
        </w:rPr>
        <w:t>在</w:t>
      </w:r>
      <w:r>
        <w:rPr>
          <w:rFonts w:hint="eastAsia" w:ascii="宋体" w:hAnsi="宋体" w:cs="宋体"/>
          <w:color w:val="auto"/>
          <w:szCs w:val="21"/>
          <w:highlight w:val="none"/>
          <w:lang w:eastAsia="zh-CN" w:bidi="ar"/>
        </w:rPr>
        <w:t>招标截止</w:t>
      </w:r>
      <w:r>
        <w:rPr>
          <w:rFonts w:ascii="宋体" w:hAnsi="宋体" w:cs="宋体"/>
          <w:color w:val="auto"/>
          <w:szCs w:val="21"/>
          <w:highlight w:val="none"/>
          <w:lang w:bidi="ar"/>
        </w:rPr>
        <w:t>时间前修改</w:t>
      </w:r>
      <w:r>
        <w:rPr>
          <w:rFonts w:hint="eastAsia" w:ascii="宋体" w:hAnsi="宋体" w:cs="宋体"/>
          <w:color w:val="auto"/>
          <w:szCs w:val="21"/>
          <w:highlight w:val="none"/>
          <w:lang w:eastAsia="zh-CN" w:bidi="ar"/>
        </w:rPr>
        <w:t>投标总报价</w:t>
      </w:r>
      <w:r>
        <w:rPr>
          <w:rFonts w:ascii="宋体" w:hAnsi="宋体" w:cs="宋体"/>
          <w:color w:val="auto"/>
          <w:szCs w:val="21"/>
          <w:highlight w:val="none"/>
          <w:lang w:bidi="ar"/>
        </w:rPr>
        <w:t>，应同时修改“工程量清单”中的相应报价</w:t>
      </w:r>
      <w:r>
        <w:rPr>
          <w:rFonts w:hint="eastAsia" w:ascii="宋体" w:hAnsi="宋体" w:cs="宋体"/>
          <w:color w:val="auto"/>
          <w:szCs w:val="21"/>
          <w:highlight w:val="none"/>
          <w:lang w:bidi="ar"/>
        </w:rPr>
        <w:t>。</w:t>
      </w:r>
    </w:p>
    <w:p w14:paraId="54186345">
      <w:pPr>
        <w:spacing w:line="380" w:lineRule="exact"/>
        <w:ind w:firstLine="420"/>
        <w:rPr>
          <w:rFonts w:hint="eastAsia" w:ascii="宋体" w:hAnsi="宋体" w:cs="宋体"/>
          <w:color w:val="auto"/>
          <w:szCs w:val="21"/>
          <w:highlight w:val="none"/>
          <w:lang w:bidi="ar"/>
        </w:rPr>
      </w:pPr>
      <w:r>
        <w:rPr>
          <w:rFonts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ascii="宋体" w:hAnsi="宋体" w:cs="宋体"/>
          <w:color w:val="auto"/>
          <w:szCs w:val="21"/>
          <w:highlight w:val="none"/>
          <w:lang w:bidi="ar"/>
        </w:rPr>
        <w:t>.</w:t>
      </w:r>
      <w:r>
        <w:rPr>
          <w:rFonts w:hint="eastAsia" w:ascii="宋体" w:hAnsi="宋体" w:cs="宋体"/>
          <w:color w:val="auto"/>
          <w:szCs w:val="21"/>
          <w:highlight w:val="none"/>
          <w:lang w:bidi="ar"/>
        </w:rPr>
        <w:t>5</w:t>
      </w:r>
      <w:r>
        <w:rPr>
          <w:rFonts w:ascii="宋体" w:hAnsi="宋体" w:cs="宋体"/>
          <w:color w:val="auto"/>
          <w:szCs w:val="21"/>
          <w:highlight w:val="none"/>
          <w:lang w:bidi="ar"/>
        </w:rPr>
        <w:t>除</w:t>
      </w:r>
      <w:r>
        <w:rPr>
          <w:rFonts w:hint="eastAsia" w:ascii="宋体" w:hAnsi="宋体" w:cs="宋体"/>
          <w:color w:val="auto"/>
          <w:szCs w:val="21"/>
          <w:highlight w:val="none"/>
          <w:lang w:eastAsia="zh-CN" w:bidi="ar"/>
        </w:rPr>
        <w:t>招标文件</w:t>
      </w:r>
      <w:r>
        <w:rPr>
          <w:rFonts w:ascii="宋体" w:hAnsi="宋体" w:cs="宋体"/>
          <w:color w:val="auto"/>
          <w:szCs w:val="21"/>
          <w:highlight w:val="none"/>
          <w:lang w:bidi="ar"/>
        </w:rPr>
        <w:t>有强制性规定以及不可竞争部分以外，</w:t>
      </w:r>
      <w:r>
        <w:rPr>
          <w:rFonts w:hint="eastAsia" w:ascii="宋体" w:hAnsi="宋体" w:cs="宋体"/>
          <w:color w:val="auto"/>
          <w:szCs w:val="21"/>
          <w:highlight w:val="none"/>
          <w:lang w:eastAsia="zh-CN" w:bidi="ar"/>
        </w:rPr>
        <w:t>投标报价</w:t>
      </w:r>
      <w:r>
        <w:rPr>
          <w:rFonts w:ascii="宋体" w:hAnsi="宋体" w:cs="宋体"/>
          <w:color w:val="auto"/>
          <w:szCs w:val="21"/>
          <w:highlight w:val="none"/>
          <w:lang w:bidi="ar"/>
        </w:rPr>
        <w:t>应根据</w:t>
      </w:r>
      <w:r>
        <w:rPr>
          <w:rFonts w:hint="eastAsia" w:ascii="宋体" w:hAnsi="宋体" w:cs="宋体"/>
          <w:color w:val="auto"/>
          <w:szCs w:val="21"/>
          <w:highlight w:val="none"/>
          <w:lang w:eastAsia="zh-CN" w:bidi="ar"/>
        </w:rPr>
        <w:t>招标文件</w:t>
      </w:r>
      <w:r>
        <w:rPr>
          <w:rFonts w:ascii="宋体" w:hAnsi="宋体" w:cs="宋体"/>
          <w:color w:val="auto"/>
          <w:szCs w:val="21"/>
          <w:highlight w:val="none"/>
          <w:lang w:bidi="ar"/>
        </w:rPr>
        <w:t>中的有关计价要求，并按照下列依据</w:t>
      </w:r>
      <w:r>
        <w:rPr>
          <w:rFonts w:hint="eastAsia" w:ascii="宋体" w:hAnsi="宋体" w:cs="宋体"/>
          <w:color w:val="auto"/>
          <w:szCs w:val="21"/>
          <w:highlight w:val="none"/>
          <w:lang w:eastAsia="zh-CN" w:bidi="ar"/>
        </w:rPr>
        <w:t>投标单位</w:t>
      </w:r>
      <w:r>
        <w:rPr>
          <w:rFonts w:ascii="宋体" w:hAnsi="宋体" w:cs="宋体"/>
          <w:color w:val="auto"/>
          <w:szCs w:val="21"/>
          <w:highlight w:val="none"/>
          <w:lang w:bidi="ar"/>
        </w:rPr>
        <w:t>根据工程实际情况和本企业经营管理水平自主合理报价，但不得低于企业成本价。</w:t>
      </w:r>
    </w:p>
    <w:p w14:paraId="46A52B0D">
      <w:pPr>
        <w:spacing w:line="380" w:lineRule="exact"/>
        <w:ind w:firstLine="420"/>
        <w:rPr>
          <w:rFonts w:hint="eastAsia" w:ascii="宋体" w:hAnsi="宋体" w:cs="宋体"/>
          <w:color w:val="auto"/>
          <w:szCs w:val="21"/>
          <w:highlight w:val="none"/>
          <w:lang w:bidi="ar"/>
        </w:rPr>
      </w:pPr>
      <w:r>
        <w:rPr>
          <w:rFonts w:ascii="宋体" w:hAnsi="宋体" w:cs="宋体"/>
          <w:color w:val="auto"/>
          <w:szCs w:val="21"/>
          <w:highlight w:val="none"/>
          <w:lang w:bidi="ar"/>
        </w:rPr>
        <w:t>(1)本工程</w:t>
      </w:r>
      <w:r>
        <w:rPr>
          <w:rFonts w:hint="eastAsia" w:ascii="宋体" w:hAnsi="宋体" w:cs="宋体"/>
          <w:color w:val="auto"/>
          <w:szCs w:val="21"/>
          <w:highlight w:val="none"/>
          <w:lang w:eastAsia="zh-CN" w:bidi="ar"/>
        </w:rPr>
        <w:t>招标文件</w:t>
      </w:r>
      <w:r>
        <w:rPr>
          <w:rFonts w:ascii="宋体" w:hAnsi="宋体" w:cs="宋体"/>
          <w:color w:val="auto"/>
          <w:szCs w:val="21"/>
          <w:highlight w:val="none"/>
          <w:lang w:bidi="ar"/>
        </w:rPr>
        <w:t>、</w:t>
      </w:r>
      <w:r>
        <w:rPr>
          <w:rFonts w:hint="eastAsia" w:ascii="宋体" w:hAnsi="宋体" w:cs="宋体"/>
          <w:color w:val="auto"/>
          <w:szCs w:val="21"/>
          <w:highlight w:val="none"/>
          <w:lang w:eastAsia="zh-CN" w:bidi="ar"/>
        </w:rPr>
        <w:t>招标文件</w:t>
      </w:r>
      <w:r>
        <w:rPr>
          <w:rFonts w:ascii="宋体" w:hAnsi="宋体" w:cs="宋体"/>
          <w:color w:val="auto"/>
          <w:szCs w:val="21"/>
          <w:highlight w:val="none"/>
          <w:lang w:bidi="ar"/>
        </w:rPr>
        <w:t>(包括工程量清单)的澄清、补充和修改文件；</w:t>
      </w:r>
    </w:p>
    <w:p w14:paraId="49717B85">
      <w:pPr>
        <w:spacing w:line="380" w:lineRule="exact"/>
        <w:ind w:firstLine="420"/>
        <w:rPr>
          <w:rFonts w:hint="eastAsia" w:ascii="宋体" w:hAnsi="宋体" w:cs="宋体"/>
          <w:color w:val="auto"/>
          <w:szCs w:val="21"/>
          <w:highlight w:val="none"/>
          <w:lang w:bidi="ar"/>
        </w:rPr>
      </w:pPr>
      <w:r>
        <w:rPr>
          <w:rFonts w:ascii="宋体" w:hAnsi="宋体" w:cs="宋体"/>
          <w:color w:val="auto"/>
          <w:szCs w:val="21"/>
          <w:highlight w:val="none"/>
          <w:lang w:bidi="ar"/>
        </w:rPr>
        <w:t>(2)国家或省级、行业建设主管部门颁发的计价办法；投标截止时间前</w:t>
      </w:r>
      <w:r>
        <w:rPr>
          <w:rFonts w:hint="eastAsia" w:ascii="宋体" w:hAnsi="宋体" w:cs="宋体"/>
          <w:color w:val="auto"/>
          <w:szCs w:val="21"/>
          <w:highlight w:val="none"/>
          <w:lang w:eastAsia="zh-CN" w:bidi="ar"/>
        </w:rPr>
        <w:t>镇江</w:t>
      </w:r>
      <w:r>
        <w:rPr>
          <w:rFonts w:ascii="宋体" w:hAnsi="宋体" w:cs="宋体"/>
          <w:color w:val="auto"/>
          <w:szCs w:val="21"/>
          <w:highlight w:val="none"/>
          <w:lang w:bidi="ar"/>
        </w:rPr>
        <w:t>工程造价管理最新发布信息价格作为报价的上限，缺项部分参照市场价格；</w:t>
      </w:r>
      <w:r>
        <w:rPr>
          <w:rFonts w:hint="eastAsia" w:ascii="宋体" w:hAnsi="宋体" w:cs="宋体"/>
          <w:color w:val="auto"/>
          <w:szCs w:val="21"/>
          <w:highlight w:val="none"/>
          <w:lang w:eastAsia="zh-CN" w:bidi="ar"/>
        </w:rPr>
        <w:t>镇江市</w:t>
      </w:r>
      <w:r>
        <w:rPr>
          <w:rFonts w:ascii="宋体" w:hAnsi="宋体" w:cs="宋体"/>
          <w:color w:val="auto"/>
          <w:szCs w:val="21"/>
          <w:highlight w:val="none"/>
          <w:lang w:bidi="ar"/>
        </w:rPr>
        <w:t>现行的不可竞争费用内容及标准；现行的施工规范和标准；</w:t>
      </w:r>
      <w:r>
        <w:rPr>
          <w:rFonts w:hint="eastAsia" w:ascii="宋体" w:hAnsi="宋体" w:cs="宋体"/>
          <w:color w:val="auto"/>
          <w:szCs w:val="21"/>
          <w:highlight w:val="none"/>
          <w:lang w:eastAsia="zh-CN" w:bidi="ar"/>
        </w:rPr>
        <w:t>镇江市</w:t>
      </w:r>
      <w:r>
        <w:rPr>
          <w:rFonts w:ascii="宋体" w:hAnsi="宋体" w:cs="宋体"/>
          <w:color w:val="auto"/>
          <w:szCs w:val="21"/>
          <w:highlight w:val="none"/>
          <w:lang w:bidi="ar"/>
        </w:rPr>
        <w:t>安全生产、文明施工的相关规定；</w:t>
      </w:r>
    </w:p>
    <w:p w14:paraId="219C8971">
      <w:pPr>
        <w:spacing w:line="380" w:lineRule="exact"/>
        <w:ind w:firstLine="420"/>
        <w:rPr>
          <w:rFonts w:hint="eastAsia" w:ascii="宋体" w:hAnsi="宋体" w:cs="宋体"/>
          <w:color w:val="auto"/>
          <w:szCs w:val="21"/>
          <w:highlight w:val="none"/>
          <w:lang w:bidi="ar"/>
        </w:rPr>
      </w:pPr>
      <w:r>
        <w:rPr>
          <w:rFonts w:ascii="宋体" w:hAnsi="宋体" w:cs="宋体"/>
          <w:color w:val="auto"/>
          <w:szCs w:val="21"/>
          <w:highlight w:val="none"/>
          <w:lang w:bidi="ar"/>
        </w:rPr>
        <w:t>(3)建设工程设计文件及相关资料；与建设项目相关的标准、规定等技术资料；</w:t>
      </w:r>
    </w:p>
    <w:p w14:paraId="0D516BA7">
      <w:pPr>
        <w:spacing w:line="380" w:lineRule="exact"/>
        <w:ind w:firstLine="420"/>
        <w:rPr>
          <w:rFonts w:hint="eastAsia" w:ascii="宋体" w:hAnsi="宋体" w:cs="宋体"/>
          <w:color w:val="auto"/>
          <w:szCs w:val="21"/>
          <w:highlight w:val="none"/>
          <w:lang w:bidi="ar"/>
        </w:rPr>
      </w:pPr>
      <w:r>
        <w:rPr>
          <w:rFonts w:ascii="宋体" w:hAnsi="宋体" w:cs="宋体"/>
          <w:color w:val="auto"/>
          <w:szCs w:val="21"/>
          <w:highlight w:val="none"/>
          <w:lang w:bidi="ar"/>
        </w:rPr>
        <w:t>(4)其他的相关资料。包括不限于：工程量清单报价中的项目单价与其数量相乘的总和，应与投标报价汇总表总价相符，不符时以单价数量的总和为准。</w:t>
      </w:r>
    </w:p>
    <w:p w14:paraId="079B909B">
      <w:pPr>
        <w:spacing w:line="380" w:lineRule="exact"/>
        <w:ind w:firstLine="420"/>
        <w:rPr>
          <w:rFonts w:hint="eastAsia" w:ascii="宋体" w:hAnsi="宋体" w:cs="宋体"/>
          <w:color w:val="auto"/>
          <w:szCs w:val="21"/>
          <w:highlight w:val="none"/>
          <w:lang w:bidi="ar"/>
        </w:rPr>
      </w:pPr>
      <w:r>
        <w:rPr>
          <w:rFonts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ascii="宋体" w:hAnsi="宋体" w:cs="宋体"/>
          <w:color w:val="auto"/>
          <w:szCs w:val="21"/>
          <w:highlight w:val="none"/>
          <w:lang w:bidi="ar"/>
        </w:rPr>
        <w:t>.</w:t>
      </w:r>
      <w:r>
        <w:rPr>
          <w:rFonts w:hint="eastAsia" w:ascii="宋体" w:hAnsi="宋体" w:cs="宋体"/>
          <w:color w:val="auto"/>
          <w:szCs w:val="21"/>
          <w:highlight w:val="none"/>
          <w:lang w:bidi="ar"/>
        </w:rPr>
        <w:t>6</w:t>
      </w:r>
      <w:r>
        <w:rPr>
          <w:rFonts w:ascii="宋体" w:hAnsi="宋体" w:cs="宋体"/>
          <w:color w:val="auto"/>
          <w:szCs w:val="21"/>
          <w:highlight w:val="none"/>
          <w:lang w:bidi="ar"/>
        </w:rPr>
        <w:t>报价中单价、合价均采用人民币表示。已标价的工程量清单必须按照</w:t>
      </w:r>
      <w:r>
        <w:rPr>
          <w:rFonts w:hint="eastAsia" w:ascii="宋体" w:hAnsi="宋体" w:cs="宋体"/>
          <w:color w:val="auto"/>
          <w:szCs w:val="21"/>
          <w:highlight w:val="none"/>
          <w:lang w:eastAsia="zh-CN" w:bidi="ar"/>
        </w:rPr>
        <w:t>招标文件</w:t>
      </w:r>
      <w:r>
        <w:rPr>
          <w:rFonts w:ascii="宋体" w:hAnsi="宋体" w:cs="宋体"/>
          <w:color w:val="auto"/>
          <w:szCs w:val="21"/>
          <w:highlight w:val="none"/>
          <w:lang w:bidi="ar"/>
        </w:rPr>
        <w:t>所提供的格式填入，工程量清单中的每一子目须填入单价或价格，且只允许有一个报价。</w:t>
      </w:r>
      <w:r>
        <w:rPr>
          <w:rFonts w:hint="eastAsia" w:ascii="宋体" w:hAnsi="宋体" w:cs="宋体"/>
          <w:color w:val="auto"/>
          <w:szCs w:val="21"/>
          <w:highlight w:val="none"/>
          <w:lang w:eastAsia="zh-CN" w:bidi="ar"/>
        </w:rPr>
        <w:t>投标单位</w:t>
      </w:r>
      <w:r>
        <w:rPr>
          <w:rFonts w:ascii="宋体" w:hAnsi="宋体" w:cs="宋体"/>
          <w:color w:val="auto"/>
          <w:szCs w:val="21"/>
          <w:highlight w:val="none"/>
          <w:lang w:bidi="ar"/>
        </w:rPr>
        <w:t>在按照工程量清单进行报价时，除</w:t>
      </w:r>
      <w:r>
        <w:rPr>
          <w:rFonts w:hint="eastAsia" w:ascii="宋体" w:hAnsi="宋体" w:cs="宋体"/>
          <w:color w:val="auto"/>
          <w:szCs w:val="21"/>
          <w:highlight w:val="none"/>
          <w:lang w:eastAsia="zh-CN" w:bidi="ar"/>
        </w:rPr>
        <w:t>投标单位</w:t>
      </w:r>
      <w:r>
        <w:rPr>
          <w:rFonts w:ascii="宋体" w:hAnsi="宋体" w:cs="宋体"/>
          <w:color w:val="auto"/>
          <w:szCs w:val="21"/>
          <w:highlight w:val="none"/>
          <w:lang w:bidi="ar"/>
        </w:rPr>
        <w:t>根据工程实际情况结合施工组织设计要求对</w:t>
      </w:r>
      <w:r>
        <w:rPr>
          <w:rFonts w:hint="eastAsia" w:ascii="宋体" w:hAnsi="宋体" w:cs="宋体"/>
          <w:color w:val="auto"/>
          <w:szCs w:val="21"/>
          <w:highlight w:val="none"/>
          <w:lang w:eastAsia="zh-CN" w:bidi="ar"/>
        </w:rPr>
        <w:t>招标人</w:t>
      </w:r>
      <w:r>
        <w:rPr>
          <w:rFonts w:ascii="宋体" w:hAnsi="宋体" w:cs="宋体"/>
          <w:color w:val="auto"/>
          <w:szCs w:val="21"/>
          <w:highlight w:val="none"/>
          <w:lang w:bidi="ar"/>
        </w:rPr>
        <w:t>提供的措施项目清单的内容进行细化或增减外，不得改变(包括对工程量清单子目的子目名称、子目特征描述、计量单位以及工程量的任何修改、增加或减少)</w:t>
      </w:r>
      <w:r>
        <w:rPr>
          <w:rFonts w:hint="eastAsia" w:ascii="宋体" w:hAnsi="宋体" w:cs="宋体"/>
          <w:color w:val="auto"/>
          <w:szCs w:val="21"/>
          <w:highlight w:val="none"/>
          <w:lang w:eastAsia="zh-CN" w:bidi="ar"/>
        </w:rPr>
        <w:t>招标人</w:t>
      </w:r>
      <w:r>
        <w:rPr>
          <w:rFonts w:ascii="宋体" w:hAnsi="宋体" w:cs="宋体"/>
          <w:color w:val="auto"/>
          <w:szCs w:val="21"/>
          <w:highlight w:val="none"/>
          <w:lang w:bidi="ar"/>
        </w:rPr>
        <w:t>提供的工程量清单和其他项目清单。即使按照图纸和采购范围的约定并不存在的子目，只要在</w:t>
      </w:r>
      <w:r>
        <w:rPr>
          <w:rFonts w:hint="eastAsia" w:ascii="宋体" w:hAnsi="宋体" w:cs="宋体"/>
          <w:color w:val="auto"/>
          <w:szCs w:val="21"/>
          <w:highlight w:val="none"/>
          <w:lang w:eastAsia="zh-CN" w:bidi="ar"/>
        </w:rPr>
        <w:t>招标人</w:t>
      </w:r>
      <w:r>
        <w:rPr>
          <w:rFonts w:ascii="宋体" w:hAnsi="宋体" w:cs="宋体"/>
          <w:color w:val="auto"/>
          <w:szCs w:val="21"/>
          <w:highlight w:val="none"/>
          <w:lang w:bidi="ar"/>
        </w:rPr>
        <w:t>提供的工程量清单中已经列明，</w:t>
      </w:r>
      <w:r>
        <w:rPr>
          <w:rFonts w:hint="eastAsia" w:ascii="宋体" w:hAnsi="宋体" w:cs="宋体"/>
          <w:color w:val="auto"/>
          <w:szCs w:val="21"/>
          <w:highlight w:val="none"/>
          <w:lang w:eastAsia="zh-CN" w:bidi="ar"/>
        </w:rPr>
        <w:t>投标单位</w:t>
      </w:r>
      <w:r>
        <w:rPr>
          <w:rFonts w:ascii="宋体" w:hAnsi="宋体" w:cs="宋体"/>
          <w:color w:val="auto"/>
          <w:szCs w:val="21"/>
          <w:highlight w:val="none"/>
          <w:lang w:bidi="ar"/>
        </w:rPr>
        <w:t>都需要对其报价，并纳入</w:t>
      </w:r>
      <w:r>
        <w:rPr>
          <w:rFonts w:hint="eastAsia" w:ascii="宋体" w:hAnsi="宋体" w:cs="宋体"/>
          <w:color w:val="auto"/>
          <w:szCs w:val="21"/>
          <w:highlight w:val="none"/>
          <w:lang w:eastAsia="zh-CN" w:bidi="ar"/>
        </w:rPr>
        <w:t>投标总价</w:t>
      </w:r>
      <w:r>
        <w:rPr>
          <w:rFonts w:ascii="宋体" w:hAnsi="宋体" w:cs="宋体"/>
          <w:color w:val="auto"/>
          <w:szCs w:val="21"/>
          <w:highlight w:val="none"/>
          <w:lang w:bidi="ar"/>
        </w:rPr>
        <w:t>的计算。</w:t>
      </w:r>
    </w:p>
    <w:p w14:paraId="760740DA">
      <w:pPr>
        <w:widowControl/>
        <w:spacing w:line="380" w:lineRule="exact"/>
        <w:ind w:firstLine="420"/>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.7工程量清单成交价的单价或金额，应包括所需人工费、材料费、施工机械使用费和管理费及利润，以及一定范围内的风险费用。所谓“一定范围内的风险”是指合同约定的风险。</w:t>
      </w:r>
    </w:p>
    <w:p w14:paraId="0F4FF464">
      <w:pPr>
        <w:widowControl/>
        <w:spacing w:line="380" w:lineRule="exact"/>
        <w:ind w:firstLine="420"/>
        <w:jc w:val="left"/>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.8</w:t>
      </w:r>
      <w:r>
        <w:rPr>
          <w:rFonts w:hint="eastAsia" w:ascii="宋体" w:hAnsi="宋体" w:cs="宋体"/>
          <w:i/>
          <w:color w:val="auto"/>
          <w:szCs w:val="21"/>
          <w:highlight w:val="none"/>
          <w:u w:val="single"/>
          <w:lang w:eastAsia="zh-CN" w:bidi="ar"/>
        </w:rPr>
        <w:t>投标单位</w:t>
      </w:r>
      <w:r>
        <w:rPr>
          <w:rFonts w:hint="eastAsia" w:ascii="宋体" w:hAnsi="宋体" w:cs="宋体"/>
          <w:i/>
          <w:color w:val="auto"/>
          <w:szCs w:val="21"/>
          <w:highlight w:val="none"/>
          <w:u w:val="single"/>
          <w:lang w:bidi="ar"/>
        </w:rPr>
        <w:t>的</w:t>
      </w:r>
      <w:r>
        <w:rPr>
          <w:rFonts w:hint="eastAsia" w:ascii="宋体" w:hAnsi="宋体" w:cs="宋体"/>
          <w:i/>
          <w:color w:val="auto"/>
          <w:szCs w:val="21"/>
          <w:highlight w:val="none"/>
          <w:u w:val="single"/>
          <w:lang w:eastAsia="zh-CN" w:bidi="ar"/>
        </w:rPr>
        <w:t>投标报价</w:t>
      </w:r>
      <w:r>
        <w:rPr>
          <w:rFonts w:hint="eastAsia" w:ascii="宋体" w:hAnsi="宋体" w:cs="宋体"/>
          <w:i/>
          <w:color w:val="auto"/>
          <w:szCs w:val="21"/>
          <w:highlight w:val="none"/>
          <w:u w:val="single"/>
          <w:lang w:bidi="ar"/>
        </w:rPr>
        <w:t>，应当包括完成提供的图纸及工程量清单范围内的所有项目以及与本项目相关的所需的全部费用，</w:t>
      </w:r>
      <w:r>
        <w:rPr>
          <w:rFonts w:hint="eastAsia" w:ascii="宋体" w:hAnsi="宋体" w:cs="宋体"/>
          <w:i/>
          <w:color w:val="auto"/>
          <w:szCs w:val="21"/>
          <w:highlight w:val="none"/>
          <w:u w:val="single"/>
          <w:lang w:eastAsia="zh-CN" w:bidi="ar"/>
        </w:rPr>
        <w:t>投标单位</w:t>
      </w:r>
      <w:r>
        <w:rPr>
          <w:rFonts w:hint="eastAsia" w:ascii="宋体" w:hAnsi="宋体" w:cs="宋体"/>
          <w:i/>
          <w:color w:val="auto"/>
          <w:szCs w:val="21"/>
          <w:highlight w:val="none"/>
          <w:u w:val="single"/>
          <w:lang w:bidi="ar"/>
        </w:rPr>
        <w:t>已标价工程量清单中如果出现少算、漏算费用或未填单价和合价的工程项目，其费用视为已分摊在工程量清单中其他已标价的相关子目的单价或价格之中。除本采购文件或合同另有约定外，结算时不得调整。</w:t>
      </w:r>
    </w:p>
    <w:p w14:paraId="095F6A49">
      <w:pPr>
        <w:widowControl/>
        <w:spacing w:line="380" w:lineRule="exact"/>
        <w:ind w:firstLine="420"/>
        <w:jc w:val="left"/>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.9</w:t>
      </w:r>
      <w:r>
        <w:rPr>
          <w:rFonts w:hint="eastAsia" w:ascii="宋体" w:hAnsi="宋体" w:cs="宋体"/>
          <w:i/>
          <w:color w:val="auto"/>
          <w:szCs w:val="21"/>
          <w:highlight w:val="none"/>
          <w:u w:val="single"/>
          <w:lang w:eastAsia="zh-CN" w:bidi="ar"/>
        </w:rPr>
        <w:t>投标报价</w:t>
      </w:r>
      <w:r>
        <w:rPr>
          <w:rFonts w:hint="eastAsia" w:ascii="宋体" w:hAnsi="宋体" w:cs="宋体"/>
          <w:i/>
          <w:color w:val="auto"/>
          <w:szCs w:val="21"/>
          <w:highlight w:val="none"/>
          <w:u w:val="single"/>
          <w:lang w:bidi="ar"/>
        </w:rPr>
        <w:t>汇总表”中的</w:t>
      </w:r>
      <w:r>
        <w:rPr>
          <w:rFonts w:hint="eastAsia" w:ascii="宋体" w:hAnsi="宋体" w:cs="宋体"/>
          <w:i/>
          <w:color w:val="auto"/>
          <w:szCs w:val="21"/>
          <w:highlight w:val="none"/>
          <w:u w:val="single"/>
          <w:lang w:eastAsia="zh-CN" w:bidi="ar"/>
        </w:rPr>
        <w:t>投标总价</w:t>
      </w:r>
      <w:r>
        <w:rPr>
          <w:rFonts w:hint="eastAsia" w:ascii="宋体" w:hAnsi="宋体" w:cs="宋体"/>
          <w:i/>
          <w:color w:val="auto"/>
          <w:szCs w:val="21"/>
          <w:highlight w:val="none"/>
          <w:u w:val="single"/>
          <w:lang w:bidi="ar"/>
        </w:rPr>
        <w:t>由分部分项工程费、措施项目费、其他项目费和税金组成，并且“</w:t>
      </w:r>
      <w:r>
        <w:rPr>
          <w:rFonts w:hint="eastAsia" w:ascii="宋体" w:hAnsi="宋体" w:cs="宋体"/>
          <w:i/>
          <w:color w:val="auto"/>
          <w:szCs w:val="21"/>
          <w:highlight w:val="none"/>
          <w:u w:val="single"/>
          <w:lang w:eastAsia="zh-CN" w:bidi="ar"/>
        </w:rPr>
        <w:t>投标报价</w:t>
      </w:r>
      <w:r>
        <w:rPr>
          <w:rFonts w:hint="eastAsia" w:ascii="宋体" w:hAnsi="宋体" w:cs="宋体"/>
          <w:i/>
          <w:color w:val="auto"/>
          <w:szCs w:val="21"/>
          <w:highlight w:val="none"/>
          <w:u w:val="single"/>
          <w:lang w:bidi="ar"/>
        </w:rPr>
        <w:t>汇总表”中的</w:t>
      </w:r>
      <w:r>
        <w:rPr>
          <w:rFonts w:hint="eastAsia" w:ascii="宋体" w:hAnsi="宋体" w:cs="宋体"/>
          <w:i/>
          <w:color w:val="auto"/>
          <w:szCs w:val="21"/>
          <w:highlight w:val="none"/>
          <w:u w:val="single"/>
          <w:lang w:eastAsia="zh-CN" w:bidi="ar"/>
        </w:rPr>
        <w:t>投标总价</w:t>
      </w:r>
      <w:r>
        <w:rPr>
          <w:rFonts w:hint="eastAsia" w:ascii="宋体" w:hAnsi="宋体" w:cs="宋体"/>
          <w:i/>
          <w:color w:val="auto"/>
          <w:szCs w:val="21"/>
          <w:highlight w:val="none"/>
          <w:u w:val="single"/>
          <w:lang w:bidi="ar"/>
        </w:rPr>
        <w:t>应当与构成已标价工程量清单的分部分项工程费、措施项目费、其他项目费、税金的合计金额一致。</w:t>
      </w:r>
    </w:p>
    <w:p w14:paraId="2C7D30B6">
      <w:pPr>
        <w:widowControl/>
        <w:spacing w:line="380" w:lineRule="exact"/>
        <w:ind w:firstLine="420"/>
        <w:jc w:val="left"/>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w:t>
      </w:r>
      <w:r>
        <w:rPr>
          <w:rFonts w:ascii="宋体" w:hAnsi="宋体" w:cs="宋体"/>
          <w:color w:val="auto"/>
          <w:szCs w:val="21"/>
          <w:highlight w:val="none"/>
          <w:lang w:bidi="ar"/>
        </w:rPr>
        <w:t>1</w:t>
      </w:r>
      <w:r>
        <w:rPr>
          <w:rFonts w:hint="eastAsia" w:ascii="宋体" w:hAnsi="宋体" w:cs="宋体"/>
          <w:color w:val="auto"/>
          <w:szCs w:val="21"/>
          <w:highlight w:val="none"/>
          <w:lang w:bidi="ar"/>
        </w:rPr>
        <w:t>0</w:t>
      </w:r>
      <w:r>
        <w:rPr>
          <w:rFonts w:hint="eastAsia" w:ascii="宋体" w:hAnsi="宋体" w:cs="宋体"/>
          <w:i/>
          <w:color w:val="auto"/>
          <w:szCs w:val="21"/>
          <w:highlight w:val="none"/>
          <w:u w:val="single"/>
          <w:lang w:eastAsia="zh-CN" w:bidi="ar"/>
        </w:rPr>
        <w:t>投标单位</w:t>
      </w:r>
      <w:r>
        <w:rPr>
          <w:rFonts w:hint="eastAsia" w:ascii="宋体" w:hAnsi="宋体" w:cs="宋体"/>
          <w:i/>
          <w:color w:val="auto"/>
          <w:szCs w:val="21"/>
          <w:highlight w:val="none"/>
          <w:u w:val="single"/>
          <w:lang w:bidi="ar"/>
        </w:rPr>
        <w:t>应将下列不可竞争费用按照规定的标准计取，不得让利或降低标准计取：（1）现场安全、文明施工措施费；（2）省级以上财政、税收、物价等部门批准的税金；（</w:t>
      </w:r>
      <w:r>
        <w:rPr>
          <w:rFonts w:hint="eastAsia" w:ascii="宋体" w:hAnsi="宋体" w:cs="宋体"/>
          <w:i/>
          <w:color w:val="auto"/>
          <w:szCs w:val="21"/>
          <w:highlight w:val="none"/>
          <w:u w:val="single"/>
          <w:lang w:val="en-US" w:eastAsia="zh-CN" w:bidi="ar"/>
        </w:rPr>
        <w:t>3</w:t>
      </w:r>
      <w:r>
        <w:rPr>
          <w:rFonts w:hint="eastAsia" w:ascii="宋体" w:hAnsi="宋体" w:cs="宋体"/>
          <w:i/>
          <w:color w:val="auto"/>
          <w:szCs w:val="21"/>
          <w:highlight w:val="none"/>
          <w:u w:val="single"/>
          <w:lang w:bidi="ar"/>
        </w:rPr>
        <w:t>）其他按照法律、法规规定的不可竞争费用；（</w:t>
      </w:r>
      <w:r>
        <w:rPr>
          <w:rFonts w:hint="eastAsia" w:ascii="宋体" w:hAnsi="宋体" w:cs="宋体"/>
          <w:i/>
          <w:color w:val="auto"/>
          <w:szCs w:val="21"/>
          <w:highlight w:val="none"/>
          <w:u w:val="single"/>
          <w:lang w:val="en-US" w:eastAsia="zh-CN" w:bidi="ar"/>
        </w:rPr>
        <w:t>4</w:t>
      </w:r>
      <w:r>
        <w:rPr>
          <w:rFonts w:hint="eastAsia" w:ascii="宋体" w:hAnsi="宋体" w:cs="宋体"/>
          <w:i/>
          <w:color w:val="auto"/>
          <w:szCs w:val="21"/>
          <w:highlight w:val="none"/>
          <w:u w:val="single"/>
          <w:lang w:bidi="ar"/>
        </w:rPr>
        <w:t>）材料暂估价格（详见附件）（</w:t>
      </w:r>
      <w:r>
        <w:rPr>
          <w:rFonts w:hint="eastAsia" w:ascii="宋体" w:hAnsi="宋体" w:cs="宋体"/>
          <w:i/>
          <w:color w:val="auto"/>
          <w:szCs w:val="21"/>
          <w:highlight w:val="none"/>
          <w:u w:val="single"/>
          <w:lang w:val="en-US" w:eastAsia="zh-CN" w:bidi="ar"/>
        </w:rPr>
        <w:t>5</w:t>
      </w:r>
      <w:r>
        <w:rPr>
          <w:rFonts w:hint="eastAsia" w:ascii="宋体" w:hAnsi="宋体" w:cs="宋体"/>
          <w:i/>
          <w:color w:val="auto"/>
          <w:szCs w:val="21"/>
          <w:highlight w:val="none"/>
          <w:u w:val="single"/>
          <w:lang w:bidi="ar"/>
        </w:rPr>
        <w:t>）专业工程暂估价（详见附件）；（</w:t>
      </w:r>
      <w:r>
        <w:rPr>
          <w:rFonts w:hint="eastAsia" w:ascii="宋体" w:hAnsi="宋体" w:cs="宋体"/>
          <w:i/>
          <w:color w:val="auto"/>
          <w:szCs w:val="21"/>
          <w:highlight w:val="none"/>
          <w:u w:val="single"/>
          <w:lang w:val="en-US" w:eastAsia="zh-CN" w:bidi="ar"/>
        </w:rPr>
        <w:t>6</w:t>
      </w:r>
      <w:r>
        <w:rPr>
          <w:rFonts w:hint="eastAsia" w:ascii="宋体" w:hAnsi="宋体" w:cs="宋体"/>
          <w:i/>
          <w:color w:val="auto"/>
          <w:szCs w:val="21"/>
          <w:highlight w:val="none"/>
          <w:u w:val="single"/>
          <w:lang w:bidi="ar"/>
        </w:rPr>
        <w:t>）暂列金额（详见附件）。</w:t>
      </w:r>
    </w:p>
    <w:p w14:paraId="59C286D0">
      <w:pPr>
        <w:widowControl/>
        <w:spacing w:line="380" w:lineRule="exact"/>
        <w:ind w:firstLine="420"/>
        <w:jc w:val="left"/>
        <w:rPr>
          <w:rFonts w:hint="eastAsia" w:ascii="宋体" w:hAnsi="宋体" w:cs="宋体"/>
          <w:i/>
          <w:color w:val="auto"/>
          <w:szCs w:val="21"/>
          <w:highlight w:val="none"/>
          <w:u w:val="singl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w:t>
      </w:r>
      <w:r>
        <w:rPr>
          <w:rFonts w:ascii="宋体" w:hAnsi="宋体" w:cs="宋体"/>
          <w:color w:val="auto"/>
          <w:szCs w:val="21"/>
          <w:highlight w:val="none"/>
          <w:lang w:bidi="ar"/>
        </w:rPr>
        <w:t>1</w:t>
      </w:r>
      <w:r>
        <w:rPr>
          <w:rFonts w:hint="eastAsia" w:ascii="宋体" w:hAnsi="宋体" w:cs="宋体"/>
          <w:color w:val="auto"/>
          <w:szCs w:val="21"/>
          <w:highlight w:val="none"/>
          <w:lang w:bidi="ar"/>
        </w:rPr>
        <w:t>1</w:t>
      </w:r>
      <w:r>
        <w:rPr>
          <w:rFonts w:hint="eastAsia" w:ascii="宋体" w:hAnsi="宋体" w:cs="宋体"/>
          <w:i/>
          <w:color w:val="auto"/>
          <w:szCs w:val="21"/>
          <w:highlight w:val="none"/>
          <w:u w:val="single"/>
          <w:lang w:bidi="ar"/>
        </w:rPr>
        <w:t>工程量清单报价中的项目单价与其数量相乘的总和，应与</w:t>
      </w:r>
      <w:r>
        <w:rPr>
          <w:rFonts w:hint="eastAsia" w:ascii="宋体" w:hAnsi="宋体" w:cs="宋体"/>
          <w:i/>
          <w:color w:val="auto"/>
          <w:szCs w:val="21"/>
          <w:highlight w:val="none"/>
          <w:u w:val="single"/>
          <w:lang w:val="en-US" w:eastAsia="zh-CN" w:bidi="ar"/>
        </w:rPr>
        <w:t>投标</w:t>
      </w:r>
      <w:r>
        <w:rPr>
          <w:rFonts w:hint="eastAsia" w:ascii="宋体" w:hAnsi="宋体" w:cs="宋体"/>
          <w:i/>
          <w:color w:val="auto"/>
          <w:szCs w:val="21"/>
          <w:highlight w:val="none"/>
          <w:u w:val="single"/>
          <w:lang w:bidi="ar"/>
        </w:rPr>
        <w:t>总价的</w:t>
      </w:r>
      <w:r>
        <w:rPr>
          <w:rFonts w:hint="eastAsia" w:ascii="宋体" w:hAnsi="宋体" w:cs="宋体"/>
          <w:i/>
          <w:color w:val="auto"/>
          <w:szCs w:val="21"/>
          <w:highlight w:val="none"/>
          <w:u w:val="single"/>
          <w:lang w:eastAsia="zh-CN" w:bidi="ar"/>
        </w:rPr>
        <w:t>投标总价</w:t>
      </w:r>
      <w:r>
        <w:rPr>
          <w:rFonts w:hint="eastAsia" w:ascii="宋体" w:hAnsi="宋体" w:cs="宋体"/>
          <w:i/>
          <w:color w:val="auto"/>
          <w:szCs w:val="21"/>
          <w:highlight w:val="none"/>
          <w:u w:val="single"/>
          <w:lang w:bidi="ar"/>
        </w:rPr>
        <w:t>相符，不符时以单价与数量乘积的总和为准。</w:t>
      </w:r>
    </w:p>
    <w:p w14:paraId="16BACB75">
      <w:pPr>
        <w:widowControl/>
        <w:spacing w:line="380" w:lineRule="exact"/>
        <w:ind w:firstLine="420"/>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.12</w:t>
      </w:r>
      <w:r>
        <w:rPr>
          <w:rFonts w:hint="eastAsia" w:ascii="宋体" w:hAnsi="宋体" w:cs="宋体"/>
          <w:i/>
          <w:color w:val="auto"/>
          <w:szCs w:val="21"/>
          <w:highlight w:val="none"/>
          <w:u w:val="single"/>
          <w:lang w:bidi="ar"/>
        </w:rPr>
        <w:t>属可竞争费用由</w:t>
      </w:r>
      <w:r>
        <w:rPr>
          <w:rFonts w:hint="eastAsia" w:ascii="宋体" w:hAnsi="宋体" w:cs="宋体"/>
          <w:i/>
          <w:color w:val="auto"/>
          <w:szCs w:val="21"/>
          <w:highlight w:val="none"/>
          <w:u w:val="single"/>
          <w:lang w:eastAsia="zh-CN" w:bidi="ar"/>
        </w:rPr>
        <w:t>投标单位</w:t>
      </w:r>
      <w:r>
        <w:rPr>
          <w:rFonts w:hint="eastAsia" w:ascii="宋体" w:hAnsi="宋体" w:cs="宋体"/>
          <w:i/>
          <w:color w:val="auto"/>
          <w:szCs w:val="21"/>
          <w:highlight w:val="none"/>
          <w:u w:val="single"/>
          <w:lang w:bidi="ar"/>
        </w:rPr>
        <w:t>自主报价的，须满足下列要求：</w:t>
      </w:r>
      <w:r>
        <w:rPr>
          <w:rFonts w:hint="eastAsia" w:ascii="宋体" w:hAnsi="宋体" w:cs="宋体"/>
          <w:i/>
          <w:color w:val="auto"/>
          <w:szCs w:val="21"/>
          <w:highlight w:val="none"/>
          <w:u w:val="single"/>
          <w:lang w:eastAsia="zh-CN" w:bidi="ar"/>
        </w:rPr>
        <w:t>投标单位</w:t>
      </w:r>
      <w:r>
        <w:rPr>
          <w:rFonts w:hint="eastAsia" w:ascii="宋体" w:hAnsi="宋体" w:cs="宋体"/>
          <w:i/>
          <w:color w:val="auto"/>
          <w:szCs w:val="21"/>
          <w:highlight w:val="none"/>
          <w:u w:val="single"/>
          <w:lang w:bidi="ar"/>
        </w:rPr>
        <w:t>根据企业定额报价的项目，其人工、材料、机械消耗量远低于市场平均水平时，应附有详细分析资料；工程主要材料单价远低于同期</w:t>
      </w:r>
      <w:r>
        <w:rPr>
          <w:rFonts w:hint="eastAsia" w:ascii="宋体" w:hAnsi="宋体" w:cs="宋体"/>
          <w:i/>
          <w:color w:val="auto"/>
          <w:szCs w:val="21"/>
          <w:highlight w:val="none"/>
          <w:u w:val="single"/>
          <w:lang w:eastAsia="zh-CN" w:bidi="ar"/>
        </w:rPr>
        <w:t>镇江市</w:t>
      </w:r>
      <w:r>
        <w:rPr>
          <w:rFonts w:hint="eastAsia" w:ascii="宋体" w:hAnsi="宋体" w:cs="宋体"/>
          <w:i/>
          <w:color w:val="auto"/>
          <w:szCs w:val="21"/>
          <w:highlight w:val="none"/>
          <w:u w:val="single"/>
          <w:lang w:bidi="ar"/>
        </w:rPr>
        <w:t>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14:paraId="171BFE94">
      <w:pPr>
        <w:widowControl/>
        <w:spacing w:line="380" w:lineRule="exact"/>
        <w:ind w:firstLine="404"/>
        <w:jc w:val="left"/>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1</w:t>
      </w:r>
      <w:r>
        <w:rPr>
          <w:rFonts w:hint="eastAsia" w:ascii="宋体" w:hAnsi="宋体" w:cs="宋体"/>
          <w:color w:val="auto"/>
          <w:spacing w:val="-4"/>
          <w:szCs w:val="21"/>
          <w:highlight w:val="none"/>
          <w:lang w:val="en-US" w:eastAsia="zh-CN" w:bidi="ar"/>
        </w:rPr>
        <w:t>2</w:t>
      </w:r>
      <w:r>
        <w:rPr>
          <w:rFonts w:hint="eastAsia" w:ascii="宋体" w:hAnsi="宋体" w:cs="宋体"/>
          <w:color w:val="auto"/>
          <w:spacing w:val="-4"/>
          <w:szCs w:val="21"/>
          <w:highlight w:val="none"/>
          <w:lang w:bidi="ar"/>
        </w:rPr>
        <w:t>、</w:t>
      </w:r>
      <w:r>
        <w:rPr>
          <w:rFonts w:hint="eastAsia" w:ascii="宋体" w:hAnsi="宋体" w:cs="宋体"/>
          <w:color w:val="auto"/>
          <w:spacing w:val="-4"/>
          <w:szCs w:val="21"/>
          <w:highlight w:val="none"/>
          <w:lang w:eastAsia="zh-CN" w:bidi="ar"/>
        </w:rPr>
        <w:t>投标单位</w:t>
      </w:r>
      <w:r>
        <w:rPr>
          <w:rFonts w:hint="eastAsia" w:ascii="宋体" w:hAnsi="宋体" w:cs="宋体"/>
          <w:color w:val="auto"/>
          <w:spacing w:val="-4"/>
          <w:szCs w:val="21"/>
          <w:highlight w:val="none"/>
          <w:lang w:bidi="ar"/>
        </w:rPr>
        <w:t>在报价时应按</w:t>
      </w:r>
      <w:r>
        <w:rPr>
          <w:rFonts w:hint="eastAsia" w:ascii="宋体" w:hAnsi="宋体" w:cs="宋体"/>
          <w:color w:val="auto"/>
          <w:spacing w:val="-4"/>
          <w:szCs w:val="21"/>
          <w:highlight w:val="none"/>
          <w:lang w:eastAsia="zh-CN" w:bidi="ar"/>
        </w:rPr>
        <w:t>《房屋建筑与装饰工程工程量计算标准》（GB/T50854-2024）、《通用安装工程工程量计算标准》（GB/T50856-2024）</w:t>
      </w:r>
      <w:r>
        <w:rPr>
          <w:rFonts w:hint="eastAsia" w:ascii="宋体" w:hAnsi="宋体" w:cs="宋体"/>
          <w:color w:val="auto"/>
          <w:spacing w:val="-4"/>
          <w:szCs w:val="21"/>
          <w:highlight w:val="none"/>
          <w:lang w:bidi="ar"/>
        </w:rPr>
        <w:t>和</w:t>
      </w:r>
      <w:r>
        <w:rPr>
          <w:rFonts w:hint="eastAsia" w:ascii="宋体" w:hAnsi="宋体" w:cs="宋体"/>
          <w:color w:val="auto"/>
          <w:spacing w:val="-4"/>
          <w:szCs w:val="21"/>
          <w:highlight w:val="none"/>
          <w:lang w:eastAsia="zh-CN" w:bidi="ar"/>
        </w:rPr>
        <w:t>招标文件</w:t>
      </w:r>
      <w:r>
        <w:rPr>
          <w:rFonts w:hint="eastAsia" w:ascii="宋体" w:hAnsi="宋体" w:cs="宋体"/>
          <w:color w:val="auto"/>
          <w:spacing w:val="-4"/>
          <w:szCs w:val="21"/>
          <w:highlight w:val="none"/>
          <w:lang w:bidi="ar"/>
        </w:rPr>
        <w:t>规定的格式，提供完整齐全的文件。</w:t>
      </w:r>
    </w:p>
    <w:p w14:paraId="28023AA6">
      <w:pPr>
        <w:widowControl/>
        <w:spacing w:line="380" w:lineRule="exact"/>
        <w:ind w:firstLine="420"/>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w:t>
      </w:r>
      <w:r>
        <w:rPr>
          <w:rFonts w:hint="eastAsia" w:ascii="宋体" w:hAnsi="宋体" w:cs="宋体"/>
          <w:color w:val="auto"/>
          <w:szCs w:val="21"/>
          <w:highlight w:val="none"/>
          <w:lang w:eastAsia="zh-CN" w:bidi="ar"/>
        </w:rPr>
        <w:t>投标分项报价</w:t>
      </w:r>
      <w:r>
        <w:rPr>
          <w:rFonts w:hint="eastAsia" w:ascii="宋体" w:hAnsi="宋体" w:cs="宋体"/>
          <w:color w:val="auto"/>
          <w:szCs w:val="21"/>
          <w:highlight w:val="none"/>
          <w:lang w:bidi="ar"/>
        </w:rPr>
        <w:t>表即按照附件提供的工程量清单的格式进行填报，分别填报综合单价和合价，要求填报完整，漏报项视为价格已分摊到其他清单项中。</w:t>
      </w:r>
    </w:p>
    <w:p w14:paraId="7890C5B2">
      <w:pPr>
        <w:widowControl/>
        <w:spacing w:line="380" w:lineRule="exact"/>
        <w:ind w:firstLine="376"/>
        <w:jc w:val="left"/>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1</w:t>
      </w:r>
      <w:r>
        <w:rPr>
          <w:rFonts w:hint="eastAsia" w:ascii="宋体" w:hAnsi="宋体" w:cs="宋体"/>
          <w:color w:val="auto"/>
          <w:spacing w:val="-11"/>
          <w:szCs w:val="21"/>
          <w:highlight w:val="none"/>
          <w:lang w:val="en-US" w:eastAsia="zh-CN" w:bidi="ar"/>
        </w:rPr>
        <w:t>4</w:t>
      </w:r>
      <w:r>
        <w:rPr>
          <w:rFonts w:hint="eastAsia" w:ascii="宋体" w:hAnsi="宋体" w:cs="宋体"/>
          <w:color w:val="auto"/>
          <w:spacing w:val="-11"/>
          <w:szCs w:val="21"/>
          <w:highlight w:val="none"/>
          <w:lang w:bidi="ar"/>
        </w:rPr>
        <w:t>、单</w:t>
      </w:r>
      <w:r>
        <w:rPr>
          <w:rFonts w:hint="eastAsia" w:ascii="宋体" w:hAnsi="宋体" w:cs="宋体"/>
          <w:color w:val="auto"/>
          <w:szCs w:val="21"/>
          <w:highlight w:val="none"/>
          <w:lang w:bidi="ar"/>
        </w:rPr>
        <w:t>价和总价均应包括但不限于所有设备、材料、税金、包装费、运杂费、保险费、卸力费、安装调试费、资料费、保修期内维修费用及招标代理服务费、前期咨询费等直至完全交付</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使用的所有费用。</w:t>
      </w:r>
    </w:p>
    <w:p w14:paraId="64FD443C">
      <w:pPr>
        <w:widowControl/>
        <w:spacing w:line="380" w:lineRule="exact"/>
        <w:ind w:firstLine="420"/>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5</w:t>
      </w:r>
      <w:r>
        <w:rPr>
          <w:rFonts w:hint="eastAsia" w:ascii="宋体" w:hAnsi="宋体" w:cs="宋体"/>
          <w:color w:val="auto"/>
          <w:szCs w:val="21"/>
          <w:highlight w:val="none"/>
          <w:lang w:bidi="ar"/>
        </w:rPr>
        <w:t>、</w:t>
      </w:r>
      <w:r>
        <w:rPr>
          <w:rFonts w:hint="eastAsia" w:ascii="宋体" w:hAnsi="宋体" w:cs="宋体"/>
          <w:color w:val="auto"/>
          <w:szCs w:val="21"/>
          <w:highlight w:val="none"/>
          <w:lang w:eastAsia="zh-CN" w:bidi="ar"/>
        </w:rPr>
        <w:t>投标单位</w:t>
      </w:r>
      <w:r>
        <w:rPr>
          <w:rFonts w:hint="eastAsia" w:ascii="宋体" w:hAnsi="宋体" w:cs="宋体"/>
          <w:color w:val="auto"/>
          <w:szCs w:val="21"/>
          <w:highlight w:val="none"/>
          <w:lang w:bidi="ar"/>
        </w:rPr>
        <w:t>应当按</w:t>
      </w:r>
      <w:r>
        <w:rPr>
          <w:rFonts w:hint="eastAsia" w:ascii="宋体" w:hAnsi="宋体" w:cs="宋体"/>
          <w:color w:val="auto"/>
          <w:szCs w:val="21"/>
          <w:highlight w:val="none"/>
          <w:lang w:eastAsia="zh-CN" w:bidi="ar"/>
        </w:rPr>
        <w:t>招标文件</w:t>
      </w:r>
      <w:r>
        <w:rPr>
          <w:rFonts w:hint="eastAsia" w:ascii="宋体" w:hAnsi="宋体" w:cs="宋体"/>
          <w:color w:val="auto"/>
          <w:szCs w:val="21"/>
          <w:highlight w:val="none"/>
          <w:lang w:bidi="ar"/>
        </w:rPr>
        <w:t>中所提供的</w:t>
      </w:r>
      <w:r>
        <w:rPr>
          <w:rFonts w:hint="eastAsia" w:ascii="宋体" w:hAnsi="宋体" w:cs="宋体"/>
          <w:color w:val="auto"/>
          <w:szCs w:val="21"/>
          <w:highlight w:val="none"/>
          <w:lang w:eastAsia="zh-CN" w:bidi="ar"/>
        </w:rPr>
        <w:t>投标报价</w:t>
      </w:r>
      <w:r>
        <w:rPr>
          <w:rFonts w:hint="eastAsia" w:ascii="宋体" w:hAnsi="宋体" w:cs="宋体"/>
          <w:color w:val="auto"/>
          <w:szCs w:val="21"/>
          <w:highlight w:val="none"/>
          <w:lang w:bidi="ar"/>
        </w:rPr>
        <w:t>表文件格式填写，如不够用时，</w:t>
      </w:r>
      <w:r>
        <w:rPr>
          <w:rFonts w:hint="eastAsia" w:ascii="宋体" w:hAnsi="宋体" w:cs="宋体"/>
          <w:color w:val="auto"/>
          <w:szCs w:val="21"/>
          <w:highlight w:val="none"/>
          <w:lang w:eastAsia="zh-CN" w:bidi="ar"/>
        </w:rPr>
        <w:t>投标单位</w:t>
      </w:r>
      <w:r>
        <w:rPr>
          <w:rFonts w:hint="eastAsia" w:ascii="宋体" w:hAnsi="宋体" w:cs="宋体"/>
          <w:color w:val="auto"/>
          <w:szCs w:val="21"/>
          <w:highlight w:val="none"/>
          <w:lang w:bidi="ar"/>
        </w:rPr>
        <w:t>可按同样格式自行编制和添补。</w:t>
      </w:r>
    </w:p>
    <w:p w14:paraId="632F9453">
      <w:pPr>
        <w:widowControl/>
        <w:spacing w:line="380" w:lineRule="exact"/>
        <w:ind w:firstLine="420"/>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r>
        <w:rPr>
          <w:rFonts w:hint="eastAsia" w:ascii="宋体" w:hAnsi="宋体" w:cs="宋体"/>
          <w:color w:val="auto"/>
          <w:szCs w:val="21"/>
          <w:highlight w:val="none"/>
          <w:lang w:val="en-US" w:eastAsia="zh-CN" w:bidi="ar"/>
        </w:rPr>
        <w:t>6</w:t>
      </w:r>
      <w:r>
        <w:rPr>
          <w:rFonts w:hint="eastAsia" w:ascii="宋体" w:hAnsi="宋体" w:cs="宋体"/>
          <w:color w:val="auto"/>
          <w:szCs w:val="21"/>
          <w:highlight w:val="none"/>
          <w:lang w:bidi="ar"/>
        </w:rPr>
        <w:t>、</w:t>
      </w:r>
      <w:r>
        <w:rPr>
          <w:rFonts w:hint="eastAsia" w:ascii="宋体" w:hAnsi="宋体" w:cs="宋体"/>
          <w:color w:val="auto"/>
          <w:szCs w:val="21"/>
          <w:highlight w:val="none"/>
          <w:lang w:eastAsia="zh-CN" w:bidi="ar"/>
        </w:rPr>
        <w:t>中标人</w:t>
      </w:r>
      <w:r>
        <w:rPr>
          <w:rFonts w:hint="eastAsia" w:ascii="宋体" w:hAnsi="宋体" w:cs="宋体"/>
          <w:color w:val="auto"/>
          <w:szCs w:val="21"/>
          <w:highlight w:val="none"/>
          <w:lang w:bidi="ar"/>
        </w:rPr>
        <w:t>需积极主动地配合</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进行相关检测及施工完毕后验收，确保通过检测和验收，若出现检测不合格或验收不合格的情况，</w:t>
      </w:r>
      <w:r>
        <w:rPr>
          <w:rFonts w:hint="eastAsia" w:ascii="宋体" w:hAnsi="宋体" w:cs="宋体"/>
          <w:color w:val="auto"/>
          <w:szCs w:val="21"/>
          <w:highlight w:val="none"/>
          <w:lang w:eastAsia="zh-CN" w:bidi="ar"/>
        </w:rPr>
        <w:t>中标人</w:t>
      </w:r>
      <w:r>
        <w:rPr>
          <w:rFonts w:hint="eastAsia" w:ascii="宋体" w:hAnsi="宋体" w:cs="宋体"/>
          <w:color w:val="auto"/>
          <w:szCs w:val="21"/>
          <w:highlight w:val="none"/>
          <w:lang w:bidi="ar"/>
        </w:rPr>
        <w:t>需要重新返工直至检测通过并且验收合格，由此导致的返工费等相关其他费用，由</w:t>
      </w:r>
      <w:r>
        <w:rPr>
          <w:rFonts w:hint="eastAsia" w:ascii="宋体" w:hAnsi="宋体" w:cs="宋体"/>
          <w:color w:val="auto"/>
          <w:szCs w:val="21"/>
          <w:highlight w:val="none"/>
          <w:lang w:eastAsia="zh-CN" w:bidi="ar"/>
        </w:rPr>
        <w:t>中标人</w:t>
      </w:r>
      <w:r>
        <w:rPr>
          <w:rFonts w:hint="eastAsia" w:ascii="宋体" w:hAnsi="宋体" w:cs="宋体"/>
          <w:color w:val="auto"/>
          <w:szCs w:val="21"/>
          <w:highlight w:val="none"/>
          <w:lang w:bidi="ar"/>
        </w:rPr>
        <w:t>自行承担，并且</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有权从工程款中扣除。</w:t>
      </w:r>
    </w:p>
    <w:p w14:paraId="335A2EE3">
      <w:pPr>
        <w:widowControl/>
        <w:spacing w:line="380" w:lineRule="exact"/>
        <w:ind w:firstLine="404"/>
        <w:jc w:val="left"/>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1</w:t>
      </w:r>
      <w:r>
        <w:rPr>
          <w:rFonts w:hint="eastAsia" w:ascii="宋体" w:hAnsi="宋体" w:cs="宋体"/>
          <w:color w:val="auto"/>
          <w:spacing w:val="-4"/>
          <w:szCs w:val="21"/>
          <w:highlight w:val="none"/>
          <w:lang w:val="en-US" w:eastAsia="zh-CN" w:bidi="ar"/>
        </w:rPr>
        <w:t>7</w:t>
      </w:r>
      <w:r>
        <w:rPr>
          <w:rFonts w:hint="eastAsia" w:ascii="宋体" w:hAnsi="宋体" w:cs="宋体"/>
          <w:color w:val="auto"/>
          <w:spacing w:val="-4"/>
          <w:szCs w:val="21"/>
          <w:highlight w:val="none"/>
          <w:lang w:bidi="ar"/>
        </w:rPr>
        <w:t>、</w:t>
      </w:r>
      <w:r>
        <w:rPr>
          <w:rFonts w:hint="eastAsia" w:ascii="宋体" w:hAnsi="宋体" w:cs="宋体"/>
          <w:color w:val="auto"/>
          <w:spacing w:val="-4"/>
          <w:szCs w:val="21"/>
          <w:highlight w:val="none"/>
          <w:lang w:eastAsia="zh-CN" w:bidi="ar"/>
        </w:rPr>
        <w:t>投标单位</w:t>
      </w:r>
      <w:r>
        <w:rPr>
          <w:rFonts w:hint="eastAsia" w:ascii="宋体" w:hAnsi="宋体" w:cs="宋体"/>
          <w:color w:val="auto"/>
          <w:spacing w:val="-4"/>
          <w:szCs w:val="21"/>
          <w:highlight w:val="none"/>
          <w:lang w:bidi="ar"/>
        </w:rPr>
        <w:t>应综合考虑与本项目有关的所有因素与风险，若出现缺项、漏项等情况，由</w:t>
      </w:r>
      <w:r>
        <w:rPr>
          <w:rFonts w:hint="eastAsia" w:ascii="宋体" w:hAnsi="宋体" w:cs="宋体"/>
          <w:color w:val="auto"/>
          <w:spacing w:val="-4"/>
          <w:szCs w:val="21"/>
          <w:highlight w:val="none"/>
          <w:lang w:eastAsia="zh-CN" w:bidi="ar"/>
        </w:rPr>
        <w:t>投标单位</w:t>
      </w:r>
      <w:r>
        <w:rPr>
          <w:rFonts w:hint="eastAsia" w:ascii="宋体" w:hAnsi="宋体" w:cs="宋体"/>
          <w:color w:val="auto"/>
          <w:spacing w:val="-4"/>
          <w:szCs w:val="21"/>
          <w:highlight w:val="none"/>
          <w:lang w:bidi="ar"/>
        </w:rPr>
        <w:t>自行承担。</w:t>
      </w:r>
    </w:p>
    <w:p w14:paraId="25C5822C">
      <w:pPr>
        <w:spacing w:line="360" w:lineRule="auto"/>
        <w:ind w:firstLine="480"/>
        <w:rPr>
          <w:rFonts w:hint="eastAsia" w:ascii="宋体" w:hAnsi="宋体" w:eastAsia="宋体" w:cs="宋体"/>
          <w:color w:val="auto"/>
          <w:szCs w:val="21"/>
          <w:highlight w:val="none"/>
          <w:lang w:bidi="ar"/>
        </w:rPr>
      </w:pPr>
      <w:r>
        <w:rPr>
          <w:rFonts w:ascii="宋体" w:hAnsi="宋体" w:cs="宋体"/>
          <w:color w:val="auto"/>
          <w:szCs w:val="21"/>
          <w:highlight w:val="none"/>
          <w:lang w:bidi="ar"/>
        </w:rPr>
        <w:t>1</w:t>
      </w:r>
      <w:r>
        <w:rPr>
          <w:rFonts w:hint="eastAsia" w:ascii="宋体" w:hAnsi="宋体" w:cs="宋体"/>
          <w:color w:val="auto"/>
          <w:szCs w:val="21"/>
          <w:highlight w:val="none"/>
          <w:lang w:val="en-US" w:eastAsia="zh-CN" w:bidi="ar"/>
        </w:rPr>
        <w:t>8</w:t>
      </w:r>
      <w:r>
        <w:rPr>
          <w:rFonts w:hint="eastAsia" w:ascii="宋体" w:hAnsi="宋体" w:cs="宋体"/>
          <w:color w:val="auto"/>
          <w:szCs w:val="21"/>
          <w:highlight w:val="none"/>
          <w:lang w:bidi="ar"/>
        </w:rPr>
        <w:t>、施工过程中，</w:t>
      </w:r>
      <w:r>
        <w:rPr>
          <w:rFonts w:hint="eastAsia" w:ascii="宋体" w:hAnsi="宋体" w:cs="宋体"/>
          <w:color w:val="auto"/>
          <w:szCs w:val="21"/>
          <w:highlight w:val="none"/>
          <w:lang w:eastAsia="zh-CN" w:bidi="ar"/>
        </w:rPr>
        <w:t>中标人</w:t>
      </w:r>
      <w:r>
        <w:rPr>
          <w:rFonts w:hint="eastAsia" w:ascii="宋体" w:hAnsi="宋体" w:cs="宋体"/>
          <w:color w:val="auto"/>
          <w:szCs w:val="21"/>
          <w:highlight w:val="none"/>
          <w:lang w:bidi="ar"/>
        </w:rPr>
        <w:t>需采取措施保护现场及周边相关物品、设施等，因</w:t>
      </w:r>
      <w:r>
        <w:rPr>
          <w:rFonts w:hint="eastAsia" w:ascii="宋体" w:hAnsi="宋体" w:cs="宋体"/>
          <w:color w:val="auto"/>
          <w:szCs w:val="21"/>
          <w:highlight w:val="none"/>
          <w:lang w:eastAsia="zh-CN" w:bidi="ar"/>
        </w:rPr>
        <w:t>中标人</w:t>
      </w:r>
      <w:r>
        <w:rPr>
          <w:rFonts w:hint="eastAsia" w:ascii="宋体" w:hAnsi="宋体" w:cs="宋体"/>
          <w:color w:val="auto"/>
          <w:szCs w:val="21"/>
          <w:highlight w:val="none"/>
          <w:lang w:bidi="ar"/>
        </w:rPr>
        <w:t>的不规范操作、误操作等原因造成相关</w:t>
      </w:r>
      <w:r>
        <w:rPr>
          <w:rFonts w:hint="eastAsia" w:ascii="宋体" w:hAnsi="宋体" w:eastAsia="宋体" w:cs="宋体"/>
          <w:color w:val="auto"/>
          <w:szCs w:val="21"/>
          <w:highlight w:val="none"/>
          <w:lang w:bidi="ar"/>
        </w:rPr>
        <w:t>设施的损坏、设备的停用等后果均由</w:t>
      </w:r>
      <w:r>
        <w:rPr>
          <w:rFonts w:hint="eastAsia" w:ascii="宋体" w:hAnsi="宋体" w:eastAsia="宋体" w:cs="宋体"/>
          <w:color w:val="auto"/>
          <w:szCs w:val="21"/>
          <w:highlight w:val="none"/>
          <w:lang w:eastAsia="zh-CN" w:bidi="ar"/>
        </w:rPr>
        <w:t>中标人</w:t>
      </w:r>
      <w:r>
        <w:rPr>
          <w:rFonts w:hint="eastAsia" w:ascii="宋体" w:hAnsi="宋体" w:eastAsia="宋体" w:cs="宋体"/>
          <w:color w:val="auto"/>
          <w:szCs w:val="21"/>
          <w:highlight w:val="none"/>
          <w:lang w:bidi="ar"/>
        </w:rPr>
        <w:t>承担，由</w:t>
      </w:r>
      <w:r>
        <w:rPr>
          <w:rFonts w:hint="eastAsia" w:ascii="宋体" w:hAnsi="宋体" w:eastAsia="宋体" w:cs="宋体"/>
          <w:color w:val="auto"/>
          <w:szCs w:val="21"/>
          <w:highlight w:val="none"/>
          <w:lang w:eastAsia="zh-CN" w:bidi="ar"/>
        </w:rPr>
        <w:t>中标人</w:t>
      </w:r>
      <w:r>
        <w:rPr>
          <w:rFonts w:hint="eastAsia" w:ascii="宋体" w:hAnsi="宋体" w:eastAsia="宋体" w:cs="宋体"/>
          <w:color w:val="auto"/>
          <w:szCs w:val="21"/>
          <w:highlight w:val="none"/>
          <w:lang w:bidi="ar"/>
        </w:rPr>
        <w:t>原样修复并自行承担相关费用。</w:t>
      </w:r>
    </w:p>
    <w:p w14:paraId="251FA54E">
      <w:pPr>
        <w:spacing w:line="360" w:lineRule="auto"/>
        <w:ind w:firstLine="48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19</w:t>
      </w:r>
      <w:r>
        <w:rPr>
          <w:rFonts w:hint="eastAsia" w:ascii="宋体" w:hAnsi="宋体" w:eastAsia="宋体" w:cs="宋体"/>
          <w:color w:val="auto"/>
          <w:szCs w:val="21"/>
          <w:highlight w:val="none"/>
          <w:lang w:bidi="ar"/>
        </w:rPr>
        <w:t>、编制说明</w:t>
      </w:r>
    </w:p>
    <w:p w14:paraId="4A157A93">
      <w:pPr>
        <w:spacing w:line="360" w:lineRule="auto"/>
        <w:ind w:firstLine="48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(1)甲方测量数据及提供的相关资料，最终做法及工程量按实；</w:t>
      </w:r>
    </w:p>
    <w:p w14:paraId="350C400E">
      <w:pPr>
        <w:spacing w:line="360" w:lineRule="auto"/>
        <w:ind w:firstLine="48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(2)清单中单价包括所需人工费、材料费、施工机械使用费和管理费及利润，以及一定的风险费用。</w:t>
      </w:r>
    </w:p>
    <w:p w14:paraId="32022D15">
      <w:pPr>
        <w:spacing w:line="360" w:lineRule="auto"/>
        <w:ind w:firstLine="48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(3)如提供的电子版清单与书面清单不符时，以书面清单为准，若只提供电子版的，则以电子版为准。清单特征描述不完整时，投标单位应结合施工图及相关规范、规定等进行综合考虑；</w:t>
      </w:r>
    </w:p>
    <w:p w14:paraId="188849DC">
      <w:pPr>
        <w:spacing w:line="360" w:lineRule="auto"/>
        <w:ind w:firstLine="48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(4)与建设工程相关的标准、规范、技术资料；</w:t>
      </w:r>
    </w:p>
    <w:p w14:paraId="3F863E7C">
      <w:pPr>
        <w:spacing w:line="360" w:lineRule="auto"/>
        <w:ind w:firstLine="48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(5)工程量清单及相关要求。</w:t>
      </w:r>
      <w:bookmarkEnd w:id="207"/>
    </w:p>
    <w:p w14:paraId="121F7883">
      <w:pPr>
        <w:pStyle w:val="200"/>
        <w:numPr>
          <w:ilvl w:val="0"/>
          <w:numId w:val="0"/>
        </w:numPr>
        <w:spacing w:line="360" w:lineRule="auto"/>
        <w:jc w:val="center"/>
        <w:rPr>
          <w:rFonts w:hint="eastAsia" w:ascii="黑体" w:eastAsia="黑体"/>
          <w:bCs/>
          <w:color w:val="000000"/>
          <w:sz w:val="32"/>
          <w:szCs w:val="32"/>
          <w:highlight w:val="none"/>
        </w:rPr>
      </w:pPr>
    </w:p>
    <w:p w14:paraId="34ED6A13">
      <w:pPr>
        <w:pStyle w:val="200"/>
        <w:numPr>
          <w:ilvl w:val="0"/>
          <w:numId w:val="0"/>
        </w:numPr>
        <w:spacing w:line="360" w:lineRule="auto"/>
        <w:jc w:val="center"/>
        <w:rPr>
          <w:rFonts w:hint="eastAsia" w:ascii="黑体" w:eastAsia="黑体"/>
          <w:bCs/>
          <w:color w:val="000000"/>
          <w:sz w:val="32"/>
          <w:szCs w:val="32"/>
          <w:highlight w:val="none"/>
        </w:rPr>
      </w:pPr>
    </w:p>
    <w:p w14:paraId="208E5534">
      <w:pPr>
        <w:pStyle w:val="200"/>
        <w:numPr>
          <w:ilvl w:val="0"/>
          <w:numId w:val="0"/>
        </w:numPr>
        <w:spacing w:line="360" w:lineRule="auto"/>
        <w:jc w:val="center"/>
        <w:rPr>
          <w:rFonts w:hint="eastAsia" w:ascii="黑体" w:eastAsia="黑体"/>
          <w:bCs/>
          <w:color w:val="000000"/>
          <w:sz w:val="32"/>
          <w:szCs w:val="32"/>
          <w:highlight w:val="none"/>
        </w:rPr>
      </w:pPr>
    </w:p>
    <w:p w14:paraId="62B4E94D">
      <w:pPr>
        <w:pStyle w:val="200"/>
        <w:numPr>
          <w:ilvl w:val="0"/>
          <w:numId w:val="0"/>
        </w:numPr>
        <w:spacing w:line="360" w:lineRule="auto"/>
        <w:jc w:val="center"/>
        <w:rPr>
          <w:rFonts w:hint="eastAsia" w:ascii="黑体" w:eastAsia="黑体"/>
          <w:bCs/>
          <w:color w:val="000000"/>
          <w:sz w:val="32"/>
          <w:szCs w:val="32"/>
          <w:highlight w:val="none"/>
        </w:rPr>
      </w:pPr>
    </w:p>
    <w:p w14:paraId="4F0A4A93">
      <w:pPr>
        <w:pStyle w:val="200"/>
        <w:numPr>
          <w:ilvl w:val="0"/>
          <w:numId w:val="0"/>
        </w:numPr>
        <w:spacing w:line="360" w:lineRule="auto"/>
        <w:jc w:val="center"/>
        <w:rPr>
          <w:rFonts w:hint="eastAsia" w:ascii="黑体" w:eastAsia="黑体"/>
          <w:bCs/>
          <w:color w:val="000000"/>
          <w:sz w:val="32"/>
          <w:szCs w:val="32"/>
          <w:highlight w:val="none"/>
        </w:rPr>
      </w:pPr>
    </w:p>
    <w:p w14:paraId="71F8A059">
      <w:pPr>
        <w:pStyle w:val="200"/>
        <w:numPr>
          <w:ilvl w:val="0"/>
          <w:numId w:val="0"/>
        </w:numPr>
        <w:spacing w:line="360" w:lineRule="auto"/>
        <w:jc w:val="center"/>
        <w:rPr>
          <w:rFonts w:hint="eastAsia" w:ascii="黑体" w:eastAsia="黑体"/>
          <w:bCs/>
          <w:color w:val="000000"/>
          <w:sz w:val="32"/>
          <w:szCs w:val="32"/>
          <w:highlight w:val="none"/>
        </w:rPr>
      </w:pPr>
    </w:p>
    <w:p w14:paraId="07C2E568">
      <w:pPr>
        <w:pStyle w:val="200"/>
        <w:numPr>
          <w:ilvl w:val="0"/>
          <w:numId w:val="0"/>
        </w:numPr>
        <w:spacing w:line="360" w:lineRule="auto"/>
        <w:jc w:val="center"/>
        <w:rPr>
          <w:rFonts w:hint="eastAsia" w:ascii="黑体" w:eastAsia="黑体"/>
          <w:bCs/>
          <w:color w:val="000000"/>
          <w:sz w:val="32"/>
          <w:szCs w:val="32"/>
          <w:highlight w:val="none"/>
        </w:rPr>
      </w:pPr>
    </w:p>
    <w:p w14:paraId="796B585E">
      <w:pPr>
        <w:pStyle w:val="200"/>
        <w:numPr>
          <w:ilvl w:val="0"/>
          <w:numId w:val="0"/>
        </w:numPr>
        <w:spacing w:line="360" w:lineRule="auto"/>
        <w:jc w:val="center"/>
        <w:rPr>
          <w:rFonts w:hint="eastAsia" w:ascii="黑体" w:eastAsia="黑体"/>
          <w:bCs/>
          <w:color w:val="000000"/>
          <w:sz w:val="32"/>
          <w:szCs w:val="32"/>
          <w:highlight w:val="none"/>
        </w:rPr>
      </w:pPr>
    </w:p>
    <w:p w14:paraId="1163B791">
      <w:pPr>
        <w:pStyle w:val="200"/>
        <w:numPr>
          <w:ilvl w:val="0"/>
          <w:numId w:val="0"/>
        </w:numPr>
        <w:spacing w:line="360" w:lineRule="auto"/>
        <w:jc w:val="center"/>
        <w:rPr>
          <w:rFonts w:hint="eastAsia" w:ascii="黑体" w:eastAsia="黑体"/>
          <w:bCs/>
          <w:color w:val="000000"/>
          <w:sz w:val="32"/>
          <w:szCs w:val="32"/>
          <w:highlight w:val="none"/>
        </w:rPr>
      </w:pPr>
    </w:p>
    <w:p w14:paraId="38CACEBA">
      <w:pPr>
        <w:pStyle w:val="200"/>
        <w:numPr>
          <w:ilvl w:val="0"/>
          <w:numId w:val="0"/>
        </w:numPr>
        <w:spacing w:line="360" w:lineRule="auto"/>
        <w:jc w:val="center"/>
        <w:rPr>
          <w:rFonts w:hint="eastAsia"/>
          <w:color w:val="000000"/>
          <w:highlight w:val="none"/>
        </w:rPr>
      </w:pP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评标方法与评标标准</w:t>
      </w:r>
    </w:p>
    <w:p w14:paraId="41B77681">
      <w:pPr>
        <w:spacing w:line="440" w:lineRule="exact"/>
        <w:ind w:firstLine="360"/>
        <w:jc w:val="left"/>
        <w:rPr>
          <w:rFonts w:hint="eastAsia" w:ascii="宋体" w:hAnsi="宋体"/>
          <w:color w:val="000000"/>
          <w:sz w:val="24"/>
          <w:szCs w:val="24"/>
          <w:highlight w:val="none"/>
        </w:rPr>
      </w:pPr>
      <w:r>
        <w:rPr>
          <w:rFonts w:hint="eastAsia" w:ascii="宋体" w:hAnsi="宋体"/>
          <w:color w:val="000000"/>
          <w:sz w:val="24"/>
          <w:szCs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0286D136">
      <w:pPr>
        <w:pStyle w:val="204"/>
        <w:spacing w:before="0" w:after="0" w:line="440" w:lineRule="exact"/>
        <w:ind w:firstLine="441"/>
        <w:rPr>
          <w:rFonts w:hint="eastAsia" w:ascii="宋体" w:hAnsi="宋体"/>
          <w:b/>
          <w:color w:val="000000"/>
          <w:highlight w:val="none"/>
        </w:rPr>
      </w:pPr>
      <w:r>
        <w:rPr>
          <w:rFonts w:hint="eastAsia" w:ascii="宋体" w:hAnsi="宋体"/>
          <w:b/>
          <w:color w:val="000000"/>
          <w:highlight w:val="none"/>
        </w:rPr>
        <w:t>政府政策功能落实</w:t>
      </w:r>
    </w:p>
    <w:p w14:paraId="529D0235">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1、小微型企业价格扣除</w:t>
      </w:r>
    </w:p>
    <w:p w14:paraId="386557B3">
      <w:pPr>
        <w:spacing w:line="440" w:lineRule="exact"/>
        <w:ind w:left="239" w:firstLine="120"/>
        <w:jc w:val="left"/>
        <w:rPr>
          <w:rFonts w:hint="eastAsia" w:ascii="宋体" w:hAnsi="宋体"/>
          <w:color w:val="000000"/>
          <w:sz w:val="24"/>
          <w:szCs w:val="24"/>
          <w:highlight w:val="none"/>
        </w:rPr>
      </w:pPr>
      <w:r>
        <w:rPr>
          <w:rFonts w:hint="eastAsia" w:ascii="宋体" w:hAnsi="宋体"/>
          <w:color w:val="000000"/>
          <w:sz w:val="24"/>
          <w:szCs w:val="24"/>
          <w:highlight w:val="none"/>
        </w:rPr>
        <w:t>（1）本项目对小型和微型企业产品给予</w:t>
      </w:r>
      <w:r>
        <w:rPr>
          <w:rFonts w:hint="eastAsia" w:ascii="宋体" w:hAnsi="宋体"/>
          <w:b/>
          <w:bCs/>
          <w:color w:val="000000"/>
          <w:sz w:val="24"/>
          <w:szCs w:val="24"/>
          <w:highlight w:val="none"/>
          <w:u w:val="single"/>
          <w:lang w:val="en-US" w:eastAsia="zh-CN"/>
        </w:rPr>
        <w:t>20%</w:t>
      </w:r>
      <w:r>
        <w:rPr>
          <w:rFonts w:hint="eastAsia" w:ascii="宋体" w:hAnsi="宋体"/>
          <w:color w:val="000000"/>
          <w:sz w:val="24"/>
          <w:szCs w:val="24"/>
          <w:highlight w:val="none"/>
        </w:rPr>
        <w:t>的扣除价格，用扣除后的价格参与评审。</w:t>
      </w:r>
    </w:p>
    <w:p w14:paraId="46768BD8">
      <w:pPr>
        <w:spacing w:line="440" w:lineRule="exact"/>
        <w:ind w:left="239" w:firstLine="120"/>
        <w:jc w:val="left"/>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需按照</w:t>
      </w:r>
      <w:r>
        <w:rPr>
          <w:rFonts w:hint="eastAsia" w:ascii="宋体" w:hAnsi="宋体"/>
          <w:color w:val="000000"/>
          <w:sz w:val="24"/>
          <w:szCs w:val="24"/>
          <w:highlight w:val="none"/>
          <w:lang w:eastAsia="zh-CN"/>
        </w:rPr>
        <w:t>招标文件</w:t>
      </w:r>
      <w:r>
        <w:rPr>
          <w:rFonts w:hint="eastAsia" w:ascii="宋体" w:hAnsi="宋体"/>
          <w:color w:val="000000"/>
          <w:sz w:val="24"/>
          <w:szCs w:val="24"/>
          <w:highlight w:val="none"/>
        </w:rPr>
        <w:t>的要求提供相应的《中小企业声明函》。</w:t>
      </w:r>
    </w:p>
    <w:p w14:paraId="3DEEBCBA">
      <w:pPr>
        <w:spacing w:line="440" w:lineRule="exact"/>
        <w:ind w:left="239" w:firstLine="120"/>
        <w:jc w:val="left"/>
        <w:rPr>
          <w:rFonts w:hint="eastAsia" w:ascii="宋体" w:hAnsi="宋体"/>
          <w:color w:val="000000"/>
          <w:sz w:val="24"/>
          <w:szCs w:val="24"/>
          <w:highlight w:val="none"/>
        </w:rPr>
      </w:pPr>
      <w:r>
        <w:rPr>
          <w:rFonts w:hint="eastAsia" w:ascii="宋体" w:hAnsi="宋体"/>
          <w:color w:val="000000"/>
          <w:sz w:val="24"/>
          <w:szCs w:val="24"/>
          <w:highlight w:val="none"/>
        </w:rPr>
        <w:t>（3）企业标准请参照《关于印发中小企业划型标准规定的通知》（工信部联企业[2011]300号）文件规定自行填写。</w:t>
      </w:r>
    </w:p>
    <w:p w14:paraId="2631DA4A">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2、残疾人福利单位价格扣除</w:t>
      </w:r>
    </w:p>
    <w:p w14:paraId="4700AFDB">
      <w:pPr>
        <w:spacing w:line="440" w:lineRule="exact"/>
        <w:ind w:left="120" w:firstLine="360"/>
        <w:jc w:val="left"/>
        <w:rPr>
          <w:rFonts w:hint="eastAsia" w:ascii="宋体" w:hAnsi="宋体"/>
          <w:color w:val="000000"/>
          <w:sz w:val="24"/>
          <w:szCs w:val="24"/>
          <w:highlight w:val="none"/>
        </w:rPr>
      </w:pPr>
      <w:r>
        <w:rPr>
          <w:rFonts w:hint="eastAsia" w:ascii="宋体" w:hAnsi="宋体"/>
          <w:color w:val="000000"/>
          <w:sz w:val="24"/>
          <w:szCs w:val="24"/>
          <w:highlight w:val="none"/>
        </w:rPr>
        <w:t>（1）本项目对残疾人福利性单位视同小型、微型企业，给予</w:t>
      </w:r>
      <w:r>
        <w:rPr>
          <w:rFonts w:hint="eastAsia" w:ascii="宋体" w:hAnsi="宋体"/>
          <w:b/>
          <w:bCs/>
          <w:color w:val="000000"/>
          <w:sz w:val="24"/>
          <w:szCs w:val="24"/>
          <w:highlight w:val="none"/>
          <w:u w:val="single"/>
          <w:lang w:val="en-US" w:eastAsia="zh-CN"/>
        </w:rPr>
        <w:t>20%</w:t>
      </w:r>
      <w:r>
        <w:rPr>
          <w:rFonts w:hint="eastAsia" w:ascii="宋体" w:hAnsi="宋体"/>
          <w:color w:val="000000"/>
          <w:sz w:val="24"/>
          <w:szCs w:val="24"/>
          <w:highlight w:val="none"/>
        </w:rPr>
        <w:t>的价格扣除，用扣除后的价格参与评审。</w:t>
      </w:r>
    </w:p>
    <w:p w14:paraId="371D03EC">
      <w:pPr>
        <w:spacing w:line="440" w:lineRule="exact"/>
        <w:ind w:left="120" w:firstLine="360"/>
        <w:jc w:val="left"/>
        <w:rPr>
          <w:rFonts w:hint="eastAsia" w:ascii="宋体" w:hAnsi="宋体"/>
          <w:color w:val="000000"/>
          <w:sz w:val="24"/>
          <w:szCs w:val="24"/>
          <w:highlight w:val="none"/>
        </w:rPr>
      </w:pPr>
      <w:r>
        <w:rPr>
          <w:rFonts w:hint="eastAsia" w:ascii="宋体" w:hAnsi="宋体"/>
          <w:color w:val="000000"/>
          <w:sz w:val="24"/>
          <w:szCs w:val="24"/>
          <w:highlight w:val="none"/>
        </w:rPr>
        <w:t>（2）残疾人福利单位需按照</w:t>
      </w:r>
      <w:r>
        <w:rPr>
          <w:rFonts w:hint="eastAsia" w:ascii="宋体" w:hAnsi="宋体"/>
          <w:color w:val="000000"/>
          <w:sz w:val="24"/>
          <w:szCs w:val="24"/>
          <w:highlight w:val="none"/>
          <w:lang w:eastAsia="zh-CN"/>
        </w:rPr>
        <w:t>招标文件</w:t>
      </w:r>
      <w:r>
        <w:rPr>
          <w:rFonts w:hint="eastAsia" w:ascii="宋体" w:hAnsi="宋体"/>
          <w:color w:val="000000"/>
          <w:sz w:val="24"/>
          <w:szCs w:val="24"/>
          <w:highlight w:val="none"/>
        </w:rPr>
        <w:t>的要求提供《残疾人福利性单位声明函》。</w:t>
      </w:r>
    </w:p>
    <w:p w14:paraId="1992380A">
      <w:pPr>
        <w:spacing w:line="440" w:lineRule="exact"/>
        <w:ind w:left="120" w:firstLine="360"/>
        <w:jc w:val="left"/>
        <w:rPr>
          <w:rFonts w:hint="eastAsia" w:ascii="宋体" w:hAnsi="宋体"/>
          <w:color w:val="000000"/>
          <w:sz w:val="24"/>
          <w:szCs w:val="24"/>
          <w:highlight w:val="none"/>
        </w:rPr>
      </w:pPr>
      <w:r>
        <w:rPr>
          <w:rFonts w:hint="eastAsia" w:ascii="宋体" w:hAnsi="宋体"/>
          <w:color w:val="000000"/>
          <w:sz w:val="24"/>
          <w:szCs w:val="24"/>
          <w:highlight w:val="none"/>
        </w:rPr>
        <w:t>（3）残疾人福利单位标准请参照《关于促进残疾人就业政府采购政策的通知》（财库〔2017〕141号）。</w:t>
      </w:r>
    </w:p>
    <w:p w14:paraId="7ADCF390">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3、监狱和戒毒企业价格扣除</w:t>
      </w:r>
    </w:p>
    <w:p w14:paraId="3EBEDE63">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（1）本项目对监狱和戒毒企业（简称监狱企业）视同小型、微型企业，给予</w:t>
      </w:r>
      <w:r>
        <w:rPr>
          <w:rFonts w:hint="eastAsia" w:ascii="宋体" w:hAnsi="宋体"/>
          <w:b/>
          <w:bCs/>
          <w:color w:val="000000"/>
          <w:sz w:val="24"/>
          <w:szCs w:val="24"/>
          <w:highlight w:val="none"/>
          <w:u w:val="single"/>
          <w:lang w:val="en-US" w:eastAsia="zh-CN"/>
        </w:rPr>
        <w:t>20%</w:t>
      </w:r>
      <w:r>
        <w:rPr>
          <w:rFonts w:hint="eastAsia" w:ascii="宋体" w:hAnsi="宋体"/>
          <w:color w:val="000000"/>
          <w:sz w:val="24"/>
          <w:szCs w:val="24"/>
          <w:highlight w:val="none"/>
        </w:rPr>
        <w:t>的价格扣除，用扣除后的价格参与评审。</w:t>
      </w:r>
    </w:p>
    <w:p w14:paraId="356A6868">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如不提供上述证明文件，价格将不做相应扣除。</w:t>
      </w:r>
    </w:p>
    <w:p w14:paraId="430A5397">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（3）监狱企业标准请参照《关于政府采购支持监狱企业发展有关问题的通知》（</w:t>
      </w:r>
      <w:r>
        <w:rPr>
          <w:rFonts w:ascii="宋体" w:hAnsi="宋体"/>
          <w:color w:val="000000"/>
          <w:sz w:val="24"/>
          <w:szCs w:val="24"/>
          <w:highlight w:val="none"/>
        </w:rPr>
        <w:t>财库[2014]68号</w:t>
      </w:r>
      <w:r>
        <w:rPr>
          <w:rFonts w:hint="eastAsia" w:ascii="宋体" w:hAnsi="宋体"/>
          <w:color w:val="000000"/>
          <w:sz w:val="24"/>
          <w:szCs w:val="24"/>
          <w:highlight w:val="none"/>
        </w:rPr>
        <w:t>）。</w:t>
      </w:r>
    </w:p>
    <w:p w14:paraId="36AE3BBB">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4、残疾人福利单位、监狱企业属于小型、微型企业的，不重复享受政策。</w:t>
      </w:r>
    </w:p>
    <w:p w14:paraId="1444034D">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5、如本项目同意联合体参加</w:t>
      </w:r>
      <w:r>
        <w:rPr>
          <w:rFonts w:hint="eastAsia" w:ascii="宋体" w:hAnsi="宋体"/>
          <w:color w:val="000000"/>
          <w:sz w:val="24"/>
          <w:szCs w:val="24"/>
          <w:highlight w:val="none"/>
          <w:lang w:val="en-US" w:eastAsia="zh-CN"/>
        </w:rPr>
        <w:t>投标</w:t>
      </w:r>
      <w:r>
        <w:rPr>
          <w:rFonts w:hint="eastAsia" w:ascii="宋体" w:hAnsi="宋体"/>
          <w:color w:val="000000"/>
          <w:sz w:val="24"/>
          <w:szCs w:val="24"/>
          <w:highlight w:val="none"/>
        </w:rPr>
        <w:t>或</w:t>
      </w:r>
      <w:r>
        <w:rPr>
          <w:rFonts w:hint="eastAsia" w:ascii="宋体" w:hAnsi="宋体"/>
          <w:color w:val="000000"/>
          <w:sz w:val="24"/>
          <w:szCs w:val="24"/>
          <w:highlight w:val="none"/>
          <w:u w:val="single"/>
        </w:rPr>
        <w:t>同意分包履行合同的</w:t>
      </w:r>
      <w:r>
        <w:rPr>
          <w:rFonts w:hint="eastAsia" w:ascii="宋体" w:hAnsi="宋体"/>
          <w:color w:val="000000"/>
          <w:sz w:val="24"/>
          <w:szCs w:val="24"/>
          <w:highlight w:val="none"/>
        </w:rPr>
        <w:t>,大中型企业与小微型企业（残疾人福利单位、监狱企业）组成联合体或者</w:t>
      </w:r>
      <w:r>
        <w:rPr>
          <w:rFonts w:hint="eastAsia" w:ascii="宋体" w:hAnsi="宋体"/>
          <w:color w:val="000000"/>
          <w:sz w:val="24"/>
          <w:szCs w:val="24"/>
          <w:highlight w:val="none"/>
          <w:u w:val="single"/>
        </w:rPr>
        <w:t>大中型企业向一家或多家小微型企业分包</w:t>
      </w:r>
      <w:r>
        <w:rPr>
          <w:rFonts w:hint="eastAsia" w:ascii="宋体" w:hAnsi="宋体"/>
          <w:color w:val="000000"/>
          <w:sz w:val="24"/>
          <w:szCs w:val="24"/>
          <w:highlight w:val="none"/>
        </w:rPr>
        <w:t>，联合协议或者</w:t>
      </w:r>
      <w:r>
        <w:rPr>
          <w:rFonts w:hint="eastAsia" w:ascii="宋体" w:hAnsi="宋体"/>
          <w:color w:val="000000"/>
          <w:sz w:val="24"/>
          <w:szCs w:val="24"/>
          <w:highlight w:val="none"/>
          <w:u w:val="single"/>
        </w:rPr>
        <w:t>分包意向协议中约定小微型企业</w:t>
      </w:r>
      <w:r>
        <w:rPr>
          <w:rFonts w:hint="eastAsia" w:ascii="宋体" w:hAnsi="宋体"/>
          <w:color w:val="000000"/>
          <w:sz w:val="24"/>
          <w:szCs w:val="24"/>
          <w:highlight w:val="none"/>
        </w:rPr>
        <w:t>（残疾人福利单位、监狱企业）的合同份额占到合同总金额30%以上的，给予联合体或者大中型企业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6</w:t>
      </w:r>
      <w:r>
        <w:rPr>
          <w:rFonts w:hint="eastAsia" w:ascii="宋体" w:hAnsi="宋体"/>
          <w:color w:val="000000"/>
          <w:sz w:val="24"/>
          <w:szCs w:val="24"/>
          <w:highlight w:val="none"/>
          <w:u w:val="single"/>
        </w:rPr>
        <w:t>%</w:t>
      </w:r>
      <w:r>
        <w:rPr>
          <w:rFonts w:hint="eastAsia" w:ascii="宋体" w:hAnsi="宋体"/>
          <w:color w:val="000000"/>
          <w:sz w:val="24"/>
          <w:szCs w:val="24"/>
          <w:highlight w:val="none"/>
        </w:rPr>
        <w:t>的价格扣除，用扣除后的价格参与评审。</w:t>
      </w:r>
    </w:p>
    <w:p w14:paraId="19B4DC51">
      <w:pPr>
        <w:spacing w:line="44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 / </w:t>
      </w:r>
      <w:r>
        <w:rPr>
          <w:rFonts w:hint="eastAsia" w:ascii="宋体" w:hAnsi="宋体"/>
          <w:color w:val="000000"/>
          <w:sz w:val="24"/>
          <w:szCs w:val="24"/>
          <w:highlight w:val="none"/>
          <w:u w:val="single"/>
        </w:rPr>
        <w:t>%</w:t>
      </w:r>
      <w:r>
        <w:rPr>
          <w:rFonts w:hint="eastAsia" w:ascii="宋体" w:hAnsi="宋体"/>
          <w:color w:val="000000"/>
          <w:sz w:val="24"/>
          <w:szCs w:val="24"/>
          <w:highlight w:val="none"/>
        </w:rPr>
        <w:t>价格扣除，用扣除后的价格参与评审。</w:t>
      </w:r>
    </w:p>
    <w:p w14:paraId="41085A92">
      <w:pPr>
        <w:keepNext w:val="0"/>
        <w:keepLines w:val="0"/>
        <w:pageBreakBefore w:val="0"/>
        <w:widowControl/>
        <w:kinsoku/>
        <w:wordWrap/>
        <w:overflowPunct/>
        <w:topLinePunct w:val="0"/>
        <w:autoSpaceDE/>
        <w:autoSpaceDN/>
        <w:bidi w:val="0"/>
        <w:adjustRightInd/>
        <w:snapToGrid w:val="0"/>
        <w:spacing w:line="400" w:lineRule="exact"/>
        <w:ind w:firstLine="420"/>
        <w:jc w:val="left"/>
        <w:textAlignment w:val="auto"/>
        <w:rPr>
          <w:rFonts w:hint="eastAsia" w:ascii="宋体" w:hAnsi="宋体"/>
          <w:color w:val="000000"/>
          <w:sz w:val="24"/>
          <w:szCs w:val="24"/>
          <w:highlight w:val="none"/>
        </w:rPr>
      </w:pPr>
      <w:r>
        <w:rPr>
          <w:rFonts w:hint="eastAsia" w:ascii="宋体" w:hAnsi="宋体" w:cs="仿宋"/>
          <w:b/>
          <w:color w:val="auto"/>
          <w:sz w:val="21"/>
          <w:szCs w:val="21"/>
          <w:highlight w:val="none"/>
        </w:rPr>
        <w:t>本项目全额预留，专门面向中小微企业采购，小微企业不享受价格扣减。</w:t>
      </w:r>
    </w:p>
    <w:p w14:paraId="4522E297">
      <w:pPr>
        <w:pStyle w:val="204"/>
        <w:spacing w:before="0" w:after="0" w:line="440" w:lineRule="exact"/>
        <w:ind w:firstLine="482"/>
        <w:rPr>
          <w:rFonts w:hint="eastAsia" w:ascii="宋体" w:hAnsi="宋体"/>
          <w:b/>
          <w:color w:val="000000"/>
          <w:highlight w:val="none"/>
        </w:rPr>
      </w:pPr>
      <w:r>
        <w:rPr>
          <w:rFonts w:hint="eastAsia" w:ascii="宋体" w:hAnsi="宋体"/>
          <w:b/>
          <w:color w:val="000000"/>
          <w:highlight w:val="none"/>
        </w:rPr>
        <w:t>评标方法与评标标准</w:t>
      </w:r>
    </w:p>
    <w:p w14:paraId="5ACEBBFC">
      <w:pPr>
        <w:spacing w:line="440" w:lineRule="exact"/>
        <w:rPr>
          <w:rFonts w:hint="eastAsia"/>
          <w:color w:val="000000"/>
          <w:sz w:val="24"/>
          <w:szCs w:val="24"/>
          <w:highlight w:val="none"/>
        </w:rPr>
      </w:pPr>
      <w:r>
        <w:rPr>
          <w:rFonts w:hint="eastAsia"/>
          <w:color w:val="000000"/>
          <w:sz w:val="24"/>
          <w:szCs w:val="24"/>
          <w:highlight w:val="none"/>
        </w:rPr>
        <w:t>一、综合评分各因素所占分值为：</w:t>
      </w:r>
    </w:p>
    <w:p w14:paraId="2E49D247">
      <w:pPr>
        <w:spacing w:line="440" w:lineRule="exact"/>
        <w:ind w:firstLine="480"/>
        <w:rPr>
          <w:rFonts w:hint="eastAsia"/>
          <w:sz w:val="24"/>
          <w:szCs w:val="24"/>
          <w:highlight w:val="none"/>
          <w:lang w:val="zh-CN"/>
        </w:rPr>
      </w:pPr>
      <w:r>
        <w:rPr>
          <w:rFonts w:hint="eastAsia"/>
          <w:sz w:val="24"/>
          <w:szCs w:val="24"/>
          <w:highlight w:val="none"/>
          <w:lang w:val="zh-CN"/>
        </w:rPr>
        <w:t>（</w:t>
      </w:r>
      <w:r>
        <w:rPr>
          <w:rFonts w:hint="eastAsia"/>
          <w:sz w:val="24"/>
          <w:szCs w:val="24"/>
          <w:highlight w:val="none"/>
          <w:lang w:val="en-US" w:eastAsia="zh-CN"/>
        </w:rPr>
        <w:t>一</w:t>
      </w:r>
      <w:r>
        <w:rPr>
          <w:rFonts w:hint="eastAsia"/>
          <w:sz w:val="24"/>
          <w:szCs w:val="24"/>
          <w:highlight w:val="none"/>
          <w:lang w:val="zh-CN"/>
        </w:rPr>
        <w:t>）</w:t>
      </w:r>
      <w:r>
        <w:rPr>
          <w:rFonts w:hint="eastAsia"/>
          <w:sz w:val="24"/>
          <w:szCs w:val="24"/>
          <w:highlight w:val="none"/>
          <w:lang w:val="en-US" w:eastAsia="zh-CN"/>
        </w:rPr>
        <w:t>投标</w:t>
      </w:r>
      <w:r>
        <w:rPr>
          <w:rFonts w:hint="eastAsia"/>
          <w:sz w:val="24"/>
          <w:szCs w:val="24"/>
          <w:highlight w:val="none"/>
          <w:lang w:val="zh-CN"/>
        </w:rPr>
        <w:t xml:space="preserve">报价                      </w:t>
      </w:r>
      <w:r>
        <w:rPr>
          <w:rFonts w:hint="eastAsia"/>
          <w:sz w:val="24"/>
          <w:szCs w:val="24"/>
          <w:highlight w:val="none"/>
          <w:lang w:val="en-US" w:eastAsia="zh-CN"/>
        </w:rPr>
        <w:t>30</w:t>
      </w:r>
      <w:r>
        <w:rPr>
          <w:rFonts w:hint="eastAsia"/>
          <w:sz w:val="24"/>
          <w:szCs w:val="24"/>
          <w:highlight w:val="none"/>
          <w:lang w:val="zh-CN"/>
        </w:rPr>
        <w:t>分</w:t>
      </w:r>
    </w:p>
    <w:p w14:paraId="1459FF71">
      <w:pPr>
        <w:spacing w:line="440" w:lineRule="exact"/>
        <w:ind w:firstLine="480"/>
        <w:rPr>
          <w:rFonts w:hint="eastAsia"/>
          <w:sz w:val="24"/>
          <w:szCs w:val="24"/>
          <w:highlight w:val="none"/>
          <w:lang w:val="zh-CN"/>
        </w:rPr>
      </w:pPr>
      <w:r>
        <w:rPr>
          <w:rFonts w:hint="eastAsia"/>
          <w:sz w:val="24"/>
          <w:szCs w:val="24"/>
          <w:highlight w:val="none"/>
          <w:lang w:val="zh-CN"/>
        </w:rPr>
        <w:t>（</w:t>
      </w:r>
      <w:r>
        <w:rPr>
          <w:rFonts w:hint="eastAsia"/>
          <w:sz w:val="24"/>
          <w:szCs w:val="24"/>
          <w:highlight w:val="none"/>
          <w:lang w:val="en-US" w:eastAsia="zh-CN"/>
        </w:rPr>
        <w:t>二</w:t>
      </w:r>
      <w:r>
        <w:rPr>
          <w:rFonts w:hint="eastAsia"/>
          <w:sz w:val="24"/>
          <w:szCs w:val="24"/>
          <w:highlight w:val="none"/>
          <w:lang w:val="zh-CN"/>
        </w:rPr>
        <w:t>）</w:t>
      </w:r>
      <w:r>
        <w:rPr>
          <w:rFonts w:hint="eastAsia"/>
          <w:sz w:val="24"/>
          <w:szCs w:val="24"/>
          <w:highlight w:val="none"/>
          <w:lang w:val="zh-CN" w:eastAsia="zh-CN"/>
        </w:rPr>
        <w:t xml:space="preserve">技术部分  </w:t>
      </w:r>
      <w:r>
        <w:rPr>
          <w:rFonts w:hint="eastAsia"/>
          <w:sz w:val="24"/>
          <w:szCs w:val="24"/>
          <w:highlight w:val="none"/>
          <w:lang w:val="en-US" w:eastAsia="zh-CN"/>
        </w:rPr>
        <w:t xml:space="preserve">                  </w:t>
      </w:r>
      <w:r>
        <w:rPr>
          <w:rFonts w:hint="eastAsia"/>
          <w:sz w:val="24"/>
          <w:szCs w:val="24"/>
          <w:highlight w:val="none"/>
          <w:lang w:val="zh-CN" w:eastAsia="zh-CN"/>
        </w:rPr>
        <w:t xml:space="preserve">  </w:t>
      </w:r>
      <w:r>
        <w:rPr>
          <w:rFonts w:hint="eastAsia"/>
          <w:sz w:val="24"/>
          <w:szCs w:val="24"/>
          <w:highlight w:val="none"/>
          <w:lang w:val="en-US" w:eastAsia="zh-CN"/>
        </w:rPr>
        <w:t>55</w:t>
      </w:r>
      <w:r>
        <w:rPr>
          <w:rFonts w:hint="eastAsia"/>
          <w:sz w:val="24"/>
          <w:szCs w:val="24"/>
          <w:highlight w:val="none"/>
          <w:lang w:val="zh-CN" w:eastAsia="zh-CN"/>
        </w:rPr>
        <w:t>分</w:t>
      </w:r>
    </w:p>
    <w:p w14:paraId="161565FA">
      <w:pPr>
        <w:spacing w:line="440" w:lineRule="exact"/>
        <w:ind w:firstLine="480"/>
        <w:rPr>
          <w:rFonts w:hint="eastAsia"/>
          <w:sz w:val="24"/>
          <w:szCs w:val="24"/>
          <w:highlight w:val="none"/>
          <w:lang w:val="zh-CN"/>
        </w:rPr>
      </w:pPr>
      <w:r>
        <w:rPr>
          <w:rFonts w:hint="eastAsia"/>
          <w:sz w:val="24"/>
          <w:szCs w:val="24"/>
          <w:highlight w:val="none"/>
          <w:lang w:val="zh-CN" w:eastAsia="zh-CN"/>
        </w:rPr>
        <w:t>（</w:t>
      </w:r>
      <w:r>
        <w:rPr>
          <w:rFonts w:hint="eastAsia"/>
          <w:sz w:val="24"/>
          <w:szCs w:val="24"/>
          <w:highlight w:val="none"/>
          <w:lang w:val="en-US" w:eastAsia="zh-CN"/>
        </w:rPr>
        <w:t>三</w:t>
      </w:r>
      <w:r>
        <w:rPr>
          <w:rFonts w:hint="eastAsia"/>
          <w:sz w:val="24"/>
          <w:szCs w:val="24"/>
          <w:highlight w:val="none"/>
          <w:lang w:val="zh-CN" w:eastAsia="zh-CN"/>
        </w:rPr>
        <w:t>）</w:t>
      </w:r>
      <w:r>
        <w:rPr>
          <w:rFonts w:hint="eastAsia"/>
          <w:sz w:val="24"/>
          <w:szCs w:val="24"/>
          <w:highlight w:val="none"/>
          <w:lang w:val="en-US" w:eastAsia="zh-CN"/>
        </w:rPr>
        <w:t>商务</w:t>
      </w:r>
      <w:r>
        <w:rPr>
          <w:rFonts w:hint="eastAsia"/>
          <w:sz w:val="24"/>
          <w:szCs w:val="24"/>
          <w:highlight w:val="none"/>
          <w:lang w:val="zh-CN" w:eastAsia="zh-CN"/>
        </w:rPr>
        <w:t xml:space="preserve">部分    </w:t>
      </w:r>
      <w:r>
        <w:rPr>
          <w:rFonts w:hint="eastAsia"/>
          <w:sz w:val="24"/>
          <w:szCs w:val="24"/>
          <w:highlight w:val="none"/>
          <w:lang w:val="en-US" w:eastAsia="zh-CN"/>
        </w:rPr>
        <w:t xml:space="preserve">                  15</w:t>
      </w:r>
      <w:r>
        <w:rPr>
          <w:rFonts w:hint="eastAsia"/>
          <w:sz w:val="24"/>
          <w:szCs w:val="24"/>
          <w:highlight w:val="none"/>
          <w:lang w:val="zh-CN"/>
        </w:rPr>
        <w:t>分</w:t>
      </w:r>
    </w:p>
    <w:p w14:paraId="2A5915D7">
      <w:pPr>
        <w:spacing w:line="440" w:lineRule="exact"/>
        <w:rPr>
          <w:rFonts w:hint="eastAsia"/>
          <w:color w:val="000000"/>
          <w:sz w:val="24"/>
          <w:szCs w:val="24"/>
          <w:highlight w:val="none"/>
        </w:rPr>
      </w:pPr>
      <w:r>
        <w:rPr>
          <w:rFonts w:hint="eastAsia"/>
          <w:color w:val="000000"/>
          <w:sz w:val="24"/>
          <w:szCs w:val="24"/>
          <w:highlight w:val="none"/>
        </w:rPr>
        <w:t>二、评分办法</w:t>
      </w:r>
    </w:p>
    <w:tbl>
      <w:tblPr>
        <w:tblStyle w:val="30"/>
        <w:tblpPr w:leftFromText="180" w:rightFromText="180" w:vertAnchor="text" w:horzAnchor="page" w:tblpX="1290" w:tblpY="42"/>
        <w:tblW w:w="9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2141"/>
        <w:gridCol w:w="6048"/>
        <w:gridCol w:w="814"/>
      </w:tblGrid>
      <w:tr w14:paraId="663C3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blHeader/>
        </w:trPr>
        <w:tc>
          <w:tcPr>
            <w:tcW w:w="704" w:type="dxa"/>
            <w:shd w:val="clear" w:color="auto" w:fill="BFBFBF"/>
            <w:noWrap w:val="0"/>
            <w:vAlign w:val="center"/>
          </w:tcPr>
          <w:p w14:paraId="324E84CD">
            <w:pPr>
              <w:jc w:val="both"/>
              <w:rPr>
                <w:rFonts w:hint="eastAsia" w:ascii="宋体" w:hAnsi="宋体"/>
                <w:b/>
                <w:color w:val="000000"/>
                <w:sz w:val="22"/>
                <w:szCs w:val="22"/>
                <w:highlight w:val="none"/>
              </w:rPr>
            </w:pPr>
            <w:r>
              <w:rPr>
                <w:rFonts w:hint="eastAsia" w:ascii="宋体" w:hAnsi="宋体"/>
                <w:b/>
                <w:color w:val="000000"/>
                <w:sz w:val="22"/>
                <w:szCs w:val="22"/>
                <w:highlight w:val="none"/>
              </w:rPr>
              <w:t>序号</w:t>
            </w:r>
          </w:p>
        </w:tc>
        <w:tc>
          <w:tcPr>
            <w:tcW w:w="2141" w:type="dxa"/>
            <w:shd w:val="clear" w:color="auto" w:fill="BFBFBF"/>
            <w:noWrap w:val="0"/>
            <w:vAlign w:val="center"/>
          </w:tcPr>
          <w:p w14:paraId="1150C7B3">
            <w:pPr>
              <w:jc w:val="center"/>
              <w:rPr>
                <w:rFonts w:hint="eastAsia" w:ascii="宋体" w:hAnsi="宋体"/>
                <w:b/>
                <w:color w:val="000000"/>
                <w:sz w:val="22"/>
                <w:szCs w:val="22"/>
                <w:highlight w:val="none"/>
              </w:rPr>
            </w:pPr>
            <w:r>
              <w:rPr>
                <w:rFonts w:hint="eastAsia" w:ascii="宋体" w:hAnsi="宋体"/>
                <w:b/>
                <w:color w:val="000000"/>
                <w:sz w:val="22"/>
                <w:szCs w:val="22"/>
                <w:highlight w:val="none"/>
              </w:rPr>
              <w:t>内容</w:t>
            </w:r>
          </w:p>
        </w:tc>
        <w:tc>
          <w:tcPr>
            <w:tcW w:w="6048" w:type="dxa"/>
            <w:shd w:val="clear" w:color="auto" w:fill="BFBFBF"/>
            <w:noWrap w:val="0"/>
            <w:vAlign w:val="top"/>
          </w:tcPr>
          <w:p w14:paraId="3CB485D8">
            <w:pPr>
              <w:jc w:val="center"/>
              <w:rPr>
                <w:rFonts w:hint="eastAsia" w:ascii="宋体" w:hAnsi="宋体"/>
                <w:b/>
                <w:color w:val="000000"/>
                <w:sz w:val="22"/>
                <w:szCs w:val="22"/>
                <w:highlight w:val="none"/>
              </w:rPr>
            </w:pPr>
            <w:r>
              <w:rPr>
                <w:rFonts w:hint="eastAsia" w:ascii="宋体" w:hAnsi="宋体"/>
                <w:b/>
                <w:color w:val="000000"/>
                <w:sz w:val="22"/>
                <w:szCs w:val="22"/>
                <w:highlight w:val="none"/>
              </w:rPr>
              <w:t>评分</w:t>
            </w:r>
            <w:r>
              <w:rPr>
                <w:rFonts w:ascii="宋体" w:hAnsi="宋体"/>
                <w:b/>
                <w:color w:val="000000"/>
                <w:sz w:val="22"/>
                <w:szCs w:val="22"/>
                <w:highlight w:val="none"/>
              </w:rPr>
              <w:t>要求</w:t>
            </w:r>
          </w:p>
        </w:tc>
        <w:tc>
          <w:tcPr>
            <w:tcW w:w="814" w:type="dxa"/>
            <w:shd w:val="clear" w:color="auto" w:fill="BFBFBF"/>
            <w:noWrap w:val="0"/>
            <w:vAlign w:val="center"/>
          </w:tcPr>
          <w:p w14:paraId="08D3668B">
            <w:pPr>
              <w:jc w:val="center"/>
              <w:rPr>
                <w:rFonts w:hint="eastAsia" w:ascii="宋体" w:hAnsi="宋体"/>
                <w:b/>
                <w:color w:val="000000"/>
                <w:sz w:val="22"/>
                <w:szCs w:val="22"/>
                <w:highlight w:val="none"/>
              </w:rPr>
            </w:pPr>
            <w:r>
              <w:rPr>
                <w:rFonts w:hint="eastAsia" w:ascii="宋体" w:hAnsi="宋体"/>
                <w:b/>
                <w:color w:val="000000"/>
                <w:sz w:val="22"/>
                <w:szCs w:val="22"/>
                <w:highlight w:val="none"/>
              </w:rPr>
              <w:t>分值</w:t>
            </w:r>
          </w:p>
        </w:tc>
      </w:tr>
      <w:tr w14:paraId="6BA72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trPr>
        <w:tc>
          <w:tcPr>
            <w:tcW w:w="9707" w:type="dxa"/>
            <w:gridSpan w:val="4"/>
            <w:shd w:val="clear" w:color="auto" w:fill="F1F1F1"/>
            <w:noWrap w:val="0"/>
            <w:vAlign w:val="center"/>
          </w:tcPr>
          <w:p w14:paraId="489B2706">
            <w:pPr>
              <w:jc w:val="center"/>
              <w:rPr>
                <w:rFonts w:ascii="宋体" w:hAnsi="宋体"/>
                <w:color w:val="000000"/>
                <w:szCs w:val="21"/>
                <w:highlight w:val="none"/>
                <w:lang w:val="en-US"/>
              </w:rPr>
            </w:pPr>
            <w:r>
              <w:rPr>
                <w:rFonts w:hint="eastAsia" w:ascii="宋体" w:hAnsi="宋体"/>
                <w:b/>
                <w:color w:val="000000"/>
                <w:szCs w:val="21"/>
                <w:highlight w:val="none"/>
                <w:shd w:val="clear" w:color="auto" w:fill="auto"/>
                <w:lang w:val="en-US" w:eastAsia="zh-CN"/>
              </w:rPr>
              <w:t>（一）投标报价30分</w:t>
            </w:r>
          </w:p>
        </w:tc>
      </w:tr>
      <w:tr w14:paraId="4D587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5" w:hRule="atLeast"/>
        </w:trPr>
        <w:tc>
          <w:tcPr>
            <w:tcW w:w="704" w:type="dxa"/>
            <w:noWrap w:val="0"/>
            <w:vAlign w:val="center"/>
          </w:tcPr>
          <w:p w14:paraId="36C64DF9">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rPr>
              <w:t>1</w:t>
            </w:r>
            <w:r>
              <w:rPr>
                <w:rFonts w:hint="eastAsia" w:ascii="Arial" w:hAnsi="Arial" w:cs="Arial"/>
                <w:color w:val="000000"/>
                <w:szCs w:val="21"/>
                <w:highlight w:val="none"/>
                <w:lang w:val="en-US" w:eastAsia="zh-CN"/>
              </w:rPr>
              <w:t>.1</w:t>
            </w:r>
          </w:p>
        </w:tc>
        <w:tc>
          <w:tcPr>
            <w:tcW w:w="2141" w:type="dxa"/>
            <w:noWrap w:val="0"/>
            <w:vAlign w:val="center"/>
          </w:tcPr>
          <w:p w14:paraId="13408A40">
            <w:pPr>
              <w:keepNext w:val="0"/>
              <w:keepLines w:val="0"/>
              <w:pageBreakBefore w:val="0"/>
              <w:kinsoku/>
              <w:wordWrap/>
              <w:overflowPunct/>
              <w:topLinePunct w:val="0"/>
              <w:autoSpaceDE/>
              <w:autoSpaceDN/>
              <w:bidi w:val="0"/>
              <w:adjustRightInd/>
              <w:snapToGrid w:val="0"/>
              <w:spacing w:line="400" w:lineRule="exact"/>
              <w:jc w:val="center"/>
              <w:textAlignment w:val="auto"/>
              <w:rPr>
                <w:b/>
                <w:bCs/>
                <w:color w:val="000000"/>
                <w:szCs w:val="21"/>
                <w:highlight w:val="none"/>
              </w:rPr>
            </w:pPr>
            <w:r>
              <w:rPr>
                <w:b/>
                <w:bCs/>
                <w:color w:val="000000"/>
                <w:szCs w:val="21"/>
                <w:highlight w:val="none"/>
              </w:rPr>
              <w:t>投标报价</w:t>
            </w:r>
          </w:p>
        </w:tc>
        <w:tc>
          <w:tcPr>
            <w:tcW w:w="6048" w:type="dxa"/>
            <w:noWrap w:val="0"/>
            <w:vAlign w:val="top"/>
          </w:tcPr>
          <w:p w14:paraId="106FDCB4">
            <w:pPr>
              <w:keepNext w:val="0"/>
              <w:keepLines w:val="0"/>
              <w:pageBreakBefore w:val="0"/>
              <w:widowControl/>
              <w:kinsoku/>
              <w:wordWrap/>
              <w:overflowPunct/>
              <w:topLinePunct w:val="0"/>
              <w:autoSpaceDE/>
              <w:autoSpaceDN/>
              <w:bidi w:val="0"/>
              <w:adjustRightInd/>
              <w:snapToGrid w:val="0"/>
              <w:spacing w:line="400" w:lineRule="exact"/>
              <w:ind w:firstLine="420"/>
              <w:jc w:val="left"/>
              <w:textAlignment w:val="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以满足</w:t>
            </w:r>
            <w:r>
              <w:rPr>
                <w:rFonts w:hint="eastAsia" w:ascii="宋体" w:hAnsi="宋体" w:eastAsia="宋体" w:cs="Times New Roman"/>
                <w:color w:val="000000"/>
                <w:szCs w:val="21"/>
                <w:highlight w:val="none"/>
                <w:lang w:eastAsia="zh-CN"/>
              </w:rPr>
              <w:t>招标文件</w:t>
            </w:r>
            <w:r>
              <w:rPr>
                <w:rFonts w:hint="eastAsia" w:ascii="宋体" w:hAnsi="宋体" w:eastAsia="宋体" w:cs="Times New Roman"/>
                <w:color w:val="000000"/>
                <w:szCs w:val="21"/>
                <w:highlight w:val="none"/>
              </w:rPr>
              <w:t>要求的最低报价为评审基准价，得满分30分，其他报价得分=（评审基准价/其他报价）×30×100%（计算出的分值保留2位小数）</w:t>
            </w:r>
          </w:p>
          <w:p w14:paraId="4D281139">
            <w:pPr>
              <w:keepNext w:val="0"/>
              <w:keepLines w:val="0"/>
              <w:pageBreakBefore w:val="0"/>
              <w:widowControl/>
              <w:kinsoku/>
              <w:wordWrap/>
              <w:overflowPunct/>
              <w:topLinePunct w:val="0"/>
              <w:autoSpaceDE/>
              <w:autoSpaceDN/>
              <w:bidi w:val="0"/>
              <w:adjustRightInd/>
              <w:snapToGrid w:val="0"/>
              <w:spacing w:line="400" w:lineRule="exact"/>
              <w:ind w:firstLine="420"/>
              <w:jc w:val="left"/>
              <w:textAlignment w:val="auto"/>
              <w:rPr>
                <w:rFonts w:hint="eastAsia" w:ascii="宋体" w:hAnsi="宋体" w:eastAsia="宋体"/>
                <w:color w:val="000000"/>
                <w:szCs w:val="21"/>
                <w:highlight w:val="none"/>
                <w:lang w:eastAsia="zh-CN"/>
              </w:rPr>
            </w:pPr>
            <w:r>
              <w:rPr>
                <w:rFonts w:hint="eastAsia" w:ascii="宋体" w:hAnsi="宋体" w:eastAsia="宋体" w:cs="仿宋"/>
                <w:b/>
                <w:bCs w:val="0"/>
                <w:color w:val="FF0000"/>
                <w:sz w:val="21"/>
                <w:szCs w:val="21"/>
                <w:highlight w:val="none"/>
                <w:lang w:val="en-US" w:eastAsia="zh-CN"/>
              </w:rPr>
              <w:t>注：</w:t>
            </w:r>
            <w:r>
              <w:rPr>
                <w:rFonts w:hint="eastAsia" w:ascii="宋体" w:hAnsi="宋体" w:eastAsia="宋体" w:cs="Times New Roman"/>
                <w:b/>
                <w:bCs w:val="0"/>
                <w:color w:val="FF0000"/>
                <w:szCs w:val="21"/>
                <w:highlight w:val="none"/>
                <w:lang w:eastAsia="zh-CN"/>
              </w:rPr>
              <w:t>本工程采用最高投标限价，超过最高投标限价的或者投标人的投标报价中的分类分项工程单价高于招标人设定的最高限价中的分类分项工程单价的投标文件将被否决。</w:t>
            </w:r>
          </w:p>
        </w:tc>
        <w:tc>
          <w:tcPr>
            <w:tcW w:w="814" w:type="dxa"/>
            <w:noWrap w:val="0"/>
            <w:vAlign w:val="center"/>
          </w:tcPr>
          <w:p w14:paraId="0A7C75F6">
            <w:pPr>
              <w:jc w:val="center"/>
              <w:rPr>
                <w:rFonts w:hint="eastAsia" w:ascii="宋体" w:hAnsi="宋体"/>
                <w:color w:val="000000"/>
                <w:szCs w:val="21"/>
                <w:highlight w:val="none"/>
              </w:rPr>
            </w:pPr>
            <w:r>
              <w:rPr>
                <w:rFonts w:hint="eastAsia" w:ascii="宋体" w:hAnsi="宋体"/>
                <w:color w:val="000000"/>
                <w:szCs w:val="21"/>
                <w:highlight w:val="none"/>
                <w:lang w:val="en-US" w:eastAsia="zh-CN"/>
              </w:rPr>
              <w:t>30分</w:t>
            </w:r>
            <w:r>
              <w:rPr>
                <w:rFonts w:ascii="宋体" w:hAnsi="宋体"/>
                <w:color w:val="000000"/>
                <w:szCs w:val="21"/>
                <w:highlight w:val="none"/>
              </w:rPr>
              <w:t xml:space="preserve"> </w:t>
            </w:r>
          </w:p>
        </w:tc>
      </w:tr>
      <w:tr w14:paraId="21F7C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9707" w:type="dxa"/>
            <w:gridSpan w:val="4"/>
            <w:shd w:val="clear" w:color="auto" w:fill="F1F1F1"/>
            <w:noWrap w:val="0"/>
            <w:vAlign w:val="center"/>
          </w:tcPr>
          <w:p w14:paraId="44382A56">
            <w:pPr>
              <w:jc w:val="center"/>
              <w:rPr>
                <w:rFonts w:ascii="宋体" w:hAnsi="宋体"/>
                <w:color w:val="000000"/>
                <w:szCs w:val="21"/>
                <w:highlight w:val="none"/>
                <w:lang w:val="en-US"/>
              </w:rPr>
            </w:pPr>
            <w:r>
              <w:rPr>
                <w:rFonts w:hint="eastAsia" w:ascii="宋体" w:hAnsi="宋体"/>
                <w:b/>
                <w:color w:val="000000"/>
                <w:szCs w:val="21"/>
                <w:highlight w:val="none"/>
                <w:lang w:val="en-US" w:eastAsia="zh-CN"/>
              </w:rPr>
              <w:t>（二）技术部分55分</w:t>
            </w:r>
          </w:p>
        </w:tc>
      </w:tr>
      <w:tr w14:paraId="205F6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04" w:type="dxa"/>
            <w:noWrap w:val="0"/>
            <w:vAlign w:val="center"/>
          </w:tcPr>
          <w:p w14:paraId="22F81495">
            <w:pPr>
              <w:jc w:val="center"/>
              <w:rPr>
                <w:rFonts w:ascii="宋体" w:hAnsi="宋体" w:eastAsia="宋体"/>
                <w:color w:val="000000"/>
                <w:szCs w:val="21"/>
                <w:highlight w:val="none"/>
                <w:lang w:val="en-US" w:eastAsia="zh-CN"/>
              </w:rPr>
            </w:pPr>
            <w:r>
              <w:rPr>
                <w:rFonts w:hint="eastAsia" w:ascii="Arial" w:hAnsi="Arial" w:cs="Arial"/>
                <w:color w:val="000000"/>
                <w:szCs w:val="21"/>
                <w:highlight w:val="none"/>
                <w:lang w:val="en-US" w:eastAsia="zh-CN"/>
              </w:rPr>
              <w:t>2.1</w:t>
            </w:r>
          </w:p>
        </w:tc>
        <w:tc>
          <w:tcPr>
            <w:tcW w:w="2141" w:type="dxa"/>
            <w:noWrap w:val="0"/>
            <w:vAlign w:val="center"/>
          </w:tcPr>
          <w:p w14:paraId="2B52A6E1">
            <w:pPr>
              <w:keepNext w:val="0"/>
              <w:keepLines w:val="0"/>
              <w:pageBreakBefore w:val="0"/>
              <w:kinsoku/>
              <w:wordWrap/>
              <w:overflowPunct/>
              <w:topLinePunct w:val="0"/>
              <w:autoSpaceDE/>
              <w:autoSpaceDN/>
              <w:bidi w:val="0"/>
              <w:adjustRightInd/>
              <w:snapToGrid w:val="0"/>
              <w:spacing w:line="400" w:lineRule="atLeast"/>
              <w:jc w:val="center"/>
              <w:textAlignment w:val="auto"/>
              <w:rPr>
                <w:rFonts w:ascii="宋体" w:hAnsi="宋体" w:eastAsia="宋体" w:cs="宋体"/>
                <w:b/>
                <w:color w:val="000000"/>
                <w:szCs w:val="21"/>
                <w:highlight w:val="none"/>
                <w:lang w:val="en-US" w:eastAsia="zh-CN"/>
              </w:rPr>
            </w:pPr>
            <w:r>
              <w:rPr>
                <w:rFonts w:hint="eastAsia" w:ascii="宋体" w:hAnsi="宋体" w:eastAsia="宋体" w:cs="Times New Roman"/>
                <w:color w:val="000000"/>
                <w:szCs w:val="21"/>
                <w:highlight w:val="none"/>
              </w:rPr>
              <w:t>总体概述：工程概述、总体安排、及施工部署及施工段划分等健全、合理、规范、高效。（9分）</w:t>
            </w:r>
          </w:p>
        </w:tc>
        <w:tc>
          <w:tcPr>
            <w:tcW w:w="6048" w:type="dxa"/>
            <w:noWrap w:val="0"/>
            <w:vAlign w:val="top"/>
          </w:tcPr>
          <w:p w14:paraId="54B9B095">
            <w:pPr>
              <w:keepNext w:val="0"/>
              <w:keepLines w:val="0"/>
              <w:pageBreakBefore w:val="0"/>
              <w:widowControl/>
              <w:kinsoku/>
              <w:wordWrap/>
              <w:overflowPunct/>
              <w:topLinePunct w:val="0"/>
              <w:autoSpaceDE/>
              <w:autoSpaceDN/>
              <w:bidi w:val="0"/>
              <w:adjustRightInd/>
              <w:snapToGrid w:val="0"/>
              <w:spacing w:line="400" w:lineRule="atLeast"/>
              <w:ind w:firstLine="408"/>
              <w:jc w:val="left"/>
              <w:textAlignment w:val="auto"/>
              <w:rPr>
                <w:rFonts w:hint="eastAsia" w:ascii="宋体" w:hAnsi="宋体" w:cs="宋体"/>
                <w:color w:val="000000"/>
                <w:szCs w:val="21"/>
                <w:highlight w:val="none"/>
                <w:lang w:bidi="ar"/>
              </w:rPr>
            </w:pPr>
            <w:r>
              <w:rPr>
                <w:rFonts w:hint="eastAsia" w:ascii="宋体" w:hAnsi="宋体"/>
                <w:color w:val="auto"/>
                <w:szCs w:val="21"/>
                <w:highlight w:val="none"/>
              </w:rPr>
              <w:t>概述科学、严密、合理，描述详细且具有针对性的得 9分；概述较合理、严密、描述较为详细，不存在实施难度的得 7</w:t>
            </w:r>
            <w:r>
              <w:rPr>
                <w:rFonts w:ascii="宋体" w:hAnsi="宋体"/>
                <w:color w:val="auto"/>
                <w:szCs w:val="21"/>
                <w:highlight w:val="none"/>
              </w:rPr>
              <w:t xml:space="preserve"> </w:t>
            </w:r>
            <w:r>
              <w:rPr>
                <w:rFonts w:hint="eastAsia" w:ascii="宋体" w:hAnsi="宋体"/>
                <w:color w:val="auto"/>
                <w:szCs w:val="21"/>
                <w:highlight w:val="none"/>
              </w:rPr>
              <w:t>分；概述基本合理、描述一般、存在可操作性得5分；概述具有不合理项、描述略欠缺、存在一定的实施难度得 3分；概述具有明显不合理项、描述欠缺、存在实施难度得 1 分，其余得 0 分。</w:t>
            </w:r>
          </w:p>
        </w:tc>
        <w:tc>
          <w:tcPr>
            <w:tcW w:w="814" w:type="dxa"/>
            <w:noWrap w:val="0"/>
            <w:vAlign w:val="center"/>
          </w:tcPr>
          <w:p w14:paraId="289EC950">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9分</w:t>
            </w:r>
          </w:p>
        </w:tc>
      </w:tr>
      <w:tr w14:paraId="56FF3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5" w:hRule="atLeast"/>
        </w:trPr>
        <w:tc>
          <w:tcPr>
            <w:tcW w:w="704" w:type="dxa"/>
            <w:noWrap w:val="0"/>
            <w:vAlign w:val="center"/>
          </w:tcPr>
          <w:p w14:paraId="04C49F3D">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2.2</w:t>
            </w:r>
          </w:p>
        </w:tc>
        <w:tc>
          <w:tcPr>
            <w:tcW w:w="2141" w:type="dxa"/>
            <w:noWrap w:val="0"/>
            <w:vAlign w:val="center"/>
          </w:tcPr>
          <w:p w14:paraId="7C8B827D">
            <w:pPr>
              <w:keepNext w:val="0"/>
              <w:keepLines w:val="0"/>
              <w:pageBreakBefore w:val="0"/>
              <w:kinsoku/>
              <w:wordWrap/>
              <w:overflowPunct/>
              <w:topLinePunct w:val="0"/>
              <w:autoSpaceDE/>
              <w:autoSpaceDN/>
              <w:bidi w:val="0"/>
              <w:adjustRightInd/>
              <w:snapToGrid w:val="0"/>
              <w:spacing w:line="400" w:lineRule="atLeast"/>
              <w:jc w:val="center"/>
              <w:textAlignment w:val="auto"/>
              <w:rPr>
                <w:rFonts w:eastAsia="宋体"/>
                <w:b/>
                <w:bCs/>
                <w:color w:val="000000"/>
                <w:szCs w:val="21"/>
                <w:highlight w:val="none"/>
                <w:lang w:val="en-US" w:eastAsia="zh-CN" w:bidi="ar"/>
              </w:rPr>
            </w:pPr>
            <w:r>
              <w:rPr>
                <w:rFonts w:hint="eastAsia"/>
                <w:color w:val="auto"/>
                <w:szCs w:val="24"/>
                <w:highlight w:val="none"/>
              </w:rPr>
              <w:t>平面布置：施工现场平面布置及临时设施、临时道路等施工现场的布置科学、合理、规范、高效</w:t>
            </w:r>
            <w:r>
              <w:rPr>
                <w:rFonts w:hint="eastAsia" w:ascii="宋体" w:hAnsi="宋体" w:cs="宋体"/>
                <w:color w:val="auto"/>
                <w:szCs w:val="21"/>
                <w:highlight w:val="none"/>
              </w:rPr>
              <w:t>。（8分）</w:t>
            </w:r>
          </w:p>
        </w:tc>
        <w:tc>
          <w:tcPr>
            <w:tcW w:w="6048" w:type="dxa"/>
            <w:noWrap w:val="0"/>
            <w:vAlign w:val="center"/>
          </w:tcPr>
          <w:p w14:paraId="3FDA9F4F">
            <w:pPr>
              <w:keepNext w:val="0"/>
              <w:keepLines w:val="0"/>
              <w:pageBreakBefore w:val="0"/>
              <w:kinsoku/>
              <w:wordWrap/>
              <w:overflowPunct/>
              <w:topLinePunct w:val="0"/>
              <w:autoSpaceDE/>
              <w:autoSpaceDN/>
              <w:bidi w:val="0"/>
              <w:adjustRightInd/>
              <w:snapToGrid w:val="0"/>
              <w:spacing w:line="400" w:lineRule="atLeast"/>
              <w:textAlignment w:val="auto"/>
              <w:rPr>
                <w:rFonts w:hint="eastAsia" w:ascii="宋体" w:hAnsi="宋体"/>
                <w:color w:val="000000"/>
                <w:szCs w:val="21"/>
                <w:highlight w:val="none"/>
              </w:rPr>
            </w:pPr>
            <w:r>
              <w:rPr>
                <w:rFonts w:hint="eastAsia" w:ascii="宋体" w:hAnsi="宋体"/>
                <w:color w:val="auto"/>
                <w:szCs w:val="21"/>
                <w:highlight w:val="none"/>
              </w:rPr>
              <w:t xml:space="preserve">平面布置科学、严密、合理，描述详细且具有针对性的得8分；平面布置较合理、严密、描述较为详细，不存在实施难度的得6分；平面布置基本合理、描述一般、存在可操作性得4分；平面布置具有不合理项、描述略欠缺、存在一定的实施难度得 </w:t>
            </w:r>
            <w:r>
              <w:rPr>
                <w:rFonts w:ascii="宋体" w:hAnsi="宋体"/>
                <w:color w:val="auto"/>
                <w:szCs w:val="21"/>
                <w:highlight w:val="none"/>
              </w:rPr>
              <w:t>2</w:t>
            </w:r>
            <w:r>
              <w:rPr>
                <w:rFonts w:hint="eastAsia" w:ascii="宋体" w:hAnsi="宋体"/>
                <w:color w:val="auto"/>
                <w:szCs w:val="21"/>
                <w:highlight w:val="none"/>
              </w:rPr>
              <w:t xml:space="preserve"> 分；平面布置具有明显不合理项、描述欠缺、存在实施难度得 1 分，其余得 0 分。</w:t>
            </w:r>
          </w:p>
        </w:tc>
        <w:tc>
          <w:tcPr>
            <w:tcW w:w="814" w:type="dxa"/>
            <w:noWrap w:val="0"/>
            <w:vAlign w:val="center"/>
          </w:tcPr>
          <w:p w14:paraId="5FB856D4">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8分</w:t>
            </w:r>
          </w:p>
        </w:tc>
      </w:tr>
      <w:tr w14:paraId="50042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0" w:hRule="atLeast"/>
        </w:trPr>
        <w:tc>
          <w:tcPr>
            <w:tcW w:w="704" w:type="dxa"/>
            <w:noWrap w:val="0"/>
            <w:vAlign w:val="center"/>
          </w:tcPr>
          <w:p w14:paraId="691A3EC5">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2.3</w:t>
            </w:r>
          </w:p>
        </w:tc>
        <w:tc>
          <w:tcPr>
            <w:tcW w:w="2141" w:type="dxa"/>
            <w:noWrap w:val="0"/>
            <w:vAlign w:val="center"/>
          </w:tcPr>
          <w:p w14:paraId="38104F24">
            <w:pPr>
              <w:keepNext w:val="0"/>
              <w:keepLines w:val="0"/>
              <w:pageBreakBefore w:val="0"/>
              <w:kinsoku/>
              <w:wordWrap/>
              <w:overflowPunct/>
              <w:topLinePunct w:val="0"/>
              <w:autoSpaceDE/>
              <w:autoSpaceDN/>
              <w:bidi w:val="0"/>
              <w:adjustRightInd/>
              <w:snapToGrid w:val="0"/>
              <w:spacing w:line="400" w:lineRule="atLeast"/>
              <w:jc w:val="left"/>
              <w:textAlignment w:val="auto"/>
              <w:rPr>
                <w:rFonts w:eastAsia="宋体"/>
                <w:b/>
                <w:bCs/>
                <w:color w:val="000000"/>
                <w:szCs w:val="21"/>
                <w:highlight w:val="none"/>
                <w:lang w:val="en-US" w:eastAsia="zh-CN" w:bidi="ar"/>
              </w:rPr>
            </w:pPr>
            <w:r>
              <w:rPr>
                <w:rFonts w:hint="eastAsia"/>
                <w:color w:val="auto"/>
                <w:szCs w:val="24"/>
                <w:highlight w:val="none"/>
              </w:rPr>
              <w:t>施工总进度计划：关于本工程施工进度计划的描述，以及为完成该计划所定措施科学、合理、规范、高效。</w:t>
            </w:r>
            <w:r>
              <w:rPr>
                <w:rFonts w:hint="eastAsia" w:ascii="宋体" w:hAnsi="宋体" w:cs="宋体"/>
                <w:color w:val="auto"/>
                <w:szCs w:val="21"/>
                <w:highlight w:val="none"/>
              </w:rPr>
              <w:t>（</w:t>
            </w:r>
            <w:r>
              <w:rPr>
                <w:rFonts w:ascii="宋体" w:hAnsi="宋体" w:cs="宋体"/>
                <w:color w:val="auto"/>
                <w:szCs w:val="21"/>
                <w:highlight w:val="none"/>
              </w:rPr>
              <w:t>8</w:t>
            </w:r>
            <w:r>
              <w:rPr>
                <w:rFonts w:hint="eastAsia" w:ascii="宋体" w:hAnsi="宋体" w:cs="宋体"/>
                <w:color w:val="auto"/>
                <w:szCs w:val="21"/>
                <w:highlight w:val="none"/>
              </w:rPr>
              <w:t>分）</w:t>
            </w:r>
          </w:p>
        </w:tc>
        <w:tc>
          <w:tcPr>
            <w:tcW w:w="6048" w:type="dxa"/>
            <w:noWrap w:val="0"/>
            <w:vAlign w:val="center"/>
          </w:tcPr>
          <w:p w14:paraId="403A37EE">
            <w:pPr>
              <w:keepNext w:val="0"/>
              <w:keepLines w:val="0"/>
              <w:pageBreakBefore w:val="0"/>
              <w:kinsoku/>
              <w:wordWrap/>
              <w:overflowPunct/>
              <w:topLinePunct w:val="0"/>
              <w:autoSpaceDE/>
              <w:autoSpaceDN/>
              <w:bidi w:val="0"/>
              <w:adjustRightInd/>
              <w:snapToGrid w:val="0"/>
              <w:spacing w:line="400" w:lineRule="atLeast"/>
              <w:textAlignment w:val="auto"/>
              <w:rPr>
                <w:rFonts w:hint="eastAsia" w:ascii="宋体" w:hAnsi="宋体"/>
                <w:color w:val="000000"/>
                <w:szCs w:val="21"/>
                <w:highlight w:val="none"/>
              </w:rPr>
            </w:pPr>
            <w:r>
              <w:rPr>
                <w:rFonts w:hint="eastAsia" w:ascii="宋体" w:hAnsi="宋体"/>
                <w:color w:val="auto"/>
                <w:szCs w:val="21"/>
                <w:highlight w:val="none"/>
              </w:rPr>
              <w:t xml:space="preserve">施工总进度计划科学、严密、合理，描述详细且具有针对性的得 </w:t>
            </w:r>
            <w:r>
              <w:rPr>
                <w:rFonts w:ascii="宋体" w:hAnsi="宋体"/>
                <w:color w:val="auto"/>
                <w:szCs w:val="21"/>
                <w:highlight w:val="none"/>
              </w:rPr>
              <w:t>8</w:t>
            </w:r>
            <w:r>
              <w:rPr>
                <w:rFonts w:hint="eastAsia" w:ascii="宋体" w:hAnsi="宋体"/>
                <w:color w:val="auto"/>
                <w:szCs w:val="21"/>
                <w:highlight w:val="none"/>
              </w:rPr>
              <w:t xml:space="preserve">分；施工总进度计划较合理、严密、描述较为详细，不存在实施难度的得 6 分；施工总进度计划基本合理、描述一般、存在可操作性得 4 分；施工总进度划具有不合理项、描述略欠缺、存在一定的实施难度得 </w:t>
            </w:r>
            <w:r>
              <w:rPr>
                <w:rFonts w:ascii="宋体" w:hAnsi="宋体"/>
                <w:color w:val="auto"/>
                <w:szCs w:val="21"/>
                <w:highlight w:val="none"/>
              </w:rPr>
              <w:t>2</w:t>
            </w:r>
            <w:r>
              <w:rPr>
                <w:rFonts w:hint="eastAsia" w:ascii="宋体" w:hAnsi="宋体"/>
                <w:color w:val="auto"/>
                <w:szCs w:val="21"/>
                <w:highlight w:val="none"/>
              </w:rPr>
              <w:t xml:space="preserve"> 分；施工总进度计划具有明显不合理项、描述欠缺、存在实施难度得 1 分，其余得 0 分。</w:t>
            </w:r>
          </w:p>
        </w:tc>
        <w:tc>
          <w:tcPr>
            <w:tcW w:w="814" w:type="dxa"/>
            <w:noWrap w:val="0"/>
            <w:vAlign w:val="center"/>
          </w:tcPr>
          <w:p w14:paraId="66E55D87">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8分</w:t>
            </w:r>
          </w:p>
        </w:tc>
      </w:tr>
      <w:tr w14:paraId="7DC28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04" w:type="dxa"/>
            <w:noWrap w:val="0"/>
            <w:vAlign w:val="center"/>
          </w:tcPr>
          <w:p w14:paraId="7A982FA1">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2.4</w:t>
            </w:r>
          </w:p>
        </w:tc>
        <w:tc>
          <w:tcPr>
            <w:tcW w:w="2141" w:type="dxa"/>
            <w:noWrap w:val="0"/>
            <w:vAlign w:val="center"/>
          </w:tcPr>
          <w:p w14:paraId="2518C7A2">
            <w:pPr>
              <w:keepNext w:val="0"/>
              <w:keepLines w:val="0"/>
              <w:pageBreakBefore w:val="0"/>
              <w:kinsoku/>
              <w:wordWrap/>
              <w:overflowPunct/>
              <w:topLinePunct w:val="0"/>
              <w:autoSpaceDE/>
              <w:autoSpaceDN/>
              <w:bidi w:val="0"/>
              <w:adjustRightInd/>
              <w:snapToGrid w:val="0"/>
              <w:spacing w:line="400" w:lineRule="atLeast"/>
              <w:jc w:val="center"/>
              <w:textAlignment w:val="auto"/>
              <w:rPr>
                <w:rFonts w:eastAsia="宋体"/>
                <w:b/>
                <w:bCs/>
                <w:color w:val="000000"/>
                <w:szCs w:val="21"/>
                <w:highlight w:val="none"/>
                <w:lang w:val="en-US" w:eastAsia="zh-CN" w:bidi="ar"/>
              </w:rPr>
            </w:pPr>
            <w:r>
              <w:rPr>
                <w:rFonts w:hint="eastAsia" w:ascii="宋体" w:hAnsi="宋体"/>
                <w:color w:val="auto"/>
                <w:szCs w:val="21"/>
                <w:highlight w:val="none"/>
              </w:rPr>
              <w:t>分部、分项工程的施工方案：该工程分部分项工程的施工方案、关键施工技术、工艺及工程项目实施的重点、难点和解决方案、具体施工技术措施科学、合理、操作性强、规范、高效。（</w:t>
            </w:r>
            <w:r>
              <w:rPr>
                <w:rFonts w:ascii="宋体" w:hAnsi="宋体"/>
                <w:color w:val="auto"/>
                <w:szCs w:val="21"/>
                <w:highlight w:val="none"/>
              </w:rPr>
              <w:t>8</w:t>
            </w:r>
            <w:r>
              <w:rPr>
                <w:rFonts w:hint="eastAsia" w:ascii="宋体" w:hAnsi="宋体"/>
                <w:color w:val="auto"/>
                <w:szCs w:val="21"/>
                <w:highlight w:val="none"/>
              </w:rPr>
              <w:t>分）</w:t>
            </w:r>
          </w:p>
        </w:tc>
        <w:tc>
          <w:tcPr>
            <w:tcW w:w="6048" w:type="dxa"/>
            <w:noWrap w:val="0"/>
            <w:vAlign w:val="center"/>
          </w:tcPr>
          <w:p w14:paraId="446D6F81">
            <w:pPr>
              <w:keepNext w:val="0"/>
              <w:keepLines w:val="0"/>
              <w:pageBreakBefore w:val="0"/>
              <w:kinsoku/>
              <w:wordWrap/>
              <w:overflowPunct/>
              <w:topLinePunct w:val="0"/>
              <w:autoSpaceDE/>
              <w:autoSpaceDN/>
              <w:bidi w:val="0"/>
              <w:adjustRightInd/>
              <w:snapToGrid w:val="0"/>
              <w:spacing w:line="400" w:lineRule="atLeast"/>
              <w:textAlignment w:val="auto"/>
              <w:rPr>
                <w:rFonts w:hint="eastAsia" w:ascii="宋体" w:hAnsi="宋体"/>
                <w:color w:val="000000"/>
                <w:szCs w:val="21"/>
                <w:highlight w:val="none"/>
              </w:rPr>
            </w:pPr>
            <w:r>
              <w:rPr>
                <w:rFonts w:hint="eastAsia" w:ascii="宋体" w:hAnsi="宋体"/>
                <w:color w:val="auto"/>
                <w:szCs w:val="21"/>
                <w:highlight w:val="none"/>
              </w:rPr>
              <w:t xml:space="preserve">施工方案科学、严密、合理，描述详细且具有针对性的得 </w:t>
            </w:r>
            <w:r>
              <w:rPr>
                <w:rFonts w:ascii="宋体" w:hAnsi="宋体"/>
                <w:color w:val="auto"/>
                <w:szCs w:val="21"/>
                <w:highlight w:val="none"/>
              </w:rPr>
              <w:t xml:space="preserve">8 </w:t>
            </w:r>
            <w:r>
              <w:rPr>
                <w:rFonts w:hint="eastAsia" w:ascii="宋体" w:hAnsi="宋体"/>
                <w:color w:val="auto"/>
                <w:szCs w:val="21"/>
                <w:highlight w:val="none"/>
              </w:rPr>
              <w:t xml:space="preserve">分；施工方案较合理、严密、描述较为详细，不存在实施难度的得 6 分；施工方案基本合理、描述一般、存在可操作性得 4 分；施工方案具有不合理项、描述略欠缺、存在一定的实施难度得 </w:t>
            </w:r>
            <w:r>
              <w:rPr>
                <w:rFonts w:ascii="宋体" w:hAnsi="宋体"/>
                <w:color w:val="auto"/>
                <w:szCs w:val="21"/>
                <w:highlight w:val="none"/>
              </w:rPr>
              <w:t>2</w:t>
            </w:r>
            <w:r>
              <w:rPr>
                <w:rFonts w:hint="eastAsia" w:ascii="宋体" w:hAnsi="宋体"/>
                <w:color w:val="auto"/>
                <w:szCs w:val="21"/>
                <w:highlight w:val="none"/>
              </w:rPr>
              <w:t xml:space="preserve"> 分；施工方案具有明显不合理项、描述欠缺、存在实施难度得 1 分，其余得 0 分。</w:t>
            </w:r>
          </w:p>
        </w:tc>
        <w:tc>
          <w:tcPr>
            <w:tcW w:w="814" w:type="dxa"/>
            <w:noWrap w:val="0"/>
            <w:vAlign w:val="center"/>
          </w:tcPr>
          <w:p w14:paraId="21A47FED">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8分</w:t>
            </w:r>
          </w:p>
        </w:tc>
      </w:tr>
      <w:tr w14:paraId="18C4C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0" w:hRule="atLeast"/>
        </w:trPr>
        <w:tc>
          <w:tcPr>
            <w:tcW w:w="704" w:type="dxa"/>
            <w:noWrap w:val="0"/>
            <w:vAlign w:val="center"/>
          </w:tcPr>
          <w:p w14:paraId="6FA87B94">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2.5</w:t>
            </w:r>
          </w:p>
        </w:tc>
        <w:tc>
          <w:tcPr>
            <w:tcW w:w="2141" w:type="dxa"/>
            <w:noWrap w:val="0"/>
            <w:vAlign w:val="center"/>
          </w:tcPr>
          <w:p w14:paraId="63C7AB16">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安全文明施工措施：该工程安全文明施工、施工现场扬尘污染防治措施及环境保护方面的措施科学、合理、操作性强、规范、高效。（8分）</w:t>
            </w:r>
          </w:p>
        </w:tc>
        <w:tc>
          <w:tcPr>
            <w:tcW w:w="6048" w:type="dxa"/>
            <w:noWrap w:val="0"/>
            <w:vAlign w:val="center"/>
          </w:tcPr>
          <w:p w14:paraId="7A434F9A">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安全文明施工措施科学、严密、合理，描述详细且具有针对性的得 8分；安全文明施工措施较合理、严密、描述较为详细，不存在实施难度的得6；基本合理、描述一般、存在可操作性得 4 分；安全文明施工措施具有不合理项、描述略欠缺、存在一定的实施难度得 2 分；安全文明施工措施具有明显不合理项、描述欠缺、存在实施难度得 1分，其余得 0 分。</w:t>
            </w:r>
          </w:p>
        </w:tc>
        <w:tc>
          <w:tcPr>
            <w:tcW w:w="814" w:type="dxa"/>
            <w:noWrap w:val="0"/>
            <w:vAlign w:val="center"/>
          </w:tcPr>
          <w:p w14:paraId="2CB28317">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8分</w:t>
            </w:r>
          </w:p>
        </w:tc>
      </w:tr>
      <w:tr w14:paraId="1A8FC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trPr>
        <w:tc>
          <w:tcPr>
            <w:tcW w:w="704" w:type="dxa"/>
            <w:noWrap w:val="0"/>
            <w:vAlign w:val="center"/>
          </w:tcPr>
          <w:p w14:paraId="7E33498C">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2.6</w:t>
            </w:r>
          </w:p>
        </w:tc>
        <w:tc>
          <w:tcPr>
            <w:tcW w:w="2141" w:type="dxa"/>
            <w:noWrap w:val="0"/>
            <w:vAlign w:val="center"/>
          </w:tcPr>
          <w:p w14:paraId="14A89E05">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机械设备的投入；用于该工程的机械及各种设备，及施工过程中的主要设备的使用管理等内容比较。（7分）</w:t>
            </w:r>
          </w:p>
        </w:tc>
        <w:tc>
          <w:tcPr>
            <w:tcW w:w="6048" w:type="dxa"/>
            <w:noWrap w:val="0"/>
            <w:vAlign w:val="center"/>
          </w:tcPr>
          <w:p w14:paraId="2D514ECB">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投入完全符合项目实际，管理制度完备、使用方案详尽的得7分；投入基本符合项目实际，管理制度比较完备、使用方案比较清楚的得5分；投入不足，基本能满足项目实施需要的得 3分；投入不足，项目实施有难度的得1分，其余得0分。</w:t>
            </w:r>
          </w:p>
        </w:tc>
        <w:tc>
          <w:tcPr>
            <w:tcW w:w="814" w:type="dxa"/>
            <w:noWrap w:val="0"/>
            <w:vAlign w:val="center"/>
          </w:tcPr>
          <w:p w14:paraId="6D552F2F">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7分</w:t>
            </w:r>
          </w:p>
        </w:tc>
      </w:tr>
      <w:tr w14:paraId="0174E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04" w:type="dxa"/>
            <w:noWrap w:val="0"/>
            <w:vAlign w:val="center"/>
          </w:tcPr>
          <w:p w14:paraId="60A1E137">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2.7</w:t>
            </w:r>
          </w:p>
        </w:tc>
        <w:tc>
          <w:tcPr>
            <w:tcW w:w="2141" w:type="dxa"/>
            <w:noWrap w:val="0"/>
            <w:vAlign w:val="center"/>
          </w:tcPr>
          <w:p w14:paraId="38A6AE3D">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劳动力配备：用于该工程的劳动力配备科学、合理、操作性强、高效。（7分）</w:t>
            </w:r>
          </w:p>
        </w:tc>
        <w:tc>
          <w:tcPr>
            <w:tcW w:w="6048" w:type="dxa"/>
            <w:noWrap w:val="0"/>
            <w:vAlign w:val="center"/>
          </w:tcPr>
          <w:p w14:paraId="74361A4B">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配备科学合理，方案详尽、考虑周全的得7分；配备比较合理、考虑较周全、能满足项目实施需要的得5分；配备简单，基本能满足项目实施需要的得 3 分，配备差，满足项目实施需要一般的得 1 分，其余得0分。</w:t>
            </w:r>
          </w:p>
        </w:tc>
        <w:tc>
          <w:tcPr>
            <w:tcW w:w="814" w:type="dxa"/>
            <w:noWrap w:val="0"/>
            <w:vAlign w:val="center"/>
          </w:tcPr>
          <w:p w14:paraId="7424F657">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7分</w:t>
            </w:r>
          </w:p>
        </w:tc>
      </w:tr>
      <w:tr w14:paraId="06D5A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707" w:type="dxa"/>
            <w:gridSpan w:val="4"/>
            <w:shd w:val="clear" w:color="auto" w:fill="F1F1F1"/>
            <w:noWrap w:val="0"/>
            <w:vAlign w:val="center"/>
          </w:tcPr>
          <w:p w14:paraId="3DC7D33A">
            <w:pPr>
              <w:jc w:val="center"/>
              <w:rPr>
                <w:rFonts w:ascii="宋体" w:hAnsi="宋体" w:eastAsia="宋体"/>
                <w:color w:val="000000"/>
                <w:szCs w:val="21"/>
                <w:highlight w:val="none"/>
                <w:lang w:val="en-US" w:eastAsia="zh-CN"/>
              </w:rPr>
            </w:pPr>
            <w:r>
              <w:rPr>
                <w:rFonts w:hint="eastAsia" w:ascii="宋体" w:hAnsi="宋体"/>
                <w:b/>
                <w:color w:val="000000"/>
                <w:szCs w:val="21"/>
                <w:highlight w:val="none"/>
                <w:lang w:val="en-US" w:eastAsia="zh-CN"/>
              </w:rPr>
              <w:t>（三）商务部分15分</w:t>
            </w:r>
          </w:p>
        </w:tc>
      </w:tr>
      <w:tr w14:paraId="37430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704" w:type="dxa"/>
            <w:noWrap w:val="0"/>
            <w:vAlign w:val="center"/>
          </w:tcPr>
          <w:p w14:paraId="6F40591C">
            <w:pPr>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3.1</w:t>
            </w:r>
          </w:p>
        </w:tc>
        <w:tc>
          <w:tcPr>
            <w:tcW w:w="2141" w:type="dxa"/>
            <w:noWrap w:val="0"/>
            <w:vAlign w:val="center"/>
          </w:tcPr>
          <w:p w14:paraId="3BFD43D4">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人员配备</w:t>
            </w:r>
          </w:p>
          <w:p w14:paraId="20F95F0E">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（10分）</w:t>
            </w:r>
          </w:p>
        </w:tc>
        <w:tc>
          <w:tcPr>
            <w:tcW w:w="6048" w:type="dxa"/>
            <w:noWrap w:val="0"/>
            <w:vAlign w:val="center"/>
          </w:tcPr>
          <w:p w14:paraId="451CE870">
            <w:pPr>
              <w:widowControl/>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1、项目负责人（具有与本项目相关专业的中级及以上职称证书）得1分，最多得1分。</w:t>
            </w:r>
          </w:p>
          <w:p w14:paraId="03560731">
            <w:pPr>
              <w:widowControl/>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项目组其他人员：安全员（具有专职安全员证书）1名、施工员（具有施工员证书）1名、质量员（具有质量员证书）1名、资料员（具有资料员证书）1名、材料员（具有材料员证书）1名。注：每具备1个符合要求人员得1分，最多得5分。</w:t>
            </w:r>
          </w:p>
          <w:p w14:paraId="5A746C6A">
            <w:pPr>
              <w:widowControl/>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3、特种作业人员（同时具有电工作业证和高处作业证）。每具备1个符合要求人员得2分，最多得4分。</w:t>
            </w:r>
          </w:p>
          <w:p w14:paraId="2517A6B1">
            <w:pPr>
              <w:widowControl/>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注：项目组成员不得兼任，提供有效的职称证书及投标单位为上述人员缴纳的养老保险证明（要求同公告中项目负责人的养老保险要求）复印件加盖公章/扫描件，否则不得分。</w:t>
            </w:r>
          </w:p>
        </w:tc>
        <w:tc>
          <w:tcPr>
            <w:tcW w:w="814" w:type="dxa"/>
            <w:noWrap w:val="0"/>
            <w:vAlign w:val="center"/>
          </w:tcPr>
          <w:p w14:paraId="509DA56E">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10分</w:t>
            </w:r>
          </w:p>
        </w:tc>
      </w:tr>
      <w:tr w14:paraId="4C6B0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704" w:type="dxa"/>
            <w:noWrap w:val="0"/>
            <w:vAlign w:val="center"/>
          </w:tcPr>
          <w:p w14:paraId="7C824F20">
            <w:pPr>
              <w:jc w:val="center"/>
              <w:rPr>
                <w:rFonts w:hint="default" w:ascii="Arial" w:hAnsi="Arial" w:cs="Arial"/>
                <w:color w:val="000000"/>
                <w:szCs w:val="21"/>
                <w:highlight w:val="none"/>
                <w:lang w:val="en-US" w:eastAsia="zh-CN"/>
              </w:rPr>
            </w:pPr>
            <w:r>
              <w:rPr>
                <w:rFonts w:hint="eastAsia" w:ascii="Arial" w:hAnsi="Arial" w:cs="Arial"/>
                <w:color w:val="000000"/>
                <w:szCs w:val="21"/>
                <w:highlight w:val="none"/>
                <w:lang w:val="en-US" w:eastAsia="zh-CN"/>
              </w:rPr>
              <w:t>3.2</w:t>
            </w:r>
          </w:p>
        </w:tc>
        <w:tc>
          <w:tcPr>
            <w:tcW w:w="2141" w:type="dxa"/>
            <w:noWrap w:val="0"/>
            <w:vAlign w:val="center"/>
          </w:tcPr>
          <w:p w14:paraId="593DF62A">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业绩</w:t>
            </w:r>
          </w:p>
          <w:p w14:paraId="619AD7ED">
            <w:pPr>
              <w:keepNext w:val="0"/>
              <w:keepLines w:val="0"/>
              <w:pageBreakBefore w:val="0"/>
              <w:kinsoku/>
              <w:wordWrap/>
              <w:overflowPunct/>
              <w:topLinePunct w:val="0"/>
              <w:autoSpaceDE/>
              <w:autoSpaceDN/>
              <w:bidi w:val="0"/>
              <w:adjustRightInd/>
              <w:snapToGrid w:val="0"/>
              <w:spacing w:line="400" w:lineRule="atLeast"/>
              <w:jc w:val="center"/>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分）</w:t>
            </w:r>
          </w:p>
        </w:tc>
        <w:tc>
          <w:tcPr>
            <w:tcW w:w="6048" w:type="dxa"/>
            <w:noWrap w:val="0"/>
            <w:vAlign w:val="center"/>
          </w:tcPr>
          <w:p w14:paraId="681B5916">
            <w:pPr>
              <w:widowControl/>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对投标人提供的往期案例分析进行综合评价。投标对往期案例分析有针对性、分析详尽的，且有与本项目服务内容相关的、规模相当的证明材料支撑的得</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分；提供了往期类似案例，仅对案例进行简单分析的得4分；往期未做过类似案例，但针对本项目有其他经验分析的得2分；仅提供往期案例、无案例分析的得1分；未提供任何案例及分析的不得分。</w:t>
            </w:r>
          </w:p>
          <w:p w14:paraId="146179F6">
            <w:pPr>
              <w:widowControl/>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注：对往期案例数量不作要求，往期案例证明材料为合同扫描件并加盖公章。</w:t>
            </w:r>
          </w:p>
        </w:tc>
        <w:tc>
          <w:tcPr>
            <w:tcW w:w="814" w:type="dxa"/>
            <w:noWrap w:val="0"/>
            <w:vAlign w:val="center"/>
          </w:tcPr>
          <w:p w14:paraId="35594BDA">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5分</w:t>
            </w:r>
          </w:p>
        </w:tc>
      </w:tr>
      <w:tr w14:paraId="7AA37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trPr>
        <w:tc>
          <w:tcPr>
            <w:tcW w:w="9707" w:type="dxa"/>
            <w:gridSpan w:val="4"/>
            <w:noWrap w:val="0"/>
            <w:vAlign w:val="center"/>
          </w:tcPr>
          <w:p w14:paraId="0DAFE9F6">
            <w:pPr>
              <w:jc w:val="center"/>
              <w:rPr>
                <w:rFonts w:hint="eastAsia" w:ascii="宋体" w:hAnsi="宋体"/>
                <w:color w:val="000000"/>
                <w:szCs w:val="21"/>
                <w:highlight w:val="none"/>
                <w:lang w:val="en-US" w:eastAsia="zh-CN"/>
              </w:rPr>
            </w:pPr>
            <w:r>
              <w:rPr>
                <w:rFonts w:hint="eastAsia" w:ascii="宋体" w:hAnsi="宋体" w:cs="宋体"/>
                <w:color w:val="auto"/>
                <w:szCs w:val="21"/>
                <w:highlight w:val="none"/>
              </w:rPr>
              <w:t>合计：100分</w:t>
            </w:r>
          </w:p>
        </w:tc>
      </w:tr>
    </w:tbl>
    <w:p w14:paraId="610C04D3">
      <w:pPr>
        <w:spacing w:line="440" w:lineRule="exact"/>
        <w:ind w:firstLine="480"/>
        <w:rPr>
          <w:rFonts w:hint="eastAsia"/>
          <w:sz w:val="24"/>
          <w:szCs w:val="24"/>
          <w:highlight w:val="none"/>
          <w:lang w:val="zh-CN"/>
        </w:rPr>
      </w:pPr>
      <w:r>
        <w:rPr>
          <w:rFonts w:hint="eastAsia"/>
          <w:sz w:val="24"/>
          <w:szCs w:val="24"/>
          <w:highlight w:val="none"/>
          <w:lang w:val="zh-CN"/>
        </w:rPr>
        <w:t>评审后按累计得分高低顺序排名。得分相同的，按</w:t>
      </w:r>
      <w:r>
        <w:rPr>
          <w:rFonts w:hint="eastAsia"/>
          <w:sz w:val="24"/>
          <w:szCs w:val="24"/>
          <w:highlight w:val="none"/>
          <w:lang w:val="en-US" w:eastAsia="zh-CN"/>
        </w:rPr>
        <w:t>投标</w:t>
      </w:r>
      <w:r>
        <w:rPr>
          <w:rFonts w:hint="eastAsia"/>
          <w:sz w:val="24"/>
          <w:szCs w:val="24"/>
          <w:highlight w:val="none"/>
          <w:lang w:val="zh-CN"/>
        </w:rPr>
        <w:t>报价由低到高顺序排名，得分且</w:t>
      </w:r>
      <w:r>
        <w:rPr>
          <w:rFonts w:hint="eastAsia"/>
          <w:sz w:val="24"/>
          <w:szCs w:val="24"/>
          <w:highlight w:val="none"/>
          <w:lang w:val="en-US" w:eastAsia="zh-CN"/>
        </w:rPr>
        <w:t>投标</w:t>
      </w:r>
      <w:r>
        <w:rPr>
          <w:rFonts w:hint="eastAsia"/>
          <w:sz w:val="24"/>
          <w:szCs w:val="24"/>
          <w:highlight w:val="none"/>
          <w:lang w:val="zh-CN"/>
        </w:rPr>
        <w:t>报价相同的，按实施方案优劣顺序排名。实施方案的优劣顺序由评标小组按少数服从多数的原则确定。</w:t>
      </w:r>
    </w:p>
    <w:p w14:paraId="56D2E61B">
      <w:pPr>
        <w:pStyle w:val="195"/>
        <w:ind w:left="0" w:firstLine="0"/>
        <w:rPr>
          <w:rFonts w:hint="eastAsia"/>
          <w:color w:val="000000"/>
          <w:highlight w:val="none"/>
        </w:rPr>
      </w:pPr>
    </w:p>
    <w:p w14:paraId="433D2F85">
      <w:pPr>
        <w:pStyle w:val="195"/>
        <w:ind w:firstLine="640"/>
        <w:rPr>
          <w:rFonts w:hint="eastAsia"/>
          <w:color w:val="000000"/>
          <w:highlight w:val="none"/>
        </w:rPr>
      </w:pPr>
    </w:p>
    <w:p w14:paraId="20694CC8">
      <w:pPr>
        <w:keepNext/>
        <w:jc w:val="center"/>
        <w:outlineLvl w:val="0"/>
        <w:rPr>
          <w:rFonts w:hint="eastAsia" w:ascii="黑体" w:eastAsia="黑体"/>
          <w:bCs/>
          <w:color w:val="000000"/>
          <w:sz w:val="24"/>
          <w:szCs w:val="24"/>
          <w:highlight w:val="none"/>
        </w:rPr>
      </w:pPr>
      <w:r>
        <w:rPr>
          <w:rFonts w:hint="eastAsia" w:ascii="黑体" w:eastAsia="黑体"/>
          <w:bCs/>
          <w:color w:val="000000"/>
          <w:sz w:val="32"/>
          <w:szCs w:val="32"/>
          <w:highlight w:val="none"/>
        </w:rPr>
        <w:br w:type="page" w:clear="all"/>
      </w:r>
      <w:r>
        <w:rPr>
          <w:rFonts w:hint="eastAsia" w:ascii="黑体" w:eastAsia="黑体"/>
          <w:bCs/>
          <w:color w:val="000000"/>
          <w:sz w:val="32"/>
          <w:szCs w:val="32"/>
          <w:highlight w:val="none"/>
        </w:rPr>
        <w:t xml:space="preserve">第六章  投标文件格式 </w:t>
      </w:r>
    </w:p>
    <w:p w14:paraId="1994A88D">
      <w:pPr>
        <w:jc w:val="center"/>
        <w:rPr>
          <w:rFonts w:hint="eastAsia" w:ascii="宋体" w:hAnsi="宋体"/>
          <w:b/>
          <w:color w:val="000000"/>
          <w:sz w:val="24"/>
          <w:szCs w:val="24"/>
          <w:highlight w:val="none"/>
        </w:rPr>
      </w:pPr>
    </w:p>
    <w:p w14:paraId="527CF168">
      <w:pPr>
        <w:jc w:val="center"/>
        <w:rPr>
          <w:rFonts w:hint="eastAsia" w:ascii="宋体" w:hAnsi="宋体"/>
          <w:b/>
          <w:color w:val="000000"/>
          <w:sz w:val="72"/>
          <w:szCs w:val="72"/>
          <w:highlight w:val="none"/>
        </w:rPr>
      </w:pPr>
    </w:p>
    <w:p w14:paraId="64978B5A">
      <w:pPr>
        <w:jc w:val="center"/>
        <w:rPr>
          <w:rFonts w:hint="eastAsia" w:ascii="宋体" w:hAnsi="宋体"/>
          <w:b/>
          <w:color w:val="000000"/>
          <w:sz w:val="72"/>
          <w:szCs w:val="72"/>
          <w:highlight w:val="none"/>
        </w:rPr>
      </w:pPr>
      <w:r>
        <w:rPr>
          <w:rFonts w:hint="eastAsia" w:ascii="宋体" w:hAnsi="宋体"/>
          <w:b/>
          <w:color w:val="000000"/>
          <w:sz w:val="72"/>
          <w:szCs w:val="72"/>
          <w:highlight w:val="none"/>
        </w:rPr>
        <w:t>投  标  文  件</w:t>
      </w:r>
    </w:p>
    <w:p w14:paraId="26EEA9E7">
      <w:pPr>
        <w:jc w:val="center"/>
        <w:rPr>
          <w:rFonts w:hint="eastAsia" w:ascii="宋体" w:hAnsi="宋体"/>
          <w:b/>
          <w:color w:val="000000"/>
          <w:sz w:val="32"/>
          <w:szCs w:val="32"/>
          <w:highlight w:val="none"/>
        </w:rPr>
      </w:pPr>
    </w:p>
    <w:p w14:paraId="6353DBC4">
      <w:pPr>
        <w:jc w:val="center"/>
        <w:rPr>
          <w:rFonts w:hint="eastAsia" w:ascii="宋体" w:hAnsi="宋体"/>
          <w:b/>
          <w:color w:val="000000"/>
          <w:sz w:val="32"/>
          <w:szCs w:val="32"/>
          <w:highlight w:val="none"/>
        </w:rPr>
      </w:pPr>
    </w:p>
    <w:p w14:paraId="2A910C4F">
      <w:pPr>
        <w:jc w:val="center"/>
        <w:rPr>
          <w:rFonts w:hint="eastAsia" w:ascii="宋体" w:hAnsi="宋体"/>
          <w:b/>
          <w:color w:val="000000"/>
          <w:sz w:val="32"/>
          <w:szCs w:val="32"/>
          <w:highlight w:val="none"/>
        </w:rPr>
      </w:pPr>
    </w:p>
    <w:p w14:paraId="34F1A865">
      <w:pPr>
        <w:jc w:val="center"/>
        <w:rPr>
          <w:rFonts w:hint="eastAsia" w:ascii="宋体" w:hAnsi="宋体"/>
          <w:b/>
          <w:color w:val="000000"/>
          <w:sz w:val="32"/>
          <w:szCs w:val="32"/>
          <w:highlight w:val="none"/>
        </w:rPr>
      </w:pPr>
    </w:p>
    <w:p w14:paraId="214FAAEF">
      <w:pPr>
        <w:ind w:firstLine="1606"/>
        <w:rPr>
          <w:rFonts w:hint="eastAsia" w:ascii="宋体" w:hAnsi="宋体"/>
          <w:b/>
          <w:color w:val="000000"/>
          <w:sz w:val="32"/>
          <w:szCs w:val="32"/>
          <w:highlight w:val="none"/>
          <w:u w:val="single"/>
          <w:lang w:eastAsia="zh-CN"/>
        </w:rPr>
      </w:pPr>
      <w:r>
        <w:rPr>
          <w:rFonts w:hint="eastAsia" w:ascii="宋体" w:hAnsi="宋体"/>
          <w:b/>
          <w:color w:val="000000"/>
          <w:sz w:val="32"/>
          <w:szCs w:val="32"/>
          <w:highlight w:val="none"/>
        </w:rPr>
        <w:t>项 目 名 称：</w:t>
      </w:r>
      <w:r>
        <w:rPr>
          <w:rFonts w:hint="eastAsia" w:ascii="宋体" w:hAnsi="宋体"/>
          <w:b/>
          <w:color w:val="000000"/>
          <w:sz w:val="32"/>
          <w:szCs w:val="32"/>
          <w:highlight w:val="none"/>
          <w:u w:val="single"/>
          <w:lang w:eastAsia="zh-CN"/>
        </w:rPr>
        <w:t>赫顿海工装备（江苏）有限公司</w:t>
      </w:r>
    </w:p>
    <w:p w14:paraId="3F7ABDFF">
      <w:pPr>
        <w:ind w:firstLine="3739" w:firstLineChars="1164"/>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u w:val="single"/>
          <w:lang w:eastAsia="zh-CN"/>
        </w:rPr>
        <w:t>环网柜迁移项目</w:t>
      </w:r>
    </w:p>
    <w:p w14:paraId="2726E499">
      <w:pPr>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项 目 编 号：</w:t>
      </w:r>
      <w:r>
        <w:rPr>
          <w:rFonts w:hint="eastAsia" w:ascii="宋体" w:hAnsi="宋体"/>
          <w:b/>
          <w:color w:val="000000"/>
          <w:sz w:val="32"/>
          <w:szCs w:val="32"/>
          <w:highlight w:val="none"/>
          <w:u w:val="single"/>
          <w:lang w:eastAsia="zh-CN"/>
        </w:rPr>
        <w:t>JSZC-321182-ZJSK-G2026-0003</w:t>
      </w:r>
    </w:p>
    <w:p w14:paraId="78731B3B">
      <w:pPr>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投标人</w:t>
      </w:r>
      <w:r>
        <w:rPr>
          <w:rFonts w:hint="eastAsia" w:ascii="宋体" w:hAnsi="宋体"/>
          <w:b/>
          <w:color w:val="000000"/>
          <w:sz w:val="32"/>
          <w:szCs w:val="32"/>
          <w:highlight w:val="none"/>
        </w:rPr>
        <w:t>名称 ：</w:t>
      </w:r>
      <w:r>
        <w:rPr>
          <w:rFonts w:hint="eastAsia" w:ascii="宋体" w:hAnsi="宋体"/>
          <w:b/>
          <w:color w:val="000000"/>
          <w:sz w:val="32"/>
          <w:szCs w:val="32"/>
          <w:highlight w:val="none"/>
          <w:u w:val="single"/>
        </w:rPr>
        <w:t>（加盖CA电子公章）</w:t>
      </w:r>
    </w:p>
    <w:p w14:paraId="5F566E32">
      <w:pPr>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p>
    <w:p w14:paraId="615C6592">
      <w:pPr>
        <w:spacing w:line="440" w:lineRule="exact"/>
        <w:jc w:val="center"/>
        <w:rPr>
          <w:rFonts w:hint="eastAsia" w:ascii="宋体" w:hAnsi="宋体"/>
          <w:b/>
          <w:bCs/>
          <w:color w:val="000000"/>
          <w:sz w:val="32"/>
          <w:szCs w:val="32"/>
          <w:highlight w:val="none"/>
        </w:rPr>
      </w:pPr>
    </w:p>
    <w:p w14:paraId="5A06FB99">
      <w:pPr>
        <w:spacing w:line="440" w:lineRule="exact"/>
        <w:rPr>
          <w:rFonts w:ascii="宋体" w:hAnsi="宋体"/>
          <w:color w:val="000000"/>
          <w:sz w:val="32"/>
          <w:szCs w:val="32"/>
          <w:highlight w:val="none"/>
        </w:rPr>
      </w:pPr>
    </w:p>
    <w:p w14:paraId="4B85C324">
      <w:pPr>
        <w:rPr>
          <w:rFonts w:ascii="宋体" w:hAnsi="宋体"/>
          <w:b/>
          <w:bCs/>
          <w:color w:val="000000"/>
          <w:sz w:val="24"/>
          <w:szCs w:val="24"/>
          <w:highlight w:val="none"/>
        </w:rPr>
      </w:pPr>
    </w:p>
    <w:p w14:paraId="0E74DE65">
      <w:pPr>
        <w:spacing w:line="440" w:lineRule="exact"/>
        <w:rPr>
          <w:rFonts w:hint="eastAsia"/>
          <w:color w:val="000000"/>
          <w:highlight w:val="none"/>
        </w:rPr>
      </w:pPr>
    </w:p>
    <w:p w14:paraId="3A8BCEEB">
      <w:pPr>
        <w:spacing w:line="440" w:lineRule="exact"/>
        <w:rPr>
          <w:rFonts w:hint="eastAsia"/>
          <w:color w:val="000000"/>
          <w:highlight w:val="none"/>
        </w:rPr>
      </w:pPr>
    </w:p>
    <w:bookmarkEnd w:id="203"/>
    <w:bookmarkEnd w:id="204"/>
    <w:bookmarkEnd w:id="205"/>
    <w:p w14:paraId="71230F5E">
      <w:pPr>
        <w:spacing w:line="440" w:lineRule="exact"/>
        <w:rPr>
          <w:rFonts w:ascii="宋体" w:hAnsi="宋体"/>
          <w:b/>
          <w:bCs/>
          <w:color w:val="000000"/>
          <w:sz w:val="32"/>
          <w:szCs w:val="32"/>
          <w:highlight w:val="none"/>
        </w:rPr>
      </w:pPr>
      <w:bookmarkStart w:id="209" w:name="_Toc120614282"/>
      <w:bookmarkStart w:id="210" w:name="_Toc26554094"/>
      <w:bookmarkStart w:id="211" w:name="_Toc49090576"/>
      <w:r>
        <w:rPr>
          <w:rFonts w:ascii="宋体" w:hAnsi="宋体"/>
          <w:b/>
          <w:bCs/>
          <w:color w:val="000000"/>
          <w:sz w:val="32"/>
          <w:szCs w:val="32"/>
          <w:highlight w:val="none"/>
        </w:rPr>
        <w:br w:type="page" w:clear="all"/>
      </w:r>
    </w:p>
    <w:p w14:paraId="6A7D5530">
      <w:pPr>
        <w:spacing w:line="440" w:lineRule="exact"/>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投标文件目录</w:t>
      </w:r>
    </w:p>
    <w:p w14:paraId="3596F261">
      <w:pPr>
        <w:spacing w:line="440" w:lineRule="exact"/>
        <w:jc w:val="center"/>
        <w:rPr>
          <w:rFonts w:hint="eastAsia" w:ascii="宋体" w:hAnsi="宋体"/>
          <w:b/>
          <w:bCs/>
          <w:color w:val="000000"/>
          <w:sz w:val="32"/>
          <w:szCs w:val="32"/>
          <w:highlight w:val="none"/>
        </w:rPr>
      </w:pPr>
    </w:p>
    <w:p w14:paraId="75F86AD2">
      <w:pPr>
        <w:spacing w:line="440" w:lineRule="exact"/>
        <w:ind w:left="480"/>
        <w:rPr>
          <w:rFonts w:hint="eastAsia" w:ascii="宋体" w:hAnsi="宋体"/>
          <w:i/>
          <w:color w:val="000000"/>
          <w:sz w:val="24"/>
          <w:highlight w:val="none"/>
          <w:u w:val="single"/>
        </w:rPr>
      </w:pPr>
      <w:r>
        <w:rPr>
          <w:rFonts w:hint="eastAsia" w:ascii="宋体" w:hAnsi="宋体"/>
          <w:i/>
          <w:color w:val="000000"/>
          <w:sz w:val="24"/>
          <w:highlight w:val="none"/>
          <w:u w:val="single"/>
        </w:rPr>
        <w:t>一、具有独立承担民事责任的能力</w:t>
      </w:r>
    </w:p>
    <w:p w14:paraId="42777A25">
      <w:pPr>
        <w:spacing w:line="440" w:lineRule="exact"/>
        <w:ind w:left="480"/>
        <w:rPr>
          <w:rFonts w:hint="eastAsia" w:ascii="宋体" w:hAnsi="宋体"/>
          <w:i/>
          <w:color w:val="000000"/>
          <w:sz w:val="24"/>
          <w:highlight w:val="none"/>
          <w:u w:val="single"/>
        </w:rPr>
      </w:pPr>
      <w:r>
        <w:rPr>
          <w:rFonts w:hint="eastAsia" w:ascii="宋体" w:hAnsi="宋体"/>
          <w:i/>
          <w:color w:val="000000"/>
          <w:sz w:val="24"/>
          <w:highlight w:val="none"/>
          <w:u w:val="single"/>
        </w:rPr>
        <w:t>二、具有良好的商业信誉和健全的财务会计制度</w:t>
      </w:r>
    </w:p>
    <w:p w14:paraId="216419D0">
      <w:pPr>
        <w:spacing w:line="440" w:lineRule="exact"/>
        <w:ind w:left="480"/>
        <w:rPr>
          <w:rFonts w:hint="eastAsia" w:ascii="宋体" w:hAnsi="宋体"/>
          <w:i/>
          <w:color w:val="000000"/>
          <w:sz w:val="24"/>
          <w:highlight w:val="none"/>
          <w:u w:val="single"/>
        </w:rPr>
      </w:pPr>
      <w:r>
        <w:rPr>
          <w:rFonts w:hint="eastAsia" w:ascii="宋体" w:hAnsi="宋体"/>
          <w:i/>
          <w:color w:val="000000"/>
          <w:sz w:val="24"/>
          <w:highlight w:val="none"/>
          <w:u w:val="single"/>
        </w:rPr>
        <w:t>三、具有履行合同所必需的设备和专业技术能力</w:t>
      </w:r>
    </w:p>
    <w:p w14:paraId="42D4A135">
      <w:pPr>
        <w:spacing w:line="440" w:lineRule="exact"/>
        <w:ind w:left="480"/>
        <w:rPr>
          <w:rFonts w:hint="eastAsia" w:ascii="宋体" w:hAnsi="宋体"/>
          <w:i/>
          <w:color w:val="000000"/>
          <w:sz w:val="24"/>
          <w:highlight w:val="none"/>
          <w:u w:val="single"/>
        </w:rPr>
      </w:pPr>
      <w:r>
        <w:rPr>
          <w:rFonts w:hint="eastAsia" w:ascii="宋体" w:hAnsi="宋体"/>
          <w:i/>
          <w:color w:val="000000"/>
          <w:sz w:val="24"/>
          <w:highlight w:val="none"/>
          <w:u w:val="single"/>
        </w:rPr>
        <w:t>四、提供参加本次政府活动前三年内，在经营活动中没有重大违法记录的承诺函</w:t>
      </w:r>
    </w:p>
    <w:p w14:paraId="56846D13">
      <w:pPr>
        <w:spacing w:line="440" w:lineRule="exact"/>
        <w:ind w:left="480"/>
        <w:rPr>
          <w:rFonts w:hint="eastAsia" w:ascii="宋体" w:hAnsi="宋体"/>
          <w:i/>
          <w:color w:val="000000"/>
          <w:sz w:val="24"/>
          <w:highlight w:val="none"/>
          <w:u w:val="single"/>
        </w:rPr>
      </w:pPr>
      <w:r>
        <w:rPr>
          <w:rFonts w:hint="eastAsia" w:ascii="宋体" w:hAnsi="宋体"/>
          <w:i/>
          <w:color w:val="000000"/>
          <w:sz w:val="24"/>
          <w:highlight w:val="none"/>
          <w:u w:val="single"/>
        </w:rPr>
        <w:t>五、依法缴纳税收和社会保障资金的相关材料</w:t>
      </w:r>
    </w:p>
    <w:p w14:paraId="3533157B">
      <w:pPr>
        <w:spacing w:line="440" w:lineRule="exact"/>
        <w:ind w:firstLine="480"/>
        <w:rPr>
          <w:rFonts w:hint="eastAsia" w:ascii="宋体" w:hAnsi="宋体"/>
          <w:i/>
          <w:color w:val="000000"/>
          <w:sz w:val="24"/>
          <w:highlight w:val="none"/>
          <w:u w:val="single"/>
        </w:rPr>
      </w:pPr>
      <w:r>
        <w:rPr>
          <w:rFonts w:hint="eastAsia" w:ascii="宋体" w:hAnsi="宋体"/>
          <w:i/>
          <w:color w:val="000000"/>
          <w:sz w:val="24"/>
          <w:highlight w:val="none"/>
          <w:u w:val="single"/>
        </w:rPr>
        <w:t>六、特定资格要求的证明文件（如果本项目设置特定资格要求，则需要提供）</w:t>
      </w:r>
    </w:p>
    <w:p w14:paraId="381A5050">
      <w:pPr>
        <w:spacing w:line="440" w:lineRule="exact"/>
        <w:ind w:firstLine="480"/>
        <w:rPr>
          <w:rFonts w:hint="eastAsia" w:ascii="宋体" w:hAnsi="宋体"/>
          <w:i/>
          <w:color w:val="000000"/>
          <w:sz w:val="24"/>
          <w:highlight w:val="none"/>
          <w:u w:val="single"/>
        </w:rPr>
      </w:pPr>
      <w:r>
        <w:rPr>
          <w:rFonts w:hint="eastAsia" w:ascii="宋体" w:hAnsi="宋体"/>
          <w:i/>
          <w:color w:val="000000"/>
          <w:sz w:val="24"/>
          <w:highlight w:val="none"/>
          <w:u w:val="single"/>
        </w:rPr>
        <w:t>七、法人授权书</w:t>
      </w:r>
    </w:p>
    <w:p w14:paraId="144820E3">
      <w:pPr>
        <w:spacing w:line="440" w:lineRule="exact"/>
        <w:ind w:firstLine="480"/>
        <w:rPr>
          <w:rFonts w:hint="eastAsia" w:ascii="宋体" w:hAnsi="宋体"/>
          <w:i/>
          <w:color w:val="000000"/>
          <w:sz w:val="24"/>
          <w:highlight w:val="none"/>
          <w:u w:val="single"/>
        </w:rPr>
      </w:pPr>
      <w:r>
        <w:rPr>
          <w:rFonts w:hint="eastAsia" w:ascii="宋体" w:hAnsi="宋体"/>
          <w:i/>
          <w:color w:val="000000"/>
          <w:sz w:val="24"/>
          <w:highlight w:val="none"/>
          <w:u w:val="single"/>
        </w:rPr>
        <w:t>八、投标函</w:t>
      </w:r>
    </w:p>
    <w:p w14:paraId="4FA727E9">
      <w:pPr>
        <w:spacing w:line="440" w:lineRule="exact"/>
        <w:ind w:firstLine="480"/>
        <w:rPr>
          <w:rFonts w:hint="eastAsia" w:ascii="宋体" w:hAnsi="宋体"/>
          <w:iCs/>
          <w:color w:val="000000"/>
          <w:sz w:val="24"/>
          <w:highlight w:val="none"/>
        </w:rPr>
      </w:pPr>
      <w:r>
        <w:rPr>
          <w:rFonts w:hint="eastAsia" w:ascii="宋体" w:hAnsi="宋体"/>
          <w:iCs/>
          <w:color w:val="000000"/>
          <w:sz w:val="24"/>
          <w:highlight w:val="none"/>
        </w:rPr>
        <w:t>九、中小企业声明函</w:t>
      </w:r>
    </w:p>
    <w:p w14:paraId="67F35777">
      <w:pPr>
        <w:spacing w:line="440" w:lineRule="exact"/>
        <w:ind w:firstLine="480"/>
        <w:rPr>
          <w:rFonts w:hint="eastAsia" w:ascii="宋体" w:hAnsi="宋体"/>
          <w:iCs/>
          <w:color w:val="000000"/>
          <w:sz w:val="24"/>
          <w:highlight w:val="none"/>
        </w:rPr>
      </w:pPr>
      <w:r>
        <w:rPr>
          <w:rFonts w:hint="eastAsia" w:ascii="宋体" w:hAnsi="宋体"/>
          <w:iCs/>
          <w:color w:val="000000"/>
          <w:sz w:val="24"/>
          <w:highlight w:val="none"/>
        </w:rPr>
        <w:t>十、残疾人福利性单位声明函</w:t>
      </w:r>
    </w:p>
    <w:p w14:paraId="6C756771">
      <w:pPr>
        <w:spacing w:line="440" w:lineRule="exact"/>
        <w:ind w:firstLine="480"/>
        <w:rPr>
          <w:rFonts w:hint="eastAsia" w:ascii="宋体" w:hAnsi="宋体"/>
          <w:iCs/>
          <w:color w:val="000000"/>
          <w:sz w:val="24"/>
          <w:highlight w:val="none"/>
        </w:rPr>
      </w:pPr>
      <w:r>
        <w:rPr>
          <w:rFonts w:hint="eastAsia" w:ascii="宋体" w:hAnsi="宋体"/>
          <w:iCs/>
          <w:color w:val="000000"/>
          <w:sz w:val="24"/>
          <w:highlight w:val="none"/>
        </w:rPr>
        <w:t>十一、投标分项报价表</w:t>
      </w:r>
    </w:p>
    <w:p w14:paraId="06AEAFC3">
      <w:pPr>
        <w:spacing w:line="440" w:lineRule="exact"/>
        <w:ind w:firstLine="480"/>
        <w:rPr>
          <w:rFonts w:hint="eastAsia" w:ascii="宋体" w:hAnsi="宋体"/>
          <w:iCs/>
          <w:color w:val="000000"/>
          <w:sz w:val="24"/>
          <w:highlight w:val="none"/>
        </w:rPr>
      </w:pPr>
      <w:r>
        <w:rPr>
          <w:rFonts w:hint="eastAsia" w:ascii="宋体" w:hAnsi="宋体"/>
          <w:iCs/>
          <w:color w:val="000000"/>
          <w:sz w:val="24"/>
          <w:highlight w:val="none"/>
        </w:rPr>
        <w:t>十二、</w:t>
      </w:r>
      <w:r>
        <w:rPr>
          <w:rFonts w:hint="eastAsia" w:ascii="宋体" w:hAnsi="宋体"/>
          <w:iCs/>
          <w:color w:val="000000"/>
          <w:sz w:val="24"/>
          <w:lang w:val="en-US" w:eastAsia="zh-CN"/>
        </w:rPr>
        <w:t>技术部分</w:t>
      </w:r>
    </w:p>
    <w:p w14:paraId="0C75C976">
      <w:pPr>
        <w:spacing w:line="440" w:lineRule="exact"/>
        <w:ind w:firstLine="480"/>
        <w:rPr>
          <w:rFonts w:hint="eastAsia" w:ascii="宋体" w:hAnsi="宋体" w:eastAsia="宋体"/>
          <w:iCs/>
          <w:color w:val="000000"/>
          <w:sz w:val="24"/>
          <w:highlight w:val="none"/>
          <w:lang w:val="en-US" w:eastAsia="zh-CN"/>
        </w:rPr>
      </w:pPr>
      <w:r>
        <w:rPr>
          <w:rFonts w:hint="eastAsia" w:ascii="宋体" w:hAnsi="宋体"/>
          <w:iCs/>
          <w:color w:val="000000"/>
          <w:sz w:val="24"/>
          <w:highlight w:val="none"/>
        </w:rPr>
        <w:t>十三、商务</w:t>
      </w:r>
      <w:r>
        <w:rPr>
          <w:rFonts w:hint="eastAsia" w:ascii="宋体" w:hAnsi="宋体"/>
          <w:iCs/>
          <w:color w:val="000000"/>
          <w:sz w:val="24"/>
          <w:highlight w:val="none"/>
          <w:lang w:val="en-US" w:eastAsia="zh-CN"/>
        </w:rPr>
        <w:t>部分</w:t>
      </w:r>
    </w:p>
    <w:p w14:paraId="0366F700">
      <w:pPr>
        <w:spacing w:line="440" w:lineRule="exact"/>
        <w:ind w:firstLine="480"/>
        <w:rPr>
          <w:rFonts w:hint="eastAsia" w:ascii="宋体" w:hAnsi="宋体" w:eastAsia="宋体"/>
          <w:iCs/>
          <w:color w:val="000000"/>
          <w:sz w:val="24"/>
          <w:highlight w:val="none"/>
          <w:lang w:eastAsia="zh-CN"/>
        </w:rPr>
      </w:pPr>
      <w:r>
        <w:rPr>
          <w:rFonts w:hint="eastAsia" w:ascii="宋体" w:hAnsi="宋体"/>
          <w:iCs/>
          <w:color w:val="000000"/>
          <w:sz w:val="24"/>
          <w:highlight w:val="none"/>
        </w:rPr>
        <w:t>十四、</w:t>
      </w:r>
      <w:r>
        <w:rPr>
          <w:rFonts w:hint="eastAsia" w:ascii="宋体" w:hAnsi="宋体"/>
          <w:i/>
          <w:color w:val="000000"/>
          <w:sz w:val="24"/>
          <w:highlight w:val="none"/>
          <w:u w:val="single"/>
        </w:rPr>
        <w:t>开标一览表</w:t>
      </w:r>
    </w:p>
    <w:p w14:paraId="40A83A6C">
      <w:pPr>
        <w:spacing w:line="440" w:lineRule="exact"/>
        <w:ind w:firstLine="480"/>
        <w:rPr>
          <w:rFonts w:ascii="宋体" w:hAnsi="宋体"/>
          <w:i w:val="0"/>
          <w:iCs/>
          <w:color w:val="000000"/>
          <w:sz w:val="24"/>
          <w:highlight w:val="none"/>
          <w:u w:val="none"/>
        </w:rPr>
      </w:pPr>
      <w:r>
        <w:rPr>
          <w:rFonts w:hint="eastAsia" w:ascii="宋体" w:hAnsi="宋体"/>
          <w:i w:val="0"/>
          <w:iCs/>
          <w:color w:val="000000"/>
          <w:sz w:val="24"/>
          <w:highlight w:val="none"/>
          <w:u w:val="none"/>
        </w:rPr>
        <w:t>十五、</w:t>
      </w:r>
      <w:r>
        <w:rPr>
          <w:rFonts w:hint="eastAsia" w:ascii="宋体" w:hAnsi="宋体"/>
          <w:iCs/>
          <w:color w:val="000000"/>
          <w:sz w:val="24"/>
          <w:highlight w:val="none"/>
        </w:rPr>
        <w:t>资格承诺函</w:t>
      </w:r>
    </w:p>
    <w:p w14:paraId="269865B8">
      <w:pPr>
        <w:spacing w:line="440" w:lineRule="exact"/>
        <w:ind w:firstLine="480"/>
        <w:rPr>
          <w:rFonts w:hint="eastAsia" w:ascii="宋体" w:hAnsi="宋体" w:eastAsia="宋体" w:cs="Times New Roman"/>
          <w:iCs/>
          <w:color w:val="000000"/>
          <w:sz w:val="24"/>
          <w:lang w:val="en-US" w:eastAsia="zh-CN"/>
        </w:rPr>
      </w:pPr>
      <w:r>
        <w:rPr>
          <w:rFonts w:hint="eastAsia" w:ascii="宋体" w:hAnsi="宋体"/>
          <w:iCs/>
          <w:color w:val="000000"/>
          <w:sz w:val="24"/>
          <w:highlight w:val="none"/>
        </w:rPr>
        <w:t>十六、</w:t>
      </w:r>
      <w:r>
        <w:rPr>
          <w:rFonts w:hint="eastAsia" w:ascii="宋体" w:hAnsi="宋体"/>
          <w:iCs/>
          <w:color w:val="000000"/>
          <w:sz w:val="24"/>
        </w:rPr>
        <w:t>拟投入本项目</w:t>
      </w:r>
      <w:r>
        <w:rPr>
          <w:rFonts w:hint="eastAsia" w:ascii="宋体" w:hAnsi="宋体" w:eastAsia="宋体" w:cs="Times New Roman"/>
          <w:iCs/>
          <w:color w:val="000000"/>
          <w:sz w:val="24"/>
          <w:lang w:val="en-US" w:eastAsia="zh-CN"/>
        </w:rPr>
        <w:t>主要施工人员情况一览表</w:t>
      </w:r>
    </w:p>
    <w:p w14:paraId="24ABB3C5">
      <w:pPr>
        <w:spacing w:line="440" w:lineRule="exact"/>
        <w:ind w:firstLine="480"/>
        <w:rPr>
          <w:rFonts w:hint="eastAsia" w:ascii="宋体" w:hAnsi="宋体" w:eastAsia="宋体" w:cs="Times New Roman"/>
          <w:iCs/>
          <w:color w:val="000000"/>
          <w:sz w:val="24"/>
          <w:lang w:val="en-US" w:eastAsia="zh-CN"/>
        </w:rPr>
      </w:pPr>
      <w:r>
        <w:rPr>
          <w:rFonts w:hint="eastAsia" w:ascii="宋体" w:hAnsi="宋体" w:eastAsia="宋体" w:cs="Times New Roman"/>
          <w:iCs/>
          <w:color w:val="000000"/>
          <w:sz w:val="24"/>
          <w:lang w:val="en-US" w:eastAsia="zh-CN"/>
        </w:rPr>
        <w:t>十七、计划投入的主要施工机械设备表</w:t>
      </w:r>
    </w:p>
    <w:p w14:paraId="1FCF2B6E">
      <w:pPr>
        <w:spacing w:line="440" w:lineRule="exact"/>
        <w:ind w:firstLine="480"/>
        <w:rPr>
          <w:rFonts w:hint="eastAsia" w:ascii="宋体" w:hAnsi="宋体" w:eastAsia="宋体" w:cs="Times New Roman"/>
          <w:iCs/>
          <w:color w:val="000000"/>
          <w:sz w:val="24"/>
          <w:lang w:val="en-US" w:eastAsia="zh-CN"/>
        </w:rPr>
      </w:pPr>
      <w:r>
        <w:rPr>
          <w:rFonts w:hint="eastAsia" w:ascii="宋体" w:hAnsi="宋体" w:eastAsia="宋体" w:cs="Times New Roman"/>
          <w:iCs/>
          <w:color w:val="000000"/>
          <w:sz w:val="24"/>
          <w:lang w:val="en-US" w:eastAsia="zh-CN"/>
        </w:rPr>
        <w:t>十八、投标单位相关信息一览表</w:t>
      </w:r>
    </w:p>
    <w:p w14:paraId="68E23BF1">
      <w:pPr>
        <w:spacing w:line="440" w:lineRule="exact"/>
        <w:ind w:firstLine="480"/>
        <w:rPr>
          <w:rFonts w:hint="default" w:ascii="宋体" w:hAnsi="宋体" w:eastAsia="宋体" w:cs="Times New Roman"/>
          <w:iCs/>
          <w:color w:val="000000"/>
          <w:sz w:val="24"/>
          <w:lang w:val="en-US" w:eastAsia="zh-CN"/>
        </w:rPr>
      </w:pPr>
      <w:r>
        <w:rPr>
          <w:rFonts w:hint="eastAsia" w:ascii="宋体" w:hAnsi="宋体" w:eastAsia="宋体" w:cs="Times New Roman"/>
          <w:iCs/>
          <w:color w:val="000000"/>
          <w:sz w:val="24"/>
          <w:lang w:val="en-US" w:eastAsia="zh-CN"/>
        </w:rPr>
        <w:t>十九、项目负责人无在建工程承诺书</w:t>
      </w:r>
    </w:p>
    <w:p w14:paraId="22D339AC">
      <w:pPr>
        <w:spacing w:line="440" w:lineRule="exact"/>
        <w:ind w:firstLine="480"/>
        <w:rPr>
          <w:rFonts w:ascii="宋体" w:hAnsi="宋体"/>
          <w:color w:val="000000"/>
          <w:sz w:val="24"/>
          <w:highlight w:val="none"/>
        </w:rPr>
      </w:pPr>
    </w:p>
    <w:p w14:paraId="4E62EDE8">
      <w:pPr>
        <w:spacing w:line="440" w:lineRule="exact"/>
        <w:ind w:firstLine="480"/>
        <w:rPr>
          <w:rFonts w:ascii="宋体" w:hAnsi="宋体"/>
          <w:color w:val="000000"/>
          <w:sz w:val="24"/>
          <w:highlight w:val="none"/>
        </w:rPr>
      </w:pPr>
    </w:p>
    <w:p w14:paraId="11B5BAB2">
      <w:pPr>
        <w:spacing w:line="440" w:lineRule="exact"/>
        <w:ind w:firstLine="480"/>
        <w:rPr>
          <w:rFonts w:ascii="宋体" w:hAnsi="宋体"/>
          <w:color w:val="000000"/>
          <w:sz w:val="24"/>
          <w:highlight w:val="none"/>
        </w:rPr>
      </w:pPr>
    </w:p>
    <w:p w14:paraId="74B2779A">
      <w:pPr>
        <w:spacing w:line="440" w:lineRule="exact"/>
        <w:ind w:firstLine="480"/>
        <w:rPr>
          <w:rFonts w:ascii="宋体" w:hAnsi="宋体"/>
          <w:color w:val="000000"/>
          <w:sz w:val="24"/>
          <w:highlight w:val="none"/>
        </w:rPr>
      </w:pPr>
    </w:p>
    <w:p w14:paraId="3F1E85CA">
      <w:pPr>
        <w:spacing w:line="440" w:lineRule="exact"/>
        <w:ind w:firstLine="480"/>
        <w:rPr>
          <w:rFonts w:ascii="宋体" w:hAnsi="宋体"/>
          <w:color w:val="000000"/>
          <w:sz w:val="24"/>
          <w:highlight w:val="none"/>
        </w:rPr>
      </w:pPr>
    </w:p>
    <w:p w14:paraId="7B08AFE0">
      <w:pPr>
        <w:spacing w:line="440" w:lineRule="exact"/>
        <w:ind w:firstLine="480"/>
        <w:rPr>
          <w:rFonts w:ascii="宋体" w:hAnsi="宋体"/>
          <w:color w:val="000000"/>
          <w:sz w:val="24"/>
          <w:highlight w:val="none"/>
        </w:rPr>
      </w:pPr>
    </w:p>
    <w:p w14:paraId="2E2D024B">
      <w:pPr>
        <w:spacing w:line="440" w:lineRule="exact"/>
        <w:ind w:firstLine="480"/>
        <w:rPr>
          <w:rFonts w:ascii="宋体" w:hAnsi="宋体"/>
          <w:color w:val="000000"/>
          <w:sz w:val="24"/>
          <w:highlight w:val="none"/>
        </w:rPr>
      </w:pPr>
    </w:p>
    <w:p w14:paraId="1A161DA3">
      <w:pPr>
        <w:spacing w:line="440" w:lineRule="exact"/>
        <w:ind w:firstLine="480"/>
        <w:rPr>
          <w:rFonts w:ascii="宋体" w:hAnsi="宋体"/>
          <w:color w:val="000000"/>
          <w:sz w:val="24"/>
          <w:highlight w:val="none"/>
        </w:rPr>
      </w:pPr>
    </w:p>
    <w:p w14:paraId="180A25B5">
      <w:pPr>
        <w:spacing w:line="440" w:lineRule="exact"/>
        <w:rPr>
          <w:rFonts w:hint="eastAsia" w:ascii="黑体" w:hAnsi="黑体" w:eastAsia="黑体"/>
          <w:i/>
          <w:color w:val="000000"/>
          <w:sz w:val="32"/>
          <w:szCs w:val="32"/>
          <w:highlight w:val="none"/>
          <w:u w:val="single"/>
        </w:rPr>
      </w:pPr>
    </w:p>
    <w:p w14:paraId="414FAFD5">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一、具有独立承担民事责任的能力</w:t>
      </w:r>
    </w:p>
    <w:p w14:paraId="18A47BE3">
      <w:pPr>
        <w:spacing w:line="440" w:lineRule="exact"/>
        <w:ind w:firstLine="480"/>
        <w:rPr>
          <w:rFonts w:hint="eastAsia" w:ascii="宋体" w:hAnsi="宋体"/>
          <w:color w:val="000000"/>
          <w:sz w:val="24"/>
          <w:szCs w:val="24"/>
          <w:highlight w:val="none"/>
        </w:rPr>
      </w:pPr>
      <w:r>
        <w:rPr>
          <w:rFonts w:ascii="宋体" w:hAnsi="宋体"/>
          <w:color w:val="000000"/>
          <w:sz w:val="24"/>
          <w:szCs w:val="24"/>
          <w:highlight w:val="none"/>
        </w:rPr>
        <w:t>提供法人或者其他组织的营业执照等证明文件，自然人的身份证明；如</w:t>
      </w:r>
      <w:r>
        <w:rPr>
          <w:rFonts w:hint="eastAsia" w:ascii="宋体" w:hAnsi="宋体"/>
          <w:color w:val="000000"/>
          <w:sz w:val="24"/>
          <w:szCs w:val="24"/>
          <w:highlight w:val="none"/>
          <w:lang w:eastAsia="zh-CN"/>
        </w:rPr>
        <w:t>投标人</w:t>
      </w:r>
      <w:r>
        <w:rPr>
          <w:rFonts w:ascii="宋体" w:hAnsi="宋体"/>
          <w:color w:val="000000"/>
          <w:sz w:val="24"/>
          <w:szCs w:val="24"/>
          <w:highlight w:val="none"/>
        </w:rPr>
        <w:t>为事业单位，请提供事业单位法人证书</w:t>
      </w:r>
      <w:r>
        <w:rPr>
          <w:rFonts w:hint="eastAsia" w:ascii="宋体" w:hAnsi="宋体"/>
          <w:color w:val="000000"/>
          <w:sz w:val="24"/>
          <w:szCs w:val="24"/>
          <w:highlight w:val="none"/>
        </w:rPr>
        <w:t>。</w:t>
      </w:r>
    </w:p>
    <w:p w14:paraId="142D78D2">
      <w:pPr>
        <w:spacing w:line="440" w:lineRule="exact"/>
        <w:ind w:firstLine="48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二、具有良好的商业信誉和健全的财务会计制度</w:t>
      </w:r>
      <w:r>
        <w:rPr>
          <w:rFonts w:hint="eastAsia" w:ascii="宋体" w:hAnsi="宋体"/>
          <w:b/>
          <w:bCs/>
          <w:color w:val="000000"/>
          <w:sz w:val="24"/>
          <w:szCs w:val="24"/>
          <w:highlight w:val="none"/>
          <w:lang w:val="en-US" w:eastAsia="zh-CN"/>
        </w:rPr>
        <w:t>/或资格承诺函</w:t>
      </w:r>
    </w:p>
    <w:p w14:paraId="7883E64D">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提供</w:t>
      </w:r>
      <w:r>
        <w:rPr>
          <w:rFonts w:hint="eastAsia" w:ascii="宋体" w:hAnsi="宋体"/>
          <w:color w:val="000000"/>
          <w:sz w:val="24"/>
          <w:szCs w:val="24"/>
          <w:highlight w:val="none"/>
          <w:lang w:val="en-US" w:eastAsia="zh-CN"/>
        </w:rPr>
        <w:t>2025年度财务报告</w:t>
      </w:r>
      <w:r>
        <w:rPr>
          <w:rFonts w:hint="eastAsia" w:ascii="宋体" w:hAnsi="宋体"/>
          <w:color w:val="000000"/>
          <w:sz w:val="24"/>
          <w:szCs w:val="24"/>
          <w:highlight w:val="none"/>
        </w:rPr>
        <w:t>（成立不满一年的提供至少一个月财务报告），或银行出具的资信证明，或财政部门认可的政府专业担保机构出具的投标担保函。</w:t>
      </w:r>
    </w:p>
    <w:p w14:paraId="77F5B6BE">
      <w:pPr>
        <w:spacing w:line="440" w:lineRule="exact"/>
        <w:ind w:firstLine="480"/>
        <w:rPr>
          <w:rFonts w:ascii="宋体" w:hAnsi="宋体"/>
          <w:bCs/>
          <w:color w:val="000000"/>
          <w:sz w:val="24"/>
          <w:szCs w:val="24"/>
          <w:highlight w:val="none"/>
        </w:rPr>
      </w:pPr>
      <w:r>
        <w:rPr>
          <w:rFonts w:ascii="宋体" w:hAnsi="宋体"/>
          <w:bCs/>
          <w:color w:val="000000"/>
          <w:sz w:val="24"/>
          <w:szCs w:val="24"/>
          <w:highlight w:val="none"/>
        </w:rPr>
        <w:t>三、具有履行合同所必需的设备和专业技术能力</w:t>
      </w:r>
      <w:r>
        <w:rPr>
          <w:rFonts w:hint="eastAsia" w:ascii="宋体" w:hAnsi="宋体"/>
          <w:b/>
          <w:bCs/>
          <w:color w:val="000000"/>
          <w:sz w:val="24"/>
          <w:szCs w:val="24"/>
          <w:highlight w:val="none"/>
          <w:lang w:val="en-US" w:eastAsia="zh-CN"/>
        </w:rPr>
        <w:t>/或资格承诺函</w:t>
      </w:r>
    </w:p>
    <w:p w14:paraId="7393C7F6">
      <w:pPr>
        <w:spacing w:line="440" w:lineRule="exact"/>
        <w:ind w:firstLine="480"/>
        <w:rPr>
          <w:rFonts w:ascii="宋体" w:hAnsi="宋体"/>
          <w:bCs/>
          <w:color w:val="000000"/>
          <w:sz w:val="24"/>
          <w:szCs w:val="24"/>
          <w:highlight w:val="none"/>
        </w:rPr>
      </w:pPr>
      <w:r>
        <w:rPr>
          <w:rFonts w:ascii="宋体" w:hAnsi="宋体"/>
          <w:bCs/>
          <w:color w:val="000000"/>
          <w:sz w:val="24"/>
          <w:szCs w:val="24"/>
          <w:highlight w:val="none"/>
        </w:rPr>
        <w:t>投标单位相关信息一览表（见投标文件格式）。</w:t>
      </w:r>
    </w:p>
    <w:p w14:paraId="76E565FF">
      <w:pPr>
        <w:spacing w:line="440" w:lineRule="exact"/>
        <w:ind w:firstLine="480"/>
        <w:rPr>
          <w:rFonts w:ascii="宋体" w:hAnsi="宋体"/>
          <w:bCs/>
          <w:color w:val="000000"/>
          <w:sz w:val="24"/>
          <w:szCs w:val="24"/>
          <w:highlight w:val="none"/>
        </w:rPr>
      </w:pPr>
      <w:r>
        <w:rPr>
          <w:rFonts w:ascii="宋体" w:hAnsi="宋体"/>
          <w:bCs/>
          <w:color w:val="000000"/>
          <w:sz w:val="24"/>
          <w:szCs w:val="24"/>
          <w:highlight w:val="none"/>
        </w:rPr>
        <w:t>四、提供参加本次政府活动前三年内，在经营活动中没有重大违法记录的承诺函</w:t>
      </w:r>
    </w:p>
    <w:p w14:paraId="0E47E47D">
      <w:pPr>
        <w:spacing w:line="440" w:lineRule="exact"/>
        <w:ind w:firstLine="480"/>
        <w:rPr>
          <w:rFonts w:ascii="宋体" w:hAnsi="宋体"/>
          <w:bCs/>
          <w:color w:val="000000"/>
          <w:sz w:val="24"/>
          <w:szCs w:val="24"/>
          <w:highlight w:val="none"/>
        </w:rPr>
      </w:pPr>
      <w:r>
        <w:rPr>
          <w:rFonts w:ascii="宋体" w:hAnsi="宋体"/>
          <w:bCs/>
          <w:color w:val="000000"/>
          <w:sz w:val="24"/>
          <w:szCs w:val="24"/>
          <w:highlight w:val="none"/>
        </w:rPr>
        <w:t>见投标函第7条。</w:t>
      </w:r>
      <w:r>
        <w:rPr>
          <w:rFonts w:hint="eastAsia" w:ascii="宋体" w:hAnsi="宋体"/>
          <w:b/>
          <w:bCs/>
          <w:color w:val="000000"/>
          <w:sz w:val="24"/>
          <w:szCs w:val="24"/>
          <w:highlight w:val="none"/>
          <w:lang w:val="en-US" w:eastAsia="zh-CN"/>
        </w:rPr>
        <w:t>/或资格承诺函</w:t>
      </w:r>
    </w:p>
    <w:p w14:paraId="7BA446E7">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五、依法缴纳税收和社会保障资金的相关材料</w:t>
      </w:r>
      <w:r>
        <w:rPr>
          <w:rFonts w:hint="eastAsia" w:ascii="宋体" w:hAnsi="宋体"/>
          <w:b/>
          <w:bCs/>
          <w:color w:val="000000"/>
          <w:sz w:val="24"/>
          <w:szCs w:val="24"/>
          <w:highlight w:val="none"/>
          <w:lang w:val="en-US" w:eastAsia="zh-CN"/>
        </w:rPr>
        <w:t>/或资格承诺函</w:t>
      </w:r>
    </w:p>
    <w:p w14:paraId="0D7055E9">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提供提交</w:t>
      </w:r>
      <w:r>
        <w:rPr>
          <w:rFonts w:hint="eastAsia" w:ascii="宋体" w:hAnsi="宋体"/>
          <w:color w:val="000000"/>
          <w:sz w:val="24"/>
          <w:szCs w:val="24"/>
          <w:highlight w:val="none"/>
          <w:lang w:val="en-US" w:eastAsia="zh-CN"/>
        </w:rPr>
        <w:t>投标</w:t>
      </w:r>
      <w:r>
        <w:rPr>
          <w:rFonts w:hint="eastAsia" w:ascii="宋体" w:hAnsi="宋体"/>
          <w:color w:val="000000"/>
          <w:sz w:val="24"/>
          <w:szCs w:val="24"/>
          <w:highlight w:val="none"/>
        </w:rPr>
        <w:t>文件截止时间前一年内至少一个月依法缴纳税收及缴纳社会保障资金的证明材料。</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依法享受缓缴、免缴税收、社会保障资金的提供证明材料。</w:t>
      </w:r>
    </w:p>
    <w:p w14:paraId="754C008E">
      <w:pPr>
        <w:spacing w:line="440" w:lineRule="exact"/>
        <w:ind w:firstLine="480"/>
        <w:rPr>
          <w:rFonts w:hint="eastAsia" w:ascii="宋体" w:hAnsi="宋体"/>
          <w:color w:val="000000"/>
          <w:sz w:val="24"/>
          <w:szCs w:val="24"/>
          <w:highlight w:val="none"/>
        </w:rPr>
      </w:pPr>
      <w:r>
        <w:rPr>
          <w:rFonts w:ascii="宋体" w:hAnsi="宋体"/>
          <w:bCs/>
          <w:color w:val="000000"/>
          <w:sz w:val="24"/>
          <w:szCs w:val="24"/>
          <w:highlight w:val="none"/>
        </w:rPr>
        <w:t>注：①按扬财购〔202</w:t>
      </w:r>
      <w:r>
        <w:rPr>
          <w:rFonts w:hint="eastAsia" w:ascii="宋体" w:hAnsi="宋体"/>
          <w:bCs/>
          <w:color w:val="000000"/>
          <w:sz w:val="24"/>
          <w:szCs w:val="24"/>
          <w:highlight w:val="none"/>
          <w:lang w:val="en-US" w:eastAsia="zh-CN"/>
        </w:rPr>
        <w:t>2</w:t>
      </w:r>
      <w:r>
        <w:rPr>
          <w:rFonts w:ascii="宋体" w:hAnsi="宋体"/>
          <w:bCs/>
          <w:color w:val="000000"/>
          <w:sz w:val="24"/>
          <w:szCs w:val="24"/>
          <w:highlight w:val="none"/>
        </w:rPr>
        <w:t>〕17号《关于进一步降低政府活动成本减轻政府</w:t>
      </w:r>
      <w:r>
        <w:rPr>
          <w:rFonts w:hint="eastAsia" w:ascii="宋体" w:hAnsi="宋体"/>
          <w:bCs/>
          <w:color w:val="000000"/>
          <w:sz w:val="24"/>
          <w:szCs w:val="24"/>
          <w:highlight w:val="none"/>
          <w:lang w:eastAsia="zh-CN"/>
        </w:rPr>
        <w:t>投标人</w:t>
      </w:r>
      <w:r>
        <w:rPr>
          <w:rFonts w:ascii="宋体" w:hAnsi="宋体"/>
          <w:bCs/>
          <w:color w:val="000000"/>
          <w:sz w:val="24"/>
          <w:szCs w:val="24"/>
          <w:highlight w:val="none"/>
        </w:rPr>
        <w:t>负担的通知》本项目申请人的资格条件采取“信用承诺制”，</w:t>
      </w:r>
      <w:r>
        <w:rPr>
          <w:rFonts w:hint="eastAsia" w:ascii="宋体" w:hAnsi="宋体"/>
          <w:bCs/>
          <w:color w:val="000000"/>
          <w:sz w:val="24"/>
          <w:szCs w:val="24"/>
          <w:highlight w:val="none"/>
        </w:rPr>
        <w:t>上述</w:t>
      </w:r>
      <w:r>
        <w:rPr>
          <w:rFonts w:ascii="宋体" w:hAnsi="宋体"/>
          <w:bCs/>
          <w:color w:val="000000"/>
          <w:sz w:val="24"/>
          <w:szCs w:val="24"/>
          <w:highlight w:val="none"/>
        </w:rPr>
        <w:t>第</w:t>
      </w:r>
      <w:r>
        <w:rPr>
          <w:rFonts w:hint="eastAsia" w:ascii="宋体" w:hAnsi="宋体"/>
          <w:bCs/>
          <w:color w:val="000000"/>
          <w:sz w:val="24"/>
          <w:szCs w:val="24"/>
          <w:highlight w:val="none"/>
        </w:rPr>
        <w:t>二</w:t>
      </w:r>
      <w:r>
        <w:rPr>
          <w:rFonts w:ascii="宋体" w:hAnsi="宋体"/>
          <w:bCs/>
          <w:color w:val="000000"/>
          <w:sz w:val="24"/>
          <w:szCs w:val="24"/>
          <w:highlight w:val="none"/>
        </w:rPr>
        <w:t>至第</w:t>
      </w:r>
      <w:r>
        <w:rPr>
          <w:rFonts w:hint="eastAsia" w:ascii="宋体" w:hAnsi="宋体"/>
          <w:bCs/>
          <w:color w:val="000000"/>
          <w:sz w:val="24"/>
          <w:szCs w:val="24"/>
          <w:highlight w:val="none"/>
        </w:rPr>
        <w:t>五</w:t>
      </w:r>
      <w:r>
        <w:rPr>
          <w:rFonts w:ascii="宋体" w:hAnsi="宋体"/>
          <w:bCs/>
          <w:color w:val="000000"/>
          <w:sz w:val="24"/>
          <w:szCs w:val="24"/>
          <w:highlight w:val="none"/>
        </w:rPr>
        <w:t>项，</w:t>
      </w:r>
      <w:r>
        <w:rPr>
          <w:rFonts w:hint="eastAsia" w:ascii="宋体" w:hAnsi="宋体"/>
          <w:bCs/>
          <w:color w:val="000000"/>
          <w:sz w:val="24"/>
          <w:szCs w:val="24"/>
          <w:highlight w:val="none"/>
          <w:lang w:eastAsia="zh-CN"/>
        </w:rPr>
        <w:t>投标人</w:t>
      </w:r>
      <w:r>
        <w:rPr>
          <w:rFonts w:ascii="宋体" w:hAnsi="宋体"/>
          <w:bCs/>
          <w:color w:val="000000"/>
          <w:sz w:val="24"/>
          <w:szCs w:val="24"/>
          <w:highlight w:val="none"/>
        </w:rPr>
        <w:t>可选择提供资格承诺函</w:t>
      </w:r>
      <w:r>
        <w:rPr>
          <w:rFonts w:hint="eastAsia" w:ascii="宋体" w:hAnsi="宋体"/>
          <w:color w:val="000000"/>
          <w:sz w:val="24"/>
          <w:szCs w:val="24"/>
          <w:highlight w:val="none"/>
        </w:rPr>
        <w:t>（见投标文件格式）</w:t>
      </w:r>
      <w:r>
        <w:rPr>
          <w:rFonts w:ascii="宋体" w:hAnsi="宋体"/>
          <w:bCs/>
          <w:color w:val="000000"/>
          <w:sz w:val="24"/>
          <w:szCs w:val="24"/>
          <w:highlight w:val="none"/>
        </w:rPr>
        <w:t>，在</w:t>
      </w:r>
      <w:r>
        <w:rPr>
          <w:rFonts w:hint="eastAsia" w:ascii="宋体" w:hAnsi="宋体"/>
          <w:bCs/>
          <w:color w:val="000000"/>
          <w:sz w:val="24"/>
          <w:szCs w:val="24"/>
          <w:highlight w:val="none"/>
        </w:rPr>
        <w:t>投标</w:t>
      </w:r>
      <w:r>
        <w:rPr>
          <w:rFonts w:ascii="宋体" w:hAnsi="宋体"/>
          <w:bCs/>
          <w:color w:val="000000"/>
          <w:sz w:val="24"/>
          <w:szCs w:val="24"/>
          <w:highlight w:val="none"/>
        </w:rPr>
        <w:t>文件中无需再提供与</w:t>
      </w:r>
      <w:r>
        <w:rPr>
          <w:rFonts w:hint="eastAsia" w:ascii="宋体" w:hAnsi="宋体"/>
          <w:bCs/>
          <w:color w:val="000000"/>
          <w:sz w:val="24"/>
          <w:szCs w:val="24"/>
          <w:highlight w:val="none"/>
        </w:rPr>
        <w:t>上述</w:t>
      </w:r>
      <w:r>
        <w:rPr>
          <w:rFonts w:ascii="宋体" w:hAnsi="宋体"/>
          <w:bCs/>
          <w:color w:val="000000"/>
          <w:sz w:val="24"/>
          <w:szCs w:val="24"/>
          <w:highlight w:val="none"/>
        </w:rPr>
        <w:t>第</w:t>
      </w:r>
      <w:r>
        <w:rPr>
          <w:rFonts w:hint="eastAsia" w:ascii="宋体" w:hAnsi="宋体"/>
          <w:bCs/>
          <w:color w:val="000000"/>
          <w:sz w:val="24"/>
          <w:szCs w:val="24"/>
          <w:highlight w:val="none"/>
        </w:rPr>
        <w:t>二</w:t>
      </w:r>
      <w:r>
        <w:rPr>
          <w:rFonts w:ascii="宋体" w:hAnsi="宋体"/>
          <w:bCs/>
          <w:color w:val="000000"/>
          <w:sz w:val="24"/>
          <w:szCs w:val="24"/>
          <w:highlight w:val="none"/>
        </w:rPr>
        <w:t>至第</w:t>
      </w:r>
      <w:r>
        <w:rPr>
          <w:rFonts w:hint="eastAsia" w:ascii="宋体" w:hAnsi="宋体"/>
          <w:bCs/>
          <w:color w:val="000000"/>
          <w:sz w:val="24"/>
          <w:szCs w:val="24"/>
          <w:highlight w:val="none"/>
        </w:rPr>
        <w:t>五</w:t>
      </w:r>
      <w:r>
        <w:rPr>
          <w:rFonts w:ascii="宋体" w:hAnsi="宋体"/>
          <w:bCs/>
          <w:color w:val="000000"/>
          <w:sz w:val="24"/>
          <w:szCs w:val="24"/>
          <w:highlight w:val="none"/>
        </w:rPr>
        <w:t>项相关的证明材料即可参加活动。②</w:t>
      </w:r>
      <w:r>
        <w:rPr>
          <w:rFonts w:hint="eastAsia" w:ascii="宋体" w:hAnsi="宋体"/>
          <w:bCs/>
          <w:color w:val="000000"/>
          <w:sz w:val="24"/>
          <w:szCs w:val="24"/>
          <w:highlight w:val="none"/>
          <w:lang w:eastAsia="zh-CN"/>
        </w:rPr>
        <w:t>投标人</w:t>
      </w:r>
      <w:r>
        <w:rPr>
          <w:rFonts w:ascii="宋体" w:hAnsi="宋体"/>
          <w:bCs/>
          <w:color w:val="000000"/>
          <w:sz w:val="24"/>
          <w:szCs w:val="24"/>
          <w:highlight w:val="none"/>
        </w:rPr>
        <w:t>可自行选择是否提供承诺函，若不提供承诺函的，应按</w:t>
      </w:r>
      <w:r>
        <w:rPr>
          <w:rFonts w:hint="eastAsia" w:ascii="宋体" w:hAnsi="宋体"/>
          <w:bCs/>
          <w:color w:val="000000"/>
          <w:sz w:val="24"/>
          <w:szCs w:val="24"/>
          <w:highlight w:val="none"/>
        </w:rPr>
        <w:t>招标</w:t>
      </w:r>
      <w:r>
        <w:rPr>
          <w:rFonts w:ascii="宋体" w:hAnsi="宋体"/>
          <w:bCs/>
          <w:color w:val="000000"/>
          <w:sz w:val="24"/>
          <w:szCs w:val="24"/>
          <w:highlight w:val="none"/>
        </w:rPr>
        <w:t>文件要求提供相应的证明材料。③</w:t>
      </w:r>
      <w:r>
        <w:rPr>
          <w:rFonts w:hint="eastAsia" w:ascii="宋体" w:hAnsi="宋体"/>
          <w:bCs/>
          <w:color w:val="000000"/>
          <w:sz w:val="24"/>
          <w:szCs w:val="24"/>
          <w:highlight w:val="none"/>
          <w:lang w:eastAsia="zh-CN"/>
        </w:rPr>
        <w:t>投标人</w:t>
      </w:r>
      <w:r>
        <w:rPr>
          <w:rFonts w:ascii="宋体" w:hAnsi="宋体"/>
          <w:bCs/>
          <w:color w:val="000000"/>
          <w:sz w:val="24"/>
          <w:szCs w:val="24"/>
          <w:highlight w:val="none"/>
        </w:rPr>
        <w:t>应当遵循诚实信用原则，不得</w:t>
      </w:r>
      <w:r>
        <w:rPr>
          <w:rFonts w:hint="eastAsia" w:ascii="宋体" w:hAnsi="宋体"/>
          <w:bCs/>
          <w:color w:val="000000"/>
          <w:sz w:val="24"/>
          <w:szCs w:val="24"/>
          <w:highlight w:val="none"/>
          <w:lang w:eastAsia="zh-CN"/>
        </w:rPr>
        <w:t>做虚假</w:t>
      </w:r>
      <w:r>
        <w:rPr>
          <w:rFonts w:ascii="宋体" w:hAnsi="宋体"/>
          <w:bCs/>
          <w:color w:val="000000"/>
          <w:sz w:val="24"/>
          <w:szCs w:val="24"/>
          <w:highlight w:val="none"/>
        </w:rPr>
        <w:t>承诺。</w:t>
      </w:r>
      <w:r>
        <w:rPr>
          <w:rFonts w:hint="eastAsia" w:ascii="宋体" w:hAnsi="宋体"/>
          <w:bCs/>
          <w:color w:val="000000"/>
          <w:sz w:val="24"/>
          <w:szCs w:val="24"/>
          <w:highlight w:val="none"/>
          <w:lang w:eastAsia="zh-CN"/>
        </w:rPr>
        <w:t>投标人</w:t>
      </w:r>
      <w:r>
        <w:rPr>
          <w:rFonts w:ascii="宋体" w:hAnsi="宋体"/>
          <w:bCs/>
          <w:color w:val="000000"/>
          <w:sz w:val="24"/>
          <w:szCs w:val="24"/>
          <w:highlight w:val="none"/>
        </w:rPr>
        <w:t>承诺不实的，属于提供虚假材料谋取中标、成交，应承担相应的法律责任。</w:t>
      </w:r>
    </w:p>
    <w:p w14:paraId="0FD54B07">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六、特定资格要求的证明文件</w:t>
      </w:r>
    </w:p>
    <w:p w14:paraId="0DDE9043">
      <w:pPr>
        <w:pStyle w:val="199"/>
        <w:pageBreakBefore w:val="0"/>
        <w:widowControl w:val="0"/>
        <w:numPr>
          <w:ilvl w:val="0"/>
          <w:numId w:val="0"/>
        </w:numPr>
        <w:spacing w:line="360" w:lineRule="auto"/>
        <w:ind w:firstLine="241"/>
        <w:rPr>
          <w:rFonts w:hint="eastAsia" w:ascii="宋体" w:hAnsi="宋体"/>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bidi="ar-SA"/>
        </w:rPr>
        <w:t>（1）</w:t>
      </w:r>
      <w:r>
        <w:rPr>
          <w:rFonts w:hint="eastAsia" w:ascii="宋体" w:hAnsi="宋体"/>
          <w:b/>
          <w:bCs/>
          <w:color w:val="000000"/>
          <w:sz w:val="24"/>
          <w:szCs w:val="24"/>
          <w:highlight w:val="none"/>
          <w:lang w:val="en-US" w:eastAsia="zh-CN"/>
        </w:rPr>
        <w:t>投标人</w:t>
      </w:r>
      <w:r>
        <w:rPr>
          <w:rFonts w:hint="eastAsia" w:ascii="宋体" w:hAnsi="宋体"/>
          <w:b/>
          <w:bCs/>
          <w:color w:val="000000"/>
          <w:sz w:val="24"/>
          <w:szCs w:val="24"/>
          <w:highlight w:val="none"/>
        </w:rPr>
        <w:t>资质类别和等级：同时具备以下①</w:t>
      </w:r>
      <w:r>
        <w:rPr>
          <w:rFonts w:hint="eastAsia" w:ascii="宋体" w:hAnsi="宋体"/>
          <w:b/>
          <w:bCs/>
          <w:color w:val="000000"/>
          <w:sz w:val="24"/>
          <w:szCs w:val="24"/>
          <w:highlight w:val="none"/>
          <w:lang w:val="en-US" w:eastAsia="zh-CN"/>
        </w:rPr>
        <w:t>②</w:t>
      </w:r>
      <w:r>
        <w:rPr>
          <w:rFonts w:hint="eastAsia" w:ascii="宋体" w:hAnsi="宋体"/>
          <w:b/>
          <w:bCs/>
          <w:color w:val="000000"/>
          <w:sz w:val="24"/>
          <w:szCs w:val="24"/>
          <w:highlight w:val="none"/>
        </w:rPr>
        <w:t>企业资质</w:t>
      </w:r>
      <w:r>
        <w:rPr>
          <w:rFonts w:hint="eastAsia" w:ascii="宋体" w:hAnsi="宋体" w:eastAsia="宋体" w:cs="Times New Roman"/>
          <w:b/>
          <w:bCs/>
          <w:color w:val="000000"/>
          <w:sz w:val="24"/>
          <w:szCs w:val="24"/>
          <w:highlight w:val="none"/>
          <w:lang w:val="en-US" w:eastAsia="zh-CN"/>
        </w:rPr>
        <w:t>(原件扫描上传)</w:t>
      </w:r>
      <w:r>
        <w:rPr>
          <w:rFonts w:hint="eastAsia" w:ascii="宋体" w:hAnsi="宋体"/>
          <w:b/>
          <w:bCs/>
          <w:color w:val="000000"/>
          <w:sz w:val="24"/>
          <w:szCs w:val="24"/>
          <w:highlight w:val="none"/>
          <w:lang w:eastAsia="zh-CN"/>
        </w:rPr>
        <w:t>。</w:t>
      </w:r>
    </w:p>
    <w:p w14:paraId="4A31AAEA">
      <w:pPr>
        <w:spacing w:line="360" w:lineRule="auto"/>
        <w:ind w:firstLine="420"/>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①</w:t>
      </w:r>
      <w:r>
        <w:rPr>
          <w:rFonts w:hint="eastAsia" w:ascii="宋体" w:hAnsi="宋体" w:eastAsia="宋体" w:cs="Times New Roman"/>
          <w:b w:val="0"/>
          <w:bCs w:val="0"/>
          <w:color w:val="000000"/>
          <w:sz w:val="24"/>
          <w:szCs w:val="24"/>
          <w:highlight w:val="none"/>
          <w:lang w:val="en-US" w:eastAsia="zh-CN"/>
        </w:rPr>
        <w:t>具备</w:t>
      </w:r>
      <w:r>
        <w:rPr>
          <w:rFonts w:hint="eastAsia" w:ascii="宋体" w:hAnsi="宋体" w:eastAsia="宋体" w:cs="Times New Roman"/>
          <w:b w:val="0"/>
          <w:bCs w:val="0"/>
          <w:color w:val="000000"/>
          <w:sz w:val="24"/>
          <w:szCs w:val="24"/>
          <w:highlight w:val="none"/>
        </w:rPr>
        <w:t>电力工程施工总承包三级及以上资质或输变电工程专业承包叁级及以上资质；</w:t>
      </w:r>
    </w:p>
    <w:p w14:paraId="1FACDD41">
      <w:pPr>
        <w:spacing w:line="360" w:lineRule="auto"/>
        <w:ind w:firstLine="42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②</w:t>
      </w:r>
      <w:r>
        <w:rPr>
          <w:rFonts w:hint="eastAsia" w:ascii="宋体" w:hAnsi="宋体" w:eastAsia="宋体" w:cs="Times New Roman"/>
          <w:b w:val="0"/>
          <w:bCs w:val="0"/>
          <w:color w:val="000000"/>
          <w:sz w:val="24"/>
          <w:szCs w:val="24"/>
          <w:highlight w:val="none"/>
        </w:rPr>
        <w:t>具备国家能源局或电监会颁发的承装和承试电力设施许可证三级及以上资质。</w:t>
      </w:r>
    </w:p>
    <w:p w14:paraId="6F79CEF8">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（2）投标人具备安全生产条件，并取得有效期内的安全生产许可证(原件扫描上传)。</w:t>
      </w:r>
    </w:p>
    <w:p w14:paraId="4279B7EB">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（3）项目负责人资质要求：具备机电工程专业二级（含）以上注册建造师资质。（提供证书、投标截止时间前6个月内任意一个月投标单位为其缴纳社保的证明，退休返聘人员需提供退休证明及劳动合同。）</w:t>
      </w:r>
    </w:p>
    <w:p w14:paraId="7F4D8E8D">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（4）项目负责人取得安全生产考核合格证（B类证书）(原件扫描上传)。</w:t>
      </w:r>
    </w:p>
    <w:p w14:paraId="4D89B198">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（5）项目负责人必须满足下列条件：</w:t>
      </w:r>
    </w:p>
    <w:p w14:paraId="6C7047E3">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①项目负责人不得同时在两个或者两个以上单位受聘或者执业：</w:t>
      </w:r>
    </w:p>
    <w:p w14:paraId="17DEB880">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a.同时在两个及以上单位签订劳动合同或交纳社会保险；</w:t>
      </w:r>
    </w:p>
    <w:p w14:paraId="4D7A2C8D">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b.将本人执（职）业资格证书同时注册在两个及以上单位。</w:t>
      </w:r>
    </w:p>
    <w:p w14:paraId="71592656">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068C9D7">
      <w:pPr>
        <w:pStyle w:val="186"/>
        <w:pageBreakBefore w:val="0"/>
        <w:widowControl w:val="0"/>
        <w:spacing w:line="360" w:lineRule="auto"/>
        <w:ind w:left="0" w:firstLine="241"/>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（6）投标人需在投标文件中提供“无数据安全处罚记录”的承诺函（格式自拟），若虚假承诺，招标人有权取消其投标资格。</w:t>
      </w:r>
    </w:p>
    <w:p w14:paraId="1377008C">
      <w:pPr>
        <w:pStyle w:val="186"/>
        <w:pageBreakBefore w:val="0"/>
        <w:widowControl w:val="0"/>
        <w:spacing w:line="360" w:lineRule="auto"/>
        <w:ind w:left="0" w:firstLine="241"/>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（7）拟投入的项目组成员未受过刑事处罚，提供无犯罪记录证明。</w:t>
      </w:r>
    </w:p>
    <w:p w14:paraId="304D74DB">
      <w:pPr>
        <w:pStyle w:val="186"/>
        <w:pageBreakBefore w:val="0"/>
        <w:widowControl w:val="0"/>
        <w:spacing w:line="360" w:lineRule="auto"/>
        <w:ind w:left="0" w:firstLine="241"/>
        <w:rPr>
          <w:rFonts w:ascii="宋体" w:hAnsi="宋体"/>
          <w:b/>
          <w:bCs/>
          <w:color w:val="000000"/>
          <w:sz w:val="24"/>
          <w:szCs w:val="24"/>
          <w:highlight w:val="none"/>
          <w:lang w:val="en-US" w:eastAsia="zh-CN"/>
        </w:rPr>
      </w:pPr>
    </w:p>
    <w:p w14:paraId="40FA8E94">
      <w:pPr>
        <w:spacing w:before="145" w:after="145" w:line="440" w:lineRule="exact"/>
        <w:jc w:val="center"/>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9"/>
      <w:bookmarkEnd w:id="210"/>
      <w:bookmarkEnd w:id="211"/>
      <w:bookmarkStart w:id="212" w:name="_Toc120614284"/>
      <w:r>
        <w:rPr>
          <w:rFonts w:hint="eastAsia" w:ascii="黑体" w:hAnsi="黑体" w:eastAsia="黑体"/>
          <w:i/>
          <w:color w:val="000000"/>
          <w:sz w:val="32"/>
          <w:szCs w:val="32"/>
          <w:highlight w:val="none"/>
          <w:u w:val="single"/>
        </w:rPr>
        <w:t>七、法人授权书</w:t>
      </w:r>
    </w:p>
    <w:p w14:paraId="5AEC4E3A">
      <w:pPr>
        <w:pStyle w:val="209"/>
        <w:spacing w:line="440" w:lineRule="exact"/>
        <w:ind w:firstLine="480"/>
        <w:rPr>
          <w:rFonts w:hint="eastAsia"/>
          <w:color w:val="000000"/>
          <w:sz w:val="24"/>
          <w:szCs w:val="24"/>
          <w:highlight w:val="none"/>
        </w:rPr>
      </w:pPr>
      <w:r>
        <w:rPr>
          <w:rFonts w:hint="eastAsia"/>
          <w:color w:val="000000"/>
          <w:sz w:val="24"/>
          <w:szCs w:val="24"/>
          <w:highlight w:val="none"/>
        </w:rPr>
        <w:t>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赫顿海工装备（江苏）有限公司环网柜迁移项目</w:t>
      </w:r>
      <w:r>
        <w:rPr>
          <w:rFonts w:hint="eastAsia"/>
          <w:color w:val="000000"/>
          <w:sz w:val="24"/>
          <w:szCs w:val="24"/>
          <w:highlight w:val="none"/>
        </w:rPr>
        <w:t>活动的合法代理人，以本单位名义全权处理一切与该项目有关的事务。</w:t>
      </w:r>
    </w:p>
    <w:p w14:paraId="75A803C6">
      <w:pPr>
        <w:pStyle w:val="209"/>
        <w:spacing w:line="440" w:lineRule="exact"/>
        <w:ind w:firstLine="480"/>
        <w:rPr>
          <w:rFonts w:hint="eastAsia"/>
          <w:color w:val="000000"/>
          <w:sz w:val="24"/>
          <w:szCs w:val="24"/>
          <w:highlight w:val="none"/>
        </w:rPr>
      </w:pPr>
      <w:r>
        <w:rPr>
          <w:rFonts w:hint="eastAsia"/>
          <w:color w:val="000000"/>
          <w:sz w:val="24"/>
          <w:szCs w:val="24"/>
          <w:highlight w:val="none"/>
        </w:rPr>
        <w:t>本授权书于______年____月____日起生效，特此声明。</w:t>
      </w:r>
    </w:p>
    <w:p w14:paraId="66E85EF0">
      <w:pPr>
        <w:pStyle w:val="209"/>
        <w:spacing w:line="440" w:lineRule="exact"/>
        <w:ind w:firstLine="0"/>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p>
    <w:p w14:paraId="613D8CA3">
      <w:pPr>
        <w:pStyle w:val="209"/>
        <w:spacing w:line="440" w:lineRule="exact"/>
        <w:ind w:firstLine="0"/>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p>
    <w:p w14:paraId="29AC88D0">
      <w:pPr>
        <w:pStyle w:val="209"/>
        <w:spacing w:line="440" w:lineRule="exact"/>
        <w:ind w:firstLine="1200"/>
        <w:rPr>
          <w:rFonts w:hint="eastAsia"/>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（加盖CA电子公章）</w:t>
      </w:r>
    </w:p>
    <w:p w14:paraId="2C3D8940">
      <w:pPr>
        <w:pStyle w:val="209"/>
        <w:spacing w:line="440" w:lineRule="exact"/>
        <w:ind w:firstLine="480"/>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p>
    <w:p w14:paraId="60BC30A0">
      <w:pPr>
        <w:pStyle w:val="209"/>
        <w:spacing w:line="440" w:lineRule="exact"/>
        <w:ind w:firstLine="480"/>
        <w:rPr>
          <w:rFonts w:hint="eastAsia"/>
          <w:color w:val="000000"/>
          <w:sz w:val="24"/>
          <w:szCs w:val="24"/>
          <w:highlight w:val="none"/>
        </w:rPr>
      </w:pPr>
      <w:r>
        <w:rPr>
          <w:rFonts w:hint="eastAsia"/>
          <w:color w:val="000000"/>
          <w:sz w:val="24"/>
          <w:szCs w:val="24"/>
          <w:highlight w:val="none"/>
        </w:rPr>
        <w:t xml:space="preserve">      日期：</w:t>
      </w:r>
      <w:bookmarkStart w:id="213" w:name="_Hlt26671380"/>
      <w:bookmarkEnd w:id="213"/>
      <w:bookmarkStart w:id="214" w:name="_Hlt26955070"/>
      <w:bookmarkEnd w:id="214"/>
      <w:bookmarkStart w:id="215" w:name="_格式3__银行出具的资信证明"/>
      <w:bookmarkEnd w:id="215"/>
      <w:r>
        <w:rPr>
          <w:rFonts w:hint="eastAsia"/>
          <w:color w:val="000000"/>
          <w:sz w:val="24"/>
          <w:szCs w:val="24"/>
          <w:highlight w:val="none"/>
          <w:u w:val="single"/>
        </w:rPr>
        <w:t xml:space="preserve">                                         </w:t>
      </w:r>
    </w:p>
    <w:p w14:paraId="39FB3B01">
      <w:pPr>
        <w:pStyle w:val="186"/>
        <w:spacing w:line="440" w:lineRule="exact"/>
        <w:rPr>
          <w:rFonts w:hint="eastAsia"/>
          <w:i/>
          <w:color w:val="000000"/>
          <w:sz w:val="24"/>
          <w:szCs w:val="24"/>
          <w:highlight w:val="none"/>
          <w:u w:val="single"/>
        </w:rPr>
      </w:pPr>
    </w:p>
    <w:p w14:paraId="75493E9D">
      <w:pPr>
        <w:pStyle w:val="186"/>
        <w:spacing w:line="440" w:lineRule="exact"/>
        <w:ind w:firstLine="0"/>
        <w:rPr>
          <w:rFonts w:hint="eastAsia"/>
          <w:color w:val="000000"/>
          <w:highlight w:val="none"/>
        </w:rPr>
      </w:pPr>
    </w:p>
    <w:p w14:paraId="20DE873C">
      <w:pPr>
        <w:spacing w:line="440" w:lineRule="exact"/>
        <w:rPr>
          <w:rFonts w:hint="eastAsia"/>
          <w:color w:val="000000"/>
          <w:highlight w:val="none"/>
        </w:rPr>
      </w:pPr>
    </w:p>
    <w:p w14:paraId="45E83D3D">
      <w:pPr>
        <w:spacing w:line="440" w:lineRule="exact"/>
        <w:rPr>
          <w:rFonts w:hint="eastAsia" w:ascii="宋体" w:hAnsi="宋体"/>
          <w:bCs/>
          <w:color w:val="000000"/>
          <w:sz w:val="24"/>
          <w:highlight w:val="none"/>
        </w:rPr>
      </w:pPr>
    </w:p>
    <w:p w14:paraId="59F5378F">
      <w:pPr>
        <w:pStyle w:val="184"/>
        <w:spacing w:before="145" w:after="145" w:line="440" w:lineRule="exact"/>
        <w:ind w:firstLine="3390"/>
        <w:jc w:val="both"/>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八、投标函</w:t>
      </w:r>
    </w:p>
    <w:p w14:paraId="02D12342">
      <w:pPr>
        <w:pStyle w:val="204"/>
        <w:spacing w:before="0" w:after="0" w:line="440" w:lineRule="exact"/>
        <w:ind w:firstLine="0"/>
        <w:rPr>
          <w:rFonts w:hint="eastAsia" w:ascii="宋体" w:hAnsi="宋体"/>
          <w:color w:val="000000"/>
          <w:szCs w:val="21"/>
          <w:highlight w:val="none"/>
        </w:rPr>
      </w:pPr>
      <w:r>
        <w:rPr>
          <w:rFonts w:hint="eastAsia" w:ascii="宋体" w:hAnsi="宋体"/>
          <w:color w:val="000000"/>
          <w:szCs w:val="21"/>
          <w:highlight w:val="none"/>
        </w:rPr>
        <w:t>致：代理机构</w:t>
      </w:r>
    </w:p>
    <w:p w14:paraId="620426C7">
      <w:pPr>
        <w:pStyle w:val="204"/>
        <w:spacing w:before="0" w:after="0" w:line="440" w:lineRule="exact"/>
        <w:rPr>
          <w:rFonts w:hint="eastAsia" w:ascii="宋体" w:hAnsi="宋体"/>
          <w:color w:val="000000"/>
          <w:szCs w:val="21"/>
          <w:highlight w:val="none"/>
        </w:rPr>
      </w:pPr>
      <w:r>
        <w:rPr>
          <w:rFonts w:hint="eastAsia" w:ascii="宋体" w:hAnsi="宋体"/>
          <w:color w:val="000000"/>
          <w:szCs w:val="21"/>
          <w:highlight w:val="none"/>
        </w:rPr>
        <w:t>根据贵方的</w:t>
      </w:r>
      <w:r>
        <w:rPr>
          <w:rFonts w:hint="eastAsia" w:ascii="宋体" w:hAnsi="宋体"/>
          <w:b/>
          <w:bCs/>
          <w:color w:val="000000"/>
          <w:szCs w:val="21"/>
          <w:highlight w:val="none"/>
          <w:u w:val="single"/>
          <w:lang w:eastAsia="zh-CN"/>
        </w:rPr>
        <w:t>赫顿海工装备（江苏）有限公司环网柜迁移项目</w:t>
      </w:r>
      <w:r>
        <w:rPr>
          <w:rFonts w:hint="eastAsia" w:ascii="宋体" w:hAnsi="宋体"/>
          <w:color w:val="000000"/>
          <w:szCs w:val="21"/>
          <w:highlight w:val="none"/>
        </w:rPr>
        <w:t>招标文件，正式授权下述签字人______(姓名)代表我方_____（投标人的名称），全权处理本次项目投标的有关事宜。</w:t>
      </w:r>
    </w:p>
    <w:p w14:paraId="4FFC9D72">
      <w:pPr>
        <w:pStyle w:val="204"/>
        <w:spacing w:before="0" w:after="0" w:line="440" w:lineRule="exact"/>
        <w:rPr>
          <w:rFonts w:hint="eastAsia" w:ascii="宋体" w:hAnsi="宋体"/>
          <w:color w:val="000000"/>
          <w:szCs w:val="21"/>
          <w:highlight w:val="none"/>
        </w:rPr>
      </w:pPr>
      <w:r>
        <w:rPr>
          <w:rFonts w:hint="eastAsia" w:ascii="宋体" w:hAnsi="宋体"/>
          <w:color w:val="000000"/>
          <w:szCs w:val="21"/>
          <w:highlight w:val="none"/>
        </w:rPr>
        <w:t>据此函，__________签字人兹宣布同意如下：</w:t>
      </w:r>
    </w:p>
    <w:p w14:paraId="5968FF7E">
      <w:pPr>
        <w:pStyle w:val="204"/>
        <w:spacing w:before="0" w:after="0" w:line="440" w:lineRule="exact"/>
        <w:rPr>
          <w:rFonts w:hint="eastAsia" w:ascii="宋体" w:hAnsi="宋体"/>
          <w:color w:val="000000"/>
          <w:szCs w:val="21"/>
          <w:highlight w:val="none"/>
        </w:rPr>
      </w:pPr>
      <w:r>
        <w:rPr>
          <w:rFonts w:hint="eastAsia" w:ascii="宋体" w:hAnsi="宋体"/>
          <w:color w:val="000000"/>
          <w:szCs w:val="21"/>
          <w:highlight w:val="none"/>
        </w:rPr>
        <w:t>1.按招标文件规定的各项要求，向买方提供所需服务（包含与服务相关的货物）。</w:t>
      </w:r>
    </w:p>
    <w:p w14:paraId="6FA11055">
      <w:pPr>
        <w:pStyle w:val="204"/>
        <w:spacing w:before="0" w:after="0" w:line="440" w:lineRule="exact"/>
        <w:rPr>
          <w:rFonts w:hint="eastAsia" w:ascii="宋体" w:hAnsi="宋体"/>
          <w:color w:val="000000"/>
          <w:szCs w:val="21"/>
          <w:highlight w:val="none"/>
        </w:rPr>
      </w:pPr>
      <w:r>
        <w:rPr>
          <w:rFonts w:hint="eastAsia" w:ascii="宋体" w:hAnsi="宋体"/>
          <w:color w:val="000000"/>
          <w:szCs w:val="21"/>
          <w:highlight w:val="none"/>
        </w:rPr>
        <w:t>2.我们完全理解贵方不一定将合同授予最低报价的投标人。</w:t>
      </w:r>
    </w:p>
    <w:p w14:paraId="7E5AFE06">
      <w:pPr>
        <w:pStyle w:val="204"/>
        <w:spacing w:before="0" w:after="0" w:line="440" w:lineRule="exact"/>
        <w:rPr>
          <w:rFonts w:hint="eastAsia" w:ascii="宋体" w:hAnsi="宋体"/>
          <w:color w:val="000000"/>
          <w:szCs w:val="21"/>
          <w:highlight w:val="none"/>
        </w:rPr>
      </w:pPr>
      <w:r>
        <w:rPr>
          <w:rFonts w:hint="eastAsia" w:ascii="宋体" w:hAnsi="宋体"/>
          <w:color w:val="000000"/>
          <w:szCs w:val="21"/>
          <w:highlight w:val="none"/>
        </w:rPr>
        <w:t>3.我们已详细审核全部招标文件及其有效补充文件，我们知道必须放弃提出含糊不清或误解问题的权利。</w:t>
      </w:r>
    </w:p>
    <w:p w14:paraId="6F714503">
      <w:pPr>
        <w:pStyle w:val="204"/>
        <w:spacing w:before="0" w:after="0" w:line="440" w:lineRule="exact"/>
        <w:rPr>
          <w:rFonts w:hint="eastAsia" w:ascii="宋体" w:hAnsi="宋体"/>
          <w:color w:val="000000"/>
          <w:szCs w:val="21"/>
          <w:highlight w:val="none"/>
        </w:rPr>
      </w:pPr>
      <w:r>
        <w:rPr>
          <w:rFonts w:hint="eastAsia" w:ascii="宋体" w:hAnsi="宋体"/>
          <w:color w:val="000000"/>
          <w:szCs w:val="21"/>
          <w:highlight w:val="none"/>
        </w:rPr>
        <w:t>4.我们同意从规定的开标日期起遵循本投标文件，并在规定的投标有效期期满之前均具有约束力。</w:t>
      </w:r>
    </w:p>
    <w:p w14:paraId="3E10C6A0">
      <w:pPr>
        <w:pStyle w:val="204"/>
        <w:spacing w:before="0" w:after="0" w:line="440" w:lineRule="exact"/>
        <w:rPr>
          <w:rFonts w:hint="eastAsia" w:ascii="宋体" w:hAnsi="宋体"/>
          <w:color w:val="000000"/>
          <w:szCs w:val="21"/>
          <w:highlight w:val="none"/>
        </w:rPr>
      </w:pPr>
      <w:r>
        <w:rPr>
          <w:rFonts w:ascii="宋体" w:hAnsi="宋体"/>
          <w:color w:val="000000"/>
          <w:szCs w:val="21"/>
          <w:highlight w:val="none"/>
        </w:rPr>
        <w:t>5</w:t>
      </w:r>
      <w:r>
        <w:rPr>
          <w:rFonts w:hint="eastAsia" w:ascii="宋体" w:hAnsi="宋体"/>
          <w:color w:val="000000"/>
          <w:szCs w:val="21"/>
          <w:highlight w:val="none"/>
        </w:rPr>
        <w:t>.同意向贵方提供贵方可能另外要求的与投标有关的任何证据或资料，并保证我方已提供和将要提供的文件是真实的、准确的。</w:t>
      </w:r>
    </w:p>
    <w:p w14:paraId="27964A12">
      <w:pPr>
        <w:pStyle w:val="204"/>
        <w:spacing w:before="0" w:after="0" w:line="440" w:lineRule="exact"/>
        <w:rPr>
          <w:rFonts w:hint="eastAsia" w:ascii="宋体" w:hAnsi="宋体"/>
          <w:color w:val="000000"/>
          <w:szCs w:val="21"/>
          <w:highlight w:val="none"/>
        </w:rPr>
      </w:pPr>
      <w:r>
        <w:rPr>
          <w:rFonts w:ascii="宋体" w:hAnsi="宋体"/>
          <w:color w:val="000000"/>
          <w:szCs w:val="21"/>
          <w:highlight w:val="none"/>
        </w:rPr>
        <w:t>6</w:t>
      </w:r>
      <w:r>
        <w:rPr>
          <w:rFonts w:hint="eastAsia" w:ascii="宋体" w:hAnsi="宋体"/>
          <w:color w:val="000000"/>
          <w:szCs w:val="21"/>
          <w:highlight w:val="none"/>
        </w:rPr>
        <w:t>.一旦我方中标,我方将根据招标文件的规定，严格履行合同的责任和义务,并保证在招标文件规定的时间完成项目，交付买方验收、使用。</w:t>
      </w:r>
    </w:p>
    <w:p w14:paraId="7B83C0D5">
      <w:pPr>
        <w:pStyle w:val="204"/>
        <w:spacing w:before="0" w:after="0" w:line="440" w:lineRule="exact"/>
        <w:rPr>
          <w:rFonts w:ascii="宋体" w:hAnsi="宋体"/>
          <w:color w:val="000000"/>
          <w:szCs w:val="21"/>
          <w:highlight w:val="none"/>
        </w:rPr>
      </w:pPr>
      <w:r>
        <w:rPr>
          <w:rFonts w:hint="eastAsia" w:ascii="宋体" w:hAnsi="宋体"/>
          <w:color w:val="000000"/>
          <w:szCs w:val="21"/>
          <w:highlight w:val="none"/>
        </w:rPr>
        <w:t>7.我公司郑重声明：参加本次政府活动前三年内，在经营活动中没有重大违法记录。</w:t>
      </w:r>
    </w:p>
    <w:p w14:paraId="6939944B">
      <w:pPr>
        <w:pStyle w:val="204"/>
        <w:spacing w:before="0" w:after="0" w:line="440" w:lineRule="exact"/>
        <w:rPr>
          <w:rFonts w:hint="eastAsia" w:ascii="宋体" w:hAnsi="宋体"/>
          <w:color w:val="000000"/>
          <w:szCs w:val="21"/>
          <w:highlight w:val="none"/>
        </w:rPr>
      </w:pPr>
      <w:r>
        <w:rPr>
          <w:rFonts w:hint="eastAsia" w:ascii="宋体" w:hAnsi="宋体"/>
          <w:color w:val="000000"/>
          <w:szCs w:val="21"/>
          <w:highlight w:val="none"/>
        </w:rPr>
        <w:t>8.与本投标有关的正式通讯地址为：</w:t>
      </w:r>
    </w:p>
    <w:p w14:paraId="02FC77AC">
      <w:pPr>
        <w:pStyle w:val="204"/>
        <w:spacing w:before="0" w:after="0" w:line="440" w:lineRule="exact"/>
        <w:ind w:left="420"/>
        <w:rPr>
          <w:rFonts w:hint="eastAsia" w:ascii="宋体" w:hAnsi="宋体"/>
          <w:color w:val="000000"/>
          <w:szCs w:val="21"/>
          <w:highlight w:val="none"/>
        </w:rPr>
      </w:pPr>
      <w:r>
        <w:rPr>
          <w:rFonts w:hint="eastAsia" w:ascii="宋体" w:hAnsi="宋体"/>
          <w:color w:val="000000"/>
          <w:szCs w:val="21"/>
          <w:highlight w:val="none"/>
        </w:rPr>
        <w:t>地          址：</w:t>
      </w:r>
    </w:p>
    <w:p w14:paraId="583F0862">
      <w:pPr>
        <w:pStyle w:val="204"/>
        <w:spacing w:before="0" w:after="0" w:line="440" w:lineRule="exact"/>
        <w:ind w:left="420"/>
        <w:rPr>
          <w:rFonts w:hint="eastAsia" w:ascii="宋体" w:hAnsi="宋体"/>
          <w:color w:val="000000"/>
          <w:szCs w:val="21"/>
          <w:highlight w:val="none"/>
        </w:rPr>
      </w:pPr>
      <w:r>
        <w:rPr>
          <w:rFonts w:hint="eastAsia" w:ascii="宋体" w:hAnsi="宋体"/>
          <w:color w:val="000000"/>
          <w:szCs w:val="21"/>
          <w:highlight w:val="none"/>
        </w:rPr>
        <w:t>邮          编：</w:t>
      </w:r>
    </w:p>
    <w:p w14:paraId="0DE127E3">
      <w:pPr>
        <w:pStyle w:val="204"/>
        <w:spacing w:before="0" w:after="0" w:line="440" w:lineRule="exact"/>
        <w:ind w:left="420"/>
        <w:rPr>
          <w:rFonts w:hint="eastAsia" w:ascii="宋体" w:hAnsi="宋体"/>
          <w:color w:val="000000"/>
          <w:szCs w:val="21"/>
          <w:highlight w:val="none"/>
        </w:rPr>
      </w:pPr>
      <w:r>
        <w:rPr>
          <w:rFonts w:hint="eastAsia" w:ascii="宋体" w:hAnsi="宋体"/>
          <w:color w:val="000000"/>
          <w:szCs w:val="21"/>
          <w:highlight w:val="none"/>
        </w:rPr>
        <w:t>电          话：</w:t>
      </w:r>
    </w:p>
    <w:p w14:paraId="1DF2ED23">
      <w:pPr>
        <w:pStyle w:val="204"/>
        <w:spacing w:before="0" w:after="0" w:line="440" w:lineRule="exact"/>
        <w:ind w:left="420"/>
        <w:rPr>
          <w:rFonts w:hint="eastAsia" w:ascii="宋体" w:hAnsi="宋体"/>
          <w:color w:val="000000"/>
          <w:szCs w:val="21"/>
          <w:highlight w:val="none"/>
        </w:rPr>
      </w:pPr>
      <w:r>
        <w:rPr>
          <w:rFonts w:hint="eastAsia" w:ascii="宋体" w:hAnsi="宋体"/>
          <w:color w:val="000000"/>
          <w:szCs w:val="21"/>
          <w:highlight w:val="none"/>
        </w:rPr>
        <w:t>传          真：</w:t>
      </w:r>
    </w:p>
    <w:p w14:paraId="15B764AE">
      <w:pPr>
        <w:pStyle w:val="204"/>
        <w:spacing w:before="0" w:after="0" w:line="440" w:lineRule="exact"/>
        <w:ind w:left="420"/>
        <w:rPr>
          <w:rFonts w:hint="eastAsia" w:ascii="宋体" w:hAnsi="宋体"/>
          <w:color w:val="000000"/>
          <w:szCs w:val="21"/>
          <w:highlight w:val="none"/>
        </w:rPr>
      </w:pPr>
      <w:r>
        <w:rPr>
          <w:rFonts w:hint="eastAsia" w:ascii="宋体" w:hAnsi="宋体"/>
          <w:color w:val="000000"/>
          <w:szCs w:val="21"/>
          <w:highlight w:val="none"/>
        </w:rPr>
        <w:t>投标人开户行：</w:t>
      </w:r>
    </w:p>
    <w:p w14:paraId="435AD075">
      <w:pPr>
        <w:pStyle w:val="204"/>
        <w:spacing w:before="0" w:after="0" w:line="440" w:lineRule="exact"/>
        <w:ind w:left="420"/>
        <w:rPr>
          <w:rFonts w:hint="eastAsia" w:ascii="宋体" w:hAnsi="宋体"/>
          <w:color w:val="000000"/>
          <w:szCs w:val="21"/>
          <w:highlight w:val="none"/>
        </w:rPr>
      </w:pPr>
      <w:r>
        <w:rPr>
          <w:rFonts w:hint="eastAsia" w:ascii="宋体" w:hAnsi="宋体"/>
          <w:color w:val="000000"/>
          <w:szCs w:val="21"/>
          <w:highlight w:val="none"/>
        </w:rPr>
        <w:t xml:space="preserve">账          号： </w:t>
      </w:r>
    </w:p>
    <w:p w14:paraId="5D60DC61">
      <w:pPr>
        <w:pStyle w:val="204"/>
        <w:spacing w:before="0" w:after="0" w:line="440" w:lineRule="exact"/>
        <w:ind w:left="420"/>
        <w:rPr>
          <w:rFonts w:hint="eastAsia" w:ascii="宋体" w:hAnsi="宋体"/>
          <w:color w:val="000000"/>
          <w:szCs w:val="21"/>
          <w:highlight w:val="none"/>
        </w:rPr>
      </w:pPr>
      <w:r>
        <w:rPr>
          <w:rFonts w:hint="eastAsia" w:ascii="宋体" w:hAnsi="宋体"/>
          <w:color w:val="000000"/>
          <w:szCs w:val="21"/>
          <w:highlight w:val="none"/>
        </w:rPr>
        <w:t>日          期：_____年____月____日</w:t>
      </w:r>
    </w:p>
    <w:p w14:paraId="6F77266A">
      <w:pPr>
        <w:spacing w:line="440" w:lineRule="exact"/>
        <w:ind w:firstLine="240"/>
        <w:jc w:val="center"/>
        <w:rPr>
          <w:rFonts w:hint="eastAsia" w:ascii="宋体" w:hAnsi="宋体"/>
          <w:bCs/>
          <w:color w:val="000000"/>
          <w:sz w:val="24"/>
          <w:highlight w:val="none"/>
        </w:rPr>
      </w:pPr>
    </w:p>
    <w:p w14:paraId="35F1B7F6">
      <w:pPr>
        <w:spacing w:line="440" w:lineRule="exact"/>
        <w:ind w:firstLine="240"/>
        <w:jc w:val="center"/>
        <w:rPr>
          <w:rFonts w:hint="eastAsia" w:ascii="宋体" w:hAnsi="宋体"/>
          <w:bCs/>
          <w:color w:val="000000"/>
          <w:sz w:val="24"/>
          <w:highlight w:val="none"/>
        </w:rPr>
      </w:pPr>
    </w:p>
    <w:p w14:paraId="67DCE259">
      <w:pPr>
        <w:spacing w:line="440" w:lineRule="exact"/>
        <w:ind w:firstLine="240"/>
        <w:jc w:val="center"/>
        <w:rPr>
          <w:rFonts w:hint="eastAsia" w:ascii="宋体" w:hAnsi="宋体"/>
          <w:bCs/>
          <w:color w:val="000000"/>
          <w:sz w:val="24"/>
          <w:highlight w:val="none"/>
        </w:rPr>
      </w:pPr>
    </w:p>
    <w:p w14:paraId="4EDF8A45">
      <w:pPr>
        <w:spacing w:before="145" w:after="145" w:line="440" w:lineRule="exact"/>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九、中小企业声明函（</w:t>
      </w:r>
      <w:r>
        <w:rPr>
          <w:rFonts w:hint="eastAsia" w:ascii="黑体" w:hAnsi="黑体" w:eastAsia="黑体"/>
          <w:b/>
          <w:color w:val="000000"/>
          <w:sz w:val="32"/>
          <w:szCs w:val="32"/>
          <w:highlight w:val="none"/>
          <w:lang w:val="en-US" w:eastAsia="zh-CN"/>
        </w:rPr>
        <w:t>工程、服务</w:t>
      </w:r>
      <w:r>
        <w:rPr>
          <w:rFonts w:hint="eastAsia" w:ascii="黑体" w:hAnsi="黑体" w:eastAsia="黑体"/>
          <w:b/>
          <w:color w:val="000000"/>
          <w:sz w:val="32"/>
          <w:szCs w:val="32"/>
          <w:highlight w:val="none"/>
        </w:rPr>
        <w:t>）</w:t>
      </w:r>
    </w:p>
    <w:p w14:paraId="0F3AB900">
      <w:pPr>
        <w:keepNext w:val="0"/>
        <w:keepLines w:val="0"/>
        <w:pageBreakBefore w:val="0"/>
        <w:widowControl w:val="0"/>
        <w:kinsoku/>
        <w:wordWrap/>
        <w:overflowPunct/>
        <w:topLinePunct w:val="0"/>
        <w:autoSpaceDE/>
        <w:autoSpaceDN/>
        <w:bidi w:val="0"/>
        <w:adjustRightInd/>
        <w:snapToGrid w:val="0"/>
        <w:spacing w:line="400" w:lineRule="atLeast"/>
        <w:ind w:firstLine="360"/>
        <w:textAlignment w:val="auto"/>
        <w:rPr>
          <w:rFonts w:hint="eastAsia" w:ascii="宋体" w:hAnsi="宋体"/>
          <w:color w:val="000000"/>
          <w:sz w:val="24"/>
          <w:szCs w:val="24"/>
          <w:highlight w:val="none"/>
        </w:rPr>
      </w:pPr>
      <w:r>
        <w:rPr>
          <w:rFonts w:hint="eastAsia" w:ascii="宋体" w:hAnsi="宋体"/>
          <w:color w:val="000000"/>
          <w:sz w:val="24"/>
          <w:szCs w:val="24"/>
          <w:highlight w:val="none"/>
        </w:rPr>
        <w:t>本公司（联合体）郑重声明，根据《政府促进中小企业发展管理办法》(财库[2020]46号)的规定，本公司（联合体）参加</w:t>
      </w:r>
      <w:r>
        <w:rPr>
          <w:rFonts w:hint="eastAsia" w:ascii="宋体" w:hAnsi="宋体"/>
          <w:color w:val="000000"/>
          <w:sz w:val="24"/>
          <w:szCs w:val="24"/>
          <w:highlight w:val="none"/>
          <w:lang w:eastAsia="zh-CN"/>
        </w:rPr>
        <w:t>镇江晟科工程管理咨询有限公司</w:t>
      </w:r>
      <w:r>
        <w:rPr>
          <w:rFonts w:hint="eastAsia" w:ascii="宋体" w:hAnsi="宋体"/>
          <w:color w:val="000000"/>
          <w:sz w:val="24"/>
          <w:szCs w:val="24"/>
          <w:highlight w:val="none"/>
        </w:rPr>
        <w:t>代理机构组织的</w:t>
      </w:r>
      <w:r>
        <w:rPr>
          <w:rFonts w:hint="eastAsia" w:ascii="宋体" w:hAnsi="宋体"/>
          <w:color w:val="000000"/>
          <w:sz w:val="24"/>
          <w:szCs w:val="24"/>
          <w:highlight w:val="none"/>
          <w:lang w:eastAsia="zh-CN"/>
        </w:rPr>
        <w:t>扬中经济开发区管理委员会</w:t>
      </w:r>
      <w:r>
        <w:rPr>
          <w:rFonts w:hint="eastAsia" w:ascii="宋体" w:hAnsi="宋体"/>
          <w:color w:val="000000"/>
          <w:sz w:val="24"/>
          <w:szCs w:val="24"/>
          <w:highlight w:val="none"/>
        </w:rPr>
        <w:t>编号为</w:t>
      </w:r>
      <w:r>
        <w:rPr>
          <w:rFonts w:hint="eastAsia" w:ascii="宋体" w:hAnsi="宋体"/>
          <w:color w:val="000000"/>
          <w:sz w:val="24"/>
          <w:szCs w:val="24"/>
          <w:highlight w:val="none"/>
          <w:u w:val="single"/>
          <w:lang w:eastAsia="zh-CN"/>
        </w:rPr>
        <w:t>JSZC-321182-ZJSK-G2026-0003</w:t>
      </w:r>
      <w:r>
        <w:rPr>
          <w:rFonts w:hint="eastAsia" w:ascii="宋体" w:hAnsi="宋体"/>
          <w:color w:val="000000"/>
          <w:sz w:val="24"/>
          <w:szCs w:val="24"/>
          <w:highlight w:val="none"/>
        </w:rPr>
        <w:t>，</w:t>
      </w:r>
      <w:r>
        <w:rPr>
          <w:rFonts w:hint="eastAsia" w:ascii="宋体" w:hAnsi="宋体"/>
          <w:color w:val="000000"/>
          <w:sz w:val="24"/>
          <w:szCs w:val="24"/>
          <w:highlight w:val="none"/>
          <w:u w:val="single"/>
          <w:lang w:eastAsia="zh-CN"/>
        </w:rPr>
        <w:t>赫顿海工装备（江苏）有限公司环网柜迁移项目</w:t>
      </w:r>
      <w:r>
        <w:rPr>
          <w:rFonts w:hint="eastAsia" w:ascii="宋体" w:hAnsi="宋体"/>
          <w:color w:val="000000"/>
          <w:sz w:val="24"/>
          <w:szCs w:val="24"/>
          <w:highlight w:val="none"/>
        </w:rPr>
        <w:t>的活动，提供的</w:t>
      </w:r>
      <w:r>
        <w:rPr>
          <w:rFonts w:hint="eastAsia" w:ascii="宋体" w:hAnsi="宋体"/>
          <w:color w:val="000000"/>
          <w:sz w:val="24"/>
          <w:szCs w:val="24"/>
          <w:highlight w:val="none"/>
          <w:lang w:val="en-US" w:eastAsia="zh-CN"/>
        </w:rPr>
        <w:t>服务</w:t>
      </w:r>
      <w:r>
        <w:rPr>
          <w:rFonts w:hint="eastAsia" w:ascii="宋体" w:hAnsi="宋体"/>
          <w:color w:val="000000"/>
          <w:sz w:val="24"/>
          <w:szCs w:val="24"/>
          <w:highlight w:val="none"/>
        </w:rPr>
        <w:t>全部由符合政策要求的中小企业</w:t>
      </w:r>
      <w:r>
        <w:rPr>
          <w:rFonts w:hint="eastAsia" w:ascii="宋体" w:hAnsi="宋体"/>
          <w:color w:val="000000"/>
          <w:sz w:val="24"/>
          <w:szCs w:val="24"/>
          <w:highlight w:val="none"/>
          <w:lang w:val="en-US" w:eastAsia="zh-CN"/>
        </w:rPr>
        <w:t>提供</w:t>
      </w:r>
      <w:r>
        <w:rPr>
          <w:rFonts w:hint="eastAsia" w:ascii="宋体" w:hAnsi="宋体"/>
          <w:color w:val="000000"/>
          <w:sz w:val="24"/>
          <w:szCs w:val="24"/>
          <w:highlight w:val="none"/>
        </w:rPr>
        <w:t>。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541C161A">
      <w:pPr>
        <w:keepNext w:val="0"/>
        <w:keepLines w:val="0"/>
        <w:pageBreakBefore w:val="0"/>
        <w:widowControl w:val="0"/>
        <w:kinsoku/>
        <w:wordWrap/>
        <w:overflowPunct/>
        <w:topLinePunct w:val="0"/>
        <w:autoSpaceDE/>
        <w:autoSpaceDN/>
        <w:bidi w:val="0"/>
        <w:adjustRightInd/>
        <w:snapToGrid w:val="0"/>
        <w:spacing w:line="400" w:lineRule="atLeast"/>
        <w:ind w:firstLine="360"/>
        <w:textAlignment w:val="auto"/>
        <w:rPr>
          <w:rFonts w:hint="eastAsia" w:ascii="宋体" w:hAnsi="宋体"/>
          <w:i/>
          <w:color w:val="000000"/>
          <w:sz w:val="24"/>
          <w:szCs w:val="24"/>
          <w:highlight w:val="none"/>
          <w:u w:val="single"/>
        </w:rPr>
      </w:pPr>
      <w:r>
        <w:rPr>
          <w:rFonts w:hint="eastAsia" w:ascii="宋体" w:hAnsi="宋体"/>
          <w:color w:val="000000"/>
          <w:sz w:val="24"/>
          <w:szCs w:val="24"/>
          <w:highlight w:val="none"/>
        </w:rPr>
        <w:t>1.</w:t>
      </w:r>
      <w:r>
        <w:rPr>
          <w:rFonts w:hint="eastAsia" w:ascii="宋体" w:hAnsi="宋体"/>
          <w:color w:val="000000"/>
          <w:sz w:val="24"/>
          <w:szCs w:val="24"/>
          <w:highlight w:val="none"/>
          <w:u w:val="single"/>
          <w:lang w:eastAsia="zh-CN"/>
        </w:rPr>
        <w:t>赫顿海工装备（江苏）有限公司环网柜迁移项目</w:t>
      </w:r>
      <w:r>
        <w:rPr>
          <w:rFonts w:hint="eastAsia" w:ascii="宋体" w:hAnsi="宋体"/>
          <w:i/>
          <w:color w:val="000000"/>
          <w:sz w:val="24"/>
          <w:szCs w:val="24"/>
          <w:highlight w:val="none"/>
        </w:rPr>
        <w:t>，</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行业；</w:t>
      </w:r>
      <w:r>
        <w:rPr>
          <w:rFonts w:hint="eastAsia" w:ascii="宋体" w:hAnsi="宋体"/>
          <w:color w:val="000000"/>
          <w:sz w:val="24"/>
          <w:szCs w:val="24"/>
          <w:highlight w:val="none"/>
          <w:lang w:val="en-US" w:eastAsia="zh-CN"/>
        </w:rPr>
        <w:t>投标单位</w:t>
      </w:r>
      <w:r>
        <w:rPr>
          <w:rFonts w:hint="eastAsia" w:ascii="宋体" w:hAnsi="宋体"/>
          <w:color w:val="000000"/>
          <w:sz w:val="24"/>
          <w:szCs w:val="24"/>
          <w:highlight w:val="none"/>
        </w:rPr>
        <w:t>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万元，属于</w:t>
      </w:r>
      <w:r>
        <w:rPr>
          <w:rFonts w:hint="eastAsia" w:ascii="宋体" w:hAnsi="宋体"/>
          <w:color w:val="000000"/>
          <w:sz w:val="24"/>
          <w:szCs w:val="24"/>
          <w:highlight w:val="none"/>
          <w:u w:val="single"/>
        </w:rPr>
        <w:t>（中型企业、小型企业、微型企业）；</w:t>
      </w:r>
    </w:p>
    <w:p w14:paraId="1D110612">
      <w:pPr>
        <w:keepNext w:val="0"/>
        <w:keepLines w:val="0"/>
        <w:pageBreakBefore w:val="0"/>
        <w:widowControl w:val="0"/>
        <w:kinsoku/>
        <w:wordWrap/>
        <w:overflowPunct/>
        <w:topLinePunct w:val="0"/>
        <w:autoSpaceDE/>
        <w:autoSpaceDN/>
        <w:bidi w:val="0"/>
        <w:adjustRightInd/>
        <w:snapToGrid w:val="0"/>
        <w:spacing w:line="400" w:lineRule="atLeast"/>
        <w:ind w:firstLine="360"/>
        <w:textAlignment w:val="auto"/>
        <w:rPr>
          <w:rFonts w:hint="eastAsia" w:ascii="宋体" w:hAnsi="宋体"/>
          <w:i/>
          <w:color w:val="000000"/>
          <w:sz w:val="24"/>
          <w:szCs w:val="24"/>
          <w:highlight w:val="none"/>
          <w:u w:val="single"/>
        </w:rPr>
      </w:pPr>
      <w:r>
        <w:rPr>
          <w:rFonts w:hint="eastAsia" w:ascii="宋体" w:hAnsi="宋体"/>
          <w:color w:val="000000"/>
          <w:sz w:val="24"/>
          <w:szCs w:val="24"/>
          <w:highlight w:val="none"/>
        </w:rPr>
        <w:t>2.</w:t>
      </w:r>
      <w:r>
        <w:rPr>
          <w:rFonts w:hint="eastAsia" w:ascii="宋体" w:hAnsi="宋体"/>
          <w:color w:val="000000"/>
          <w:sz w:val="24"/>
          <w:szCs w:val="24"/>
          <w:highlight w:val="none"/>
          <w:u w:val="single"/>
          <w:lang w:eastAsia="zh-CN"/>
        </w:rPr>
        <w:t>赫顿海工装备（江苏）有限公司环网柜迁移项目</w:t>
      </w:r>
      <w:r>
        <w:rPr>
          <w:rFonts w:hint="eastAsia" w:ascii="宋体" w:hAnsi="宋体"/>
          <w:i/>
          <w:color w:val="000000"/>
          <w:sz w:val="24"/>
          <w:szCs w:val="24"/>
          <w:highlight w:val="none"/>
        </w:rPr>
        <w:t>，</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行业；</w:t>
      </w:r>
      <w:r>
        <w:rPr>
          <w:rFonts w:hint="eastAsia" w:ascii="宋体" w:hAnsi="宋体"/>
          <w:color w:val="000000"/>
          <w:sz w:val="24"/>
          <w:szCs w:val="24"/>
          <w:highlight w:val="none"/>
          <w:lang w:val="en-US" w:eastAsia="zh-CN"/>
        </w:rPr>
        <w:t>投标单位</w:t>
      </w:r>
      <w:r>
        <w:rPr>
          <w:rFonts w:hint="eastAsia" w:ascii="宋体" w:hAnsi="宋体"/>
          <w:color w:val="000000"/>
          <w:sz w:val="24"/>
          <w:szCs w:val="24"/>
          <w:highlight w:val="none"/>
        </w:rPr>
        <w:t>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万元，属于</w:t>
      </w:r>
      <w:r>
        <w:rPr>
          <w:rFonts w:hint="eastAsia" w:ascii="宋体" w:hAnsi="宋体"/>
          <w:color w:val="000000"/>
          <w:sz w:val="24"/>
          <w:szCs w:val="24"/>
          <w:highlight w:val="none"/>
          <w:u w:val="single"/>
        </w:rPr>
        <w:t>（中型企业、小型企业、微型企业）；</w:t>
      </w:r>
    </w:p>
    <w:p w14:paraId="0F3EC2D3">
      <w:pPr>
        <w:keepNext w:val="0"/>
        <w:keepLines w:val="0"/>
        <w:pageBreakBefore w:val="0"/>
        <w:widowControl w:val="0"/>
        <w:kinsoku/>
        <w:wordWrap/>
        <w:overflowPunct/>
        <w:topLinePunct w:val="0"/>
        <w:autoSpaceDE/>
        <w:autoSpaceDN/>
        <w:bidi w:val="0"/>
        <w:adjustRightInd/>
        <w:snapToGrid w:val="0"/>
        <w:spacing w:line="400" w:lineRule="atLeast"/>
        <w:ind w:firstLine="360"/>
        <w:textAlignment w:val="auto"/>
        <w:rPr>
          <w:rFonts w:hint="eastAsia" w:ascii="宋体" w:hAnsi="宋体"/>
          <w:color w:val="000000"/>
          <w:sz w:val="24"/>
          <w:szCs w:val="24"/>
          <w:highlight w:val="none"/>
        </w:rPr>
      </w:pPr>
      <w:r>
        <w:rPr>
          <w:rFonts w:hint="eastAsia" w:ascii="宋体" w:hAnsi="宋体"/>
          <w:color w:val="000000"/>
          <w:sz w:val="24"/>
          <w:szCs w:val="24"/>
          <w:highlight w:val="none"/>
        </w:rPr>
        <w:t>……</w:t>
      </w:r>
    </w:p>
    <w:p w14:paraId="6197450E">
      <w:pPr>
        <w:keepNext w:val="0"/>
        <w:keepLines w:val="0"/>
        <w:pageBreakBefore w:val="0"/>
        <w:widowControl w:val="0"/>
        <w:kinsoku/>
        <w:wordWrap/>
        <w:overflowPunct/>
        <w:topLinePunct w:val="0"/>
        <w:autoSpaceDE/>
        <w:autoSpaceDN/>
        <w:bidi w:val="0"/>
        <w:adjustRightInd/>
        <w:snapToGrid w:val="0"/>
        <w:spacing w:line="400" w:lineRule="atLeast"/>
        <w:ind w:firstLine="360"/>
        <w:textAlignment w:val="auto"/>
        <w:rPr>
          <w:rFonts w:hint="eastAsia" w:ascii="宋体" w:hAnsi="宋体"/>
          <w:color w:val="000000"/>
          <w:sz w:val="24"/>
          <w:szCs w:val="24"/>
          <w:highlight w:val="none"/>
        </w:rPr>
      </w:pPr>
      <w:r>
        <w:rPr>
          <w:rFonts w:hint="eastAsia" w:ascii="宋体" w:hAnsi="宋体"/>
          <w:color w:val="000000"/>
          <w:sz w:val="24"/>
          <w:szCs w:val="24"/>
          <w:highlight w:val="none"/>
        </w:rPr>
        <w:t>以上企业，不属于大企业的分支机构，不存在控股股东为大企业的情形，也不存在与大企业的负责人为同一人的情形。</w:t>
      </w:r>
    </w:p>
    <w:p w14:paraId="70F6B7F7">
      <w:pPr>
        <w:keepNext w:val="0"/>
        <w:keepLines w:val="0"/>
        <w:pageBreakBefore w:val="0"/>
        <w:widowControl w:val="0"/>
        <w:kinsoku/>
        <w:wordWrap/>
        <w:overflowPunct/>
        <w:topLinePunct w:val="0"/>
        <w:autoSpaceDE/>
        <w:autoSpaceDN/>
        <w:bidi w:val="0"/>
        <w:adjustRightInd/>
        <w:snapToGrid w:val="0"/>
        <w:spacing w:line="400" w:lineRule="atLeast"/>
        <w:ind w:firstLine="360"/>
        <w:textAlignment w:val="auto"/>
        <w:rPr>
          <w:rFonts w:hint="eastAsia" w:ascii="宋体" w:hAnsi="宋体"/>
          <w:color w:val="000000"/>
          <w:sz w:val="24"/>
          <w:szCs w:val="24"/>
          <w:highlight w:val="none"/>
        </w:rPr>
      </w:pPr>
      <w:r>
        <w:rPr>
          <w:rFonts w:hint="eastAsia" w:ascii="宋体" w:hAnsi="宋体"/>
          <w:color w:val="000000"/>
          <w:sz w:val="24"/>
          <w:szCs w:val="24"/>
          <w:highlight w:val="none"/>
        </w:rPr>
        <w:t>本企业对上述声明内容的真实性负责。如有虚假，将依法承担相应责任</w:t>
      </w:r>
    </w:p>
    <w:p w14:paraId="0AEC8BFD">
      <w:pPr>
        <w:keepNext w:val="0"/>
        <w:keepLines w:val="0"/>
        <w:pageBreakBefore w:val="0"/>
        <w:widowControl w:val="0"/>
        <w:kinsoku/>
        <w:wordWrap/>
        <w:overflowPunct/>
        <w:topLinePunct w:val="0"/>
        <w:autoSpaceDE/>
        <w:autoSpaceDN/>
        <w:bidi w:val="0"/>
        <w:adjustRightInd/>
        <w:snapToGrid w:val="0"/>
        <w:spacing w:line="400" w:lineRule="atLeast"/>
        <w:ind w:right="720"/>
        <w:textAlignment w:val="auto"/>
        <w:rPr>
          <w:rFonts w:hint="eastAsia" w:ascii="宋体" w:hAnsi="宋体"/>
          <w:color w:val="000000"/>
          <w:sz w:val="24"/>
          <w:szCs w:val="24"/>
          <w:highlight w:val="none"/>
        </w:rPr>
      </w:pPr>
    </w:p>
    <w:p w14:paraId="3643BCE0">
      <w:pPr>
        <w:keepNext w:val="0"/>
        <w:keepLines w:val="0"/>
        <w:pageBreakBefore w:val="0"/>
        <w:widowControl w:val="0"/>
        <w:kinsoku/>
        <w:wordWrap/>
        <w:overflowPunct/>
        <w:topLinePunct w:val="0"/>
        <w:autoSpaceDE/>
        <w:autoSpaceDN/>
        <w:bidi w:val="0"/>
        <w:adjustRightInd/>
        <w:snapToGrid w:val="0"/>
        <w:spacing w:line="400" w:lineRule="atLeast"/>
        <w:ind w:right="180" w:firstLine="360"/>
        <w:jc w:val="right"/>
        <w:textAlignment w:val="auto"/>
        <w:rPr>
          <w:rFonts w:hint="eastAsia" w:ascii="宋体" w:hAnsi="宋体"/>
          <w:color w:val="000000"/>
          <w:sz w:val="24"/>
          <w:szCs w:val="24"/>
          <w:highlight w:val="none"/>
        </w:rPr>
      </w:pPr>
      <w:r>
        <w:rPr>
          <w:rFonts w:hint="eastAsia" w:ascii="宋体" w:hAnsi="宋体"/>
          <w:color w:val="000000"/>
          <w:sz w:val="24"/>
          <w:szCs w:val="24"/>
          <w:highlight w:val="none"/>
        </w:rPr>
        <w:t>企业名称（加盖CA电子公章）：</w:t>
      </w:r>
    </w:p>
    <w:p w14:paraId="01BE6C27">
      <w:pPr>
        <w:keepNext w:val="0"/>
        <w:keepLines w:val="0"/>
        <w:pageBreakBefore w:val="0"/>
        <w:widowControl w:val="0"/>
        <w:kinsoku/>
        <w:wordWrap/>
        <w:overflowPunct/>
        <w:topLinePunct w:val="0"/>
        <w:autoSpaceDE/>
        <w:autoSpaceDN/>
        <w:bidi w:val="0"/>
        <w:adjustRightInd/>
        <w:snapToGrid w:val="0"/>
        <w:spacing w:line="400" w:lineRule="atLeast"/>
        <w:ind w:right="480" w:firstLine="5400"/>
        <w:textAlignment w:val="auto"/>
        <w:rPr>
          <w:rFonts w:hint="eastAsia" w:ascii="宋体" w:hAnsi="宋体"/>
          <w:color w:val="000000"/>
          <w:sz w:val="24"/>
          <w:szCs w:val="24"/>
          <w:highlight w:val="none"/>
        </w:rPr>
      </w:pPr>
      <w:r>
        <w:rPr>
          <w:rFonts w:hint="eastAsia" w:ascii="宋体" w:hAnsi="宋体"/>
          <w:color w:val="000000"/>
          <w:sz w:val="24"/>
          <w:szCs w:val="24"/>
          <w:highlight w:val="none"/>
        </w:rPr>
        <w:t>日  期：</w:t>
      </w:r>
    </w:p>
    <w:p w14:paraId="12EC177D">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宋体" w:hAnsi="宋体"/>
          <w:color w:val="auto"/>
          <w:highlight w:val="none"/>
        </w:rPr>
      </w:pPr>
      <w:r>
        <w:rPr>
          <w:rFonts w:hint="eastAsia" w:ascii="宋体" w:hAnsi="宋体"/>
          <w:b/>
          <w:bCs/>
          <w:color w:val="000000"/>
          <w:sz w:val="24"/>
          <w:szCs w:val="24"/>
          <w:highlight w:val="none"/>
        </w:rPr>
        <w:t>注</w:t>
      </w:r>
      <w:r>
        <w:rPr>
          <w:rFonts w:hint="eastAsia" w:ascii="宋体" w:hAnsi="宋体"/>
          <w:color w:val="000000"/>
          <w:sz w:val="24"/>
          <w:szCs w:val="24"/>
          <w:highlight w:val="none"/>
          <w:lang w:val="en-US" w:eastAsia="zh-CN"/>
        </w:rPr>
        <w:t xml:space="preserve"> </w:t>
      </w:r>
      <w:r>
        <w:rPr>
          <w:rFonts w:hint="eastAsia" w:ascii="宋体" w:hAnsi="宋体"/>
          <w:color w:val="auto"/>
          <w:highlight w:val="none"/>
        </w:rPr>
        <w:t>1、</w:t>
      </w:r>
      <w:r>
        <w:rPr>
          <w:rFonts w:hint="eastAsia" w:ascii="Calibri" w:hAnsi="Calibri"/>
          <w:color w:val="auto"/>
          <w:highlight w:val="none"/>
        </w:rPr>
        <w:t>从业人员（不仅指在职职工）、营业收入、资产总额填报上一年度数据，无上一年度数据的新成立企业可不填报。</w:t>
      </w:r>
    </w:p>
    <w:p w14:paraId="7AF691DE">
      <w:pPr>
        <w:keepNext w:val="0"/>
        <w:keepLines w:val="0"/>
        <w:pageBreakBefore w:val="0"/>
        <w:widowControl w:val="0"/>
        <w:kinsoku/>
        <w:wordWrap/>
        <w:overflowPunct/>
        <w:topLinePunct w:val="0"/>
        <w:autoSpaceDE/>
        <w:autoSpaceDN/>
        <w:bidi w:val="0"/>
        <w:adjustRightInd/>
        <w:snapToGrid w:val="0"/>
        <w:spacing w:line="400" w:lineRule="atLeast"/>
        <w:ind w:firstLine="420"/>
        <w:textAlignment w:val="auto"/>
        <w:rPr>
          <w:rFonts w:hint="eastAsia" w:ascii="宋体" w:hAnsi="宋体"/>
          <w:b/>
          <w:color w:val="auto"/>
          <w:highlight w:val="none"/>
        </w:rPr>
      </w:pPr>
      <w:r>
        <w:rPr>
          <w:rFonts w:hint="eastAsia" w:ascii="宋体" w:hAnsi="宋体"/>
          <w:b/>
          <w:color w:val="auto"/>
          <w:highlight w:val="none"/>
        </w:rPr>
        <w:t>2、</w:t>
      </w:r>
      <w:r>
        <w:rPr>
          <w:rFonts w:hint="eastAsia" w:ascii="宋体" w:hAnsi="宋体"/>
          <w:b/>
          <w:color w:val="auto"/>
          <w:highlight w:val="none"/>
          <w:lang w:eastAsia="zh-CN"/>
        </w:rPr>
        <w:t>投标单位</w:t>
      </w:r>
      <w:r>
        <w:rPr>
          <w:rFonts w:hint="eastAsia" w:ascii="宋体" w:hAnsi="宋体"/>
          <w:b/>
          <w:color w:val="auto"/>
          <w:highlight w:val="none"/>
        </w:rPr>
        <w:t>如不提供此声明函，响应无效。</w:t>
      </w:r>
    </w:p>
    <w:p w14:paraId="6B27D74E">
      <w:pPr>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p>
    <w:p w14:paraId="255C2BEB">
      <w:pPr>
        <w:keepNext w:val="0"/>
        <w:keepLines w:val="0"/>
        <w:pageBreakBefore w:val="0"/>
        <w:widowControl w:val="0"/>
        <w:kinsoku/>
        <w:wordWrap/>
        <w:overflowPunct/>
        <w:topLinePunct w:val="0"/>
        <w:autoSpaceDE/>
        <w:autoSpaceDN/>
        <w:bidi w:val="0"/>
        <w:adjustRightInd/>
        <w:snapToGrid w:val="0"/>
        <w:spacing w:line="400" w:lineRule="atLeast"/>
        <w:ind w:firstLine="420"/>
        <w:jc w:val="left"/>
        <w:textAlignment w:val="auto"/>
        <w:rPr>
          <w:rFonts w:hint="eastAsia"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highlight w:val="none"/>
          <w:lang w:eastAsia="zh-CN"/>
        </w:rPr>
        <w:t>投标单位</w:t>
      </w:r>
      <w:r>
        <w:rPr>
          <w:rFonts w:hint="eastAsia" w:ascii="宋体" w:hAnsi="宋体" w:cs="宋体"/>
          <w:color w:val="auto"/>
          <w:highlight w:val="none"/>
        </w:rPr>
        <w:t>应当对其出具的《中小微企业声明函》真实性负责，</w:t>
      </w:r>
      <w:r>
        <w:rPr>
          <w:rFonts w:hint="eastAsia" w:ascii="宋体" w:hAnsi="宋体" w:cs="宋体"/>
          <w:color w:val="auto"/>
          <w:highlight w:val="none"/>
          <w:lang w:eastAsia="zh-CN"/>
        </w:rPr>
        <w:t>投标单位</w:t>
      </w:r>
      <w:r>
        <w:rPr>
          <w:rFonts w:hint="eastAsia" w:ascii="宋体" w:hAnsi="宋体" w:cs="宋体"/>
          <w:color w:val="auto"/>
          <w:highlight w:val="none"/>
        </w:rPr>
        <w:t>出具的《中小微企业声明函》内容不实的，属于提供虚假材料谋取中标。对相关制造商信息了解不充分，或者不能确定相关信息真实、准确的，不建议出具《中小微企业声明函》。</w:t>
      </w:r>
    </w:p>
    <w:p w14:paraId="7351338C">
      <w:pPr>
        <w:keepNext w:val="0"/>
        <w:keepLines w:val="0"/>
        <w:pageBreakBefore w:val="0"/>
        <w:widowControl w:val="0"/>
        <w:kinsoku/>
        <w:wordWrap/>
        <w:overflowPunct/>
        <w:topLinePunct w:val="0"/>
        <w:autoSpaceDE/>
        <w:autoSpaceDN/>
        <w:bidi w:val="0"/>
        <w:adjustRightInd/>
        <w:snapToGrid w:val="0"/>
        <w:spacing w:line="400" w:lineRule="atLeast"/>
        <w:ind w:firstLine="420"/>
        <w:jc w:val="left"/>
        <w:textAlignment w:val="auto"/>
        <w:rPr>
          <w:rFonts w:hint="eastAsia" w:ascii="宋体" w:hAnsi="宋体" w:cs="宋体"/>
          <w:color w:val="auto"/>
          <w:highlight w:val="none"/>
        </w:rPr>
      </w:pPr>
      <w:r>
        <w:rPr>
          <w:rFonts w:hint="eastAsia" w:ascii="宋体" w:hAnsi="宋体" w:cs="宋体"/>
          <w:color w:val="auto"/>
          <w:highlight w:val="none"/>
        </w:rPr>
        <w:t>5、中小微企业不得属于大企业的分支机构，不得存在控股股东为大企业的情形，不得存在与大企业的负责人为同一人的情形。</w:t>
      </w:r>
    </w:p>
    <w:p w14:paraId="3736BE3E">
      <w:pPr>
        <w:keepNext w:val="0"/>
        <w:keepLines w:val="0"/>
        <w:pageBreakBefore w:val="0"/>
        <w:widowControl w:val="0"/>
        <w:kinsoku/>
        <w:wordWrap/>
        <w:overflowPunct/>
        <w:topLinePunct w:val="0"/>
        <w:autoSpaceDE/>
        <w:autoSpaceDN/>
        <w:bidi w:val="0"/>
        <w:adjustRightInd/>
        <w:snapToGrid w:val="0"/>
        <w:spacing w:line="400" w:lineRule="atLeast"/>
        <w:ind w:firstLine="420"/>
        <w:jc w:val="left"/>
        <w:textAlignment w:val="auto"/>
        <w:rPr>
          <w:rFonts w:hint="eastAsia" w:ascii="宋体" w:hAnsi="宋体"/>
          <w:color w:val="000000"/>
          <w:sz w:val="24"/>
          <w:szCs w:val="24"/>
          <w:highlight w:val="none"/>
        </w:rPr>
      </w:pPr>
      <w:r>
        <w:rPr>
          <w:rFonts w:hint="eastAsia" w:ascii="宋体" w:hAnsi="宋体" w:cs="宋体"/>
          <w:color w:val="auto"/>
          <w:highlight w:val="none"/>
        </w:rPr>
        <w:t>6、《政府采购法》第七十七条第一款：提供虚假材料谋取中标、成交的，处以采购金额千分之五以上</w:t>
      </w:r>
      <w:r>
        <w:rPr>
          <w:rFonts w:hint="eastAsia" w:ascii="Calibri" w:hAnsi="Calibri"/>
          <w:color w:val="auto"/>
          <w:highlight w:val="none"/>
        </w:rPr>
        <w:t>千分之十以下的罚款，列入不良行为记录名单，在一至三年内禁止参加政府采购活动，有违法所得的，并处没收违法所得，情节严重的，由工商行政管理机关吊销营业执照；构成犯罪的，依法追究刑事责任。</w:t>
      </w:r>
    </w:p>
    <w:p w14:paraId="736A6F0C">
      <w:pPr>
        <w:spacing w:before="145" w:after="145" w:line="440" w:lineRule="exact"/>
        <w:jc w:val="center"/>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十、残疾人福利性单位声明函（</w:t>
      </w:r>
      <w:r>
        <w:rPr>
          <w:rFonts w:hint="eastAsia" w:ascii="黑体" w:hAnsi="黑体" w:eastAsia="黑体"/>
          <w:b/>
          <w:color w:val="000000"/>
          <w:sz w:val="32"/>
          <w:szCs w:val="32"/>
          <w:highlight w:val="none"/>
          <w:lang w:val="en-US" w:eastAsia="zh-CN"/>
        </w:rPr>
        <w:t>如有</w:t>
      </w:r>
      <w:r>
        <w:rPr>
          <w:rFonts w:hint="eastAsia" w:ascii="黑体" w:hAnsi="黑体" w:eastAsia="黑体"/>
          <w:b/>
          <w:color w:val="000000"/>
          <w:sz w:val="32"/>
          <w:szCs w:val="32"/>
          <w:highlight w:val="none"/>
        </w:rPr>
        <w:t>）</w:t>
      </w:r>
    </w:p>
    <w:p w14:paraId="185B0989">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highlight w:val="none"/>
          <w:lang w:eastAsia="zh-CN"/>
        </w:rPr>
        <w:t>扬中经济开发区管理委员会</w:t>
      </w:r>
      <w:r>
        <w:rPr>
          <w:rFonts w:hint="eastAsia" w:ascii="宋体" w:hAnsi="宋体"/>
          <w:color w:val="000000"/>
          <w:sz w:val="24"/>
          <w:highlight w:val="none"/>
        </w:rPr>
        <w:t>单位的文件编号为</w:t>
      </w:r>
      <w:r>
        <w:rPr>
          <w:rFonts w:hint="eastAsia" w:ascii="宋体" w:hAnsi="宋体"/>
          <w:color w:val="000000"/>
          <w:sz w:val="24"/>
          <w:szCs w:val="24"/>
          <w:highlight w:val="none"/>
          <w:u w:val="single"/>
          <w:lang w:eastAsia="zh-CN"/>
        </w:rPr>
        <w:t>赫顿海工装备（江苏）有限公司环网柜迁移项目</w:t>
      </w:r>
      <w:r>
        <w:rPr>
          <w:rFonts w:hint="eastAsia" w:ascii="宋体" w:hAnsi="宋体"/>
          <w:color w:val="000000"/>
          <w:sz w:val="24"/>
          <w:highlight w:val="none"/>
        </w:rPr>
        <w:t>活动由本单位提供服务。</w:t>
      </w:r>
    </w:p>
    <w:p w14:paraId="5641597F">
      <w:pPr>
        <w:spacing w:line="440" w:lineRule="exact"/>
        <w:ind w:firstLine="480"/>
        <w:rPr>
          <w:rFonts w:ascii="宋体" w:hAnsi="宋体"/>
          <w:color w:val="000000"/>
          <w:sz w:val="24"/>
          <w:highlight w:val="none"/>
        </w:rPr>
      </w:pPr>
      <w:r>
        <w:rPr>
          <w:rFonts w:hint="eastAsia" w:ascii="宋体" w:hAnsi="宋体"/>
          <w:color w:val="000000"/>
          <w:sz w:val="24"/>
          <w:highlight w:val="none"/>
        </w:rPr>
        <w:t>本单位对上述声明的真实性负责。如有虚假，将依法承担相应责任。</w:t>
      </w:r>
    </w:p>
    <w:p w14:paraId="054DBE92">
      <w:pPr>
        <w:spacing w:line="440" w:lineRule="exact"/>
        <w:ind w:firstLine="480"/>
        <w:rPr>
          <w:rFonts w:hint="eastAsia" w:ascii="宋体" w:hAnsi="宋体"/>
          <w:color w:val="000000"/>
          <w:sz w:val="24"/>
          <w:highlight w:val="none"/>
        </w:rPr>
      </w:pPr>
    </w:p>
    <w:p w14:paraId="6E53DA7F">
      <w:pPr>
        <w:spacing w:line="440" w:lineRule="exact"/>
        <w:ind w:firstLine="480"/>
        <w:rPr>
          <w:rFonts w:ascii="宋体" w:hAnsi="宋体"/>
          <w:color w:val="000000"/>
          <w:sz w:val="24"/>
          <w:highlight w:val="none"/>
        </w:rPr>
      </w:pPr>
      <w:r>
        <w:rPr>
          <w:rFonts w:hint="eastAsia" w:ascii="宋体" w:hAnsi="宋体"/>
          <w:color w:val="000000"/>
          <w:sz w:val="24"/>
          <w:highlight w:val="none"/>
        </w:rPr>
        <w:t>（备注：1、</w:t>
      </w:r>
      <w:r>
        <w:rPr>
          <w:rFonts w:hint="eastAsia" w:ascii="宋体" w:hAnsi="宋体"/>
          <w:color w:val="000000"/>
          <w:sz w:val="24"/>
          <w:highlight w:val="none"/>
          <w:lang w:eastAsia="zh-CN"/>
        </w:rPr>
        <w:t>投标人</w:t>
      </w:r>
      <w:r>
        <w:rPr>
          <w:rFonts w:hint="eastAsia" w:ascii="宋体" w:hAnsi="宋体"/>
          <w:color w:val="000000"/>
          <w:sz w:val="24"/>
          <w:highlight w:val="none"/>
        </w:rPr>
        <w:t>如不提供此声明函，价格将不做相应扣除。2、中标人为残疾人福利单位的，此声明函将随中标结果同时公告，接受社会监督）</w:t>
      </w:r>
    </w:p>
    <w:p w14:paraId="2439F1DF">
      <w:pPr>
        <w:spacing w:line="440" w:lineRule="exact"/>
        <w:ind w:firstLine="624"/>
        <w:rPr>
          <w:rFonts w:ascii="仿宋_GB2312" w:eastAsia="仿宋_GB2312"/>
          <w:color w:val="000000"/>
          <w:spacing w:val="6"/>
          <w:sz w:val="30"/>
          <w:szCs w:val="30"/>
          <w:highlight w:val="none"/>
        </w:rPr>
      </w:pPr>
    </w:p>
    <w:p w14:paraId="15A4AEBA">
      <w:pPr>
        <w:tabs>
          <w:tab w:val="left" w:pos="4860"/>
        </w:tabs>
        <w:spacing w:line="440" w:lineRule="exact"/>
        <w:ind w:right="1560" w:firstLine="624"/>
        <w:jc w:val="center"/>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eastAsia="zh-CN"/>
        </w:rPr>
        <w:t>投标人</w:t>
      </w:r>
      <w:r>
        <w:rPr>
          <w:rFonts w:hint="eastAsia" w:ascii="宋体" w:hAnsi="宋体"/>
          <w:color w:val="000000"/>
          <w:sz w:val="24"/>
          <w:highlight w:val="none"/>
        </w:rPr>
        <w:t>全称（加盖CA电子公章）：</w:t>
      </w:r>
    </w:p>
    <w:p w14:paraId="68A1CFBA">
      <w:pPr>
        <w:tabs>
          <w:tab w:val="left" w:pos="4860"/>
        </w:tabs>
        <w:spacing w:line="440" w:lineRule="exact"/>
        <w:ind w:right="1560" w:firstLine="480"/>
        <w:jc w:val="center"/>
        <w:rPr>
          <w:rFonts w:ascii="宋体" w:hAnsi="宋体"/>
          <w:color w:val="000000"/>
          <w:sz w:val="24"/>
          <w:highlight w:val="none"/>
        </w:rPr>
      </w:pPr>
      <w:r>
        <w:rPr>
          <w:rFonts w:hint="eastAsia" w:ascii="宋体" w:hAnsi="宋体"/>
          <w:color w:val="000000"/>
          <w:sz w:val="24"/>
          <w:highlight w:val="none"/>
        </w:rPr>
        <w:t xml:space="preserve">      日  期：</w:t>
      </w:r>
    </w:p>
    <w:p w14:paraId="5253A96A">
      <w:pPr>
        <w:spacing w:line="440" w:lineRule="exact"/>
        <w:jc w:val="center"/>
        <w:rPr>
          <w:rFonts w:hint="eastAsia" w:ascii="黑体" w:hAnsi="黑体" w:eastAsia="黑体"/>
          <w:b/>
          <w:color w:val="000000"/>
          <w:sz w:val="32"/>
          <w:szCs w:val="32"/>
          <w:highlight w:val="none"/>
        </w:rPr>
      </w:pPr>
    </w:p>
    <w:p w14:paraId="54153EAD">
      <w:pPr>
        <w:spacing w:line="440" w:lineRule="exact"/>
        <w:jc w:val="center"/>
        <w:rPr>
          <w:rFonts w:hint="eastAsia" w:ascii="黑体" w:hAnsi="黑体" w:eastAsia="黑体"/>
          <w:b/>
          <w:color w:val="000000"/>
          <w:sz w:val="32"/>
          <w:szCs w:val="32"/>
          <w:highlight w:val="none"/>
        </w:rPr>
      </w:pPr>
    </w:p>
    <w:p w14:paraId="39003C57">
      <w:pPr>
        <w:spacing w:line="440" w:lineRule="exact"/>
        <w:jc w:val="center"/>
        <w:rPr>
          <w:rFonts w:hint="eastAsia" w:ascii="黑体" w:hAnsi="黑体" w:eastAsia="黑体"/>
          <w:b/>
          <w:color w:val="000000"/>
          <w:sz w:val="32"/>
          <w:szCs w:val="32"/>
          <w:highlight w:val="none"/>
        </w:rPr>
      </w:pPr>
    </w:p>
    <w:p w14:paraId="16ED0CF3">
      <w:pPr>
        <w:spacing w:line="440" w:lineRule="exact"/>
        <w:jc w:val="center"/>
        <w:rPr>
          <w:rFonts w:hint="eastAsia" w:ascii="黑体" w:hAnsi="黑体" w:eastAsia="黑体"/>
          <w:b/>
          <w:color w:val="000000"/>
          <w:sz w:val="32"/>
          <w:szCs w:val="32"/>
          <w:highlight w:val="none"/>
        </w:rPr>
      </w:pPr>
    </w:p>
    <w:p w14:paraId="7CEA44BC">
      <w:pPr>
        <w:spacing w:line="440" w:lineRule="exact"/>
        <w:jc w:val="center"/>
        <w:rPr>
          <w:rFonts w:hint="eastAsia" w:ascii="黑体" w:hAnsi="黑体" w:eastAsia="黑体"/>
          <w:b/>
          <w:color w:val="000000"/>
          <w:sz w:val="32"/>
          <w:szCs w:val="32"/>
          <w:highlight w:val="none"/>
        </w:rPr>
      </w:pPr>
    </w:p>
    <w:p w14:paraId="602ADB54">
      <w:pPr>
        <w:spacing w:line="440" w:lineRule="exact"/>
        <w:jc w:val="center"/>
        <w:rPr>
          <w:rFonts w:hint="eastAsia" w:ascii="黑体" w:hAnsi="黑体" w:eastAsia="黑体"/>
          <w:b/>
          <w:color w:val="000000"/>
          <w:sz w:val="32"/>
          <w:szCs w:val="32"/>
          <w:highlight w:val="none"/>
        </w:rPr>
      </w:pPr>
    </w:p>
    <w:p w14:paraId="0F3F954F">
      <w:pPr>
        <w:spacing w:line="440" w:lineRule="exact"/>
        <w:jc w:val="center"/>
        <w:rPr>
          <w:rFonts w:hint="eastAsia" w:ascii="黑体" w:hAnsi="黑体" w:eastAsia="黑体"/>
          <w:b/>
          <w:color w:val="000000"/>
          <w:sz w:val="32"/>
          <w:szCs w:val="32"/>
          <w:highlight w:val="none"/>
        </w:rPr>
      </w:pPr>
    </w:p>
    <w:p w14:paraId="56A9E440">
      <w:pPr>
        <w:spacing w:line="440" w:lineRule="exact"/>
        <w:jc w:val="center"/>
        <w:rPr>
          <w:rFonts w:hint="eastAsia" w:ascii="黑体" w:hAnsi="黑体" w:eastAsia="黑体"/>
          <w:b/>
          <w:color w:val="000000"/>
          <w:sz w:val="32"/>
          <w:szCs w:val="32"/>
          <w:highlight w:val="none"/>
        </w:rPr>
      </w:pPr>
    </w:p>
    <w:p w14:paraId="01B83724">
      <w:pPr>
        <w:spacing w:line="440" w:lineRule="exact"/>
        <w:jc w:val="center"/>
        <w:rPr>
          <w:rFonts w:hint="eastAsia" w:ascii="黑体" w:hAnsi="黑体" w:eastAsia="黑体"/>
          <w:b/>
          <w:color w:val="000000"/>
          <w:sz w:val="32"/>
          <w:szCs w:val="32"/>
          <w:highlight w:val="none"/>
        </w:rPr>
      </w:pPr>
    </w:p>
    <w:p w14:paraId="78CEEBDA">
      <w:pPr>
        <w:spacing w:line="440" w:lineRule="exact"/>
        <w:jc w:val="center"/>
        <w:rPr>
          <w:rFonts w:hint="eastAsia" w:ascii="黑体" w:hAnsi="黑体" w:eastAsia="黑体"/>
          <w:b/>
          <w:color w:val="000000"/>
          <w:sz w:val="32"/>
          <w:szCs w:val="32"/>
          <w:highlight w:val="none"/>
        </w:rPr>
      </w:pPr>
    </w:p>
    <w:p w14:paraId="056F73E9">
      <w:pPr>
        <w:spacing w:line="440" w:lineRule="exact"/>
        <w:jc w:val="center"/>
        <w:rPr>
          <w:rFonts w:hint="eastAsia" w:ascii="黑体" w:hAnsi="黑体" w:eastAsia="黑体"/>
          <w:b/>
          <w:color w:val="000000"/>
          <w:sz w:val="32"/>
          <w:szCs w:val="32"/>
          <w:highlight w:val="none"/>
        </w:rPr>
      </w:pPr>
    </w:p>
    <w:p w14:paraId="2AFEB279">
      <w:pPr>
        <w:spacing w:line="440" w:lineRule="exact"/>
        <w:jc w:val="center"/>
        <w:rPr>
          <w:rFonts w:hint="eastAsia" w:ascii="黑体" w:hAnsi="黑体" w:eastAsia="黑体"/>
          <w:b/>
          <w:color w:val="000000"/>
          <w:sz w:val="32"/>
          <w:szCs w:val="32"/>
          <w:highlight w:val="none"/>
        </w:rPr>
      </w:pPr>
    </w:p>
    <w:p w14:paraId="3616079C">
      <w:pPr>
        <w:spacing w:before="145" w:after="145" w:line="440" w:lineRule="exact"/>
        <w:jc w:val="center"/>
        <w:rPr>
          <w:rFonts w:hint="eastAsia" w:ascii="黑体" w:hAnsi="黑体" w:eastAsia="黑体" w:cs="Times New Roman"/>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cs="Times New Roman"/>
          <w:b/>
          <w:color w:val="000000"/>
          <w:sz w:val="32"/>
          <w:szCs w:val="32"/>
          <w:highlight w:val="none"/>
        </w:rPr>
        <w:t>十一、</w:t>
      </w:r>
      <w:bookmarkStart w:id="216" w:name="OLE_LINK2"/>
      <w:bookmarkStart w:id="217" w:name="OLE_LINK1"/>
      <w:r>
        <w:rPr>
          <w:rFonts w:hint="eastAsia" w:ascii="黑体" w:hAnsi="黑体" w:eastAsia="黑体" w:cs="Times New Roman"/>
          <w:b/>
          <w:color w:val="000000"/>
          <w:sz w:val="32"/>
          <w:szCs w:val="32"/>
          <w:highlight w:val="none"/>
        </w:rPr>
        <w:t>投标分项报价表</w:t>
      </w:r>
      <w:bookmarkEnd w:id="216"/>
      <w:bookmarkEnd w:id="217"/>
      <w:r>
        <w:rPr>
          <w:rFonts w:hint="eastAsia" w:ascii="黑体" w:hAnsi="黑体" w:eastAsia="黑体" w:cs="Times New Roman"/>
          <w:b/>
          <w:color w:val="000000"/>
          <w:sz w:val="32"/>
          <w:szCs w:val="32"/>
          <w:highlight w:val="none"/>
        </w:rPr>
        <w:t>（工程量清单）</w:t>
      </w:r>
    </w:p>
    <w:p w14:paraId="6EFE5873">
      <w:pPr>
        <w:spacing w:line="440" w:lineRule="exact"/>
        <w:ind w:left="560"/>
        <w:rPr>
          <w:rFonts w:ascii="黑体" w:hAnsi="黑体" w:eastAsia="黑体"/>
          <w:b/>
          <w:sz w:val="32"/>
          <w:szCs w:val="32"/>
        </w:rPr>
      </w:pPr>
    </w:p>
    <w:p w14:paraId="0D24265E">
      <w:pPr>
        <w:spacing w:line="440" w:lineRule="exact"/>
        <w:rPr>
          <w:rFonts w:ascii="宋体" w:hAnsi="宋体"/>
          <w:sz w:val="24"/>
          <w:szCs w:val="24"/>
        </w:rPr>
      </w:pPr>
    </w:p>
    <w:p w14:paraId="42FDC7E1">
      <w:pPr>
        <w:spacing w:line="440" w:lineRule="exact"/>
        <w:rPr>
          <w:rFonts w:ascii="宋体" w:hAnsi="宋体"/>
          <w:b/>
          <w:sz w:val="24"/>
          <w:szCs w:val="24"/>
        </w:rPr>
      </w:pPr>
      <w:r>
        <w:rPr>
          <w:rFonts w:hint="eastAsia" w:ascii="宋体" w:hAnsi="宋体"/>
          <w:b/>
          <w:sz w:val="24"/>
          <w:szCs w:val="24"/>
        </w:rPr>
        <w:t>（具体详见清单格式）</w:t>
      </w:r>
    </w:p>
    <w:p w14:paraId="6BBA13FE">
      <w:pPr>
        <w:spacing w:line="440" w:lineRule="exact"/>
        <w:rPr>
          <w:rFonts w:ascii="宋体" w:hAnsi="宋体"/>
          <w:b/>
          <w:sz w:val="24"/>
          <w:szCs w:val="24"/>
        </w:rPr>
      </w:pPr>
    </w:p>
    <w:p w14:paraId="482E4855">
      <w:pPr>
        <w:spacing w:before="145" w:after="145" w:line="440" w:lineRule="exact"/>
        <w:jc w:val="left"/>
        <w:rPr>
          <w:rFonts w:eastAsia="黑体"/>
          <w:color w:val="000000"/>
        </w:rPr>
      </w:pPr>
      <w:r>
        <w:rPr>
          <w:rFonts w:hint="eastAsia" w:ascii="宋体" w:hAnsi="宋体"/>
          <w:b/>
          <w:sz w:val="24"/>
          <w:szCs w:val="24"/>
        </w:rPr>
        <w:t>请各</w:t>
      </w:r>
      <w:r>
        <w:rPr>
          <w:rFonts w:hint="eastAsia" w:ascii="宋体" w:hAnsi="宋体"/>
          <w:b/>
          <w:sz w:val="24"/>
          <w:szCs w:val="24"/>
          <w:lang w:eastAsia="zh-CN"/>
        </w:rPr>
        <w:t>投标单位</w:t>
      </w:r>
      <w:r>
        <w:rPr>
          <w:rFonts w:hint="eastAsia" w:ascii="宋体" w:hAnsi="宋体"/>
          <w:b/>
          <w:sz w:val="24"/>
          <w:szCs w:val="24"/>
        </w:rPr>
        <w:t>根据招标人提供的工程量清单报价，不得改变工程量清单中的项目编码、项目名称、项目特征、计量单位、工程量以及不可竞争费。</w:t>
      </w:r>
    </w:p>
    <w:p w14:paraId="53541C5B">
      <w:pPr>
        <w:spacing w:line="440" w:lineRule="exact"/>
        <w:jc w:val="center"/>
        <w:rPr>
          <w:rFonts w:hint="eastAsia" w:ascii="黑体" w:hAnsi="黑体" w:eastAsia="黑体"/>
          <w:b/>
          <w:color w:val="000000"/>
          <w:sz w:val="32"/>
          <w:szCs w:val="32"/>
          <w:highlight w:val="none"/>
        </w:rPr>
      </w:pPr>
    </w:p>
    <w:p w14:paraId="307F7D6D">
      <w:pPr>
        <w:spacing w:before="145" w:after="145" w:line="440" w:lineRule="exact"/>
        <w:jc w:val="center"/>
        <w:rPr>
          <w:rFonts w:hint="eastAsia" w:ascii="黑体" w:hAnsi="黑体" w:eastAsia="黑体" w:cs="Times New Roman"/>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cs="Times New Roman"/>
          <w:b/>
          <w:color w:val="000000"/>
          <w:sz w:val="32"/>
          <w:szCs w:val="32"/>
          <w:highlight w:val="none"/>
          <w:lang w:val="en-US" w:eastAsia="zh-CN"/>
        </w:rPr>
        <w:t>十二、</w:t>
      </w:r>
      <w:r>
        <w:rPr>
          <w:rFonts w:hint="eastAsia" w:ascii="黑体" w:hAnsi="黑体" w:eastAsia="黑体" w:cs="Times New Roman"/>
          <w:b/>
          <w:color w:val="000000"/>
          <w:sz w:val="32"/>
          <w:szCs w:val="32"/>
          <w:highlight w:val="none"/>
        </w:rPr>
        <w:t>技术部分</w:t>
      </w:r>
    </w:p>
    <w:p w14:paraId="418C6D58">
      <w:pPr>
        <w:spacing w:line="440" w:lineRule="exact"/>
        <w:ind w:left="560"/>
        <w:rPr>
          <w:rFonts w:ascii="黑体" w:hAnsi="黑体" w:eastAsia="黑体"/>
          <w:b/>
          <w:sz w:val="32"/>
          <w:szCs w:val="32"/>
        </w:rPr>
      </w:pPr>
    </w:p>
    <w:p w14:paraId="44DFA12F">
      <w:pPr>
        <w:numPr>
          <w:ilvl w:val="0"/>
          <w:numId w:val="5"/>
        </w:numPr>
        <w:spacing w:line="440" w:lineRule="exact"/>
        <w:jc w:val="center"/>
        <w:rPr>
          <w:rFonts w:hint="eastAsia" w:ascii="黑体" w:hAnsi="黑体" w:eastAsia="黑体"/>
          <w:b/>
          <w:sz w:val="32"/>
          <w:szCs w:val="32"/>
        </w:rPr>
      </w:pPr>
      <w:r>
        <w:rPr>
          <w:rFonts w:hint="eastAsia" w:ascii="黑体" w:hAnsi="黑体" w:eastAsia="黑体"/>
          <w:b/>
          <w:sz w:val="32"/>
          <w:szCs w:val="32"/>
        </w:rPr>
        <w:t>技术方案</w:t>
      </w:r>
      <w:r>
        <w:rPr>
          <w:rFonts w:hint="eastAsia" w:ascii="黑体" w:hAnsi="黑体" w:eastAsia="黑体"/>
          <w:b/>
          <w:sz w:val="32"/>
          <w:szCs w:val="32"/>
          <w:lang w:eastAsia="zh-CN"/>
        </w:rPr>
        <w:t>（</w:t>
      </w:r>
      <w:r>
        <w:rPr>
          <w:rFonts w:hint="eastAsia" w:ascii="黑体" w:hAnsi="黑体" w:eastAsia="黑体"/>
          <w:b/>
          <w:sz w:val="32"/>
          <w:szCs w:val="32"/>
          <w:lang w:val="en-US" w:eastAsia="zh-CN"/>
        </w:rPr>
        <w:t>施工方案</w:t>
      </w:r>
      <w:r>
        <w:rPr>
          <w:rFonts w:hint="eastAsia" w:ascii="黑体" w:hAnsi="黑体" w:eastAsia="黑体"/>
          <w:b/>
          <w:sz w:val="32"/>
          <w:szCs w:val="32"/>
          <w:lang w:eastAsia="zh-CN"/>
        </w:rPr>
        <w:t>）</w:t>
      </w:r>
      <w:r>
        <w:rPr>
          <w:rFonts w:hint="eastAsia" w:ascii="黑体" w:hAnsi="黑体" w:eastAsia="黑体"/>
          <w:b/>
          <w:sz w:val="32"/>
          <w:szCs w:val="32"/>
        </w:rPr>
        <w:t>（格式自拟）</w:t>
      </w:r>
    </w:p>
    <w:p w14:paraId="7B69F983">
      <w:pPr>
        <w:widowControl w:val="0"/>
        <w:numPr>
          <w:ilvl w:val="0"/>
          <w:numId w:val="0"/>
        </w:numPr>
        <w:spacing w:line="440" w:lineRule="exact"/>
        <w:jc w:val="center"/>
        <w:rPr>
          <w:rFonts w:hint="eastAsia" w:ascii="黑体" w:hAnsi="黑体" w:eastAsia="黑体"/>
          <w:b/>
          <w:sz w:val="32"/>
          <w:szCs w:val="32"/>
        </w:rPr>
      </w:pPr>
    </w:p>
    <w:p w14:paraId="0B330D21">
      <w:pPr>
        <w:widowControl w:val="0"/>
        <w:numPr>
          <w:ilvl w:val="0"/>
          <w:numId w:val="0"/>
        </w:numPr>
        <w:spacing w:line="440" w:lineRule="exact"/>
        <w:jc w:val="center"/>
        <w:rPr>
          <w:rFonts w:hint="eastAsia" w:ascii="黑体" w:hAnsi="黑体" w:eastAsia="黑体"/>
          <w:b/>
          <w:sz w:val="32"/>
          <w:szCs w:val="32"/>
        </w:rPr>
      </w:pPr>
    </w:p>
    <w:p w14:paraId="36402A9E">
      <w:pPr>
        <w:numPr>
          <w:ilvl w:val="0"/>
          <w:numId w:val="5"/>
        </w:numPr>
        <w:spacing w:line="440" w:lineRule="exact"/>
        <w:jc w:val="center"/>
        <w:rPr>
          <w:rFonts w:hint="eastAsia" w:ascii="黑体" w:hAnsi="黑体" w:eastAsia="黑体"/>
          <w:b/>
          <w:sz w:val="32"/>
          <w:szCs w:val="32"/>
        </w:rPr>
      </w:pPr>
      <w:r>
        <w:rPr>
          <w:rFonts w:hint="eastAsia" w:ascii="黑体" w:hAnsi="黑体" w:eastAsia="黑体"/>
          <w:b/>
          <w:sz w:val="32"/>
          <w:szCs w:val="32"/>
        </w:rPr>
        <w:t>技术要求响应及偏离表</w:t>
      </w:r>
    </w:p>
    <w:p w14:paraId="14988C43">
      <w:pPr>
        <w:spacing w:line="440" w:lineRule="exact"/>
        <w:jc w:val="center"/>
        <w:rPr>
          <w:rFonts w:hint="eastAsia" w:ascii="黑体" w:hAnsi="黑体" w:eastAsia="黑体"/>
          <w:b/>
          <w:sz w:val="32"/>
          <w:szCs w:val="32"/>
        </w:rPr>
      </w:pP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90D0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14F2C1F">
            <w:pPr>
              <w:spacing w:line="440" w:lineRule="exact"/>
              <w:jc w:val="center"/>
              <w:rPr>
                <w:rFonts w:hint="eastAsia" w:ascii="宋体" w:hAnsi="宋体"/>
                <w:sz w:val="24"/>
                <w:szCs w:val="24"/>
              </w:rPr>
            </w:pPr>
            <w:r>
              <w:rPr>
                <w:rFonts w:hint="eastAsia" w:ascii="宋体" w:hAnsi="宋体"/>
                <w:sz w:val="24"/>
                <w:szCs w:val="24"/>
              </w:rPr>
              <w:t>序号</w:t>
            </w:r>
          </w:p>
        </w:tc>
        <w:tc>
          <w:tcPr>
            <w:tcW w:w="3291" w:type="dxa"/>
            <w:noWrap w:val="0"/>
            <w:vAlign w:val="center"/>
          </w:tcPr>
          <w:p w14:paraId="6C54FF20">
            <w:pPr>
              <w:spacing w:line="440" w:lineRule="exact"/>
              <w:jc w:val="center"/>
              <w:rPr>
                <w:rFonts w:hint="eastAsia" w:ascii="宋体" w:hAnsi="宋体"/>
                <w:sz w:val="24"/>
                <w:szCs w:val="24"/>
              </w:rPr>
            </w:pPr>
            <w:r>
              <w:rPr>
                <w:rFonts w:hint="eastAsia" w:ascii="宋体" w:hAnsi="宋体"/>
                <w:sz w:val="24"/>
                <w:szCs w:val="24"/>
                <w:lang w:val="en-US" w:eastAsia="zh-CN"/>
              </w:rPr>
              <w:t>招标</w:t>
            </w:r>
            <w:r>
              <w:rPr>
                <w:rFonts w:hint="eastAsia" w:ascii="宋体" w:hAnsi="宋体"/>
                <w:sz w:val="24"/>
                <w:szCs w:val="24"/>
              </w:rPr>
              <w:t>文件要求</w:t>
            </w:r>
          </w:p>
        </w:tc>
        <w:tc>
          <w:tcPr>
            <w:tcW w:w="2852" w:type="dxa"/>
            <w:noWrap w:val="0"/>
            <w:vAlign w:val="center"/>
          </w:tcPr>
          <w:p w14:paraId="72566E99">
            <w:pPr>
              <w:spacing w:line="440" w:lineRule="exact"/>
              <w:jc w:val="center"/>
              <w:rPr>
                <w:rFonts w:hint="eastAsia" w:ascii="宋体" w:hAnsi="宋体"/>
                <w:sz w:val="24"/>
                <w:szCs w:val="24"/>
              </w:rPr>
            </w:pPr>
            <w:r>
              <w:rPr>
                <w:rFonts w:hint="eastAsia" w:ascii="宋体" w:hAnsi="宋体"/>
                <w:sz w:val="24"/>
                <w:szCs w:val="24"/>
              </w:rPr>
              <w:t>响应情况</w:t>
            </w:r>
          </w:p>
        </w:tc>
        <w:tc>
          <w:tcPr>
            <w:tcW w:w="1308" w:type="dxa"/>
            <w:noWrap w:val="0"/>
            <w:vAlign w:val="center"/>
          </w:tcPr>
          <w:p w14:paraId="00E6236B">
            <w:pPr>
              <w:spacing w:line="440" w:lineRule="exact"/>
              <w:jc w:val="center"/>
              <w:rPr>
                <w:rFonts w:hint="eastAsia" w:ascii="宋体" w:hAnsi="宋体"/>
                <w:sz w:val="24"/>
                <w:szCs w:val="24"/>
              </w:rPr>
            </w:pPr>
            <w:r>
              <w:rPr>
                <w:rFonts w:hint="eastAsia" w:ascii="宋体" w:hAnsi="宋体"/>
                <w:sz w:val="24"/>
                <w:szCs w:val="24"/>
              </w:rPr>
              <w:t>超出、符合或偏离</w:t>
            </w:r>
          </w:p>
        </w:tc>
        <w:tc>
          <w:tcPr>
            <w:tcW w:w="1173" w:type="dxa"/>
            <w:noWrap w:val="0"/>
            <w:vAlign w:val="center"/>
          </w:tcPr>
          <w:p w14:paraId="464E91EE">
            <w:pPr>
              <w:spacing w:line="440" w:lineRule="exact"/>
              <w:jc w:val="center"/>
              <w:rPr>
                <w:rFonts w:hint="eastAsia" w:ascii="宋体" w:hAnsi="宋体"/>
                <w:sz w:val="24"/>
                <w:szCs w:val="24"/>
              </w:rPr>
            </w:pPr>
            <w:r>
              <w:rPr>
                <w:rFonts w:hint="eastAsia" w:ascii="宋体" w:hAnsi="宋体"/>
                <w:sz w:val="24"/>
                <w:szCs w:val="24"/>
              </w:rPr>
              <w:t>证明</w:t>
            </w:r>
          </w:p>
          <w:p w14:paraId="03116505">
            <w:pPr>
              <w:spacing w:line="440" w:lineRule="exact"/>
              <w:jc w:val="center"/>
              <w:rPr>
                <w:rFonts w:hint="eastAsia" w:ascii="宋体" w:hAnsi="宋体"/>
                <w:sz w:val="24"/>
                <w:szCs w:val="24"/>
              </w:rPr>
            </w:pPr>
            <w:r>
              <w:rPr>
                <w:rFonts w:hint="eastAsia" w:ascii="宋体" w:hAnsi="宋体"/>
                <w:sz w:val="24"/>
                <w:szCs w:val="24"/>
              </w:rPr>
              <w:t>材料</w:t>
            </w:r>
          </w:p>
        </w:tc>
      </w:tr>
      <w:tr w14:paraId="02A53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4568A18">
            <w:pPr>
              <w:spacing w:line="440" w:lineRule="exact"/>
              <w:jc w:val="center"/>
              <w:rPr>
                <w:rFonts w:hint="eastAsia" w:ascii="宋体" w:hAnsi="宋体"/>
                <w:sz w:val="24"/>
                <w:szCs w:val="24"/>
              </w:rPr>
            </w:pPr>
          </w:p>
        </w:tc>
        <w:tc>
          <w:tcPr>
            <w:tcW w:w="3291" w:type="dxa"/>
            <w:noWrap w:val="0"/>
            <w:vAlign w:val="top"/>
          </w:tcPr>
          <w:p w14:paraId="51E34514">
            <w:pPr>
              <w:spacing w:line="440" w:lineRule="exact"/>
              <w:jc w:val="center"/>
              <w:rPr>
                <w:rFonts w:hint="eastAsia" w:ascii="宋体" w:hAnsi="宋体"/>
                <w:sz w:val="24"/>
                <w:szCs w:val="24"/>
              </w:rPr>
            </w:pPr>
          </w:p>
        </w:tc>
        <w:tc>
          <w:tcPr>
            <w:tcW w:w="2852" w:type="dxa"/>
            <w:noWrap w:val="0"/>
            <w:vAlign w:val="top"/>
          </w:tcPr>
          <w:p w14:paraId="6C766179">
            <w:pPr>
              <w:spacing w:line="440" w:lineRule="exact"/>
              <w:jc w:val="center"/>
              <w:rPr>
                <w:rFonts w:hint="eastAsia" w:ascii="宋体" w:hAnsi="宋体"/>
                <w:sz w:val="24"/>
                <w:szCs w:val="24"/>
              </w:rPr>
            </w:pPr>
          </w:p>
        </w:tc>
        <w:tc>
          <w:tcPr>
            <w:tcW w:w="1308" w:type="dxa"/>
            <w:noWrap w:val="0"/>
            <w:vAlign w:val="top"/>
          </w:tcPr>
          <w:p w14:paraId="2461EA6F">
            <w:pPr>
              <w:spacing w:line="440" w:lineRule="exact"/>
              <w:jc w:val="center"/>
              <w:rPr>
                <w:rFonts w:hint="eastAsia" w:ascii="宋体" w:hAnsi="宋体"/>
                <w:sz w:val="24"/>
                <w:szCs w:val="24"/>
              </w:rPr>
            </w:pPr>
          </w:p>
        </w:tc>
        <w:tc>
          <w:tcPr>
            <w:tcW w:w="1173" w:type="dxa"/>
            <w:noWrap w:val="0"/>
            <w:vAlign w:val="top"/>
          </w:tcPr>
          <w:p w14:paraId="7ED07D57">
            <w:pPr>
              <w:spacing w:line="440" w:lineRule="exact"/>
              <w:jc w:val="center"/>
              <w:rPr>
                <w:rFonts w:hint="eastAsia" w:ascii="宋体" w:hAnsi="宋体"/>
                <w:sz w:val="24"/>
                <w:szCs w:val="24"/>
              </w:rPr>
            </w:pPr>
          </w:p>
        </w:tc>
      </w:tr>
      <w:tr w14:paraId="113A5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6B2CF5C">
            <w:pPr>
              <w:spacing w:line="440" w:lineRule="exact"/>
              <w:jc w:val="center"/>
              <w:rPr>
                <w:rFonts w:hint="eastAsia" w:ascii="宋体" w:hAnsi="宋体"/>
                <w:sz w:val="24"/>
                <w:szCs w:val="24"/>
              </w:rPr>
            </w:pPr>
          </w:p>
        </w:tc>
        <w:tc>
          <w:tcPr>
            <w:tcW w:w="3291" w:type="dxa"/>
            <w:noWrap w:val="0"/>
            <w:vAlign w:val="top"/>
          </w:tcPr>
          <w:p w14:paraId="705C4723">
            <w:pPr>
              <w:spacing w:line="440" w:lineRule="exact"/>
              <w:jc w:val="center"/>
              <w:rPr>
                <w:rFonts w:hint="eastAsia" w:ascii="宋体" w:hAnsi="宋体"/>
                <w:sz w:val="24"/>
                <w:szCs w:val="24"/>
              </w:rPr>
            </w:pPr>
          </w:p>
        </w:tc>
        <w:tc>
          <w:tcPr>
            <w:tcW w:w="2852" w:type="dxa"/>
            <w:noWrap w:val="0"/>
            <w:vAlign w:val="top"/>
          </w:tcPr>
          <w:p w14:paraId="7A208648">
            <w:pPr>
              <w:spacing w:line="440" w:lineRule="exact"/>
              <w:jc w:val="center"/>
              <w:rPr>
                <w:rFonts w:hint="eastAsia" w:ascii="宋体" w:hAnsi="宋体"/>
                <w:sz w:val="24"/>
                <w:szCs w:val="24"/>
              </w:rPr>
            </w:pPr>
          </w:p>
        </w:tc>
        <w:tc>
          <w:tcPr>
            <w:tcW w:w="1308" w:type="dxa"/>
            <w:noWrap w:val="0"/>
            <w:vAlign w:val="top"/>
          </w:tcPr>
          <w:p w14:paraId="512AD186">
            <w:pPr>
              <w:spacing w:line="440" w:lineRule="exact"/>
              <w:jc w:val="center"/>
              <w:rPr>
                <w:rFonts w:hint="eastAsia" w:ascii="宋体" w:hAnsi="宋体"/>
                <w:sz w:val="24"/>
                <w:szCs w:val="24"/>
              </w:rPr>
            </w:pPr>
          </w:p>
        </w:tc>
        <w:tc>
          <w:tcPr>
            <w:tcW w:w="1173" w:type="dxa"/>
            <w:noWrap w:val="0"/>
            <w:vAlign w:val="top"/>
          </w:tcPr>
          <w:p w14:paraId="37F4911F">
            <w:pPr>
              <w:spacing w:line="440" w:lineRule="exact"/>
              <w:jc w:val="center"/>
              <w:rPr>
                <w:rFonts w:hint="eastAsia" w:ascii="宋体" w:hAnsi="宋体"/>
                <w:sz w:val="24"/>
                <w:szCs w:val="24"/>
              </w:rPr>
            </w:pPr>
          </w:p>
        </w:tc>
      </w:tr>
      <w:tr w14:paraId="3EDF0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58576E7">
            <w:pPr>
              <w:spacing w:line="440" w:lineRule="exact"/>
              <w:jc w:val="center"/>
              <w:rPr>
                <w:rFonts w:hint="eastAsia" w:ascii="宋体" w:hAnsi="宋体"/>
                <w:sz w:val="24"/>
                <w:szCs w:val="24"/>
              </w:rPr>
            </w:pPr>
          </w:p>
        </w:tc>
        <w:tc>
          <w:tcPr>
            <w:tcW w:w="3291" w:type="dxa"/>
            <w:noWrap w:val="0"/>
            <w:vAlign w:val="top"/>
          </w:tcPr>
          <w:p w14:paraId="3A761715">
            <w:pPr>
              <w:spacing w:line="440" w:lineRule="exact"/>
              <w:jc w:val="center"/>
              <w:rPr>
                <w:rFonts w:hint="eastAsia" w:ascii="宋体" w:hAnsi="宋体"/>
                <w:sz w:val="24"/>
                <w:szCs w:val="24"/>
              </w:rPr>
            </w:pPr>
          </w:p>
        </w:tc>
        <w:tc>
          <w:tcPr>
            <w:tcW w:w="2852" w:type="dxa"/>
            <w:noWrap w:val="0"/>
            <w:vAlign w:val="top"/>
          </w:tcPr>
          <w:p w14:paraId="56ED1E19">
            <w:pPr>
              <w:spacing w:line="440" w:lineRule="exact"/>
              <w:jc w:val="center"/>
              <w:rPr>
                <w:rFonts w:hint="eastAsia" w:ascii="宋体" w:hAnsi="宋体"/>
                <w:sz w:val="24"/>
                <w:szCs w:val="24"/>
              </w:rPr>
            </w:pPr>
          </w:p>
        </w:tc>
        <w:tc>
          <w:tcPr>
            <w:tcW w:w="1308" w:type="dxa"/>
            <w:noWrap w:val="0"/>
            <w:vAlign w:val="top"/>
          </w:tcPr>
          <w:p w14:paraId="552BA0F9">
            <w:pPr>
              <w:spacing w:line="440" w:lineRule="exact"/>
              <w:jc w:val="center"/>
              <w:rPr>
                <w:rFonts w:hint="eastAsia" w:ascii="宋体" w:hAnsi="宋体"/>
                <w:sz w:val="24"/>
                <w:szCs w:val="24"/>
              </w:rPr>
            </w:pPr>
          </w:p>
        </w:tc>
        <w:tc>
          <w:tcPr>
            <w:tcW w:w="1173" w:type="dxa"/>
            <w:noWrap w:val="0"/>
            <w:vAlign w:val="top"/>
          </w:tcPr>
          <w:p w14:paraId="11DC8546">
            <w:pPr>
              <w:spacing w:line="440" w:lineRule="exact"/>
              <w:jc w:val="center"/>
              <w:rPr>
                <w:rFonts w:hint="eastAsia" w:ascii="宋体" w:hAnsi="宋体"/>
                <w:sz w:val="24"/>
                <w:szCs w:val="24"/>
              </w:rPr>
            </w:pPr>
          </w:p>
        </w:tc>
      </w:tr>
      <w:tr w14:paraId="7CC15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319F741">
            <w:pPr>
              <w:spacing w:line="440" w:lineRule="exact"/>
              <w:jc w:val="center"/>
              <w:rPr>
                <w:rFonts w:hint="eastAsia" w:ascii="宋体" w:hAnsi="宋体"/>
                <w:sz w:val="24"/>
                <w:szCs w:val="24"/>
              </w:rPr>
            </w:pPr>
          </w:p>
        </w:tc>
        <w:tc>
          <w:tcPr>
            <w:tcW w:w="3291" w:type="dxa"/>
            <w:noWrap w:val="0"/>
            <w:vAlign w:val="top"/>
          </w:tcPr>
          <w:p w14:paraId="7331F214">
            <w:pPr>
              <w:spacing w:line="440" w:lineRule="exact"/>
              <w:jc w:val="center"/>
              <w:rPr>
                <w:rFonts w:hint="eastAsia" w:ascii="宋体" w:hAnsi="宋体"/>
                <w:sz w:val="24"/>
                <w:szCs w:val="24"/>
              </w:rPr>
            </w:pPr>
          </w:p>
        </w:tc>
        <w:tc>
          <w:tcPr>
            <w:tcW w:w="2852" w:type="dxa"/>
            <w:noWrap w:val="0"/>
            <w:vAlign w:val="top"/>
          </w:tcPr>
          <w:p w14:paraId="74973D13">
            <w:pPr>
              <w:spacing w:line="440" w:lineRule="exact"/>
              <w:jc w:val="center"/>
              <w:rPr>
                <w:rFonts w:hint="eastAsia" w:ascii="宋体" w:hAnsi="宋体"/>
                <w:sz w:val="24"/>
                <w:szCs w:val="24"/>
              </w:rPr>
            </w:pPr>
          </w:p>
        </w:tc>
        <w:tc>
          <w:tcPr>
            <w:tcW w:w="1308" w:type="dxa"/>
            <w:noWrap w:val="0"/>
            <w:vAlign w:val="top"/>
          </w:tcPr>
          <w:p w14:paraId="2A83AAF6">
            <w:pPr>
              <w:spacing w:line="440" w:lineRule="exact"/>
              <w:jc w:val="center"/>
              <w:rPr>
                <w:rFonts w:hint="eastAsia" w:ascii="宋体" w:hAnsi="宋体"/>
                <w:sz w:val="24"/>
                <w:szCs w:val="24"/>
              </w:rPr>
            </w:pPr>
          </w:p>
        </w:tc>
        <w:tc>
          <w:tcPr>
            <w:tcW w:w="1173" w:type="dxa"/>
            <w:noWrap w:val="0"/>
            <w:vAlign w:val="top"/>
          </w:tcPr>
          <w:p w14:paraId="19182FBE">
            <w:pPr>
              <w:spacing w:line="440" w:lineRule="exact"/>
              <w:jc w:val="center"/>
              <w:rPr>
                <w:rFonts w:hint="eastAsia" w:ascii="宋体" w:hAnsi="宋体"/>
                <w:sz w:val="24"/>
                <w:szCs w:val="24"/>
              </w:rPr>
            </w:pPr>
          </w:p>
        </w:tc>
      </w:tr>
      <w:tr w14:paraId="1DAA1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6EAA12E">
            <w:pPr>
              <w:spacing w:line="440" w:lineRule="exact"/>
              <w:jc w:val="center"/>
              <w:rPr>
                <w:rFonts w:hint="eastAsia" w:ascii="宋体" w:hAnsi="宋体"/>
                <w:sz w:val="24"/>
                <w:szCs w:val="24"/>
              </w:rPr>
            </w:pPr>
          </w:p>
        </w:tc>
        <w:tc>
          <w:tcPr>
            <w:tcW w:w="3291" w:type="dxa"/>
            <w:noWrap w:val="0"/>
            <w:vAlign w:val="top"/>
          </w:tcPr>
          <w:p w14:paraId="6873C53E">
            <w:pPr>
              <w:spacing w:line="440" w:lineRule="exact"/>
              <w:jc w:val="center"/>
              <w:rPr>
                <w:rFonts w:hint="eastAsia" w:ascii="宋体" w:hAnsi="宋体"/>
                <w:sz w:val="24"/>
                <w:szCs w:val="24"/>
              </w:rPr>
            </w:pPr>
          </w:p>
        </w:tc>
        <w:tc>
          <w:tcPr>
            <w:tcW w:w="2852" w:type="dxa"/>
            <w:noWrap w:val="0"/>
            <w:vAlign w:val="top"/>
          </w:tcPr>
          <w:p w14:paraId="61C8B3C1">
            <w:pPr>
              <w:spacing w:line="440" w:lineRule="exact"/>
              <w:jc w:val="center"/>
              <w:rPr>
                <w:rFonts w:hint="eastAsia" w:ascii="宋体" w:hAnsi="宋体"/>
                <w:sz w:val="24"/>
                <w:szCs w:val="24"/>
              </w:rPr>
            </w:pPr>
          </w:p>
        </w:tc>
        <w:tc>
          <w:tcPr>
            <w:tcW w:w="1308" w:type="dxa"/>
            <w:noWrap w:val="0"/>
            <w:vAlign w:val="top"/>
          </w:tcPr>
          <w:p w14:paraId="0BF4B0F5">
            <w:pPr>
              <w:spacing w:line="440" w:lineRule="exact"/>
              <w:jc w:val="center"/>
              <w:rPr>
                <w:rFonts w:hint="eastAsia" w:ascii="宋体" w:hAnsi="宋体"/>
                <w:sz w:val="24"/>
                <w:szCs w:val="24"/>
              </w:rPr>
            </w:pPr>
          </w:p>
        </w:tc>
        <w:tc>
          <w:tcPr>
            <w:tcW w:w="1173" w:type="dxa"/>
            <w:noWrap w:val="0"/>
            <w:vAlign w:val="top"/>
          </w:tcPr>
          <w:p w14:paraId="4D887A87">
            <w:pPr>
              <w:spacing w:line="440" w:lineRule="exact"/>
              <w:jc w:val="center"/>
              <w:rPr>
                <w:rFonts w:hint="eastAsia" w:ascii="宋体" w:hAnsi="宋体"/>
                <w:sz w:val="24"/>
                <w:szCs w:val="24"/>
              </w:rPr>
            </w:pPr>
          </w:p>
        </w:tc>
      </w:tr>
      <w:tr w14:paraId="6EC7C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B7A6A56">
            <w:pPr>
              <w:spacing w:line="440" w:lineRule="exact"/>
              <w:jc w:val="center"/>
              <w:rPr>
                <w:rFonts w:hint="eastAsia" w:ascii="宋体" w:hAnsi="宋体"/>
                <w:sz w:val="24"/>
                <w:szCs w:val="24"/>
              </w:rPr>
            </w:pPr>
          </w:p>
        </w:tc>
        <w:tc>
          <w:tcPr>
            <w:tcW w:w="3291" w:type="dxa"/>
            <w:noWrap w:val="0"/>
            <w:vAlign w:val="top"/>
          </w:tcPr>
          <w:p w14:paraId="20452AB7">
            <w:pPr>
              <w:spacing w:line="440" w:lineRule="exact"/>
              <w:jc w:val="center"/>
              <w:rPr>
                <w:rFonts w:hint="eastAsia" w:ascii="宋体" w:hAnsi="宋体"/>
                <w:sz w:val="24"/>
                <w:szCs w:val="24"/>
              </w:rPr>
            </w:pPr>
          </w:p>
        </w:tc>
        <w:tc>
          <w:tcPr>
            <w:tcW w:w="2852" w:type="dxa"/>
            <w:noWrap w:val="0"/>
            <w:vAlign w:val="top"/>
          </w:tcPr>
          <w:p w14:paraId="3DD8B070">
            <w:pPr>
              <w:spacing w:line="440" w:lineRule="exact"/>
              <w:jc w:val="center"/>
              <w:rPr>
                <w:rFonts w:hint="eastAsia" w:ascii="宋体" w:hAnsi="宋体"/>
                <w:sz w:val="24"/>
                <w:szCs w:val="24"/>
              </w:rPr>
            </w:pPr>
          </w:p>
        </w:tc>
        <w:tc>
          <w:tcPr>
            <w:tcW w:w="1308" w:type="dxa"/>
            <w:noWrap w:val="0"/>
            <w:vAlign w:val="top"/>
          </w:tcPr>
          <w:p w14:paraId="160FECE0">
            <w:pPr>
              <w:spacing w:line="440" w:lineRule="exact"/>
              <w:jc w:val="center"/>
              <w:rPr>
                <w:rFonts w:hint="eastAsia" w:ascii="宋体" w:hAnsi="宋体"/>
                <w:sz w:val="24"/>
                <w:szCs w:val="24"/>
              </w:rPr>
            </w:pPr>
          </w:p>
        </w:tc>
        <w:tc>
          <w:tcPr>
            <w:tcW w:w="1173" w:type="dxa"/>
            <w:noWrap w:val="0"/>
            <w:vAlign w:val="top"/>
          </w:tcPr>
          <w:p w14:paraId="3BD94E77">
            <w:pPr>
              <w:spacing w:line="440" w:lineRule="exact"/>
              <w:jc w:val="center"/>
              <w:rPr>
                <w:rFonts w:hint="eastAsia" w:ascii="宋体" w:hAnsi="宋体"/>
                <w:sz w:val="24"/>
                <w:szCs w:val="24"/>
              </w:rPr>
            </w:pPr>
          </w:p>
        </w:tc>
      </w:tr>
      <w:tr w14:paraId="7E793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7CF4EB1">
            <w:pPr>
              <w:spacing w:line="440" w:lineRule="exact"/>
              <w:jc w:val="center"/>
              <w:rPr>
                <w:rFonts w:hint="eastAsia" w:ascii="宋体" w:hAnsi="宋体"/>
                <w:sz w:val="24"/>
                <w:szCs w:val="24"/>
              </w:rPr>
            </w:pPr>
          </w:p>
        </w:tc>
        <w:tc>
          <w:tcPr>
            <w:tcW w:w="3291" w:type="dxa"/>
            <w:noWrap w:val="0"/>
            <w:vAlign w:val="top"/>
          </w:tcPr>
          <w:p w14:paraId="64B34DED">
            <w:pPr>
              <w:spacing w:line="440" w:lineRule="exact"/>
              <w:jc w:val="center"/>
              <w:rPr>
                <w:rFonts w:hint="eastAsia" w:ascii="宋体" w:hAnsi="宋体"/>
                <w:sz w:val="24"/>
                <w:szCs w:val="24"/>
              </w:rPr>
            </w:pPr>
          </w:p>
        </w:tc>
        <w:tc>
          <w:tcPr>
            <w:tcW w:w="2852" w:type="dxa"/>
            <w:noWrap w:val="0"/>
            <w:vAlign w:val="top"/>
          </w:tcPr>
          <w:p w14:paraId="101CB058">
            <w:pPr>
              <w:spacing w:line="440" w:lineRule="exact"/>
              <w:jc w:val="center"/>
              <w:rPr>
                <w:rFonts w:hint="eastAsia" w:ascii="宋体" w:hAnsi="宋体"/>
                <w:sz w:val="24"/>
                <w:szCs w:val="24"/>
              </w:rPr>
            </w:pPr>
          </w:p>
        </w:tc>
        <w:tc>
          <w:tcPr>
            <w:tcW w:w="1308" w:type="dxa"/>
            <w:noWrap w:val="0"/>
            <w:vAlign w:val="top"/>
          </w:tcPr>
          <w:p w14:paraId="3B2B9175">
            <w:pPr>
              <w:spacing w:line="440" w:lineRule="exact"/>
              <w:jc w:val="center"/>
              <w:rPr>
                <w:rFonts w:hint="eastAsia" w:ascii="宋体" w:hAnsi="宋体"/>
                <w:sz w:val="24"/>
                <w:szCs w:val="24"/>
              </w:rPr>
            </w:pPr>
          </w:p>
        </w:tc>
        <w:tc>
          <w:tcPr>
            <w:tcW w:w="1173" w:type="dxa"/>
            <w:noWrap w:val="0"/>
            <w:vAlign w:val="top"/>
          </w:tcPr>
          <w:p w14:paraId="388D77C0">
            <w:pPr>
              <w:spacing w:line="440" w:lineRule="exact"/>
              <w:jc w:val="center"/>
              <w:rPr>
                <w:rFonts w:hint="eastAsia" w:ascii="宋体" w:hAnsi="宋体"/>
                <w:sz w:val="24"/>
                <w:szCs w:val="24"/>
              </w:rPr>
            </w:pPr>
          </w:p>
        </w:tc>
      </w:tr>
      <w:tr w14:paraId="76AEC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745B2C2">
            <w:pPr>
              <w:spacing w:line="440" w:lineRule="exact"/>
              <w:jc w:val="center"/>
              <w:rPr>
                <w:rFonts w:hint="eastAsia" w:ascii="宋体" w:hAnsi="宋体"/>
                <w:sz w:val="24"/>
                <w:szCs w:val="24"/>
              </w:rPr>
            </w:pPr>
          </w:p>
        </w:tc>
        <w:tc>
          <w:tcPr>
            <w:tcW w:w="3291" w:type="dxa"/>
            <w:noWrap w:val="0"/>
            <w:vAlign w:val="top"/>
          </w:tcPr>
          <w:p w14:paraId="0E57FE28">
            <w:pPr>
              <w:spacing w:line="440" w:lineRule="exact"/>
              <w:jc w:val="center"/>
              <w:rPr>
                <w:rFonts w:hint="eastAsia" w:ascii="宋体" w:hAnsi="宋体"/>
                <w:sz w:val="24"/>
                <w:szCs w:val="24"/>
              </w:rPr>
            </w:pPr>
            <w:r>
              <w:rPr>
                <w:rFonts w:ascii="宋体" w:hAnsi="宋体"/>
                <w:sz w:val="24"/>
                <w:szCs w:val="24"/>
              </w:rPr>
              <w:t>……</w:t>
            </w:r>
          </w:p>
        </w:tc>
        <w:tc>
          <w:tcPr>
            <w:tcW w:w="2852" w:type="dxa"/>
            <w:noWrap w:val="0"/>
            <w:vAlign w:val="top"/>
          </w:tcPr>
          <w:p w14:paraId="0C747193">
            <w:pPr>
              <w:spacing w:line="440" w:lineRule="exact"/>
              <w:jc w:val="center"/>
              <w:rPr>
                <w:rFonts w:hint="eastAsia" w:ascii="宋体" w:hAnsi="宋体"/>
                <w:sz w:val="24"/>
                <w:szCs w:val="24"/>
              </w:rPr>
            </w:pPr>
          </w:p>
        </w:tc>
        <w:tc>
          <w:tcPr>
            <w:tcW w:w="1308" w:type="dxa"/>
            <w:noWrap w:val="0"/>
            <w:vAlign w:val="top"/>
          </w:tcPr>
          <w:p w14:paraId="7524B631">
            <w:pPr>
              <w:spacing w:line="440" w:lineRule="exact"/>
              <w:jc w:val="center"/>
              <w:rPr>
                <w:rFonts w:hint="eastAsia" w:ascii="宋体" w:hAnsi="宋体"/>
                <w:sz w:val="24"/>
                <w:szCs w:val="24"/>
              </w:rPr>
            </w:pPr>
          </w:p>
        </w:tc>
        <w:tc>
          <w:tcPr>
            <w:tcW w:w="1173" w:type="dxa"/>
            <w:noWrap w:val="0"/>
            <w:vAlign w:val="top"/>
          </w:tcPr>
          <w:p w14:paraId="02C3C547">
            <w:pPr>
              <w:spacing w:line="440" w:lineRule="exact"/>
              <w:jc w:val="center"/>
              <w:rPr>
                <w:rFonts w:hint="eastAsia" w:ascii="宋体" w:hAnsi="宋体"/>
                <w:sz w:val="24"/>
                <w:szCs w:val="24"/>
              </w:rPr>
            </w:pPr>
          </w:p>
        </w:tc>
      </w:tr>
    </w:tbl>
    <w:p w14:paraId="57FBD8DA">
      <w:pPr>
        <w:spacing w:line="440" w:lineRule="exact"/>
        <w:rPr>
          <w:rFonts w:hint="eastAsia" w:ascii="宋体" w:hAnsi="宋体"/>
          <w:sz w:val="24"/>
          <w:szCs w:val="24"/>
        </w:rPr>
      </w:pPr>
      <w:r>
        <w:rPr>
          <w:rFonts w:hint="eastAsia" w:ascii="宋体" w:hAnsi="宋体"/>
          <w:sz w:val="24"/>
          <w:szCs w:val="24"/>
        </w:rPr>
        <w:t>注： 行数不够，可自行添加。</w:t>
      </w:r>
    </w:p>
    <w:p w14:paraId="41AE895D">
      <w:pPr>
        <w:spacing w:line="440" w:lineRule="exact"/>
        <w:jc w:val="center"/>
        <w:rPr>
          <w:rFonts w:hint="eastAsia" w:ascii="黑体" w:hAnsi="Arial" w:eastAsia="黑体"/>
          <w:b/>
          <w:sz w:val="24"/>
          <w:szCs w:val="24"/>
        </w:rPr>
      </w:pPr>
    </w:p>
    <w:p w14:paraId="7B332614">
      <w:pPr>
        <w:spacing w:line="440" w:lineRule="exact"/>
        <w:jc w:val="center"/>
        <w:rPr>
          <w:rFonts w:hint="eastAsia" w:ascii="黑体" w:hAnsi="Arial" w:eastAsia="黑体"/>
          <w:b/>
          <w:sz w:val="24"/>
          <w:szCs w:val="24"/>
        </w:rPr>
      </w:pPr>
    </w:p>
    <w:p w14:paraId="1EC37464">
      <w:pPr>
        <w:spacing w:line="440" w:lineRule="exact"/>
        <w:jc w:val="center"/>
        <w:rPr>
          <w:rFonts w:hint="eastAsia" w:ascii="黑体" w:hAnsi="Arial" w:eastAsia="黑体"/>
          <w:b/>
          <w:color w:val="000000"/>
          <w:sz w:val="36"/>
          <w:highlight w:val="none"/>
        </w:rPr>
      </w:pPr>
      <w:r>
        <w:rPr>
          <w:rFonts w:hint="eastAsia" w:ascii="黑体" w:hAnsi="黑体" w:eastAsia="黑体"/>
          <w:b/>
          <w:sz w:val="24"/>
          <w:szCs w:val="24"/>
        </w:rPr>
        <w:br w:type="page" w:clear="all"/>
      </w:r>
    </w:p>
    <w:bookmarkEnd w:id="212"/>
    <w:p w14:paraId="76C25B2A">
      <w:pPr>
        <w:spacing w:line="440" w:lineRule="exact"/>
        <w:jc w:val="center"/>
        <w:rPr>
          <w:rFonts w:hint="eastAsia" w:ascii="黑体" w:hAnsi="黑体" w:eastAsia="黑体"/>
          <w:b/>
          <w:sz w:val="24"/>
          <w:szCs w:val="24"/>
        </w:rPr>
      </w:pPr>
      <w:bookmarkStart w:id="218" w:name="_Hlt26955054"/>
      <w:bookmarkEnd w:id="218"/>
      <w:r>
        <w:rPr>
          <w:rFonts w:hint="eastAsia" w:ascii="黑体" w:hAnsi="黑体" w:eastAsia="黑体" w:cs="Times New Roman"/>
          <w:b/>
          <w:color w:val="000000"/>
          <w:sz w:val="32"/>
          <w:szCs w:val="32"/>
          <w:highlight w:val="none"/>
          <w:lang w:val="en-US" w:eastAsia="zh-CN"/>
        </w:rPr>
        <w:t>十三、</w:t>
      </w:r>
      <w:r>
        <w:rPr>
          <w:rFonts w:hint="eastAsia" w:ascii="黑体" w:hAnsi="黑体" w:eastAsia="黑体"/>
          <w:b/>
          <w:sz w:val="32"/>
          <w:szCs w:val="32"/>
        </w:rPr>
        <w:t>商务部分（格式自拟）</w:t>
      </w:r>
    </w:p>
    <w:p w14:paraId="1B980A80">
      <w:pPr>
        <w:spacing w:line="440" w:lineRule="exact"/>
        <w:rPr>
          <w:rFonts w:hint="eastAsia" w:ascii="仿宋_GB2312" w:hAnsi="Arial"/>
          <w:color w:val="000000"/>
          <w:sz w:val="30"/>
          <w:highlight w:val="none"/>
        </w:rPr>
      </w:pPr>
    </w:p>
    <w:p w14:paraId="180767A1">
      <w:pPr>
        <w:pStyle w:val="186"/>
        <w:spacing w:line="440" w:lineRule="exact"/>
        <w:ind w:firstLine="0"/>
        <w:rPr>
          <w:rFonts w:hint="eastAsia" w:ascii="宋体" w:hAnsi="宋体"/>
          <w:color w:val="000000"/>
          <w:sz w:val="24"/>
          <w:highlight w:val="none"/>
        </w:rPr>
      </w:pPr>
      <w:bookmarkStart w:id="219" w:name="_Hlt26609389"/>
      <w:bookmarkEnd w:id="219"/>
      <w:bookmarkStart w:id="220" w:name="_Hlt26671374"/>
      <w:bookmarkEnd w:id="220"/>
      <w:bookmarkStart w:id="221" w:name="_Hlt26955066"/>
      <w:bookmarkEnd w:id="221"/>
      <w:bookmarkStart w:id="222" w:name="_Toc462564146"/>
    </w:p>
    <w:bookmarkEnd w:id="198"/>
    <w:bookmarkEnd w:id="199"/>
    <w:bookmarkEnd w:id="222"/>
    <w:p w14:paraId="622C9714">
      <w:pPr>
        <w:spacing w:line="440" w:lineRule="exact"/>
        <w:jc w:val="center"/>
        <w:rPr>
          <w:rFonts w:hint="eastAsia" w:ascii="黑体" w:hAnsi="黑体" w:eastAsia="黑体"/>
          <w:b/>
          <w:color w:val="000000"/>
          <w:sz w:val="32"/>
          <w:szCs w:val="32"/>
          <w:highlight w:val="none"/>
        </w:rPr>
      </w:pPr>
      <w:bookmarkStart w:id="223" w:name="_格式2__法定代表人授权书"/>
      <w:bookmarkEnd w:id="223"/>
    </w:p>
    <w:p w14:paraId="44D54329">
      <w:pPr>
        <w:spacing w:line="440" w:lineRule="exact"/>
        <w:jc w:val="center"/>
        <w:rPr>
          <w:rFonts w:hint="eastAsia" w:ascii="黑体" w:hAnsi="黑体" w:eastAsia="黑体"/>
          <w:b/>
          <w:color w:val="000000"/>
          <w:sz w:val="32"/>
          <w:szCs w:val="32"/>
          <w:highlight w:val="none"/>
        </w:rPr>
      </w:pPr>
    </w:p>
    <w:p w14:paraId="67AE49BF">
      <w:pPr>
        <w:spacing w:line="440" w:lineRule="exact"/>
        <w:rPr>
          <w:rFonts w:hint="eastAsia" w:ascii="黑体" w:hAnsi="黑体" w:eastAsia="黑体"/>
          <w:b/>
          <w:color w:val="000000"/>
          <w:sz w:val="32"/>
          <w:szCs w:val="32"/>
          <w:highlight w:val="none"/>
        </w:rPr>
      </w:pPr>
    </w:p>
    <w:p w14:paraId="2BBF6143">
      <w:pPr>
        <w:spacing w:line="440" w:lineRule="exact"/>
        <w:rPr>
          <w:rFonts w:hint="eastAsia" w:ascii="黑体" w:hAnsi="黑体" w:eastAsia="黑体"/>
          <w:b/>
          <w:color w:val="000000"/>
          <w:sz w:val="32"/>
          <w:szCs w:val="32"/>
          <w:highlight w:val="none"/>
        </w:rPr>
      </w:pPr>
    </w:p>
    <w:p w14:paraId="0D5F3790">
      <w:pPr>
        <w:spacing w:before="145" w:after="145" w:line="440" w:lineRule="exact"/>
        <w:jc w:val="center"/>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十四、开标一览表</w:t>
      </w:r>
    </w:p>
    <w:p w14:paraId="56EF9D8C">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投标人全称（加盖CA电子签章）：</w:t>
      </w:r>
    </w:p>
    <w:p w14:paraId="466F1E10">
      <w:pPr>
        <w:spacing w:line="440" w:lineRule="exact"/>
        <w:ind w:firstLine="480"/>
        <w:rPr>
          <w:rFonts w:hint="eastAsia" w:eastAsia="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赫顿海工装备（江苏）有限公司环网柜迁移项目</w:t>
      </w:r>
    </w:p>
    <w:p w14:paraId="74815477">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招标编号：                                   分包号：</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CF45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8206" w:type="dxa"/>
            <w:noWrap w:val="0"/>
            <w:vAlign w:val="center"/>
          </w:tcPr>
          <w:p w14:paraId="7B6014DD">
            <w:pPr>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投标总报价</w:t>
            </w:r>
          </w:p>
        </w:tc>
      </w:tr>
      <w:tr w14:paraId="41D94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F5B7589">
            <w:pPr>
              <w:pStyle w:val="204"/>
              <w:spacing w:before="0" w:after="0" w:line="440" w:lineRule="exact"/>
              <w:ind w:firstLine="0"/>
              <w:rPr>
                <w:rFonts w:hint="eastAsia" w:ascii="宋体" w:hAnsi="宋体"/>
                <w:color w:val="000000"/>
                <w:szCs w:val="21"/>
                <w:highlight w:val="none"/>
              </w:rPr>
            </w:pPr>
            <w:r>
              <w:rPr>
                <w:rFonts w:hint="eastAsia" w:ascii="宋体" w:hAnsi="宋体" w:cs="宋体"/>
                <w:color w:val="000000"/>
                <w:highlight w:val="none"/>
                <w:lang w:val="en-US" w:eastAsia="zh-CN"/>
              </w:rPr>
              <w:t>优惠率</w:t>
            </w:r>
            <w:r>
              <w:rPr>
                <w:rFonts w:hint="eastAsia" w:ascii="宋体" w:hAnsi="宋体" w:cs="宋体"/>
                <w:color w:val="000000"/>
                <w:highlight w:val="none"/>
              </w:rPr>
              <w:t xml:space="preserve">：                            </w:t>
            </w:r>
            <w:r>
              <w:rPr>
                <w:rFonts w:hint="eastAsia" w:ascii="宋体" w:hAnsi="宋体" w:cs="宋体"/>
                <w:color w:val="000000"/>
              </w:rPr>
              <w:t>（人民币：元）</w:t>
            </w:r>
          </w:p>
        </w:tc>
      </w:tr>
    </w:tbl>
    <w:p w14:paraId="36376431">
      <w:pPr>
        <w:spacing w:line="440" w:lineRule="exact"/>
        <w:rPr>
          <w:rFonts w:ascii="宋体" w:hAnsi="宋体"/>
          <w:color w:val="000000"/>
          <w:sz w:val="24"/>
          <w:szCs w:val="24"/>
          <w:highlight w:val="none"/>
        </w:rPr>
      </w:pPr>
    </w:p>
    <w:p w14:paraId="0DF2F1EB">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736B9D4B">
      <w:pPr>
        <w:spacing w:line="440" w:lineRule="exact"/>
        <w:ind w:firstLine="480"/>
        <w:rPr>
          <w:rFonts w:hint="eastAsia" w:ascii="宋体" w:hAnsi="宋体"/>
          <w:color w:val="000000"/>
          <w:sz w:val="24"/>
          <w:szCs w:val="24"/>
          <w:highlight w:val="none"/>
        </w:rPr>
      </w:pPr>
    </w:p>
    <w:p w14:paraId="616960BA">
      <w:pPr>
        <w:spacing w:before="145" w:after="145" w:line="440" w:lineRule="exact"/>
        <w:jc w:val="center"/>
        <w:outlineLvl w:val="2"/>
        <w:rPr>
          <w:rFonts w:ascii="宋体" w:hAnsi="宋体" w:cs="仿宋"/>
          <w:color w:val="000000"/>
          <w:sz w:val="24"/>
          <w:szCs w:val="24"/>
        </w:rPr>
      </w:pPr>
      <w:r>
        <w:rPr>
          <w:rFonts w:hint="eastAsia" w:ascii="宋体" w:hAnsi="宋体" w:cs="仿宋"/>
          <w:color w:val="000000"/>
          <w:sz w:val="24"/>
          <w:szCs w:val="24"/>
        </w:rPr>
        <w:t xml:space="preserve">  注：各投标人请各投标人根据招标人提供的各标段工程量清单汇总表报价（详见附</w:t>
      </w:r>
    </w:p>
    <w:p w14:paraId="34F92F4B">
      <w:pPr>
        <w:spacing w:before="145" w:after="145" w:line="440" w:lineRule="exact"/>
        <w:outlineLvl w:val="2"/>
        <w:rPr>
          <w:rFonts w:hint="eastAsia" w:ascii="宋体" w:hAnsi="宋体" w:cs="仿宋"/>
          <w:color w:val="000000"/>
          <w:sz w:val="24"/>
          <w:szCs w:val="24"/>
        </w:rPr>
      </w:pPr>
      <w:r>
        <w:rPr>
          <w:rFonts w:hint="eastAsia" w:ascii="宋体" w:hAnsi="宋体" w:cs="仿宋"/>
          <w:color w:val="000000"/>
          <w:sz w:val="24"/>
          <w:szCs w:val="24"/>
        </w:rPr>
        <w:t>件），其中暂列金额、专业工程暂估价不得调整。</w:t>
      </w:r>
    </w:p>
    <w:p w14:paraId="13BB411B">
      <w:pPr>
        <w:spacing w:before="145" w:after="145" w:line="440" w:lineRule="exact"/>
        <w:outlineLvl w:val="2"/>
        <w:rPr>
          <w:rFonts w:hint="eastAsia" w:ascii="宋体" w:hAnsi="宋体" w:cs="仿宋"/>
          <w:color w:val="000000"/>
          <w:sz w:val="24"/>
          <w:szCs w:val="24"/>
        </w:rPr>
      </w:pPr>
    </w:p>
    <w:p w14:paraId="0D10D436">
      <w:pPr>
        <w:spacing w:before="145" w:after="145" w:line="440" w:lineRule="exact"/>
        <w:outlineLvl w:val="2"/>
        <w:rPr>
          <w:rFonts w:hint="eastAsia" w:ascii="宋体" w:hAnsi="宋体" w:cs="仿宋"/>
          <w:color w:val="000000"/>
          <w:sz w:val="24"/>
          <w:szCs w:val="24"/>
        </w:rPr>
      </w:pPr>
    </w:p>
    <w:p w14:paraId="6ADFC50D">
      <w:pPr>
        <w:spacing w:before="145" w:after="145" w:line="440" w:lineRule="exact"/>
        <w:outlineLvl w:val="2"/>
        <w:rPr>
          <w:rFonts w:hint="eastAsia" w:ascii="宋体" w:hAnsi="宋体" w:cs="仿宋"/>
          <w:color w:val="000000"/>
          <w:sz w:val="24"/>
          <w:szCs w:val="24"/>
        </w:rPr>
      </w:pPr>
    </w:p>
    <w:p w14:paraId="51B1B4D6">
      <w:pPr>
        <w:spacing w:before="145" w:after="145" w:line="440" w:lineRule="exact"/>
        <w:outlineLvl w:val="2"/>
        <w:rPr>
          <w:rFonts w:hint="eastAsia" w:ascii="宋体" w:hAnsi="宋体" w:cs="仿宋"/>
          <w:color w:val="000000"/>
          <w:sz w:val="24"/>
          <w:szCs w:val="24"/>
        </w:rPr>
      </w:pPr>
    </w:p>
    <w:p w14:paraId="5F564C6F">
      <w:pPr>
        <w:spacing w:before="145" w:after="145" w:line="440" w:lineRule="exact"/>
        <w:outlineLvl w:val="2"/>
        <w:rPr>
          <w:rFonts w:hint="eastAsia" w:ascii="宋体" w:hAnsi="宋体" w:cs="仿宋"/>
          <w:color w:val="000000"/>
          <w:sz w:val="24"/>
          <w:szCs w:val="24"/>
        </w:rPr>
      </w:pPr>
    </w:p>
    <w:p w14:paraId="7A701F51">
      <w:pPr>
        <w:spacing w:before="145" w:after="145" w:line="440" w:lineRule="exact"/>
        <w:outlineLvl w:val="2"/>
        <w:rPr>
          <w:rFonts w:hint="eastAsia" w:ascii="宋体" w:hAnsi="宋体" w:cs="仿宋"/>
          <w:color w:val="000000"/>
          <w:sz w:val="24"/>
          <w:szCs w:val="24"/>
        </w:rPr>
      </w:pPr>
    </w:p>
    <w:p w14:paraId="01722240">
      <w:pPr>
        <w:spacing w:before="145" w:after="145" w:line="440" w:lineRule="exact"/>
        <w:outlineLvl w:val="2"/>
        <w:rPr>
          <w:rFonts w:hint="eastAsia" w:ascii="宋体" w:hAnsi="宋体" w:cs="仿宋"/>
          <w:color w:val="000000"/>
          <w:sz w:val="24"/>
          <w:szCs w:val="24"/>
        </w:rPr>
      </w:pPr>
    </w:p>
    <w:p w14:paraId="0879B237">
      <w:pPr>
        <w:spacing w:before="145" w:after="145" w:line="440" w:lineRule="exact"/>
        <w:outlineLvl w:val="2"/>
        <w:rPr>
          <w:rFonts w:hint="eastAsia" w:ascii="宋体" w:hAnsi="宋体" w:cs="仿宋"/>
          <w:color w:val="000000"/>
          <w:sz w:val="24"/>
          <w:szCs w:val="24"/>
        </w:rPr>
      </w:pPr>
    </w:p>
    <w:p w14:paraId="3E7324A9">
      <w:pPr>
        <w:spacing w:before="145" w:after="145" w:line="440" w:lineRule="exact"/>
        <w:outlineLvl w:val="2"/>
        <w:rPr>
          <w:rFonts w:hint="eastAsia" w:ascii="宋体" w:hAnsi="宋体" w:cs="仿宋"/>
          <w:color w:val="000000"/>
          <w:sz w:val="24"/>
          <w:szCs w:val="24"/>
        </w:rPr>
      </w:pPr>
    </w:p>
    <w:p w14:paraId="508913C9">
      <w:pPr>
        <w:spacing w:before="145" w:after="145" w:line="440" w:lineRule="exact"/>
        <w:outlineLvl w:val="2"/>
        <w:rPr>
          <w:rFonts w:hint="eastAsia" w:ascii="宋体" w:hAnsi="宋体" w:cs="仿宋"/>
          <w:color w:val="000000"/>
          <w:sz w:val="24"/>
          <w:szCs w:val="24"/>
        </w:rPr>
      </w:pPr>
    </w:p>
    <w:p w14:paraId="761ECDB0">
      <w:pPr>
        <w:spacing w:before="145" w:after="145" w:line="440" w:lineRule="exact"/>
        <w:outlineLvl w:val="2"/>
        <w:rPr>
          <w:rFonts w:hint="eastAsia" w:ascii="宋体" w:hAnsi="宋体" w:cs="仿宋"/>
          <w:color w:val="000000"/>
          <w:sz w:val="24"/>
          <w:szCs w:val="24"/>
        </w:rPr>
      </w:pPr>
    </w:p>
    <w:p w14:paraId="0D14F8B5">
      <w:pPr>
        <w:spacing w:before="145" w:after="145" w:line="440" w:lineRule="exact"/>
        <w:outlineLvl w:val="2"/>
        <w:rPr>
          <w:rFonts w:hint="eastAsia" w:ascii="宋体" w:hAnsi="宋体" w:cs="仿宋"/>
          <w:color w:val="000000"/>
          <w:sz w:val="24"/>
          <w:szCs w:val="24"/>
        </w:rPr>
      </w:pPr>
    </w:p>
    <w:p w14:paraId="5F40225A">
      <w:pPr>
        <w:spacing w:before="145" w:after="145" w:line="440" w:lineRule="exact"/>
        <w:outlineLvl w:val="2"/>
        <w:rPr>
          <w:rFonts w:hint="eastAsia" w:ascii="宋体" w:hAnsi="宋体" w:cs="仿宋"/>
          <w:color w:val="000000"/>
          <w:sz w:val="24"/>
          <w:szCs w:val="24"/>
        </w:rPr>
      </w:pPr>
    </w:p>
    <w:p w14:paraId="0D871E4D">
      <w:pPr>
        <w:spacing w:before="145" w:after="145" w:line="440" w:lineRule="exact"/>
        <w:jc w:val="left"/>
        <w:outlineLvl w:val="2"/>
        <w:rPr>
          <w:rFonts w:ascii="宋体" w:hAnsi="宋体"/>
          <w:color w:val="000000"/>
          <w:sz w:val="28"/>
          <w:szCs w:val="28"/>
          <w:highlight w:val="none"/>
        </w:rPr>
      </w:pPr>
      <w:r>
        <w:rPr>
          <w:rFonts w:hint="eastAsia" w:ascii="宋体" w:hAnsi="宋体" w:cs="仿宋"/>
          <w:b/>
          <w:bCs/>
          <w:color w:val="000000"/>
          <w:sz w:val="32"/>
          <w:szCs w:val="32"/>
          <w:highlight w:val="none"/>
          <w:lang w:val="en-US" w:eastAsia="zh-CN"/>
        </w:rPr>
        <w:t xml:space="preserve">                  </w:t>
      </w:r>
      <w:r>
        <w:rPr>
          <w:rFonts w:hint="eastAsia" w:ascii="黑体" w:hAnsi="黑体" w:eastAsia="黑体" w:cs="Times New Roman"/>
          <w:b/>
          <w:sz w:val="32"/>
          <w:szCs w:val="32"/>
          <w:highlight w:val="none"/>
          <w:lang w:eastAsia="zh-CN"/>
        </w:rPr>
        <w:t>十五、资格承诺函（格式）</w:t>
      </w:r>
    </w:p>
    <w:p w14:paraId="76376D89">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致：（</w:t>
      </w:r>
      <w:r>
        <w:rPr>
          <w:rFonts w:hint="eastAsia" w:ascii="宋体" w:hAnsi="宋体"/>
          <w:color w:val="000000"/>
          <w:sz w:val="24"/>
          <w:highlight w:val="none"/>
        </w:rPr>
        <w:t>招标</w:t>
      </w:r>
      <w:r>
        <w:rPr>
          <w:rFonts w:ascii="宋体" w:hAnsi="宋体"/>
          <w:color w:val="000000"/>
          <w:sz w:val="24"/>
          <w:szCs w:val="24"/>
          <w:highlight w:val="none"/>
        </w:rPr>
        <w:t xml:space="preserve">人、代理机构）   </w:t>
      </w:r>
    </w:p>
    <w:p w14:paraId="5290B53B">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的</w:t>
      </w:r>
    </w:p>
    <w:p w14:paraId="448B08D7">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政府活动，现承诺如下：</w:t>
      </w:r>
    </w:p>
    <w:p w14:paraId="35466588">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1.我方具有良好的商业信誉和健全的财务会计制度。</w:t>
      </w:r>
    </w:p>
    <w:p w14:paraId="30DFA783">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2.我方具有履行合同所必需的设备和专业技术能力。</w:t>
      </w:r>
    </w:p>
    <w:p w14:paraId="2551547B">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3.我方具有依法缴纳税收和社会保障资金的良好记录。</w:t>
      </w:r>
    </w:p>
    <w:p w14:paraId="6AD81A81">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4.我方参加本项目活动前三年内，在经营活动中没有重大违法记录。</w:t>
      </w:r>
    </w:p>
    <w:p w14:paraId="6926A8FC">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若我单位承诺不实，自愿承担提供虚假材料谋取中标、成交的法律责任。</w:t>
      </w:r>
    </w:p>
    <w:p w14:paraId="238BA81F">
      <w:pPr>
        <w:spacing w:line="440" w:lineRule="exact"/>
        <w:ind w:left="560" w:hanging="560"/>
        <w:outlineLvl w:val="2"/>
        <w:rPr>
          <w:rFonts w:ascii="宋体" w:hAnsi="宋体"/>
          <w:color w:val="000000"/>
          <w:sz w:val="24"/>
          <w:szCs w:val="24"/>
          <w:highlight w:val="none"/>
        </w:rPr>
      </w:pPr>
    </w:p>
    <w:p w14:paraId="702F82B7">
      <w:pPr>
        <w:spacing w:line="440" w:lineRule="exact"/>
        <w:ind w:left="560" w:hanging="560"/>
        <w:outlineLvl w:val="2"/>
        <w:rPr>
          <w:rFonts w:ascii="宋体" w:hAnsi="宋体"/>
          <w:color w:val="000000"/>
          <w:sz w:val="24"/>
          <w:szCs w:val="24"/>
          <w:highlight w:val="none"/>
        </w:rPr>
      </w:pPr>
      <w:r>
        <w:rPr>
          <w:rFonts w:ascii="宋体" w:hAnsi="宋体"/>
          <w:color w:val="000000"/>
          <w:sz w:val="24"/>
          <w:szCs w:val="24"/>
          <w:highlight w:val="none"/>
        </w:rPr>
        <w:t>投标（响应）</w:t>
      </w:r>
      <w:r>
        <w:rPr>
          <w:rFonts w:hint="eastAsia" w:ascii="宋体" w:hAnsi="宋体"/>
          <w:color w:val="000000"/>
          <w:sz w:val="24"/>
          <w:szCs w:val="24"/>
          <w:highlight w:val="none"/>
          <w:lang w:eastAsia="zh-CN"/>
        </w:rPr>
        <w:t>投标人</w:t>
      </w:r>
      <w:r>
        <w:rPr>
          <w:rFonts w:ascii="宋体" w:hAnsi="宋体"/>
          <w:color w:val="000000"/>
          <w:sz w:val="24"/>
          <w:szCs w:val="24"/>
          <w:highlight w:val="none"/>
        </w:rPr>
        <w:t>（全称并盖章）：</w:t>
      </w:r>
    </w:p>
    <w:p w14:paraId="4D2D14F5">
      <w:pPr>
        <w:spacing w:line="440" w:lineRule="exact"/>
        <w:outlineLvl w:val="2"/>
        <w:rPr>
          <w:rFonts w:ascii="宋体" w:hAnsi="宋体"/>
          <w:color w:val="000000"/>
          <w:sz w:val="24"/>
          <w:szCs w:val="24"/>
          <w:highlight w:val="none"/>
        </w:rPr>
      </w:pPr>
      <w:r>
        <w:rPr>
          <w:rFonts w:hint="eastAsia" w:ascii="宋体" w:hAnsi="宋体"/>
          <w:color w:val="000000"/>
          <w:sz w:val="24"/>
          <w:szCs w:val="24"/>
          <w:highlight w:val="none"/>
          <w:lang w:eastAsia="zh-CN"/>
        </w:rPr>
        <w:t>投标人</w:t>
      </w:r>
      <w:r>
        <w:rPr>
          <w:rFonts w:ascii="宋体" w:hAnsi="宋体"/>
          <w:color w:val="000000"/>
          <w:sz w:val="24"/>
          <w:szCs w:val="24"/>
          <w:highlight w:val="none"/>
        </w:rPr>
        <w:t>法定代表人或授权代表（签字或签章）：</w:t>
      </w:r>
    </w:p>
    <w:p w14:paraId="54696951">
      <w:pPr>
        <w:spacing w:line="440" w:lineRule="exact"/>
        <w:outlineLvl w:val="2"/>
        <w:rPr>
          <w:rFonts w:ascii="宋体" w:hAnsi="宋体"/>
          <w:color w:val="000000"/>
          <w:sz w:val="24"/>
          <w:szCs w:val="24"/>
          <w:highlight w:val="none"/>
        </w:rPr>
      </w:pPr>
      <w:r>
        <w:rPr>
          <w:rFonts w:ascii="宋体" w:hAnsi="宋体"/>
          <w:color w:val="000000"/>
          <w:sz w:val="24"/>
          <w:szCs w:val="24"/>
          <w:highlight w:val="none"/>
        </w:rPr>
        <w:t>日期：</w:t>
      </w:r>
    </w:p>
    <w:p w14:paraId="69816836">
      <w:pPr>
        <w:spacing w:line="440" w:lineRule="exact"/>
        <w:outlineLvl w:val="2"/>
        <w:rPr>
          <w:rFonts w:ascii="宋体" w:hAnsi="宋体"/>
          <w:color w:val="000000"/>
          <w:sz w:val="24"/>
          <w:szCs w:val="24"/>
          <w:highlight w:val="none"/>
        </w:rPr>
      </w:pPr>
    </w:p>
    <w:p w14:paraId="62D3BC31">
      <w:pPr>
        <w:spacing w:line="440" w:lineRule="exact"/>
        <w:ind w:firstLine="482"/>
        <w:outlineLvl w:val="2"/>
        <w:rPr>
          <w:rFonts w:ascii="宋体" w:hAnsi="宋体"/>
          <w:color w:val="000000"/>
          <w:sz w:val="24"/>
          <w:szCs w:val="24"/>
          <w:highlight w:val="none"/>
        </w:rPr>
      </w:pPr>
      <w:r>
        <w:rPr>
          <w:rFonts w:ascii="宋体" w:hAnsi="宋体"/>
          <w:color w:val="000000"/>
          <w:sz w:val="24"/>
          <w:szCs w:val="24"/>
          <w:highlight w:val="none"/>
        </w:rPr>
        <w:t>说明：1.</w:t>
      </w:r>
      <w:r>
        <w:rPr>
          <w:rFonts w:hint="eastAsia" w:ascii="宋体" w:hAnsi="宋体"/>
          <w:color w:val="000000"/>
          <w:sz w:val="24"/>
          <w:szCs w:val="24"/>
          <w:highlight w:val="none"/>
          <w:lang w:eastAsia="zh-CN"/>
        </w:rPr>
        <w:t>投标人</w:t>
      </w:r>
      <w:r>
        <w:rPr>
          <w:rFonts w:ascii="宋体" w:hAnsi="宋体"/>
          <w:color w:val="000000"/>
          <w:sz w:val="24"/>
          <w:szCs w:val="24"/>
          <w:highlight w:val="none"/>
        </w:rPr>
        <w:t>可自行选择是否提供本承诺函，若不提供本承诺函的，应按文件要求提供相应的证明材料。</w:t>
      </w:r>
    </w:p>
    <w:p w14:paraId="3C0863C8">
      <w:pPr>
        <w:spacing w:line="440" w:lineRule="exact"/>
        <w:ind w:firstLine="482"/>
        <w:outlineLvl w:val="2"/>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eastAsia="zh-CN"/>
        </w:rPr>
        <w:t>投标人</w:t>
      </w:r>
      <w:r>
        <w:rPr>
          <w:rFonts w:ascii="宋体" w:hAnsi="宋体"/>
          <w:color w:val="000000"/>
          <w:sz w:val="24"/>
          <w:szCs w:val="24"/>
          <w:highlight w:val="none"/>
        </w:rPr>
        <w:t>可删减承诺事项，删减的承诺事项须按文件要求提供相应的证明材料。比如删去本承诺函第3项的，则应按文件要求提供依法缴纳税收和社会保障资金的良好记录。</w:t>
      </w:r>
    </w:p>
    <w:p w14:paraId="3CADA1FC">
      <w:pPr>
        <w:numPr>
          <w:ilvl w:val="0"/>
          <w:numId w:val="0"/>
        </w:numPr>
        <w:spacing w:line="440" w:lineRule="exact"/>
        <w:jc w:val="both"/>
        <w:rPr>
          <w:rFonts w:hint="eastAsia" w:ascii="宋体" w:hAnsi="宋体" w:cs="仿宋"/>
          <w:b/>
          <w:bCs/>
          <w:color w:val="000000"/>
          <w:sz w:val="32"/>
          <w:szCs w:val="32"/>
          <w:highlight w:val="none"/>
          <w:lang w:eastAsia="zh-CN"/>
        </w:rPr>
      </w:pPr>
    </w:p>
    <w:p w14:paraId="0638CABE">
      <w:pPr>
        <w:numPr>
          <w:ilvl w:val="0"/>
          <w:numId w:val="0"/>
        </w:numPr>
        <w:spacing w:line="440" w:lineRule="exact"/>
        <w:jc w:val="both"/>
        <w:rPr>
          <w:rFonts w:hint="eastAsia" w:ascii="宋体" w:hAnsi="宋体" w:cs="仿宋"/>
          <w:b/>
          <w:bCs/>
          <w:color w:val="000000"/>
          <w:sz w:val="32"/>
          <w:szCs w:val="32"/>
          <w:highlight w:val="none"/>
          <w:lang w:eastAsia="zh-CN"/>
        </w:rPr>
      </w:pPr>
    </w:p>
    <w:p w14:paraId="4FF4B473">
      <w:pPr>
        <w:numPr>
          <w:ilvl w:val="0"/>
          <w:numId w:val="0"/>
        </w:numPr>
        <w:spacing w:line="440" w:lineRule="exact"/>
        <w:jc w:val="both"/>
        <w:rPr>
          <w:rFonts w:hint="eastAsia" w:ascii="宋体" w:hAnsi="宋体" w:cs="仿宋"/>
          <w:b/>
          <w:bCs/>
          <w:color w:val="000000"/>
          <w:sz w:val="32"/>
          <w:szCs w:val="32"/>
          <w:highlight w:val="none"/>
          <w:lang w:eastAsia="zh-CN"/>
        </w:rPr>
      </w:pPr>
    </w:p>
    <w:p w14:paraId="0A2E7734">
      <w:pPr>
        <w:numPr>
          <w:ilvl w:val="0"/>
          <w:numId w:val="0"/>
        </w:numPr>
        <w:spacing w:line="440" w:lineRule="exact"/>
        <w:jc w:val="both"/>
        <w:rPr>
          <w:rFonts w:hint="eastAsia" w:ascii="宋体" w:hAnsi="宋体" w:cs="仿宋"/>
          <w:b/>
          <w:bCs/>
          <w:color w:val="000000"/>
          <w:sz w:val="32"/>
          <w:szCs w:val="32"/>
          <w:highlight w:val="none"/>
          <w:lang w:eastAsia="zh-CN"/>
        </w:rPr>
      </w:pPr>
    </w:p>
    <w:p w14:paraId="41A00A30">
      <w:pPr>
        <w:numPr>
          <w:ilvl w:val="0"/>
          <w:numId w:val="0"/>
        </w:numPr>
        <w:spacing w:line="440" w:lineRule="exact"/>
        <w:jc w:val="both"/>
        <w:rPr>
          <w:rFonts w:hint="eastAsia" w:ascii="宋体" w:hAnsi="宋体" w:cs="仿宋"/>
          <w:b/>
          <w:bCs/>
          <w:color w:val="000000"/>
          <w:sz w:val="32"/>
          <w:szCs w:val="32"/>
          <w:highlight w:val="none"/>
          <w:lang w:eastAsia="zh-CN"/>
        </w:rPr>
      </w:pPr>
    </w:p>
    <w:p w14:paraId="5206210B">
      <w:pPr>
        <w:numPr>
          <w:ilvl w:val="0"/>
          <w:numId w:val="0"/>
        </w:numPr>
        <w:spacing w:line="440" w:lineRule="exact"/>
        <w:jc w:val="both"/>
        <w:rPr>
          <w:rFonts w:hint="eastAsia" w:ascii="宋体" w:hAnsi="宋体" w:cs="仿宋"/>
          <w:b/>
          <w:bCs/>
          <w:color w:val="000000"/>
          <w:sz w:val="32"/>
          <w:szCs w:val="32"/>
          <w:highlight w:val="none"/>
          <w:lang w:eastAsia="zh-CN"/>
        </w:rPr>
      </w:pPr>
    </w:p>
    <w:p w14:paraId="70489CB4">
      <w:pPr>
        <w:numPr>
          <w:ilvl w:val="0"/>
          <w:numId w:val="0"/>
        </w:numPr>
        <w:spacing w:line="440" w:lineRule="exact"/>
        <w:jc w:val="both"/>
        <w:rPr>
          <w:rFonts w:hint="eastAsia" w:ascii="宋体" w:hAnsi="宋体" w:cs="仿宋"/>
          <w:b/>
          <w:bCs/>
          <w:color w:val="000000"/>
          <w:sz w:val="32"/>
          <w:szCs w:val="32"/>
          <w:highlight w:val="none"/>
          <w:lang w:eastAsia="zh-CN"/>
        </w:rPr>
      </w:pPr>
    </w:p>
    <w:p w14:paraId="280472E8">
      <w:pPr>
        <w:numPr>
          <w:ilvl w:val="0"/>
          <w:numId w:val="0"/>
        </w:numPr>
        <w:spacing w:line="440" w:lineRule="exact"/>
        <w:jc w:val="both"/>
        <w:rPr>
          <w:rFonts w:hint="eastAsia" w:ascii="宋体" w:hAnsi="宋体" w:cs="仿宋"/>
          <w:b/>
          <w:bCs/>
          <w:color w:val="000000"/>
          <w:sz w:val="32"/>
          <w:szCs w:val="32"/>
          <w:highlight w:val="none"/>
          <w:lang w:eastAsia="zh-CN"/>
        </w:rPr>
      </w:pPr>
    </w:p>
    <w:p w14:paraId="5F95EE38">
      <w:pPr>
        <w:numPr>
          <w:ilvl w:val="0"/>
          <w:numId w:val="0"/>
        </w:numPr>
        <w:spacing w:line="440" w:lineRule="exact"/>
        <w:jc w:val="both"/>
        <w:rPr>
          <w:rFonts w:hint="eastAsia" w:ascii="宋体" w:hAnsi="宋体" w:cs="仿宋"/>
          <w:b/>
          <w:bCs/>
          <w:color w:val="000000"/>
          <w:sz w:val="32"/>
          <w:szCs w:val="32"/>
          <w:highlight w:val="none"/>
          <w:lang w:eastAsia="zh-CN"/>
        </w:rPr>
      </w:pPr>
    </w:p>
    <w:p w14:paraId="5955DA02">
      <w:pPr>
        <w:numPr>
          <w:ilvl w:val="0"/>
          <w:numId w:val="0"/>
        </w:numPr>
        <w:spacing w:line="440" w:lineRule="exact"/>
        <w:jc w:val="both"/>
        <w:rPr>
          <w:rFonts w:hint="eastAsia" w:ascii="宋体" w:hAnsi="宋体" w:cs="仿宋"/>
          <w:b/>
          <w:bCs/>
          <w:color w:val="000000"/>
          <w:sz w:val="32"/>
          <w:szCs w:val="32"/>
          <w:highlight w:val="none"/>
          <w:lang w:eastAsia="zh-CN"/>
        </w:rPr>
      </w:pPr>
    </w:p>
    <w:p w14:paraId="68E9F08D">
      <w:pPr>
        <w:numPr>
          <w:ilvl w:val="0"/>
          <w:numId w:val="0"/>
        </w:numPr>
        <w:spacing w:line="440" w:lineRule="exact"/>
        <w:jc w:val="both"/>
        <w:rPr>
          <w:rFonts w:hint="eastAsia" w:ascii="黑体" w:hAnsi="黑体" w:eastAsia="黑体" w:cs="Times New Roman"/>
          <w:b/>
          <w:sz w:val="32"/>
          <w:szCs w:val="32"/>
          <w:highlight w:val="none"/>
          <w:lang w:eastAsia="zh-CN"/>
        </w:rPr>
        <w:sectPr>
          <w:footerReference r:id="rId10" w:type="first"/>
          <w:headerReference r:id="rId8" w:type="default"/>
          <w:footerReference r:id="rId9" w:type="default"/>
          <w:pgSz w:w="11906" w:h="16838"/>
          <w:pgMar w:top="1418" w:right="1588" w:bottom="1418" w:left="1365" w:header="851" w:footer="907" w:gutter="0"/>
          <w:pgNumType w:start="1"/>
          <w:cols w:space="1701" w:num="1"/>
          <w:titlePg/>
          <w:docGrid w:linePitch="360" w:charSpace="0"/>
        </w:sectPr>
      </w:pPr>
    </w:p>
    <w:p w14:paraId="2A91A6F7">
      <w:pPr>
        <w:spacing w:before="145" w:after="145" w:line="440" w:lineRule="exact"/>
        <w:jc w:val="center"/>
        <w:outlineLvl w:val="2"/>
        <w:rPr>
          <w:rFonts w:hint="eastAsia" w:ascii="宋体" w:hAnsi="宋体" w:eastAsia="宋体" w:cs="仿宋"/>
          <w:b/>
          <w:bCs/>
          <w:color w:val="000000"/>
          <w:sz w:val="32"/>
          <w:szCs w:val="32"/>
          <w:highlight w:val="none"/>
          <w:lang w:val="en-US" w:eastAsia="zh-CN"/>
        </w:rPr>
      </w:pPr>
      <w:r>
        <w:rPr>
          <w:rFonts w:hint="eastAsia" w:ascii="宋体" w:hAnsi="宋体" w:eastAsia="宋体" w:cs="仿宋"/>
          <w:b/>
          <w:bCs/>
          <w:color w:val="000000"/>
          <w:sz w:val="32"/>
          <w:szCs w:val="32"/>
          <w:highlight w:val="none"/>
          <w:lang w:val="en-US" w:eastAsia="zh-CN"/>
        </w:rPr>
        <w:t>十六、拟投入本项目主要施工人员情况一览表（格式）</w:t>
      </w:r>
    </w:p>
    <w:tbl>
      <w:tblPr>
        <w:tblStyle w:val="30"/>
        <w:tblW w:w="9118" w:type="dxa"/>
        <w:jc w:val="center"/>
        <w:tblLayout w:type="fixed"/>
        <w:tblCellMar>
          <w:top w:w="0" w:type="dxa"/>
          <w:left w:w="108" w:type="dxa"/>
          <w:bottom w:w="0" w:type="dxa"/>
          <w:right w:w="108" w:type="dxa"/>
        </w:tblCellMar>
      </w:tblPr>
      <w:tblGrid>
        <w:gridCol w:w="770"/>
        <w:gridCol w:w="1749"/>
        <w:gridCol w:w="992"/>
        <w:gridCol w:w="992"/>
        <w:gridCol w:w="993"/>
        <w:gridCol w:w="3622"/>
      </w:tblGrid>
      <w:tr w14:paraId="5BF65C1B">
        <w:tblPrEx>
          <w:tblCellMar>
            <w:top w:w="0" w:type="dxa"/>
            <w:left w:w="108" w:type="dxa"/>
            <w:bottom w:w="0" w:type="dxa"/>
            <w:right w:w="108" w:type="dxa"/>
          </w:tblCellMar>
        </w:tblPrEx>
        <w:trPr>
          <w:trHeight w:val="540" w:hRule="atLeast"/>
          <w:jc w:val="center"/>
        </w:trPr>
        <w:tc>
          <w:tcPr>
            <w:tcW w:w="770" w:type="dxa"/>
            <w:tcBorders>
              <w:top w:val="single" w:color="000000" w:sz="4" w:space="0"/>
              <w:left w:val="single" w:color="000000" w:sz="4" w:space="0"/>
              <w:bottom w:val="single" w:color="000000" w:sz="4" w:space="0"/>
              <w:right w:val="single" w:color="000000" w:sz="4" w:space="0"/>
            </w:tcBorders>
            <w:noWrap w:val="0"/>
            <w:vAlign w:val="center"/>
          </w:tcPr>
          <w:p w14:paraId="63B106E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机构</w:t>
            </w:r>
          </w:p>
        </w:tc>
        <w:tc>
          <w:tcPr>
            <w:tcW w:w="1749" w:type="dxa"/>
            <w:tcBorders>
              <w:top w:val="single" w:color="000000" w:sz="4" w:space="0"/>
              <w:left w:val="nil"/>
              <w:bottom w:val="single" w:color="000000" w:sz="4" w:space="0"/>
              <w:right w:val="single" w:color="000000" w:sz="4" w:space="0"/>
            </w:tcBorders>
            <w:noWrap w:val="0"/>
            <w:vAlign w:val="center"/>
          </w:tcPr>
          <w:p w14:paraId="2B9399C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人  员</w:t>
            </w:r>
          </w:p>
        </w:tc>
        <w:tc>
          <w:tcPr>
            <w:tcW w:w="992" w:type="dxa"/>
            <w:tcBorders>
              <w:top w:val="single" w:color="000000" w:sz="4" w:space="0"/>
              <w:left w:val="nil"/>
              <w:bottom w:val="single" w:color="000000" w:sz="4" w:space="0"/>
              <w:right w:val="single" w:color="000000" w:sz="4" w:space="0"/>
            </w:tcBorders>
            <w:noWrap w:val="0"/>
            <w:vAlign w:val="center"/>
          </w:tcPr>
          <w:p w14:paraId="229A893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  名</w:t>
            </w:r>
          </w:p>
        </w:tc>
        <w:tc>
          <w:tcPr>
            <w:tcW w:w="992" w:type="dxa"/>
            <w:tcBorders>
              <w:top w:val="single" w:color="000000" w:sz="4" w:space="0"/>
              <w:left w:val="nil"/>
              <w:bottom w:val="single" w:color="000000" w:sz="4" w:space="0"/>
              <w:right w:val="single" w:color="000000" w:sz="4" w:space="0"/>
            </w:tcBorders>
            <w:noWrap w:val="0"/>
            <w:vAlign w:val="center"/>
          </w:tcPr>
          <w:p w14:paraId="1C425D5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职务</w:t>
            </w:r>
          </w:p>
        </w:tc>
        <w:tc>
          <w:tcPr>
            <w:tcW w:w="993" w:type="dxa"/>
            <w:tcBorders>
              <w:top w:val="single" w:color="000000" w:sz="4" w:space="0"/>
              <w:left w:val="nil"/>
              <w:bottom w:val="single" w:color="000000" w:sz="4" w:space="0"/>
              <w:right w:val="single" w:color="000000" w:sz="4" w:space="0"/>
            </w:tcBorders>
            <w:noWrap w:val="0"/>
            <w:vAlign w:val="center"/>
          </w:tcPr>
          <w:p w14:paraId="2C06C0B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 称</w:t>
            </w:r>
          </w:p>
        </w:tc>
        <w:tc>
          <w:tcPr>
            <w:tcW w:w="3622" w:type="dxa"/>
            <w:tcBorders>
              <w:top w:val="single" w:color="000000" w:sz="4" w:space="0"/>
              <w:left w:val="nil"/>
              <w:bottom w:val="single" w:color="000000" w:sz="4" w:space="0"/>
              <w:right w:val="single" w:color="000000" w:sz="4" w:space="0"/>
            </w:tcBorders>
            <w:noWrap w:val="0"/>
            <w:vAlign w:val="center"/>
          </w:tcPr>
          <w:p w14:paraId="126AC54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主要资历、经验及承担过的项目</w:t>
            </w:r>
          </w:p>
        </w:tc>
      </w:tr>
      <w:tr w14:paraId="2A4073E0">
        <w:tblPrEx>
          <w:tblCellMar>
            <w:top w:w="0" w:type="dxa"/>
            <w:left w:w="108" w:type="dxa"/>
            <w:bottom w:w="0" w:type="dxa"/>
            <w:right w:w="108" w:type="dxa"/>
          </w:tblCellMar>
        </w:tblPrEx>
        <w:trPr>
          <w:trHeight w:val="540" w:hRule="atLeast"/>
          <w:jc w:val="center"/>
        </w:trPr>
        <w:tc>
          <w:tcPr>
            <w:tcW w:w="770" w:type="dxa"/>
            <w:vMerge w:val="restart"/>
            <w:tcBorders>
              <w:top w:val="nil"/>
              <w:left w:val="single" w:color="000000" w:sz="4" w:space="0"/>
              <w:right w:val="single" w:color="000000" w:sz="4" w:space="0"/>
            </w:tcBorders>
            <w:noWrap w:val="0"/>
            <w:vAlign w:val="center"/>
          </w:tcPr>
          <w:p w14:paraId="30086A14">
            <w:pPr>
              <w:spacing w:line="600" w:lineRule="atLeast"/>
              <w:rPr>
                <w:rFonts w:hint="eastAsia" w:ascii="宋体" w:hAnsi="宋体" w:eastAsia="宋体" w:cs="宋体"/>
                <w:sz w:val="24"/>
                <w:szCs w:val="24"/>
              </w:rPr>
            </w:pPr>
            <w:r>
              <w:rPr>
                <w:rFonts w:hint="eastAsia" w:ascii="宋体" w:hAnsi="宋体" w:eastAsia="宋体" w:cs="宋体"/>
                <w:sz w:val="24"/>
                <w:szCs w:val="24"/>
              </w:rPr>
              <w:t>拟投入本项目</w:t>
            </w:r>
          </w:p>
        </w:tc>
        <w:tc>
          <w:tcPr>
            <w:tcW w:w="1749" w:type="dxa"/>
            <w:tcBorders>
              <w:top w:val="single" w:color="000000" w:sz="4" w:space="0"/>
              <w:left w:val="nil"/>
              <w:bottom w:val="single" w:color="000000" w:sz="4" w:space="0"/>
              <w:right w:val="single" w:color="000000" w:sz="4" w:space="0"/>
            </w:tcBorders>
            <w:noWrap w:val="0"/>
            <w:vAlign w:val="center"/>
          </w:tcPr>
          <w:p w14:paraId="40DF6D70">
            <w:pPr>
              <w:spacing w:line="600" w:lineRule="atLeast"/>
              <w:rPr>
                <w:rFonts w:hint="eastAsia" w:ascii="宋体" w:hAnsi="宋体" w:eastAsia="宋体" w:cs="宋体"/>
                <w:sz w:val="24"/>
                <w:szCs w:val="24"/>
              </w:rPr>
            </w:pPr>
            <w:r>
              <w:rPr>
                <w:rFonts w:hint="eastAsia" w:ascii="宋体" w:hAnsi="宋体" w:eastAsia="宋体" w:cs="宋体"/>
                <w:sz w:val="24"/>
                <w:szCs w:val="24"/>
              </w:rPr>
              <w:t>项目负责人</w:t>
            </w:r>
          </w:p>
        </w:tc>
        <w:tc>
          <w:tcPr>
            <w:tcW w:w="992" w:type="dxa"/>
            <w:tcBorders>
              <w:top w:val="single" w:color="000000" w:sz="4" w:space="0"/>
              <w:left w:val="nil"/>
              <w:bottom w:val="single" w:color="000000" w:sz="4" w:space="0"/>
              <w:right w:val="single" w:color="000000" w:sz="4" w:space="0"/>
            </w:tcBorders>
            <w:noWrap w:val="0"/>
            <w:vAlign w:val="center"/>
          </w:tcPr>
          <w:p w14:paraId="3B5FC413">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6324A084">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3E044659">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1B9948DA">
            <w:pPr>
              <w:spacing w:line="600" w:lineRule="atLeast"/>
              <w:ind w:firstLine="480"/>
              <w:jc w:val="center"/>
              <w:rPr>
                <w:rFonts w:hint="eastAsia" w:ascii="仿宋" w:hAnsi="仿宋" w:eastAsia="仿宋" w:cs="仿宋"/>
                <w:sz w:val="24"/>
                <w:szCs w:val="24"/>
              </w:rPr>
            </w:pPr>
          </w:p>
        </w:tc>
      </w:tr>
      <w:tr w14:paraId="3305C9BA">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1317A00D">
            <w:pPr>
              <w:spacing w:line="520" w:lineRule="exact"/>
              <w:ind w:firstLine="560"/>
              <w:rPr>
                <w:rFonts w:hint="eastAsia" w:ascii="宋体" w:hAnsi="宋体" w:eastAsia="宋体" w:cs="宋体"/>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558F5E0D">
            <w:pPr>
              <w:spacing w:line="600" w:lineRule="atLeast"/>
              <w:rPr>
                <w:rFonts w:hint="eastAsia" w:ascii="宋体" w:hAnsi="宋体" w:eastAsia="宋体" w:cs="宋体"/>
                <w:sz w:val="24"/>
                <w:szCs w:val="24"/>
              </w:rPr>
            </w:pPr>
            <w:r>
              <w:rPr>
                <w:rFonts w:hint="eastAsia" w:ascii="宋体" w:hAnsi="宋体" w:eastAsia="宋体" w:cs="宋体"/>
                <w:sz w:val="24"/>
                <w:szCs w:val="24"/>
              </w:rPr>
              <w:t>技术负责人</w:t>
            </w:r>
          </w:p>
        </w:tc>
        <w:tc>
          <w:tcPr>
            <w:tcW w:w="992" w:type="dxa"/>
            <w:tcBorders>
              <w:top w:val="single" w:color="000000" w:sz="4" w:space="0"/>
              <w:left w:val="nil"/>
              <w:bottom w:val="single" w:color="000000" w:sz="4" w:space="0"/>
              <w:right w:val="single" w:color="000000" w:sz="4" w:space="0"/>
            </w:tcBorders>
            <w:noWrap w:val="0"/>
            <w:vAlign w:val="center"/>
          </w:tcPr>
          <w:p w14:paraId="43D5A3AD">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345002A1">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52545EB1">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28AC2FFD">
            <w:pPr>
              <w:spacing w:line="600" w:lineRule="atLeast"/>
              <w:ind w:firstLine="480"/>
              <w:jc w:val="center"/>
              <w:rPr>
                <w:rFonts w:hint="eastAsia" w:ascii="仿宋" w:hAnsi="仿宋" w:eastAsia="仿宋" w:cs="仿宋"/>
                <w:sz w:val="24"/>
                <w:szCs w:val="24"/>
              </w:rPr>
            </w:pPr>
          </w:p>
        </w:tc>
      </w:tr>
      <w:tr w14:paraId="26C491E3">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6A4EE0B7">
            <w:pPr>
              <w:spacing w:line="520" w:lineRule="exact"/>
              <w:ind w:firstLine="560"/>
              <w:rPr>
                <w:rFonts w:hint="eastAsia" w:ascii="宋体" w:hAnsi="宋体" w:eastAsia="宋体" w:cs="宋体"/>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0E33BAC5">
            <w:pPr>
              <w:spacing w:line="600" w:lineRule="atLeast"/>
              <w:rPr>
                <w:rFonts w:hint="eastAsia" w:ascii="宋体" w:hAnsi="宋体" w:eastAsia="宋体" w:cs="宋体"/>
                <w:sz w:val="24"/>
                <w:szCs w:val="24"/>
              </w:rPr>
            </w:pPr>
            <w:r>
              <w:rPr>
                <w:rFonts w:hint="eastAsia" w:ascii="宋体" w:hAnsi="宋体" w:eastAsia="宋体" w:cs="宋体"/>
                <w:sz w:val="24"/>
                <w:szCs w:val="24"/>
              </w:rPr>
              <w:t>其他人员</w:t>
            </w:r>
          </w:p>
        </w:tc>
        <w:tc>
          <w:tcPr>
            <w:tcW w:w="992" w:type="dxa"/>
            <w:tcBorders>
              <w:top w:val="single" w:color="000000" w:sz="4" w:space="0"/>
              <w:left w:val="nil"/>
              <w:bottom w:val="single" w:color="000000" w:sz="4" w:space="0"/>
              <w:right w:val="single" w:color="000000" w:sz="4" w:space="0"/>
            </w:tcBorders>
            <w:noWrap w:val="0"/>
            <w:vAlign w:val="center"/>
          </w:tcPr>
          <w:p w14:paraId="5688D01A">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03DD0F19">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29A446E2">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00AE4588">
            <w:pPr>
              <w:spacing w:line="600" w:lineRule="atLeast"/>
              <w:ind w:firstLine="480"/>
              <w:jc w:val="center"/>
              <w:rPr>
                <w:rFonts w:hint="eastAsia" w:ascii="仿宋" w:hAnsi="仿宋" w:eastAsia="仿宋" w:cs="仿宋"/>
                <w:sz w:val="24"/>
                <w:szCs w:val="24"/>
              </w:rPr>
            </w:pPr>
          </w:p>
        </w:tc>
      </w:tr>
      <w:tr w14:paraId="395F2C1D">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6710D104">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16181CC9">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64BB2E24">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62C5339A">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1226C30C">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1C8DD5D7">
            <w:pPr>
              <w:spacing w:line="600" w:lineRule="atLeast"/>
              <w:ind w:firstLine="480"/>
              <w:jc w:val="center"/>
              <w:rPr>
                <w:rFonts w:hint="eastAsia" w:ascii="仿宋" w:hAnsi="仿宋" w:eastAsia="仿宋" w:cs="仿宋"/>
                <w:sz w:val="24"/>
                <w:szCs w:val="24"/>
              </w:rPr>
            </w:pPr>
          </w:p>
        </w:tc>
      </w:tr>
      <w:tr w14:paraId="4A21D816">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4652A7EF">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3CE18377">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3117E927">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2B25C0D6">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2C8BA639">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5FCCD19F">
            <w:pPr>
              <w:spacing w:line="600" w:lineRule="atLeast"/>
              <w:ind w:firstLine="480"/>
              <w:jc w:val="center"/>
              <w:rPr>
                <w:rFonts w:hint="eastAsia" w:ascii="仿宋" w:hAnsi="仿宋" w:eastAsia="仿宋" w:cs="仿宋"/>
                <w:sz w:val="24"/>
                <w:szCs w:val="24"/>
              </w:rPr>
            </w:pPr>
          </w:p>
        </w:tc>
      </w:tr>
      <w:tr w14:paraId="26897E03">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3AAE769C">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7DA9C068">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5F13DD44">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4EBA2CD4">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7C96F061">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74510D3B">
            <w:pPr>
              <w:spacing w:line="600" w:lineRule="atLeast"/>
              <w:ind w:firstLine="480"/>
              <w:jc w:val="center"/>
              <w:rPr>
                <w:rFonts w:hint="eastAsia" w:ascii="仿宋" w:hAnsi="仿宋" w:eastAsia="仿宋" w:cs="仿宋"/>
                <w:sz w:val="24"/>
                <w:szCs w:val="24"/>
              </w:rPr>
            </w:pPr>
          </w:p>
        </w:tc>
      </w:tr>
      <w:tr w14:paraId="66C8285A">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6EF0DF73">
            <w:pPr>
              <w:spacing w:line="600" w:lineRule="atLeast"/>
              <w:rPr>
                <w:rFonts w:hint="eastAsia" w:ascii="仿宋" w:hAnsi="仿宋" w:eastAsia="仿宋" w:cs="仿宋"/>
                <w:sz w:val="24"/>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072B4FED">
            <w:pPr>
              <w:spacing w:line="600" w:lineRule="atLeast"/>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58FD2D58">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1DEC3CBD">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77DF697E">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5656DF1A">
            <w:pPr>
              <w:spacing w:line="600" w:lineRule="atLeast"/>
              <w:ind w:firstLine="480"/>
              <w:jc w:val="center"/>
              <w:rPr>
                <w:rFonts w:hint="eastAsia" w:ascii="仿宋" w:hAnsi="仿宋" w:eastAsia="仿宋" w:cs="仿宋"/>
                <w:sz w:val="24"/>
                <w:szCs w:val="24"/>
              </w:rPr>
            </w:pPr>
          </w:p>
        </w:tc>
      </w:tr>
      <w:tr w14:paraId="75C84195">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0EA1F463">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1356DD23">
            <w:pPr>
              <w:spacing w:line="600" w:lineRule="atLeast"/>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53215486">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7EB2DDBB">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2C4753D4">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5E243F2D">
            <w:pPr>
              <w:spacing w:line="600" w:lineRule="atLeast"/>
              <w:ind w:firstLine="480"/>
              <w:jc w:val="center"/>
              <w:rPr>
                <w:rFonts w:hint="eastAsia" w:ascii="仿宋" w:hAnsi="仿宋" w:eastAsia="仿宋" w:cs="仿宋"/>
                <w:sz w:val="24"/>
                <w:szCs w:val="24"/>
              </w:rPr>
            </w:pPr>
          </w:p>
        </w:tc>
      </w:tr>
      <w:tr w14:paraId="4AAC6392">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0658FEE6">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39547E2F">
            <w:pPr>
              <w:spacing w:line="600" w:lineRule="atLeast"/>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436B8B38">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73209EFF">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5FBFC2EB">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038849CC">
            <w:pPr>
              <w:spacing w:line="600" w:lineRule="atLeast"/>
              <w:ind w:firstLine="480"/>
              <w:jc w:val="center"/>
              <w:rPr>
                <w:rFonts w:hint="eastAsia" w:ascii="仿宋" w:hAnsi="仿宋" w:eastAsia="仿宋" w:cs="仿宋"/>
                <w:sz w:val="24"/>
                <w:szCs w:val="24"/>
              </w:rPr>
            </w:pPr>
          </w:p>
        </w:tc>
      </w:tr>
      <w:tr w14:paraId="61457639">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23DF3C38">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7AC1E950">
            <w:pPr>
              <w:spacing w:line="600" w:lineRule="atLeast"/>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2C412AD0">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5644B164">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3B5F8387">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2EAB15E4">
            <w:pPr>
              <w:spacing w:line="600" w:lineRule="atLeast"/>
              <w:ind w:firstLine="480"/>
              <w:jc w:val="center"/>
              <w:rPr>
                <w:rFonts w:hint="eastAsia" w:ascii="仿宋" w:hAnsi="仿宋" w:eastAsia="仿宋" w:cs="仿宋"/>
                <w:sz w:val="24"/>
                <w:szCs w:val="24"/>
              </w:rPr>
            </w:pPr>
          </w:p>
        </w:tc>
      </w:tr>
      <w:tr w14:paraId="701877A6">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4DFCB52E">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5E833AD2">
            <w:pPr>
              <w:spacing w:line="600" w:lineRule="atLeast"/>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529B425C">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3F03CDBA">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73DF3ED5">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4EB489C9">
            <w:pPr>
              <w:spacing w:line="600" w:lineRule="atLeast"/>
              <w:ind w:firstLine="480"/>
              <w:jc w:val="center"/>
              <w:rPr>
                <w:rFonts w:hint="eastAsia" w:ascii="仿宋" w:hAnsi="仿宋" w:eastAsia="仿宋" w:cs="仿宋"/>
                <w:sz w:val="24"/>
                <w:szCs w:val="24"/>
              </w:rPr>
            </w:pPr>
          </w:p>
        </w:tc>
      </w:tr>
      <w:tr w14:paraId="2F79A136">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75B3B0B8">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43BCA229">
            <w:pPr>
              <w:spacing w:line="600" w:lineRule="atLeast"/>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06F75B2C">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0DB7CC5E">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14A0737F">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68D3E11A">
            <w:pPr>
              <w:spacing w:line="600" w:lineRule="atLeast"/>
              <w:ind w:firstLine="480"/>
              <w:jc w:val="center"/>
              <w:rPr>
                <w:rFonts w:hint="eastAsia" w:ascii="仿宋" w:hAnsi="仿宋" w:eastAsia="仿宋" w:cs="仿宋"/>
                <w:sz w:val="24"/>
                <w:szCs w:val="24"/>
              </w:rPr>
            </w:pPr>
          </w:p>
        </w:tc>
      </w:tr>
      <w:tr w14:paraId="16A1397F">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right w:val="single" w:color="000000" w:sz="4" w:space="0"/>
            </w:tcBorders>
            <w:noWrap w:val="0"/>
            <w:vAlign w:val="center"/>
          </w:tcPr>
          <w:p w14:paraId="4E6C116A">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2F3F1F9F">
            <w:pPr>
              <w:spacing w:line="600" w:lineRule="atLeast"/>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6A3FC2D5">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56C0BC82">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187DB253">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32D07841">
            <w:pPr>
              <w:spacing w:line="600" w:lineRule="atLeast"/>
              <w:ind w:firstLine="480"/>
              <w:jc w:val="center"/>
              <w:rPr>
                <w:rFonts w:hint="eastAsia" w:ascii="仿宋" w:hAnsi="仿宋" w:eastAsia="仿宋" w:cs="仿宋"/>
                <w:sz w:val="24"/>
                <w:szCs w:val="24"/>
              </w:rPr>
            </w:pPr>
          </w:p>
        </w:tc>
      </w:tr>
      <w:tr w14:paraId="711BF644">
        <w:tblPrEx>
          <w:tblCellMar>
            <w:top w:w="0" w:type="dxa"/>
            <w:left w:w="108" w:type="dxa"/>
            <w:bottom w:w="0" w:type="dxa"/>
            <w:right w:w="108" w:type="dxa"/>
          </w:tblCellMar>
        </w:tblPrEx>
        <w:trPr>
          <w:trHeight w:val="540" w:hRule="atLeast"/>
          <w:jc w:val="center"/>
        </w:trPr>
        <w:tc>
          <w:tcPr>
            <w:tcW w:w="770" w:type="dxa"/>
            <w:vMerge w:val="continue"/>
            <w:tcBorders>
              <w:left w:val="single" w:color="000000" w:sz="4" w:space="0"/>
              <w:bottom w:val="single" w:color="000000" w:sz="4" w:space="0"/>
              <w:right w:val="single" w:color="000000" w:sz="4" w:space="0"/>
            </w:tcBorders>
            <w:noWrap w:val="0"/>
            <w:vAlign w:val="center"/>
          </w:tcPr>
          <w:p w14:paraId="6586D610">
            <w:pPr>
              <w:spacing w:line="520" w:lineRule="exact"/>
              <w:ind w:firstLine="560"/>
              <w:rPr>
                <w:rFonts w:hint="eastAsia" w:ascii="仿宋" w:hAnsi="仿宋" w:eastAsia="仿宋" w:cs="仿宋"/>
                <w:sz w:val="28"/>
                <w:szCs w:val="24"/>
              </w:rPr>
            </w:pPr>
          </w:p>
        </w:tc>
        <w:tc>
          <w:tcPr>
            <w:tcW w:w="1749" w:type="dxa"/>
            <w:tcBorders>
              <w:top w:val="single" w:color="000000" w:sz="4" w:space="0"/>
              <w:left w:val="nil"/>
              <w:bottom w:val="single" w:color="000000" w:sz="4" w:space="0"/>
              <w:right w:val="single" w:color="000000" w:sz="4" w:space="0"/>
            </w:tcBorders>
            <w:noWrap w:val="0"/>
            <w:vAlign w:val="center"/>
          </w:tcPr>
          <w:p w14:paraId="4E4A57B8">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33FD0C0B">
            <w:pPr>
              <w:spacing w:line="600" w:lineRule="atLeast"/>
              <w:ind w:firstLine="480"/>
              <w:jc w:val="center"/>
              <w:rPr>
                <w:rFonts w:hint="eastAsia" w:ascii="仿宋" w:hAnsi="仿宋" w:eastAsia="仿宋" w:cs="仿宋"/>
                <w:sz w:val="24"/>
                <w:szCs w:val="24"/>
              </w:rPr>
            </w:pPr>
          </w:p>
        </w:tc>
        <w:tc>
          <w:tcPr>
            <w:tcW w:w="992" w:type="dxa"/>
            <w:tcBorders>
              <w:top w:val="single" w:color="000000" w:sz="4" w:space="0"/>
              <w:left w:val="nil"/>
              <w:bottom w:val="single" w:color="000000" w:sz="4" w:space="0"/>
              <w:right w:val="single" w:color="000000" w:sz="4" w:space="0"/>
            </w:tcBorders>
            <w:noWrap w:val="0"/>
            <w:vAlign w:val="center"/>
          </w:tcPr>
          <w:p w14:paraId="6C5DAC3D">
            <w:pPr>
              <w:spacing w:line="600" w:lineRule="atLeast"/>
              <w:ind w:firstLine="480"/>
              <w:jc w:val="center"/>
              <w:rPr>
                <w:rFonts w:hint="eastAsia" w:ascii="仿宋" w:hAnsi="仿宋" w:eastAsia="仿宋" w:cs="仿宋"/>
                <w:sz w:val="24"/>
                <w:szCs w:val="24"/>
              </w:rPr>
            </w:pPr>
          </w:p>
        </w:tc>
        <w:tc>
          <w:tcPr>
            <w:tcW w:w="993" w:type="dxa"/>
            <w:tcBorders>
              <w:top w:val="single" w:color="000000" w:sz="4" w:space="0"/>
              <w:left w:val="nil"/>
              <w:bottom w:val="single" w:color="000000" w:sz="4" w:space="0"/>
              <w:right w:val="single" w:color="000000" w:sz="4" w:space="0"/>
            </w:tcBorders>
            <w:noWrap w:val="0"/>
            <w:vAlign w:val="center"/>
          </w:tcPr>
          <w:p w14:paraId="0F8CF6CF">
            <w:pPr>
              <w:spacing w:line="600" w:lineRule="atLeast"/>
              <w:ind w:firstLine="480"/>
              <w:jc w:val="center"/>
              <w:rPr>
                <w:rFonts w:hint="eastAsia" w:ascii="仿宋" w:hAnsi="仿宋" w:eastAsia="仿宋" w:cs="仿宋"/>
                <w:sz w:val="24"/>
                <w:szCs w:val="24"/>
              </w:rPr>
            </w:pPr>
          </w:p>
        </w:tc>
        <w:tc>
          <w:tcPr>
            <w:tcW w:w="3622" w:type="dxa"/>
            <w:tcBorders>
              <w:top w:val="single" w:color="000000" w:sz="4" w:space="0"/>
              <w:left w:val="nil"/>
              <w:bottom w:val="single" w:color="000000" w:sz="4" w:space="0"/>
              <w:right w:val="single" w:color="000000" w:sz="4" w:space="0"/>
            </w:tcBorders>
            <w:noWrap w:val="0"/>
            <w:vAlign w:val="center"/>
          </w:tcPr>
          <w:p w14:paraId="70507DD5">
            <w:pPr>
              <w:spacing w:line="600" w:lineRule="atLeast"/>
              <w:ind w:firstLine="480"/>
              <w:jc w:val="center"/>
              <w:rPr>
                <w:rFonts w:hint="eastAsia" w:ascii="仿宋" w:hAnsi="仿宋" w:eastAsia="仿宋" w:cs="仿宋"/>
                <w:sz w:val="24"/>
                <w:szCs w:val="24"/>
              </w:rPr>
            </w:pPr>
          </w:p>
        </w:tc>
      </w:tr>
    </w:tbl>
    <w:p w14:paraId="082C9CB3">
      <w:pPr>
        <w:pStyle w:val="202"/>
        <w:numPr>
          <w:ilvl w:val="0"/>
          <w:numId w:val="0"/>
        </w:numPr>
        <w:rPr>
          <w:rFonts w:hint="eastAsia" w:eastAsia="黑体"/>
          <w:lang w:eastAsia="zh-CN"/>
        </w:rPr>
      </w:pPr>
    </w:p>
    <w:p w14:paraId="624FAF70">
      <w:pPr>
        <w:pStyle w:val="201"/>
        <w:spacing w:line="520" w:lineRule="exact"/>
        <w:rPr>
          <w:rFonts w:ascii="宋体" w:hAnsi="宋体" w:cs="宋体"/>
          <w:color w:val="000000"/>
          <w:sz w:val="24"/>
          <w:szCs w:val="24"/>
        </w:rPr>
      </w:pPr>
      <w:r>
        <w:rPr>
          <w:rFonts w:hint="eastAsia" w:ascii="宋体" w:hAnsi="宋体" w:cs="宋体"/>
          <w:color w:val="000000"/>
          <w:sz w:val="24"/>
          <w:szCs w:val="24"/>
        </w:rPr>
        <w:t>注：本表为格式内容，投标人可根据需要自行修正本表。</w:t>
      </w:r>
    </w:p>
    <w:p w14:paraId="05530894">
      <w:pPr>
        <w:pStyle w:val="201"/>
        <w:spacing w:line="520" w:lineRule="exact"/>
        <w:rPr>
          <w:rFonts w:ascii="宋体" w:hAnsi="宋体" w:cs="宋体"/>
          <w:color w:val="000000"/>
          <w:sz w:val="24"/>
          <w:szCs w:val="24"/>
        </w:rPr>
      </w:pPr>
    </w:p>
    <w:p w14:paraId="61DB28B7">
      <w:pPr>
        <w:pStyle w:val="201"/>
        <w:spacing w:line="520" w:lineRule="exact"/>
        <w:rPr>
          <w:rFonts w:ascii="宋体" w:hAnsi="宋体" w:cs="宋体"/>
          <w:color w:val="000000"/>
          <w:sz w:val="24"/>
          <w:szCs w:val="24"/>
        </w:rPr>
      </w:pPr>
      <w:r>
        <w:rPr>
          <w:rFonts w:hint="eastAsia" w:ascii="宋体" w:hAnsi="宋体" w:cs="宋体"/>
          <w:color w:val="000000"/>
          <w:sz w:val="24"/>
          <w:szCs w:val="24"/>
        </w:rPr>
        <w:t>投标响应单位名称</w:t>
      </w:r>
      <w:r>
        <w:rPr>
          <w:rFonts w:hint="eastAsia" w:ascii="宋体" w:hAnsi="宋体"/>
          <w:color w:val="000000"/>
          <w:sz w:val="24"/>
          <w:szCs w:val="24"/>
        </w:rPr>
        <w:t>（加盖CA电子签章）</w:t>
      </w:r>
      <w:r>
        <w:rPr>
          <w:rFonts w:hint="eastAsia" w:ascii="宋体" w:hAnsi="宋体" w:cs="宋体"/>
          <w:color w:val="000000"/>
          <w:sz w:val="24"/>
          <w:szCs w:val="24"/>
        </w:rPr>
        <w:t>：</w:t>
      </w:r>
    </w:p>
    <w:p w14:paraId="7097BBF5">
      <w:pPr>
        <w:pStyle w:val="201"/>
        <w:spacing w:line="460" w:lineRule="exact"/>
        <w:rPr>
          <w:rFonts w:ascii="宋体" w:hAnsi="宋体" w:cs="宋体"/>
          <w:color w:val="000000"/>
          <w:sz w:val="24"/>
          <w:szCs w:val="24"/>
        </w:rPr>
      </w:pPr>
      <w:r>
        <w:rPr>
          <w:rFonts w:hint="eastAsia" w:ascii="宋体" w:hAnsi="宋体" w:cs="宋体"/>
          <w:color w:val="000000"/>
          <w:sz w:val="24"/>
          <w:szCs w:val="24"/>
        </w:rPr>
        <w:t>法定代表人或授权代表(签字或盖章)：</w:t>
      </w:r>
    </w:p>
    <w:p w14:paraId="3A8AA416">
      <w:pPr>
        <w:pStyle w:val="201"/>
        <w:spacing w:line="480" w:lineRule="exact"/>
        <w:jc w:val="center"/>
        <w:rPr>
          <w:rFonts w:ascii="宋体" w:hAnsi="宋体" w:cs="宋体"/>
          <w:b/>
          <w:bCs/>
          <w:color w:val="000000"/>
          <w:sz w:val="24"/>
          <w:szCs w:val="24"/>
        </w:rPr>
      </w:pPr>
    </w:p>
    <w:p w14:paraId="63DDD502">
      <w:pPr>
        <w:pStyle w:val="201"/>
        <w:spacing w:line="480" w:lineRule="exact"/>
        <w:jc w:val="right"/>
        <w:rPr>
          <w:rFonts w:ascii="宋体" w:hAnsi="宋体" w:cs="宋体"/>
          <w:color w:val="000000"/>
          <w:sz w:val="24"/>
          <w:szCs w:val="24"/>
        </w:rPr>
      </w:pPr>
      <w:bookmarkStart w:id="224" w:name="_Toc4073"/>
      <w:r>
        <w:rPr>
          <w:rFonts w:hint="eastAsia" w:ascii="宋体" w:hAnsi="宋体" w:cs="宋体"/>
          <w:color w:val="000000"/>
          <w:sz w:val="24"/>
          <w:szCs w:val="24"/>
        </w:rPr>
        <w:t>日期</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年   月    日</w:t>
      </w:r>
      <w:bookmarkEnd w:id="224"/>
    </w:p>
    <w:p w14:paraId="079C37C5">
      <w:pPr>
        <w:spacing w:before="145" w:after="145" w:line="440" w:lineRule="exact"/>
        <w:jc w:val="center"/>
        <w:outlineLvl w:val="2"/>
        <w:rPr>
          <w:rFonts w:hint="eastAsia" w:ascii="宋体" w:hAnsi="宋体" w:eastAsia="宋体" w:cs="仿宋"/>
          <w:b/>
          <w:bCs/>
          <w:color w:val="000000"/>
          <w:sz w:val="32"/>
          <w:szCs w:val="32"/>
          <w:highlight w:val="none"/>
          <w:lang w:val="en-US" w:eastAsia="zh-CN"/>
        </w:rPr>
      </w:pPr>
      <w:r>
        <w:rPr>
          <w:rFonts w:hint="eastAsia" w:ascii="宋体" w:hAnsi="宋体" w:eastAsia="宋体" w:cs="仿宋"/>
          <w:b/>
          <w:bCs/>
          <w:color w:val="000000"/>
          <w:sz w:val="32"/>
          <w:szCs w:val="32"/>
          <w:highlight w:val="none"/>
          <w:lang w:val="en-US" w:eastAsia="zh-CN"/>
        </w:rPr>
        <w:t>十七、计划投入的主要施工机械设备表（格式）</w:t>
      </w:r>
    </w:p>
    <w:p w14:paraId="2A055600">
      <w:pPr>
        <w:spacing w:before="145" w:after="145" w:line="440" w:lineRule="exact"/>
        <w:jc w:val="center"/>
        <w:rPr>
          <w:rFonts w:ascii="宋体" w:hAnsi="宋体" w:cs="仿宋"/>
          <w:b/>
          <w:bCs/>
          <w:color w:val="000000"/>
          <w:sz w:val="32"/>
          <w:szCs w:val="32"/>
        </w:rPr>
      </w:pPr>
    </w:p>
    <w:tbl>
      <w:tblPr>
        <w:tblStyle w:val="30"/>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2076"/>
        <w:gridCol w:w="1356"/>
        <w:gridCol w:w="876"/>
        <w:gridCol w:w="1356"/>
        <w:gridCol w:w="876"/>
        <w:gridCol w:w="876"/>
        <w:gridCol w:w="876"/>
        <w:gridCol w:w="876"/>
      </w:tblGrid>
      <w:tr w14:paraId="6AA41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76" w:type="dxa"/>
            <w:noWrap w:val="0"/>
            <w:vAlign w:val="center"/>
          </w:tcPr>
          <w:p w14:paraId="5BE5404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076" w:type="dxa"/>
            <w:noWrap w:val="0"/>
            <w:vAlign w:val="center"/>
          </w:tcPr>
          <w:p w14:paraId="7C98DFE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机械或设备名称</w:t>
            </w:r>
          </w:p>
        </w:tc>
        <w:tc>
          <w:tcPr>
            <w:tcW w:w="1356" w:type="dxa"/>
            <w:noWrap w:val="0"/>
            <w:vAlign w:val="center"/>
          </w:tcPr>
          <w:p w14:paraId="79E7CD6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型号规格</w:t>
            </w:r>
          </w:p>
        </w:tc>
        <w:tc>
          <w:tcPr>
            <w:tcW w:w="876" w:type="dxa"/>
            <w:noWrap w:val="0"/>
            <w:vAlign w:val="center"/>
          </w:tcPr>
          <w:p w14:paraId="2FEC0B1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数量</w:t>
            </w:r>
          </w:p>
        </w:tc>
        <w:tc>
          <w:tcPr>
            <w:tcW w:w="1356" w:type="dxa"/>
            <w:noWrap w:val="0"/>
            <w:vAlign w:val="center"/>
          </w:tcPr>
          <w:p w14:paraId="75F64FB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国别产地</w:t>
            </w:r>
          </w:p>
        </w:tc>
        <w:tc>
          <w:tcPr>
            <w:tcW w:w="876" w:type="dxa"/>
            <w:noWrap w:val="0"/>
            <w:vAlign w:val="center"/>
          </w:tcPr>
          <w:p w14:paraId="68B66E8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制造</w:t>
            </w:r>
          </w:p>
          <w:p w14:paraId="07CEB80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年份</w:t>
            </w:r>
          </w:p>
        </w:tc>
        <w:tc>
          <w:tcPr>
            <w:tcW w:w="876" w:type="dxa"/>
            <w:noWrap w:val="0"/>
            <w:vAlign w:val="center"/>
          </w:tcPr>
          <w:p w14:paraId="67B3264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额定</w:t>
            </w:r>
          </w:p>
          <w:p w14:paraId="7960427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功率</w:t>
            </w:r>
          </w:p>
          <w:p w14:paraId="34BC802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KW</w:t>
            </w:r>
          </w:p>
        </w:tc>
        <w:tc>
          <w:tcPr>
            <w:tcW w:w="876" w:type="dxa"/>
            <w:noWrap w:val="0"/>
            <w:vAlign w:val="center"/>
          </w:tcPr>
          <w:p w14:paraId="5D35812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生成</w:t>
            </w:r>
          </w:p>
          <w:p w14:paraId="653D262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能力</w:t>
            </w:r>
          </w:p>
          <w:p w14:paraId="08D61CB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M/H</w:t>
            </w:r>
          </w:p>
        </w:tc>
        <w:tc>
          <w:tcPr>
            <w:tcW w:w="876" w:type="dxa"/>
            <w:noWrap w:val="0"/>
            <w:vAlign w:val="center"/>
          </w:tcPr>
          <w:p w14:paraId="2776C3E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22196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66060F7F">
            <w:pPr>
              <w:jc w:val="center"/>
              <w:rPr>
                <w:rFonts w:hint="eastAsia" w:ascii="宋体" w:hAnsi="宋体" w:eastAsia="宋体" w:cs="宋体"/>
                <w:color w:val="000000"/>
                <w:sz w:val="24"/>
                <w:szCs w:val="24"/>
              </w:rPr>
            </w:pPr>
          </w:p>
        </w:tc>
        <w:tc>
          <w:tcPr>
            <w:tcW w:w="2076" w:type="dxa"/>
            <w:noWrap w:val="0"/>
            <w:vAlign w:val="center"/>
          </w:tcPr>
          <w:p w14:paraId="7706AB2D">
            <w:pPr>
              <w:jc w:val="center"/>
              <w:rPr>
                <w:rFonts w:hint="eastAsia" w:ascii="宋体" w:hAnsi="宋体" w:eastAsia="宋体" w:cs="宋体"/>
                <w:color w:val="000000"/>
                <w:sz w:val="24"/>
                <w:szCs w:val="24"/>
              </w:rPr>
            </w:pPr>
          </w:p>
        </w:tc>
        <w:tc>
          <w:tcPr>
            <w:tcW w:w="1356" w:type="dxa"/>
            <w:noWrap w:val="0"/>
            <w:vAlign w:val="center"/>
          </w:tcPr>
          <w:p w14:paraId="769F02CE">
            <w:pPr>
              <w:jc w:val="center"/>
              <w:rPr>
                <w:rFonts w:hint="eastAsia" w:ascii="宋体" w:hAnsi="宋体" w:eastAsia="宋体" w:cs="宋体"/>
                <w:color w:val="000000"/>
                <w:sz w:val="24"/>
                <w:szCs w:val="24"/>
              </w:rPr>
            </w:pPr>
          </w:p>
        </w:tc>
        <w:tc>
          <w:tcPr>
            <w:tcW w:w="876" w:type="dxa"/>
            <w:noWrap w:val="0"/>
            <w:vAlign w:val="center"/>
          </w:tcPr>
          <w:p w14:paraId="2416D0A5">
            <w:pPr>
              <w:jc w:val="center"/>
              <w:rPr>
                <w:rFonts w:hint="eastAsia" w:ascii="宋体" w:hAnsi="宋体" w:eastAsia="宋体" w:cs="宋体"/>
                <w:color w:val="000000"/>
                <w:sz w:val="24"/>
                <w:szCs w:val="24"/>
              </w:rPr>
            </w:pPr>
          </w:p>
        </w:tc>
        <w:tc>
          <w:tcPr>
            <w:tcW w:w="1356" w:type="dxa"/>
            <w:noWrap w:val="0"/>
            <w:vAlign w:val="center"/>
          </w:tcPr>
          <w:p w14:paraId="224A7DEE">
            <w:pPr>
              <w:jc w:val="center"/>
              <w:rPr>
                <w:rFonts w:hint="eastAsia" w:ascii="宋体" w:hAnsi="宋体" w:eastAsia="宋体" w:cs="宋体"/>
                <w:color w:val="000000"/>
                <w:sz w:val="24"/>
                <w:szCs w:val="24"/>
              </w:rPr>
            </w:pPr>
          </w:p>
        </w:tc>
        <w:tc>
          <w:tcPr>
            <w:tcW w:w="876" w:type="dxa"/>
            <w:noWrap w:val="0"/>
            <w:vAlign w:val="center"/>
          </w:tcPr>
          <w:p w14:paraId="045B1513">
            <w:pPr>
              <w:jc w:val="center"/>
              <w:rPr>
                <w:rFonts w:hint="eastAsia" w:ascii="宋体" w:hAnsi="宋体" w:eastAsia="宋体" w:cs="宋体"/>
                <w:color w:val="000000"/>
                <w:sz w:val="24"/>
                <w:szCs w:val="24"/>
              </w:rPr>
            </w:pPr>
          </w:p>
        </w:tc>
        <w:tc>
          <w:tcPr>
            <w:tcW w:w="876" w:type="dxa"/>
            <w:noWrap w:val="0"/>
            <w:vAlign w:val="center"/>
          </w:tcPr>
          <w:p w14:paraId="45F07301">
            <w:pPr>
              <w:jc w:val="center"/>
              <w:rPr>
                <w:rFonts w:hint="eastAsia" w:ascii="宋体" w:hAnsi="宋体" w:eastAsia="宋体" w:cs="宋体"/>
                <w:color w:val="000000"/>
                <w:sz w:val="24"/>
                <w:szCs w:val="24"/>
              </w:rPr>
            </w:pPr>
          </w:p>
        </w:tc>
        <w:tc>
          <w:tcPr>
            <w:tcW w:w="876" w:type="dxa"/>
            <w:noWrap w:val="0"/>
            <w:vAlign w:val="center"/>
          </w:tcPr>
          <w:p w14:paraId="64FEE021">
            <w:pPr>
              <w:jc w:val="center"/>
              <w:rPr>
                <w:rFonts w:hint="eastAsia" w:ascii="宋体" w:hAnsi="宋体" w:eastAsia="宋体" w:cs="宋体"/>
                <w:color w:val="000000"/>
                <w:sz w:val="24"/>
                <w:szCs w:val="24"/>
              </w:rPr>
            </w:pPr>
          </w:p>
        </w:tc>
        <w:tc>
          <w:tcPr>
            <w:tcW w:w="876" w:type="dxa"/>
            <w:noWrap w:val="0"/>
            <w:vAlign w:val="center"/>
          </w:tcPr>
          <w:p w14:paraId="1B936807">
            <w:pPr>
              <w:jc w:val="center"/>
              <w:rPr>
                <w:rFonts w:hint="eastAsia" w:ascii="宋体" w:hAnsi="宋体" w:eastAsia="宋体" w:cs="宋体"/>
                <w:color w:val="000000"/>
                <w:sz w:val="24"/>
                <w:szCs w:val="24"/>
              </w:rPr>
            </w:pPr>
          </w:p>
        </w:tc>
      </w:tr>
      <w:tr w14:paraId="3F457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2767FC8A">
            <w:pPr>
              <w:jc w:val="center"/>
              <w:rPr>
                <w:rFonts w:hint="eastAsia" w:ascii="宋体" w:hAnsi="宋体" w:eastAsia="宋体" w:cs="宋体"/>
                <w:color w:val="000000"/>
                <w:sz w:val="24"/>
                <w:szCs w:val="24"/>
              </w:rPr>
            </w:pPr>
          </w:p>
        </w:tc>
        <w:tc>
          <w:tcPr>
            <w:tcW w:w="2076" w:type="dxa"/>
            <w:noWrap w:val="0"/>
            <w:vAlign w:val="center"/>
          </w:tcPr>
          <w:p w14:paraId="7E8F560F">
            <w:pPr>
              <w:jc w:val="center"/>
              <w:rPr>
                <w:rFonts w:hint="eastAsia" w:ascii="宋体" w:hAnsi="宋体" w:eastAsia="宋体" w:cs="宋体"/>
                <w:color w:val="000000"/>
                <w:sz w:val="24"/>
                <w:szCs w:val="24"/>
              </w:rPr>
            </w:pPr>
          </w:p>
        </w:tc>
        <w:tc>
          <w:tcPr>
            <w:tcW w:w="1356" w:type="dxa"/>
            <w:noWrap w:val="0"/>
            <w:vAlign w:val="center"/>
          </w:tcPr>
          <w:p w14:paraId="38B1C481">
            <w:pPr>
              <w:jc w:val="center"/>
              <w:rPr>
                <w:rFonts w:hint="eastAsia" w:ascii="宋体" w:hAnsi="宋体" w:eastAsia="宋体" w:cs="宋体"/>
                <w:color w:val="000000"/>
                <w:sz w:val="24"/>
                <w:szCs w:val="24"/>
              </w:rPr>
            </w:pPr>
          </w:p>
        </w:tc>
        <w:tc>
          <w:tcPr>
            <w:tcW w:w="876" w:type="dxa"/>
            <w:noWrap w:val="0"/>
            <w:vAlign w:val="center"/>
          </w:tcPr>
          <w:p w14:paraId="4CF31203">
            <w:pPr>
              <w:jc w:val="center"/>
              <w:rPr>
                <w:rFonts w:hint="eastAsia" w:ascii="宋体" w:hAnsi="宋体" w:eastAsia="宋体" w:cs="宋体"/>
                <w:color w:val="000000"/>
                <w:sz w:val="24"/>
                <w:szCs w:val="24"/>
              </w:rPr>
            </w:pPr>
          </w:p>
        </w:tc>
        <w:tc>
          <w:tcPr>
            <w:tcW w:w="1356" w:type="dxa"/>
            <w:noWrap w:val="0"/>
            <w:vAlign w:val="center"/>
          </w:tcPr>
          <w:p w14:paraId="76D1CE05">
            <w:pPr>
              <w:jc w:val="center"/>
              <w:rPr>
                <w:rFonts w:hint="eastAsia" w:ascii="宋体" w:hAnsi="宋体" w:eastAsia="宋体" w:cs="宋体"/>
                <w:color w:val="000000"/>
                <w:sz w:val="24"/>
                <w:szCs w:val="24"/>
              </w:rPr>
            </w:pPr>
          </w:p>
        </w:tc>
        <w:tc>
          <w:tcPr>
            <w:tcW w:w="876" w:type="dxa"/>
            <w:noWrap w:val="0"/>
            <w:vAlign w:val="center"/>
          </w:tcPr>
          <w:p w14:paraId="78824044">
            <w:pPr>
              <w:jc w:val="center"/>
              <w:rPr>
                <w:rFonts w:hint="eastAsia" w:ascii="宋体" w:hAnsi="宋体" w:eastAsia="宋体" w:cs="宋体"/>
                <w:color w:val="000000"/>
                <w:sz w:val="24"/>
                <w:szCs w:val="24"/>
              </w:rPr>
            </w:pPr>
          </w:p>
        </w:tc>
        <w:tc>
          <w:tcPr>
            <w:tcW w:w="876" w:type="dxa"/>
            <w:noWrap w:val="0"/>
            <w:vAlign w:val="center"/>
          </w:tcPr>
          <w:p w14:paraId="69D626DD">
            <w:pPr>
              <w:jc w:val="center"/>
              <w:rPr>
                <w:rFonts w:hint="eastAsia" w:ascii="宋体" w:hAnsi="宋体" w:eastAsia="宋体" w:cs="宋体"/>
                <w:color w:val="000000"/>
                <w:sz w:val="24"/>
                <w:szCs w:val="24"/>
              </w:rPr>
            </w:pPr>
          </w:p>
        </w:tc>
        <w:tc>
          <w:tcPr>
            <w:tcW w:w="876" w:type="dxa"/>
            <w:noWrap w:val="0"/>
            <w:vAlign w:val="center"/>
          </w:tcPr>
          <w:p w14:paraId="28A9E035">
            <w:pPr>
              <w:jc w:val="center"/>
              <w:rPr>
                <w:rFonts w:hint="eastAsia" w:ascii="宋体" w:hAnsi="宋体" w:eastAsia="宋体" w:cs="宋体"/>
                <w:color w:val="000000"/>
                <w:sz w:val="24"/>
                <w:szCs w:val="24"/>
              </w:rPr>
            </w:pPr>
          </w:p>
        </w:tc>
        <w:tc>
          <w:tcPr>
            <w:tcW w:w="876" w:type="dxa"/>
            <w:noWrap w:val="0"/>
            <w:vAlign w:val="center"/>
          </w:tcPr>
          <w:p w14:paraId="031E8E0E">
            <w:pPr>
              <w:jc w:val="center"/>
              <w:rPr>
                <w:rFonts w:hint="eastAsia" w:ascii="宋体" w:hAnsi="宋体" w:eastAsia="宋体" w:cs="宋体"/>
                <w:color w:val="000000"/>
                <w:sz w:val="24"/>
                <w:szCs w:val="24"/>
              </w:rPr>
            </w:pPr>
          </w:p>
        </w:tc>
      </w:tr>
      <w:tr w14:paraId="679D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6999A794">
            <w:pPr>
              <w:jc w:val="center"/>
              <w:rPr>
                <w:rFonts w:hint="eastAsia" w:ascii="宋体" w:hAnsi="宋体" w:eastAsia="宋体" w:cs="宋体"/>
                <w:color w:val="000000"/>
                <w:sz w:val="24"/>
                <w:szCs w:val="24"/>
              </w:rPr>
            </w:pPr>
          </w:p>
        </w:tc>
        <w:tc>
          <w:tcPr>
            <w:tcW w:w="2076" w:type="dxa"/>
            <w:noWrap w:val="0"/>
            <w:vAlign w:val="center"/>
          </w:tcPr>
          <w:p w14:paraId="33C08E39">
            <w:pPr>
              <w:jc w:val="center"/>
              <w:rPr>
                <w:rFonts w:hint="eastAsia" w:ascii="宋体" w:hAnsi="宋体" w:eastAsia="宋体" w:cs="宋体"/>
                <w:color w:val="000000"/>
                <w:sz w:val="24"/>
                <w:szCs w:val="24"/>
              </w:rPr>
            </w:pPr>
          </w:p>
        </w:tc>
        <w:tc>
          <w:tcPr>
            <w:tcW w:w="1356" w:type="dxa"/>
            <w:noWrap w:val="0"/>
            <w:vAlign w:val="center"/>
          </w:tcPr>
          <w:p w14:paraId="19185F4A">
            <w:pPr>
              <w:jc w:val="center"/>
              <w:rPr>
                <w:rFonts w:hint="eastAsia" w:ascii="宋体" w:hAnsi="宋体" w:eastAsia="宋体" w:cs="宋体"/>
                <w:color w:val="000000"/>
                <w:sz w:val="24"/>
                <w:szCs w:val="24"/>
              </w:rPr>
            </w:pPr>
          </w:p>
        </w:tc>
        <w:tc>
          <w:tcPr>
            <w:tcW w:w="876" w:type="dxa"/>
            <w:noWrap w:val="0"/>
            <w:vAlign w:val="center"/>
          </w:tcPr>
          <w:p w14:paraId="1283849D">
            <w:pPr>
              <w:jc w:val="center"/>
              <w:rPr>
                <w:rFonts w:hint="eastAsia" w:ascii="宋体" w:hAnsi="宋体" w:eastAsia="宋体" w:cs="宋体"/>
                <w:color w:val="000000"/>
                <w:sz w:val="24"/>
                <w:szCs w:val="24"/>
              </w:rPr>
            </w:pPr>
          </w:p>
        </w:tc>
        <w:tc>
          <w:tcPr>
            <w:tcW w:w="1356" w:type="dxa"/>
            <w:noWrap w:val="0"/>
            <w:vAlign w:val="center"/>
          </w:tcPr>
          <w:p w14:paraId="712FEE0D">
            <w:pPr>
              <w:jc w:val="center"/>
              <w:rPr>
                <w:rFonts w:hint="eastAsia" w:ascii="宋体" w:hAnsi="宋体" w:eastAsia="宋体" w:cs="宋体"/>
                <w:color w:val="000000"/>
                <w:sz w:val="24"/>
                <w:szCs w:val="24"/>
              </w:rPr>
            </w:pPr>
          </w:p>
        </w:tc>
        <w:tc>
          <w:tcPr>
            <w:tcW w:w="876" w:type="dxa"/>
            <w:noWrap w:val="0"/>
            <w:vAlign w:val="center"/>
          </w:tcPr>
          <w:p w14:paraId="5F6B93E7">
            <w:pPr>
              <w:jc w:val="center"/>
              <w:rPr>
                <w:rFonts w:hint="eastAsia" w:ascii="宋体" w:hAnsi="宋体" w:eastAsia="宋体" w:cs="宋体"/>
                <w:color w:val="000000"/>
                <w:sz w:val="24"/>
                <w:szCs w:val="24"/>
              </w:rPr>
            </w:pPr>
          </w:p>
        </w:tc>
        <w:tc>
          <w:tcPr>
            <w:tcW w:w="876" w:type="dxa"/>
            <w:noWrap w:val="0"/>
            <w:vAlign w:val="center"/>
          </w:tcPr>
          <w:p w14:paraId="4260CCFA">
            <w:pPr>
              <w:jc w:val="center"/>
              <w:rPr>
                <w:rFonts w:hint="eastAsia" w:ascii="宋体" w:hAnsi="宋体" w:eastAsia="宋体" w:cs="宋体"/>
                <w:color w:val="000000"/>
                <w:sz w:val="24"/>
                <w:szCs w:val="24"/>
              </w:rPr>
            </w:pPr>
          </w:p>
        </w:tc>
        <w:tc>
          <w:tcPr>
            <w:tcW w:w="876" w:type="dxa"/>
            <w:noWrap w:val="0"/>
            <w:vAlign w:val="center"/>
          </w:tcPr>
          <w:p w14:paraId="2E3AC123">
            <w:pPr>
              <w:jc w:val="center"/>
              <w:rPr>
                <w:rFonts w:hint="eastAsia" w:ascii="宋体" w:hAnsi="宋体" w:eastAsia="宋体" w:cs="宋体"/>
                <w:color w:val="000000"/>
                <w:sz w:val="24"/>
                <w:szCs w:val="24"/>
              </w:rPr>
            </w:pPr>
          </w:p>
        </w:tc>
        <w:tc>
          <w:tcPr>
            <w:tcW w:w="876" w:type="dxa"/>
            <w:noWrap w:val="0"/>
            <w:vAlign w:val="center"/>
          </w:tcPr>
          <w:p w14:paraId="32783E91">
            <w:pPr>
              <w:jc w:val="center"/>
              <w:rPr>
                <w:rFonts w:hint="eastAsia" w:ascii="宋体" w:hAnsi="宋体" w:eastAsia="宋体" w:cs="宋体"/>
                <w:color w:val="000000"/>
                <w:sz w:val="24"/>
                <w:szCs w:val="24"/>
              </w:rPr>
            </w:pPr>
          </w:p>
        </w:tc>
      </w:tr>
      <w:tr w14:paraId="4E5D6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2B8CD944">
            <w:pPr>
              <w:jc w:val="center"/>
              <w:rPr>
                <w:rFonts w:hint="eastAsia" w:ascii="宋体" w:hAnsi="宋体" w:eastAsia="宋体" w:cs="宋体"/>
                <w:color w:val="000000"/>
                <w:sz w:val="24"/>
                <w:szCs w:val="24"/>
              </w:rPr>
            </w:pPr>
          </w:p>
        </w:tc>
        <w:tc>
          <w:tcPr>
            <w:tcW w:w="2076" w:type="dxa"/>
            <w:noWrap w:val="0"/>
            <w:vAlign w:val="center"/>
          </w:tcPr>
          <w:p w14:paraId="52009E7A">
            <w:pPr>
              <w:jc w:val="center"/>
              <w:rPr>
                <w:rFonts w:hint="eastAsia" w:ascii="宋体" w:hAnsi="宋体" w:eastAsia="宋体" w:cs="宋体"/>
                <w:color w:val="000000"/>
                <w:sz w:val="24"/>
                <w:szCs w:val="24"/>
              </w:rPr>
            </w:pPr>
          </w:p>
        </w:tc>
        <w:tc>
          <w:tcPr>
            <w:tcW w:w="1356" w:type="dxa"/>
            <w:noWrap w:val="0"/>
            <w:vAlign w:val="center"/>
          </w:tcPr>
          <w:p w14:paraId="61CDB354">
            <w:pPr>
              <w:jc w:val="center"/>
              <w:rPr>
                <w:rFonts w:hint="eastAsia" w:ascii="宋体" w:hAnsi="宋体" w:eastAsia="宋体" w:cs="宋体"/>
                <w:color w:val="000000"/>
                <w:sz w:val="24"/>
                <w:szCs w:val="24"/>
              </w:rPr>
            </w:pPr>
          </w:p>
        </w:tc>
        <w:tc>
          <w:tcPr>
            <w:tcW w:w="876" w:type="dxa"/>
            <w:noWrap w:val="0"/>
            <w:vAlign w:val="center"/>
          </w:tcPr>
          <w:p w14:paraId="3E058397">
            <w:pPr>
              <w:jc w:val="center"/>
              <w:rPr>
                <w:rFonts w:hint="eastAsia" w:ascii="宋体" w:hAnsi="宋体" w:eastAsia="宋体" w:cs="宋体"/>
                <w:color w:val="000000"/>
                <w:sz w:val="24"/>
                <w:szCs w:val="24"/>
              </w:rPr>
            </w:pPr>
          </w:p>
        </w:tc>
        <w:tc>
          <w:tcPr>
            <w:tcW w:w="1356" w:type="dxa"/>
            <w:noWrap w:val="0"/>
            <w:vAlign w:val="center"/>
          </w:tcPr>
          <w:p w14:paraId="3D52E0D2">
            <w:pPr>
              <w:jc w:val="center"/>
              <w:rPr>
                <w:rFonts w:hint="eastAsia" w:ascii="宋体" w:hAnsi="宋体" w:eastAsia="宋体" w:cs="宋体"/>
                <w:color w:val="000000"/>
                <w:sz w:val="24"/>
                <w:szCs w:val="24"/>
              </w:rPr>
            </w:pPr>
          </w:p>
        </w:tc>
        <w:tc>
          <w:tcPr>
            <w:tcW w:w="876" w:type="dxa"/>
            <w:noWrap w:val="0"/>
            <w:vAlign w:val="center"/>
          </w:tcPr>
          <w:p w14:paraId="3C2AE4EC">
            <w:pPr>
              <w:jc w:val="center"/>
              <w:rPr>
                <w:rFonts w:hint="eastAsia" w:ascii="宋体" w:hAnsi="宋体" w:eastAsia="宋体" w:cs="宋体"/>
                <w:color w:val="000000"/>
                <w:sz w:val="24"/>
                <w:szCs w:val="24"/>
              </w:rPr>
            </w:pPr>
          </w:p>
        </w:tc>
        <w:tc>
          <w:tcPr>
            <w:tcW w:w="876" w:type="dxa"/>
            <w:noWrap w:val="0"/>
            <w:vAlign w:val="center"/>
          </w:tcPr>
          <w:p w14:paraId="21093CA2">
            <w:pPr>
              <w:jc w:val="center"/>
              <w:rPr>
                <w:rFonts w:hint="eastAsia" w:ascii="宋体" w:hAnsi="宋体" w:eastAsia="宋体" w:cs="宋体"/>
                <w:color w:val="000000"/>
                <w:sz w:val="24"/>
                <w:szCs w:val="24"/>
              </w:rPr>
            </w:pPr>
          </w:p>
        </w:tc>
        <w:tc>
          <w:tcPr>
            <w:tcW w:w="876" w:type="dxa"/>
            <w:noWrap w:val="0"/>
            <w:vAlign w:val="center"/>
          </w:tcPr>
          <w:p w14:paraId="77C41115">
            <w:pPr>
              <w:jc w:val="center"/>
              <w:rPr>
                <w:rFonts w:hint="eastAsia" w:ascii="宋体" w:hAnsi="宋体" w:eastAsia="宋体" w:cs="宋体"/>
                <w:color w:val="000000"/>
                <w:sz w:val="24"/>
                <w:szCs w:val="24"/>
              </w:rPr>
            </w:pPr>
          </w:p>
        </w:tc>
        <w:tc>
          <w:tcPr>
            <w:tcW w:w="876" w:type="dxa"/>
            <w:noWrap w:val="0"/>
            <w:vAlign w:val="center"/>
          </w:tcPr>
          <w:p w14:paraId="005C5E7F">
            <w:pPr>
              <w:jc w:val="center"/>
              <w:rPr>
                <w:rFonts w:hint="eastAsia" w:ascii="宋体" w:hAnsi="宋体" w:eastAsia="宋体" w:cs="宋体"/>
                <w:color w:val="000000"/>
                <w:sz w:val="24"/>
                <w:szCs w:val="24"/>
              </w:rPr>
            </w:pPr>
          </w:p>
        </w:tc>
      </w:tr>
      <w:tr w14:paraId="79BDB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3C9293B2">
            <w:pPr>
              <w:jc w:val="center"/>
              <w:rPr>
                <w:rFonts w:hint="eastAsia" w:ascii="宋体" w:hAnsi="宋体" w:eastAsia="宋体" w:cs="宋体"/>
                <w:color w:val="000000"/>
                <w:sz w:val="24"/>
                <w:szCs w:val="24"/>
              </w:rPr>
            </w:pPr>
          </w:p>
        </w:tc>
        <w:tc>
          <w:tcPr>
            <w:tcW w:w="2076" w:type="dxa"/>
            <w:noWrap w:val="0"/>
            <w:vAlign w:val="center"/>
          </w:tcPr>
          <w:p w14:paraId="167D7A16">
            <w:pPr>
              <w:jc w:val="center"/>
              <w:rPr>
                <w:rFonts w:hint="eastAsia" w:ascii="宋体" w:hAnsi="宋体" w:eastAsia="宋体" w:cs="宋体"/>
                <w:color w:val="000000"/>
                <w:sz w:val="24"/>
                <w:szCs w:val="24"/>
              </w:rPr>
            </w:pPr>
          </w:p>
        </w:tc>
        <w:tc>
          <w:tcPr>
            <w:tcW w:w="1356" w:type="dxa"/>
            <w:noWrap w:val="0"/>
            <w:vAlign w:val="center"/>
          </w:tcPr>
          <w:p w14:paraId="0448A84D">
            <w:pPr>
              <w:jc w:val="center"/>
              <w:rPr>
                <w:rFonts w:hint="eastAsia" w:ascii="宋体" w:hAnsi="宋体" w:eastAsia="宋体" w:cs="宋体"/>
                <w:color w:val="000000"/>
                <w:sz w:val="24"/>
                <w:szCs w:val="24"/>
              </w:rPr>
            </w:pPr>
          </w:p>
        </w:tc>
        <w:tc>
          <w:tcPr>
            <w:tcW w:w="876" w:type="dxa"/>
            <w:noWrap w:val="0"/>
            <w:vAlign w:val="center"/>
          </w:tcPr>
          <w:p w14:paraId="4A45634C">
            <w:pPr>
              <w:jc w:val="center"/>
              <w:rPr>
                <w:rFonts w:hint="eastAsia" w:ascii="宋体" w:hAnsi="宋体" w:eastAsia="宋体" w:cs="宋体"/>
                <w:color w:val="000000"/>
                <w:sz w:val="24"/>
                <w:szCs w:val="24"/>
              </w:rPr>
            </w:pPr>
          </w:p>
        </w:tc>
        <w:tc>
          <w:tcPr>
            <w:tcW w:w="1356" w:type="dxa"/>
            <w:noWrap w:val="0"/>
            <w:vAlign w:val="center"/>
          </w:tcPr>
          <w:p w14:paraId="0F018D78">
            <w:pPr>
              <w:jc w:val="center"/>
              <w:rPr>
                <w:rFonts w:hint="eastAsia" w:ascii="宋体" w:hAnsi="宋体" w:eastAsia="宋体" w:cs="宋体"/>
                <w:color w:val="000000"/>
                <w:sz w:val="24"/>
                <w:szCs w:val="24"/>
              </w:rPr>
            </w:pPr>
          </w:p>
        </w:tc>
        <w:tc>
          <w:tcPr>
            <w:tcW w:w="876" w:type="dxa"/>
            <w:noWrap w:val="0"/>
            <w:vAlign w:val="center"/>
          </w:tcPr>
          <w:p w14:paraId="2FB1417E">
            <w:pPr>
              <w:jc w:val="center"/>
              <w:rPr>
                <w:rFonts w:hint="eastAsia" w:ascii="宋体" w:hAnsi="宋体" w:eastAsia="宋体" w:cs="宋体"/>
                <w:color w:val="000000"/>
                <w:sz w:val="24"/>
                <w:szCs w:val="24"/>
              </w:rPr>
            </w:pPr>
          </w:p>
        </w:tc>
        <w:tc>
          <w:tcPr>
            <w:tcW w:w="876" w:type="dxa"/>
            <w:noWrap w:val="0"/>
            <w:vAlign w:val="center"/>
          </w:tcPr>
          <w:p w14:paraId="57F60DB4">
            <w:pPr>
              <w:jc w:val="center"/>
              <w:rPr>
                <w:rFonts w:hint="eastAsia" w:ascii="宋体" w:hAnsi="宋体" w:eastAsia="宋体" w:cs="宋体"/>
                <w:color w:val="000000"/>
                <w:sz w:val="24"/>
                <w:szCs w:val="24"/>
              </w:rPr>
            </w:pPr>
          </w:p>
        </w:tc>
        <w:tc>
          <w:tcPr>
            <w:tcW w:w="876" w:type="dxa"/>
            <w:noWrap w:val="0"/>
            <w:vAlign w:val="center"/>
          </w:tcPr>
          <w:p w14:paraId="21AE019B">
            <w:pPr>
              <w:jc w:val="center"/>
              <w:rPr>
                <w:rFonts w:hint="eastAsia" w:ascii="宋体" w:hAnsi="宋体" w:eastAsia="宋体" w:cs="宋体"/>
                <w:color w:val="000000"/>
                <w:sz w:val="24"/>
                <w:szCs w:val="24"/>
              </w:rPr>
            </w:pPr>
          </w:p>
        </w:tc>
        <w:tc>
          <w:tcPr>
            <w:tcW w:w="876" w:type="dxa"/>
            <w:noWrap w:val="0"/>
            <w:vAlign w:val="center"/>
          </w:tcPr>
          <w:p w14:paraId="704FFAB1">
            <w:pPr>
              <w:jc w:val="center"/>
              <w:rPr>
                <w:rFonts w:hint="eastAsia" w:ascii="宋体" w:hAnsi="宋体" w:eastAsia="宋体" w:cs="宋体"/>
                <w:color w:val="000000"/>
                <w:sz w:val="24"/>
                <w:szCs w:val="24"/>
              </w:rPr>
            </w:pPr>
          </w:p>
        </w:tc>
      </w:tr>
      <w:tr w14:paraId="2A89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2E0832EA">
            <w:pPr>
              <w:jc w:val="center"/>
              <w:rPr>
                <w:rFonts w:hint="eastAsia" w:ascii="宋体" w:hAnsi="宋体" w:eastAsia="宋体" w:cs="宋体"/>
                <w:color w:val="000000"/>
                <w:sz w:val="24"/>
                <w:szCs w:val="24"/>
              </w:rPr>
            </w:pPr>
          </w:p>
        </w:tc>
        <w:tc>
          <w:tcPr>
            <w:tcW w:w="2076" w:type="dxa"/>
            <w:noWrap w:val="0"/>
            <w:vAlign w:val="center"/>
          </w:tcPr>
          <w:p w14:paraId="6F312518">
            <w:pPr>
              <w:jc w:val="center"/>
              <w:rPr>
                <w:rFonts w:hint="eastAsia" w:ascii="宋体" w:hAnsi="宋体" w:eastAsia="宋体" w:cs="宋体"/>
                <w:color w:val="000000"/>
                <w:sz w:val="24"/>
                <w:szCs w:val="24"/>
              </w:rPr>
            </w:pPr>
          </w:p>
        </w:tc>
        <w:tc>
          <w:tcPr>
            <w:tcW w:w="1356" w:type="dxa"/>
            <w:noWrap w:val="0"/>
            <w:vAlign w:val="center"/>
          </w:tcPr>
          <w:p w14:paraId="534AD5B4">
            <w:pPr>
              <w:jc w:val="center"/>
              <w:rPr>
                <w:rFonts w:hint="eastAsia" w:ascii="宋体" w:hAnsi="宋体" w:eastAsia="宋体" w:cs="宋体"/>
                <w:color w:val="000000"/>
                <w:sz w:val="24"/>
                <w:szCs w:val="24"/>
              </w:rPr>
            </w:pPr>
          </w:p>
        </w:tc>
        <w:tc>
          <w:tcPr>
            <w:tcW w:w="876" w:type="dxa"/>
            <w:noWrap w:val="0"/>
            <w:vAlign w:val="center"/>
          </w:tcPr>
          <w:p w14:paraId="08DBD236">
            <w:pPr>
              <w:jc w:val="center"/>
              <w:rPr>
                <w:rFonts w:hint="eastAsia" w:ascii="宋体" w:hAnsi="宋体" w:eastAsia="宋体" w:cs="宋体"/>
                <w:color w:val="000000"/>
                <w:sz w:val="24"/>
                <w:szCs w:val="24"/>
              </w:rPr>
            </w:pPr>
          </w:p>
        </w:tc>
        <w:tc>
          <w:tcPr>
            <w:tcW w:w="1356" w:type="dxa"/>
            <w:noWrap w:val="0"/>
            <w:vAlign w:val="center"/>
          </w:tcPr>
          <w:p w14:paraId="5DDB5167">
            <w:pPr>
              <w:jc w:val="center"/>
              <w:rPr>
                <w:rFonts w:hint="eastAsia" w:ascii="宋体" w:hAnsi="宋体" w:eastAsia="宋体" w:cs="宋体"/>
                <w:color w:val="000000"/>
                <w:sz w:val="24"/>
                <w:szCs w:val="24"/>
              </w:rPr>
            </w:pPr>
          </w:p>
        </w:tc>
        <w:tc>
          <w:tcPr>
            <w:tcW w:w="876" w:type="dxa"/>
            <w:noWrap w:val="0"/>
            <w:vAlign w:val="center"/>
          </w:tcPr>
          <w:p w14:paraId="2E95A40C">
            <w:pPr>
              <w:jc w:val="center"/>
              <w:rPr>
                <w:rFonts w:hint="eastAsia" w:ascii="宋体" w:hAnsi="宋体" w:eastAsia="宋体" w:cs="宋体"/>
                <w:color w:val="000000"/>
                <w:sz w:val="24"/>
                <w:szCs w:val="24"/>
              </w:rPr>
            </w:pPr>
          </w:p>
        </w:tc>
        <w:tc>
          <w:tcPr>
            <w:tcW w:w="876" w:type="dxa"/>
            <w:noWrap w:val="0"/>
            <w:vAlign w:val="center"/>
          </w:tcPr>
          <w:p w14:paraId="0D7F0A79">
            <w:pPr>
              <w:jc w:val="center"/>
              <w:rPr>
                <w:rFonts w:hint="eastAsia" w:ascii="宋体" w:hAnsi="宋体" w:eastAsia="宋体" w:cs="宋体"/>
                <w:color w:val="000000"/>
                <w:sz w:val="24"/>
                <w:szCs w:val="24"/>
              </w:rPr>
            </w:pPr>
          </w:p>
        </w:tc>
        <w:tc>
          <w:tcPr>
            <w:tcW w:w="876" w:type="dxa"/>
            <w:noWrap w:val="0"/>
            <w:vAlign w:val="center"/>
          </w:tcPr>
          <w:p w14:paraId="168037B2">
            <w:pPr>
              <w:jc w:val="center"/>
              <w:rPr>
                <w:rFonts w:hint="eastAsia" w:ascii="宋体" w:hAnsi="宋体" w:eastAsia="宋体" w:cs="宋体"/>
                <w:color w:val="000000"/>
                <w:sz w:val="24"/>
                <w:szCs w:val="24"/>
              </w:rPr>
            </w:pPr>
          </w:p>
        </w:tc>
        <w:tc>
          <w:tcPr>
            <w:tcW w:w="876" w:type="dxa"/>
            <w:noWrap w:val="0"/>
            <w:vAlign w:val="center"/>
          </w:tcPr>
          <w:p w14:paraId="0F5EE9F4">
            <w:pPr>
              <w:jc w:val="center"/>
              <w:rPr>
                <w:rFonts w:hint="eastAsia" w:ascii="宋体" w:hAnsi="宋体" w:eastAsia="宋体" w:cs="宋体"/>
                <w:color w:val="000000"/>
                <w:sz w:val="24"/>
                <w:szCs w:val="24"/>
              </w:rPr>
            </w:pPr>
          </w:p>
        </w:tc>
      </w:tr>
      <w:tr w14:paraId="13B9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6A92D0F3">
            <w:pPr>
              <w:jc w:val="center"/>
              <w:rPr>
                <w:rFonts w:hint="eastAsia" w:ascii="宋体" w:hAnsi="宋体" w:eastAsia="宋体" w:cs="宋体"/>
                <w:color w:val="000000"/>
                <w:sz w:val="24"/>
                <w:szCs w:val="24"/>
              </w:rPr>
            </w:pPr>
          </w:p>
        </w:tc>
        <w:tc>
          <w:tcPr>
            <w:tcW w:w="2076" w:type="dxa"/>
            <w:noWrap w:val="0"/>
            <w:vAlign w:val="center"/>
          </w:tcPr>
          <w:p w14:paraId="2CA34679">
            <w:pPr>
              <w:jc w:val="center"/>
              <w:rPr>
                <w:rFonts w:hint="eastAsia" w:ascii="宋体" w:hAnsi="宋体" w:eastAsia="宋体" w:cs="宋体"/>
                <w:color w:val="000000"/>
                <w:sz w:val="24"/>
                <w:szCs w:val="24"/>
              </w:rPr>
            </w:pPr>
          </w:p>
        </w:tc>
        <w:tc>
          <w:tcPr>
            <w:tcW w:w="1356" w:type="dxa"/>
            <w:noWrap w:val="0"/>
            <w:vAlign w:val="center"/>
          </w:tcPr>
          <w:p w14:paraId="79894137">
            <w:pPr>
              <w:jc w:val="center"/>
              <w:rPr>
                <w:rFonts w:hint="eastAsia" w:ascii="宋体" w:hAnsi="宋体" w:eastAsia="宋体" w:cs="宋体"/>
                <w:color w:val="000000"/>
                <w:sz w:val="24"/>
                <w:szCs w:val="24"/>
              </w:rPr>
            </w:pPr>
          </w:p>
        </w:tc>
        <w:tc>
          <w:tcPr>
            <w:tcW w:w="876" w:type="dxa"/>
            <w:noWrap w:val="0"/>
            <w:vAlign w:val="center"/>
          </w:tcPr>
          <w:p w14:paraId="21195EB3">
            <w:pPr>
              <w:jc w:val="center"/>
              <w:rPr>
                <w:rFonts w:hint="eastAsia" w:ascii="宋体" w:hAnsi="宋体" w:eastAsia="宋体" w:cs="宋体"/>
                <w:color w:val="000000"/>
                <w:sz w:val="24"/>
                <w:szCs w:val="24"/>
              </w:rPr>
            </w:pPr>
          </w:p>
        </w:tc>
        <w:tc>
          <w:tcPr>
            <w:tcW w:w="1356" w:type="dxa"/>
            <w:noWrap w:val="0"/>
            <w:vAlign w:val="center"/>
          </w:tcPr>
          <w:p w14:paraId="6081741C">
            <w:pPr>
              <w:jc w:val="center"/>
              <w:rPr>
                <w:rFonts w:hint="eastAsia" w:ascii="宋体" w:hAnsi="宋体" w:eastAsia="宋体" w:cs="宋体"/>
                <w:color w:val="000000"/>
                <w:sz w:val="24"/>
                <w:szCs w:val="24"/>
              </w:rPr>
            </w:pPr>
          </w:p>
        </w:tc>
        <w:tc>
          <w:tcPr>
            <w:tcW w:w="876" w:type="dxa"/>
            <w:noWrap w:val="0"/>
            <w:vAlign w:val="center"/>
          </w:tcPr>
          <w:p w14:paraId="17950D5B">
            <w:pPr>
              <w:jc w:val="center"/>
              <w:rPr>
                <w:rFonts w:hint="eastAsia" w:ascii="宋体" w:hAnsi="宋体" w:eastAsia="宋体" w:cs="宋体"/>
                <w:color w:val="000000"/>
                <w:sz w:val="24"/>
                <w:szCs w:val="24"/>
              </w:rPr>
            </w:pPr>
          </w:p>
        </w:tc>
        <w:tc>
          <w:tcPr>
            <w:tcW w:w="876" w:type="dxa"/>
            <w:noWrap w:val="0"/>
            <w:vAlign w:val="center"/>
          </w:tcPr>
          <w:p w14:paraId="2173CD36">
            <w:pPr>
              <w:jc w:val="center"/>
              <w:rPr>
                <w:rFonts w:hint="eastAsia" w:ascii="宋体" w:hAnsi="宋体" w:eastAsia="宋体" w:cs="宋体"/>
                <w:color w:val="000000"/>
                <w:sz w:val="24"/>
                <w:szCs w:val="24"/>
              </w:rPr>
            </w:pPr>
          </w:p>
        </w:tc>
        <w:tc>
          <w:tcPr>
            <w:tcW w:w="876" w:type="dxa"/>
            <w:noWrap w:val="0"/>
            <w:vAlign w:val="center"/>
          </w:tcPr>
          <w:p w14:paraId="0E2CABE6">
            <w:pPr>
              <w:jc w:val="center"/>
              <w:rPr>
                <w:rFonts w:hint="eastAsia" w:ascii="宋体" w:hAnsi="宋体" w:eastAsia="宋体" w:cs="宋体"/>
                <w:color w:val="000000"/>
                <w:sz w:val="24"/>
                <w:szCs w:val="24"/>
              </w:rPr>
            </w:pPr>
          </w:p>
        </w:tc>
        <w:tc>
          <w:tcPr>
            <w:tcW w:w="876" w:type="dxa"/>
            <w:noWrap w:val="0"/>
            <w:vAlign w:val="center"/>
          </w:tcPr>
          <w:p w14:paraId="01E80A5C">
            <w:pPr>
              <w:jc w:val="center"/>
              <w:rPr>
                <w:rFonts w:hint="eastAsia" w:ascii="宋体" w:hAnsi="宋体" w:eastAsia="宋体" w:cs="宋体"/>
                <w:color w:val="000000"/>
                <w:sz w:val="24"/>
                <w:szCs w:val="24"/>
              </w:rPr>
            </w:pPr>
          </w:p>
        </w:tc>
      </w:tr>
      <w:tr w14:paraId="11B6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0A1AAE5E">
            <w:pPr>
              <w:jc w:val="center"/>
              <w:rPr>
                <w:rFonts w:hint="eastAsia" w:ascii="宋体" w:hAnsi="宋体" w:eastAsia="宋体" w:cs="宋体"/>
                <w:color w:val="000000"/>
                <w:sz w:val="24"/>
                <w:szCs w:val="24"/>
              </w:rPr>
            </w:pPr>
          </w:p>
        </w:tc>
        <w:tc>
          <w:tcPr>
            <w:tcW w:w="2076" w:type="dxa"/>
            <w:noWrap w:val="0"/>
            <w:vAlign w:val="center"/>
          </w:tcPr>
          <w:p w14:paraId="10F5324D">
            <w:pPr>
              <w:jc w:val="center"/>
              <w:rPr>
                <w:rFonts w:hint="eastAsia" w:ascii="宋体" w:hAnsi="宋体" w:eastAsia="宋体" w:cs="宋体"/>
                <w:color w:val="000000"/>
                <w:sz w:val="24"/>
                <w:szCs w:val="24"/>
              </w:rPr>
            </w:pPr>
          </w:p>
        </w:tc>
        <w:tc>
          <w:tcPr>
            <w:tcW w:w="1356" w:type="dxa"/>
            <w:noWrap w:val="0"/>
            <w:vAlign w:val="center"/>
          </w:tcPr>
          <w:p w14:paraId="51F40F89">
            <w:pPr>
              <w:jc w:val="center"/>
              <w:rPr>
                <w:rFonts w:hint="eastAsia" w:ascii="宋体" w:hAnsi="宋体" w:eastAsia="宋体" w:cs="宋体"/>
                <w:color w:val="000000"/>
                <w:sz w:val="24"/>
                <w:szCs w:val="24"/>
              </w:rPr>
            </w:pPr>
          </w:p>
        </w:tc>
        <w:tc>
          <w:tcPr>
            <w:tcW w:w="876" w:type="dxa"/>
            <w:noWrap w:val="0"/>
            <w:vAlign w:val="center"/>
          </w:tcPr>
          <w:p w14:paraId="17B33EEC">
            <w:pPr>
              <w:jc w:val="center"/>
              <w:rPr>
                <w:rFonts w:hint="eastAsia" w:ascii="宋体" w:hAnsi="宋体" w:eastAsia="宋体" w:cs="宋体"/>
                <w:color w:val="000000"/>
                <w:sz w:val="24"/>
                <w:szCs w:val="24"/>
              </w:rPr>
            </w:pPr>
          </w:p>
        </w:tc>
        <w:tc>
          <w:tcPr>
            <w:tcW w:w="1356" w:type="dxa"/>
            <w:noWrap w:val="0"/>
            <w:vAlign w:val="center"/>
          </w:tcPr>
          <w:p w14:paraId="375ADCCE">
            <w:pPr>
              <w:jc w:val="center"/>
              <w:rPr>
                <w:rFonts w:hint="eastAsia" w:ascii="宋体" w:hAnsi="宋体" w:eastAsia="宋体" w:cs="宋体"/>
                <w:color w:val="000000"/>
                <w:sz w:val="24"/>
                <w:szCs w:val="24"/>
              </w:rPr>
            </w:pPr>
          </w:p>
        </w:tc>
        <w:tc>
          <w:tcPr>
            <w:tcW w:w="876" w:type="dxa"/>
            <w:noWrap w:val="0"/>
            <w:vAlign w:val="center"/>
          </w:tcPr>
          <w:p w14:paraId="69858F7D">
            <w:pPr>
              <w:jc w:val="center"/>
              <w:rPr>
                <w:rFonts w:hint="eastAsia" w:ascii="宋体" w:hAnsi="宋体" w:eastAsia="宋体" w:cs="宋体"/>
                <w:color w:val="000000"/>
                <w:sz w:val="24"/>
                <w:szCs w:val="24"/>
              </w:rPr>
            </w:pPr>
          </w:p>
        </w:tc>
        <w:tc>
          <w:tcPr>
            <w:tcW w:w="876" w:type="dxa"/>
            <w:noWrap w:val="0"/>
            <w:vAlign w:val="center"/>
          </w:tcPr>
          <w:p w14:paraId="3527B9F1">
            <w:pPr>
              <w:jc w:val="center"/>
              <w:rPr>
                <w:rFonts w:hint="eastAsia" w:ascii="宋体" w:hAnsi="宋体" w:eastAsia="宋体" w:cs="宋体"/>
                <w:color w:val="000000"/>
                <w:sz w:val="24"/>
                <w:szCs w:val="24"/>
              </w:rPr>
            </w:pPr>
          </w:p>
        </w:tc>
        <w:tc>
          <w:tcPr>
            <w:tcW w:w="876" w:type="dxa"/>
            <w:noWrap w:val="0"/>
            <w:vAlign w:val="center"/>
          </w:tcPr>
          <w:p w14:paraId="562E6C7D">
            <w:pPr>
              <w:jc w:val="center"/>
              <w:rPr>
                <w:rFonts w:hint="eastAsia" w:ascii="宋体" w:hAnsi="宋体" w:eastAsia="宋体" w:cs="宋体"/>
                <w:color w:val="000000"/>
                <w:sz w:val="24"/>
                <w:szCs w:val="24"/>
              </w:rPr>
            </w:pPr>
          </w:p>
        </w:tc>
        <w:tc>
          <w:tcPr>
            <w:tcW w:w="876" w:type="dxa"/>
            <w:noWrap w:val="0"/>
            <w:vAlign w:val="center"/>
          </w:tcPr>
          <w:p w14:paraId="77E88E9C">
            <w:pPr>
              <w:jc w:val="center"/>
              <w:rPr>
                <w:rFonts w:hint="eastAsia" w:ascii="宋体" w:hAnsi="宋体" w:eastAsia="宋体" w:cs="宋体"/>
                <w:color w:val="000000"/>
                <w:sz w:val="24"/>
                <w:szCs w:val="24"/>
              </w:rPr>
            </w:pPr>
          </w:p>
        </w:tc>
      </w:tr>
      <w:tr w14:paraId="4D5B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2FDE1A16">
            <w:pPr>
              <w:jc w:val="center"/>
              <w:rPr>
                <w:rFonts w:hint="eastAsia" w:ascii="宋体" w:hAnsi="宋体" w:eastAsia="宋体" w:cs="宋体"/>
                <w:color w:val="000000"/>
                <w:sz w:val="24"/>
                <w:szCs w:val="24"/>
              </w:rPr>
            </w:pPr>
          </w:p>
        </w:tc>
        <w:tc>
          <w:tcPr>
            <w:tcW w:w="2076" w:type="dxa"/>
            <w:noWrap w:val="0"/>
            <w:vAlign w:val="center"/>
          </w:tcPr>
          <w:p w14:paraId="177CFD8D">
            <w:pPr>
              <w:jc w:val="center"/>
              <w:rPr>
                <w:rFonts w:hint="eastAsia" w:ascii="宋体" w:hAnsi="宋体" w:eastAsia="宋体" w:cs="宋体"/>
                <w:color w:val="000000"/>
                <w:sz w:val="24"/>
                <w:szCs w:val="24"/>
              </w:rPr>
            </w:pPr>
          </w:p>
        </w:tc>
        <w:tc>
          <w:tcPr>
            <w:tcW w:w="1356" w:type="dxa"/>
            <w:noWrap w:val="0"/>
            <w:vAlign w:val="center"/>
          </w:tcPr>
          <w:p w14:paraId="24F0DBD1">
            <w:pPr>
              <w:jc w:val="center"/>
              <w:rPr>
                <w:rFonts w:hint="eastAsia" w:ascii="宋体" w:hAnsi="宋体" w:eastAsia="宋体" w:cs="宋体"/>
                <w:color w:val="000000"/>
                <w:sz w:val="24"/>
                <w:szCs w:val="24"/>
              </w:rPr>
            </w:pPr>
          </w:p>
        </w:tc>
        <w:tc>
          <w:tcPr>
            <w:tcW w:w="876" w:type="dxa"/>
            <w:noWrap w:val="0"/>
            <w:vAlign w:val="center"/>
          </w:tcPr>
          <w:p w14:paraId="789F7D22">
            <w:pPr>
              <w:jc w:val="center"/>
              <w:rPr>
                <w:rFonts w:hint="eastAsia" w:ascii="宋体" w:hAnsi="宋体" w:eastAsia="宋体" w:cs="宋体"/>
                <w:color w:val="000000"/>
                <w:sz w:val="24"/>
                <w:szCs w:val="24"/>
              </w:rPr>
            </w:pPr>
          </w:p>
        </w:tc>
        <w:tc>
          <w:tcPr>
            <w:tcW w:w="1356" w:type="dxa"/>
            <w:noWrap w:val="0"/>
            <w:vAlign w:val="center"/>
          </w:tcPr>
          <w:p w14:paraId="5E2B2C33">
            <w:pPr>
              <w:jc w:val="center"/>
              <w:rPr>
                <w:rFonts w:hint="eastAsia" w:ascii="宋体" w:hAnsi="宋体" w:eastAsia="宋体" w:cs="宋体"/>
                <w:color w:val="000000"/>
                <w:sz w:val="24"/>
                <w:szCs w:val="24"/>
              </w:rPr>
            </w:pPr>
          </w:p>
        </w:tc>
        <w:tc>
          <w:tcPr>
            <w:tcW w:w="876" w:type="dxa"/>
            <w:noWrap w:val="0"/>
            <w:vAlign w:val="center"/>
          </w:tcPr>
          <w:p w14:paraId="7C177FBB">
            <w:pPr>
              <w:jc w:val="center"/>
              <w:rPr>
                <w:rFonts w:hint="eastAsia" w:ascii="宋体" w:hAnsi="宋体" w:eastAsia="宋体" w:cs="宋体"/>
                <w:color w:val="000000"/>
                <w:sz w:val="24"/>
                <w:szCs w:val="24"/>
              </w:rPr>
            </w:pPr>
          </w:p>
        </w:tc>
        <w:tc>
          <w:tcPr>
            <w:tcW w:w="876" w:type="dxa"/>
            <w:noWrap w:val="0"/>
            <w:vAlign w:val="center"/>
          </w:tcPr>
          <w:p w14:paraId="55EE8AA4">
            <w:pPr>
              <w:jc w:val="center"/>
              <w:rPr>
                <w:rFonts w:hint="eastAsia" w:ascii="宋体" w:hAnsi="宋体" w:eastAsia="宋体" w:cs="宋体"/>
                <w:color w:val="000000"/>
                <w:sz w:val="24"/>
                <w:szCs w:val="24"/>
              </w:rPr>
            </w:pPr>
          </w:p>
        </w:tc>
        <w:tc>
          <w:tcPr>
            <w:tcW w:w="876" w:type="dxa"/>
            <w:noWrap w:val="0"/>
            <w:vAlign w:val="center"/>
          </w:tcPr>
          <w:p w14:paraId="25E80C17">
            <w:pPr>
              <w:jc w:val="center"/>
              <w:rPr>
                <w:rFonts w:hint="eastAsia" w:ascii="宋体" w:hAnsi="宋体" w:eastAsia="宋体" w:cs="宋体"/>
                <w:color w:val="000000"/>
                <w:sz w:val="24"/>
                <w:szCs w:val="24"/>
              </w:rPr>
            </w:pPr>
          </w:p>
        </w:tc>
        <w:tc>
          <w:tcPr>
            <w:tcW w:w="876" w:type="dxa"/>
            <w:noWrap w:val="0"/>
            <w:vAlign w:val="center"/>
          </w:tcPr>
          <w:p w14:paraId="4EBFE2CE">
            <w:pPr>
              <w:jc w:val="center"/>
              <w:rPr>
                <w:rFonts w:hint="eastAsia" w:ascii="宋体" w:hAnsi="宋体" w:eastAsia="宋体" w:cs="宋体"/>
                <w:color w:val="000000"/>
                <w:sz w:val="24"/>
                <w:szCs w:val="24"/>
              </w:rPr>
            </w:pPr>
          </w:p>
        </w:tc>
      </w:tr>
      <w:tr w14:paraId="4826A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40298940">
            <w:pPr>
              <w:jc w:val="center"/>
              <w:rPr>
                <w:rFonts w:hint="eastAsia" w:ascii="宋体" w:hAnsi="宋体" w:eastAsia="宋体" w:cs="宋体"/>
                <w:color w:val="000000"/>
                <w:sz w:val="24"/>
                <w:szCs w:val="24"/>
              </w:rPr>
            </w:pPr>
          </w:p>
        </w:tc>
        <w:tc>
          <w:tcPr>
            <w:tcW w:w="2076" w:type="dxa"/>
            <w:noWrap w:val="0"/>
            <w:vAlign w:val="center"/>
          </w:tcPr>
          <w:p w14:paraId="76230E34">
            <w:pPr>
              <w:jc w:val="center"/>
              <w:rPr>
                <w:rFonts w:hint="eastAsia" w:ascii="宋体" w:hAnsi="宋体" w:eastAsia="宋体" w:cs="宋体"/>
                <w:color w:val="000000"/>
                <w:sz w:val="24"/>
                <w:szCs w:val="24"/>
              </w:rPr>
            </w:pPr>
          </w:p>
        </w:tc>
        <w:tc>
          <w:tcPr>
            <w:tcW w:w="1356" w:type="dxa"/>
            <w:noWrap w:val="0"/>
            <w:vAlign w:val="center"/>
          </w:tcPr>
          <w:p w14:paraId="7EE1A146">
            <w:pPr>
              <w:jc w:val="center"/>
              <w:rPr>
                <w:rFonts w:hint="eastAsia" w:ascii="宋体" w:hAnsi="宋体" w:eastAsia="宋体" w:cs="宋体"/>
                <w:color w:val="000000"/>
                <w:sz w:val="24"/>
                <w:szCs w:val="24"/>
              </w:rPr>
            </w:pPr>
          </w:p>
        </w:tc>
        <w:tc>
          <w:tcPr>
            <w:tcW w:w="876" w:type="dxa"/>
            <w:noWrap w:val="0"/>
            <w:vAlign w:val="center"/>
          </w:tcPr>
          <w:p w14:paraId="54BD69E2">
            <w:pPr>
              <w:jc w:val="center"/>
              <w:rPr>
                <w:rFonts w:hint="eastAsia" w:ascii="宋体" w:hAnsi="宋体" w:eastAsia="宋体" w:cs="宋体"/>
                <w:color w:val="000000"/>
                <w:sz w:val="24"/>
                <w:szCs w:val="24"/>
              </w:rPr>
            </w:pPr>
          </w:p>
        </w:tc>
        <w:tc>
          <w:tcPr>
            <w:tcW w:w="1356" w:type="dxa"/>
            <w:noWrap w:val="0"/>
            <w:vAlign w:val="center"/>
          </w:tcPr>
          <w:p w14:paraId="7456001C">
            <w:pPr>
              <w:jc w:val="center"/>
              <w:rPr>
                <w:rFonts w:hint="eastAsia" w:ascii="宋体" w:hAnsi="宋体" w:eastAsia="宋体" w:cs="宋体"/>
                <w:color w:val="000000"/>
                <w:sz w:val="24"/>
                <w:szCs w:val="24"/>
              </w:rPr>
            </w:pPr>
          </w:p>
        </w:tc>
        <w:tc>
          <w:tcPr>
            <w:tcW w:w="876" w:type="dxa"/>
            <w:noWrap w:val="0"/>
            <w:vAlign w:val="center"/>
          </w:tcPr>
          <w:p w14:paraId="22533A69">
            <w:pPr>
              <w:jc w:val="center"/>
              <w:rPr>
                <w:rFonts w:hint="eastAsia" w:ascii="宋体" w:hAnsi="宋体" w:eastAsia="宋体" w:cs="宋体"/>
                <w:color w:val="000000"/>
                <w:sz w:val="24"/>
                <w:szCs w:val="24"/>
              </w:rPr>
            </w:pPr>
          </w:p>
        </w:tc>
        <w:tc>
          <w:tcPr>
            <w:tcW w:w="876" w:type="dxa"/>
            <w:noWrap w:val="0"/>
            <w:vAlign w:val="center"/>
          </w:tcPr>
          <w:p w14:paraId="60F524A6">
            <w:pPr>
              <w:jc w:val="center"/>
              <w:rPr>
                <w:rFonts w:hint="eastAsia" w:ascii="宋体" w:hAnsi="宋体" w:eastAsia="宋体" w:cs="宋体"/>
                <w:color w:val="000000"/>
                <w:sz w:val="24"/>
                <w:szCs w:val="24"/>
              </w:rPr>
            </w:pPr>
          </w:p>
        </w:tc>
        <w:tc>
          <w:tcPr>
            <w:tcW w:w="876" w:type="dxa"/>
            <w:noWrap w:val="0"/>
            <w:vAlign w:val="center"/>
          </w:tcPr>
          <w:p w14:paraId="752D0953">
            <w:pPr>
              <w:jc w:val="center"/>
              <w:rPr>
                <w:rFonts w:hint="eastAsia" w:ascii="宋体" w:hAnsi="宋体" w:eastAsia="宋体" w:cs="宋体"/>
                <w:color w:val="000000"/>
                <w:sz w:val="24"/>
                <w:szCs w:val="24"/>
              </w:rPr>
            </w:pPr>
          </w:p>
        </w:tc>
        <w:tc>
          <w:tcPr>
            <w:tcW w:w="876" w:type="dxa"/>
            <w:noWrap w:val="0"/>
            <w:vAlign w:val="center"/>
          </w:tcPr>
          <w:p w14:paraId="214B1A51">
            <w:pPr>
              <w:jc w:val="center"/>
              <w:rPr>
                <w:rFonts w:hint="eastAsia" w:ascii="宋体" w:hAnsi="宋体" w:eastAsia="宋体" w:cs="宋体"/>
                <w:color w:val="000000"/>
                <w:sz w:val="24"/>
                <w:szCs w:val="24"/>
              </w:rPr>
            </w:pPr>
          </w:p>
        </w:tc>
      </w:tr>
      <w:tr w14:paraId="1A71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0D54BAE2">
            <w:pPr>
              <w:jc w:val="center"/>
              <w:rPr>
                <w:rFonts w:hint="eastAsia" w:ascii="宋体" w:hAnsi="宋体" w:eastAsia="宋体" w:cs="宋体"/>
                <w:color w:val="000000"/>
                <w:sz w:val="24"/>
                <w:szCs w:val="24"/>
              </w:rPr>
            </w:pPr>
          </w:p>
        </w:tc>
        <w:tc>
          <w:tcPr>
            <w:tcW w:w="2076" w:type="dxa"/>
            <w:noWrap w:val="0"/>
            <w:vAlign w:val="center"/>
          </w:tcPr>
          <w:p w14:paraId="69B92422">
            <w:pPr>
              <w:jc w:val="center"/>
              <w:rPr>
                <w:rFonts w:hint="eastAsia" w:ascii="宋体" w:hAnsi="宋体" w:eastAsia="宋体" w:cs="宋体"/>
                <w:color w:val="000000"/>
                <w:sz w:val="24"/>
                <w:szCs w:val="24"/>
              </w:rPr>
            </w:pPr>
          </w:p>
        </w:tc>
        <w:tc>
          <w:tcPr>
            <w:tcW w:w="1356" w:type="dxa"/>
            <w:noWrap w:val="0"/>
            <w:vAlign w:val="center"/>
          </w:tcPr>
          <w:p w14:paraId="4596A394">
            <w:pPr>
              <w:jc w:val="center"/>
              <w:rPr>
                <w:rFonts w:hint="eastAsia" w:ascii="宋体" w:hAnsi="宋体" w:eastAsia="宋体" w:cs="宋体"/>
                <w:color w:val="000000"/>
                <w:sz w:val="24"/>
                <w:szCs w:val="24"/>
              </w:rPr>
            </w:pPr>
          </w:p>
        </w:tc>
        <w:tc>
          <w:tcPr>
            <w:tcW w:w="876" w:type="dxa"/>
            <w:noWrap w:val="0"/>
            <w:vAlign w:val="center"/>
          </w:tcPr>
          <w:p w14:paraId="11C14E19">
            <w:pPr>
              <w:jc w:val="center"/>
              <w:rPr>
                <w:rFonts w:hint="eastAsia" w:ascii="宋体" w:hAnsi="宋体" w:eastAsia="宋体" w:cs="宋体"/>
                <w:color w:val="000000"/>
                <w:sz w:val="24"/>
                <w:szCs w:val="24"/>
              </w:rPr>
            </w:pPr>
          </w:p>
        </w:tc>
        <w:tc>
          <w:tcPr>
            <w:tcW w:w="1356" w:type="dxa"/>
            <w:noWrap w:val="0"/>
            <w:vAlign w:val="center"/>
          </w:tcPr>
          <w:p w14:paraId="66083809">
            <w:pPr>
              <w:jc w:val="center"/>
              <w:rPr>
                <w:rFonts w:hint="eastAsia" w:ascii="宋体" w:hAnsi="宋体" w:eastAsia="宋体" w:cs="宋体"/>
                <w:color w:val="000000"/>
                <w:sz w:val="24"/>
                <w:szCs w:val="24"/>
              </w:rPr>
            </w:pPr>
          </w:p>
        </w:tc>
        <w:tc>
          <w:tcPr>
            <w:tcW w:w="876" w:type="dxa"/>
            <w:noWrap w:val="0"/>
            <w:vAlign w:val="center"/>
          </w:tcPr>
          <w:p w14:paraId="3DD62492">
            <w:pPr>
              <w:jc w:val="center"/>
              <w:rPr>
                <w:rFonts w:hint="eastAsia" w:ascii="宋体" w:hAnsi="宋体" w:eastAsia="宋体" w:cs="宋体"/>
                <w:color w:val="000000"/>
                <w:sz w:val="24"/>
                <w:szCs w:val="24"/>
              </w:rPr>
            </w:pPr>
          </w:p>
        </w:tc>
        <w:tc>
          <w:tcPr>
            <w:tcW w:w="876" w:type="dxa"/>
            <w:noWrap w:val="0"/>
            <w:vAlign w:val="center"/>
          </w:tcPr>
          <w:p w14:paraId="74B9414F">
            <w:pPr>
              <w:jc w:val="center"/>
              <w:rPr>
                <w:rFonts w:hint="eastAsia" w:ascii="宋体" w:hAnsi="宋体" w:eastAsia="宋体" w:cs="宋体"/>
                <w:color w:val="000000"/>
                <w:sz w:val="24"/>
                <w:szCs w:val="24"/>
              </w:rPr>
            </w:pPr>
          </w:p>
        </w:tc>
        <w:tc>
          <w:tcPr>
            <w:tcW w:w="876" w:type="dxa"/>
            <w:noWrap w:val="0"/>
            <w:vAlign w:val="center"/>
          </w:tcPr>
          <w:p w14:paraId="71DF013E">
            <w:pPr>
              <w:jc w:val="center"/>
              <w:rPr>
                <w:rFonts w:hint="eastAsia" w:ascii="宋体" w:hAnsi="宋体" w:eastAsia="宋体" w:cs="宋体"/>
                <w:color w:val="000000"/>
                <w:sz w:val="24"/>
                <w:szCs w:val="24"/>
              </w:rPr>
            </w:pPr>
          </w:p>
        </w:tc>
        <w:tc>
          <w:tcPr>
            <w:tcW w:w="876" w:type="dxa"/>
            <w:noWrap w:val="0"/>
            <w:vAlign w:val="center"/>
          </w:tcPr>
          <w:p w14:paraId="4ACCED86">
            <w:pPr>
              <w:jc w:val="center"/>
              <w:rPr>
                <w:rFonts w:hint="eastAsia" w:ascii="宋体" w:hAnsi="宋体" w:eastAsia="宋体" w:cs="宋体"/>
                <w:color w:val="000000"/>
                <w:sz w:val="24"/>
                <w:szCs w:val="24"/>
              </w:rPr>
            </w:pPr>
          </w:p>
        </w:tc>
      </w:tr>
      <w:tr w14:paraId="50BB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18DC90A5">
            <w:pPr>
              <w:jc w:val="center"/>
              <w:rPr>
                <w:rFonts w:hint="eastAsia" w:ascii="宋体" w:hAnsi="宋体" w:eastAsia="宋体" w:cs="宋体"/>
                <w:color w:val="000000"/>
                <w:sz w:val="24"/>
                <w:szCs w:val="24"/>
              </w:rPr>
            </w:pPr>
          </w:p>
        </w:tc>
        <w:tc>
          <w:tcPr>
            <w:tcW w:w="2076" w:type="dxa"/>
            <w:noWrap w:val="0"/>
            <w:vAlign w:val="center"/>
          </w:tcPr>
          <w:p w14:paraId="459684C0">
            <w:pPr>
              <w:jc w:val="center"/>
              <w:rPr>
                <w:rFonts w:hint="eastAsia" w:ascii="宋体" w:hAnsi="宋体" w:eastAsia="宋体" w:cs="宋体"/>
                <w:color w:val="000000"/>
                <w:sz w:val="24"/>
                <w:szCs w:val="24"/>
              </w:rPr>
            </w:pPr>
          </w:p>
        </w:tc>
        <w:tc>
          <w:tcPr>
            <w:tcW w:w="1356" w:type="dxa"/>
            <w:noWrap w:val="0"/>
            <w:vAlign w:val="center"/>
          </w:tcPr>
          <w:p w14:paraId="7B742F77">
            <w:pPr>
              <w:jc w:val="center"/>
              <w:rPr>
                <w:rFonts w:hint="eastAsia" w:ascii="宋体" w:hAnsi="宋体" w:eastAsia="宋体" w:cs="宋体"/>
                <w:color w:val="000000"/>
                <w:sz w:val="24"/>
                <w:szCs w:val="24"/>
              </w:rPr>
            </w:pPr>
          </w:p>
        </w:tc>
        <w:tc>
          <w:tcPr>
            <w:tcW w:w="876" w:type="dxa"/>
            <w:noWrap w:val="0"/>
            <w:vAlign w:val="center"/>
          </w:tcPr>
          <w:p w14:paraId="20A891E9">
            <w:pPr>
              <w:jc w:val="center"/>
              <w:rPr>
                <w:rFonts w:hint="eastAsia" w:ascii="宋体" w:hAnsi="宋体" w:eastAsia="宋体" w:cs="宋体"/>
                <w:color w:val="000000"/>
                <w:sz w:val="24"/>
                <w:szCs w:val="24"/>
              </w:rPr>
            </w:pPr>
          </w:p>
        </w:tc>
        <w:tc>
          <w:tcPr>
            <w:tcW w:w="1356" w:type="dxa"/>
            <w:noWrap w:val="0"/>
            <w:vAlign w:val="center"/>
          </w:tcPr>
          <w:p w14:paraId="2414BDA9">
            <w:pPr>
              <w:jc w:val="center"/>
              <w:rPr>
                <w:rFonts w:hint="eastAsia" w:ascii="宋体" w:hAnsi="宋体" w:eastAsia="宋体" w:cs="宋体"/>
                <w:color w:val="000000"/>
                <w:sz w:val="24"/>
                <w:szCs w:val="24"/>
              </w:rPr>
            </w:pPr>
          </w:p>
        </w:tc>
        <w:tc>
          <w:tcPr>
            <w:tcW w:w="876" w:type="dxa"/>
            <w:noWrap w:val="0"/>
            <w:vAlign w:val="center"/>
          </w:tcPr>
          <w:p w14:paraId="2A314A6B">
            <w:pPr>
              <w:jc w:val="center"/>
              <w:rPr>
                <w:rFonts w:hint="eastAsia" w:ascii="宋体" w:hAnsi="宋体" w:eastAsia="宋体" w:cs="宋体"/>
                <w:color w:val="000000"/>
                <w:sz w:val="24"/>
                <w:szCs w:val="24"/>
              </w:rPr>
            </w:pPr>
          </w:p>
        </w:tc>
        <w:tc>
          <w:tcPr>
            <w:tcW w:w="876" w:type="dxa"/>
            <w:noWrap w:val="0"/>
            <w:vAlign w:val="center"/>
          </w:tcPr>
          <w:p w14:paraId="737B3FF3">
            <w:pPr>
              <w:jc w:val="center"/>
              <w:rPr>
                <w:rFonts w:hint="eastAsia" w:ascii="宋体" w:hAnsi="宋体" w:eastAsia="宋体" w:cs="宋体"/>
                <w:color w:val="000000"/>
                <w:sz w:val="24"/>
                <w:szCs w:val="24"/>
              </w:rPr>
            </w:pPr>
          </w:p>
        </w:tc>
        <w:tc>
          <w:tcPr>
            <w:tcW w:w="876" w:type="dxa"/>
            <w:noWrap w:val="0"/>
            <w:vAlign w:val="center"/>
          </w:tcPr>
          <w:p w14:paraId="5816C89D">
            <w:pPr>
              <w:jc w:val="center"/>
              <w:rPr>
                <w:rFonts w:hint="eastAsia" w:ascii="宋体" w:hAnsi="宋体" w:eastAsia="宋体" w:cs="宋体"/>
                <w:color w:val="000000"/>
                <w:sz w:val="24"/>
                <w:szCs w:val="24"/>
              </w:rPr>
            </w:pPr>
          </w:p>
        </w:tc>
        <w:tc>
          <w:tcPr>
            <w:tcW w:w="876" w:type="dxa"/>
            <w:noWrap w:val="0"/>
            <w:vAlign w:val="center"/>
          </w:tcPr>
          <w:p w14:paraId="3A8D2030">
            <w:pPr>
              <w:jc w:val="center"/>
              <w:rPr>
                <w:rFonts w:hint="eastAsia" w:ascii="宋体" w:hAnsi="宋体" w:eastAsia="宋体" w:cs="宋体"/>
                <w:color w:val="000000"/>
                <w:sz w:val="24"/>
                <w:szCs w:val="24"/>
              </w:rPr>
            </w:pPr>
          </w:p>
        </w:tc>
      </w:tr>
      <w:tr w14:paraId="69F80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08A40F04">
            <w:pPr>
              <w:jc w:val="center"/>
              <w:rPr>
                <w:rFonts w:hint="eastAsia" w:ascii="仿宋" w:hAnsi="仿宋" w:eastAsia="仿宋" w:cs="仿宋"/>
                <w:sz w:val="28"/>
                <w:szCs w:val="24"/>
              </w:rPr>
            </w:pPr>
          </w:p>
        </w:tc>
        <w:tc>
          <w:tcPr>
            <w:tcW w:w="2076" w:type="dxa"/>
            <w:noWrap w:val="0"/>
            <w:vAlign w:val="center"/>
          </w:tcPr>
          <w:p w14:paraId="0570A066">
            <w:pPr>
              <w:jc w:val="center"/>
              <w:rPr>
                <w:rFonts w:hint="eastAsia" w:ascii="仿宋" w:hAnsi="仿宋" w:eastAsia="仿宋" w:cs="仿宋"/>
                <w:sz w:val="28"/>
                <w:szCs w:val="24"/>
              </w:rPr>
            </w:pPr>
          </w:p>
        </w:tc>
        <w:tc>
          <w:tcPr>
            <w:tcW w:w="1356" w:type="dxa"/>
            <w:noWrap w:val="0"/>
            <w:vAlign w:val="center"/>
          </w:tcPr>
          <w:p w14:paraId="5C5D3D90">
            <w:pPr>
              <w:jc w:val="center"/>
              <w:rPr>
                <w:rFonts w:hint="eastAsia" w:ascii="仿宋" w:hAnsi="仿宋" w:eastAsia="仿宋" w:cs="仿宋"/>
                <w:sz w:val="28"/>
                <w:szCs w:val="24"/>
              </w:rPr>
            </w:pPr>
          </w:p>
        </w:tc>
        <w:tc>
          <w:tcPr>
            <w:tcW w:w="876" w:type="dxa"/>
            <w:noWrap w:val="0"/>
            <w:vAlign w:val="center"/>
          </w:tcPr>
          <w:p w14:paraId="1DA56B0F">
            <w:pPr>
              <w:jc w:val="center"/>
              <w:rPr>
                <w:rFonts w:hint="eastAsia" w:ascii="仿宋" w:hAnsi="仿宋" w:eastAsia="仿宋" w:cs="仿宋"/>
                <w:sz w:val="28"/>
                <w:szCs w:val="24"/>
              </w:rPr>
            </w:pPr>
          </w:p>
        </w:tc>
        <w:tc>
          <w:tcPr>
            <w:tcW w:w="1356" w:type="dxa"/>
            <w:noWrap w:val="0"/>
            <w:vAlign w:val="center"/>
          </w:tcPr>
          <w:p w14:paraId="3565E09F">
            <w:pPr>
              <w:jc w:val="center"/>
              <w:rPr>
                <w:rFonts w:hint="eastAsia" w:ascii="仿宋" w:hAnsi="仿宋" w:eastAsia="仿宋" w:cs="仿宋"/>
                <w:sz w:val="28"/>
                <w:szCs w:val="24"/>
              </w:rPr>
            </w:pPr>
          </w:p>
        </w:tc>
        <w:tc>
          <w:tcPr>
            <w:tcW w:w="876" w:type="dxa"/>
            <w:noWrap w:val="0"/>
            <w:vAlign w:val="center"/>
          </w:tcPr>
          <w:p w14:paraId="52A72D7D">
            <w:pPr>
              <w:jc w:val="center"/>
              <w:rPr>
                <w:rFonts w:hint="eastAsia" w:ascii="仿宋" w:hAnsi="仿宋" w:eastAsia="仿宋" w:cs="仿宋"/>
                <w:sz w:val="28"/>
                <w:szCs w:val="24"/>
              </w:rPr>
            </w:pPr>
          </w:p>
        </w:tc>
        <w:tc>
          <w:tcPr>
            <w:tcW w:w="876" w:type="dxa"/>
            <w:noWrap w:val="0"/>
            <w:vAlign w:val="center"/>
          </w:tcPr>
          <w:p w14:paraId="625D1F39">
            <w:pPr>
              <w:jc w:val="center"/>
              <w:rPr>
                <w:rFonts w:hint="eastAsia" w:ascii="仿宋" w:hAnsi="仿宋" w:eastAsia="仿宋" w:cs="仿宋"/>
                <w:sz w:val="28"/>
                <w:szCs w:val="24"/>
              </w:rPr>
            </w:pPr>
          </w:p>
        </w:tc>
        <w:tc>
          <w:tcPr>
            <w:tcW w:w="876" w:type="dxa"/>
            <w:noWrap w:val="0"/>
            <w:vAlign w:val="center"/>
          </w:tcPr>
          <w:p w14:paraId="33FC934E">
            <w:pPr>
              <w:jc w:val="center"/>
              <w:rPr>
                <w:rFonts w:hint="eastAsia" w:ascii="仿宋" w:hAnsi="仿宋" w:eastAsia="仿宋" w:cs="仿宋"/>
                <w:sz w:val="28"/>
                <w:szCs w:val="24"/>
              </w:rPr>
            </w:pPr>
          </w:p>
        </w:tc>
        <w:tc>
          <w:tcPr>
            <w:tcW w:w="876" w:type="dxa"/>
            <w:noWrap w:val="0"/>
            <w:vAlign w:val="center"/>
          </w:tcPr>
          <w:p w14:paraId="7B1471D3">
            <w:pPr>
              <w:jc w:val="center"/>
              <w:rPr>
                <w:rFonts w:hint="eastAsia" w:ascii="仿宋" w:hAnsi="仿宋" w:eastAsia="仿宋" w:cs="仿宋"/>
                <w:sz w:val="28"/>
                <w:szCs w:val="24"/>
              </w:rPr>
            </w:pPr>
          </w:p>
        </w:tc>
      </w:tr>
      <w:tr w14:paraId="0C4D1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101B92A0">
            <w:pPr>
              <w:jc w:val="center"/>
              <w:rPr>
                <w:rFonts w:hint="eastAsia" w:ascii="仿宋" w:hAnsi="仿宋" w:eastAsia="仿宋" w:cs="仿宋"/>
                <w:sz w:val="28"/>
                <w:szCs w:val="24"/>
              </w:rPr>
            </w:pPr>
          </w:p>
        </w:tc>
        <w:tc>
          <w:tcPr>
            <w:tcW w:w="2076" w:type="dxa"/>
            <w:noWrap w:val="0"/>
            <w:vAlign w:val="center"/>
          </w:tcPr>
          <w:p w14:paraId="03AA4264">
            <w:pPr>
              <w:jc w:val="center"/>
              <w:rPr>
                <w:rFonts w:hint="eastAsia" w:ascii="仿宋" w:hAnsi="仿宋" w:eastAsia="仿宋" w:cs="仿宋"/>
                <w:sz w:val="28"/>
                <w:szCs w:val="24"/>
              </w:rPr>
            </w:pPr>
          </w:p>
        </w:tc>
        <w:tc>
          <w:tcPr>
            <w:tcW w:w="1356" w:type="dxa"/>
            <w:noWrap w:val="0"/>
            <w:vAlign w:val="center"/>
          </w:tcPr>
          <w:p w14:paraId="0EC84D5E">
            <w:pPr>
              <w:jc w:val="center"/>
              <w:rPr>
                <w:rFonts w:hint="eastAsia" w:ascii="仿宋" w:hAnsi="仿宋" w:eastAsia="仿宋" w:cs="仿宋"/>
                <w:sz w:val="28"/>
                <w:szCs w:val="24"/>
              </w:rPr>
            </w:pPr>
          </w:p>
        </w:tc>
        <w:tc>
          <w:tcPr>
            <w:tcW w:w="876" w:type="dxa"/>
            <w:noWrap w:val="0"/>
            <w:vAlign w:val="center"/>
          </w:tcPr>
          <w:p w14:paraId="774E88A2">
            <w:pPr>
              <w:jc w:val="center"/>
              <w:rPr>
                <w:rFonts w:hint="eastAsia" w:ascii="仿宋" w:hAnsi="仿宋" w:eastAsia="仿宋" w:cs="仿宋"/>
                <w:sz w:val="28"/>
                <w:szCs w:val="24"/>
              </w:rPr>
            </w:pPr>
          </w:p>
        </w:tc>
        <w:tc>
          <w:tcPr>
            <w:tcW w:w="1356" w:type="dxa"/>
            <w:noWrap w:val="0"/>
            <w:vAlign w:val="center"/>
          </w:tcPr>
          <w:p w14:paraId="58FEF87C">
            <w:pPr>
              <w:jc w:val="center"/>
              <w:rPr>
                <w:rFonts w:hint="eastAsia" w:ascii="仿宋" w:hAnsi="仿宋" w:eastAsia="仿宋" w:cs="仿宋"/>
                <w:sz w:val="28"/>
                <w:szCs w:val="24"/>
              </w:rPr>
            </w:pPr>
          </w:p>
        </w:tc>
        <w:tc>
          <w:tcPr>
            <w:tcW w:w="876" w:type="dxa"/>
            <w:noWrap w:val="0"/>
            <w:vAlign w:val="center"/>
          </w:tcPr>
          <w:p w14:paraId="75558AD2">
            <w:pPr>
              <w:jc w:val="center"/>
              <w:rPr>
                <w:rFonts w:hint="eastAsia" w:ascii="仿宋" w:hAnsi="仿宋" w:eastAsia="仿宋" w:cs="仿宋"/>
                <w:sz w:val="28"/>
                <w:szCs w:val="24"/>
              </w:rPr>
            </w:pPr>
          </w:p>
        </w:tc>
        <w:tc>
          <w:tcPr>
            <w:tcW w:w="876" w:type="dxa"/>
            <w:noWrap w:val="0"/>
            <w:vAlign w:val="center"/>
          </w:tcPr>
          <w:p w14:paraId="45CE5C71">
            <w:pPr>
              <w:jc w:val="center"/>
              <w:rPr>
                <w:rFonts w:hint="eastAsia" w:ascii="仿宋" w:hAnsi="仿宋" w:eastAsia="仿宋" w:cs="仿宋"/>
                <w:sz w:val="28"/>
                <w:szCs w:val="24"/>
              </w:rPr>
            </w:pPr>
          </w:p>
        </w:tc>
        <w:tc>
          <w:tcPr>
            <w:tcW w:w="876" w:type="dxa"/>
            <w:noWrap w:val="0"/>
            <w:vAlign w:val="center"/>
          </w:tcPr>
          <w:p w14:paraId="5618A8D6">
            <w:pPr>
              <w:jc w:val="center"/>
              <w:rPr>
                <w:rFonts w:hint="eastAsia" w:ascii="仿宋" w:hAnsi="仿宋" w:eastAsia="仿宋" w:cs="仿宋"/>
                <w:sz w:val="28"/>
                <w:szCs w:val="24"/>
              </w:rPr>
            </w:pPr>
          </w:p>
        </w:tc>
        <w:tc>
          <w:tcPr>
            <w:tcW w:w="876" w:type="dxa"/>
            <w:noWrap w:val="0"/>
            <w:vAlign w:val="center"/>
          </w:tcPr>
          <w:p w14:paraId="1D75F2B2">
            <w:pPr>
              <w:jc w:val="center"/>
              <w:rPr>
                <w:rFonts w:hint="eastAsia" w:ascii="仿宋" w:hAnsi="仿宋" w:eastAsia="仿宋" w:cs="仿宋"/>
                <w:sz w:val="28"/>
                <w:szCs w:val="24"/>
              </w:rPr>
            </w:pPr>
          </w:p>
        </w:tc>
      </w:tr>
      <w:tr w14:paraId="6AC6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552FCF58">
            <w:pPr>
              <w:jc w:val="center"/>
              <w:rPr>
                <w:rFonts w:hint="eastAsia" w:ascii="仿宋" w:hAnsi="仿宋" w:eastAsia="仿宋" w:cs="仿宋"/>
                <w:sz w:val="28"/>
                <w:szCs w:val="24"/>
              </w:rPr>
            </w:pPr>
          </w:p>
        </w:tc>
        <w:tc>
          <w:tcPr>
            <w:tcW w:w="2076" w:type="dxa"/>
            <w:noWrap w:val="0"/>
            <w:vAlign w:val="center"/>
          </w:tcPr>
          <w:p w14:paraId="5DFFC742">
            <w:pPr>
              <w:jc w:val="center"/>
              <w:rPr>
                <w:rFonts w:hint="eastAsia" w:ascii="仿宋" w:hAnsi="仿宋" w:eastAsia="仿宋" w:cs="仿宋"/>
                <w:sz w:val="28"/>
                <w:szCs w:val="24"/>
              </w:rPr>
            </w:pPr>
          </w:p>
        </w:tc>
        <w:tc>
          <w:tcPr>
            <w:tcW w:w="1356" w:type="dxa"/>
            <w:noWrap w:val="0"/>
            <w:vAlign w:val="center"/>
          </w:tcPr>
          <w:p w14:paraId="7DCCC3B1">
            <w:pPr>
              <w:jc w:val="center"/>
              <w:rPr>
                <w:rFonts w:hint="eastAsia" w:ascii="仿宋" w:hAnsi="仿宋" w:eastAsia="仿宋" w:cs="仿宋"/>
                <w:sz w:val="28"/>
                <w:szCs w:val="24"/>
              </w:rPr>
            </w:pPr>
          </w:p>
        </w:tc>
        <w:tc>
          <w:tcPr>
            <w:tcW w:w="876" w:type="dxa"/>
            <w:noWrap w:val="0"/>
            <w:vAlign w:val="center"/>
          </w:tcPr>
          <w:p w14:paraId="028C63D8">
            <w:pPr>
              <w:jc w:val="center"/>
              <w:rPr>
                <w:rFonts w:hint="eastAsia" w:ascii="仿宋" w:hAnsi="仿宋" w:eastAsia="仿宋" w:cs="仿宋"/>
                <w:sz w:val="28"/>
                <w:szCs w:val="24"/>
              </w:rPr>
            </w:pPr>
          </w:p>
        </w:tc>
        <w:tc>
          <w:tcPr>
            <w:tcW w:w="1356" w:type="dxa"/>
            <w:noWrap w:val="0"/>
            <w:vAlign w:val="center"/>
          </w:tcPr>
          <w:p w14:paraId="21DB3EF8">
            <w:pPr>
              <w:jc w:val="center"/>
              <w:rPr>
                <w:rFonts w:hint="eastAsia" w:ascii="仿宋" w:hAnsi="仿宋" w:eastAsia="仿宋" w:cs="仿宋"/>
                <w:sz w:val="28"/>
                <w:szCs w:val="24"/>
              </w:rPr>
            </w:pPr>
          </w:p>
        </w:tc>
        <w:tc>
          <w:tcPr>
            <w:tcW w:w="876" w:type="dxa"/>
            <w:noWrap w:val="0"/>
            <w:vAlign w:val="center"/>
          </w:tcPr>
          <w:p w14:paraId="15330730">
            <w:pPr>
              <w:jc w:val="center"/>
              <w:rPr>
                <w:rFonts w:hint="eastAsia" w:ascii="仿宋" w:hAnsi="仿宋" w:eastAsia="仿宋" w:cs="仿宋"/>
                <w:sz w:val="28"/>
                <w:szCs w:val="24"/>
              </w:rPr>
            </w:pPr>
          </w:p>
        </w:tc>
        <w:tc>
          <w:tcPr>
            <w:tcW w:w="876" w:type="dxa"/>
            <w:noWrap w:val="0"/>
            <w:vAlign w:val="center"/>
          </w:tcPr>
          <w:p w14:paraId="11A3E3ED">
            <w:pPr>
              <w:jc w:val="center"/>
              <w:rPr>
                <w:rFonts w:hint="eastAsia" w:ascii="仿宋" w:hAnsi="仿宋" w:eastAsia="仿宋" w:cs="仿宋"/>
                <w:sz w:val="28"/>
                <w:szCs w:val="24"/>
              </w:rPr>
            </w:pPr>
          </w:p>
        </w:tc>
        <w:tc>
          <w:tcPr>
            <w:tcW w:w="876" w:type="dxa"/>
            <w:noWrap w:val="0"/>
            <w:vAlign w:val="center"/>
          </w:tcPr>
          <w:p w14:paraId="77455FB5">
            <w:pPr>
              <w:jc w:val="center"/>
              <w:rPr>
                <w:rFonts w:hint="eastAsia" w:ascii="仿宋" w:hAnsi="仿宋" w:eastAsia="仿宋" w:cs="仿宋"/>
                <w:sz w:val="28"/>
                <w:szCs w:val="24"/>
              </w:rPr>
            </w:pPr>
          </w:p>
        </w:tc>
        <w:tc>
          <w:tcPr>
            <w:tcW w:w="876" w:type="dxa"/>
            <w:noWrap w:val="0"/>
            <w:vAlign w:val="center"/>
          </w:tcPr>
          <w:p w14:paraId="6B6F8121">
            <w:pPr>
              <w:jc w:val="center"/>
              <w:rPr>
                <w:rFonts w:hint="eastAsia" w:ascii="仿宋" w:hAnsi="仿宋" w:eastAsia="仿宋" w:cs="仿宋"/>
                <w:sz w:val="28"/>
                <w:szCs w:val="24"/>
              </w:rPr>
            </w:pPr>
          </w:p>
        </w:tc>
      </w:tr>
      <w:tr w14:paraId="3A6B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5FFC1DE8">
            <w:pPr>
              <w:jc w:val="center"/>
              <w:rPr>
                <w:rFonts w:hint="eastAsia" w:ascii="仿宋" w:hAnsi="仿宋" w:eastAsia="仿宋" w:cs="仿宋"/>
                <w:sz w:val="28"/>
                <w:szCs w:val="24"/>
              </w:rPr>
            </w:pPr>
          </w:p>
        </w:tc>
        <w:tc>
          <w:tcPr>
            <w:tcW w:w="2076" w:type="dxa"/>
            <w:noWrap w:val="0"/>
            <w:vAlign w:val="center"/>
          </w:tcPr>
          <w:p w14:paraId="34E8AA75">
            <w:pPr>
              <w:jc w:val="center"/>
              <w:rPr>
                <w:rFonts w:hint="eastAsia" w:ascii="仿宋" w:hAnsi="仿宋" w:eastAsia="仿宋" w:cs="仿宋"/>
                <w:sz w:val="28"/>
                <w:szCs w:val="24"/>
              </w:rPr>
            </w:pPr>
          </w:p>
        </w:tc>
        <w:tc>
          <w:tcPr>
            <w:tcW w:w="1356" w:type="dxa"/>
            <w:noWrap w:val="0"/>
            <w:vAlign w:val="center"/>
          </w:tcPr>
          <w:p w14:paraId="4428F4D6">
            <w:pPr>
              <w:jc w:val="center"/>
              <w:rPr>
                <w:rFonts w:hint="eastAsia" w:ascii="仿宋" w:hAnsi="仿宋" w:eastAsia="仿宋" w:cs="仿宋"/>
                <w:sz w:val="28"/>
                <w:szCs w:val="24"/>
              </w:rPr>
            </w:pPr>
          </w:p>
        </w:tc>
        <w:tc>
          <w:tcPr>
            <w:tcW w:w="876" w:type="dxa"/>
            <w:noWrap w:val="0"/>
            <w:vAlign w:val="center"/>
          </w:tcPr>
          <w:p w14:paraId="062A0047">
            <w:pPr>
              <w:jc w:val="center"/>
              <w:rPr>
                <w:rFonts w:hint="eastAsia" w:ascii="仿宋" w:hAnsi="仿宋" w:eastAsia="仿宋" w:cs="仿宋"/>
                <w:sz w:val="28"/>
                <w:szCs w:val="24"/>
              </w:rPr>
            </w:pPr>
          </w:p>
        </w:tc>
        <w:tc>
          <w:tcPr>
            <w:tcW w:w="1356" w:type="dxa"/>
            <w:noWrap w:val="0"/>
            <w:vAlign w:val="center"/>
          </w:tcPr>
          <w:p w14:paraId="2827B773">
            <w:pPr>
              <w:jc w:val="center"/>
              <w:rPr>
                <w:rFonts w:hint="eastAsia" w:ascii="仿宋" w:hAnsi="仿宋" w:eastAsia="仿宋" w:cs="仿宋"/>
                <w:sz w:val="28"/>
                <w:szCs w:val="24"/>
              </w:rPr>
            </w:pPr>
          </w:p>
        </w:tc>
        <w:tc>
          <w:tcPr>
            <w:tcW w:w="876" w:type="dxa"/>
            <w:noWrap w:val="0"/>
            <w:vAlign w:val="center"/>
          </w:tcPr>
          <w:p w14:paraId="46F6FB9A">
            <w:pPr>
              <w:jc w:val="center"/>
              <w:rPr>
                <w:rFonts w:hint="eastAsia" w:ascii="仿宋" w:hAnsi="仿宋" w:eastAsia="仿宋" w:cs="仿宋"/>
                <w:sz w:val="28"/>
                <w:szCs w:val="24"/>
              </w:rPr>
            </w:pPr>
          </w:p>
        </w:tc>
        <w:tc>
          <w:tcPr>
            <w:tcW w:w="876" w:type="dxa"/>
            <w:noWrap w:val="0"/>
            <w:vAlign w:val="center"/>
          </w:tcPr>
          <w:p w14:paraId="23D5F824">
            <w:pPr>
              <w:jc w:val="center"/>
              <w:rPr>
                <w:rFonts w:hint="eastAsia" w:ascii="仿宋" w:hAnsi="仿宋" w:eastAsia="仿宋" w:cs="仿宋"/>
                <w:sz w:val="28"/>
                <w:szCs w:val="24"/>
              </w:rPr>
            </w:pPr>
          </w:p>
        </w:tc>
        <w:tc>
          <w:tcPr>
            <w:tcW w:w="876" w:type="dxa"/>
            <w:noWrap w:val="0"/>
            <w:vAlign w:val="center"/>
          </w:tcPr>
          <w:p w14:paraId="31B14318">
            <w:pPr>
              <w:jc w:val="center"/>
              <w:rPr>
                <w:rFonts w:hint="eastAsia" w:ascii="仿宋" w:hAnsi="仿宋" w:eastAsia="仿宋" w:cs="仿宋"/>
                <w:sz w:val="28"/>
                <w:szCs w:val="24"/>
              </w:rPr>
            </w:pPr>
          </w:p>
        </w:tc>
        <w:tc>
          <w:tcPr>
            <w:tcW w:w="876" w:type="dxa"/>
            <w:noWrap w:val="0"/>
            <w:vAlign w:val="center"/>
          </w:tcPr>
          <w:p w14:paraId="495CCF0F">
            <w:pPr>
              <w:jc w:val="center"/>
              <w:rPr>
                <w:rFonts w:hint="eastAsia" w:ascii="仿宋" w:hAnsi="仿宋" w:eastAsia="仿宋" w:cs="仿宋"/>
                <w:sz w:val="28"/>
                <w:szCs w:val="24"/>
              </w:rPr>
            </w:pPr>
          </w:p>
        </w:tc>
      </w:tr>
      <w:tr w14:paraId="4C57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662BF598">
            <w:pPr>
              <w:jc w:val="center"/>
              <w:rPr>
                <w:rFonts w:hint="eastAsia" w:ascii="仿宋" w:hAnsi="仿宋" w:eastAsia="仿宋" w:cs="仿宋"/>
                <w:sz w:val="28"/>
                <w:szCs w:val="24"/>
              </w:rPr>
            </w:pPr>
          </w:p>
        </w:tc>
        <w:tc>
          <w:tcPr>
            <w:tcW w:w="2076" w:type="dxa"/>
            <w:noWrap w:val="0"/>
            <w:vAlign w:val="center"/>
          </w:tcPr>
          <w:p w14:paraId="68480EAD">
            <w:pPr>
              <w:jc w:val="center"/>
              <w:rPr>
                <w:rFonts w:hint="eastAsia" w:ascii="仿宋" w:hAnsi="仿宋" w:eastAsia="仿宋" w:cs="仿宋"/>
                <w:sz w:val="28"/>
                <w:szCs w:val="24"/>
              </w:rPr>
            </w:pPr>
          </w:p>
        </w:tc>
        <w:tc>
          <w:tcPr>
            <w:tcW w:w="1356" w:type="dxa"/>
            <w:noWrap w:val="0"/>
            <w:vAlign w:val="center"/>
          </w:tcPr>
          <w:p w14:paraId="64E60D47">
            <w:pPr>
              <w:jc w:val="center"/>
              <w:rPr>
                <w:rFonts w:hint="eastAsia" w:ascii="仿宋" w:hAnsi="仿宋" w:eastAsia="仿宋" w:cs="仿宋"/>
                <w:sz w:val="28"/>
                <w:szCs w:val="24"/>
              </w:rPr>
            </w:pPr>
          </w:p>
        </w:tc>
        <w:tc>
          <w:tcPr>
            <w:tcW w:w="876" w:type="dxa"/>
            <w:noWrap w:val="0"/>
            <w:vAlign w:val="center"/>
          </w:tcPr>
          <w:p w14:paraId="3AA9A3F1">
            <w:pPr>
              <w:jc w:val="center"/>
              <w:rPr>
                <w:rFonts w:hint="eastAsia" w:ascii="仿宋" w:hAnsi="仿宋" w:eastAsia="仿宋" w:cs="仿宋"/>
                <w:sz w:val="28"/>
                <w:szCs w:val="24"/>
              </w:rPr>
            </w:pPr>
          </w:p>
        </w:tc>
        <w:tc>
          <w:tcPr>
            <w:tcW w:w="1356" w:type="dxa"/>
            <w:noWrap w:val="0"/>
            <w:vAlign w:val="center"/>
          </w:tcPr>
          <w:p w14:paraId="3AF42408">
            <w:pPr>
              <w:jc w:val="center"/>
              <w:rPr>
                <w:rFonts w:hint="eastAsia" w:ascii="仿宋" w:hAnsi="仿宋" w:eastAsia="仿宋" w:cs="仿宋"/>
                <w:sz w:val="28"/>
                <w:szCs w:val="24"/>
              </w:rPr>
            </w:pPr>
          </w:p>
        </w:tc>
        <w:tc>
          <w:tcPr>
            <w:tcW w:w="876" w:type="dxa"/>
            <w:noWrap w:val="0"/>
            <w:vAlign w:val="center"/>
          </w:tcPr>
          <w:p w14:paraId="29CD17DB">
            <w:pPr>
              <w:jc w:val="center"/>
              <w:rPr>
                <w:rFonts w:hint="eastAsia" w:ascii="仿宋" w:hAnsi="仿宋" w:eastAsia="仿宋" w:cs="仿宋"/>
                <w:sz w:val="28"/>
                <w:szCs w:val="24"/>
              </w:rPr>
            </w:pPr>
          </w:p>
        </w:tc>
        <w:tc>
          <w:tcPr>
            <w:tcW w:w="876" w:type="dxa"/>
            <w:noWrap w:val="0"/>
            <w:vAlign w:val="center"/>
          </w:tcPr>
          <w:p w14:paraId="105E6D23">
            <w:pPr>
              <w:jc w:val="center"/>
              <w:rPr>
                <w:rFonts w:hint="eastAsia" w:ascii="仿宋" w:hAnsi="仿宋" w:eastAsia="仿宋" w:cs="仿宋"/>
                <w:sz w:val="28"/>
                <w:szCs w:val="24"/>
              </w:rPr>
            </w:pPr>
          </w:p>
        </w:tc>
        <w:tc>
          <w:tcPr>
            <w:tcW w:w="876" w:type="dxa"/>
            <w:noWrap w:val="0"/>
            <w:vAlign w:val="center"/>
          </w:tcPr>
          <w:p w14:paraId="34AD33A1">
            <w:pPr>
              <w:jc w:val="center"/>
              <w:rPr>
                <w:rFonts w:hint="eastAsia" w:ascii="仿宋" w:hAnsi="仿宋" w:eastAsia="仿宋" w:cs="仿宋"/>
                <w:sz w:val="28"/>
                <w:szCs w:val="24"/>
              </w:rPr>
            </w:pPr>
          </w:p>
        </w:tc>
        <w:tc>
          <w:tcPr>
            <w:tcW w:w="876" w:type="dxa"/>
            <w:noWrap w:val="0"/>
            <w:vAlign w:val="center"/>
          </w:tcPr>
          <w:p w14:paraId="622DAD8E">
            <w:pPr>
              <w:jc w:val="center"/>
              <w:rPr>
                <w:rFonts w:hint="eastAsia" w:ascii="仿宋" w:hAnsi="仿宋" w:eastAsia="仿宋" w:cs="仿宋"/>
                <w:sz w:val="28"/>
                <w:szCs w:val="24"/>
              </w:rPr>
            </w:pPr>
          </w:p>
        </w:tc>
      </w:tr>
      <w:tr w14:paraId="6CF50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6" w:type="dxa"/>
            <w:noWrap w:val="0"/>
            <w:vAlign w:val="center"/>
          </w:tcPr>
          <w:p w14:paraId="2BDF1A5F">
            <w:pPr>
              <w:jc w:val="center"/>
              <w:rPr>
                <w:rFonts w:hint="eastAsia" w:ascii="仿宋" w:hAnsi="仿宋" w:eastAsia="仿宋" w:cs="仿宋"/>
                <w:sz w:val="28"/>
                <w:szCs w:val="24"/>
              </w:rPr>
            </w:pPr>
          </w:p>
        </w:tc>
        <w:tc>
          <w:tcPr>
            <w:tcW w:w="2076" w:type="dxa"/>
            <w:noWrap w:val="0"/>
            <w:vAlign w:val="center"/>
          </w:tcPr>
          <w:p w14:paraId="17351BCB">
            <w:pPr>
              <w:jc w:val="center"/>
              <w:rPr>
                <w:rFonts w:hint="eastAsia" w:ascii="仿宋" w:hAnsi="仿宋" w:eastAsia="仿宋" w:cs="仿宋"/>
                <w:sz w:val="28"/>
                <w:szCs w:val="24"/>
              </w:rPr>
            </w:pPr>
          </w:p>
        </w:tc>
        <w:tc>
          <w:tcPr>
            <w:tcW w:w="1356" w:type="dxa"/>
            <w:noWrap w:val="0"/>
            <w:vAlign w:val="center"/>
          </w:tcPr>
          <w:p w14:paraId="3309B6FD">
            <w:pPr>
              <w:jc w:val="center"/>
              <w:rPr>
                <w:rFonts w:hint="eastAsia" w:ascii="仿宋" w:hAnsi="仿宋" w:eastAsia="仿宋" w:cs="仿宋"/>
                <w:sz w:val="28"/>
                <w:szCs w:val="24"/>
              </w:rPr>
            </w:pPr>
          </w:p>
        </w:tc>
        <w:tc>
          <w:tcPr>
            <w:tcW w:w="876" w:type="dxa"/>
            <w:noWrap w:val="0"/>
            <w:vAlign w:val="center"/>
          </w:tcPr>
          <w:p w14:paraId="0DA684B5">
            <w:pPr>
              <w:jc w:val="center"/>
              <w:rPr>
                <w:rFonts w:hint="eastAsia" w:ascii="仿宋" w:hAnsi="仿宋" w:eastAsia="仿宋" w:cs="仿宋"/>
                <w:sz w:val="28"/>
                <w:szCs w:val="24"/>
              </w:rPr>
            </w:pPr>
          </w:p>
        </w:tc>
        <w:tc>
          <w:tcPr>
            <w:tcW w:w="1356" w:type="dxa"/>
            <w:noWrap w:val="0"/>
            <w:vAlign w:val="center"/>
          </w:tcPr>
          <w:p w14:paraId="179516F3">
            <w:pPr>
              <w:jc w:val="center"/>
              <w:rPr>
                <w:rFonts w:hint="eastAsia" w:ascii="仿宋" w:hAnsi="仿宋" w:eastAsia="仿宋" w:cs="仿宋"/>
                <w:sz w:val="28"/>
                <w:szCs w:val="24"/>
              </w:rPr>
            </w:pPr>
          </w:p>
        </w:tc>
        <w:tc>
          <w:tcPr>
            <w:tcW w:w="876" w:type="dxa"/>
            <w:noWrap w:val="0"/>
            <w:vAlign w:val="center"/>
          </w:tcPr>
          <w:p w14:paraId="04E2AC77">
            <w:pPr>
              <w:jc w:val="center"/>
              <w:rPr>
                <w:rFonts w:hint="eastAsia" w:ascii="仿宋" w:hAnsi="仿宋" w:eastAsia="仿宋" w:cs="仿宋"/>
                <w:sz w:val="28"/>
                <w:szCs w:val="24"/>
              </w:rPr>
            </w:pPr>
          </w:p>
        </w:tc>
        <w:tc>
          <w:tcPr>
            <w:tcW w:w="876" w:type="dxa"/>
            <w:noWrap w:val="0"/>
            <w:vAlign w:val="center"/>
          </w:tcPr>
          <w:p w14:paraId="4CF188B6">
            <w:pPr>
              <w:jc w:val="center"/>
              <w:rPr>
                <w:rFonts w:hint="eastAsia" w:ascii="仿宋" w:hAnsi="仿宋" w:eastAsia="仿宋" w:cs="仿宋"/>
                <w:sz w:val="28"/>
                <w:szCs w:val="24"/>
              </w:rPr>
            </w:pPr>
          </w:p>
        </w:tc>
        <w:tc>
          <w:tcPr>
            <w:tcW w:w="876" w:type="dxa"/>
            <w:noWrap w:val="0"/>
            <w:vAlign w:val="center"/>
          </w:tcPr>
          <w:p w14:paraId="5C7E8E79">
            <w:pPr>
              <w:jc w:val="center"/>
              <w:rPr>
                <w:rFonts w:hint="eastAsia" w:ascii="仿宋" w:hAnsi="仿宋" w:eastAsia="仿宋" w:cs="仿宋"/>
                <w:sz w:val="28"/>
                <w:szCs w:val="24"/>
              </w:rPr>
            </w:pPr>
          </w:p>
        </w:tc>
        <w:tc>
          <w:tcPr>
            <w:tcW w:w="876" w:type="dxa"/>
            <w:noWrap w:val="0"/>
            <w:vAlign w:val="center"/>
          </w:tcPr>
          <w:p w14:paraId="5DFB26A8">
            <w:pPr>
              <w:jc w:val="center"/>
              <w:rPr>
                <w:rFonts w:hint="eastAsia" w:ascii="仿宋" w:hAnsi="仿宋" w:eastAsia="仿宋" w:cs="仿宋"/>
                <w:sz w:val="28"/>
                <w:szCs w:val="24"/>
              </w:rPr>
            </w:pPr>
          </w:p>
        </w:tc>
      </w:tr>
    </w:tbl>
    <w:p w14:paraId="3EB6872C">
      <w:pPr>
        <w:pStyle w:val="201"/>
        <w:spacing w:line="520" w:lineRule="exact"/>
        <w:rPr>
          <w:rFonts w:ascii="宋体" w:hAnsi="宋体" w:cs="宋体"/>
          <w:color w:val="000000"/>
          <w:sz w:val="24"/>
          <w:szCs w:val="24"/>
        </w:rPr>
      </w:pPr>
      <w:r>
        <w:rPr>
          <w:rFonts w:hint="eastAsia" w:ascii="宋体" w:hAnsi="宋体" w:cs="宋体"/>
          <w:color w:val="000000"/>
          <w:sz w:val="24"/>
          <w:szCs w:val="24"/>
        </w:rPr>
        <w:t>注：本表为格式内容，投标人可根据需要自行修正本表。</w:t>
      </w:r>
    </w:p>
    <w:p w14:paraId="6BF1F9E5">
      <w:pPr>
        <w:pStyle w:val="201"/>
        <w:spacing w:line="520" w:lineRule="exact"/>
        <w:rPr>
          <w:rFonts w:ascii="宋体" w:hAnsi="宋体" w:cs="宋体"/>
          <w:color w:val="000000"/>
          <w:sz w:val="24"/>
          <w:szCs w:val="24"/>
        </w:rPr>
      </w:pPr>
      <w:r>
        <w:rPr>
          <w:rFonts w:hint="eastAsia" w:ascii="宋体" w:hAnsi="宋体" w:cs="宋体"/>
          <w:color w:val="000000"/>
          <w:sz w:val="24"/>
          <w:szCs w:val="24"/>
        </w:rPr>
        <w:t>投标响应单位名称（加盖CA电子签章）：</w:t>
      </w:r>
    </w:p>
    <w:p w14:paraId="485E9A27">
      <w:pPr>
        <w:pStyle w:val="201"/>
        <w:spacing w:line="460" w:lineRule="exact"/>
        <w:rPr>
          <w:rFonts w:ascii="宋体" w:hAnsi="宋体" w:cs="宋体"/>
          <w:color w:val="000000"/>
          <w:sz w:val="24"/>
          <w:szCs w:val="24"/>
        </w:rPr>
      </w:pPr>
      <w:r>
        <w:rPr>
          <w:rFonts w:hint="eastAsia" w:ascii="宋体" w:hAnsi="宋体" w:cs="宋体"/>
          <w:color w:val="000000"/>
          <w:sz w:val="24"/>
          <w:szCs w:val="24"/>
        </w:rPr>
        <w:t>法定代表人或授权代表(签字或盖章)：</w:t>
      </w:r>
    </w:p>
    <w:p w14:paraId="747BDF6D">
      <w:pPr>
        <w:pStyle w:val="201"/>
        <w:spacing w:line="480" w:lineRule="exact"/>
        <w:jc w:val="center"/>
        <w:rPr>
          <w:rFonts w:ascii="宋体" w:hAnsi="宋体" w:cs="宋体"/>
          <w:b/>
          <w:bCs/>
          <w:color w:val="000000"/>
          <w:sz w:val="24"/>
          <w:szCs w:val="24"/>
        </w:rPr>
      </w:pPr>
    </w:p>
    <w:p w14:paraId="385057B8">
      <w:pPr>
        <w:pStyle w:val="201"/>
        <w:spacing w:line="480" w:lineRule="exact"/>
        <w:jc w:val="right"/>
        <w:rPr>
          <w:rFonts w:ascii="宋体" w:hAnsi="宋体" w:cs="仿宋"/>
          <w:b/>
          <w:bCs/>
          <w:color w:val="000000"/>
          <w:sz w:val="32"/>
          <w:szCs w:val="32"/>
        </w:rPr>
      </w:pPr>
      <w:r>
        <w:rPr>
          <w:rFonts w:hint="eastAsia" w:ascii="宋体" w:hAnsi="宋体" w:cs="宋体"/>
          <w:color w:val="000000"/>
          <w:sz w:val="24"/>
          <w:szCs w:val="24"/>
        </w:rPr>
        <w:t>日期：</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年   月    日</w:t>
      </w:r>
    </w:p>
    <w:p w14:paraId="5CCC56A0">
      <w:pPr>
        <w:spacing w:before="145" w:after="145" w:line="440" w:lineRule="exact"/>
        <w:jc w:val="center"/>
        <w:outlineLvl w:val="2"/>
        <w:rPr>
          <w:rFonts w:hint="eastAsia" w:ascii="宋体" w:hAnsi="宋体" w:eastAsia="宋体" w:cs="仿宋"/>
          <w:b/>
          <w:bCs/>
          <w:color w:val="000000"/>
          <w:sz w:val="32"/>
          <w:szCs w:val="32"/>
          <w:highlight w:val="none"/>
          <w:lang w:val="en-US" w:eastAsia="zh-CN"/>
        </w:rPr>
      </w:pPr>
      <w:r>
        <w:rPr>
          <w:rFonts w:hint="eastAsia" w:ascii="宋体" w:hAnsi="宋体"/>
          <w:color w:val="000000"/>
          <w:sz w:val="24"/>
          <w:szCs w:val="24"/>
          <w:highlight w:val="none"/>
        </w:rPr>
        <w:br w:type="page" w:clear="all"/>
      </w:r>
      <w:r>
        <w:rPr>
          <w:rFonts w:hint="eastAsia" w:ascii="宋体" w:hAnsi="宋体" w:eastAsia="宋体" w:cs="仿宋"/>
          <w:b/>
          <w:bCs/>
          <w:color w:val="000000"/>
          <w:sz w:val="32"/>
          <w:szCs w:val="32"/>
          <w:highlight w:val="none"/>
          <w:lang w:val="en-US" w:eastAsia="zh-CN"/>
        </w:rPr>
        <w:t>十八、投标单位相关信息一览表</w:t>
      </w:r>
    </w:p>
    <w:tbl>
      <w:tblPr>
        <w:tblStyle w:val="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1180"/>
        <w:gridCol w:w="733"/>
        <w:gridCol w:w="1500"/>
        <w:gridCol w:w="1045"/>
        <w:gridCol w:w="570"/>
        <w:gridCol w:w="364"/>
        <w:gridCol w:w="738"/>
        <w:gridCol w:w="2100"/>
      </w:tblGrid>
      <w:tr w14:paraId="083C1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dxa"/>
            <w:shd w:val="clear" w:color="auto" w:fill="D9D9D9"/>
            <w:noWrap w:val="0"/>
            <w:vAlign w:val="center"/>
          </w:tcPr>
          <w:p w14:paraId="4D62AC81">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一</w:t>
            </w:r>
          </w:p>
        </w:tc>
        <w:tc>
          <w:tcPr>
            <w:tcW w:w="8041" w:type="dxa"/>
            <w:gridSpan w:val="8"/>
            <w:shd w:val="clear" w:color="auto" w:fill="D9D9D9"/>
            <w:noWrap w:val="0"/>
            <w:vAlign w:val="center"/>
          </w:tcPr>
          <w:p w14:paraId="6ADBD7E9">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公司基本信息</w:t>
            </w:r>
          </w:p>
        </w:tc>
      </w:tr>
      <w:tr w14:paraId="69C55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dxa"/>
            <w:noWrap w:val="0"/>
            <w:vAlign w:val="center"/>
          </w:tcPr>
          <w:p w14:paraId="3E342783">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1</w:t>
            </w:r>
          </w:p>
        </w:tc>
        <w:tc>
          <w:tcPr>
            <w:tcW w:w="737" w:type="dxa"/>
            <w:noWrap w:val="0"/>
            <w:vAlign w:val="center"/>
          </w:tcPr>
          <w:p w14:paraId="5C0CD01C">
            <w:pPr>
              <w:pStyle w:val="210"/>
              <w:spacing w:line="440" w:lineRule="exact"/>
              <w:rPr>
                <w:rFonts w:ascii="宋体" w:hAnsi="宋体"/>
                <w:color w:val="000000"/>
                <w:sz w:val="24"/>
                <w:szCs w:val="20"/>
                <w:highlight w:val="none"/>
              </w:rPr>
            </w:pPr>
            <w:r>
              <w:rPr>
                <w:rFonts w:hint="eastAsia" w:ascii="宋体" w:hAnsi="宋体"/>
                <w:color w:val="000000"/>
                <w:sz w:val="24"/>
                <w:szCs w:val="20"/>
                <w:highlight w:val="none"/>
              </w:rPr>
              <w:t>公司名称</w:t>
            </w:r>
          </w:p>
        </w:tc>
        <w:tc>
          <w:tcPr>
            <w:tcW w:w="6689" w:type="dxa"/>
            <w:gridSpan w:val="7"/>
            <w:noWrap w:val="0"/>
            <w:vAlign w:val="center"/>
          </w:tcPr>
          <w:p w14:paraId="391BA117">
            <w:pPr>
              <w:pStyle w:val="210"/>
              <w:spacing w:line="440" w:lineRule="exact"/>
              <w:jc w:val="center"/>
              <w:rPr>
                <w:rFonts w:ascii="宋体" w:hAnsi="宋体"/>
                <w:color w:val="000000"/>
                <w:sz w:val="24"/>
                <w:szCs w:val="20"/>
                <w:highlight w:val="none"/>
              </w:rPr>
            </w:pPr>
          </w:p>
        </w:tc>
      </w:tr>
      <w:tr w14:paraId="34FB5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615" w:type="dxa"/>
            <w:noWrap w:val="0"/>
            <w:vAlign w:val="center"/>
          </w:tcPr>
          <w:p w14:paraId="7C4FF2BA">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2</w:t>
            </w:r>
          </w:p>
        </w:tc>
        <w:tc>
          <w:tcPr>
            <w:tcW w:w="737" w:type="dxa"/>
            <w:noWrap w:val="0"/>
            <w:vAlign w:val="center"/>
          </w:tcPr>
          <w:p w14:paraId="25830CE8">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注册资金</w:t>
            </w:r>
          </w:p>
        </w:tc>
        <w:tc>
          <w:tcPr>
            <w:tcW w:w="819" w:type="dxa"/>
            <w:noWrap w:val="0"/>
            <w:vAlign w:val="center"/>
          </w:tcPr>
          <w:p w14:paraId="26D1C838">
            <w:pPr>
              <w:pStyle w:val="210"/>
              <w:spacing w:line="440" w:lineRule="exact"/>
              <w:jc w:val="center"/>
              <w:rPr>
                <w:rFonts w:ascii="宋体" w:hAnsi="宋体"/>
                <w:color w:val="000000"/>
                <w:sz w:val="24"/>
                <w:szCs w:val="20"/>
                <w:highlight w:val="none"/>
              </w:rPr>
            </w:pPr>
          </w:p>
        </w:tc>
        <w:tc>
          <w:tcPr>
            <w:tcW w:w="777" w:type="dxa"/>
            <w:noWrap w:val="0"/>
            <w:vAlign w:val="center"/>
          </w:tcPr>
          <w:p w14:paraId="241C0E2B">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3</w:t>
            </w:r>
          </w:p>
        </w:tc>
        <w:tc>
          <w:tcPr>
            <w:tcW w:w="2117" w:type="dxa"/>
            <w:gridSpan w:val="3"/>
            <w:noWrap w:val="0"/>
            <w:vAlign w:val="center"/>
          </w:tcPr>
          <w:p w14:paraId="68A7DB93">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公司地址</w:t>
            </w:r>
          </w:p>
        </w:tc>
        <w:tc>
          <w:tcPr>
            <w:tcW w:w="2293" w:type="dxa"/>
            <w:gridSpan w:val="2"/>
            <w:noWrap w:val="0"/>
            <w:vAlign w:val="center"/>
          </w:tcPr>
          <w:p w14:paraId="2D0858BD">
            <w:pPr>
              <w:pStyle w:val="210"/>
              <w:spacing w:line="440" w:lineRule="exact"/>
              <w:jc w:val="center"/>
              <w:rPr>
                <w:rFonts w:ascii="宋体" w:hAnsi="宋体"/>
                <w:color w:val="000000"/>
                <w:sz w:val="24"/>
                <w:szCs w:val="20"/>
                <w:highlight w:val="none"/>
              </w:rPr>
            </w:pPr>
          </w:p>
        </w:tc>
      </w:tr>
      <w:tr w14:paraId="09E6B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615" w:type="dxa"/>
            <w:noWrap w:val="0"/>
            <w:vAlign w:val="center"/>
          </w:tcPr>
          <w:p w14:paraId="1356B8E5">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4</w:t>
            </w:r>
          </w:p>
        </w:tc>
        <w:tc>
          <w:tcPr>
            <w:tcW w:w="737" w:type="dxa"/>
            <w:noWrap w:val="0"/>
            <w:vAlign w:val="center"/>
          </w:tcPr>
          <w:p w14:paraId="7126451F">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从业人数</w:t>
            </w:r>
          </w:p>
        </w:tc>
        <w:tc>
          <w:tcPr>
            <w:tcW w:w="819" w:type="dxa"/>
            <w:noWrap w:val="0"/>
            <w:vAlign w:val="center"/>
          </w:tcPr>
          <w:p w14:paraId="39410D8E">
            <w:pPr>
              <w:pStyle w:val="210"/>
              <w:spacing w:line="440" w:lineRule="exact"/>
              <w:jc w:val="center"/>
              <w:rPr>
                <w:rFonts w:ascii="宋体" w:hAnsi="宋体"/>
                <w:color w:val="000000"/>
                <w:sz w:val="24"/>
                <w:szCs w:val="20"/>
                <w:highlight w:val="none"/>
              </w:rPr>
            </w:pPr>
          </w:p>
        </w:tc>
        <w:tc>
          <w:tcPr>
            <w:tcW w:w="777" w:type="dxa"/>
            <w:noWrap w:val="0"/>
            <w:vAlign w:val="center"/>
          </w:tcPr>
          <w:p w14:paraId="37F77124">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5</w:t>
            </w:r>
          </w:p>
        </w:tc>
        <w:tc>
          <w:tcPr>
            <w:tcW w:w="2117" w:type="dxa"/>
            <w:gridSpan w:val="3"/>
            <w:noWrap w:val="0"/>
            <w:vAlign w:val="center"/>
          </w:tcPr>
          <w:p w14:paraId="446418B5">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法定代表人</w:t>
            </w:r>
          </w:p>
        </w:tc>
        <w:tc>
          <w:tcPr>
            <w:tcW w:w="2293" w:type="dxa"/>
            <w:gridSpan w:val="2"/>
            <w:noWrap w:val="0"/>
            <w:vAlign w:val="center"/>
          </w:tcPr>
          <w:p w14:paraId="2A543532">
            <w:pPr>
              <w:pStyle w:val="210"/>
              <w:spacing w:line="440" w:lineRule="exact"/>
              <w:jc w:val="center"/>
              <w:rPr>
                <w:rFonts w:ascii="宋体" w:hAnsi="宋体"/>
                <w:color w:val="000000"/>
                <w:sz w:val="24"/>
                <w:szCs w:val="20"/>
                <w:highlight w:val="none"/>
              </w:rPr>
            </w:pPr>
          </w:p>
        </w:tc>
      </w:tr>
      <w:tr w14:paraId="09656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4E61D129">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6</w:t>
            </w:r>
          </w:p>
        </w:tc>
        <w:tc>
          <w:tcPr>
            <w:tcW w:w="737" w:type="dxa"/>
            <w:noWrap w:val="0"/>
            <w:vAlign w:val="center"/>
          </w:tcPr>
          <w:p w14:paraId="278ACCE7">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开户银行</w:t>
            </w:r>
          </w:p>
        </w:tc>
        <w:tc>
          <w:tcPr>
            <w:tcW w:w="819" w:type="dxa"/>
            <w:noWrap w:val="0"/>
            <w:vAlign w:val="center"/>
          </w:tcPr>
          <w:p w14:paraId="1E141998">
            <w:pPr>
              <w:pStyle w:val="210"/>
              <w:spacing w:line="440" w:lineRule="exact"/>
              <w:jc w:val="center"/>
              <w:rPr>
                <w:rFonts w:ascii="宋体" w:hAnsi="宋体"/>
                <w:color w:val="000000"/>
                <w:sz w:val="24"/>
                <w:szCs w:val="20"/>
                <w:highlight w:val="none"/>
              </w:rPr>
            </w:pPr>
          </w:p>
        </w:tc>
        <w:tc>
          <w:tcPr>
            <w:tcW w:w="777" w:type="dxa"/>
            <w:noWrap w:val="0"/>
            <w:vAlign w:val="center"/>
          </w:tcPr>
          <w:p w14:paraId="7752BD61">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7</w:t>
            </w:r>
          </w:p>
        </w:tc>
        <w:tc>
          <w:tcPr>
            <w:tcW w:w="2117" w:type="dxa"/>
            <w:gridSpan w:val="3"/>
            <w:noWrap w:val="0"/>
            <w:vAlign w:val="center"/>
          </w:tcPr>
          <w:p w14:paraId="2BE34980">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账号</w:t>
            </w:r>
          </w:p>
        </w:tc>
        <w:tc>
          <w:tcPr>
            <w:tcW w:w="2293" w:type="dxa"/>
            <w:gridSpan w:val="2"/>
            <w:noWrap w:val="0"/>
            <w:vAlign w:val="center"/>
          </w:tcPr>
          <w:p w14:paraId="1D46D006">
            <w:pPr>
              <w:pStyle w:val="210"/>
              <w:spacing w:line="440" w:lineRule="exact"/>
              <w:jc w:val="center"/>
              <w:rPr>
                <w:rFonts w:ascii="宋体" w:hAnsi="宋体"/>
                <w:color w:val="000000"/>
                <w:sz w:val="24"/>
                <w:szCs w:val="20"/>
                <w:highlight w:val="none"/>
              </w:rPr>
            </w:pPr>
          </w:p>
        </w:tc>
      </w:tr>
      <w:tr w14:paraId="16345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07313FDB">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8</w:t>
            </w:r>
          </w:p>
        </w:tc>
        <w:tc>
          <w:tcPr>
            <w:tcW w:w="737" w:type="dxa"/>
            <w:noWrap w:val="0"/>
            <w:vAlign w:val="center"/>
          </w:tcPr>
          <w:p w14:paraId="600A26B3">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项目联系人</w:t>
            </w:r>
          </w:p>
        </w:tc>
        <w:tc>
          <w:tcPr>
            <w:tcW w:w="819" w:type="dxa"/>
            <w:noWrap w:val="0"/>
            <w:vAlign w:val="center"/>
          </w:tcPr>
          <w:p w14:paraId="6CA52EFD">
            <w:pPr>
              <w:pStyle w:val="210"/>
              <w:spacing w:line="440" w:lineRule="exact"/>
              <w:jc w:val="center"/>
              <w:rPr>
                <w:rFonts w:ascii="宋体" w:hAnsi="宋体"/>
                <w:color w:val="000000"/>
                <w:sz w:val="24"/>
                <w:szCs w:val="20"/>
                <w:highlight w:val="none"/>
              </w:rPr>
            </w:pPr>
          </w:p>
        </w:tc>
        <w:tc>
          <w:tcPr>
            <w:tcW w:w="777" w:type="dxa"/>
            <w:noWrap w:val="0"/>
            <w:vAlign w:val="center"/>
          </w:tcPr>
          <w:p w14:paraId="12A89B56">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9</w:t>
            </w:r>
          </w:p>
        </w:tc>
        <w:tc>
          <w:tcPr>
            <w:tcW w:w="2117" w:type="dxa"/>
            <w:gridSpan w:val="3"/>
            <w:noWrap w:val="0"/>
            <w:vAlign w:val="center"/>
          </w:tcPr>
          <w:p w14:paraId="4282BE2C">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联系电话</w:t>
            </w:r>
          </w:p>
        </w:tc>
        <w:tc>
          <w:tcPr>
            <w:tcW w:w="2293" w:type="dxa"/>
            <w:gridSpan w:val="2"/>
            <w:noWrap w:val="0"/>
            <w:vAlign w:val="center"/>
          </w:tcPr>
          <w:p w14:paraId="492268D9">
            <w:pPr>
              <w:pStyle w:val="210"/>
              <w:spacing w:line="440" w:lineRule="exact"/>
              <w:jc w:val="center"/>
              <w:rPr>
                <w:rFonts w:ascii="宋体" w:hAnsi="宋体"/>
                <w:color w:val="000000"/>
                <w:sz w:val="24"/>
                <w:szCs w:val="20"/>
                <w:highlight w:val="none"/>
              </w:rPr>
            </w:pPr>
          </w:p>
        </w:tc>
      </w:tr>
      <w:tr w14:paraId="23DEB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615" w:type="dxa"/>
            <w:shd w:val="clear" w:color="auto" w:fill="D9D9D9"/>
            <w:noWrap w:val="0"/>
            <w:vAlign w:val="center"/>
          </w:tcPr>
          <w:p w14:paraId="0B0C7A28">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二</w:t>
            </w:r>
          </w:p>
        </w:tc>
        <w:tc>
          <w:tcPr>
            <w:tcW w:w="8041" w:type="dxa"/>
            <w:gridSpan w:val="8"/>
            <w:shd w:val="clear" w:color="auto" w:fill="D9D9D9"/>
            <w:noWrap w:val="0"/>
            <w:vAlign w:val="center"/>
          </w:tcPr>
          <w:p w14:paraId="1A0CEC3D">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公司财务状况</w:t>
            </w:r>
          </w:p>
        </w:tc>
      </w:tr>
      <w:tr w14:paraId="5EDB1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11D85A32">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（一）</w:t>
            </w:r>
          </w:p>
        </w:tc>
        <w:tc>
          <w:tcPr>
            <w:tcW w:w="8041" w:type="dxa"/>
            <w:gridSpan w:val="8"/>
            <w:noWrap w:val="0"/>
            <w:vAlign w:val="center"/>
          </w:tcPr>
          <w:p w14:paraId="72E427A8">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u w:val="single"/>
              </w:rPr>
              <w:t>××××</w:t>
            </w:r>
            <w:r>
              <w:rPr>
                <w:rFonts w:hint="eastAsia" w:ascii="宋体" w:hAnsi="宋体"/>
                <w:b/>
                <w:color w:val="000000"/>
                <w:sz w:val="24"/>
                <w:szCs w:val="20"/>
                <w:highlight w:val="none"/>
              </w:rPr>
              <w:t>年度财务状况</w:t>
            </w:r>
          </w:p>
        </w:tc>
      </w:tr>
      <w:tr w14:paraId="797DC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615" w:type="dxa"/>
            <w:noWrap w:val="0"/>
            <w:vAlign w:val="center"/>
          </w:tcPr>
          <w:p w14:paraId="374A7B50">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1</w:t>
            </w:r>
          </w:p>
        </w:tc>
        <w:tc>
          <w:tcPr>
            <w:tcW w:w="737" w:type="dxa"/>
            <w:noWrap w:val="0"/>
            <w:vAlign w:val="center"/>
          </w:tcPr>
          <w:p w14:paraId="2CC286A7">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营业收入（万）：</w:t>
            </w:r>
          </w:p>
        </w:tc>
        <w:tc>
          <w:tcPr>
            <w:tcW w:w="819" w:type="dxa"/>
            <w:noWrap w:val="0"/>
            <w:vAlign w:val="center"/>
          </w:tcPr>
          <w:p w14:paraId="639B84D5">
            <w:pPr>
              <w:pStyle w:val="210"/>
              <w:spacing w:line="440" w:lineRule="exact"/>
              <w:jc w:val="center"/>
              <w:rPr>
                <w:rFonts w:ascii="宋体" w:hAnsi="宋体"/>
                <w:color w:val="000000"/>
                <w:sz w:val="24"/>
                <w:szCs w:val="20"/>
                <w:highlight w:val="none"/>
              </w:rPr>
            </w:pPr>
          </w:p>
        </w:tc>
        <w:tc>
          <w:tcPr>
            <w:tcW w:w="777" w:type="dxa"/>
            <w:noWrap w:val="0"/>
            <w:vAlign w:val="center"/>
          </w:tcPr>
          <w:p w14:paraId="2F57FB44">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2</w:t>
            </w:r>
          </w:p>
        </w:tc>
        <w:tc>
          <w:tcPr>
            <w:tcW w:w="2117" w:type="dxa"/>
            <w:gridSpan w:val="3"/>
            <w:noWrap w:val="0"/>
            <w:vAlign w:val="center"/>
          </w:tcPr>
          <w:p w14:paraId="641004FF">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利润总额（万）</w:t>
            </w:r>
          </w:p>
        </w:tc>
        <w:tc>
          <w:tcPr>
            <w:tcW w:w="2293" w:type="dxa"/>
            <w:gridSpan w:val="2"/>
            <w:noWrap w:val="0"/>
            <w:vAlign w:val="center"/>
          </w:tcPr>
          <w:p w14:paraId="1C08F2B7">
            <w:pPr>
              <w:pStyle w:val="210"/>
              <w:spacing w:line="440" w:lineRule="exact"/>
              <w:jc w:val="center"/>
              <w:rPr>
                <w:rFonts w:ascii="宋体" w:hAnsi="宋体"/>
                <w:color w:val="000000"/>
                <w:sz w:val="24"/>
                <w:szCs w:val="20"/>
                <w:highlight w:val="none"/>
              </w:rPr>
            </w:pPr>
          </w:p>
        </w:tc>
      </w:tr>
      <w:tr w14:paraId="360E9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15" w:type="dxa"/>
            <w:noWrap w:val="0"/>
            <w:vAlign w:val="center"/>
          </w:tcPr>
          <w:p w14:paraId="7174D29B">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3</w:t>
            </w:r>
          </w:p>
        </w:tc>
        <w:tc>
          <w:tcPr>
            <w:tcW w:w="737" w:type="dxa"/>
            <w:noWrap w:val="0"/>
            <w:vAlign w:val="center"/>
          </w:tcPr>
          <w:p w14:paraId="273129CA">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年末“固定资产合计”（万）</w:t>
            </w:r>
          </w:p>
        </w:tc>
        <w:tc>
          <w:tcPr>
            <w:tcW w:w="819" w:type="dxa"/>
            <w:noWrap w:val="0"/>
            <w:vAlign w:val="center"/>
          </w:tcPr>
          <w:p w14:paraId="6FBDD310">
            <w:pPr>
              <w:pStyle w:val="210"/>
              <w:spacing w:line="440" w:lineRule="exact"/>
              <w:jc w:val="center"/>
              <w:rPr>
                <w:rFonts w:ascii="宋体" w:hAnsi="宋体"/>
                <w:color w:val="000000"/>
                <w:sz w:val="24"/>
                <w:szCs w:val="20"/>
                <w:highlight w:val="none"/>
              </w:rPr>
            </w:pPr>
          </w:p>
        </w:tc>
        <w:tc>
          <w:tcPr>
            <w:tcW w:w="777" w:type="dxa"/>
            <w:noWrap w:val="0"/>
            <w:vAlign w:val="center"/>
          </w:tcPr>
          <w:p w14:paraId="45CB6865">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4</w:t>
            </w:r>
          </w:p>
        </w:tc>
        <w:tc>
          <w:tcPr>
            <w:tcW w:w="2117" w:type="dxa"/>
            <w:gridSpan w:val="3"/>
            <w:noWrap w:val="0"/>
            <w:vAlign w:val="center"/>
          </w:tcPr>
          <w:p w14:paraId="73835543">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年末“流动资产”余额（万）</w:t>
            </w:r>
          </w:p>
        </w:tc>
        <w:tc>
          <w:tcPr>
            <w:tcW w:w="2293" w:type="dxa"/>
            <w:gridSpan w:val="2"/>
            <w:noWrap w:val="0"/>
            <w:vAlign w:val="center"/>
          </w:tcPr>
          <w:p w14:paraId="1AA4C940">
            <w:pPr>
              <w:pStyle w:val="210"/>
              <w:spacing w:line="440" w:lineRule="exact"/>
              <w:jc w:val="center"/>
              <w:rPr>
                <w:rFonts w:ascii="宋体" w:hAnsi="宋体"/>
                <w:color w:val="000000"/>
                <w:sz w:val="24"/>
                <w:szCs w:val="20"/>
                <w:highlight w:val="none"/>
              </w:rPr>
            </w:pPr>
          </w:p>
        </w:tc>
      </w:tr>
      <w:tr w14:paraId="0F7F0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615" w:type="dxa"/>
            <w:noWrap w:val="0"/>
            <w:vAlign w:val="center"/>
          </w:tcPr>
          <w:p w14:paraId="0D0B4F84">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5</w:t>
            </w:r>
          </w:p>
        </w:tc>
        <w:tc>
          <w:tcPr>
            <w:tcW w:w="737" w:type="dxa"/>
            <w:noWrap w:val="0"/>
            <w:vAlign w:val="center"/>
          </w:tcPr>
          <w:p w14:paraId="674C10C7">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年末“短期负债”余额（万）</w:t>
            </w:r>
          </w:p>
        </w:tc>
        <w:tc>
          <w:tcPr>
            <w:tcW w:w="819" w:type="dxa"/>
            <w:noWrap w:val="0"/>
            <w:vAlign w:val="center"/>
          </w:tcPr>
          <w:p w14:paraId="013AB452">
            <w:pPr>
              <w:pStyle w:val="210"/>
              <w:spacing w:line="440" w:lineRule="exact"/>
              <w:jc w:val="center"/>
              <w:rPr>
                <w:rFonts w:ascii="宋体" w:hAnsi="宋体"/>
                <w:color w:val="000000"/>
                <w:sz w:val="24"/>
                <w:szCs w:val="20"/>
                <w:highlight w:val="none"/>
              </w:rPr>
            </w:pPr>
          </w:p>
        </w:tc>
        <w:tc>
          <w:tcPr>
            <w:tcW w:w="777" w:type="dxa"/>
            <w:noWrap w:val="0"/>
            <w:vAlign w:val="center"/>
          </w:tcPr>
          <w:p w14:paraId="00F97E8F">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6</w:t>
            </w:r>
          </w:p>
        </w:tc>
        <w:tc>
          <w:tcPr>
            <w:tcW w:w="2117" w:type="dxa"/>
            <w:gridSpan w:val="3"/>
            <w:noWrap w:val="0"/>
            <w:vAlign w:val="center"/>
          </w:tcPr>
          <w:p w14:paraId="1D736C62">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年末“长期负债”余额（万）</w:t>
            </w:r>
          </w:p>
        </w:tc>
        <w:tc>
          <w:tcPr>
            <w:tcW w:w="2293" w:type="dxa"/>
            <w:gridSpan w:val="2"/>
            <w:noWrap w:val="0"/>
            <w:vAlign w:val="center"/>
          </w:tcPr>
          <w:p w14:paraId="312929FC">
            <w:pPr>
              <w:pStyle w:val="210"/>
              <w:spacing w:line="440" w:lineRule="exact"/>
              <w:jc w:val="center"/>
              <w:rPr>
                <w:rFonts w:ascii="宋体" w:hAnsi="宋体"/>
                <w:color w:val="000000"/>
                <w:sz w:val="24"/>
                <w:szCs w:val="20"/>
                <w:highlight w:val="none"/>
              </w:rPr>
            </w:pPr>
          </w:p>
        </w:tc>
      </w:tr>
      <w:tr w14:paraId="16200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615" w:type="dxa"/>
            <w:noWrap w:val="0"/>
            <w:vAlign w:val="center"/>
          </w:tcPr>
          <w:p w14:paraId="486861A7">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7</w:t>
            </w:r>
          </w:p>
        </w:tc>
        <w:tc>
          <w:tcPr>
            <w:tcW w:w="737" w:type="dxa"/>
            <w:noWrap w:val="0"/>
            <w:vAlign w:val="center"/>
          </w:tcPr>
          <w:p w14:paraId="64743D2D">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年末“资产总计”余额（万）</w:t>
            </w:r>
          </w:p>
        </w:tc>
        <w:tc>
          <w:tcPr>
            <w:tcW w:w="819" w:type="dxa"/>
            <w:noWrap w:val="0"/>
            <w:vAlign w:val="center"/>
          </w:tcPr>
          <w:p w14:paraId="2637338D">
            <w:pPr>
              <w:pStyle w:val="210"/>
              <w:spacing w:line="440" w:lineRule="exact"/>
              <w:jc w:val="center"/>
              <w:rPr>
                <w:rFonts w:ascii="宋体" w:hAnsi="宋体"/>
                <w:color w:val="000000"/>
                <w:sz w:val="24"/>
                <w:szCs w:val="20"/>
                <w:highlight w:val="none"/>
              </w:rPr>
            </w:pPr>
          </w:p>
        </w:tc>
        <w:tc>
          <w:tcPr>
            <w:tcW w:w="777" w:type="dxa"/>
            <w:noWrap w:val="0"/>
            <w:vAlign w:val="center"/>
          </w:tcPr>
          <w:p w14:paraId="1E01387D">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8</w:t>
            </w:r>
          </w:p>
        </w:tc>
        <w:tc>
          <w:tcPr>
            <w:tcW w:w="2117" w:type="dxa"/>
            <w:gridSpan w:val="3"/>
            <w:noWrap w:val="0"/>
            <w:vAlign w:val="center"/>
          </w:tcPr>
          <w:p w14:paraId="3700042A">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年末“货币资金”余额（万）</w:t>
            </w:r>
          </w:p>
        </w:tc>
        <w:tc>
          <w:tcPr>
            <w:tcW w:w="2293" w:type="dxa"/>
            <w:gridSpan w:val="2"/>
            <w:noWrap w:val="0"/>
            <w:vAlign w:val="center"/>
          </w:tcPr>
          <w:p w14:paraId="6564D930">
            <w:pPr>
              <w:pStyle w:val="210"/>
              <w:spacing w:line="440" w:lineRule="exact"/>
              <w:jc w:val="center"/>
              <w:rPr>
                <w:rFonts w:ascii="宋体" w:hAnsi="宋体"/>
                <w:color w:val="000000"/>
                <w:sz w:val="24"/>
                <w:szCs w:val="20"/>
                <w:highlight w:val="none"/>
              </w:rPr>
            </w:pPr>
          </w:p>
        </w:tc>
      </w:tr>
      <w:tr w14:paraId="31E47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615" w:type="dxa"/>
            <w:shd w:val="clear" w:color="auto" w:fill="D9D9D9"/>
            <w:noWrap w:val="0"/>
            <w:vAlign w:val="center"/>
          </w:tcPr>
          <w:p w14:paraId="34B9EA73">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三</w:t>
            </w:r>
          </w:p>
        </w:tc>
        <w:tc>
          <w:tcPr>
            <w:tcW w:w="8041" w:type="dxa"/>
            <w:gridSpan w:val="8"/>
            <w:shd w:val="clear" w:color="auto" w:fill="D9D9D9"/>
            <w:noWrap w:val="0"/>
            <w:vAlign w:val="center"/>
          </w:tcPr>
          <w:p w14:paraId="6EBBAA44">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lang w:eastAsia="zh-CN"/>
              </w:rPr>
              <w:t>投标人</w:t>
            </w:r>
            <w:r>
              <w:rPr>
                <w:rFonts w:hint="eastAsia" w:ascii="宋体" w:hAnsi="宋体"/>
                <w:b/>
                <w:color w:val="000000"/>
                <w:sz w:val="24"/>
                <w:szCs w:val="20"/>
                <w:highlight w:val="none"/>
              </w:rPr>
              <w:t>其他信息</w:t>
            </w:r>
          </w:p>
        </w:tc>
      </w:tr>
      <w:tr w14:paraId="58A7F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15" w:type="dxa"/>
            <w:noWrap w:val="0"/>
            <w:vAlign w:val="center"/>
          </w:tcPr>
          <w:p w14:paraId="296C05D7">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（一）</w:t>
            </w:r>
          </w:p>
        </w:tc>
        <w:tc>
          <w:tcPr>
            <w:tcW w:w="737" w:type="dxa"/>
            <w:noWrap w:val="0"/>
            <w:vAlign w:val="center"/>
          </w:tcPr>
          <w:p w14:paraId="79EB1532">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公司取得的相关资质及等级：</w:t>
            </w:r>
          </w:p>
        </w:tc>
        <w:tc>
          <w:tcPr>
            <w:tcW w:w="6689" w:type="dxa"/>
            <w:gridSpan w:val="7"/>
            <w:noWrap w:val="0"/>
            <w:vAlign w:val="center"/>
          </w:tcPr>
          <w:p w14:paraId="4E64E555">
            <w:pPr>
              <w:pStyle w:val="210"/>
              <w:spacing w:line="440" w:lineRule="exact"/>
              <w:jc w:val="center"/>
              <w:rPr>
                <w:rFonts w:ascii="宋体" w:hAnsi="宋体"/>
                <w:color w:val="000000"/>
                <w:sz w:val="24"/>
                <w:szCs w:val="20"/>
                <w:highlight w:val="none"/>
              </w:rPr>
            </w:pPr>
          </w:p>
        </w:tc>
      </w:tr>
      <w:tr w14:paraId="67F4D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15" w:type="dxa"/>
            <w:noWrap w:val="0"/>
            <w:vAlign w:val="center"/>
          </w:tcPr>
          <w:p w14:paraId="2E3DE505">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（二）</w:t>
            </w:r>
          </w:p>
        </w:tc>
        <w:tc>
          <w:tcPr>
            <w:tcW w:w="737" w:type="dxa"/>
            <w:noWrap w:val="0"/>
            <w:vAlign w:val="center"/>
          </w:tcPr>
          <w:p w14:paraId="0B729906">
            <w:pPr>
              <w:pStyle w:val="210"/>
              <w:spacing w:line="440" w:lineRule="exact"/>
              <w:jc w:val="center"/>
              <w:rPr>
                <w:rFonts w:ascii="宋体" w:hAnsi="宋体"/>
                <w:color w:val="000000"/>
                <w:sz w:val="24"/>
                <w:szCs w:val="20"/>
                <w:highlight w:val="none"/>
              </w:rPr>
            </w:pPr>
            <w:r>
              <w:rPr>
                <w:rFonts w:hint="eastAsia" w:ascii="宋体" w:hAnsi="宋体"/>
                <w:color w:val="000000"/>
                <w:sz w:val="24"/>
                <w:szCs w:val="20"/>
                <w:highlight w:val="none"/>
              </w:rPr>
              <w:t>公司</w:t>
            </w:r>
            <w:r>
              <w:rPr>
                <w:rFonts w:hint="eastAsia" w:ascii="宋体" w:hAnsi="宋体"/>
                <w:b/>
                <w:color w:val="000000"/>
                <w:sz w:val="24"/>
                <w:szCs w:val="20"/>
                <w:highlight w:val="none"/>
                <w:u w:val="single"/>
              </w:rPr>
              <w:t>××××</w:t>
            </w:r>
            <w:r>
              <w:rPr>
                <w:rFonts w:hint="eastAsia" w:ascii="宋体" w:hAnsi="宋体"/>
                <w:color w:val="000000"/>
                <w:sz w:val="24"/>
                <w:szCs w:val="20"/>
                <w:highlight w:val="none"/>
              </w:rPr>
              <w:t>年度后获得的荣誉及表彰情况</w:t>
            </w:r>
          </w:p>
        </w:tc>
        <w:tc>
          <w:tcPr>
            <w:tcW w:w="6689" w:type="dxa"/>
            <w:gridSpan w:val="7"/>
            <w:noWrap w:val="0"/>
            <w:vAlign w:val="center"/>
          </w:tcPr>
          <w:p w14:paraId="1A928EFC">
            <w:pPr>
              <w:pStyle w:val="210"/>
              <w:spacing w:line="440" w:lineRule="exact"/>
              <w:jc w:val="center"/>
              <w:rPr>
                <w:rFonts w:ascii="宋体" w:hAnsi="宋体"/>
                <w:color w:val="000000"/>
                <w:sz w:val="24"/>
                <w:szCs w:val="20"/>
                <w:highlight w:val="none"/>
              </w:rPr>
            </w:pPr>
          </w:p>
        </w:tc>
      </w:tr>
      <w:tr w14:paraId="1FD1F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615" w:type="dxa"/>
            <w:shd w:val="clear" w:color="auto" w:fill="BFBFBF"/>
            <w:noWrap w:val="0"/>
            <w:vAlign w:val="center"/>
          </w:tcPr>
          <w:p w14:paraId="0BD47422">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四</w:t>
            </w:r>
          </w:p>
        </w:tc>
        <w:tc>
          <w:tcPr>
            <w:tcW w:w="8041" w:type="dxa"/>
            <w:gridSpan w:val="8"/>
            <w:shd w:val="clear" w:color="auto" w:fill="BFBFBF"/>
            <w:noWrap w:val="0"/>
            <w:vAlign w:val="center"/>
          </w:tcPr>
          <w:p w14:paraId="58FE38FB">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p>
        </w:tc>
      </w:tr>
      <w:tr w14:paraId="3BEDB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615" w:type="dxa"/>
            <w:shd w:val="clear" w:color="auto" w:fill="FFFFFF"/>
            <w:noWrap w:val="0"/>
            <w:vAlign w:val="center"/>
          </w:tcPr>
          <w:p w14:paraId="7D4E544C">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序号</w:t>
            </w:r>
          </w:p>
        </w:tc>
        <w:tc>
          <w:tcPr>
            <w:tcW w:w="3248" w:type="dxa"/>
            <w:gridSpan w:val="3"/>
            <w:shd w:val="clear" w:color="auto" w:fill="FFFFFF"/>
            <w:noWrap w:val="0"/>
            <w:vAlign w:val="center"/>
          </w:tcPr>
          <w:p w14:paraId="747538B0">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品牌、型号及主要参数配置简述</w:t>
            </w:r>
          </w:p>
        </w:tc>
        <w:tc>
          <w:tcPr>
            <w:tcW w:w="1140" w:type="dxa"/>
            <w:shd w:val="clear" w:color="auto" w:fill="FFFFFF"/>
            <w:noWrap w:val="0"/>
            <w:vAlign w:val="center"/>
          </w:tcPr>
          <w:p w14:paraId="0C30CA6A">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购置年份</w:t>
            </w:r>
          </w:p>
        </w:tc>
        <w:tc>
          <w:tcPr>
            <w:tcW w:w="587" w:type="dxa"/>
            <w:shd w:val="clear" w:color="auto" w:fill="FFFFFF"/>
            <w:noWrap w:val="0"/>
            <w:vAlign w:val="center"/>
          </w:tcPr>
          <w:p w14:paraId="0E6BE854">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价格</w:t>
            </w:r>
          </w:p>
        </w:tc>
        <w:tc>
          <w:tcPr>
            <w:tcW w:w="1208" w:type="dxa"/>
            <w:gridSpan w:val="2"/>
            <w:shd w:val="clear" w:color="auto" w:fill="FFFFFF"/>
            <w:noWrap w:val="0"/>
            <w:vAlign w:val="center"/>
          </w:tcPr>
          <w:p w14:paraId="0CA8A786">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数量</w:t>
            </w:r>
          </w:p>
        </w:tc>
        <w:tc>
          <w:tcPr>
            <w:tcW w:w="743" w:type="dxa"/>
            <w:shd w:val="clear" w:color="auto" w:fill="FFFFFF"/>
            <w:noWrap w:val="0"/>
            <w:vAlign w:val="center"/>
          </w:tcPr>
          <w:p w14:paraId="562E547B">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用途</w:t>
            </w:r>
          </w:p>
        </w:tc>
      </w:tr>
      <w:tr w14:paraId="54346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615" w:type="dxa"/>
            <w:shd w:val="clear" w:color="auto" w:fill="FFFFFF"/>
            <w:noWrap w:val="0"/>
            <w:vAlign w:val="center"/>
          </w:tcPr>
          <w:p w14:paraId="0C39EB6A">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1</w:t>
            </w:r>
          </w:p>
        </w:tc>
        <w:tc>
          <w:tcPr>
            <w:tcW w:w="3248" w:type="dxa"/>
            <w:gridSpan w:val="3"/>
            <w:shd w:val="clear" w:color="auto" w:fill="FFFFFF"/>
            <w:noWrap w:val="0"/>
            <w:vAlign w:val="center"/>
          </w:tcPr>
          <w:p w14:paraId="718C0378">
            <w:pPr>
              <w:pStyle w:val="210"/>
              <w:spacing w:line="440" w:lineRule="exact"/>
              <w:jc w:val="center"/>
              <w:rPr>
                <w:rFonts w:ascii="宋体" w:hAnsi="宋体"/>
                <w:b/>
                <w:color w:val="000000"/>
                <w:sz w:val="24"/>
                <w:szCs w:val="20"/>
                <w:highlight w:val="none"/>
              </w:rPr>
            </w:pPr>
          </w:p>
        </w:tc>
        <w:tc>
          <w:tcPr>
            <w:tcW w:w="1140" w:type="dxa"/>
            <w:shd w:val="clear" w:color="auto" w:fill="FFFFFF"/>
            <w:noWrap w:val="0"/>
            <w:vAlign w:val="center"/>
          </w:tcPr>
          <w:p w14:paraId="3A791429">
            <w:pPr>
              <w:pStyle w:val="210"/>
              <w:spacing w:line="440" w:lineRule="exact"/>
              <w:jc w:val="center"/>
              <w:rPr>
                <w:rFonts w:ascii="宋体" w:hAnsi="宋体"/>
                <w:b/>
                <w:color w:val="000000"/>
                <w:sz w:val="24"/>
                <w:szCs w:val="20"/>
                <w:highlight w:val="none"/>
              </w:rPr>
            </w:pPr>
          </w:p>
        </w:tc>
        <w:tc>
          <w:tcPr>
            <w:tcW w:w="587" w:type="dxa"/>
            <w:shd w:val="clear" w:color="auto" w:fill="FFFFFF"/>
            <w:noWrap w:val="0"/>
            <w:vAlign w:val="center"/>
          </w:tcPr>
          <w:p w14:paraId="2BA1275B">
            <w:pPr>
              <w:pStyle w:val="210"/>
              <w:spacing w:line="440" w:lineRule="exact"/>
              <w:jc w:val="center"/>
              <w:rPr>
                <w:rFonts w:ascii="宋体" w:hAnsi="宋体"/>
                <w:b/>
                <w:color w:val="000000"/>
                <w:sz w:val="24"/>
                <w:szCs w:val="20"/>
                <w:highlight w:val="none"/>
              </w:rPr>
            </w:pPr>
          </w:p>
        </w:tc>
        <w:tc>
          <w:tcPr>
            <w:tcW w:w="1208" w:type="dxa"/>
            <w:gridSpan w:val="2"/>
            <w:shd w:val="clear" w:color="auto" w:fill="FFFFFF"/>
            <w:noWrap w:val="0"/>
            <w:vAlign w:val="center"/>
          </w:tcPr>
          <w:p w14:paraId="01CC314B">
            <w:pPr>
              <w:pStyle w:val="210"/>
              <w:spacing w:line="440" w:lineRule="exact"/>
              <w:jc w:val="center"/>
              <w:rPr>
                <w:rFonts w:ascii="宋体" w:hAnsi="宋体"/>
                <w:b/>
                <w:color w:val="000000"/>
                <w:sz w:val="24"/>
                <w:szCs w:val="20"/>
                <w:highlight w:val="none"/>
              </w:rPr>
            </w:pPr>
          </w:p>
        </w:tc>
        <w:tc>
          <w:tcPr>
            <w:tcW w:w="743" w:type="dxa"/>
            <w:shd w:val="clear" w:color="auto" w:fill="FFFFFF"/>
            <w:noWrap w:val="0"/>
            <w:vAlign w:val="center"/>
          </w:tcPr>
          <w:p w14:paraId="1C859C2A">
            <w:pPr>
              <w:pStyle w:val="210"/>
              <w:spacing w:line="440" w:lineRule="exact"/>
              <w:jc w:val="center"/>
              <w:rPr>
                <w:rFonts w:ascii="宋体" w:hAnsi="宋体"/>
                <w:b/>
                <w:color w:val="000000"/>
                <w:sz w:val="24"/>
                <w:szCs w:val="20"/>
                <w:highlight w:val="none"/>
              </w:rPr>
            </w:pPr>
          </w:p>
        </w:tc>
      </w:tr>
      <w:tr w14:paraId="1C8F2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6" w:hRule="atLeast"/>
        </w:trPr>
        <w:tc>
          <w:tcPr>
            <w:tcW w:w="615" w:type="dxa"/>
            <w:shd w:val="clear" w:color="auto" w:fill="FFFFFF"/>
            <w:noWrap w:val="0"/>
            <w:vAlign w:val="center"/>
          </w:tcPr>
          <w:p w14:paraId="43650636">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2</w:t>
            </w:r>
          </w:p>
        </w:tc>
        <w:tc>
          <w:tcPr>
            <w:tcW w:w="3248" w:type="dxa"/>
            <w:gridSpan w:val="3"/>
            <w:shd w:val="clear" w:color="auto" w:fill="FFFFFF"/>
            <w:noWrap w:val="0"/>
            <w:vAlign w:val="center"/>
          </w:tcPr>
          <w:p w14:paraId="217D23EC">
            <w:pPr>
              <w:pStyle w:val="210"/>
              <w:spacing w:line="440" w:lineRule="exact"/>
              <w:jc w:val="center"/>
              <w:rPr>
                <w:rFonts w:ascii="宋体" w:hAnsi="宋体"/>
                <w:b/>
                <w:color w:val="000000"/>
                <w:sz w:val="24"/>
                <w:szCs w:val="20"/>
                <w:highlight w:val="none"/>
              </w:rPr>
            </w:pPr>
          </w:p>
        </w:tc>
        <w:tc>
          <w:tcPr>
            <w:tcW w:w="1140" w:type="dxa"/>
            <w:shd w:val="clear" w:color="auto" w:fill="FFFFFF"/>
            <w:noWrap w:val="0"/>
            <w:vAlign w:val="center"/>
          </w:tcPr>
          <w:p w14:paraId="08FF11F2">
            <w:pPr>
              <w:pStyle w:val="210"/>
              <w:spacing w:line="440" w:lineRule="exact"/>
              <w:jc w:val="center"/>
              <w:rPr>
                <w:rFonts w:ascii="宋体" w:hAnsi="宋体"/>
                <w:b/>
                <w:color w:val="000000"/>
                <w:sz w:val="24"/>
                <w:szCs w:val="20"/>
                <w:highlight w:val="none"/>
              </w:rPr>
            </w:pPr>
          </w:p>
        </w:tc>
        <w:tc>
          <w:tcPr>
            <w:tcW w:w="587" w:type="dxa"/>
            <w:shd w:val="clear" w:color="auto" w:fill="FFFFFF"/>
            <w:noWrap w:val="0"/>
            <w:vAlign w:val="center"/>
          </w:tcPr>
          <w:p w14:paraId="49948814">
            <w:pPr>
              <w:pStyle w:val="210"/>
              <w:spacing w:line="440" w:lineRule="exact"/>
              <w:jc w:val="center"/>
              <w:rPr>
                <w:rFonts w:ascii="宋体" w:hAnsi="宋体"/>
                <w:b/>
                <w:color w:val="000000"/>
                <w:sz w:val="24"/>
                <w:szCs w:val="20"/>
                <w:highlight w:val="none"/>
              </w:rPr>
            </w:pPr>
          </w:p>
        </w:tc>
        <w:tc>
          <w:tcPr>
            <w:tcW w:w="1208" w:type="dxa"/>
            <w:gridSpan w:val="2"/>
            <w:shd w:val="clear" w:color="auto" w:fill="FFFFFF"/>
            <w:noWrap w:val="0"/>
            <w:vAlign w:val="center"/>
          </w:tcPr>
          <w:p w14:paraId="0F8346C9">
            <w:pPr>
              <w:pStyle w:val="210"/>
              <w:spacing w:line="440" w:lineRule="exact"/>
              <w:jc w:val="center"/>
              <w:rPr>
                <w:rFonts w:ascii="宋体" w:hAnsi="宋体"/>
                <w:b/>
                <w:color w:val="000000"/>
                <w:sz w:val="24"/>
                <w:szCs w:val="20"/>
                <w:highlight w:val="none"/>
              </w:rPr>
            </w:pPr>
          </w:p>
        </w:tc>
        <w:tc>
          <w:tcPr>
            <w:tcW w:w="743" w:type="dxa"/>
            <w:shd w:val="clear" w:color="auto" w:fill="FFFFFF"/>
            <w:noWrap w:val="0"/>
            <w:vAlign w:val="center"/>
          </w:tcPr>
          <w:p w14:paraId="0573FEE3">
            <w:pPr>
              <w:pStyle w:val="210"/>
              <w:spacing w:line="440" w:lineRule="exact"/>
              <w:jc w:val="center"/>
              <w:rPr>
                <w:rFonts w:ascii="宋体" w:hAnsi="宋体"/>
                <w:b/>
                <w:color w:val="000000"/>
                <w:sz w:val="24"/>
                <w:szCs w:val="20"/>
                <w:highlight w:val="none"/>
              </w:rPr>
            </w:pPr>
          </w:p>
        </w:tc>
      </w:tr>
      <w:tr w14:paraId="23B9B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615" w:type="dxa"/>
            <w:shd w:val="clear" w:color="auto" w:fill="FFFFFF"/>
            <w:noWrap w:val="0"/>
            <w:vAlign w:val="center"/>
          </w:tcPr>
          <w:p w14:paraId="0FD7D01A">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3</w:t>
            </w:r>
          </w:p>
        </w:tc>
        <w:tc>
          <w:tcPr>
            <w:tcW w:w="3248" w:type="dxa"/>
            <w:gridSpan w:val="3"/>
            <w:shd w:val="clear" w:color="auto" w:fill="FFFFFF"/>
            <w:noWrap w:val="0"/>
            <w:vAlign w:val="center"/>
          </w:tcPr>
          <w:p w14:paraId="305BF15E">
            <w:pPr>
              <w:pStyle w:val="210"/>
              <w:spacing w:line="440" w:lineRule="exact"/>
              <w:jc w:val="center"/>
              <w:rPr>
                <w:rFonts w:ascii="宋体" w:hAnsi="宋体"/>
                <w:b/>
                <w:color w:val="000000"/>
                <w:sz w:val="24"/>
                <w:szCs w:val="20"/>
                <w:highlight w:val="none"/>
              </w:rPr>
            </w:pPr>
          </w:p>
        </w:tc>
        <w:tc>
          <w:tcPr>
            <w:tcW w:w="1140" w:type="dxa"/>
            <w:shd w:val="clear" w:color="auto" w:fill="FFFFFF"/>
            <w:noWrap w:val="0"/>
            <w:vAlign w:val="center"/>
          </w:tcPr>
          <w:p w14:paraId="74C9E53F">
            <w:pPr>
              <w:pStyle w:val="210"/>
              <w:spacing w:line="440" w:lineRule="exact"/>
              <w:jc w:val="center"/>
              <w:rPr>
                <w:rFonts w:ascii="宋体" w:hAnsi="宋体"/>
                <w:b/>
                <w:color w:val="000000"/>
                <w:sz w:val="24"/>
                <w:szCs w:val="20"/>
                <w:highlight w:val="none"/>
              </w:rPr>
            </w:pPr>
          </w:p>
        </w:tc>
        <w:tc>
          <w:tcPr>
            <w:tcW w:w="587" w:type="dxa"/>
            <w:shd w:val="clear" w:color="auto" w:fill="FFFFFF"/>
            <w:noWrap w:val="0"/>
            <w:vAlign w:val="center"/>
          </w:tcPr>
          <w:p w14:paraId="3EAB515F">
            <w:pPr>
              <w:pStyle w:val="210"/>
              <w:spacing w:line="440" w:lineRule="exact"/>
              <w:jc w:val="center"/>
              <w:rPr>
                <w:rFonts w:ascii="宋体" w:hAnsi="宋体"/>
                <w:b/>
                <w:color w:val="000000"/>
                <w:sz w:val="24"/>
                <w:szCs w:val="20"/>
                <w:highlight w:val="none"/>
              </w:rPr>
            </w:pPr>
          </w:p>
        </w:tc>
        <w:tc>
          <w:tcPr>
            <w:tcW w:w="1208" w:type="dxa"/>
            <w:gridSpan w:val="2"/>
            <w:shd w:val="clear" w:color="auto" w:fill="FFFFFF"/>
            <w:noWrap w:val="0"/>
            <w:vAlign w:val="center"/>
          </w:tcPr>
          <w:p w14:paraId="65D9E211">
            <w:pPr>
              <w:pStyle w:val="210"/>
              <w:spacing w:line="440" w:lineRule="exact"/>
              <w:jc w:val="center"/>
              <w:rPr>
                <w:rFonts w:ascii="宋体" w:hAnsi="宋体"/>
                <w:b/>
                <w:color w:val="000000"/>
                <w:sz w:val="24"/>
                <w:szCs w:val="20"/>
                <w:highlight w:val="none"/>
              </w:rPr>
            </w:pPr>
          </w:p>
        </w:tc>
        <w:tc>
          <w:tcPr>
            <w:tcW w:w="743" w:type="dxa"/>
            <w:shd w:val="clear" w:color="auto" w:fill="FFFFFF"/>
            <w:noWrap w:val="0"/>
            <w:vAlign w:val="center"/>
          </w:tcPr>
          <w:p w14:paraId="0E4E3547">
            <w:pPr>
              <w:pStyle w:val="210"/>
              <w:spacing w:line="440" w:lineRule="exact"/>
              <w:jc w:val="center"/>
              <w:rPr>
                <w:rFonts w:ascii="宋体" w:hAnsi="宋体"/>
                <w:b/>
                <w:color w:val="000000"/>
                <w:sz w:val="24"/>
                <w:szCs w:val="20"/>
                <w:highlight w:val="none"/>
              </w:rPr>
            </w:pPr>
          </w:p>
        </w:tc>
      </w:tr>
      <w:tr w14:paraId="5C50C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615" w:type="dxa"/>
            <w:shd w:val="clear" w:color="auto" w:fill="FFFFFF"/>
            <w:noWrap w:val="0"/>
            <w:vAlign w:val="center"/>
          </w:tcPr>
          <w:p w14:paraId="2746AEA6">
            <w:pPr>
              <w:pStyle w:val="210"/>
              <w:spacing w:line="440" w:lineRule="exact"/>
              <w:jc w:val="center"/>
              <w:rPr>
                <w:rFonts w:ascii="宋体" w:hAnsi="宋体"/>
                <w:b/>
                <w:color w:val="000000"/>
                <w:sz w:val="24"/>
                <w:szCs w:val="20"/>
                <w:highlight w:val="none"/>
              </w:rPr>
            </w:pPr>
            <w:r>
              <w:rPr>
                <w:rFonts w:ascii="宋体" w:hAnsi="宋体"/>
                <w:b/>
                <w:color w:val="000000"/>
                <w:sz w:val="24"/>
                <w:szCs w:val="20"/>
                <w:highlight w:val="none"/>
              </w:rPr>
              <w:t>…</w:t>
            </w:r>
          </w:p>
        </w:tc>
        <w:tc>
          <w:tcPr>
            <w:tcW w:w="3248" w:type="dxa"/>
            <w:gridSpan w:val="3"/>
            <w:shd w:val="clear" w:color="auto" w:fill="FFFFFF"/>
            <w:noWrap w:val="0"/>
            <w:vAlign w:val="center"/>
          </w:tcPr>
          <w:p w14:paraId="2637C999">
            <w:pPr>
              <w:pStyle w:val="210"/>
              <w:spacing w:line="440" w:lineRule="exact"/>
              <w:jc w:val="center"/>
              <w:rPr>
                <w:rFonts w:ascii="宋体" w:hAnsi="宋体"/>
                <w:b/>
                <w:color w:val="000000"/>
                <w:sz w:val="24"/>
                <w:szCs w:val="20"/>
                <w:highlight w:val="none"/>
              </w:rPr>
            </w:pPr>
          </w:p>
        </w:tc>
        <w:tc>
          <w:tcPr>
            <w:tcW w:w="1140" w:type="dxa"/>
            <w:shd w:val="clear" w:color="auto" w:fill="FFFFFF"/>
            <w:noWrap w:val="0"/>
            <w:vAlign w:val="center"/>
          </w:tcPr>
          <w:p w14:paraId="67736F5E">
            <w:pPr>
              <w:pStyle w:val="210"/>
              <w:spacing w:line="440" w:lineRule="exact"/>
              <w:jc w:val="center"/>
              <w:rPr>
                <w:rFonts w:ascii="宋体" w:hAnsi="宋体"/>
                <w:b/>
                <w:color w:val="000000"/>
                <w:sz w:val="24"/>
                <w:szCs w:val="20"/>
                <w:highlight w:val="none"/>
              </w:rPr>
            </w:pPr>
          </w:p>
        </w:tc>
        <w:tc>
          <w:tcPr>
            <w:tcW w:w="587" w:type="dxa"/>
            <w:shd w:val="clear" w:color="auto" w:fill="FFFFFF"/>
            <w:noWrap w:val="0"/>
            <w:vAlign w:val="center"/>
          </w:tcPr>
          <w:p w14:paraId="65FF7779">
            <w:pPr>
              <w:pStyle w:val="210"/>
              <w:spacing w:line="440" w:lineRule="exact"/>
              <w:jc w:val="center"/>
              <w:rPr>
                <w:rFonts w:ascii="宋体" w:hAnsi="宋体"/>
                <w:b/>
                <w:color w:val="000000"/>
                <w:sz w:val="24"/>
                <w:szCs w:val="20"/>
                <w:highlight w:val="none"/>
              </w:rPr>
            </w:pPr>
          </w:p>
        </w:tc>
        <w:tc>
          <w:tcPr>
            <w:tcW w:w="1208" w:type="dxa"/>
            <w:gridSpan w:val="2"/>
            <w:shd w:val="clear" w:color="auto" w:fill="FFFFFF"/>
            <w:noWrap w:val="0"/>
            <w:vAlign w:val="center"/>
          </w:tcPr>
          <w:p w14:paraId="6CE8A5BC">
            <w:pPr>
              <w:pStyle w:val="210"/>
              <w:spacing w:line="440" w:lineRule="exact"/>
              <w:jc w:val="center"/>
              <w:rPr>
                <w:rFonts w:ascii="宋体" w:hAnsi="宋体"/>
                <w:b/>
                <w:color w:val="000000"/>
                <w:sz w:val="24"/>
                <w:szCs w:val="20"/>
                <w:highlight w:val="none"/>
              </w:rPr>
            </w:pPr>
          </w:p>
        </w:tc>
        <w:tc>
          <w:tcPr>
            <w:tcW w:w="743" w:type="dxa"/>
            <w:shd w:val="clear" w:color="auto" w:fill="FFFFFF"/>
            <w:noWrap w:val="0"/>
            <w:vAlign w:val="center"/>
          </w:tcPr>
          <w:p w14:paraId="4EDF6759">
            <w:pPr>
              <w:pStyle w:val="210"/>
              <w:spacing w:line="440" w:lineRule="exact"/>
              <w:jc w:val="center"/>
              <w:rPr>
                <w:rFonts w:ascii="宋体" w:hAnsi="宋体"/>
                <w:b/>
                <w:color w:val="000000"/>
                <w:sz w:val="24"/>
                <w:szCs w:val="20"/>
                <w:highlight w:val="none"/>
              </w:rPr>
            </w:pPr>
          </w:p>
        </w:tc>
      </w:tr>
      <w:tr w14:paraId="146C3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15" w:type="dxa"/>
            <w:shd w:val="clear" w:color="auto" w:fill="BFBFBF"/>
            <w:noWrap w:val="0"/>
            <w:vAlign w:val="center"/>
          </w:tcPr>
          <w:p w14:paraId="739ED05B">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五</w:t>
            </w:r>
          </w:p>
        </w:tc>
        <w:tc>
          <w:tcPr>
            <w:tcW w:w="8041" w:type="dxa"/>
            <w:gridSpan w:val="8"/>
            <w:shd w:val="clear" w:color="auto" w:fill="BFBFBF"/>
            <w:noWrap w:val="0"/>
            <w:vAlign w:val="center"/>
          </w:tcPr>
          <w:p w14:paraId="62D06AA0">
            <w:pPr>
              <w:pStyle w:val="210"/>
              <w:spacing w:line="440" w:lineRule="exact"/>
              <w:jc w:val="center"/>
              <w:rPr>
                <w:rFonts w:ascii="宋体" w:hAnsi="宋体"/>
                <w:b/>
                <w:color w:val="000000"/>
                <w:sz w:val="24"/>
                <w:szCs w:val="20"/>
                <w:highlight w:val="none"/>
              </w:rPr>
            </w:pPr>
            <w:r>
              <w:rPr>
                <w:rFonts w:hint="eastAsia" w:ascii="宋体" w:hAnsi="宋体"/>
                <w:b/>
                <w:color w:val="000000"/>
                <w:sz w:val="24"/>
                <w:szCs w:val="20"/>
                <w:highlight w:val="none"/>
              </w:rPr>
              <w:t>提供本项目服务所必须的专业技术能力</w:t>
            </w:r>
          </w:p>
        </w:tc>
      </w:tr>
      <w:tr w14:paraId="079D0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169" w:type="dxa"/>
            <w:gridSpan w:val="9"/>
            <w:shd w:val="clear" w:color="auto" w:fill="FFFFFF"/>
            <w:noWrap w:val="0"/>
            <w:vAlign w:val="center"/>
          </w:tcPr>
          <w:p w14:paraId="26189237">
            <w:pPr>
              <w:pStyle w:val="210"/>
              <w:spacing w:line="440" w:lineRule="exact"/>
              <w:jc w:val="center"/>
              <w:rPr>
                <w:rFonts w:ascii="宋体" w:hAnsi="宋体"/>
                <w:b/>
                <w:color w:val="000000"/>
                <w:sz w:val="24"/>
                <w:szCs w:val="20"/>
                <w:highlight w:val="none"/>
              </w:rPr>
            </w:pPr>
          </w:p>
        </w:tc>
      </w:tr>
    </w:tbl>
    <w:p w14:paraId="1BEEBDDD">
      <w:pPr>
        <w:pStyle w:val="210"/>
        <w:widowControl/>
        <w:spacing w:line="440" w:lineRule="exact"/>
        <w:jc w:val="left"/>
        <w:rPr>
          <w:rFonts w:ascii="宋体" w:hAnsi="宋体"/>
          <w:b/>
          <w:bCs/>
          <w:color w:val="000000"/>
          <w:sz w:val="32"/>
          <w:szCs w:val="32"/>
          <w:highlight w:val="none"/>
        </w:rPr>
      </w:pPr>
    </w:p>
    <w:p w14:paraId="5C173D41">
      <w:pPr>
        <w:pStyle w:val="210"/>
        <w:spacing w:line="440" w:lineRule="exact"/>
        <w:rPr>
          <w:rFonts w:hint="eastAsia" w:ascii="宋体" w:hAnsi="宋体"/>
          <w:color w:val="000000"/>
          <w:sz w:val="24"/>
          <w:highlight w:val="none"/>
          <w:u w:val="single"/>
        </w:rPr>
      </w:pPr>
      <w:r>
        <w:rPr>
          <w:rFonts w:hint="eastAsia" w:ascii="宋体" w:hAnsi="宋体"/>
          <w:color w:val="000000"/>
          <w:sz w:val="24"/>
          <w:highlight w:val="none"/>
        </w:rPr>
        <w:t>注：1、</w:t>
      </w:r>
      <w:r>
        <w:rPr>
          <w:rFonts w:hint="eastAsia" w:ascii="宋体" w:hAnsi="宋体"/>
          <w:color w:val="000000"/>
          <w:sz w:val="24"/>
          <w:highlight w:val="none"/>
          <w:u w:val="single"/>
        </w:rPr>
        <w:t>如行数不够请自行添加。</w:t>
      </w:r>
    </w:p>
    <w:p w14:paraId="5BC81244">
      <w:pPr>
        <w:pStyle w:val="210"/>
        <w:spacing w:line="440" w:lineRule="exact"/>
        <w:rPr>
          <w:rFonts w:hint="eastAsia" w:ascii="宋体" w:hAnsi="宋体"/>
          <w:color w:val="000000"/>
          <w:sz w:val="24"/>
          <w:highlight w:val="none"/>
          <w:u w:val="single"/>
        </w:rPr>
      </w:pPr>
    </w:p>
    <w:p w14:paraId="16C33D8A">
      <w:pPr>
        <w:pStyle w:val="210"/>
        <w:spacing w:line="440" w:lineRule="exact"/>
        <w:rPr>
          <w:rFonts w:hint="eastAsia" w:ascii="宋体" w:hAnsi="宋体"/>
          <w:color w:val="000000"/>
          <w:sz w:val="24"/>
          <w:highlight w:val="none"/>
          <w:u w:val="single"/>
        </w:rPr>
      </w:pPr>
    </w:p>
    <w:p w14:paraId="6C09BAFC">
      <w:pPr>
        <w:pStyle w:val="210"/>
        <w:spacing w:line="440" w:lineRule="exact"/>
        <w:rPr>
          <w:rFonts w:hint="eastAsia" w:ascii="宋体" w:hAnsi="宋体"/>
          <w:color w:val="000000"/>
          <w:sz w:val="24"/>
          <w:highlight w:val="none"/>
          <w:u w:val="single"/>
        </w:rPr>
      </w:pPr>
    </w:p>
    <w:p w14:paraId="1D59587F">
      <w:pPr>
        <w:pStyle w:val="210"/>
        <w:spacing w:line="440" w:lineRule="exact"/>
        <w:rPr>
          <w:rFonts w:hint="eastAsia" w:ascii="宋体" w:hAnsi="宋体"/>
          <w:color w:val="000000"/>
          <w:sz w:val="24"/>
          <w:highlight w:val="none"/>
          <w:u w:val="single"/>
        </w:rPr>
      </w:pPr>
    </w:p>
    <w:p w14:paraId="7F714BA9">
      <w:pPr>
        <w:pStyle w:val="210"/>
        <w:spacing w:line="440" w:lineRule="exact"/>
        <w:rPr>
          <w:rFonts w:hint="eastAsia" w:ascii="宋体" w:hAnsi="宋体"/>
          <w:color w:val="000000"/>
          <w:sz w:val="24"/>
          <w:highlight w:val="none"/>
          <w:u w:val="single"/>
        </w:rPr>
      </w:pPr>
    </w:p>
    <w:p w14:paraId="5989CCE3">
      <w:pPr>
        <w:pStyle w:val="210"/>
        <w:spacing w:line="440" w:lineRule="exact"/>
        <w:rPr>
          <w:rFonts w:hint="eastAsia" w:ascii="宋体" w:hAnsi="宋体"/>
          <w:color w:val="000000"/>
          <w:sz w:val="24"/>
          <w:highlight w:val="none"/>
          <w:u w:val="single"/>
        </w:rPr>
      </w:pPr>
    </w:p>
    <w:p w14:paraId="5AAAE9C1">
      <w:pPr>
        <w:pStyle w:val="210"/>
        <w:spacing w:line="440" w:lineRule="exact"/>
        <w:rPr>
          <w:rFonts w:hint="eastAsia" w:ascii="宋体" w:hAnsi="宋体"/>
          <w:color w:val="000000"/>
          <w:sz w:val="24"/>
          <w:highlight w:val="none"/>
          <w:u w:val="single"/>
        </w:rPr>
      </w:pPr>
    </w:p>
    <w:p w14:paraId="552527B8">
      <w:pPr>
        <w:pStyle w:val="210"/>
        <w:spacing w:line="440" w:lineRule="exact"/>
        <w:rPr>
          <w:rFonts w:hint="eastAsia" w:ascii="宋体" w:hAnsi="宋体"/>
          <w:color w:val="000000"/>
          <w:sz w:val="24"/>
          <w:highlight w:val="none"/>
          <w:u w:val="single"/>
        </w:rPr>
      </w:pPr>
    </w:p>
    <w:p w14:paraId="4D88E3A9">
      <w:pPr>
        <w:pStyle w:val="210"/>
        <w:spacing w:line="440" w:lineRule="exact"/>
        <w:rPr>
          <w:rFonts w:hint="eastAsia" w:ascii="宋体" w:hAnsi="宋体"/>
          <w:color w:val="000000"/>
          <w:sz w:val="24"/>
          <w:highlight w:val="none"/>
          <w:u w:val="single"/>
        </w:rPr>
      </w:pPr>
    </w:p>
    <w:p w14:paraId="0E900AF9">
      <w:pPr>
        <w:pStyle w:val="210"/>
        <w:spacing w:line="440" w:lineRule="exact"/>
        <w:rPr>
          <w:rFonts w:hint="eastAsia" w:ascii="宋体" w:hAnsi="宋体"/>
          <w:color w:val="000000"/>
          <w:sz w:val="24"/>
          <w:highlight w:val="none"/>
          <w:u w:val="single"/>
        </w:rPr>
      </w:pPr>
    </w:p>
    <w:p w14:paraId="27188FA7">
      <w:pPr>
        <w:spacing w:before="145" w:after="145" w:line="440" w:lineRule="exact"/>
        <w:jc w:val="center"/>
        <w:outlineLvl w:val="2"/>
        <w:rPr>
          <w:rFonts w:hint="eastAsia" w:ascii="宋体" w:hAnsi="宋体" w:eastAsia="宋体" w:cs="仿宋"/>
          <w:b/>
          <w:bCs/>
          <w:color w:val="000000"/>
          <w:sz w:val="32"/>
          <w:szCs w:val="32"/>
          <w:highlight w:val="none"/>
          <w:lang w:val="en-US" w:eastAsia="zh-CN"/>
        </w:rPr>
      </w:pPr>
    </w:p>
    <w:p w14:paraId="700D63E0">
      <w:pPr>
        <w:widowControl/>
        <w:jc w:val="center"/>
        <w:rPr>
          <w:rFonts w:asciiTheme="minorEastAsia" w:hAnsiTheme="minorEastAsia" w:eastAsiaTheme="minorEastAsia"/>
          <w:sz w:val="36"/>
          <w:szCs w:val="36"/>
        </w:rPr>
      </w:pPr>
      <w:r>
        <w:rPr>
          <w:rFonts w:hint="eastAsia" w:asciiTheme="minorEastAsia" w:hAnsiTheme="minorEastAsia"/>
          <w:sz w:val="36"/>
          <w:szCs w:val="36"/>
          <w:lang w:val="en-US" w:eastAsia="zh-CN"/>
        </w:rPr>
        <w:t>十九、</w:t>
      </w:r>
      <w:r>
        <w:rPr>
          <w:rFonts w:asciiTheme="minorEastAsia" w:hAnsiTheme="minorEastAsia" w:eastAsiaTheme="minorEastAsia"/>
          <w:sz w:val="36"/>
          <w:szCs w:val="36"/>
        </w:rPr>
        <w:t>项目负责人无在建工程承诺书</w:t>
      </w:r>
    </w:p>
    <w:p w14:paraId="4D2E1E3B">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我单位现参加</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w:t>
      </w:r>
      <w:r>
        <w:rPr>
          <w:rFonts w:hint="eastAsia" w:asciiTheme="minorEastAsia" w:hAnsiTheme="minorEastAsia" w:eastAsiaTheme="minorEastAsia"/>
          <w:sz w:val="24"/>
          <w:szCs w:val="24"/>
        </w:rPr>
        <w:t>招标人</w:t>
      </w:r>
      <w:r>
        <w:rPr>
          <w:rFonts w:asciiTheme="minorEastAsia" w:hAnsiTheme="minorEastAsia" w:eastAsiaTheme="minorEastAsia"/>
          <w:sz w:val="24"/>
          <w:szCs w:val="24"/>
        </w:rPr>
        <w:t>)</w:t>
      </w:r>
      <w:r>
        <w:rPr>
          <w:rFonts w:hint="eastAsia" w:asciiTheme="minorEastAsia" w:hAnsiTheme="minorEastAsia" w:eastAsiaTheme="minorEastAsia"/>
          <w:sz w:val="24"/>
          <w:szCs w:val="24"/>
        </w:rPr>
        <w:t>的</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工程施工招标报名，依据国家对项目负责人管理的要求，我单位郑重向</w:t>
      </w:r>
      <w:r>
        <w:rPr>
          <w:rFonts w:hint="eastAsia" w:asciiTheme="minorEastAsia" w:hAnsiTheme="minorEastAsia"/>
          <w:sz w:val="24"/>
          <w:szCs w:val="24"/>
          <w:lang w:eastAsia="zh-CN"/>
        </w:rPr>
        <w:t>招标人</w:t>
      </w:r>
      <w:r>
        <w:rPr>
          <w:rFonts w:hint="eastAsia" w:asciiTheme="minorEastAsia" w:hAnsiTheme="minorEastAsia" w:eastAsiaTheme="minorEastAsia"/>
          <w:sz w:val="24"/>
          <w:szCs w:val="24"/>
        </w:rPr>
        <w:t>作如下承诺：</w:t>
      </w:r>
    </w:p>
    <w:p w14:paraId="063C9CBD">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一、我单位将严格执行国家对项目负责人的各项管理要求，决不出借转让企业和项目负责人资质，保证在成交后，由投标文件中投标项目负责人按照国家规范精心组织施工，按期保质完成施工任务。如项目负责人无正当理由不能到现场作业，我单位将放弃中标，并承担给业主造成的损失。</w:t>
      </w:r>
      <w:r>
        <w:rPr>
          <w:rFonts w:asciiTheme="minorEastAsia" w:hAnsiTheme="minorEastAsia" w:eastAsiaTheme="minorEastAsia"/>
          <w:sz w:val="24"/>
          <w:szCs w:val="24"/>
        </w:rPr>
        <w:t xml:space="preserve"> </w:t>
      </w:r>
    </w:p>
    <w:p w14:paraId="061C66F7">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二、在施工期间，项目负责人原则上每天到现场，重要工序施工时跟班作业。项目负责人因事请假，连续两天不能到现场则应事先报告业主并征得同意。如遇人事变动、调职等情况需变更成交项目负责人，我单位将严格履行手续，向</w:t>
      </w:r>
      <w:r>
        <w:rPr>
          <w:rFonts w:hint="eastAsia" w:asciiTheme="minorEastAsia" w:hAnsiTheme="minorEastAsia"/>
          <w:sz w:val="24"/>
          <w:szCs w:val="24"/>
          <w:lang w:eastAsia="zh-CN"/>
        </w:rPr>
        <w:t>招标人</w:t>
      </w:r>
      <w:r>
        <w:rPr>
          <w:rFonts w:hint="eastAsia" w:asciiTheme="minorEastAsia" w:hAnsiTheme="minorEastAsia" w:eastAsiaTheme="minorEastAsia"/>
          <w:sz w:val="24"/>
          <w:szCs w:val="24"/>
        </w:rPr>
        <w:t>提出书面申请，说明事由，待批准后到市招标办办理变更项目负责人的备案手续。</w:t>
      </w:r>
    </w:p>
    <w:p w14:paraId="7C6B10B2">
      <w:pPr>
        <w:spacing w:line="440" w:lineRule="exact"/>
        <w:ind w:firstLine="480"/>
        <w:rPr>
          <w:rFonts w:hint="eastAsia" w:eastAsia="宋体" w:asciiTheme="minorEastAsia" w:hAnsiTheme="minorEastAsia"/>
          <w:sz w:val="24"/>
          <w:szCs w:val="24"/>
          <w:lang w:eastAsia="zh-CN"/>
        </w:rPr>
      </w:pPr>
      <w:r>
        <w:rPr>
          <w:rFonts w:hint="eastAsia" w:asciiTheme="minorEastAsia" w:hAnsiTheme="minorEastAsia" w:eastAsiaTheme="minorEastAsia"/>
          <w:sz w:val="24"/>
          <w:szCs w:val="24"/>
        </w:rPr>
        <w:t>三、我单位保证，本次投标项目负责人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w:t>
      </w:r>
      <w:r>
        <w:rPr>
          <w:rFonts w:hint="eastAsia" w:asciiTheme="minorEastAsia" w:hAnsiTheme="minorEastAsia" w:eastAsiaTheme="minorEastAsia"/>
          <w:sz w:val="24"/>
          <w:szCs w:val="24"/>
        </w:rPr>
        <w:t>姓名</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，项目负责人资质证书号码</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，在建工程情况如下：</w:t>
      </w:r>
      <w:r>
        <w:rPr>
          <w:rFonts w:asciiTheme="minorEastAsia" w:hAnsiTheme="minorEastAsia" w:eastAsiaTheme="minorEastAsia"/>
          <w:sz w:val="24"/>
          <w:szCs w:val="24"/>
          <w:u w:val="single"/>
        </w:rPr>
        <w:t xml:space="preserve">   </w:t>
      </w:r>
      <w:r>
        <w:rPr>
          <w:rFonts w:hint="eastAsia" w:eastAsia="宋体" w:asciiTheme="minorEastAsia" w:hAnsiTheme="minorEastAsia"/>
          <w:sz w:val="24"/>
          <w:szCs w:val="24"/>
          <w:u w:val="single"/>
          <w:lang w:val="en-US" w:eastAsia="zh-CN"/>
        </w:rPr>
        <w:t xml:space="preserve">    </w:t>
      </w:r>
      <w:r>
        <w:rPr>
          <w:rFonts w:asciiTheme="minorEastAsia" w:hAnsiTheme="minorEastAsia" w:eastAsiaTheme="minorEastAsia"/>
          <w:sz w:val="24"/>
          <w:szCs w:val="24"/>
          <w:u w:val="single"/>
        </w:rPr>
        <w:t xml:space="preserve">  </w:t>
      </w:r>
      <w:r>
        <w:rPr>
          <w:rFonts w:hint="eastAsia" w:eastAsia="宋体" w:asciiTheme="minorEastAsia" w:hAnsiTheme="minorEastAsia"/>
          <w:sz w:val="24"/>
          <w:szCs w:val="24"/>
          <w:u w:val="none"/>
          <w:lang w:eastAsia="zh-CN"/>
        </w:rPr>
        <w:t>。</w:t>
      </w:r>
    </w:p>
    <w:p w14:paraId="0BB83503">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、项目负责人是非变更后无在建工程的。</w:t>
      </w:r>
    </w:p>
    <w:p w14:paraId="138FCFD9">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、项目负责人是变更后无在建工程的，并且原合同工期已满且变更备案之日已满</w:t>
      </w:r>
      <w:r>
        <w:rPr>
          <w:rFonts w:asciiTheme="minorEastAsia" w:hAnsiTheme="minorEastAsia" w:eastAsiaTheme="minorEastAsia"/>
          <w:sz w:val="24"/>
          <w:szCs w:val="24"/>
        </w:rPr>
        <w:t>6</w:t>
      </w:r>
      <w:r>
        <w:rPr>
          <w:rFonts w:hint="eastAsia" w:asciiTheme="minorEastAsia" w:hAnsiTheme="minorEastAsia" w:eastAsiaTheme="minorEastAsia"/>
          <w:sz w:val="24"/>
          <w:szCs w:val="24"/>
        </w:rPr>
        <w:t>个月；或者，因非承包方原因致使工程项目停工超过</w:t>
      </w:r>
      <w:r>
        <w:rPr>
          <w:rFonts w:asciiTheme="minorEastAsia" w:hAnsiTheme="minorEastAsia" w:eastAsiaTheme="minorEastAsia"/>
          <w:sz w:val="24"/>
          <w:szCs w:val="24"/>
        </w:rPr>
        <w:t>120</w:t>
      </w:r>
      <w:r>
        <w:rPr>
          <w:rFonts w:hint="eastAsia" w:asciiTheme="minorEastAsia" w:hAnsiTheme="minorEastAsia" w:eastAsiaTheme="minorEastAsia"/>
          <w:sz w:val="24"/>
          <w:szCs w:val="24"/>
        </w:rPr>
        <w:t>天，且经建设单位同意并已经办理项目负责人变更手续的。</w:t>
      </w:r>
      <w:r>
        <w:rPr>
          <w:rFonts w:asciiTheme="minorEastAsia" w:hAnsiTheme="minorEastAsia" w:eastAsiaTheme="minorEastAsia"/>
          <w:sz w:val="24"/>
          <w:szCs w:val="24"/>
        </w:rPr>
        <w:t xml:space="preserve"> </w:t>
      </w:r>
    </w:p>
    <w:p w14:paraId="42E34167">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、项目负责人有在建设工程，但该在建工程与本次招标的工程属于同一工程项目、同一项目批文、同一施工地点分段发包或分期施工的情况。</w:t>
      </w:r>
    </w:p>
    <w:p w14:paraId="057DD2C2">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四、我单位将严格遵守廉洁自律的相关规定。</w:t>
      </w:r>
      <w:r>
        <w:rPr>
          <w:rFonts w:asciiTheme="minorEastAsia" w:hAnsiTheme="minorEastAsia" w:eastAsiaTheme="minorEastAsia"/>
          <w:sz w:val="24"/>
          <w:szCs w:val="24"/>
        </w:rPr>
        <w:t xml:space="preserve"> </w:t>
      </w:r>
    </w:p>
    <w:p w14:paraId="6D25ACFD">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没收投标保证金的处罚。</w:t>
      </w:r>
      <w:r>
        <w:rPr>
          <w:rFonts w:asciiTheme="minorEastAsia" w:hAnsiTheme="minorEastAsia" w:eastAsiaTheme="minorEastAsia"/>
          <w:sz w:val="24"/>
          <w:szCs w:val="24"/>
        </w:rPr>
        <w:t xml:space="preserve"> </w:t>
      </w:r>
    </w:p>
    <w:p w14:paraId="677970E5">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p>
    <w:p w14:paraId="6A6F3943">
      <w:pPr>
        <w:spacing w:line="440" w:lineRule="exact"/>
        <w:rPr>
          <w:rFonts w:asciiTheme="minorEastAsia" w:hAnsiTheme="minorEastAsia" w:eastAsiaTheme="minorEastAsia"/>
          <w:sz w:val="24"/>
          <w:szCs w:val="24"/>
        </w:rPr>
      </w:pPr>
    </w:p>
    <w:p w14:paraId="35B11768">
      <w:pPr>
        <w:spacing w:line="440" w:lineRule="exact"/>
        <w:jc w:val="right"/>
        <w:rPr>
          <w:rFonts w:asciiTheme="minorEastAsia" w:hAnsiTheme="minorEastAsia" w:eastAsiaTheme="minorEastAsia"/>
          <w:sz w:val="24"/>
          <w:szCs w:val="24"/>
        </w:rPr>
      </w:pPr>
      <w:r>
        <w:rPr>
          <w:rFonts w:hint="eastAsia" w:asciiTheme="minorEastAsia" w:hAnsiTheme="minorEastAsia" w:eastAsiaTheme="minorEastAsia"/>
          <w:sz w:val="24"/>
          <w:szCs w:val="24"/>
        </w:rPr>
        <w:t>承</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单</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位：</w:t>
      </w:r>
      <w:r>
        <w:rPr>
          <w:rFonts w:asciiTheme="minorEastAsia" w:hAnsiTheme="minorEastAsia" w:eastAsiaTheme="minorEastAsia"/>
          <w:sz w:val="24"/>
          <w:szCs w:val="24"/>
        </w:rPr>
        <w:t>(</w:t>
      </w:r>
      <w:r>
        <w:rPr>
          <w:rFonts w:hint="eastAsia" w:asciiTheme="minorEastAsia" w:hAnsiTheme="minorEastAsia" w:eastAsiaTheme="minorEastAsia"/>
          <w:sz w:val="24"/>
          <w:szCs w:val="24"/>
        </w:rPr>
        <w:t>盖章</w:t>
      </w:r>
      <w:r>
        <w:rPr>
          <w:rFonts w:asciiTheme="minorEastAsia" w:hAnsiTheme="minorEastAsia" w:eastAsiaTheme="minorEastAsia"/>
          <w:sz w:val="24"/>
          <w:szCs w:val="24"/>
        </w:rPr>
        <w:t>)</w:t>
      </w:r>
    </w:p>
    <w:p w14:paraId="61E2E8DA">
      <w:pPr>
        <w:spacing w:line="440" w:lineRule="exact"/>
        <w:jc w:val="right"/>
        <w:rPr>
          <w:rFonts w:asciiTheme="minorEastAsia" w:hAnsiTheme="minorEastAsia" w:eastAsiaTheme="minorEastAsia"/>
          <w:sz w:val="24"/>
          <w:szCs w:val="24"/>
        </w:rPr>
      </w:pPr>
      <w:r>
        <w:rPr>
          <w:rFonts w:asciiTheme="minorEastAsia" w:hAnsiTheme="minorEastAsia" w:eastAsiaTheme="minorEastAsia"/>
          <w:sz w:val="24"/>
          <w:szCs w:val="24"/>
        </w:rPr>
        <w:t xml:space="preserve">                                 </w:t>
      </w:r>
    </w:p>
    <w:p w14:paraId="64EF5221">
      <w:pPr>
        <w:spacing w:line="440" w:lineRule="exact"/>
        <w:jc w:val="right"/>
        <w:rPr>
          <w:rFonts w:asciiTheme="minorEastAsia" w:hAnsiTheme="minorEastAsia" w:eastAsiaTheme="minorEastAsia"/>
          <w:sz w:val="24"/>
          <w:szCs w:val="24"/>
        </w:rPr>
      </w:pPr>
      <w:r>
        <w:rPr>
          <w:rFonts w:hint="eastAsia" w:asciiTheme="minorEastAsia" w:hAnsiTheme="minorEastAsia" w:eastAsiaTheme="minorEastAsia"/>
          <w:sz w:val="24"/>
          <w:szCs w:val="24"/>
        </w:rPr>
        <w:t>法定代表人：</w:t>
      </w:r>
      <w:r>
        <w:rPr>
          <w:rFonts w:asciiTheme="minorEastAsia" w:hAnsiTheme="minorEastAsia" w:eastAsiaTheme="minorEastAsia"/>
          <w:sz w:val="24"/>
          <w:szCs w:val="24"/>
        </w:rPr>
        <w:t>(</w:t>
      </w:r>
      <w:r>
        <w:rPr>
          <w:rFonts w:hint="eastAsia" w:asciiTheme="minorEastAsia" w:hAnsiTheme="minorEastAsia" w:eastAsiaTheme="minorEastAsia"/>
          <w:sz w:val="24"/>
          <w:szCs w:val="24"/>
        </w:rPr>
        <w:t>签字或盖章</w:t>
      </w:r>
      <w:r>
        <w:rPr>
          <w:rFonts w:asciiTheme="minorEastAsia" w:hAnsiTheme="minorEastAsia" w:eastAsiaTheme="minorEastAsia"/>
          <w:sz w:val="24"/>
          <w:szCs w:val="24"/>
        </w:rPr>
        <w:t>)</w:t>
      </w:r>
    </w:p>
    <w:p w14:paraId="05F6C982">
      <w:pPr>
        <w:spacing w:line="440" w:lineRule="exact"/>
        <w:jc w:val="right"/>
        <w:rPr>
          <w:rFonts w:asciiTheme="minorEastAsia" w:hAnsiTheme="minorEastAsia" w:eastAsiaTheme="minorEastAsia"/>
          <w:sz w:val="24"/>
          <w:szCs w:val="24"/>
        </w:rPr>
      </w:pPr>
    </w:p>
    <w:p w14:paraId="6579BDFB">
      <w:pPr>
        <w:spacing w:line="440" w:lineRule="exact"/>
        <w:jc w:val="right"/>
        <w:rPr>
          <w:rFonts w:ascii="仿宋" w:hAnsi="仿宋" w:eastAsia="仿宋"/>
          <w:sz w:val="28"/>
          <w:szCs w:val="28"/>
        </w:rPr>
      </w:pPr>
      <w:r>
        <w:rPr>
          <w:rFonts w:hint="eastAsia" w:asciiTheme="minorEastAsia" w:hAnsiTheme="minorEastAsia" w:eastAsiaTheme="minorEastAsia"/>
          <w:sz w:val="24"/>
          <w:szCs w:val="24"/>
        </w:rPr>
        <w:t>年</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月</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日</w:t>
      </w:r>
    </w:p>
    <w:p w14:paraId="6D86A963">
      <w:pPr>
        <w:spacing w:line="440" w:lineRule="exact"/>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质疑函范本</w:t>
      </w:r>
    </w:p>
    <w:p w14:paraId="2A6B68F3">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w:t>
      </w:r>
      <w:r>
        <w:rPr>
          <w:rFonts w:hint="eastAsia" w:ascii="宋体" w:hAnsi="宋体" w:cs="仿宋"/>
          <w:bCs/>
          <w:color w:val="000000"/>
          <w:sz w:val="24"/>
          <w:szCs w:val="24"/>
          <w:highlight w:val="none"/>
          <w:lang w:eastAsia="zh-CN"/>
        </w:rPr>
        <w:t>投标人</w:t>
      </w:r>
      <w:r>
        <w:rPr>
          <w:rFonts w:hint="eastAsia" w:ascii="宋体" w:hAnsi="宋体" w:cs="仿宋"/>
          <w:bCs/>
          <w:color w:val="000000"/>
          <w:sz w:val="24"/>
          <w:szCs w:val="24"/>
          <w:highlight w:val="none"/>
        </w:rPr>
        <w:t>基本信息</w:t>
      </w:r>
    </w:p>
    <w:p w14:paraId="3AB92F7E">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w:t>
      </w:r>
      <w:r>
        <w:rPr>
          <w:rFonts w:hint="eastAsia" w:ascii="宋体" w:hAnsi="宋体" w:cs="仿宋"/>
          <w:color w:val="000000"/>
          <w:sz w:val="24"/>
          <w:szCs w:val="24"/>
          <w:highlight w:val="none"/>
          <w:lang w:eastAsia="zh-CN"/>
        </w:rPr>
        <w:t>投标人</w:t>
      </w:r>
      <w:r>
        <w:rPr>
          <w:rFonts w:hint="eastAsia" w:ascii="宋体" w:hAnsi="宋体" w:cs="仿宋"/>
          <w:color w:val="000000"/>
          <w:sz w:val="24"/>
          <w:szCs w:val="24"/>
          <w:highlight w:val="none"/>
        </w:rPr>
        <w:t>：</w:t>
      </w:r>
      <w:r>
        <w:rPr>
          <w:rFonts w:hint="eastAsia" w:ascii="宋体" w:hAnsi="宋体" w:cs="仿宋"/>
          <w:color w:val="000000"/>
          <w:sz w:val="24"/>
          <w:szCs w:val="24"/>
          <w:highlight w:val="none"/>
          <w:u w:val="single"/>
        </w:rPr>
        <w:t xml:space="preserve">                                                              </w:t>
      </w:r>
    </w:p>
    <w:p w14:paraId="7CF307F1">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2C12D5EB">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29F81641">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23E0B80B">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775A21FA">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249204D4">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7747F7A3">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78F278E9">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09A9D3B3">
      <w:pPr>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招标</w:t>
      </w:r>
      <w:r>
        <w:rPr>
          <w:rFonts w:hint="eastAsia" w:ascii="宋体" w:hAnsi="宋体" w:cs="仿宋"/>
          <w:color w:val="000000"/>
          <w:sz w:val="24"/>
          <w:szCs w:val="24"/>
          <w:highlight w:val="none"/>
        </w:rPr>
        <w:t>人名称：</w:t>
      </w:r>
      <w:r>
        <w:rPr>
          <w:rFonts w:hint="eastAsia" w:ascii="宋体" w:hAnsi="宋体" w:cs="仿宋"/>
          <w:color w:val="000000"/>
          <w:sz w:val="24"/>
          <w:szCs w:val="24"/>
          <w:highlight w:val="none"/>
          <w:u w:val="single"/>
        </w:rPr>
        <w:t xml:space="preserve">                                                              </w:t>
      </w:r>
    </w:p>
    <w:p w14:paraId="4B8948A0">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文件获取日期：</w:t>
      </w:r>
      <w:r>
        <w:rPr>
          <w:rFonts w:hint="eastAsia" w:ascii="宋体" w:hAnsi="宋体" w:cs="仿宋"/>
          <w:color w:val="000000"/>
          <w:sz w:val="24"/>
          <w:szCs w:val="24"/>
          <w:highlight w:val="none"/>
          <w:u w:val="single"/>
        </w:rPr>
        <w:t xml:space="preserve">                                                        </w:t>
      </w:r>
    </w:p>
    <w:p w14:paraId="2B7A5EF3">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03346563">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05BD95B1">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3B28E2BD">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68792004">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4A3409AC">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5E5575FF">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588FE7AC">
      <w:pPr>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3EB218D6">
      <w:pPr>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099D5526">
      <w:pPr>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472D656D">
      <w:pP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2364CF1E">
      <w:pP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311CB32A">
      <w:pPr>
        <w:spacing w:line="44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7A15C37F">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提出质疑时，应提交质疑函和必要的证明材料。</w:t>
      </w:r>
    </w:p>
    <w:p w14:paraId="5718023D">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若委托代理人进行质疑的，质疑函应按要求列明“授权代表”的有关内容，并在附件中提交由质疑</w:t>
      </w:r>
      <w:r>
        <w:rPr>
          <w:rFonts w:hint="eastAsia" w:ascii="宋体" w:hAnsi="宋体" w:cs="宋体"/>
          <w:color w:val="000000"/>
          <w:sz w:val="24"/>
          <w:szCs w:val="24"/>
          <w:highlight w:val="none"/>
          <w:lang w:eastAsia="zh-CN"/>
        </w:rPr>
        <w:t>投标人</w:t>
      </w:r>
      <w:r>
        <w:rPr>
          <w:rFonts w:hint="eastAsia" w:ascii="宋体" w:hAnsi="宋体" w:cs="宋体"/>
          <w:color w:val="000000"/>
          <w:sz w:val="24"/>
          <w:szCs w:val="24"/>
          <w:highlight w:val="none"/>
        </w:rPr>
        <w:t>签署的授权委托书。授权委托书应载明代理人的姓名或者名称、代理事项、具体权限、期限和相关事项。</w:t>
      </w:r>
    </w:p>
    <w:p w14:paraId="580FFEA7">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若对项目的某一分包进行质疑，质疑函中应列明具体分包号。</w:t>
      </w:r>
    </w:p>
    <w:p w14:paraId="0DC573A0">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5E735BD3">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02E99C61">
      <w:pPr>
        <w:widowControl/>
        <w:spacing w:line="44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6.质疑</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为自然人的，质疑函应由本人签字；质疑</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为法人或者其他组织的，质疑函应由法定代表人、主要负责人，或者其授权代表签字或者盖章，并加盖公章。</w:t>
      </w:r>
    </w:p>
    <w:p w14:paraId="121AEE41">
      <w:pPr>
        <w:pStyle w:val="186"/>
        <w:spacing w:line="440" w:lineRule="exact"/>
        <w:rPr>
          <w:rFonts w:hint="eastAsia"/>
          <w:color w:val="000000"/>
          <w:sz w:val="24"/>
          <w:szCs w:val="24"/>
          <w:highlight w:val="none"/>
        </w:rPr>
      </w:pPr>
    </w:p>
    <w:p w14:paraId="672F8B50">
      <w:pPr>
        <w:pStyle w:val="186"/>
        <w:spacing w:line="440" w:lineRule="exact"/>
        <w:rPr>
          <w:color w:val="000000"/>
          <w:sz w:val="24"/>
          <w:szCs w:val="24"/>
          <w:highlight w:val="none"/>
        </w:rPr>
      </w:pPr>
    </w:p>
    <w:p w14:paraId="5FA4F8C6">
      <w:pPr>
        <w:spacing w:line="440" w:lineRule="exact"/>
        <w:rPr>
          <w:color w:val="000000"/>
          <w:highlight w:val="none"/>
        </w:rPr>
      </w:pPr>
    </w:p>
    <w:sectPr>
      <w:footerReference r:id="rId12" w:type="first"/>
      <w:footerReference r:id="rId11" w:type="default"/>
      <w:pgSz w:w="11906" w:h="16838"/>
      <w:pgMar w:top="1418" w:right="1588" w:bottom="1418" w:left="1365"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 w:name="华文新魏">
    <w:altName w:val="Albertus Extra Bold"/>
    <w:panose1 w:val="02010800040101010101"/>
    <w:charset w:val="00"/>
    <w:family w:val="auto"/>
    <w:pitch w:val="default"/>
    <w:sig w:usb0="00000000" w:usb1="00000000" w:usb2="00000000" w:usb3="00000000" w:csb0="00000000" w:csb1="00000000"/>
  </w:font>
  <w:font w:name="Albertus Extra Bold">
    <w:panose1 w:val="020E0802040304020204"/>
    <w:charset w:val="00"/>
    <w:family w:val="auto"/>
    <w:pitch w:val="default"/>
    <w:sig w:usb0="00000007" w:usb1="00000000" w:usb2="00000000" w:usb3="00000000" w:csb0="00000093" w:csb1="00000000"/>
  </w:font>
  <w:font w:name="Cambria">
    <w:panose1 w:val="02040503050406030204"/>
    <w:charset w:val="00"/>
    <w:family w:val="auto"/>
    <w:pitch w:val="default"/>
    <w:sig w:usb0="E00006FF" w:usb1="420024FF" w:usb2="02000000" w:usb3="00000000" w:csb0="2000019F" w:csb1="00000000"/>
  </w:font>
  <w:font w:name="方正小标宋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F18D0">
    <w:pPr>
      <w:pStyle w:val="211"/>
      <w:widowControl w:val="0"/>
      <w:spacing w:line="0" w:lineRule="atLeast"/>
      <w:ind w:firstLine="0"/>
    </w:pPr>
    <w:r>
      <mc:AlternateContent>
        <mc:Choice Requires="wps">
          <w:drawing>
            <wp:anchor distT="0" distB="0" distL="114300" distR="114300" simplePos="0" relativeHeight="251660288"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5759450" cy="132715"/>
                      </a:xfrm>
                      <a:prstGeom prst="rect">
                        <a:avLst/>
                      </a:prstGeom>
                      <a:noFill/>
                      <a:ln>
                        <a:noFill/>
                      </a:ln>
                    </wps:spPr>
                    <wps:bodyPr rot="0">
                      <a:noAutofit/>
                    </wps:bodyPr>
                  </wps:wsp>
                </a:graphicData>
              </a:graphic>
            </wp:anchor>
          </w:drawing>
        </mc:Choice>
        <mc:Fallback>
          <w:pict>
            <v:shape id="_x0000_s1026" o:spid="_x0000_s1026" o:spt="202" type="#_x0000_t202" style="position:absolute;left:0pt;margin-left:70.85pt;margin-top:781.75pt;height:10.45pt;width:453.5pt;mso-position-horizontal-relative:page;mso-position-vertical-relative:page;z-index:-251656192;mso-width-relative:page;mso-height-relative:page;" filled="f" stroked="f" coordsize="21600,21600" o:allowincell="f" o:gfxdata="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X2Ww/YAAAADgEAAA8AAAAAAAAAAQAgAAAAIgAAAGRycy9kb3ducmV2LnhtbFBLAQIU&#10;ABQAAAAIAIdO4kAY8G7EugEAAGcDAAAOAAAAAAAAAAEAIAAAACcBAABkcnMvZTJvRG9jLnhtbFBL&#10;BQYAAAAABgAGAFkBAABTBQAAAAA=&#10;">
              <v:fill on="f" focussize="0,0"/>
              <v:stroke on="f"/>
              <v:imagedata o:title=""/>
              <o:lock v:ext="edit" aspectratio="f"/>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A8C7B">
    <w:pPr>
      <w:pStyle w:val="20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B4F8E">
    <w:pPr>
      <w:pStyle w:val="211"/>
      <w:widowControl w:val="0"/>
      <w:spacing w:line="0" w:lineRule="atLeast"/>
      <w:ind w:firstLine="0"/>
    </w:pPr>
    <w:r>
      <mc:AlternateContent>
        <mc:Choice Requires="wps">
          <w:drawing>
            <wp:anchor distT="0" distB="0" distL="114300" distR="114300" simplePos="0" relativeHeight="251660288"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5759450" cy="132715"/>
                      </a:xfrm>
                      <a:prstGeom prst="rect">
                        <a:avLst/>
                      </a:prstGeom>
                      <a:noFill/>
                      <a:ln>
                        <a:noFill/>
                      </a:ln>
                    </wps:spPr>
                    <wps:bodyPr rot="0">
                      <a:noAutofit/>
                    </wps:bodyPr>
                  </wps:wsp>
                </a:graphicData>
              </a:graphic>
            </wp:anchor>
          </w:drawing>
        </mc:Choice>
        <mc:Fallback>
          <w:pict>
            <v:shape id="_x0000_s1026" o:spid="_x0000_s1026" o:spt="202" type="#_x0000_t202" style="position:absolute;left:0pt;margin-left:70.85pt;margin-top:781.75pt;height:10.45pt;width:453.5pt;mso-position-horizontal-relative:page;mso-position-vertical-relative:page;z-index:-251656192;mso-width-relative:page;mso-height-relative:page;" filled="f" stroked="f" coordsize="21600,21600" o:allowincell="f" o:gfxdata="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F9lsP2AAAAA4BAAAPAAAAAAAAAAEAIAAAACIAAABkcnMvZG93bnJldi54bWxQSwECFAAU&#10;AAAACACHTuJAXVuNWbgBAABnAwAADgAAAAAAAAABACAAAAAnAQAAZHJzL2Uyb0RvYy54bWxQSwUG&#10;AAAAAAYABgBZAQAAUQUAAAAA&#10;">
              <v:fill on="f" focussize="0,0"/>
              <v:stroke on="f"/>
              <v:imagedata o:title=""/>
              <o:lock v:ext="edit" aspectratio="f"/>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71AB4">
    <w:pPr>
      <w:pStyle w:val="203"/>
      <w:jc w:val="cente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6579002">
                          <w:pPr>
                            <w:pStyle w:val="193"/>
                            <w:tabs>
                              <w:tab w:val="clear" w:pos="4153"/>
                              <w:tab w:val="clear" w:pos="8306"/>
                            </w:tabs>
                          </w:pPr>
                          <w:r>
                            <w:fldChar w:fldCharType="begin"/>
                          </w:r>
                          <w:r>
                            <w:instrText xml:space="preserve"> PAGE  \* MERGEFORMAT </w:instrText>
                          </w:r>
                          <w:r>
                            <w:fldChar w:fldCharType="separate"/>
                          </w:r>
                          <w:r>
                            <w:t>1</w:t>
                          </w:r>
                          <w:r>
                            <w:fldChar w:fldCharType="end"/>
                          </w:r>
                        </w:p>
                        <w:p w14:paraId="3655238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DZL2y0gEAAKcDAAAOAAAAAAAAAAEAIAAAAB4BAABk&#10;cnMvZTJvRG9jLnhtbFBLBQYAAAAABgAGAFkBAABiBQAAAAA=&#10;">
              <v:fill on="f" focussize="0,0"/>
              <v:stroke on="f"/>
              <v:imagedata o:title=""/>
              <o:lock v:ext="edit" aspectratio="f"/>
              <v:textbox inset="0mm,0mm,0mm,0mm" style="mso-fit-shape-to-text:t;">
                <w:txbxContent>
                  <w:p w14:paraId="16579002">
                    <w:pPr>
                      <w:pStyle w:val="193"/>
                      <w:tabs>
                        <w:tab w:val="clear" w:pos="4153"/>
                        <w:tab w:val="clear" w:pos="8306"/>
                      </w:tabs>
                    </w:pPr>
                    <w:r>
                      <w:fldChar w:fldCharType="begin"/>
                    </w:r>
                    <w:r>
                      <w:instrText xml:space="preserve"> PAGE  \* MERGEFORMAT </w:instrText>
                    </w:r>
                    <w:r>
                      <w:fldChar w:fldCharType="separate"/>
                    </w:r>
                    <w:r>
                      <w:t>1</w:t>
                    </w:r>
                    <w:r>
                      <w:fldChar w:fldCharType="end"/>
                    </w:r>
                  </w:p>
                  <w:p w14:paraId="3655238F"/>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69DFC">
    <w:pPr>
      <w:pStyle w:val="193"/>
      <w:jc w:val="center"/>
      <w:rPr>
        <w:rFonts w:eastAsia="宋体"/>
        <w:b/>
        <w:i/>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925E0B8">
                          <w:pPr>
                            <w:pStyle w:val="193"/>
                            <w:tabs>
                              <w:tab w:val="clear" w:pos="4153"/>
                              <w:tab w:val="clear" w:pos="8306"/>
                            </w:tabs>
                          </w:pPr>
                          <w:r>
                            <w:fldChar w:fldCharType="begin"/>
                          </w:r>
                          <w:r>
                            <w:instrText xml:space="preserve"> PAGE  \* MERGEFORMAT </w:instrText>
                          </w:r>
                          <w:r>
                            <w:fldChar w:fldCharType="separate"/>
                          </w:r>
                          <w:r>
                            <w:t>37</w:t>
                          </w:r>
                          <w:r>
                            <w:fldChar w:fldCharType="end"/>
                          </w:r>
                        </w:p>
                        <w:p w14:paraId="063E9E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1925E0B8">
                    <w:pPr>
                      <w:pStyle w:val="193"/>
                      <w:tabs>
                        <w:tab w:val="clear" w:pos="4153"/>
                        <w:tab w:val="clear" w:pos="8306"/>
                      </w:tabs>
                    </w:pPr>
                    <w:r>
                      <w:fldChar w:fldCharType="begin"/>
                    </w:r>
                    <w:r>
                      <w:instrText xml:space="preserve"> PAGE  \* MERGEFORMAT </w:instrText>
                    </w:r>
                    <w:r>
                      <w:fldChar w:fldCharType="separate"/>
                    </w:r>
                    <w:r>
                      <w:t>37</w:t>
                    </w:r>
                    <w:r>
                      <w:fldChar w:fldCharType="end"/>
                    </w:r>
                  </w:p>
                  <w:p w14:paraId="063E9E38"/>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31D62">
    <w:pPr>
      <w:pStyle w:val="203"/>
      <w:spacing w:line="240" w:lineRule="auto"/>
      <w:jc w:val="center"/>
      <w:rPr>
        <w:rFonts w:eastAsia="宋体"/>
        <w:lang w:val="en-US" w:eastAsia="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62A540">
                          <w:pPr>
                            <w:pStyle w:val="193"/>
                            <w:tabs>
                              <w:tab w:val="clear" w:pos="4153"/>
                              <w:tab w:val="clear" w:pos="8306"/>
                            </w:tabs>
                          </w:pPr>
                          <w:r>
                            <w:fldChar w:fldCharType="begin"/>
                          </w:r>
                          <w:r>
                            <w:instrText xml:space="preserve"> PAGE  \* MERGEFORMAT </w:instrText>
                          </w:r>
                          <w:r>
                            <w:fldChar w:fldCharType="separate"/>
                          </w:r>
                          <w:r>
                            <w:t>36</w:t>
                          </w:r>
                          <w:r>
                            <w:fldChar w:fldCharType="end"/>
                          </w:r>
                        </w:p>
                        <w:p w14:paraId="5FA9072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Jtdb9I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WU&#10;I4N6jyX13XvqjMNrGKh5zmNK1v17aOiiOEXILgxtsMkN0seom5AvN7PVEJlMEJv1ZrOkkqTafKBp&#10;hSjn6z5gfKPAshRUPNBrZnhxfodxbJ1b0jQHB21MflHj/koQZsoUSUliPGqKQz1M8mpoLiSkp0Wo&#10;uKO958y8deQz8YtzEOagnoOTD/rYEbVV5oX+FTlw0JlbmjXCToPpBbO6advSivx5zl0Pf9ju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4m11v0gEAAKkDAAAOAAAAAAAAAAEAIAAAAB4BAABk&#10;cnMvZTJvRG9jLnhtbFBLBQYAAAAABgAGAFkBAABiBQAAAAA=&#10;">
              <v:fill on="f" focussize="0,0"/>
              <v:stroke on="f"/>
              <v:imagedata o:title=""/>
              <o:lock v:ext="edit" aspectratio="f"/>
              <v:textbox inset="0mm,0mm,0mm,0mm" style="mso-fit-shape-to-text:t;">
                <w:txbxContent>
                  <w:p w14:paraId="7162A540">
                    <w:pPr>
                      <w:pStyle w:val="193"/>
                      <w:tabs>
                        <w:tab w:val="clear" w:pos="4153"/>
                        <w:tab w:val="clear" w:pos="8306"/>
                      </w:tabs>
                    </w:pPr>
                    <w:r>
                      <w:fldChar w:fldCharType="begin"/>
                    </w:r>
                    <w:r>
                      <w:instrText xml:space="preserve"> PAGE  \* MERGEFORMAT </w:instrText>
                    </w:r>
                    <w:r>
                      <w:fldChar w:fldCharType="separate"/>
                    </w:r>
                    <w:r>
                      <w:t>36</w:t>
                    </w:r>
                    <w:r>
                      <w:fldChar w:fldCharType="end"/>
                    </w:r>
                  </w:p>
                  <w:p w14:paraId="5FA90720"/>
                </w:txbxContent>
              </v:textbox>
            </v:shape>
          </w:pict>
        </mc:Fallback>
      </mc:AlternateContent>
    </w:r>
    <w:r>
      <w:rPr>
        <w:sz w:val="21"/>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4849FE"/>
                        <w:p w14:paraId="4C24C0A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134849FE"/>
                  <w:p w14:paraId="4C24C0AE"/>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DDFB">
    <w:pPr>
      <w:pStyle w:val="193"/>
      <w:jc w:val="center"/>
      <w:rPr>
        <w:rFonts w:eastAsia="宋体"/>
        <w:b/>
        <w:i/>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04B077">
                          <w:pPr>
                            <w:pStyle w:val="193"/>
                            <w:tabs>
                              <w:tab w:val="clear" w:pos="4153"/>
                              <w:tab w:val="clear" w:pos="8306"/>
                            </w:tabs>
                          </w:pPr>
                          <w:r>
                            <w:fldChar w:fldCharType="begin"/>
                          </w:r>
                          <w:r>
                            <w:instrText xml:space="preserve"> PAGE  \* MERGEFORMAT </w:instrText>
                          </w:r>
                          <w:r>
                            <w:fldChar w:fldCharType="separate"/>
                          </w:r>
                          <w:r>
                            <w:t>52</w:t>
                          </w:r>
                          <w:r>
                            <w:fldChar w:fldCharType="end"/>
                          </w:r>
                        </w:p>
                        <w:p w14:paraId="0A0E458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9JvJd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z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9JvJdMBAACpAwAADgAAAAAAAAABACAAAAAeAQAA&#10;ZHJzL2Uyb0RvYy54bWxQSwUGAAAAAAYABgBZAQAAYwUAAAAA&#10;">
              <v:fill on="f" focussize="0,0"/>
              <v:stroke on="f"/>
              <v:imagedata o:title=""/>
              <o:lock v:ext="edit" aspectratio="f"/>
              <v:textbox inset="0mm,0mm,0mm,0mm" style="mso-fit-shape-to-text:t;">
                <w:txbxContent>
                  <w:p w14:paraId="1704B077">
                    <w:pPr>
                      <w:pStyle w:val="193"/>
                      <w:tabs>
                        <w:tab w:val="clear" w:pos="4153"/>
                        <w:tab w:val="clear" w:pos="8306"/>
                      </w:tabs>
                    </w:pPr>
                    <w:r>
                      <w:fldChar w:fldCharType="begin"/>
                    </w:r>
                    <w:r>
                      <w:instrText xml:space="preserve"> PAGE  \* MERGEFORMAT </w:instrText>
                    </w:r>
                    <w:r>
                      <w:fldChar w:fldCharType="separate"/>
                    </w:r>
                    <w:r>
                      <w:t>52</w:t>
                    </w:r>
                    <w:r>
                      <w:fldChar w:fldCharType="end"/>
                    </w:r>
                  </w:p>
                  <w:p w14:paraId="0A0E458E"/>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1DFFE">
    <w:pPr>
      <w:pStyle w:val="203"/>
      <w:jc w:val="cente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2F422C">
                          <w:pPr>
                            <w:pStyle w:val="193"/>
                            <w:tabs>
                              <w:tab w:val="clear" w:pos="4153"/>
                              <w:tab w:val="clear" w:pos="8306"/>
                            </w:tabs>
                          </w:pPr>
                          <w:r>
                            <w:fldChar w:fldCharType="begin"/>
                          </w:r>
                          <w:r>
                            <w:instrText xml:space="preserve"> PAGE  \* MERGEFORMAT </w:instrText>
                          </w:r>
                          <w:r>
                            <w:fldChar w:fldCharType="separate"/>
                          </w:r>
                          <w:r>
                            <w:t>63</w:t>
                          </w:r>
                          <w:r>
                            <w:fldChar w:fldCharType="end"/>
                          </w:r>
                        </w:p>
                        <w:p w14:paraId="15C149F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HXO7dMBAACp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w1twnPOnLA08eu3r9fvP68/vjDy&#10;kUC9x4ry7j1lxuEVDJQ8+zE5D/07aOihOEXIKgxtsEkN4scom8S+3MRWQ2QyQaxX63VJIUmx+ULV&#10;ClHNz33A+FqBZcmoeaBpZnhxfotxTJ1TUjUHe21MnqhxfzkIM3mKxCR1PHKKw2GY6B2guRCRnhah&#10;5o72njPzxpHOaWdmI8zGYTZOPuhjR60tc1/oX5ICe517S7VG2KkwTTCzm7Ytrcif95z1+4dt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HXO7dMBAACpAwAADgAAAAAAAAABACAAAAAeAQAA&#10;ZHJzL2Uyb0RvYy54bWxQSwUGAAAAAAYABgBZAQAAYwUAAAAA&#10;">
              <v:fill on="f" focussize="0,0"/>
              <v:stroke on="f"/>
              <v:imagedata o:title=""/>
              <o:lock v:ext="edit" aspectratio="f"/>
              <v:textbox inset="0mm,0mm,0mm,0mm" style="mso-fit-shape-to-text:t;">
                <w:txbxContent>
                  <w:p w14:paraId="122F422C">
                    <w:pPr>
                      <w:pStyle w:val="193"/>
                      <w:tabs>
                        <w:tab w:val="clear" w:pos="4153"/>
                        <w:tab w:val="clear" w:pos="8306"/>
                      </w:tabs>
                    </w:pPr>
                    <w:r>
                      <w:fldChar w:fldCharType="begin"/>
                    </w:r>
                    <w:r>
                      <w:instrText xml:space="preserve"> PAGE  \* MERGEFORMAT </w:instrText>
                    </w:r>
                    <w:r>
                      <w:fldChar w:fldCharType="separate"/>
                    </w:r>
                    <w:r>
                      <w:t>63</w:t>
                    </w:r>
                    <w:r>
                      <w:fldChar w:fldCharType="end"/>
                    </w:r>
                  </w:p>
                  <w:p w14:paraId="15C149F2"/>
                </w:txbxContent>
              </v:textbox>
            </v:shape>
          </w:pict>
        </mc:Fallback>
      </mc:AlternateContent>
    </w:r>
    <w:r>
      <w:rPr>
        <w:rFonts w:hint="eastAsia"/>
      </w:rPr>
      <w:t>97</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BF5B3">
    <w:pPr>
      <w:pStyle w:val="203"/>
      <w:widowControl w:val="0"/>
      <w:spacing w:line="240" w:lineRule="auto"/>
    </w:pPr>
    <w:r>
      <mc:AlternateContent>
        <mc:Choice Requires="wps">
          <w:drawing>
            <wp:anchor distT="0" distB="0" distL="114300" distR="114300" simplePos="0" relativeHeight="251659264"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5759450" cy="147320"/>
                      </a:xfrm>
                      <a:prstGeom prst="rect">
                        <a:avLst/>
                      </a:prstGeom>
                      <a:noFill/>
                      <a:ln>
                        <a:noFill/>
                      </a:ln>
                    </wps:spPr>
                    <wps:bodyPr rot="0">
                      <a:noAutofit/>
                    </wps:bodyPr>
                  </wps:wsp>
                </a:graphicData>
              </a:graphic>
            </wp:anchor>
          </w:drawing>
        </mc:Choice>
        <mc:Fallback>
          <w:pict>
            <v:shape id="_x0000_s1026" o:spid="_x0000_s1026" o:spt="202" type="#_x0000_t202" style="position:absolute;left:0pt;margin-left:70.85pt;margin-top:42.5pt;height:11.6pt;width:453.5pt;mso-position-horizontal-relative:page;mso-position-vertical-relative:page;z-index:-251657216;mso-width-relative:page;mso-height-relative:page;" filled="f" stroked="f" coordsize="21600,21600" o:allowincell="f" o:gfxdata="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GzKYSLWAAAACwEAAA8AAAAAAAAAAQAgAAAAIgAAAGRycy9kb3ducmV2LnhtbFBLAQIUABQA&#10;AAAIAIdO4kCO711xuQEAAGcDAAAOAAAAAAAAAAEAIAAAACUBAABkcnMvZTJvRG9jLnhtbFBLBQYA&#10;AAAABgAGAFkBAABQBQAAAAA=&#10;">
              <v:fill on="f" focussize="0,0"/>
              <v:stroke on="f"/>
              <v:imagedata o:title=""/>
              <o:lock v:ext="edit" aspectratio="f"/>
            </v:shape>
          </w:pict>
        </mc:Fallback>
      </mc:AlternateContent>
    </w:r>
    <w:r>
      <mc:AlternateContent>
        <mc:Choice Requires="wps">
          <w:drawing>
            <wp:anchor distT="0" distB="0" distL="114300" distR="114300" simplePos="0" relativeHeight="251660288"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5756275" cy="147320"/>
                      </a:xfrm>
                      <a:prstGeom prst="rect">
                        <a:avLst/>
                      </a:prstGeom>
                      <a:noFill/>
                      <a:ln>
                        <a:noFill/>
                      </a:ln>
                    </wps:spPr>
                    <wps:txbx>
                      <w:txbxContent>
                        <w:p w14:paraId="245EEE5E">
                          <w:pPr>
                            <w:pStyle w:val="203"/>
                            <w:widowControl w:val="0"/>
                            <w:spacing w:line="844" w:lineRule="atLeast"/>
                          </w:pPr>
                        </w:p>
                        <w:p w14:paraId="0BF5E4F5">
                          <w:pPr>
                            <w:pStyle w:val="203"/>
                          </w:pPr>
                        </w:p>
                        <w:p w14:paraId="02CE6C4C"/>
                      </w:txbxContent>
                    </wps:txbx>
                    <wps:bodyPr wrap="square" lIns="35999" tIns="0" rIns="35999" bIns="17999" upright="1"/>
                  </wps:wsp>
                </a:graphicData>
              </a:graphic>
            </wp:anchor>
          </w:drawing>
        </mc:Choice>
        <mc:Fallback>
          <w:pict>
            <v:shape id="_x0000_s1026" o:spid="_x0000_s1026" o:spt="202" type="#_x0000_t202" style="position:absolute;left:0pt;margin-left:70.85pt;margin-top:42.5pt;height:11.6pt;width:453.25pt;mso-position-horizontal-relative:page;mso-position-vertical-relative:page;z-index:-251656192;mso-width-relative:page;mso-height-relative:page;" filled="f" stroked="f" coordsize="21600,21600" o:allowincell="f" o:gfxdata="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cqBf5dUAAAALAQAADwAAAAAAAAAB&#10;ACAAAAAiAAAAZHJzL2Rvd25yZXYueG1sUEsBAhQAFAAAAAgAh07iQI/F14vaAQAAmgMAAA4AAAAA&#10;AAAAAQAgAAAAJAEAAGRycy9lMm9Eb2MueG1sUEsFBgAAAAAGAAYAWQEAAHAFAAAAAA==&#10;">
              <v:fill on="f" focussize="0,0"/>
              <v:stroke on="f"/>
              <v:imagedata o:title=""/>
              <o:lock v:ext="edit" aspectratio="f"/>
              <v:textbox inset="2.83456692913386pt,0mm,2.83456692913386pt,1.41724409448819pt">
                <w:txbxContent>
                  <w:p w14:paraId="245EEE5E">
                    <w:pPr>
                      <w:pStyle w:val="203"/>
                      <w:widowControl w:val="0"/>
                      <w:spacing w:line="844" w:lineRule="atLeast"/>
                    </w:pPr>
                  </w:p>
                  <w:p w14:paraId="0BF5E4F5">
                    <w:pPr>
                      <w:pStyle w:val="203"/>
                    </w:pPr>
                  </w:p>
                  <w:p w14:paraId="02CE6C4C"/>
                </w:txbxContent>
              </v:textbox>
            </v:shape>
          </w:pict>
        </mc:Fallback>
      </mc:AlternateContent>
    </w:r>
    <w:r>
      <mc:AlternateContent>
        <mc:Choice Requires="wps">
          <w:drawing>
            <wp:anchor distT="0" distB="0" distL="114300" distR="114300" simplePos="0" relativeHeight="251660288"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5752465" cy="359410"/>
                      </a:xfrm>
                      <a:prstGeom prst="rect">
                        <a:avLst/>
                      </a:prstGeom>
                      <a:noFill/>
                      <a:ln>
                        <a:noFill/>
                      </a:ln>
                    </wps:spPr>
                    <wps:txbx>
                      <w:txbxContent>
                        <w:p w14:paraId="480B016E">
                          <w:pPr>
                            <w:pStyle w:val="203"/>
                            <w:widowControl w:val="0"/>
                            <w:spacing w:line="595" w:lineRule="atLeast"/>
                          </w:pPr>
                        </w:p>
                        <w:p w14:paraId="1C9DB28D">
                          <w:pPr>
                            <w:pStyle w:val="203"/>
                            <w:widowControl w:val="0"/>
                            <w:spacing w:line="606" w:lineRule="atLeast"/>
                          </w:pPr>
                        </w:p>
                        <w:p w14:paraId="04F44AC1">
                          <w:pPr>
                            <w:pStyle w:val="203"/>
                          </w:pPr>
                        </w:p>
                        <w:p w14:paraId="45474A1C"/>
                      </w:txbxContent>
                    </wps:txbx>
                    <wps:bodyPr wrap="square" lIns="35999" tIns="0" rIns="35999" bIns="17999" upright="1"/>
                  </wps:wsp>
                </a:graphicData>
              </a:graphic>
            </wp:anchor>
          </w:drawing>
        </mc:Choice>
        <mc:Fallback>
          <w:pict>
            <v:shape id="_x0000_s1026" o:spid="_x0000_s1026" o:spt="202" type="#_x0000_t202" style="position:absolute;left:0pt;margin-left:70.85pt;margin-top:42.5pt;height:28.3pt;width:452.95pt;mso-position-horizontal-relative:page;mso-position-vertical-relative:page;z-index:-251656192;mso-width-relative:page;mso-height-relative:page;" filled="f" stroked="f" coordsize="21600,21600" o:allowincell="f" o:gfxdata="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0fB+81QAAAAsBAAAPAAAAAAAAAAEA&#10;IAAAACIAAABkcnMvZG93bnJldi54bWxQSwECFAAUAAAACACHTuJAxS7pz9kBAACaAwAADgAAAAAA&#10;AAABACAAAAAkAQAAZHJzL2Uyb0RvYy54bWxQSwUGAAAAAAYABgBZAQAAbwUAAAAA&#10;">
              <v:fill on="f" focussize="0,0"/>
              <v:stroke on="f"/>
              <v:imagedata o:title=""/>
              <o:lock v:ext="edit" aspectratio="f"/>
              <v:textbox inset="2.83456692913386pt,0mm,2.83456692913386pt,1.41724409448819pt">
                <w:txbxContent>
                  <w:p w14:paraId="480B016E">
                    <w:pPr>
                      <w:pStyle w:val="203"/>
                      <w:widowControl w:val="0"/>
                      <w:spacing w:line="595" w:lineRule="atLeast"/>
                    </w:pPr>
                  </w:p>
                  <w:p w14:paraId="1C9DB28D">
                    <w:pPr>
                      <w:pStyle w:val="203"/>
                      <w:widowControl w:val="0"/>
                      <w:spacing w:line="606" w:lineRule="atLeast"/>
                    </w:pPr>
                  </w:p>
                  <w:p w14:paraId="04F44AC1">
                    <w:pPr>
                      <w:pStyle w:val="203"/>
                    </w:pPr>
                  </w:p>
                  <w:p w14:paraId="45474A1C"/>
                </w:txbxContent>
              </v:textbox>
            </v:shape>
          </w:pict>
        </mc:Fallback>
      </mc:AlternateContent>
    </w:r>
    <w:r>
      <mc:AlternateContent>
        <mc:Choice Requires="wps">
          <w:drawing>
            <wp:anchor distT="0" distB="0" distL="114300" distR="114300" simplePos="0" relativeHeight="251660288"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5756275" cy="132715"/>
                      </a:xfrm>
                      <a:prstGeom prst="rect">
                        <a:avLst/>
                      </a:prstGeom>
                      <a:noFill/>
                      <a:ln>
                        <a:noFill/>
                      </a:ln>
                    </wps:spPr>
                    <wps:txbx>
                      <w:txbxContent>
                        <w:p w14:paraId="4E3DDBE8">
                          <w:pPr>
                            <w:pStyle w:val="203"/>
                            <w:widowControl w:val="0"/>
                            <w:spacing w:line="844" w:lineRule="atLeast"/>
                          </w:pPr>
                        </w:p>
                        <w:p w14:paraId="19CC186C">
                          <w:pPr>
                            <w:pStyle w:val="203"/>
                          </w:pPr>
                        </w:p>
                        <w:p w14:paraId="0C90E930"/>
                      </w:txbxContent>
                    </wps:txbx>
                    <wps:bodyPr wrap="square" lIns="35999" tIns="0" rIns="35999" bIns="17999" upright="1"/>
                  </wps:wsp>
                </a:graphicData>
              </a:graphic>
            </wp:anchor>
          </w:drawing>
        </mc:Choice>
        <mc:Fallback>
          <w:pict>
            <v:shape id="_x0000_s1026" o:spid="_x0000_s1026" o:spt="202" type="#_x0000_t202" style="position:absolute;left:0pt;margin-left:70.85pt;margin-top:781.2pt;height:10.45pt;width:453.25pt;mso-position-horizontal-relative:page;mso-position-vertical-relative:page;z-index:-251656192;mso-width-relative:page;mso-height-relative:page;" filled="f" stroked="f" coordsize="21600,21600" o:allowincell="f" o:gfxdata="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iiNgzZAAAADgEAAA8AAAAA&#10;AAAAAQAgAAAAIgAAAGRycy9kb3ducmV2LnhtbFBLAQIUABQAAAAIAIdO4kD8Qlsi2gEAAJoDAAAO&#10;AAAAAAAAAAEAIAAAACgBAABkcnMvZTJvRG9jLnhtbFBLBQYAAAAABgAGAFkBAAB0BQAAAAA=&#10;">
              <v:fill on="f" focussize="0,0"/>
              <v:stroke on="f"/>
              <v:imagedata o:title=""/>
              <o:lock v:ext="edit" aspectratio="f"/>
              <v:textbox inset="2.83456692913386pt,0mm,2.83456692913386pt,1.41724409448819pt">
                <w:txbxContent>
                  <w:p w14:paraId="4E3DDBE8">
                    <w:pPr>
                      <w:pStyle w:val="203"/>
                      <w:widowControl w:val="0"/>
                      <w:spacing w:line="844" w:lineRule="atLeast"/>
                    </w:pPr>
                  </w:p>
                  <w:p w14:paraId="19CC186C">
                    <w:pPr>
                      <w:pStyle w:val="203"/>
                    </w:pPr>
                  </w:p>
                  <w:p w14:paraId="0C90E930"/>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4303F">
    <w:pPr>
      <w:pStyle w:val="19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26344DE"/>
    <w:multiLevelType w:val="singleLevel"/>
    <w:tmpl w:val="F26344DE"/>
    <w:lvl w:ilvl="0" w:tentative="0">
      <w:start w:val="1"/>
      <w:numFmt w:val="chineseCounting"/>
      <w:suff w:val="nothing"/>
      <w:lvlText w:val="（%1）"/>
      <w:lvlJc w:val="left"/>
      <w:rPr>
        <w:rFonts w:hint="eastAsia"/>
      </w:rPr>
    </w:lvl>
  </w:abstractNum>
  <w:abstractNum w:abstractNumId="3">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
      <w:numFmt w:val="chineseCounting"/>
      <w:suff w:val="nothing"/>
      <w:lvlText w:val="（%1）"/>
      <w:lvlJc w:val="left"/>
      <w:pPr>
        <w:ind w:left="28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5182F"/>
    <w:rsid w:val="072F53F5"/>
    <w:rsid w:val="08DE1AB5"/>
    <w:rsid w:val="0A266098"/>
    <w:rsid w:val="1D6141BD"/>
    <w:rsid w:val="280E42B1"/>
    <w:rsid w:val="2AA607D0"/>
    <w:rsid w:val="2C02412C"/>
    <w:rsid w:val="376C34BF"/>
    <w:rsid w:val="3BAB009D"/>
    <w:rsid w:val="3BB146DA"/>
    <w:rsid w:val="43FB3EDF"/>
    <w:rsid w:val="4D150BAC"/>
    <w:rsid w:val="4DB43F7B"/>
    <w:rsid w:val="55610682"/>
    <w:rsid w:val="55E70DA5"/>
    <w:rsid w:val="5FCF3B9C"/>
    <w:rsid w:val="70DF7B65"/>
    <w:rsid w:val="727D2228"/>
    <w:rsid w:val="77E13D59"/>
    <w:rsid w:val="781356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8"/>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unhideWhenUsed/>
    <w:qFormat/>
    <w:uiPriority w:val="0"/>
    <w:pPr>
      <w:ind w:firstLine="420"/>
    </w:pPr>
    <w:rPr>
      <w:rFonts w:ascii="Calibri" w:hAnsi="Calibri"/>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unhideWhenUsed/>
    <w:qFormat/>
    <w:uiPriority w:val="99"/>
    <w:rPr>
      <w:rFonts w:ascii="宋体" w:hAnsi="Courier New"/>
      <w:sz w:val="20"/>
      <w:szCs w:val="20"/>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link w:val="52"/>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6"/>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character" w:customStyle="1" w:styleId="46">
    <w:name w:val="Title Char"/>
    <w:link w:val="29"/>
    <w:qFormat/>
    <w:uiPriority w:val="10"/>
    <w:rPr>
      <w:sz w:val="48"/>
      <w:szCs w:val="48"/>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20"/>
    <w:qFormat/>
    <w:uiPriority w:val="99"/>
  </w:style>
  <w:style w:type="character" w:customStyle="1" w:styleId="53">
    <w:name w:val="Footer Char"/>
    <w:link w:val="19"/>
    <w:qFormat/>
    <w:uiPriority w:val="99"/>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qFormat/>
    <w:uiPriority w:val="0"/>
    <w:pPr>
      <w:keepNext/>
      <w:jc w:val="center"/>
      <w:outlineLvl w:val="0"/>
    </w:pPr>
    <w:rPr>
      <w:rFonts w:ascii="楷体_GB2312" w:eastAsia="楷体_GB2312"/>
      <w:sz w:val="28"/>
      <w:szCs w:val="28"/>
    </w:rPr>
  </w:style>
  <w:style w:type="paragraph" w:customStyle="1" w:styleId="184">
    <w:name w:val="标题 21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5">
    <w:name w:val="标题 31"/>
    <w:basedOn w:val="1"/>
    <w:next w:val="186"/>
    <w:qFormat/>
    <w:uiPriority w:val="0"/>
    <w:pPr>
      <w:keepNext/>
      <w:keepLines/>
      <w:spacing w:before="260" w:after="260" w:line="416" w:lineRule="auto"/>
      <w:outlineLvl w:val="2"/>
    </w:pPr>
    <w:rPr>
      <w:b/>
      <w:bCs/>
      <w:sz w:val="32"/>
      <w:szCs w:val="32"/>
    </w:rPr>
  </w:style>
  <w:style w:type="paragraph" w:customStyle="1" w:styleId="186">
    <w:name w:val="正文缩进1"/>
    <w:basedOn w:val="1"/>
    <w:qFormat/>
    <w:uiPriority w:val="0"/>
    <w:pPr>
      <w:ind w:firstLine="420"/>
    </w:pPr>
    <w:rPr>
      <w:sz w:val="20"/>
    </w:rPr>
  </w:style>
  <w:style w:type="paragraph" w:customStyle="1" w:styleId="187">
    <w:name w:val="标题 411"/>
    <w:basedOn w:val="1"/>
    <w:next w:val="1"/>
    <w:qFormat/>
    <w:uiPriority w:val="0"/>
    <w:pPr>
      <w:keepNext/>
      <w:keepLines/>
      <w:spacing w:before="280" w:after="290" w:line="376" w:lineRule="auto"/>
      <w:outlineLvl w:val="3"/>
    </w:pPr>
    <w:rPr>
      <w:rFonts w:ascii="Arial" w:hAnsi="Arial" w:eastAsia="黑体"/>
      <w:b/>
      <w:bCs/>
      <w:sz w:val="28"/>
      <w:szCs w:val="28"/>
    </w:rPr>
  </w:style>
  <w:style w:type="character" w:customStyle="1" w:styleId="188">
    <w:name w:val="默认段落字体1"/>
    <w:link w:val="1"/>
    <w:semiHidden/>
    <w:qFormat/>
    <w:uiPriority w:val="0"/>
  </w:style>
  <w:style w:type="table" w:customStyle="1" w:styleId="189">
    <w:name w:val="普通表格1"/>
    <w:semiHidden/>
    <w:qFormat/>
    <w:uiPriority w:val="0"/>
  </w:style>
  <w:style w:type="paragraph" w:customStyle="1" w:styleId="190">
    <w:name w:val="批注文字1"/>
    <w:basedOn w:val="1"/>
    <w:qFormat/>
    <w:uiPriority w:val="0"/>
    <w:pPr>
      <w:jc w:val="left"/>
    </w:pPr>
  </w:style>
  <w:style w:type="paragraph" w:customStyle="1" w:styleId="191">
    <w:name w:val="正文文本缩进1"/>
    <w:basedOn w:val="1"/>
    <w:next w:val="1"/>
    <w:qFormat/>
    <w:uiPriority w:val="0"/>
    <w:pPr>
      <w:ind w:firstLine="645"/>
    </w:pPr>
    <w:rPr>
      <w:rFonts w:ascii="楷体_GB2312" w:eastAsia="楷体_GB2312"/>
      <w:sz w:val="32"/>
      <w:szCs w:val="32"/>
    </w:rPr>
  </w:style>
  <w:style w:type="paragraph" w:customStyle="1" w:styleId="192">
    <w:name w:val="纯文本1"/>
    <w:basedOn w:val="1"/>
    <w:qFormat/>
    <w:uiPriority w:val="0"/>
    <w:rPr>
      <w:rFonts w:ascii="宋体" w:hAnsi="Courier New"/>
      <w:sz w:val="20"/>
    </w:rPr>
  </w:style>
  <w:style w:type="paragraph" w:customStyle="1" w:styleId="193">
    <w:name w:val="页脚11"/>
    <w:basedOn w:val="1"/>
    <w:qFormat/>
    <w:uiPriority w:val="0"/>
    <w:pPr>
      <w:tabs>
        <w:tab w:val="center" w:pos="4153"/>
        <w:tab w:val="right" w:pos="8306"/>
      </w:tabs>
      <w:jc w:val="left"/>
    </w:pPr>
    <w:rPr>
      <w:sz w:val="18"/>
      <w:szCs w:val="18"/>
    </w:rPr>
  </w:style>
  <w:style w:type="paragraph" w:customStyle="1" w:styleId="19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95">
    <w:name w:val="正文首行缩进 21"/>
    <w:basedOn w:val="191"/>
    <w:qFormat/>
    <w:uiPriority w:val="0"/>
    <w:pPr>
      <w:spacing w:line="360" w:lineRule="auto"/>
      <w:ind w:firstLine="420"/>
    </w:pPr>
    <w:rPr>
      <w:rFonts w:ascii="宋体" w:hAnsi="宋体" w:eastAsia="宋体"/>
      <w:szCs w:val="20"/>
    </w:rPr>
  </w:style>
  <w:style w:type="table" w:customStyle="1" w:styleId="196">
    <w:name w:val="网格型1"/>
    <w:basedOn w:val="189"/>
    <w:qFormat/>
    <w:uiPriority w:val="0"/>
    <w:pPr>
      <w:widowControl w:val="0"/>
      <w:jc w:val="both"/>
    </w:pPr>
  </w:style>
  <w:style w:type="paragraph" w:customStyle="1" w:styleId="197">
    <w:name w:val="标题 21"/>
    <w:basedOn w:val="1"/>
    <w:next w:val="1"/>
    <w:qFormat/>
    <w:uiPriority w:val="9"/>
    <w:pPr>
      <w:keepNext/>
      <w:keepLines/>
      <w:spacing w:before="260" w:after="260" w:line="416" w:lineRule="auto"/>
      <w:jc w:val="center"/>
      <w:outlineLvl w:val="1"/>
    </w:pPr>
    <w:rPr>
      <w:rFonts w:ascii="幼圆" w:hAnsi="Arial" w:eastAsia="楷体_GB2312" w:cs="Times New Roman"/>
      <w:b/>
      <w:sz w:val="24"/>
      <w:szCs w:val="20"/>
    </w:rPr>
  </w:style>
  <w:style w:type="character" w:customStyle="1" w:styleId="198">
    <w:name w:val="默认段落字体12"/>
    <w:link w:val="1"/>
    <w:unhideWhenUsed/>
    <w:qFormat/>
    <w:uiPriority w:val="1"/>
    <w:rPr>
      <w:rFonts w:ascii="Times New Roman" w:hAnsi="Times New Roman" w:eastAsia="宋体" w:cs="Times New Roman"/>
      <w:sz w:val="21"/>
      <w:szCs w:val="21"/>
      <w:lang w:val="en-US" w:eastAsia="zh-CN" w:bidi="ar-SA"/>
    </w:rPr>
  </w:style>
  <w:style w:type="paragraph" w:customStyle="1" w:styleId="199">
    <w:name w:val="正文文本1"/>
    <w:basedOn w:val="1"/>
    <w:next w:val="1"/>
    <w:qFormat/>
    <w:uiPriority w:val="0"/>
    <w:rPr>
      <w:rFonts w:ascii="宋体" w:eastAsia="宋体"/>
      <w:sz w:val="28"/>
    </w:rPr>
  </w:style>
  <w:style w:type="paragraph" w:customStyle="1" w:styleId="200">
    <w:name w:val="footer1"/>
    <w:basedOn w:val="201"/>
    <w:qFormat/>
    <w:uiPriority w:val="0"/>
    <w:pPr>
      <w:tabs>
        <w:tab w:val="center" w:pos="4153"/>
        <w:tab w:val="right" w:pos="8306"/>
      </w:tabs>
      <w:jc w:val="left"/>
    </w:pPr>
    <w:rPr>
      <w:sz w:val="18"/>
    </w:rPr>
  </w:style>
  <w:style w:type="paragraph" w:customStyle="1" w:styleId="201">
    <w:name w:val="正文111"/>
    <w:next w:val="20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02">
    <w:name w:val="标题 41"/>
    <w:basedOn w:val="203"/>
    <w:next w:val="201"/>
    <w:qFormat/>
    <w:uiPriority w:val="0"/>
    <w:pPr>
      <w:keepNext/>
      <w:keepLines/>
      <w:tabs>
        <w:tab w:val="left" w:pos="864"/>
      </w:tabs>
      <w:spacing w:before="280" w:after="290" w:line="376" w:lineRule="auto"/>
      <w:ind w:left="864" w:hanging="864"/>
      <w:outlineLvl w:val="3"/>
    </w:pPr>
    <w:rPr>
      <w:rFonts w:ascii="Arial" w:hAnsi="Arial" w:eastAsia="黑体"/>
      <w:b/>
      <w:bCs/>
      <w:sz w:val="28"/>
      <w:szCs w:val="28"/>
    </w:rPr>
  </w:style>
  <w:style w:type="paragraph" w:customStyle="1" w:styleId="203">
    <w:name w:val="正文11"/>
    <w:next w:val="200"/>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204">
    <w:name w:val="普通正文"/>
    <w:basedOn w:val="1"/>
    <w:qFormat/>
    <w:uiPriority w:val="0"/>
    <w:pPr>
      <w:spacing w:before="120" w:after="120" w:line="360" w:lineRule="auto"/>
      <w:ind w:firstLine="480"/>
      <w:jc w:val="left"/>
    </w:pPr>
    <w:rPr>
      <w:rFonts w:ascii="Arial" w:hAnsi="Arial"/>
      <w:sz w:val="24"/>
      <w:szCs w:val="24"/>
    </w:rPr>
  </w:style>
  <w:style w:type="paragraph" w:styleId="205">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06">
    <w:name w:val="普通(网站)_0"/>
    <w:basedOn w:val="207"/>
    <w:qFormat/>
    <w:uiPriority w:val="0"/>
    <w:pPr>
      <w:widowControl/>
      <w:spacing w:before="100" w:beforeAutospacing="1" w:after="100" w:afterAutospacing="1"/>
      <w:jc w:val="left"/>
    </w:pPr>
    <w:rPr>
      <w:rFonts w:ascii="宋体" w:hAnsi="宋体" w:eastAsia="等线" w:cs="宋体"/>
      <w:color w:val="000000"/>
      <w:sz w:val="24"/>
    </w:rPr>
  </w:style>
  <w:style w:type="paragraph" w:customStyle="1" w:styleId="207">
    <w:name w:val="正文_0"/>
    <w:next w:val="20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8">
    <w:name w:val="标题 2_0"/>
    <w:basedOn w:val="207"/>
    <w:next w:val="207"/>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09">
    <w:name w:val="Char"/>
    <w:basedOn w:val="1"/>
    <w:qFormat/>
    <w:uiPriority w:val="0"/>
    <w:pPr>
      <w:tabs>
        <w:tab w:val="left" w:pos="360"/>
      </w:tabs>
      <w:ind w:firstLine="200"/>
    </w:pPr>
    <w:rPr>
      <w:sz w:val="28"/>
      <w:szCs w:val="30"/>
    </w:rPr>
  </w:style>
  <w:style w:type="paragraph" w:customStyle="1" w:styleId="210">
    <w:name w:val="正文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11">
    <w:name w:val="页脚1"/>
    <w:basedOn w:val="203"/>
    <w:qFormat/>
    <w:uiPriority w:val="0"/>
    <w:pPr>
      <w:tabs>
        <w:tab w:val="left" w:pos="4138"/>
        <w:tab w:val="left" w:pos="8005"/>
      </w:tabs>
      <w:spacing w:line="714" w:lineRule="atLeast"/>
      <w:ind w:firstLine="419"/>
      <w:jc w:val="left"/>
    </w:pPr>
    <w:rPr>
      <w:sz w:val="18"/>
    </w:rPr>
  </w:style>
  <w:style w:type="paragraph" w:customStyle="1" w:styleId="212">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13">
    <w:name w:val="标题1"/>
    <w:basedOn w:val="1"/>
    <w:next w:val="1"/>
    <w:qFormat/>
    <w:uiPriority w:val="99"/>
    <w:pPr>
      <w:spacing w:before="240" w:after="60"/>
      <w:jc w:val="center"/>
      <w:outlineLvl w:val="0"/>
    </w:pPr>
    <w:rPr>
      <w:rFonts w:ascii="等线 Light" w:hAnsi="等线 Light"/>
      <w:b/>
      <w:bCs/>
      <w:sz w:val="32"/>
      <w:szCs w:val="32"/>
    </w:rPr>
  </w:style>
  <w:style w:type="paragraph" w:customStyle="1" w:styleId="214">
    <w:name w:val="Normal1"/>
    <w:qFormat/>
    <w:uiPriority w:val="99"/>
    <w:rPr>
      <w:rFonts w:ascii="Calibri" w:hAnsi="Calibri"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75</Words>
  <Characters>104</Characters>
  <TotalTime>10</TotalTime>
  <ScaleCrop>false</ScaleCrop>
  <LinksUpToDate>false</LinksUpToDate>
  <CharactersWithSpaces>136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2025-10-20T07:52:00Z</dcterms:created>
  <dc:creator>Adminis</dc:creator>
  <cp:lastModifiedBy>Leo</cp:lastModifiedBy>
  <dcterms:modified xsi:type="dcterms:W3CDTF">2026-06-29T08:28:45Z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eyJoZGlkIjoiZTAzNjE5NDFkOGVmMDUyNTc1NjZlMzU4ZjNiOWMxMDkiLCJ1c2VySWQiOiI2OTE2NjI3NTcifQ==</vt:lpwstr>
  </property>
  <property fmtid="{D5CDD505-2E9C-101B-9397-08002B2CF9AE}" pid="3" name="KSOProductBuildVer">
    <vt:lpwstr>2052-12.1.0.26895</vt:lpwstr>
  </property>
  <property fmtid="{D5CDD505-2E9C-101B-9397-08002B2CF9AE}" pid="4" name="ICV">
    <vt:lpwstr>8AA8142E94BC4F94821F27AAA2057343_12</vt:lpwstr>
  </property>
</Properties>
</file>