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37"/>
        <w:jc w:val="left"/>
        <w:rPr>
          <w:rFonts w:hint="eastAsia" w:ascii="宋体" w:hAnsi="宋体" w:cs="宋体"/>
          <w:color w:val="auto"/>
          <w:sz w:val="32"/>
          <w:highlight w:val="none"/>
        </w:rPr>
      </w:pPr>
      <w:r/>
      <w:bookmarkStart w:id="18" w:name="_GoBack"/>
      <w:r>
        <w:rPr>
          <w:rFonts w:hint="eastAsia" w:ascii="宋体" w:hAnsi="宋体" w:cs="宋体"/>
          <w:color w:val="auto"/>
          <w:sz w:val="32"/>
          <w:highlight w:val="none"/>
        </w:rPr>
        <w:t xml:space="preserve">    </w:t>
      </w:r>
      <w:r/>
    </w:p>
    <w:p>
      <w:pPr>
        <w:pStyle w:val="802"/>
        <w:rPr>
          <w:rFonts w:hint="eastAsia" w:ascii="宋体" w:hAnsi="宋体" w:cs="宋体"/>
          <w:color w:val="auto"/>
          <w:sz w:val="32"/>
          <w:highlight w:val="none"/>
        </w:rPr>
      </w:pPr>
      <w:r>
        <w:rPr>
          <w:rFonts w:hint="eastAsia" w:ascii="宋体" w:hAnsi="宋体" w:cs="宋体"/>
          <w:color w:val="auto"/>
          <w:sz w:val="32"/>
          <w:highlight w:val="none"/>
        </w:rPr>
      </w:r>
      <w:r/>
    </w:p>
    <w:p>
      <w:pPr>
        <w:rPr>
          <w:rFonts w:hint="eastAsia"/>
          <w:color w:val="auto"/>
          <w:highlight w:val="none"/>
        </w:rPr>
      </w:pPr>
      <w:r>
        <w:rPr>
          <w:rFonts w:hint="eastAsia"/>
          <w:color w:val="auto"/>
          <w:highlight w:val="none"/>
        </w:rPr>
      </w:r>
      <w:r/>
    </w:p>
    <w:p>
      <w:pPr>
        <w:jc w:val="center"/>
        <w:rPr>
          <w:rFonts w:hint="eastAsia" w:ascii="宋体" w:hAnsi="宋体" w:cs="宋体"/>
          <w:color w:val="auto"/>
          <w:spacing w:val="76"/>
          <w:sz w:val="144"/>
          <w:highlight w:val="none"/>
        </w:rPr>
      </w:pPr>
      <w:r>
        <w:rPr>
          <w:rFonts w:hint="eastAsia" w:ascii="宋体" w:hAnsi="宋体" w:cs="宋体"/>
          <w:color w:val="auto"/>
          <w:spacing w:val="76"/>
          <w:sz w:val="144"/>
          <w:highlight w:val="none"/>
        </w:rPr>
        <w:t xml:space="preserve">招标文件</w:t>
      </w:r>
      <w:r/>
    </w:p>
    <w:p>
      <w:pPr>
        <w:ind w:firstLine="2100"/>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2100"/>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802"/>
        <w:rPr>
          <w:rFonts w:hint="eastAsia"/>
          <w:color w:val="auto"/>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1266825</wp:posOffset>
                </wp:positionH>
                <wp:positionV relativeFrom="paragraph">
                  <wp:posOffset>193040</wp:posOffset>
                </wp:positionV>
                <wp:extent cx="3032760" cy="2396490"/>
                <wp:effectExtent l="0" t="0" r="0" b="0"/>
                <wp:wrapSquare wrapText="bothSides"/>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3032760" cy="2396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99.8pt;mso-position-horizontal:absolute;mso-position-vertical-relative:text;margin-top:15.2pt;mso-position-vertical:absolute;width:238.8pt;height:188.7pt;mso-wrap-distance-left:9.0pt;mso-wrap-distance-top:0.0pt;mso-wrap-distance-right:9.0pt;mso-wrap-distance-bottom:0.0pt;" stroked="f">
                <v:path textboxrect="0,0,0,0"/>
                <w10:wrap type="square"/>
                <v:imagedata r:id="rId14" o:title=""/>
              </v:shape>
            </w:pict>
          </mc:Fallback>
        </mc:AlternateContent>
      </w:r>
      <w:r/>
    </w:p>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2100"/>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802"/>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rPr>
          <w:rFonts w:hint="eastAsia"/>
          <w:color w:val="auto"/>
          <w:highlight w:val="none"/>
        </w:rPr>
      </w:pPr>
      <w:r>
        <w:rPr>
          <w:rFonts w:hint="eastAsia"/>
          <w:color w:val="auto"/>
          <w:highlight w:val="none"/>
        </w:rPr>
      </w:r>
      <w:r/>
    </w:p>
    <w:p>
      <w:pPr>
        <w:ind w:firstLine="2100"/>
        <w:keepLines w:val="0"/>
        <w:keepNext w:val="0"/>
        <w:pageBreakBefore w:val="0"/>
        <w:spacing w:line="480" w:lineRule="exact"/>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p>
      <w:pPr>
        <w:ind w:firstLine="2100"/>
        <w:keepLines w:val="0"/>
        <w:keepNext w:val="0"/>
        <w:pageBreakBefore w:val="0"/>
        <w:spacing w:line="480" w:lineRule="exact"/>
        <w:widowControl w:val="off"/>
        <w:rPr>
          <w:rFonts w:hint="eastAsia" w:ascii="宋体" w:hAnsi="宋体" w:cs="宋体"/>
          <w:color w:val="auto"/>
          <w:sz w:val="28"/>
          <w:szCs w:val="28"/>
          <w:highlight w:val="none"/>
        </w:rPr>
        <w:outlineLvl w:val="9"/>
      </w:pPr>
      <w:r>
        <w:rPr>
          <w:rFonts w:hint="eastAsia" w:ascii="宋体" w:hAnsi="宋体" w:cs="宋体"/>
          <w:color w:val="auto"/>
          <w:sz w:val="28"/>
          <w:szCs w:val="28"/>
          <w:highlight w:val="none"/>
        </w:rPr>
      </w:r>
      <w:r/>
    </w:p>
    <w:p>
      <w:pPr>
        <w:ind w:left="2727" w:right="332" w:hanging="1467"/>
        <w:jc w:val="both"/>
        <w:keepLines w:val="0"/>
        <w:keepNext w:val="0"/>
        <w:pageBreakBefore w:val="0"/>
        <w:spacing w:line="480" w:lineRule="exact"/>
        <w:widowControl w:val="off"/>
        <w:rPr>
          <w:rFonts w:hint="eastAsia" w:ascii="宋体" w:hAnsi="宋体" w:eastAsia="宋体" w:cs="宋体"/>
          <w:b/>
          <w:bCs/>
          <w:color w:val="auto"/>
          <w:sz w:val="30"/>
          <w:szCs w:val="30"/>
          <w:highlight w:val="none"/>
          <w:lang w:eastAsia="zh-CN"/>
        </w:rPr>
        <w:outlineLvl w:val="9"/>
      </w:pPr>
      <w:r>
        <w:rPr>
          <w:rFonts w:hint="eastAsia" w:ascii="宋体" w:hAnsi="宋体" w:cs="宋体"/>
          <w:b/>
          <w:bCs/>
          <w:color w:val="auto"/>
          <w:sz w:val="30"/>
          <w:szCs w:val="30"/>
          <w:highlight w:val="none"/>
        </w:rPr>
        <w:t xml:space="preserve">项目名称：</w:t>
      </w:r>
      <w:r>
        <w:rPr>
          <w:rFonts w:hint="eastAsia" w:ascii="宋体" w:hAnsi="宋体" w:cs="宋体"/>
          <w:b/>
          <w:bCs/>
          <w:color w:val="auto"/>
          <w:sz w:val="30"/>
          <w:szCs w:val="30"/>
          <w:highlight w:val="none"/>
          <w:lang w:eastAsia="zh-CN"/>
        </w:rPr>
        <w:t xml:space="preserve">徐州市市场监督管理局食品安全监督抽检</w:t>
      </w:r>
      <w:r/>
    </w:p>
    <w:p>
      <w:pPr>
        <w:ind w:left="0" w:firstLine="1262"/>
        <w:jc w:val="both"/>
        <w:keepLines w:val="0"/>
        <w:keepNext w:val="0"/>
        <w:pageBreakBefore w:val="0"/>
        <w:spacing w:line="480" w:lineRule="exact"/>
        <w:widowControl w:val="off"/>
        <w:rPr>
          <w:rFonts w:hint="eastAsia" w:ascii="宋体" w:hAnsi="宋体" w:eastAsia="宋体" w:cs="宋体"/>
          <w:b/>
          <w:bCs/>
          <w:color w:val="auto"/>
          <w:sz w:val="30"/>
          <w:szCs w:val="30"/>
          <w:highlight w:val="none"/>
          <w:lang w:eastAsia="zh-CN"/>
        </w:rPr>
        <w:outlineLvl w:val="9"/>
      </w:pPr>
      <w:r>
        <w:rPr>
          <w:rFonts w:hint="eastAsia" w:ascii="宋体" w:hAnsi="宋体" w:cs="宋体"/>
          <w:b/>
          <w:bCs/>
          <w:color w:val="auto"/>
          <w:sz w:val="30"/>
          <w:szCs w:val="30"/>
          <w:highlight w:val="none"/>
        </w:rPr>
        <w:t xml:space="preserve">项目编号：</w:t>
      </w:r>
      <w:r>
        <w:rPr>
          <w:rFonts w:hint="eastAsia" w:ascii="宋体" w:hAnsi="宋体" w:cs="宋体"/>
          <w:b/>
          <w:bCs/>
          <w:color w:val="auto"/>
          <w:sz w:val="30"/>
          <w:szCs w:val="30"/>
          <w:highlight w:val="none"/>
          <w:lang w:eastAsia="zh-CN"/>
        </w:rPr>
        <w:t xml:space="preserve">JSZC-320300-YMXM-G2026-0004</w:t>
      </w:r>
      <w:r/>
    </w:p>
    <w:p>
      <w:pPr>
        <w:ind w:left="0" w:firstLine="1262"/>
        <w:keepLines w:val="0"/>
        <w:keepNext w:val="0"/>
        <w:pageBreakBefore w:val="0"/>
        <w:spacing w:line="480" w:lineRule="exact"/>
        <w:widowControl w:val="off"/>
        <w:rPr>
          <w:rFonts w:hint="eastAsia" w:ascii="宋体" w:hAnsi="宋体" w:eastAsia="宋体" w:cs="宋体"/>
          <w:b/>
          <w:bCs/>
          <w:color w:val="auto"/>
          <w:sz w:val="30"/>
          <w:szCs w:val="30"/>
          <w:highlight w:val="none"/>
          <w:lang w:eastAsia="zh-CN"/>
        </w:rPr>
        <w:outlineLvl w:val="9"/>
      </w:pPr>
      <w:r>
        <w:rPr>
          <w:rFonts w:hint="eastAsia" w:ascii="宋体" w:hAnsi="宋体" w:cs="宋体"/>
          <w:b/>
          <w:bCs/>
          <w:color w:val="auto"/>
          <w:sz w:val="30"/>
          <w:szCs w:val="30"/>
          <w:highlight w:val="none"/>
        </w:rPr>
        <w:t xml:space="preserve">采 购 人：</w:t>
      </w:r>
      <w:r>
        <w:rPr>
          <w:rFonts w:hint="eastAsia" w:ascii="宋体" w:hAnsi="宋体" w:cs="宋体"/>
          <w:b/>
          <w:bCs/>
          <w:color w:val="auto"/>
          <w:sz w:val="30"/>
          <w:szCs w:val="30"/>
          <w:highlight w:val="none"/>
          <w:lang w:eastAsia="zh-CN"/>
        </w:rPr>
        <w:t xml:space="preserve">徐州市市场监督管理局</w:t>
      </w:r>
      <w:r/>
    </w:p>
    <w:p>
      <w:pPr>
        <w:ind w:left="0" w:firstLine="1262"/>
        <w:jc w:val="center"/>
        <w:keepLines w:val="0"/>
        <w:keepNext w:val="0"/>
        <w:pageBreakBefore w:val="0"/>
        <w:spacing w:line="480" w:lineRule="exact"/>
        <w:widowControl w:val="off"/>
        <w:rPr>
          <w:rFonts w:hint="eastAsia" w:ascii="宋体" w:hAnsi="宋体" w:cs="宋体"/>
          <w:b/>
          <w:bCs/>
          <w:color w:val="auto"/>
          <w:sz w:val="30"/>
          <w:szCs w:val="30"/>
          <w:highlight w:val="none"/>
        </w:rPr>
        <w:outlineLvl w:val="9"/>
      </w:pPr>
      <w:r>
        <w:rPr>
          <w:rFonts w:hint="eastAsia" w:ascii="宋体" w:hAnsi="宋体" w:cs="宋体"/>
          <w:b/>
          <w:bCs/>
          <w:color w:val="auto"/>
          <w:sz w:val="30"/>
          <w:szCs w:val="30"/>
          <w:highlight w:val="none"/>
        </w:rPr>
      </w:r>
      <w:r/>
    </w:p>
    <w:p>
      <w:pPr>
        <w:ind w:left="0" w:firstLine="419"/>
        <w:jc w:val="center"/>
        <w:keepLines w:val="0"/>
        <w:keepNext w:val="0"/>
        <w:pageBreakBefore w:val="0"/>
        <w:spacing w:line="480" w:lineRule="exact"/>
        <w:widowControl w:val="off"/>
        <w:rPr>
          <w:rFonts w:hint="eastAsia" w:ascii="宋体" w:hAnsi="宋体" w:eastAsia="宋体" w:cs="宋体"/>
          <w:b/>
          <w:bCs/>
          <w:color w:val="auto"/>
          <w:sz w:val="30"/>
          <w:szCs w:val="30"/>
          <w:highlight w:val="none"/>
          <w:lang w:eastAsia="zh-CN"/>
        </w:rPr>
        <w:outlineLvl w:val="9"/>
      </w:pPr>
      <w:r>
        <w:rPr>
          <w:rFonts w:hint="eastAsia" w:ascii="宋体" w:hAnsi="宋体" w:cs="宋体"/>
          <w:b/>
          <w:bCs/>
          <w:color w:val="auto"/>
          <w:sz w:val="30"/>
          <w:szCs w:val="30"/>
          <w:highlight w:val="none"/>
        </w:rPr>
        <w:t xml:space="preserve">采购代理机构：</w:t>
      </w:r>
      <w:r>
        <w:rPr>
          <w:rFonts w:hint="eastAsia" w:ascii="宋体" w:hAnsi="宋体" w:cs="宋体"/>
          <w:b/>
          <w:bCs/>
          <w:color w:val="auto"/>
          <w:sz w:val="30"/>
          <w:szCs w:val="30"/>
          <w:highlight w:val="none"/>
          <w:lang w:eastAsia="zh-CN"/>
        </w:rPr>
        <w:t xml:space="preserve">永明项目管理有限公司</w:t>
      </w:r>
      <w:r/>
    </w:p>
    <w:p>
      <w:pPr>
        <w:pStyle w:val="845"/>
        <w:ind w:left="0" w:firstLine="1262"/>
        <w:jc w:val="center"/>
        <w:keepLines w:val="0"/>
        <w:keepNext w:val="0"/>
        <w:pageBreakBefore w:val="0"/>
        <w:spacing w:line="480" w:lineRule="exact"/>
        <w:widowControl w:val="off"/>
        <w:rPr>
          <w:rFonts w:hint="eastAsia" w:ascii="宋体" w:hAnsi="宋体" w:cs="宋体"/>
          <w:b/>
          <w:bCs/>
          <w:color w:val="auto"/>
          <w:sz w:val="30"/>
          <w:szCs w:val="30"/>
          <w:highlight w:val="none"/>
        </w:rPr>
        <w:outlineLvl w:val="9"/>
      </w:pPr>
      <w:r>
        <w:rPr>
          <w:rFonts w:hint="eastAsia" w:ascii="宋体" w:hAnsi="宋体" w:cs="宋体"/>
          <w:b/>
          <w:bCs/>
          <w:color w:val="auto"/>
          <w:sz w:val="30"/>
          <w:szCs w:val="30"/>
          <w:highlight w:val="none"/>
        </w:rPr>
      </w:r>
      <w:r/>
    </w:p>
    <w:p>
      <w:pPr>
        <w:pStyle w:val="845"/>
        <w:ind w:left="0" w:firstLine="641"/>
        <w:jc w:val="center"/>
        <w:keepLines w:val="0"/>
        <w:keepNext w:val="0"/>
        <w:pageBreakBefore w:val="0"/>
        <w:spacing w:line="480" w:lineRule="exact"/>
        <w:widowControl w:val="off"/>
        <w:rPr>
          <w:rFonts w:hint="eastAsia" w:ascii="宋体" w:hAnsi="宋体" w:cs="宋体"/>
          <w:b/>
          <w:color w:val="auto"/>
          <w:sz w:val="40"/>
          <w:szCs w:val="22"/>
          <w:highlight w:val="none"/>
        </w:rPr>
        <w:outlineLvl w:val="9"/>
      </w:pPr>
      <w:r>
        <w:rPr>
          <w:rFonts w:hint="eastAsia" w:ascii="宋体" w:hAnsi="宋体" w:cs="宋体"/>
          <w:b/>
          <w:bCs/>
          <w:color w:val="auto"/>
          <w:sz w:val="30"/>
          <w:szCs w:val="30"/>
          <w:highlight w:val="none"/>
        </w:rPr>
        <w:t xml:space="preserve">二〇二</w:t>
      </w:r>
      <w:r>
        <w:rPr>
          <w:rFonts w:hint="eastAsia" w:ascii="宋体" w:hAnsi="宋体" w:cs="宋体"/>
          <w:b/>
          <w:bCs/>
          <w:color w:val="auto"/>
          <w:sz w:val="30"/>
          <w:szCs w:val="30"/>
          <w:highlight w:val="none"/>
          <w:lang w:val="en-US" w:eastAsia="zh-CN"/>
        </w:rPr>
        <w:t xml:space="preserve">六</w:t>
      </w:r>
      <w:r>
        <w:rPr>
          <w:rFonts w:hint="eastAsia" w:ascii="宋体" w:hAnsi="宋体" w:cs="宋体"/>
          <w:b/>
          <w:bCs/>
          <w:color w:val="auto"/>
          <w:sz w:val="30"/>
          <w:szCs w:val="30"/>
          <w:highlight w:val="none"/>
        </w:rPr>
        <w:t xml:space="preserve">年</w:t>
      </w:r>
      <w:r>
        <w:rPr>
          <w:rFonts w:hint="eastAsia" w:ascii="宋体" w:hAnsi="宋体" w:cs="宋体"/>
          <w:b/>
          <w:bCs/>
          <w:color w:val="auto"/>
          <w:sz w:val="30"/>
          <w:szCs w:val="30"/>
          <w:highlight w:val="none"/>
          <w:lang w:val="en-US" w:eastAsia="zh-CN"/>
        </w:rPr>
        <w:t xml:space="preserve">五</w:t>
      </w:r>
      <w:r>
        <w:rPr>
          <w:rFonts w:hint="eastAsia" w:ascii="宋体" w:hAnsi="宋体" w:cs="宋体"/>
          <w:b/>
          <w:bCs/>
          <w:color w:val="auto"/>
          <w:sz w:val="30"/>
          <w:szCs w:val="30"/>
          <w:highlight w:val="none"/>
        </w:rPr>
        <w:t xml:space="preserve">月</w:t>
      </w:r>
      <w:r>
        <w:rPr>
          <w:rFonts w:hint="eastAsia" w:ascii="宋体" w:hAnsi="宋体" w:cs="宋体"/>
          <w:b/>
          <w:color w:val="auto"/>
          <w:sz w:val="44"/>
          <w:highlight w:val="none"/>
        </w:rPr>
        <w:br w:type="page" w:clear="all"/>
      </w:r>
      <w:r/>
    </w:p>
    <w:p>
      <w:pPr>
        <w:pStyle w:val="845"/>
        <w:ind w:firstLine="0"/>
        <w:jc w:val="center"/>
        <w:rPr>
          <w:rFonts w:hint="eastAsia" w:ascii="宋体" w:hAnsi="宋体" w:cs="宋体"/>
          <w:b/>
          <w:color w:val="auto"/>
          <w:sz w:val="44"/>
          <w:highlight w:val="none"/>
        </w:rPr>
      </w:pPr>
      <w:r>
        <w:rPr>
          <w:rFonts w:hint="eastAsia" w:ascii="宋体" w:hAnsi="宋体" w:cs="宋体"/>
          <w:b/>
          <w:color w:val="auto"/>
          <w:sz w:val="44"/>
          <w:highlight w:val="none"/>
        </w:rPr>
        <w:t xml:space="preserve">目 录</w:t>
      </w:r>
      <w:r/>
    </w:p>
    <w:p>
      <w:pPr>
        <w:jc w:val="center"/>
        <w:spacing w:line="520" w:lineRule="exact"/>
        <w:rPr>
          <w:rFonts w:hint="eastAsia" w:ascii="宋体" w:hAnsi="宋体" w:cs="宋体"/>
          <w:b/>
          <w:color w:val="auto"/>
          <w:sz w:val="44"/>
          <w:szCs w:val="44"/>
          <w:highlight w:val="none"/>
        </w:rPr>
      </w:pPr>
      <w:r/>
      <w:bookmarkStart w:id="0" w:name="_Toc522790130"/>
      <w:r/>
      <w:r/>
    </w:p>
    <w:p>
      <w:pPr>
        <w:jc w:val="center"/>
        <w:spacing w:line="520" w:lineRule="exact"/>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firstLine="56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TOC \o "1-3" \h \z \u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HYPERLINK \l "_Toc523404695"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t xml:space="preserve">第一章  投标邀请</w:t>
      </w:r>
      <w:r>
        <w:rPr>
          <w:rFonts w:hint="eastAsia" w:ascii="宋体" w:hAnsi="宋体" w:cs="宋体"/>
          <w:color w:val="auto"/>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HYPERLINK \l "_Toc523404696"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t xml:space="preserve">第二章  投标人须知</w:t>
      </w:r>
      <w:r>
        <w:rPr>
          <w:rFonts w:hint="eastAsia" w:ascii="宋体" w:hAnsi="宋体" w:cs="宋体"/>
          <w:color w:val="auto"/>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HYPERLINK \l "_Toc523404697"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t xml:space="preserve">第三章  投标资料表</w:t>
      </w:r>
      <w:r>
        <w:rPr>
          <w:rFonts w:hint="eastAsia" w:ascii="宋体" w:hAnsi="宋体" w:cs="宋体"/>
          <w:color w:val="auto"/>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HYPERLINK \l "_Toc523404698"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t xml:space="preserve">第四章  评标标准</w:t>
      </w:r>
      <w:r>
        <w:rPr>
          <w:rFonts w:hint="eastAsia" w:ascii="宋体" w:hAnsi="宋体" w:cs="宋体"/>
          <w:color w:val="auto"/>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HYPERLINK \l "_Toc523404699"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t xml:space="preserve">第五章  拟签订的合同文本</w:t>
      </w:r>
      <w:r>
        <w:rPr>
          <w:rFonts w:hint="eastAsia" w:ascii="宋体" w:hAnsi="宋体" w:cs="宋体"/>
          <w:color w:val="auto"/>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HYPERLINK \l "_Toc523404700"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t xml:space="preserve">第六章  采购需求</w:t>
      </w:r>
      <w:r>
        <w:rPr>
          <w:rFonts w:hint="eastAsia" w:ascii="宋体" w:hAnsi="宋体" w:cs="宋体"/>
          <w:color w:val="auto"/>
          <w:sz w:val="28"/>
          <w:szCs w:val="28"/>
          <w:highlight w:val="none"/>
          <w:lang w:eastAsia="zh-CN"/>
        </w:rPr>
        <w:fldChar w:fldCharType="end"/>
      </w:r>
      <w:r/>
    </w:p>
    <w:p>
      <w:pPr>
        <w:ind w:firstLine="56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begin"/>
      </w:r>
      <w:r>
        <w:rPr>
          <w:rFonts w:hint="eastAsia" w:ascii="宋体" w:hAnsi="宋体" w:cs="宋体"/>
          <w:color w:val="auto"/>
          <w:sz w:val="28"/>
          <w:szCs w:val="28"/>
          <w:highlight w:val="none"/>
          <w:lang w:eastAsia="zh-CN"/>
        </w:rPr>
        <w:instrText xml:space="preserve"> HYPERLINK \l "_Toc523404701" </w:instrText>
      </w:r>
      <w:r>
        <w:rPr>
          <w:rFonts w:hint="eastAsia" w:ascii="宋体" w:hAnsi="宋体" w:cs="宋体"/>
          <w:color w:val="auto"/>
          <w:sz w:val="28"/>
          <w:szCs w:val="28"/>
          <w:highlight w:val="none"/>
          <w:lang w:eastAsia="zh-CN"/>
        </w:rPr>
        <w:fldChar w:fldCharType="separate"/>
      </w:r>
      <w:r>
        <w:rPr>
          <w:rFonts w:hint="eastAsia" w:ascii="宋体" w:hAnsi="宋体" w:cs="宋体"/>
          <w:color w:val="auto"/>
          <w:sz w:val="28"/>
          <w:szCs w:val="28"/>
          <w:highlight w:val="none"/>
          <w:lang w:eastAsia="zh-CN"/>
        </w:rPr>
        <w:t xml:space="preserve">第七章  投标文件相关格</w:t>
      </w:r>
      <w:bookmarkStart w:id="1" w:name="_Hlt532911771"/>
      <w:r/>
      <w:bookmarkStart w:id="2" w:name="_Hlt532911772"/>
      <w:r>
        <w:rPr>
          <w:rFonts w:hint="eastAsia" w:ascii="宋体" w:hAnsi="宋体" w:cs="宋体"/>
          <w:color w:val="auto"/>
          <w:sz w:val="28"/>
          <w:szCs w:val="28"/>
          <w:highlight w:val="none"/>
          <w:lang w:eastAsia="zh-CN"/>
        </w:rPr>
        <w:t xml:space="preserve">式</w:t>
      </w:r>
      <w:bookmarkEnd w:id="1"/>
      <w:r/>
      <w:bookmarkEnd w:id="2"/>
      <w:r>
        <w:rPr>
          <w:rFonts w:hint="eastAsia" w:ascii="宋体" w:hAnsi="宋体" w:cs="宋体"/>
          <w:color w:val="auto"/>
          <w:sz w:val="28"/>
          <w:szCs w:val="28"/>
          <w:highlight w:val="none"/>
          <w:lang w:eastAsia="zh-CN"/>
        </w:rPr>
        <w:fldChar w:fldCharType="end"/>
      </w:r>
      <w:r/>
    </w:p>
    <w:p>
      <w:pPr>
        <w:ind w:firstLine="2100"/>
        <w:keepLines w:val="0"/>
        <w:keepNext w:val="0"/>
        <w:pageBreakBefore w:val="0"/>
        <w:spacing w:line="560" w:lineRule="exact"/>
        <w:widowControl w:val="off"/>
        <w:rPr>
          <w:rFonts w:hint="eastAsia" w:ascii="宋体" w:hAnsi="宋体" w:cs="宋体"/>
          <w:color w:val="auto"/>
          <w:sz w:val="28"/>
          <w:szCs w:val="28"/>
          <w:highlight w:val="none"/>
          <w:lang w:eastAsia="zh-CN"/>
        </w:rPr>
        <w:outlineLvl w:val="9"/>
      </w:pPr>
      <w:r>
        <w:rPr>
          <w:rFonts w:hint="eastAsia" w:ascii="宋体" w:hAnsi="宋体" w:cs="宋体"/>
          <w:color w:val="auto"/>
          <w:sz w:val="28"/>
          <w:szCs w:val="28"/>
          <w:highlight w:val="none"/>
          <w:lang w:eastAsia="zh-CN"/>
        </w:rPr>
        <w:fldChar w:fldCharType="end"/>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spacing w:line="520" w:lineRule="exact"/>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spacing w:line="520" w:lineRule="exact"/>
        <w:rPr>
          <w:rFonts w:hint="eastAsia" w:ascii="宋体" w:hAnsi="宋体" w:eastAsia="宋体" w:cs="宋体"/>
          <w:b/>
          <w:color w:val="auto"/>
          <w:sz w:val="44"/>
          <w:szCs w:val="44"/>
          <w:highlight w:val="none"/>
          <w:lang w:eastAsia="zh-CN"/>
        </w:rPr>
      </w:pPr>
      <w:r>
        <w:rPr>
          <w:rFonts w:hint="eastAsia" w:ascii="宋体" w:hAnsi="宋体" w:cs="宋体"/>
          <w:b/>
          <w:color w:val="auto"/>
          <w:sz w:val="44"/>
          <w:szCs w:val="44"/>
          <w:highlight w:val="none"/>
        </w:rPr>
        <w:br w:type="page" w:clear="all"/>
      </w:r>
      <w:r/>
    </w:p>
    <w:p>
      <w:pPr>
        <w:jc w:val="center"/>
        <w:spacing w:line="520" w:lineRule="exact"/>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徐州市市场监督管理局食品安全监督抽检</w:t>
      </w:r>
      <w:r/>
    </w:p>
    <w:p>
      <w:pPr>
        <w:jc w:val="center"/>
        <w:spacing w:line="520" w:lineRule="exact"/>
        <w:rPr>
          <w:rFonts w:hint="eastAsia" w:ascii="宋体" w:hAnsi="宋体" w:cs="宋体"/>
          <w:b/>
          <w:color w:val="auto"/>
          <w:sz w:val="44"/>
          <w:szCs w:val="44"/>
          <w:highlight w:val="none"/>
        </w:rPr>
      </w:pPr>
      <w:r>
        <w:rPr>
          <w:rFonts w:hint="eastAsia" w:ascii="宋体" w:hAnsi="宋体" w:cs="宋体"/>
          <w:b/>
          <w:color w:val="auto"/>
          <w:sz w:val="32"/>
          <w:szCs w:val="32"/>
          <w:highlight w:val="none"/>
        </w:rPr>
        <w:t xml:space="preserve">招标文件</w:t>
      </w:r>
      <w:r>
        <w:rPr>
          <w:rFonts w:hint="eastAsia" w:ascii="宋体" w:hAnsi="宋体" w:cs="宋体"/>
          <w:b/>
          <w:color w:val="auto"/>
          <w:sz w:val="30"/>
          <w:szCs w:val="30"/>
          <w:highlight w:val="none"/>
        </w:rPr>
        <w:t xml:space="preserve"> </w:t>
      </w:r>
      <w:r/>
    </w:p>
    <w:p>
      <w:pPr>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    </w:t>
      </w:r>
      <w:r/>
    </w:p>
    <w:p>
      <w:pPr>
        <w:ind w:left="0" w:firstLine="48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ind w:left="0" w:firstLine="480"/>
        <w:pageBreakBefore w:val="0"/>
        <w:spacing w:line="3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87"/>
        <w:ind w:left="0" w:firstLine="562"/>
        <w:pageBreakBefore w:val="0"/>
        <w:spacing w:line="520" w:lineRule="exact"/>
        <w:widowControl w:val="off"/>
        <w:rPr>
          <w:rFonts w:hint="eastAsia" w:ascii="宋体" w:hAnsi="宋体" w:eastAsia="宋体" w:cs="宋体"/>
          <w:color w:val="auto"/>
          <w:sz w:val="28"/>
          <w:szCs w:val="28"/>
          <w:highlight w:val="none"/>
        </w:rPr>
      </w:pPr>
      <w:r/>
      <w:bookmarkStart w:id="3" w:name="_Toc523404695"/>
      <w:r>
        <w:rPr>
          <w:rFonts w:hint="eastAsia" w:ascii="宋体" w:hAnsi="宋体" w:eastAsia="宋体" w:cs="宋体"/>
          <w:color w:val="auto"/>
          <w:sz w:val="28"/>
          <w:szCs w:val="28"/>
          <w:highlight w:val="none"/>
        </w:rPr>
        <w:t xml:space="preserve">第一章  投标邀请</w:t>
      </w:r>
      <w:bookmarkEnd w:id="3"/>
      <w:r/>
      <w:r/>
    </w:p>
    <w:p>
      <w:pPr>
        <w:ind w:left="0" w:firstLine="480"/>
        <w:jc w:val="center"/>
        <w:pageBreakBefore w:val="0"/>
        <w:spacing w:line="3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firstLine="48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永明项目管理有限公司</w:t>
      </w:r>
      <w:r>
        <w:rPr>
          <w:rFonts w:hint="eastAsia" w:ascii="宋体" w:hAnsi="宋体" w:cs="宋体"/>
          <w:color w:val="auto"/>
          <w:sz w:val="24"/>
          <w:szCs w:val="24"/>
          <w:highlight w:val="none"/>
        </w:rPr>
        <w:t xml:space="preserve">对</w:t>
      </w:r>
      <w:r>
        <w:rPr>
          <w:rFonts w:hint="eastAsia" w:ascii="宋体" w:hAnsi="宋体" w:cs="宋体"/>
          <w:color w:val="auto"/>
          <w:sz w:val="24"/>
          <w:szCs w:val="24"/>
          <w:highlight w:val="none"/>
          <w:lang w:eastAsia="zh-CN"/>
        </w:rPr>
        <w:t xml:space="preserve">徐州市市场监督管理局</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徐州市市场监督管理局食品安全监督抽检</w:t>
      </w:r>
      <w:r>
        <w:rPr>
          <w:rFonts w:hint="eastAsia" w:ascii="宋体" w:hAnsi="宋体" w:cs="宋体"/>
          <w:color w:val="auto"/>
          <w:sz w:val="24"/>
          <w:szCs w:val="24"/>
          <w:highlight w:val="none"/>
        </w:rPr>
        <w:t xml:space="preserve">”进行公开招标采购，现邀请符合相关条件的供应商投标。</w:t>
      </w:r>
      <w:r/>
    </w:p>
    <w:p>
      <w:pPr>
        <w:ind w:left="0" w:firstLine="48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一、项目名称和项目编号</w:t>
      </w:r>
      <w:r/>
    </w:p>
    <w:p>
      <w:pPr>
        <w:ind w:left="0" w:firstLine="48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(一)项目名称：</w:t>
      </w:r>
      <w:r>
        <w:rPr>
          <w:rFonts w:hint="eastAsia" w:ascii="宋体" w:hAnsi="宋体" w:cs="宋体"/>
          <w:color w:val="auto"/>
          <w:sz w:val="24"/>
          <w:szCs w:val="24"/>
          <w:highlight w:val="none"/>
          <w:lang w:eastAsia="zh-CN"/>
        </w:rPr>
        <w:t xml:space="preserve">徐州市市场监督管理局食品安全监督抽检</w:t>
      </w:r>
      <w:r/>
    </w:p>
    <w:p>
      <w:pPr>
        <w:ind w:left="0" w:firstLine="48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(二)项目编号</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JSZC-320300-YMXM-G2026-0004</w:t>
      </w:r>
      <w:r/>
    </w:p>
    <w:p>
      <w:pPr>
        <w:ind w:left="0" w:firstLine="48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二、对投标人的资格要求</w:t>
      </w:r>
      <w:r/>
    </w:p>
    <w:p>
      <w:pPr>
        <w:ind w:left="0" w:firstLine="48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详见本项目公开招标公告。</w:t>
      </w:r>
      <w:r/>
    </w:p>
    <w:p>
      <w:pPr>
        <w:ind w:left="0" w:firstLine="48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三、获取招标文件</w:t>
      </w:r>
      <w:bookmarkEnd w:id="0"/>
      <w:r/>
      <w:r/>
    </w:p>
    <w:p>
      <w:pPr>
        <w:ind w:left="0" w:firstLine="480"/>
        <w:pageBreakBefore w:val="0"/>
        <w:spacing w:line="52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（一）潜在供应商访问电子招标投标交易平台的网络地址和方法：</w:t>
      </w:r>
      <w:r/>
    </w:p>
    <w:p>
      <w:pPr>
        <w:ind w:left="0" w:firstLine="480"/>
        <w:pageBreakBefore w:val="0"/>
        <w:spacing w:line="52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（1）登录 http://jszfcg.jsczt.cn/ ，或进入徐州政府采购网--业务工作--用户登录，点击“苏采云”进入系统。</w:t>
      </w:r>
      <w:r/>
    </w:p>
    <w:p>
      <w:pPr>
        <w:ind w:left="0" w:firstLine="480"/>
        <w:pageBreakBefore w:val="0"/>
        <w:spacing w:line="52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firstLine="480"/>
        <w:pageBreakBefore w:val="0"/>
        <w:spacing w:line="52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（二）采购代理机构将数据电文形式的招标文件加载至电子招标投标交易平台，供潜在供应商下载或者查阅。</w:t>
      </w:r>
      <w:r/>
    </w:p>
    <w:p>
      <w:pPr>
        <w:ind w:left="0" w:firstLine="480"/>
        <w:pageBreakBefore w:val="0"/>
        <w:spacing w:line="52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（三）售价：免费。 </w:t>
      </w:r>
      <w:r/>
    </w:p>
    <w:p>
      <w:pPr>
        <w:ind w:left="0" w:firstLine="48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四、投标有关信息</w:t>
      </w:r>
      <w:r/>
    </w:p>
    <w:p>
      <w:pPr>
        <w:ind w:left="0" w:firstLine="48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（一）投标截止时间：</w:t>
      </w:r>
      <w:r>
        <w:rPr>
          <w:rFonts w:hint="eastAsia" w:ascii="宋体" w:hAnsi="宋体" w:cs="宋体"/>
          <w:b/>
          <w:bCs/>
          <w:color w:val="auto"/>
          <w:sz w:val="24"/>
          <w:szCs w:val="24"/>
          <w:highlight w:val="none"/>
          <w:lang w:eastAsia="zh-CN"/>
        </w:rPr>
        <w:t xml:space="preserve">2026年6月16日</w:t>
      </w:r>
      <w:r>
        <w:rPr>
          <w:rFonts w:hint="eastAsia" w:ascii="宋体" w:hAnsi="宋体" w:cs="宋体"/>
          <w:b/>
          <w:bCs/>
          <w:color w:val="auto"/>
          <w:sz w:val="24"/>
          <w:szCs w:val="24"/>
          <w:highlight w:val="none"/>
        </w:rPr>
        <w:t xml:space="preserve">北京时间09:30</w:t>
      </w:r>
      <w:r>
        <w:rPr>
          <w:rFonts w:hint="eastAsia" w:ascii="宋体" w:hAnsi="宋体" w:cs="宋体"/>
          <w:color w:val="auto"/>
          <w:sz w:val="24"/>
          <w:szCs w:val="24"/>
          <w:highlight w:val="none"/>
        </w:rPr>
        <w:t xml:space="preserve">。</w:t>
      </w:r>
      <w:r/>
    </w:p>
    <w:p>
      <w:pPr>
        <w:ind w:left="0" w:firstLine="48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（二）开标时间：</w:t>
      </w:r>
      <w:r>
        <w:rPr>
          <w:rFonts w:hint="eastAsia" w:ascii="宋体" w:hAnsi="宋体" w:cs="宋体"/>
          <w:b/>
          <w:bCs/>
          <w:color w:val="auto"/>
          <w:sz w:val="24"/>
          <w:szCs w:val="24"/>
          <w:highlight w:val="none"/>
          <w:lang w:eastAsia="zh-CN"/>
        </w:rPr>
        <w:t xml:space="preserve">2026年</w:t>
      </w:r>
      <w:r>
        <w:rPr>
          <w:rFonts w:hint="eastAsia" w:ascii="宋体" w:hAnsi="宋体" w:cs="宋体"/>
          <w:b/>
          <w:bCs/>
          <w:color w:val="auto"/>
          <w:sz w:val="24"/>
          <w:szCs w:val="24"/>
          <w:highlight w:val="none"/>
          <w:lang w:eastAsia="zh-CN"/>
        </w:rPr>
        <w:t xml:space="preserve">6月16日</w:t>
      </w:r>
      <w:r/>
      <w:r>
        <w:rPr>
          <w:rFonts w:hint="eastAsia" w:ascii="宋体" w:hAnsi="宋体" w:cs="宋体"/>
          <w:b/>
          <w:bCs/>
          <w:color w:val="auto"/>
          <w:sz w:val="24"/>
          <w:szCs w:val="24"/>
          <w:highlight w:val="none"/>
          <w:lang w:eastAsia="zh-CN"/>
        </w:rPr>
      </w:r>
      <w:r>
        <w:rPr>
          <w:rFonts w:hint="eastAsia" w:ascii="宋体" w:hAnsi="宋体" w:cs="宋体"/>
          <w:b/>
          <w:bCs/>
          <w:color w:val="auto"/>
          <w:sz w:val="24"/>
          <w:szCs w:val="24"/>
          <w:highlight w:val="none"/>
        </w:rPr>
        <w:t xml:space="preserve">北京时间09:30</w:t>
      </w:r>
      <w:r>
        <w:rPr>
          <w:rFonts w:hint="eastAsia" w:ascii="宋体" w:hAnsi="宋体" w:cs="宋体"/>
          <w:color w:val="auto"/>
          <w:sz w:val="24"/>
          <w:szCs w:val="24"/>
          <w:highlight w:val="none"/>
        </w:rPr>
        <w:t xml:space="preserve">。</w:t>
      </w:r>
      <w:r/>
    </w:p>
    <w:p>
      <w:pPr>
        <w:ind w:left="0" w:firstLine="48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（三）开标地点：“苏采云”系统（网址： http://jszfcg.jsczt.cn/）“开标大厅”或进入徐州政府采购网（网址：http://czj.xz.gov.cn/Home/HomeIndex）-业务工作 -用户登录，点击“苏采云”进入系统“开标大厅”。</w:t>
      </w:r>
      <w:r/>
    </w:p>
    <w:p>
      <w:pPr>
        <w:ind w:left="0" w:firstLine="48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五、采购人</w:t>
      </w:r>
      <w:r/>
    </w:p>
    <w:p>
      <w:pPr>
        <w:ind w:left="0" w:firstLine="48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（一）名称：</w:t>
      </w:r>
      <w:r>
        <w:rPr>
          <w:rFonts w:hint="eastAsia" w:ascii="宋体" w:hAnsi="宋体" w:cs="宋体"/>
          <w:color w:val="auto"/>
          <w:sz w:val="24"/>
          <w:szCs w:val="24"/>
          <w:highlight w:val="none"/>
          <w:lang w:eastAsia="zh-CN"/>
        </w:rPr>
        <w:t xml:space="preserve">徐州市市场监督管理局</w:t>
      </w:r>
      <w:r/>
    </w:p>
    <w:p>
      <w:pPr>
        <w:ind w:left="0" w:firstLine="48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（二）地址：</w:t>
      </w:r>
      <w:r>
        <w:rPr>
          <w:rFonts w:hint="eastAsia" w:ascii="宋体" w:hAnsi="宋体" w:cs="宋体"/>
          <w:color w:val="auto"/>
          <w:sz w:val="24"/>
          <w:szCs w:val="24"/>
          <w:highlight w:val="none"/>
          <w:lang w:eastAsia="zh-CN"/>
        </w:rPr>
        <w:t xml:space="preserve">徐州市云龙区新安路11号</w:t>
      </w:r>
      <w:r>
        <w:rPr>
          <w:rFonts w:ascii="宋体" w:hAnsi="宋体" w:cs="宋体"/>
          <w:color w:val="auto"/>
          <w:sz w:val="24"/>
          <w:szCs w:val="24"/>
          <w:highlight w:val="none"/>
        </w:rPr>
        <w:t xml:space="preserve"> </w:t>
      </w:r>
      <w:r/>
    </w:p>
    <w:p>
      <w:pPr>
        <w:ind w:left="0" w:firstLine="480"/>
        <w:pageBreakBefore w:val="0"/>
        <w:spacing w:line="52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（三）联系方法：</w:t>
      </w:r>
      <w:r>
        <w:rPr>
          <w:rFonts w:hint="eastAsia" w:ascii="宋体" w:hAnsi="宋体" w:cs="宋体"/>
          <w:color w:val="auto"/>
          <w:sz w:val="24"/>
          <w:szCs w:val="24"/>
          <w:highlight w:val="none"/>
          <w:lang w:val="en-US" w:eastAsia="zh-CN"/>
        </w:rPr>
        <w:t xml:space="preserve">0516-69859281 </w:t>
      </w:r>
      <w:r/>
    </w:p>
    <w:p>
      <w:pPr>
        <w:ind w:left="0" w:firstLine="48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（四）采购项目联系人：</w:t>
      </w:r>
      <w:r>
        <w:rPr>
          <w:rFonts w:hint="eastAsia" w:ascii="宋体" w:hAnsi="宋体" w:cs="宋体"/>
          <w:color w:val="auto"/>
          <w:sz w:val="24"/>
          <w:szCs w:val="24"/>
          <w:highlight w:val="none"/>
          <w:lang w:val="en-US" w:eastAsia="zh-CN"/>
        </w:rPr>
        <w:t xml:space="preserve">孟民 </w:t>
      </w:r>
      <w:r>
        <w:rPr>
          <w:rFonts w:hint="eastAsia" w:ascii="宋体" w:hAnsi="宋体" w:cs="宋体"/>
          <w:color w:val="auto"/>
          <w:sz w:val="24"/>
          <w:szCs w:val="24"/>
          <w:highlight w:val="none"/>
        </w:rPr>
        <w:t xml:space="preserve"> </w:t>
      </w:r>
      <w:r/>
    </w:p>
    <w:p>
      <w:pPr>
        <w:ind w:left="0" w:firstLine="48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六、采购代理机构</w:t>
      </w:r>
      <w:r/>
    </w:p>
    <w:p>
      <w:pPr>
        <w:ind w:left="0" w:firstLine="48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（一）名称：</w:t>
      </w:r>
      <w:r>
        <w:rPr>
          <w:rFonts w:hint="eastAsia" w:ascii="宋体" w:hAnsi="宋体" w:cs="宋体"/>
          <w:color w:val="auto"/>
          <w:sz w:val="24"/>
          <w:szCs w:val="24"/>
          <w:highlight w:val="none"/>
          <w:lang w:eastAsia="zh-CN"/>
        </w:rPr>
        <w:t xml:space="preserve">永明项目管理有限公司</w:t>
      </w:r>
      <w:r/>
    </w:p>
    <w:p>
      <w:pPr>
        <w:ind w:left="0" w:firstLine="48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（二）地址：</w:t>
      </w:r>
      <w:r>
        <w:rPr>
          <w:rFonts w:hint="eastAsia" w:ascii="宋体" w:hAnsi="宋体" w:cs="宋体"/>
          <w:color w:val="auto"/>
          <w:sz w:val="24"/>
          <w:szCs w:val="24"/>
          <w:highlight w:val="none"/>
          <w:lang w:eastAsia="zh-CN"/>
        </w:rPr>
        <w:t xml:space="preserve">江苏省徐州市云龙区绿地商务城蓝海officeA座21楼</w:t>
      </w:r>
      <w:r/>
    </w:p>
    <w:p>
      <w:pPr>
        <w:ind w:left="0" w:firstLine="480"/>
        <w:pageBreakBefore w:val="0"/>
        <w:spacing w:line="5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（三）联系方法：</w:t>
      </w:r>
      <w:r>
        <w:rPr>
          <w:rFonts w:hint="eastAsia" w:ascii="宋体" w:hAnsi="宋体" w:cs="宋体"/>
          <w:color w:val="auto"/>
          <w:sz w:val="24"/>
          <w:szCs w:val="24"/>
          <w:highlight w:val="none"/>
          <w:lang w:eastAsia="zh-CN"/>
        </w:rPr>
        <w:t xml:space="preserve">0516-</w:t>
      </w:r>
      <w:r>
        <w:rPr>
          <w:rFonts w:hint="eastAsia" w:ascii="宋体" w:hAnsi="宋体" w:cs="宋体"/>
          <w:color w:val="auto"/>
          <w:sz w:val="24"/>
          <w:szCs w:val="24"/>
          <w:highlight w:val="none"/>
          <w:lang w:val="en-US" w:eastAsia="zh-CN"/>
        </w:rPr>
        <w:t xml:space="preserve">83333882</w:t>
      </w:r>
      <w:r/>
    </w:p>
    <w:p>
      <w:pPr>
        <w:ind w:left="0" w:firstLine="48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（四）采购项目联系人：</w:t>
      </w:r>
      <w:r>
        <w:rPr>
          <w:rFonts w:hint="eastAsia" w:ascii="宋体" w:hAnsi="宋体" w:cs="宋体"/>
          <w:color w:val="auto"/>
          <w:sz w:val="24"/>
          <w:szCs w:val="24"/>
          <w:highlight w:val="none"/>
          <w:lang w:val="en-US" w:eastAsia="zh-CN"/>
        </w:rPr>
        <w:t xml:space="preserve">张卉</w:t>
      </w:r>
      <w:r/>
    </w:p>
    <w:p>
      <w:pPr>
        <w:ind w:firstLine="600"/>
        <w:spacing w:line="36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00"/>
        <w:spacing w:line="36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972"/>
        <w:rPr>
          <w:rFonts w:ascii="宋体" w:hAnsi="宋体" w:eastAsia="宋体"/>
          <w:color w:val="auto"/>
          <w:highlight w:val="none"/>
        </w:rPr>
      </w:pPr>
      <w:r/>
      <w:bookmarkStart w:id="4" w:name="_Toc523404696"/>
      <w:r/>
      <w:bookmarkStart w:id="5" w:name="_Toc522790131"/>
      <w:r>
        <w:rPr>
          <w:rFonts w:hint="eastAsia" w:ascii="宋体" w:hAnsi="宋体" w:eastAsia="宋体" w:cs="宋体"/>
          <w:color w:val="auto"/>
          <w:highlight w:val="none"/>
        </w:rPr>
        <w:br w:type="page" w:clear="all"/>
      </w:r>
      <w:bookmarkEnd w:id="4"/>
      <w:r/>
      <w:bookmarkEnd w:id="5"/>
      <w:r/>
      <w:bookmarkStart w:id="6" w:name="_Toc522790132"/>
      <w:r/>
      <w:bookmarkStart w:id="7" w:name="_Toc523404697"/>
      <w:r>
        <w:rPr>
          <w:rFonts w:ascii="宋体" w:hAnsi="宋体" w:eastAsia="宋体"/>
          <w:color w:val="auto"/>
          <w:highlight w:val="none"/>
        </w:rPr>
        <w:t xml:space="preserve">第二章  投标人须知</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一、总则</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（一）采购人。采购人即指依法进行政府采购的国家机关、事业单位和团体组织。</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（二）政府招标采购方式。政府采购货物或服务（以下简称“货物服务”）的招标方式，分为公开招标和邀请招标。</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（五）采购人委托采购代理机构代理招标的，采购代理机构必须在采购人委托的范围内依法开展采购活动。</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（六）投标人的资格条件：</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ascii="宋体" w:hAnsi="宋体"/>
          <w:color w:val="auto"/>
          <w:sz w:val="24"/>
          <w:szCs w:val="24"/>
          <w:highlight w:val="none"/>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投标人是指响应招标、参加投标竞争的法人、其他组织或者自然人。</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投标人授权代表系指法定代表人或受法人委托的受托人。</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二、招标</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（八）招标文件应包括以下内容：</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第一章，投标邀请；</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第二章，投标人须知；</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第三章，投标资料表；</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第四章，评标标准；</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第五章，拟签订的合同文本；</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第六章，采购需求；</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第七章，投标文件相关格式。</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（九）招标文件澄清或者修改：</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ascii="宋体" w:hAnsi="宋体"/>
          <w:color w:val="auto"/>
          <w:sz w:val="24"/>
          <w:szCs w:val="24"/>
          <w:highlight w:val="none"/>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现场考察以本文件第三章《投标资料表》中的要求为准。</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w:t>
      </w:r>
      <w:r>
        <w:rPr>
          <w:rFonts w:ascii="宋体" w:hAnsi="宋体"/>
          <w:color w:val="auto"/>
          <w:sz w:val="24"/>
          <w:szCs w:val="24"/>
          <w:highlight w:val="none"/>
        </w:rPr>
        <w:t xml:space="preserve">开标前答疑会以本文件第三章《投标资料表》中的要求为准。</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三、投标</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（十）投标人应当按照招标文件的要求编制投标文件。投标文件应对招标文件提出的要求和条件作出实质性响应。</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（十二）投标文件的构成：</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ascii="宋体" w:hAnsi="宋体"/>
          <w:color w:val="auto"/>
          <w:sz w:val="24"/>
          <w:szCs w:val="24"/>
          <w:highlight w:val="none"/>
        </w:rPr>
        <w:t xml:space="preserve">投标文件的构成以本文件第三章《投标资料表》中的要求为准。</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投标人应当提交的资格、资信证明文件，以本文件第三章《投标资料表》中的所提要求为准。</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（十三）投标函和价格表、商务条件、交货和提供服务的时间：</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ascii="宋体" w:hAnsi="宋体"/>
          <w:color w:val="auto"/>
          <w:sz w:val="24"/>
          <w:szCs w:val="24"/>
          <w:highlight w:val="none"/>
        </w:rPr>
        <w:t xml:space="preserve">投标函和价格表的要求见本章（十二）、（十三），格式见本文件第七章《投标文件相关格式》中《投标函》和《开标一览表》。</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商务条件以本文件第三章《投标资料表》中的要求为准。</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w:t>
      </w:r>
      <w:r>
        <w:rPr>
          <w:rFonts w:ascii="宋体" w:hAnsi="宋体"/>
          <w:color w:val="auto"/>
          <w:sz w:val="24"/>
          <w:szCs w:val="24"/>
          <w:highlight w:val="none"/>
        </w:rPr>
        <w:t xml:space="preserve">交货和提供服务的时间，以本文件第三章《投标资料表》中所提要求为准。</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（十四）投标报价要求：</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ascii="宋体" w:hAnsi="宋体"/>
          <w:color w:val="auto"/>
          <w:sz w:val="24"/>
          <w:szCs w:val="24"/>
          <w:highlight w:val="none"/>
        </w:rPr>
        <w:t xml:space="preserve">投标人应按照招标文件的要求报出分项价格和总价。</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投标人应按照招标文件的要求进行报价，如投标人作出偏离，应在《偏离表》中列出。</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w:t>
      </w:r>
      <w:r>
        <w:rPr>
          <w:rFonts w:ascii="宋体" w:hAnsi="宋体"/>
          <w:color w:val="auto"/>
          <w:sz w:val="24"/>
          <w:szCs w:val="24"/>
          <w:highlight w:val="none"/>
        </w:rPr>
        <w:t xml:space="preserve">采购人不支付报价以外的任何费用。</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4</w:t>
      </w:r>
      <w:r>
        <w:rPr>
          <w:rFonts w:hint="eastAsia" w:ascii="宋体" w:hAnsi="宋体"/>
          <w:color w:val="auto"/>
          <w:sz w:val="24"/>
          <w:szCs w:val="24"/>
          <w:highlight w:val="none"/>
        </w:rPr>
        <w:t xml:space="preserve">.</w:t>
      </w:r>
      <w:r>
        <w:rPr>
          <w:rFonts w:ascii="宋体" w:hAnsi="宋体"/>
          <w:color w:val="auto"/>
          <w:sz w:val="24"/>
          <w:szCs w:val="24"/>
          <w:highlight w:val="none"/>
        </w:rPr>
        <w:t xml:space="preserve">投标人所报的价格，在合同执行过程中是固定的，不得以任何理由予以变更。投标人提交滑动价格的投标文件，在资格性、符合性检查时按照无效投标处理。</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w:t>
      </w:r>
      <w:r>
        <w:rPr>
          <w:rFonts w:ascii="宋体" w:hAnsi="宋体"/>
          <w:color w:val="auto"/>
          <w:sz w:val="24"/>
          <w:szCs w:val="24"/>
          <w:highlight w:val="none"/>
        </w:rPr>
        <w:t xml:space="preserve">投标人只能提交一个投标价格，投标人提交多个价格的投标文件，在资格性、符合性检查时按照无效投标处理。</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（十五）投标货币。以本文件第三章《投标资料表》中所提要求为准。</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（十六）投标有效期：</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ascii="宋体" w:hAnsi="宋体"/>
          <w:color w:val="auto"/>
          <w:sz w:val="24"/>
          <w:szCs w:val="24"/>
          <w:highlight w:val="none"/>
        </w:rPr>
        <w:t xml:space="preserve">投标有效期为开标之日后90天。采购人可以要求对投标有效期延长一次，但该延长期最长不得超过30天。</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w:t>
      </w:r>
      <w:r>
        <w:rPr>
          <w:rFonts w:ascii="宋体" w:hAnsi="宋体"/>
          <w:color w:val="auto"/>
          <w:sz w:val="24"/>
          <w:szCs w:val="24"/>
          <w:highlight w:val="none"/>
        </w:rPr>
        <w:t xml:space="preserve">如果采购人发出要求延长投标有效期的通知，并在投标有效期届满前，没有收到投标人同意的书面通知，则视为该投标人不接受上述延期的要求。</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（十七）投标文件的编制要求和签署要求</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投标人应由其法定代表人或法定代表人授权代表在规定的网上投标时间，凭 CA 证书登陆“苏采云”系统在线编制投标文件（电子数据），并在投标截止时间之前上传投标文件。</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投标人应对 CA 证书妥善保管，如被他人盗用投标，因此带来的结果均由投标人自行承担。</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投标人应当对招标文件提出的要求和条件作出实质性响应，并在电子投标系统逐条应答。</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投标人应对要求提供的资格证明文件（如资质证书、资格证书）、技术资料（如白皮书、彩页、手册、检测报告等）扫描上传至投标系统。</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（十八）投标文件的盖章要求：</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投标文件的盖章要求，以本文件第三章《投标资料表》中所提要求为准。</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（二十二）本项目不允许分包。</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在评标过程中发现投标人有上述情形的，评标委员会应当认定其投标无效，并书面报告本级财政部门。</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（二十四）有下列情形之一的，其投标无效。</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不同投标人的投标文件，由同一单位或者个人编制；</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不同投标人委托同一单位或者个人办理投标事宜；</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不同投标人的投标文件中，所载明的项目管理成员或联系人为同一人；</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4</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不同投标人的投标文件，异常一致或者投标报价呈规律性差异；</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6</w:t>
      </w:r>
      <w:r>
        <w:rPr>
          <w:rFonts w:hint="eastAsia" w:ascii="宋体" w:hAnsi="宋体"/>
          <w:color w:val="auto"/>
          <w:sz w:val="24"/>
          <w:szCs w:val="24"/>
          <w:highlight w:val="none"/>
        </w:rPr>
        <w:t xml:space="preserve">.</w:t>
      </w:r>
      <w:r>
        <w:rPr>
          <w:rFonts w:ascii="宋体" w:hAnsi="宋体"/>
          <w:color w:val="auto"/>
          <w:sz w:val="24"/>
          <w:szCs w:val="24"/>
          <w:highlight w:val="none"/>
        </w:rPr>
        <w:t xml:space="preserve">电子投标文件未按规定期限投标的；</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7</w:t>
      </w:r>
      <w:r>
        <w:rPr>
          <w:rFonts w:hint="eastAsia" w:ascii="宋体" w:hAnsi="宋体"/>
          <w:color w:val="auto"/>
          <w:sz w:val="24"/>
          <w:szCs w:val="24"/>
          <w:highlight w:val="none"/>
        </w:rPr>
        <w:t xml:space="preserve">.</w:t>
      </w:r>
      <w:r>
        <w:rPr>
          <w:rFonts w:ascii="宋体" w:hAnsi="宋体"/>
          <w:color w:val="auto"/>
          <w:sz w:val="24"/>
          <w:szCs w:val="24"/>
          <w:highlight w:val="none"/>
        </w:rPr>
        <w:t xml:space="preserve">电子投标文件未按招标文件要求签章的；</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8</w:t>
      </w:r>
      <w:r>
        <w:rPr>
          <w:rFonts w:hint="eastAsia" w:ascii="宋体" w:hAnsi="宋体"/>
          <w:color w:val="auto"/>
          <w:sz w:val="24"/>
          <w:szCs w:val="24"/>
          <w:highlight w:val="none"/>
        </w:rPr>
        <w:t xml:space="preserve">.</w:t>
      </w:r>
      <w:r>
        <w:rPr>
          <w:rFonts w:ascii="宋体" w:hAnsi="宋体"/>
          <w:color w:val="auto"/>
          <w:sz w:val="24"/>
          <w:szCs w:val="24"/>
          <w:highlight w:val="none"/>
        </w:rPr>
        <w:t xml:space="preserve">投标人未在规定时间内解密电子投标文件的；</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9</w:t>
      </w:r>
      <w:r>
        <w:rPr>
          <w:rFonts w:hint="eastAsia" w:ascii="宋体" w:hAnsi="宋体"/>
          <w:color w:val="auto"/>
          <w:sz w:val="24"/>
          <w:szCs w:val="24"/>
          <w:highlight w:val="none"/>
        </w:rPr>
        <w:t xml:space="preserve">.</w:t>
      </w:r>
      <w:r>
        <w:rPr>
          <w:rFonts w:ascii="宋体" w:hAnsi="宋体"/>
          <w:color w:val="auto"/>
          <w:sz w:val="24"/>
          <w:szCs w:val="24"/>
          <w:highlight w:val="none"/>
        </w:rPr>
        <w:t xml:space="preserve">投标文件未按招标文件规定的内容和要求填写的；没有在投标系统指定位置上传对应文件、材料的；</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10</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不具备招标文件中规定的资格要求的；</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11</w:t>
      </w:r>
      <w:r>
        <w:rPr>
          <w:rFonts w:hint="eastAsia" w:ascii="宋体" w:hAnsi="宋体"/>
          <w:color w:val="auto"/>
          <w:sz w:val="24"/>
          <w:szCs w:val="24"/>
          <w:highlight w:val="none"/>
        </w:rPr>
        <w:t xml:space="preserve">.</w:t>
      </w:r>
      <w:r>
        <w:rPr>
          <w:rFonts w:ascii="宋体" w:hAnsi="宋体"/>
          <w:color w:val="auto"/>
          <w:sz w:val="24"/>
          <w:szCs w:val="24"/>
          <w:highlight w:val="none"/>
        </w:rPr>
        <w:t xml:space="preserve">报价超过招标文件中规定的预算金额或者最高限价的；</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12</w:t>
      </w:r>
      <w:r>
        <w:rPr>
          <w:rFonts w:hint="eastAsia" w:ascii="宋体" w:hAnsi="宋体"/>
          <w:color w:val="auto"/>
          <w:sz w:val="24"/>
          <w:szCs w:val="24"/>
          <w:highlight w:val="none"/>
        </w:rPr>
        <w:t xml:space="preserve">.</w:t>
      </w:r>
      <w:r>
        <w:rPr>
          <w:rFonts w:ascii="宋体" w:hAnsi="宋体"/>
          <w:color w:val="auto"/>
          <w:sz w:val="24"/>
          <w:szCs w:val="24"/>
          <w:highlight w:val="none"/>
        </w:rPr>
        <w:t xml:space="preserve">投标文件含有采购人不能接受的附加条件的；</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13</w:t>
      </w:r>
      <w:r>
        <w:rPr>
          <w:rFonts w:hint="eastAsia" w:ascii="宋体" w:hAnsi="宋体"/>
          <w:color w:val="auto"/>
          <w:sz w:val="24"/>
          <w:szCs w:val="24"/>
          <w:highlight w:val="none"/>
        </w:rPr>
        <w:t xml:space="preserve">.</w:t>
      </w:r>
      <w:r>
        <w:rPr>
          <w:rFonts w:ascii="宋体" w:hAnsi="宋体"/>
          <w:color w:val="auto"/>
          <w:sz w:val="24"/>
          <w:szCs w:val="24"/>
          <w:highlight w:val="none"/>
        </w:rPr>
        <w:t xml:space="preserve">法律、法规和招标文件规定的其他无效情形。</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四、开标</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（二十五）开标：</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1.开标时间及地点。开标应当在招标文件确定的提交投标文件截止时间的同一时间公开进行；开标地点应当为招标文件中预先确定的地点。</w:t>
      </w:r>
      <w:r/>
    </w:p>
    <w:p>
      <w:pPr>
        <w:pStyle w:val="795"/>
        <w:ind w:left="0" w:firstLine="480"/>
        <w:keepLines w:val="0"/>
        <w:keepNext w:val="0"/>
        <w:pageBreakBefore w:val="0"/>
        <w:spacing w:line="520" w:lineRule="exact"/>
        <w:rPr>
          <w:rFonts w:ascii="宋体" w:hAnsi="宋体"/>
          <w:color w:val="auto"/>
          <w:sz w:val="24"/>
          <w:szCs w:val="24"/>
          <w:highlight w:val="none"/>
          <w:shd w:val="clear" w:color="auto" w:fill="ffffff"/>
        </w:rPr>
      </w:pPr>
      <w:r>
        <w:rPr>
          <w:rFonts w:ascii="宋体" w:hAnsi="宋体"/>
          <w:color w:val="auto"/>
          <w:sz w:val="24"/>
          <w:szCs w:val="24"/>
          <w:highlight w:val="none"/>
          <w:shd w:val="clear" w:color="auto" w:fill="ffffff"/>
        </w:rPr>
        <w:t xml:space="preserve">2.由电子招标投标交易平台主持，邀请投标人参加。</w:t>
      </w:r>
      <w:r/>
    </w:p>
    <w:p>
      <w:pPr>
        <w:pStyle w:val="795"/>
        <w:ind w:left="0" w:firstLine="480"/>
        <w:keepLines w:val="0"/>
        <w:keepNext w:val="0"/>
        <w:pageBreakBefore w:val="0"/>
        <w:spacing w:line="520" w:lineRule="exact"/>
        <w:rPr>
          <w:rFonts w:ascii="宋体" w:hAnsi="宋体"/>
          <w:color w:val="auto"/>
          <w:sz w:val="24"/>
          <w:szCs w:val="24"/>
          <w:highlight w:val="none"/>
          <w:shd w:val="clear" w:color="auto" w:fill="ffffff"/>
        </w:rPr>
      </w:pPr>
      <w:r>
        <w:rPr>
          <w:rFonts w:ascii="宋体" w:hAnsi="宋体"/>
          <w:color w:val="auto"/>
          <w:sz w:val="24"/>
          <w:szCs w:val="24"/>
          <w:highlight w:val="none"/>
          <w:shd w:val="clear" w:color="auto" w:fill="ffffff"/>
        </w:rPr>
        <w:t xml:space="preserve">3.所有投标单位使用 CA 证书在开标时间时，解密各自投标文件，投标人不足3家的，不得评标。</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shd w:val="clear" w:color="auto" w:fill="ffffff"/>
        </w:rPr>
        <w:t xml:space="preserve">4.投标人原因造成投标文件未</w:t>
      </w:r>
      <w:r>
        <w:rPr>
          <w:rFonts w:ascii="宋体" w:hAnsi="宋体"/>
          <w:color w:val="auto"/>
          <w:sz w:val="24"/>
          <w:szCs w:val="24"/>
          <w:highlight w:val="none"/>
        </w:rPr>
        <w:t xml:space="preserve">解密的，视为撤销其投标文件;因投标人之外的原因造成投标文件未解密的，视为撤回其投标文件。部分投标文件未解密的，其他投标文件的开标可以继续进行。</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五、评标</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（二十六）公开招标采购项目开标结束后，采购人依法对投标人的资格进行审查。合格投标人不足3家的，不得评标。</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1.评标工作由采购代理机构负责组织，并履行下列职责：</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（2）宣布评标纪律；</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（3）公布投标人名单，告知评审专家应当回避的情形；</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（4）组织评标委员会推选评标组长（采购人代表不得担任组长）；</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（5）在评标期间采取必要的通讯管理措施，保证评标活动不受外界干扰；</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（6）根据评标委员会的要求介绍政府采购相关政策法规、招标文件；</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（8）核对评标结果，对有《</w:t>
      </w:r>
      <w:r>
        <w:rPr>
          <w:color w:val="auto"/>
          <w:sz w:val="24"/>
          <w:szCs w:val="24"/>
          <w:highlight w:val="none"/>
        </w:rPr>
        <w:fldChar w:fldCharType="begin"/>
      </w:r>
      <w:r>
        <w:rPr>
          <w:color w:val="auto"/>
          <w:sz w:val="24"/>
          <w:szCs w:val="24"/>
          <w:highlight w:val="none"/>
        </w:rPr>
        <w:instrText xml:space="preserve"> HYPERLINK "http://www.caigou2003.com/" \t "_blank" </w:instrText>
      </w:r>
      <w:r>
        <w:rPr>
          <w:color w:val="auto"/>
          <w:sz w:val="24"/>
          <w:szCs w:val="24"/>
          <w:highlight w:val="none"/>
        </w:rPr>
        <w:fldChar w:fldCharType="separate"/>
      </w:r>
      <w:r>
        <w:rPr>
          <w:rFonts w:ascii="宋体" w:hAnsi="宋体"/>
          <w:color w:val="auto"/>
          <w:sz w:val="24"/>
          <w:szCs w:val="24"/>
          <w:highlight w:val="none"/>
        </w:rPr>
        <w:t xml:space="preserve">政府采购</w:t>
      </w:r>
      <w:r>
        <w:rPr>
          <w:rFonts w:ascii="宋体" w:hAnsi="宋体"/>
          <w:color w:val="auto"/>
          <w:sz w:val="24"/>
          <w:szCs w:val="24"/>
          <w:highlight w:val="none"/>
        </w:rPr>
        <w:fldChar w:fldCharType="end"/>
      </w:r>
      <w:r>
        <w:rPr>
          <w:rFonts w:ascii="宋体" w:hAnsi="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（9）评审工作完成后，按照规定向评审专家支付劳务报酬和异地评审差旅费，不得向评审专家以外的其他人员支付评审劳务报酬； </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（10）处理与评标有关的其他事项。</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2.评标委员会负责具体评标事务，并独立履行下列职责：</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（1）审查、评价投标文件是否符合招标文件的商务、技术等实质性要求；</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（2）要求投标人对投标文件有关事项作出澄清或者说明；</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（3）对投标文件进行比较和评价；</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（4）确定中标候选人名单，以及根据采购人委托直接确定中标人；</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（5）向采购人、采购代理机构或有关部门报告评标中发现的违法行为。</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（二十七）评标方法分为最低评标价法和综合评分法。</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1.本项目的评标方法：见招标文件第三章《投标资料表》。</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2.本项目的评标标准：见招标文件第四章《评分标准》。</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（二十八）评标</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1.评标工作程序：</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（1）投标文件初审。</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①资格性审查。</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②符合性审查。</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（2）澄清有关问题。</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（3）比较与评价。</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（4）推荐中标候选供应商名单。</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（5）编写评审报告（评标报告）。</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3.采用</w:t>
      </w:r>
      <w:r>
        <w:rPr>
          <w:color w:val="auto"/>
          <w:sz w:val="24"/>
          <w:szCs w:val="24"/>
          <w:highlight w:val="none"/>
        </w:rPr>
        <w:fldChar w:fldCharType="begin"/>
      </w:r>
      <w:r>
        <w:rPr>
          <w:color w:val="auto"/>
          <w:sz w:val="24"/>
          <w:szCs w:val="24"/>
          <w:highlight w:val="none"/>
        </w:rPr>
        <w:instrText xml:space="preserve"> HYPERLINK "http://lilun.caigou2003.com/recijiedu/2365668.html" \t "_blank" </w:instrText>
      </w:r>
      <w:r>
        <w:rPr>
          <w:color w:val="auto"/>
          <w:sz w:val="24"/>
          <w:szCs w:val="24"/>
          <w:highlight w:val="none"/>
        </w:rPr>
        <w:fldChar w:fldCharType="separate"/>
      </w:r>
      <w:r>
        <w:rPr>
          <w:rFonts w:ascii="宋体" w:hAnsi="宋体"/>
          <w:color w:val="auto"/>
          <w:sz w:val="24"/>
          <w:szCs w:val="24"/>
          <w:highlight w:val="none"/>
        </w:rPr>
        <w:t xml:space="preserve">最低评标价法</w:t>
      </w:r>
      <w:r>
        <w:rPr>
          <w:rFonts w:ascii="宋体" w:hAnsi="宋体"/>
          <w:color w:val="auto"/>
          <w:sz w:val="24"/>
          <w:szCs w:val="24"/>
          <w:highlight w:val="none"/>
        </w:rPr>
        <w:fldChar w:fldCharType="end"/>
      </w:r>
      <w:r>
        <w:rPr>
          <w:rFonts w:ascii="宋体" w:hAnsi="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采用</w:t>
      </w:r>
      <w:r>
        <w:rPr>
          <w:color w:val="auto"/>
          <w:sz w:val="24"/>
          <w:szCs w:val="24"/>
          <w:highlight w:val="none"/>
        </w:rPr>
        <w:fldChar w:fldCharType="begin"/>
      </w:r>
      <w:r>
        <w:rPr>
          <w:color w:val="auto"/>
          <w:sz w:val="24"/>
          <w:szCs w:val="24"/>
          <w:highlight w:val="none"/>
        </w:rPr>
        <w:instrText xml:space="preserve"> HYPERLINK "http://lilun.caigou2003.com/recijiedu/2365667.html" \t "_blank" </w:instrText>
      </w:r>
      <w:r>
        <w:rPr>
          <w:color w:val="auto"/>
          <w:sz w:val="24"/>
          <w:szCs w:val="24"/>
          <w:highlight w:val="none"/>
        </w:rPr>
        <w:fldChar w:fldCharType="separate"/>
      </w:r>
      <w:r>
        <w:rPr>
          <w:rFonts w:ascii="宋体" w:hAnsi="宋体"/>
          <w:color w:val="auto"/>
          <w:sz w:val="24"/>
          <w:szCs w:val="24"/>
          <w:highlight w:val="none"/>
        </w:rPr>
        <w:t xml:space="preserve">综合评分法</w:t>
      </w:r>
      <w:r>
        <w:rPr>
          <w:rFonts w:ascii="宋体" w:hAnsi="宋体"/>
          <w:color w:val="auto"/>
          <w:sz w:val="24"/>
          <w:szCs w:val="24"/>
          <w:highlight w:val="none"/>
        </w:rPr>
        <w:fldChar w:fldCharType="end"/>
      </w:r>
      <w:r>
        <w:rPr>
          <w:rFonts w:ascii="宋体" w:hAnsi="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非单一产品采购项目，多家投标人提供的核心产品品牌相同的，按前两款规定处理。</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（二十九）投标文件报价出现前后不一致的，按照下列规定修正：</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1.投标文件中开标一览表（报价表）内容与投标文件中相应内容不一致的，以开标一览表（报价表）为准；</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2.大写金额和小写金额不一致的，以大写金额为准；</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3.单价金额小数点或者百分比有明显错位的，以开标一览表的总价为准，并修改单价；</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4.总价金额与按单价合计金额不一致的，以单价金额计算结果为准。</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评标中需要投标人对投标文件澄清或者说明的，应当通过“苏采云”系统交换数据电文。在评标期间，请投标人保持在线。</w:t>
      </w:r>
      <w:r/>
    </w:p>
    <w:p>
      <w:pPr>
        <w:pStyle w:val="795"/>
        <w:ind w:left="0" w:firstLine="480"/>
        <w:jc w:val="left"/>
        <w:keepLines w:val="0"/>
        <w:keepNext w:val="0"/>
        <w:pageBreakBefore w:val="0"/>
        <w:spacing w:line="520" w:lineRule="exact"/>
        <w:widowControl/>
        <w:rPr>
          <w:rFonts w:hint="eastAsia" w:ascii="宋体" w:hAnsi="宋体"/>
          <w:color w:val="auto"/>
          <w:sz w:val="24"/>
          <w:szCs w:val="24"/>
          <w:highlight w:val="none"/>
        </w:rPr>
      </w:pPr>
      <w:r>
        <w:rPr>
          <w:rFonts w:ascii="宋体" w:hAnsi="宋体"/>
          <w:color w:val="auto"/>
          <w:sz w:val="24"/>
          <w:szCs w:val="24"/>
          <w:highlight w:val="none"/>
        </w:rPr>
        <w:t xml:space="preserve">（三十）</w:t>
      </w:r>
      <w:r>
        <w:rPr>
          <w:rFonts w:hint="eastAsia" w:ascii="宋体" w:hAnsi="宋体"/>
          <w:color w:val="auto"/>
          <w:sz w:val="24"/>
          <w:szCs w:val="24"/>
          <w:highlight w:val="none"/>
        </w:rPr>
        <w:t xml:space="preserve">实施政府采购异常低价审查的有关要求：</w:t>
      </w:r>
      <w:r/>
    </w:p>
    <w:p>
      <w:pPr>
        <w:pStyle w:val="795"/>
        <w:ind w:left="0" w:firstLine="480"/>
        <w:jc w:val="left"/>
        <w:keepLines w:val="0"/>
        <w:keepNext w:val="0"/>
        <w:pageBreakBefore w:val="0"/>
        <w:spacing w:line="520" w:lineRule="exact"/>
        <w:widowControl/>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评审过程中出现下列情形之一的，评审委员会应当启动异常低价投标（响应）审查程序：</w:t>
      </w:r>
      <w:r/>
    </w:p>
    <w:p>
      <w:pPr>
        <w:pStyle w:val="795"/>
        <w:ind w:left="0" w:firstLine="480"/>
        <w:jc w:val="left"/>
        <w:keepLines w:val="0"/>
        <w:keepNext w:val="0"/>
        <w:pageBreakBefore w:val="0"/>
        <w:spacing w:line="520" w:lineRule="exact"/>
        <w:widowControl/>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795"/>
        <w:ind w:left="0" w:firstLine="480"/>
        <w:jc w:val="left"/>
        <w:keepLines w:val="0"/>
        <w:keepNext w:val="0"/>
        <w:pageBreakBefore w:val="0"/>
        <w:spacing w:line="520" w:lineRule="exact"/>
        <w:widowControl/>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795"/>
        <w:ind w:left="0" w:firstLine="480"/>
        <w:jc w:val="left"/>
        <w:keepLines w:val="0"/>
        <w:keepNext w:val="0"/>
        <w:pageBreakBefore w:val="0"/>
        <w:spacing w:line="520" w:lineRule="exact"/>
        <w:widowControl/>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3.投标（响应）报价低于采购项目最高限价（未设定最高限价的采购项目，以采购项目预算金额作为最高限价）45%的，即投标（响应）报价&lt;采购项目最高限价×45%；</w:t>
      </w:r>
      <w:r/>
    </w:p>
    <w:p>
      <w:pPr>
        <w:pStyle w:val="795"/>
        <w:ind w:left="0" w:firstLine="480"/>
        <w:jc w:val="left"/>
        <w:keepLines w:val="0"/>
        <w:keepNext w:val="0"/>
        <w:pageBreakBefore w:val="0"/>
        <w:spacing w:line="520" w:lineRule="exact"/>
        <w:widowControl/>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4.评审（评标）委员会基于专业判断，认为供应商报价过低，有可能影响产品质量或者不能诚信履约的其他情形。</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hint="eastAsia" w:ascii="宋体" w:hAnsi="宋体"/>
          <w:color w:val="auto"/>
          <w:sz w:val="24"/>
          <w:szCs w:val="24"/>
          <w:highlight w:val="none"/>
          <w:lang w:val="en-US" w:eastAsia="zh-CN"/>
        </w:rPr>
        <w:t xml:space="preserve">启动异常低价投标审查后，评标委员会应当通过“苏采云”系统要求相关投标人在评标现场（即“苏采云”系统开标大厅中）合理的时间内，提供项目</w:t>
      </w:r>
      <w:r>
        <w:rPr>
          <w:rFonts w:hint="eastAsia" w:ascii="宋体" w:hAnsi="宋体"/>
          <w:b/>
          <w:bCs/>
          <w:color w:val="auto"/>
          <w:sz w:val="24"/>
          <w:szCs w:val="24"/>
          <w:highlight w:val="none"/>
          <w:lang w:val="en-US" w:eastAsia="zh-CN"/>
        </w:rPr>
        <w:t xml:space="preserve">具体成本测算等与报价合理性相关的书面说明及相关证明材料</w:t>
      </w:r>
      <w:r>
        <w:rPr>
          <w:rFonts w:hint="eastAsia" w:ascii="宋体" w:hAnsi="宋体"/>
          <w:color w:val="auto"/>
          <w:sz w:val="24"/>
          <w:szCs w:val="24"/>
          <w:highlight w:val="none"/>
          <w:lang w:val="en-US" w:eastAsia="zh-CN"/>
        </w:rPr>
        <w:t xml:space="preserve">，对投标价格作出解释，由评标委员会</w:t>
      </w:r>
      <w:r>
        <w:rPr>
          <w:rFonts w:hint="eastAsia" w:ascii="宋体" w:hAnsi="宋体"/>
          <w:b/>
          <w:bCs/>
          <w:color w:val="auto"/>
          <w:sz w:val="24"/>
          <w:szCs w:val="24"/>
          <w:highlight w:val="none"/>
          <w:lang w:val="en-US" w:eastAsia="zh-CN"/>
        </w:rPr>
        <w:t xml:space="preserve">结合同类产品在主要电商平台的价格、该行业当地薪资水平等情况</w:t>
      </w:r>
      <w:r>
        <w:rPr>
          <w:rFonts w:hint="eastAsia" w:ascii="宋体" w:hAnsi="宋体"/>
          <w:color w:val="auto"/>
          <w:sz w:val="24"/>
          <w:szCs w:val="24"/>
          <w:highlight w:val="none"/>
          <w:lang w:val="en-US" w:eastAsia="zh-CN"/>
        </w:rPr>
        <w:t xml:space="preserve">，依据专业经验对投标人报价合理性进行判断。投标人说明应当采用通过“苏采云”系统（使用“CA数字证书”,加盖电子签章）形式。</w:t>
      </w:r>
      <w:r>
        <w:rPr>
          <w:rFonts w:hint="eastAsia" w:ascii="宋体" w:hAnsi="宋体"/>
          <w:b/>
          <w:bCs/>
          <w:color w:val="auto"/>
          <w:sz w:val="24"/>
          <w:szCs w:val="24"/>
          <w:highlight w:val="none"/>
          <w:lang w:val="en-US" w:eastAsia="zh-CN"/>
        </w:rPr>
        <w:t xml:space="preserve">投标人不提供书面说明、证明材料，或者提供的书面说明、证明材料不能证明其报价合理性的，评标委员会应当将其作为无效投标处理。</w:t>
      </w:r>
      <w:r>
        <w:rPr>
          <w:rFonts w:hint="eastAsia" w:ascii="宋体" w:hAnsi="宋体"/>
          <w:color w:val="auto"/>
          <w:sz w:val="24"/>
          <w:szCs w:val="24"/>
          <w:highlight w:val="none"/>
          <w:lang w:val="en-US" w:eastAsia="zh-CN"/>
        </w:rPr>
        <w:t xml:space="preserve">审查相关情况应当在评标报告中进行记录。</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（三十二）废标条款：</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出现下列情形之一的，应予废标。</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1.符合专业条件的供应商或者对招标文件作实质响应的供应商不足三家的；</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2.出现影响采购公正的违法、违规行为的；</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3.投标人的报价均超过了采购预算，采购人不能支付的；</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4.因重大变故，采购任务取消的。</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六、定标</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（三十三）采购代理机构应当在评标结束后2个工作日内将评标报告送采购人。</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（三十四）采购人应当自收到评标报告之日起5个工作日内，在评标报告确定的中标候选人名单中按顺序确定中标人。</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七、政府采购合同</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（三十六）签订政府采购合同（合同签订方式）：</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95"/>
        <w:ind w:left="0" w:firstLine="480"/>
        <w:jc w:val="left"/>
        <w:keepLines w:val="0"/>
        <w:keepNext w:val="0"/>
        <w:pageBreakBefore w:val="0"/>
        <w:spacing w:line="520" w:lineRule="exact"/>
        <w:widowControl/>
        <w:rPr>
          <w:rFonts w:ascii="宋体" w:hAnsi="宋体"/>
          <w:color w:val="auto"/>
          <w:sz w:val="24"/>
          <w:szCs w:val="24"/>
          <w:highlight w:val="none"/>
        </w:rPr>
      </w:pPr>
      <w:r>
        <w:rPr>
          <w:rFonts w:ascii="宋体" w:hAnsi="宋体"/>
          <w:color w:val="auto"/>
          <w:sz w:val="24"/>
          <w:szCs w:val="24"/>
          <w:highlight w:val="none"/>
        </w:rPr>
        <w:t xml:space="preserve">采购人不得向中标人提出任何不合理的要求作为签订合同的条件。</w:t>
      </w:r>
      <w:r/>
    </w:p>
    <w:p>
      <w:pPr>
        <w:pStyle w:val="795"/>
        <w:ind w:left="0" w:firstLine="480"/>
        <w:jc w:val="left"/>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95"/>
        <w:ind w:left="0" w:firstLine="480"/>
        <w:jc w:val="left"/>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（三十七）采购人与中标人应当根据合同的约定依法履行合同义务。政府采购合同的履行、违约责任和解决争议的方法等，按《中华人民共和国</w:t>
      </w:r>
      <w:r>
        <w:rPr>
          <w:rFonts w:hint="eastAsia" w:ascii="宋体" w:hAnsi="宋体"/>
          <w:color w:val="auto"/>
          <w:sz w:val="24"/>
          <w:szCs w:val="24"/>
          <w:highlight w:val="none"/>
          <w:lang w:val="en-US" w:eastAsia="zh-CN"/>
        </w:rPr>
        <w:t xml:space="preserve">民法典</w:t>
      </w:r>
      <w:r>
        <w:rPr>
          <w:rFonts w:ascii="宋体" w:hAnsi="宋体"/>
          <w:color w:val="auto"/>
          <w:sz w:val="24"/>
          <w:szCs w:val="24"/>
          <w:highlight w:val="none"/>
        </w:rPr>
        <w:t xml:space="preserve">》相关条款执行。</w:t>
      </w:r>
      <w:r/>
    </w:p>
    <w:p>
      <w:pPr>
        <w:pStyle w:val="795"/>
        <w:ind w:left="0" w:firstLine="480"/>
        <w:jc w:val="left"/>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（三十八）履约保证金：</w:t>
      </w:r>
      <w:r/>
    </w:p>
    <w:p>
      <w:pPr>
        <w:pStyle w:val="795"/>
        <w:ind w:left="0" w:firstLine="480"/>
        <w:jc w:val="left"/>
        <w:keepLines w:val="0"/>
        <w:keepNext w:val="0"/>
        <w:pageBreakBefore w:val="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要求详见</w:t>
      </w:r>
      <w:r>
        <w:rPr>
          <w:rFonts w:hint="eastAsia" w:ascii="宋体" w:hAnsi="宋体"/>
          <w:color w:val="auto"/>
          <w:sz w:val="24"/>
          <w:szCs w:val="24"/>
          <w:highlight w:val="none"/>
          <w:lang w:val="en-US" w:eastAsia="zh-CN"/>
        </w:rPr>
        <w:t xml:space="preserve">第三章</w:t>
      </w:r>
      <w:r>
        <w:rPr>
          <w:rFonts w:ascii="宋体" w:hAnsi="宋体"/>
          <w:color w:val="auto"/>
          <w:sz w:val="24"/>
          <w:szCs w:val="24"/>
          <w:highlight w:val="none"/>
        </w:rPr>
        <w:t xml:space="preserve">（三十八）的规定。</w:t>
      </w:r>
      <w:r/>
    </w:p>
    <w:p>
      <w:pPr>
        <w:pStyle w:val="795"/>
        <w:ind w:left="0" w:firstLine="480"/>
        <w:jc w:val="left"/>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（三十九）腐败和欺诈行为：</w:t>
      </w:r>
      <w:r/>
    </w:p>
    <w:p>
      <w:pPr>
        <w:pStyle w:val="795"/>
        <w:ind w:left="0" w:firstLine="480"/>
        <w:jc w:val="left"/>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1.采购代理机构、采购人、投标人等参与招投标的各方，均应在招标、采购、合同执行等过程中保持廉洁和最高的道德水准。</w:t>
      </w:r>
      <w:r/>
    </w:p>
    <w:p>
      <w:pPr>
        <w:pStyle w:val="795"/>
        <w:ind w:left="0" w:firstLine="480"/>
        <w:jc w:val="left"/>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（1）腐败和欺诈行为的含义：</w:t>
      </w:r>
      <w:r/>
    </w:p>
    <w:p>
      <w:pPr>
        <w:pStyle w:val="795"/>
        <w:ind w:left="0" w:firstLine="480"/>
        <w:jc w:val="left"/>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795"/>
        <w:ind w:left="0" w:firstLine="480"/>
        <w:jc w:val="left"/>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②“欺诈行为”系指为了影响招标、采购和合同执行等过程，隐瞒事实真象，给买方、卖方、采购代理机构及他人造成损害的行为，其中包括投标人之间的串通行为。</w:t>
      </w:r>
      <w:r/>
    </w:p>
    <w:p>
      <w:pPr>
        <w:pStyle w:val="795"/>
        <w:ind w:left="0" w:firstLine="480"/>
        <w:jc w:val="left"/>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（2）如果被推荐的中标人有腐败和欺诈行为，将取消其中标资格。</w:t>
      </w:r>
      <w:r/>
    </w:p>
    <w:p>
      <w:pPr>
        <w:pStyle w:val="795"/>
        <w:ind w:left="0" w:firstLine="480"/>
        <w:jc w:val="left"/>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（3）如果投标人在任何时候，被法院及政府有关管理部门认定为有腐败和欺诈行为，采购代理机构有权拒绝其投标、取消其中标资格和撤消其已签署的合同。</w:t>
      </w:r>
      <w:r/>
    </w:p>
    <w:p>
      <w:pPr>
        <w:pStyle w:val="795"/>
        <w:ind w:left="0" w:firstLine="480"/>
        <w:jc w:val="left"/>
        <w:keepLines w:val="0"/>
        <w:keepNext w:val="0"/>
        <w:pageBreakBefore w:val="0"/>
        <w:spacing w:line="520" w:lineRule="exact"/>
        <w:rPr>
          <w:rFonts w:hint="eastAsia" w:hAnsi="宋体" w:eastAsia="宋体"/>
          <w:color w:val="auto"/>
          <w:sz w:val="24"/>
          <w:szCs w:val="24"/>
          <w:highlight w:val="none"/>
          <w:u w:val="none"/>
          <w:lang w:val="en-US" w:eastAsia="zh-CN"/>
        </w:rPr>
      </w:pPr>
      <w:r>
        <w:rPr>
          <w:rFonts w:hint="eastAsia" w:hAnsi="宋体" w:eastAsia="宋体"/>
          <w:color w:val="auto"/>
          <w:sz w:val="24"/>
          <w:szCs w:val="24"/>
          <w:highlight w:val="none"/>
          <w:u w:val="none"/>
          <w:lang w:val="en-US" w:eastAsia="zh-CN"/>
        </w:rPr>
        <w:t xml:space="preserve">（4）如投标人在本次招投标活动前两年内，在其他招投标活动中存在提供虚假信息等不诚信行为的，采购代理机构有权拒绝其投标、取消其中标资格和撤消其已签署的合同。</w:t>
      </w:r>
      <w:r/>
    </w:p>
    <w:p>
      <w:pPr>
        <w:pStyle w:val="795"/>
        <w:ind w:left="0" w:firstLine="480"/>
        <w:jc w:val="left"/>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八、询问和质疑</w:t>
      </w:r>
      <w:r/>
    </w:p>
    <w:p>
      <w:pPr>
        <w:pStyle w:val="795"/>
        <w:ind w:left="0" w:firstLine="480"/>
        <w:jc w:val="left"/>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（四十）询问和质疑</w:t>
      </w:r>
      <w:r/>
    </w:p>
    <w:p>
      <w:pPr>
        <w:pStyle w:val="795"/>
        <w:ind w:left="0" w:firstLine="480"/>
        <w:jc w:val="left"/>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95"/>
        <w:ind w:left="0" w:firstLine="480"/>
        <w:keepLines w:val="0"/>
        <w:keepNext w:val="0"/>
        <w:pageBreakBefore w:val="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九、</w:t>
      </w:r>
      <w:r>
        <w:rPr>
          <w:rFonts w:ascii="宋体" w:hAnsi="宋体"/>
          <w:color w:val="auto"/>
          <w:sz w:val="24"/>
          <w:szCs w:val="24"/>
          <w:highlight w:val="none"/>
        </w:rPr>
        <w:t xml:space="preserve">电子招标投标交易平台</w:t>
      </w:r>
      <w:r/>
    </w:p>
    <w:p>
      <w:pPr>
        <w:pStyle w:val="795"/>
        <w:ind w:left="0" w:firstLine="480"/>
        <w:keepLines w:val="0"/>
        <w:keepNext w:val="0"/>
        <w:pageBreakBefore w:val="0"/>
        <w:spacing w:line="520" w:lineRule="exact"/>
        <w:rPr>
          <w:rFonts w:ascii="宋体" w:hAnsi="宋体"/>
          <w:color w:val="auto"/>
          <w:sz w:val="24"/>
          <w:szCs w:val="24"/>
          <w:highlight w:val="none"/>
        </w:rPr>
      </w:pPr>
      <w:r>
        <w:rPr>
          <w:rFonts w:ascii="宋体" w:hAnsi="宋体"/>
          <w:color w:val="auto"/>
          <w:sz w:val="24"/>
          <w:szCs w:val="24"/>
          <w:highlight w:val="none"/>
        </w:rPr>
        <w:t xml:space="preserve">（四十一）电子招标投标交易平台（即“苏采云”系统，网址：</w:t>
      </w:r>
      <w:r>
        <w:rPr>
          <w:color w:val="auto"/>
          <w:sz w:val="24"/>
          <w:szCs w:val="24"/>
          <w:highlight w:val="none"/>
        </w:rPr>
        <w:fldChar w:fldCharType="begin"/>
      </w:r>
      <w:r>
        <w:rPr>
          <w:color w:val="auto"/>
          <w:sz w:val="24"/>
          <w:szCs w:val="24"/>
          <w:highlight w:val="none"/>
        </w:rPr>
        <w:instrText xml:space="preserve"> HYPERLINK "http://jszfcg.jsczt.cn/" \o "http://jszfcg.jsczt.cn/" </w:instrText>
      </w:r>
      <w:r>
        <w:rPr>
          <w:color w:val="auto"/>
          <w:sz w:val="24"/>
          <w:szCs w:val="24"/>
          <w:highlight w:val="none"/>
        </w:rPr>
        <w:fldChar w:fldCharType="separate"/>
      </w:r>
      <w:r>
        <w:rPr>
          <w:rFonts w:ascii="宋体" w:hAnsi="宋体"/>
          <w:color w:val="auto"/>
          <w:sz w:val="24"/>
          <w:szCs w:val="24"/>
          <w:highlight w:val="none"/>
        </w:rPr>
        <w:t xml:space="preserve">http://jszfcg.jsczt.cn/</w:t>
      </w:r>
      <w:r>
        <w:rPr>
          <w:rFonts w:ascii="宋体" w:hAnsi="宋体"/>
          <w:color w:val="auto"/>
          <w:sz w:val="24"/>
          <w:szCs w:val="24"/>
          <w:highlight w:val="none"/>
        </w:rPr>
        <w:fldChar w:fldCharType="end"/>
      </w:r>
      <w:r>
        <w:rPr>
          <w:rFonts w:ascii="宋体" w:hAnsi="宋体"/>
          <w:color w:val="auto"/>
          <w:sz w:val="24"/>
          <w:szCs w:val="24"/>
          <w:highlight w:val="none"/>
        </w:rPr>
        <w:t xml:space="preserve">）相关要求是本招标文件的组成部分。</w:t>
      </w:r>
      <w:r/>
    </w:p>
    <w:p>
      <w:pPr>
        <w:ind w:firstLine="600"/>
        <w:jc w:val="center"/>
        <w:spacing w:line="520" w:lineRule="exact"/>
        <w:rPr>
          <w:rFonts w:hint="eastAsia" w:ascii="宋体" w:hAnsi="宋体" w:cs="宋体"/>
          <w:color w:val="auto"/>
          <w:sz w:val="28"/>
          <w:szCs w:val="28"/>
          <w:highlight w:val="none"/>
        </w:rPr>
      </w:pPr>
      <w:r>
        <w:rPr>
          <w:rFonts w:hint="eastAsia" w:ascii="宋体" w:hAnsi="宋体" w:cs="宋体"/>
          <w:color w:val="auto"/>
          <w:sz w:val="30"/>
          <w:szCs w:val="30"/>
          <w:highlight w:val="none"/>
        </w:rPr>
        <w:br w:type="page" w:clear="all"/>
      </w:r>
      <w:r>
        <w:rPr>
          <w:rFonts w:hint="eastAsia" w:ascii="宋体" w:hAnsi="宋体" w:cs="宋体"/>
          <w:b/>
          <w:bCs/>
          <w:color w:val="auto"/>
          <w:sz w:val="28"/>
          <w:szCs w:val="28"/>
          <w:highlight w:val="none"/>
        </w:rPr>
        <w:t xml:space="preserve">第三章  投标资料表</w:t>
      </w:r>
      <w:bookmarkEnd w:id="6"/>
      <w:r/>
      <w:bookmarkEnd w:id="7"/>
      <w:r/>
      <w:r/>
    </w:p>
    <w:p>
      <w:pPr>
        <w:ind w:firstLine="600"/>
        <w:jc w:val="center"/>
        <w:spacing w:line="36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95"/>
        <w:ind w:firstLine="560"/>
        <w:jc w:val="lef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cs="宋体"/>
          <w:color w:val="auto"/>
          <w:highlight w:val="none"/>
        </w:rPr>
      </w:pPr>
      <w:r>
        <w:rPr>
          <w:rFonts w:hint="eastAsia" w:ascii="宋体" w:hAnsi="宋体" w:cs="宋体"/>
          <w:color w:val="auto"/>
          <w:highlight w:val="none"/>
        </w:rPr>
      </w:r>
      <w:r/>
    </w:p>
    <w:tbl>
      <w:tblPr>
        <w:tblStyle w:val="765"/>
        <w:tblW w:w="0" w:type="auto"/>
        <w:tblInd w:w="-5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25"/>
        <w:gridCol w:w="8685"/>
      </w:tblGrid>
      <w:tr>
        <w:trPr/>
        <w:tc>
          <w:tcPr>
            <w:tcW w:w="1725" w:type="dxa"/>
            <w:vAlign w:val="top"/>
            <w:textDirection w:val="lrTb"/>
            <w:noWrap w:val="false"/>
          </w:tcPr>
          <w:p>
            <w:pPr>
              <w:jc w:val="center"/>
              <w:spacing w:line="4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条款项号</w:t>
            </w:r>
            <w:r/>
          </w:p>
        </w:tc>
        <w:tc>
          <w:tcPr>
            <w:tcW w:w="8685" w:type="dxa"/>
            <w:vAlign w:val="top"/>
            <w:textDirection w:val="lrTb"/>
            <w:noWrap w:val="false"/>
          </w:tcPr>
          <w:p>
            <w:pPr>
              <w:jc w:val="center"/>
              <w:spacing w:line="4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    容</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总则</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w:t>
            </w:r>
            <w:r/>
          </w:p>
        </w:tc>
        <w:tc>
          <w:tcPr>
            <w:tcW w:w="8685"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本项目采购人：</w:t>
            </w:r>
            <w:r>
              <w:rPr>
                <w:rFonts w:hint="eastAsia" w:ascii="宋体" w:hAnsi="宋体" w:cs="宋体"/>
                <w:color w:val="auto"/>
                <w:sz w:val="24"/>
                <w:szCs w:val="24"/>
                <w:highlight w:val="none"/>
                <w:lang w:eastAsia="zh-CN"/>
              </w:rPr>
              <w:t xml:space="preserve">徐州市市场监督管理局</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本次采购采用的政府采购方式：公开招标</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采购人确定的采购项目属性：服务</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w:t>
            </w:r>
            <w:r/>
          </w:p>
        </w:tc>
        <w:tc>
          <w:tcPr>
            <w:tcW w:w="8685"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本项目采购代理机构：</w:t>
            </w:r>
            <w:r>
              <w:rPr>
                <w:rFonts w:hint="eastAsia" w:ascii="宋体" w:hAnsi="宋体" w:cs="宋体"/>
                <w:color w:val="auto"/>
                <w:sz w:val="24"/>
                <w:szCs w:val="24"/>
                <w:highlight w:val="none"/>
                <w:lang w:eastAsia="zh-CN"/>
              </w:rPr>
              <w:t xml:space="preserve">永明项目管理有限公司</w:t>
            </w:r>
            <w:r/>
          </w:p>
        </w:tc>
      </w:tr>
      <w:tr>
        <w:trPr/>
        <w:tc>
          <w:tcPr>
            <w:tcW w:w="1725" w:type="dxa"/>
            <w:vAlign w:val="top"/>
            <w:textDirection w:val="lrTb"/>
            <w:noWrap w:val="false"/>
          </w:tcPr>
          <w:p>
            <w:pPr>
              <w:ind w:firstLine="56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投标人的资格条件：</w:t>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一、符合《中华人民共和国政府采购法》第二十二条的规定。</w:t>
            </w:r>
            <w:r/>
          </w:p>
          <w:p>
            <w:pPr>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二、本项目</w:t>
            </w:r>
            <w:r>
              <w:rPr>
                <w:rFonts w:hint="eastAsia" w:ascii="宋体" w:hAnsi="宋体" w:cs="宋体"/>
                <w:b/>
                <w:bCs/>
                <w:color w:val="auto"/>
                <w:sz w:val="24"/>
                <w:szCs w:val="24"/>
                <w:highlight w:val="none"/>
                <w:lang w:val="en-US" w:eastAsia="zh-CN"/>
              </w:rPr>
              <w:t xml:space="preserve">不属于</w:t>
            </w:r>
            <w:r>
              <w:rPr>
                <w:rFonts w:hint="eastAsia" w:ascii="宋体" w:hAnsi="宋体" w:eastAsia="宋体" w:cs="宋体"/>
                <w:b/>
                <w:bCs/>
                <w:color w:val="auto"/>
                <w:sz w:val="24"/>
                <w:szCs w:val="24"/>
                <w:highlight w:val="none"/>
              </w:rPr>
              <w:t xml:space="preserve">专门面向中小微企业采购的项目。</w:t>
            </w:r>
            <w:r/>
          </w:p>
          <w:p>
            <w:pPr>
              <w:jc w:val="left"/>
              <w:spacing w:line="400" w:lineRule="exact"/>
              <w:rPr>
                <w:rFonts w:ascii="宋体" w:hAnsi="宋体"/>
                <w:color w:val="auto"/>
                <w:sz w:val="24"/>
                <w:szCs w:val="24"/>
                <w:highlight w:val="none"/>
              </w:rPr>
            </w:pPr>
            <w:r>
              <w:rPr>
                <w:rFonts w:hint="eastAsia" w:ascii="宋体" w:hAnsi="宋体" w:cs="宋体"/>
                <w:b/>
                <w:bCs/>
                <w:color w:val="auto"/>
                <w:sz w:val="24"/>
                <w:szCs w:val="24"/>
                <w:highlight w:val="none"/>
                <w:lang w:val="en-US" w:eastAsia="zh-CN"/>
              </w:rPr>
              <w:t xml:space="preserve">三、本项目的特定资格要求：具有食品检验机构资质</w:t>
            </w:r>
            <w:r>
              <w:rPr>
                <w:rFonts w:hint="eastAsia" w:ascii="宋体" w:hAnsi="宋体" w:cs="宋体"/>
                <w:b/>
                <w:bCs/>
                <w:color w:val="auto"/>
                <w:sz w:val="24"/>
                <w:szCs w:val="24"/>
                <w:highlight w:val="none"/>
                <w:lang w:val="en-US" w:eastAsia="zh-CN"/>
              </w:rPr>
              <w:t xml:space="preserve">证明，需提供原件扫描件加盖电子签章</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br w:type="textWrapping" w:clear="all"/>
            </w:r>
            <w:r>
              <w:rPr>
                <w:rFonts w:ascii="宋体" w:hAnsi="宋体"/>
                <w:color w:val="auto"/>
                <w:sz w:val="24"/>
                <w:szCs w:val="24"/>
                <w:highlight w:val="none"/>
              </w:rPr>
              <w:t xml:space="preserve">同时明确相关事项如下：</w:t>
            </w:r>
            <w:r/>
          </w:p>
          <w:p>
            <w:pPr>
              <w:pStyle w:val="795"/>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w:t>
            </w:r>
            <w:r>
              <w:rPr>
                <w:rFonts w:ascii="宋体" w:hAnsi="宋体"/>
                <w:color w:val="auto"/>
                <w:sz w:val="24"/>
                <w:szCs w:val="24"/>
                <w:highlight w:val="none"/>
              </w:rPr>
              <w:t xml:space="preserve">本项目不接受联合体参与采购活动。</w:t>
            </w:r>
            <w:r/>
          </w:p>
          <w:p>
            <w:pPr>
              <w:pStyle w:val="795"/>
              <w:jc w:val="lef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w:t>
            </w:r>
            <w:r>
              <w:rPr>
                <w:rFonts w:ascii="宋体" w:hAnsi="宋体"/>
                <w:color w:val="auto"/>
                <w:sz w:val="24"/>
                <w:szCs w:val="24"/>
                <w:highlight w:val="none"/>
              </w:rPr>
              <w:t xml:space="preserve">单位负责人为同一人或者存在直接控股、管理关系的不同供应商，不得参加同一合同项下的政府采购活动。</w:t>
            </w:r>
            <w:r/>
          </w:p>
          <w:p>
            <w:pPr>
              <w:pStyle w:val="795"/>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为本采购项目提供整体设计、规范编制或者项目管理、监理、检测等服务的供应商，不得再参加本采购项目的采购活动。</w:t>
            </w:r>
            <w:r/>
          </w:p>
          <w:p>
            <w:pPr>
              <w:pStyle w:val="795"/>
              <w:jc w:val="left"/>
              <w:spacing w:line="40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四</w:t>
            </w:r>
            <w:r>
              <w:rPr>
                <w:rFonts w:hint="eastAsia" w:ascii="宋体" w:hAnsi="宋体"/>
                <w:color w:val="auto"/>
                <w:sz w:val="24"/>
                <w:szCs w:val="24"/>
                <w:highlight w:val="none"/>
              </w:rPr>
              <w:t xml:space="preserve">、</w:t>
            </w:r>
            <w:r>
              <w:rPr>
                <w:rFonts w:ascii="宋体" w:hAnsi="宋体"/>
                <w:color w:val="auto"/>
                <w:sz w:val="24"/>
                <w:szCs w:val="24"/>
                <w:highlight w:val="none"/>
              </w:rPr>
              <w:t xml:space="preserve">查询及使用供应商信用记录：</w:t>
            </w:r>
            <w:r/>
          </w:p>
          <w:p>
            <w:pPr>
              <w:pStyle w:val="795"/>
              <w:jc w:val="left"/>
              <w:spacing w:line="400" w:lineRule="exact"/>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)由采购人查询信用信息。</w:t>
            </w:r>
            <w:r/>
          </w:p>
          <w:p>
            <w:pPr>
              <w:pStyle w:val="795"/>
              <w:jc w:val="left"/>
              <w:spacing w:line="400" w:lineRule="exact"/>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)查询渠道包括：</w:t>
            </w:r>
            <w:r/>
          </w:p>
          <w:p>
            <w:pPr>
              <w:pStyle w:val="795"/>
              <w:jc w:val="left"/>
              <w:spacing w:line="400" w:lineRule="exact"/>
              <w:rPr>
                <w:rFonts w:ascii="宋体" w:hAnsi="宋体"/>
                <w:color w:val="auto"/>
                <w:sz w:val="24"/>
                <w:szCs w:val="24"/>
                <w:highlight w:val="none"/>
              </w:rPr>
            </w:pPr>
            <w:r>
              <w:rPr>
                <w:rFonts w:ascii="宋体" w:hAnsi="宋体"/>
                <w:color w:val="auto"/>
                <w:sz w:val="24"/>
                <w:szCs w:val="24"/>
                <w:highlight w:val="none"/>
              </w:rPr>
              <w:t xml:space="preserve">①“信用中国”网（</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"http://www.creditchina.gov.cn/" \o "http://www.creditchina.gov.cn/"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www.creditchina.gov.cn</w:t>
            </w:r>
            <w:r>
              <w:rPr>
                <w:rFonts w:ascii="宋体" w:hAnsi="宋体"/>
                <w:color w:val="auto"/>
                <w:sz w:val="24"/>
                <w:szCs w:val="24"/>
                <w:highlight w:val="none"/>
              </w:rPr>
              <w:fldChar w:fldCharType="end"/>
            </w:r>
            <w:r>
              <w:rPr>
                <w:rFonts w:ascii="宋体" w:hAnsi="宋体"/>
                <w:color w:val="auto"/>
                <w:sz w:val="24"/>
                <w:szCs w:val="24"/>
                <w:highlight w:val="none"/>
              </w:rPr>
              <w:t xml:space="preserve">）；</w:t>
            </w:r>
            <w:r/>
          </w:p>
          <w:p>
            <w:pPr>
              <w:pStyle w:val="795"/>
              <w:jc w:val="left"/>
              <w:spacing w:line="400" w:lineRule="exact"/>
              <w:rPr>
                <w:rFonts w:ascii="宋体" w:hAnsi="宋体"/>
                <w:color w:val="auto"/>
                <w:sz w:val="24"/>
                <w:szCs w:val="24"/>
                <w:highlight w:val="none"/>
              </w:rPr>
            </w:pPr>
            <w:r>
              <w:rPr>
                <w:rFonts w:ascii="宋体" w:hAnsi="宋体"/>
                <w:color w:val="auto"/>
                <w:sz w:val="24"/>
                <w:szCs w:val="24"/>
                <w:highlight w:val="none"/>
              </w:rPr>
              <w:t xml:space="preserve">②中国政府采购网（</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"http://www.ccgp.gov.cn/" \o "http://www.ccgp.gov.cn/" </w:instrText>
            </w:r>
            <w:r>
              <w:rPr>
                <w:rFonts w:ascii="宋体" w:hAnsi="宋体"/>
                <w:color w:val="auto"/>
                <w:sz w:val="24"/>
                <w:szCs w:val="24"/>
                <w:highlight w:val="none"/>
              </w:rPr>
              <w:fldChar w:fldCharType="separate"/>
            </w:r>
            <w:r>
              <w:rPr>
                <w:rFonts w:ascii="宋体" w:hAnsi="宋体"/>
                <w:color w:val="auto"/>
                <w:sz w:val="24"/>
                <w:szCs w:val="24"/>
                <w:highlight w:val="none"/>
              </w:rPr>
              <w:t xml:space="preserve">www.ccgp.gov.cn</w:t>
            </w:r>
            <w:r>
              <w:rPr>
                <w:rFonts w:ascii="宋体" w:hAnsi="宋体"/>
                <w:color w:val="auto"/>
                <w:sz w:val="24"/>
                <w:szCs w:val="24"/>
                <w:highlight w:val="none"/>
              </w:rPr>
              <w:fldChar w:fldCharType="end"/>
            </w:r>
            <w:r>
              <w:rPr>
                <w:rFonts w:ascii="宋体" w:hAnsi="宋体"/>
                <w:color w:val="auto"/>
                <w:sz w:val="24"/>
                <w:szCs w:val="24"/>
                <w:highlight w:val="none"/>
              </w:rPr>
              <w:t xml:space="preserve">）；</w:t>
            </w:r>
            <w:r/>
          </w:p>
          <w:p>
            <w:pPr>
              <w:pStyle w:val="795"/>
              <w:jc w:val="left"/>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③</w:t>
            </w:r>
            <w:r>
              <w:rPr>
                <w:rFonts w:hint="eastAsia" w:ascii="宋体" w:hAnsi="宋体"/>
                <w:color w:val="auto"/>
                <w:sz w:val="24"/>
                <w:szCs w:val="24"/>
                <w:highlight w:val="none"/>
              </w:rPr>
              <w:t xml:space="preserve">“信用江苏”网（http://credit.jiangsu.gov.cn/）；</w:t>
            </w:r>
            <w:r/>
          </w:p>
          <w:p>
            <w:pPr>
              <w:pStyle w:val="795"/>
              <w:jc w:val="left"/>
              <w:spacing w:line="400" w:lineRule="exact"/>
              <w:rPr>
                <w:rFonts w:ascii="宋体" w:hAnsi="宋体"/>
                <w:color w:val="auto"/>
                <w:sz w:val="24"/>
                <w:szCs w:val="24"/>
                <w:highlight w:val="none"/>
              </w:rPr>
            </w:pPr>
            <w:r>
              <w:rPr>
                <w:rFonts w:ascii="宋体" w:hAnsi="宋体"/>
                <w:color w:val="auto"/>
                <w:sz w:val="24"/>
                <w:szCs w:val="24"/>
                <w:highlight w:val="none"/>
              </w:rPr>
              <w:t xml:space="preserve">④</w:t>
            </w:r>
            <w:r>
              <w:rPr>
                <w:rFonts w:hint="eastAsia" w:ascii="宋体" w:hAnsi="宋体"/>
                <w:color w:val="auto"/>
                <w:sz w:val="24"/>
                <w:szCs w:val="24"/>
                <w:highlight w:val="none"/>
              </w:rPr>
              <w:t xml:space="preserve">“信用中国(江苏徐州)”网（http://www.xuzhoucredit.gov.cn）；</w:t>
            </w:r>
            <w:r/>
          </w:p>
          <w:p>
            <w:pPr>
              <w:pStyle w:val="795"/>
              <w:jc w:val="left"/>
              <w:spacing w:line="400" w:lineRule="exact"/>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)截止时点（查询环节）：资格审查结束前。</w:t>
            </w:r>
            <w:r/>
          </w:p>
          <w:p>
            <w:pPr>
              <w:pStyle w:val="795"/>
              <w:jc w:val="left"/>
              <w:spacing w:line="400" w:lineRule="exact"/>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)信用信息查询记录和证据留存的具体方式：网页截屏打印，与其他采购文件一并保存。</w:t>
            </w:r>
            <w:r/>
          </w:p>
          <w:p>
            <w:pPr>
              <w:pStyle w:val="795"/>
              <w:jc w:val="left"/>
              <w:spacing w:line="400" w:lineRule="exact"/>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)信用信息的使用规则：</w:t>
            </w:r>
            <w:r/>
          </w:p>
          <w:p>
            <w:pPr>
              <w:spacing w:line="400" w:lineRule="exact"/>
              <w:rPr>
                <w:rFonts w:hint="eastAsia" w:ascii="宋体" w:hAnsi="宋体" w:cs="宋体"/>
                <w:color w:val="auto"/>
                <w:sz w:val="24"/>
                <w:szCs w:val="24"/>
                <w:highlight w:val="none"/>
              </w:rPr>
            </w:pPr>
            <w:r>
              <w:rPr>
                <w:rFonts w:ascii="宋体" w:hAnsi="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w:t>
            </w:r>
            <w:r/>
          </w:p>
        </w:tc>
        <w:tc>
          <w:tcPr>
            <w:tcW w:w="8685" w:type="dxa"/>
            <w:vAlign w:val="top"/>
            <w:textDirection w:val="lrTb"/>
            <w:noWrap w:val="false"/>
          </w:tcPr>
          <w:p>
            <w:pPr>
              <w:spacing w:line="400" w:lineRule="exact"/>
              <w:rPr>
                <w:rFonts w:hint="eastAsia"/>
                <w:color w:val="auto"/>
                <w:highlight w:val="none"/>
              </w:rPr>
            </w:pPr>
            <w:r>
              <w:rPr>
                <w:rFonts w:hint="eastAsia" w:ascii="宋体" w:hAnsi="宋体" w:cs="宋体"/>
                <w:color w:val="auto"/>
                <w:sz w:val="24"/>
                <w:szCs w:val="24"/>
                <w:highlight w:val="none"/>
              </w:rPr>
              <w:t xml:space="preserve">招标代理服务费由中标人支付，</w:t>
            </w:r>
            <w:r>
              <w:rPr>
                <w:rFonts w:hint="eastAsia" w:ascii="宋体" w:hAnsi="宋体" w:cs="宋体"/>
                <w:color w:val="auto"/>
                <w:sz w:val="24"/>
                <w:szCs w:val="24"/>
                <w:highlight w:val="none"/>
                <w:lang w:eastAsia="en-US"/>
              </w:rPr>
              <w:t xml:space="preserve">各投标人在投标报价时应充分考虑在内。</w:t>
            </w:r>
            <w:r>
              <w:rPr>
                <w:rFonts w:hint="eastAsia" w:ascii="宋体" w:hAnsi="宋体" w:cs="宋体"/>
                <w:color w:val="auto"/>
                <w:sz w:val="24"/>
                <w:szCs w:val="24"/>
                <w:highlight w:val="none"/>
              </w:rPr>
              <w:t xml:space="preserve">标准不高于《招标代理服务收费标准》（见附件）。</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(九)1</w:t>
            </w:r>
            <w:r/>
          </w:p>
        </w:tc>
        <w:tc>
          <w:tcPr>
            <w:tcW w:w="8685" w:type="dxa"/>
            <w:vAlign w:val="top"/>
            <w:textDirection w:val="lrTb"/>
            <w:noWrap w:val="false"/>
          </w:tcPr>
          <w:p>
            <w:pP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(九)2</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不安排现场考察。</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(九)3</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不安排开标前答疑会。</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w:t>
            </w:r>
            <w:r/>
          </w:p>
        </w:tc>
      </w:tr>
      <w:tr>
        <w:trPr>
          <w:trHeight w:val="482"/>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(十一)</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投标文件的语言为中文</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(十二)1</w:t>
            </w:r>
            <w:r/>
          </w:p>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(十二)2</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投标文件编制要求：</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请按照以下要求（包括但不限于以下要求）制作：</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一、基本目录</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1、《开标一览表》（加盖电子签章，政府采购客户端工具输入报价自动生成）；</w:t>
            </w:r>
            <w:r/>
          </w:p>
          <w:p>
            <w:pPr>
              <w:spacing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二、资格条件（1-</w:t>
            </w:r>
            <w:r>
              <w:rPr>
                <w:rFonts w:hint="eastAsia" w:ascii="宋体" w:hAnsi="宋体" w:cs="宋体"/>
                <w:b/>
                <w:bCs/>
                <w:color w:val="auto"/>
                <w:sz w:val="24"/>
                <w:szCs w:val="24"/>
                <w:highlight w:val="none"/>
                <w:lang w:val="en-US" w:eastAsia="zh-CN"/>
              </w:rPr>
              <w:t xml:space="preserve">8</w:t>
            </w:r>
            <w:r>
              <w:rPr>
                <w:rFonts w:hint="eastAsia" w:ascii="宋体" w:hAnsi="宋体" w:cs="宋体"/>
                <w:b/>
                <w:bCs/>
                <w:color w:val="auto"/>
                <w:sz w:val="24"/>
                <w:szCs w:val="24"/>
                <w:highlight w:val="none"/>
              </w:rPr>
              <w:t xml:space="preserve">必须提供，否则投标无效）</w:t>
            </w:r>
            <w:r/>
          </w:p>
          <w:p>
            <w:pP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1、投标人合法有效的法人或者其他组织的营业执照等证明文件，以上证明文件提供原件的扫描件。</w:t>
            </w:r>
            <w:r/>
          </w:p>
          <w:p>
            <w:pP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2、财务状况报告</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即提供投标人的本项目开标时间前6个月内</w:t>
            </w:r>
            <w:r>
              <w:rPr>
                <w:rFonts w:hint="eastAsia" w:ascii="宋体" w:hAnsi="宋体" w:cs="宋体"/>
                <w:color w:val="auto"/>
                <w:sz w:val="24"/>
                <w:szCs w:val="24"/>
                <w:highlight w:val="none"/>
                <w:lang w:val="en-US" w:eastAsia="zh-CN"/>
              </w:rPr>
              <w:t xml:space="preserve">(不含开标当月）</w:t>
            </w:r>
            <w:r>
              <w:rPr>
                <w:rFonts w:hint="eastAsia" w:ascii="宋体" w:hAnsi="宋体" w:cs="宋体"/>
                <w:color w:val="auto"/>
                <w:sz w:val="24"/>
                <w:szCs w:val="24"/>
                <w:highlight w:val="none"/>
              </w:rPr>
              <w:t xml:space="preserve">任何</w:t>
            </w:r>
            <w:r>
              <w:rPr>
                <w:rFonts w:hint="eastAsia" w:ascii="宋体" w:hAnsi="宋体" w:cs="宋体"/>
                <w:color w:val="auto"/>
                <w:sz w:val="24"/>
                <w:szCs w:val="24"/>
                <w:highlight w:val="none"/>
                <w:lang w:val="en-US" w:eastAsia="zh-CN"/>
              </w:rPr>
              <w:t xml:space="preserve">时间</w:t>
            </w:r>
            <w:r>
              <w:rPr>
                <w:rFonts w:hint="eastAsia" w:ascii="宋体" w:hAnsi="宋体" w:cs="宋体"/>
                <w:color w:val="auto"/>
                <w:sz w:val="24"/>
                <w:szCs w:val="24"/>
                <w:highlight w:val="none"/>
              </w:rPr>
              <w:t xml:space="preserve">的资产负债表、利润表各一份或提供投标人上年度财务报告或投标人的本项目开标时间前6个月内银行出具的资信证明扫描件）。</w:t>
            </w:r>
            <w:r/>
          </w:p>
          <w:p>
            <w:pP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3、投标人的本项目开标时间前6个月内</w:t>
            </w:r>
            <w:r>
              <w:rPr>
                <w:rFonts w:hint="eastAsia" w:ascii="宋体" w:hAnsi="宋体" w:cs="宋体"/>
                <w:color w:val="auto"/>
                <w:sz w:val="24"/>
                <w:szCs w:val="24"/>
                <w:highlight w:val="none"/>
                <w:lang w:val="en-US" w:eastAsia="zh-CN"/>
              </w:rPr>
              <w:t xml:space="preserve">(不含开标当月）</w:t>
            </w:r>
            <w:r>
              <w:rPr>
                <w:rFonts w:hint="eastAsia" w:ascii="宋体" w:hAnsi="宋体" w:cs="宋体"/>
                <w:color w:val="auto"/>
                <w:sz w:val="24"/>
                <w:szCs w:val="24"/>
                <w:highlight w:val="none"/>
              </w:rPr>
              <w:t xml:space="preserve">任何1个月的依法缴纳税收和社会保障资金的相关材料扫描件（依法免税或不需要缴纳社会保障资金的供应商,提供相应文件证明其依法免税或不需要缴纳社会保障资金)。</w:t>
            </w:r>
            <w:r/>
          </w:p>
          <w:p>
            <w:pPr>
              <w:spacing w:line="40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4、具备履行合同所必需的设备和专业技术能力的证明材料</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即投标文件中提供《具备履行合同所必需的设备和专业技术能力的书面声明》（加盖电子签章，格式见招标文件第七章《投标文件相关格式》）</w:t>
            </w:r>
            <w:r>
              <w:rPr>
                <w:rFonts w:hint="eastAsia" w:ascii="宋体" w:hAnsi="宋体" w:cs="宋体"/>
                <w:color w:val="auto"/>
                <w:sz w:val="24"/>
                <w:szCs w:val="24"/>
                <w:highlight w:val="none"/>
                <w:lang w:eastAsia="zh-CN"/>
              </w:rPr>
              <w:t xml:space="preserve">，所附证明材料原件的</w:t>
            </w:r>
            <w:r>
              <w:rPr>
                <w:rFonts w:hint="eastAsia" w:ascii="宋体" w:hAnsi="宋体" w:cs="宋体"/>
                <w:color w:val="auto"/>
                <w:sz w:val="24"/>
                <w:szCs w:val="24"/>
                <w:highlight w:val="none"/>
                <w:lang w:val="en-US" w:eastAsia="zh-CN"/>
              </w:rPr>
              <w:t xml:space="preserve">扫描件</w:t>
            </w:r>
            <w:r>
              <w:rPr>
                <w:rFonts w:hint="eastAsia" w:ascii="宋体" w:hAnsi="宋体" w:cs="宋体"/>
                <w:color w:val="auto"/>
                <w:sz w:val="24"/>
                <w:szCs w:val="24"/>
                <w:highlight w:val="none"/>
                <w:lang w:eastAsia="zh-CN"/>
              </w:rPr>
              <w:t xml:space="preserve">必须包含</w:t>
            </w:r>
            <w:r>
              <w:rPr>
                <w:rFonts w:hint="eastAsia" w:ascii="宋体" w:hAnsi="宋体" w:cs="宋体"/>
                <w:color w:val="auto"/>
                <w:sz w:val="24"/>
                <w:szCs w:val="24"/>
                <w:highlight w:val="none"/>
                <w:lang w:val="en-US" w:eastAsia="zh-CN"/>
              </w:rPr>
              <w:t xml:space="preserve">：</w:t>
            </w:r>
            <w:r/>
          </w:p>
          <w:p>
            <w:pPr>
              <w:spacing w:line="400" w:lineRule="exact"/>
              <w:widowControl/>
              <w:rPr>
                <w:rFonts w:hint="default" w:ascii="宋体" w:hAnsi="宋体" w:cs="宋体"/>
                <w:b/>
                <w:bCs/>
                <w:color w:val="auto"/>
                <w:sz w:val="24"/>
                <w:szCs w:val="24"/>
                <w:highlight w:val="none"/>
                <w:lang w:val="en-US" w:eastAsia="zh-CN"/>
              </w:rPr>
            </w:pPr>
            <w:r>
              <w:rPr>
                <w:rFonts w:hint="eastAsia" w:ascii="Calibri" w:hAnsi="Calibri" w:cs="Calibri"/>
                <w:b/>
                <w:bCs/>
                <w:color w:val="auto"/>
                <w:sz w:val="24"/>
                <w:szCs w:val="24"/>
                <w:highlight w:val="none"/>
                <w:lang w:val="en-US" w:eastAsia="zh-CN"/>
              </w:rPr>
              <w:t xml:space="preserve">①</w:t>
            </w:r>
            <w:r>
              <w:rPr>
                <w:rFonts w:hint="default" w:ascii="宋体" w:hAnsi="宋体" w:cs="宋体"/>
                <w:b/>
                <w:bCs/>
                <w:color w:val="auto"/>
                <w:sz w:val="24"/>
                <w:szCs w:val="24"/>
                <w:highlight w:val="none"/>
                <w:lang w:val="en-US" w:eastAsia="zh-CN"/>
              </w:rPr>
              <w:t xml:space="preserve">具有食品检验机构资质</w:t>
            </w:r>
            <w:r>
              <w:rPr>
                <w:rFonts w:hint="eastAsia" w:ascii="宋体" w:hAnsi="宋体" w:cs="宋体"/>
                <w:b/>
                <w:bCs/>
                <w:color w:val="auto"/>
                <w:sz w:val="24"/>
                <w:szCs w:val="24"/>
                <w:highlight w:val="none"/>
                <w:lang w:val="en-US" w:eastAsia="zh-CN"/>
              </w:rPr>
              <w:t xml:space="preserve">证明，需提供原件扫描件加盖电子签章</w:t>
            </w:r>
            <w:r>
              <w:rPr>
                <w:rFonts w:hint="eastAsia" w:ascii="宋体" w:hAnsi="宋体" w:cs="宋体"/>
                <w:b/>
                <w:bCs/>
                <w:color w:val="auto"/>
                <w:sz w:val="24"/>
                <w:szCs w:val="24"/>
                <w:highlight w:val="none"/>
                <w:lang w:val="en-US" w:eastAsia="zh-CN"/>
              </w:rPr>
              <w:t xml:space="preserve">。</w:t>
            </w:r>
            <w:r/>
          </w:p>
          <w:p>
            <w:pP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5、投标人参加政府采购活动前3年内在经营活动中没有重大违法记录的书面声明（加盖电子签章，格式见招标文件第七章《投标文件相关格式》）。</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6、投标人无被列入失信被执行人、重大税收违法案件当事人名单、政府采购严重失信行为记录名单及其他不符合《中华人民共和国政府采购法》第二十二条规定条件的信用记录。（具体要求</w:t>
            </w:r>
            <w:r>
              <w:rPr>
                <w:rFonts w:hint="eastAsia" w:ascii="宋体" w:hAnsi="宋体" w:cs="宋体"/>
                <w:color w:val="auto"/>
                <w:sz w:val="24"/>
                <w:szCs w:val="24"/>
                <w:highlight w:val="none"/>
              </w:rPr>
              <w:t xml:space="preserve">见本章条款项号“(六)”中“四、”内容）。</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投标人关于单位负责人为同一人或者存在直接控股、管理关系的不同供应商，不得参加同一合同项下的政府采购活动的承诺。（加盖电子签章，格式见招标文件第七章《投标文件相关格式》）。</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投标人不是为本采购项目提供整体设计、规范编制或者项目管理、监理、检测等服务的供应商的书面声明。（加盖电子签章，格式见招标文件第七章《投标文件相关格式》）。</w:t>
            </w:r>
            <w:r/>
          </w:p>
          <w:p>
            <w:pPr>
              <w:spacing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三、符合条件（必须提供，否则投标无效）</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(一)报价</w:t>
            </w:r>
            <w:r/>
          </w:p>
          <w:p>
            <w:pPr>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《开标一览表》（加盖电子签章，</w:t>
            </w:r>
            <w:r>
              <w:rPr>
                <w:rFonts w:hint="eastAsia" w:ascii="宋体" w:hAnsi="宋体" w:cs="宋体"/>
                <w:color w:val="auto"/>
                <w:sz w:val="24"/>
                <w:szCs w:val="24"/>
                <w:highlight w:val="none"/>
              </w:rPr>
              <w:t xml:space="preserve">格式见招标文件第七章《投标文件相关格式》</w:t>
            </w:r>
            <w:r>
              <w:rPr>
                <w:rFonts w:hint="eastAsia" w:ascii="宋体" w:hAnsi="宋体" w:cs="宋体"/>
                <w:color w:val="auto"/>
                <w:sz w:val="24"/>
                <w:szCs w:val="24"/>
                <w:highlight w:val="none"/>
                <w:lang w:val="en-US" w:eastAsia="zh-CN"/>
              </w:rPr>
              <w:t xml:space="preserve">或</w:t>
            </w:r>
            <w:r>
              <w:rPr>
                <w:rFonts w:hint="eastAsia" w:ascii="宋体" w:hAnsi="宋体" w:cs="宋体"/>
                <w:color w:val="auto"/>
                <w:sz w:val="24"/>
                <w:szCs w:val="24"/>
                <w:highlight w:val="none"/>
              </w:rPr>
              <w:t xml:space="preserve">政府采购客户端工具输入报价自动生成）</w:t>
            </w:r>
            <w:r>
              <w:rPr>
                <w:rFonts w:hint="eastAsia" w:ascii="宋体" w:hAnsi="宋体" w:cs="宋体"/>
                <w:color w:val="auto"/>
                <w:sz w:val="24"/>
                <w:szCs w:val="24"/>
                <w:highlight w:val="none"/>
                <w:lang w:eastAsia="zh-CN"/>
              </w:rPr>
              <w:t xml:space="preserve">。</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《分项价格表》（加盖电子签章，格式见招标文件第七章《投标文件相关格式》）。</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（二）商务资信</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《投标函》（加盖电子签章，格式见招标文件第七章《投标文件相关格式》）。</w:t>
            </w:r>
            <w:r/>
          </w:p>
          <w:p>
            <w:pPr>
              <w:spacing w:line="40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2.《法定代表人授权书》（提供原件的扫描件，格式见招标文件第七章《投标文件相关格式》）。</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（三）技术响应</w:t>
            </w:r>
            <w:r/>
          </w:p>
          <w:p>
            <w:pPr>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《偏离表》（加盖电子签章，格式见招标文件第七章《投标文件相关格式》）。</w:t>
            </w:r>
            <w:r>
              <w:rPr>
                <w:rFonts w:hint="eastAsia" w:ascii="宋体" w:hAnsi="宋体" w:cs="宋体"/>
                <w:color w:val="auto"/>
                <w:sz w:val="24"/>
                <w:szCs w:val="24"/>
                <w:highlight w:val="none"/>
                <w:lang w:val="en-US" w:eastAsia="zh-CN"/>
              </w:rPr>
              <w:t xml:space="preserve">    </w:t>
            </w:r>
            <w:r/>
          </w:p>
          <w:p>
            <w:pPr>
              <w:spacing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四、综合评审评分项</w:t>
            </w:r>
            <w:r/>
          </w:p>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1、详细完整的技术服务方案；</w:t>
            </w:r>
            <w:r/>
          </w:p>
          <w:p>
            <w:pP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2、评分细则及采购需求中需提供的相关材料，特别要求的除外；</w:t>
            </w:r>
            <w:r/>
          </w:p>
          <w:p>
            <w:pPr>
              <w:spacing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五、价格折扣文件格式</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提供的服务全部由符合政策要求的中小企业承接，提供《中小企业声明函》</w:t>
            </w:r>
            <w:r>
              <w:rPr>
                <w:rFonts w:hint="eastAsia" w:ascii="宋体" w:hAnsi="宋体" w:cs="宋体"/>
                <w:b/>
                <w:bCs/>
                <w:color w:val="auto"/>
                <w:sz w:val="24"/>
                <w:szCs w:val="24"/>
                <w:highlight w:val="none"/>
              </w:rPr>
              <w:t xml:space="preserve">（填写完整，加盖电子签章，格式见招标文件第七章《投标文件相关格式》,如不填写完整，视为无效）。</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注：具体以《政府采购促进中小企业发展管理办法》（财库[2020]46号）和《关于印发中小企业划型标准规定的通知》（工信部联企业[2011]300号）的规定为准。</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注：监狱企业和残疾人福利性单位等同于小微企业。</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投标人为监狱企业的，提供省级以上监狱管理局、戒毒管理局（含新疆生产建设兵团）出具的属于监狱企业的证明文件原件的扫描件。</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具体以《财政部 司法部关于政府采购支持监狱企业发展有关问题的通知》（财库〔2014〕68号）的规定为准。</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投标人为享受政府采购支持政策的残疾人福利性单位的，提供《残疾人福利性单位声明函》（加盖电子签章，格式见招标文件第七章《投标文件相关格式》）。</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享受政府采购支持政策的残疾人福利性单位应当同时满足以下条件：</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①安置的残疾人占本单位在职职工人数的比例不低于25%（含25%），并且安置的残疾人人数不少于10人（含10人）；</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②依法与安置的每位残疾人签订了一年以上（含一年）的劳动合同或服务协议；</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③为安置的每位残疾人按月足额缴纳了基本养老保险、基本医疗保险、失业保险、工伤保险和生育保险等社会保险费；</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④通过银行等金融机构向安置的每位残疾人，按月支付了不低于单位所在区县适用的经省级人民政府批准的月最低工资标准的工资；</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具体以《三部门联合发布关于促进残疾人就业政府采购政策的通知》（财库〔2017〕141号）规定为准。</w:t>
            </w:r>
            <w:r/>
          </w:p>
          <w:p>
            <w:pPr>
              <w:spacing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注：</w:t>
            </w:r>
            <w:r/>
          </w:p>
          <w:p>
            <w:pPr>
              <w:spacing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1.投标人应对以上文件的合法性、真实性负责；</w:t>
            </w:r>
            <w:r/>
          </w:p>
          <w:p>
            <w:pPr>
              <w:spacing w:line="400" w:lineRule="exact"/>
              <w:rPr>
                <w:rFonts w:hint="eastAsia" w:ascii="宋体" w:hAnsi="宋体" w:cs="宋体"/>
                <w:bCs/>
                <w:color w:val="auto"/>
                <w:sz w:val="24"/>
                <w:szCs w:val="24"/>
                <w:highlight w:val="none"/>
              </w:rPr>
            </w:pPr>
            <w:r>
              <w:rPr>
                <w:rFonts w:hint="eastAsia" w:ascii="宋体" w:hAnsi="宋体" w:cs="宋体"/>
                <w:b/>
                <w:bCs/>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(十三)2</w:t>
            </w:r>
            <w:r/>
          </w:p>
        </w:tc>
        <w:tc>
          <w:tcPr>
            <w:tcW w:w="8685" w:type="dxa"/>
            <w:vAlign w:val="top"/>
            <w:textDirection w:val="lrTb"/>
            <w:noWrap w:val="false"/>
          </w:tcPr>
          <w:p>
            <w:pP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商务条件见：</w:t>
            </w:r>
            <w:r/>
          </w:p>
          <w:p>
            <w:pP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一、本文件第四章《评标标准》中《评分细则》。</w:t>
            </w:r>
            <w:r/>
          </w:p>
          <w:p>
            <w:pPr>
              <w:spacing w:line="40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二、本文件第三章《投标资料表》中(十二)1和(十二)2。</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(十三)3</w:t>
            </w:r>
            <w:r/>
          </w:p>
        </w:tc>
        <w:tc>
          <w:tcPr>
            <w:tcW w:w="8685" w:type="dxa"/>
            <w:vAlign w:val="top"/>
            <w:textDirection w:val="lrTb"/>
            <w:noWrap w:val="false"/>
          </w:tcPr>
          <w:p>
            <w:pP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交货和提供服务的时间：见本文件第五章 《拟签订的合同文本》及或本文件第六章《采购需求》。</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(十四)3</w:t>
            </w:r>
            <w:r/>
          </w:p>
        </w:tc>
        <w:tc>
          <w:tcPr>
            <w:tcW w:w="8685" w:type="dxa"/>
            <w:vAlign w:val="top"/>
            <w:textDirection w:val="lrTb"/>
            <w:noWrap w:val="false"/>
          </w:tcPr>
          <w:p>
            <w:pPr>
              <w:jc w:val="left"/>
              <w:spacing w:line="360" w:lineRule="auto"/>
              <w:widowControl w:val="off"/>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bidi="ar-SA"/>
              </w:rPr>
              <w:t xml:space="preserve">本项目预算金额317万元人民币，其中食品安全监督抽检（采购包一）预算金额193万元人民币，不接受单批次报价超过849元人民币、总任务量低于2274批次的投标报价；食品安全监督抽检（采购包</w:t>
            </w:r>
            <w:r>
              <w:rPr>
                <w:rFonts w:hint="eastAsia" w:ascii="宋体" w:hAnsi="宋体" w:eastAsia="宋体" w:cs="宋体"/>
                <w:b/>
                <w:bCs/>
                <w:color w:val="auto"/>
                <w:sz w:val="24"/>
                <w:szCs w:val="24"/>
                <w:highlight w:val="none"/>
                <w:lang w:val="en-US" w:eastAsia="zh-CN" w:bidi="ar-SA"/>
              </w:rPr>
              <w:t xml:space="preserve">二）预算金额29万元人民币，不接受单批次报价超过849元人民币、总任务量低于342批次的投标报价；食品安全监督抽检（采购包三）预算金额29万元人民币，不接受单批次报价超过849元人民币、总任务量低于342批次的投标报价；食品安全监督抽检（采购包四）预算金额28万元人民币，不接受单批次报价超过849元人民币、总任务量低于330批次的投标报价；食品安全监督抽检（采购包五）预算金额28万元人民币，不接受单批次报价超过849元人民币、总任务量低于330批次的投标报价；承检机构评价（采购包六）预算金额10万元人民币。</w:t>
            </w:r>
            <w:r/>
          </w:p>
          <w:p>
            <w:pP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投标批次数量需根据预算金额除以投标单价得出，且为整数。2、报价包含包括政府采购代理费、采样费、检测费、买样费、各种税费、交通费、人工、保险、利润、税金、复检合格应支付给复检机构的复检费用及合同包含的所有风险、责任等各项应有的全部费用，采购人不再支付报价以外的任何费用。）</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(十六)</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以人民币报价。</w:t>
            </w:r>
            <w:r/>
          </w:p>
        </w:tc>
      </w:tr>
      <w:tr>
        <w:trPr/>
        <w:tc>
          <w:tcPr>
            <w:tcW w:w="1725" w:type="dxa"/>
            <w:vAlign w:val="top"/>
            <w:textDirection w:val="lrTb"/>
            <w:noWrap w:val="false"/>
          </w:tcPr>
          <w:p>
            <w:pPr>
              <w:jc w:val="center"/>
              <w:spacing w:line="400" w:lineRule="exact"/>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（十七）</w:t>
            </w:r>
            <w:r>
              <w:rPr>
                <w:rFonts w:hint="eastAsia" w:ascii="宋体" w:hAnsi="宋体" w:cs="宋体"/>
                <w:bCs/>
                <w:color w:val="auto"/>
                <w:sz w:val="24"/>
                <w:szCs w:val="24"/>
                <w:highlight w:val="none"/>
                <w:lang w:val="en-US" w:eastAsia="zh-CN"/>
              </w:rPr>
              <w:t xml:space="preserve">1</w:t>
            </w:r>
            <w:r/>
          </w:p>
        </w:tc>
        <w:tc>
          <w:tcPr>
            <w:tcW w:w="8685" w:type="dxa"/>
            <w:vAlign w:val="top"/>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供应商操作手册及政府采购客户端工具可通过“苏采云”系统（网址：</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cs="宋体"/>
                <w:color w:val="auto"/>
                <w:sz w:val="24"/>
                <w:szCs w:val="24"/>
                <w:highlight w:val="none"/>
              </w:rPr>
              <w:fldChar w:fldCharType="end"/>
            </w:r>
            <w:r/>
          </w:p>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投标人应当通过“苏采云”系统提交数据电文形式的投标文件（即电子投标）。</w:t>
            </w:r>
            <w:r/>
          </w:p>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特别说明：通过“苏采云”系统提交政府采购客户端工具导出加密的投标文件（后缀名为zip）。</w:t>
            </w:r>
            <w:r>
              <w:rPr>
                <w:rFonts w:hint="eastAsia" w:ascii="宋体" w:hAnsi="宋体" w:cs="宋体"/>
                <w:b/>
                <w:bCs/>
                <w:color w:val="auto"/>
                <w:sz w:val="24"/>
                <w:szCs w:val="24"/>
                <w:highlight w:val="none"/>
              </w:rPr>
              <w:t xml:space="preserve">投标文件不得超过</w:t>
            </w: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rPr>
              <w:t xml:space="preserve">50M！</w:t>
            </w:r>
            <w:r/>
          </w:p>
          <w:p>
            <w:pPr>
              <w:jc w:val="left"/>
              <w:spacing w:line="40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 说明：本项目采用线上投标，即供应商投标文件从政府采购客户端工具制作通过“苏采云”系统提交，未提供线上投标文件的，投标无效。</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(十八)4</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见本文件第三章《投标资料表》中(十二)1和(十二)2</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(十九)</w:t>
            </w:r>
            <w:r/>
          </w:p>
        </w:tc>
        <w:tc>
          <w:tcPr>
            <w:tcW w:w="8685" w:type="dxa"/>
            <w:vAlign w:val="top"/>
            <w:textDirection w:val="lrTb"/>
            <w:noWrap w:val="false"/>
          </w:tcPr>
          <w:p>
            <w:pPr>
              <w:jc w:val="left"/>
              <w:spacing w:line="400" w:lineRule="exact"/>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投标文件的提交与接收： </w:t>
            </w:r>
            <w:r>
              <w:rPr>
                <w:rFonts w:hint="eastAsia" w:ascii="宋体" w:hAnsi="宋体" w:cs="宋体"/>
                <w:color w:val="auto"/>
                <w:sz w:val="24"/>
                <w:szCs w:val="24"/>
                <w:highlight w:val="none"/>
              </w:rPr>
              <w:br w:type="textWrapping" w:clear="all"/>
            </w:r>
            <w:r>
              <w:rPr>
                <w:rFonts w:hint="eastAsia" w:ascii="宋体" w:hAnsi="宋体" w:cs="宋体"/>
                <w:color w:val="auto"/>
                <w:sz w:val="24"/>
                <w:szCs w:val="24"/>
                <w:highlight w:val="none"/>
              </w:rPr>
              <w:t xml:space="preserve">1.投标文件提交与接收时间：提交投标文件截止时间</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2026年</w:t>
            </w:r>
            <w:r>
              <w:rPr>
                <w:rFonts w:hint="eastAsia" w:ascii="宋体" w:hAnsi="宋体" w:cs="宋体"/>
                <w:b/>
                <w:bCs/>
                <w:color w:val="auto"/>
                <w:sz w:val="24"/>
                <w:szCs w:val="24"/>
                <w:highlight w:val="none"/>
                <w:lang w:eastAsia="zh-CN"/>
              </w:rPr>
              <w:t xml:space="preserve">6月16日</w:t>
            </w:r>
            <w:r/>
            <w:r>
              <w:rPr>
                <w:rFonts w:hint="eastAsia" w:ascii="宋体" w:hAnsi="宋体" w:cs="宋体"/>
                <w:b/>
                <w:bCs/>
                <w:color w:val="auto"/>
                <w:sz w:val="24"/>
                <w:szCs w:val="24"/>
                <w:highlight w:val="none"/>
                <w:lang w:eastAsia="zh-CN"/>
              </w:rPr>
            </w:r>
            <w:r>
              <w:rPr>
                <w:rFonts w:hint="eastAsia" w:ascii="宋体" w:hAnsi="宋体" w:cs="宋体"/>
                <w:b/>
                <w:bCs/>
                <w:color w:val="auto"/>
                <w:sz w:val="24"/>
                <w:szCs w:val="24"/>
                <w:highlight w:val="none"/>
              </w:rPr>
              <w:t xml:space="preserve">09:30）前。</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2.投标文件提交与接收地点：投标人应当通过“苏采云”系统提交数据电文形式的投标文件（即电子投标），“苏采云”系统自动接收。</w:t>
            </w:r>
            <w:r/>
          </w:p>
        </w:tc>
      </w:tr>
      <w:tr>
        <w:trPr/>
        <w:tc>
          <w:tcPr>
            <w:tcW w:w="172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（二十）</w:t>
            </w:r>
            <w:r/>
          </w:p>
        </w:tc>
        <w:tc>
          <w:tcPr>
            <w:tcW w:w="8685" w:type="dxa"/>
            <w:vAlign w:val="top"/>
            <w:textDirection w:val="lrTb"/>
            <w:noWrap w:val="false"/>
          </w:tcPr>
          <w:p>
            <w:pPr>
              <w:jc w:val="both"/>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电子投标文件应由其法定代表人或法定代表人授权代表在规定的网上投标时间内，凭 CA 证书登陆“苏采云”系统在线编制投标文件（电子数据），并在投标截止时间之前上传投标文件。并于开标后规定的时间内解密各自投标文件。</w:t>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投标人应在开标时间后</w:t>
            </w:r>
            <w:r>
              <w:rPr>
                <w:rFonts w:hint="eastAsia" w:ascii="宋体" w:hAnsi="宋体" w:eastAsia="宋体" w:cs="宋体"/>
                <w:color w:val="auto"/>
                <w:sz w:val="24"/>
                <w:szCs w:val="24"/>
                <w:highlight w:val="none"/>
                <w:lang w:val="en-US" w:eastAsia="zh-CN"/>
              </w:rPr>
              <w:t xml:space="preserve">规定的时间内</w:t>
            </w:r>
            <w:r>
              <w:rPr>
                <w:rFonts w:hint="eastAsia" w:ascii="宋体" w:hAnsi="宋体" w:eastAsia="宋体" w:cs="宋体"/>
                <w:color w:val="auto"/>
                <w:sz w:val="24"/>
                <w:szCs w:val="24"/>
                <w:highlight w:val="none"/>
              </w:rPr>
              <w:t xml:space="preserve">，使用CA数字证书解密各自投标文件。</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w:t>
            </w:r>
            <w:r/>
          </w:p>
        </w:tc>
        <w:tc>
          <w:tcPr>
            <w:tcW w:w="8685"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(二十五)1</w:t>
            </w:r>
            <w:r/>
          </w:p>
        </w:tc>
        <w:tc>
          <w:tcPr>
            <w:tcW w:w="8685"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开标时间及地点：</w:t>
            </w:r>
            <w:r/>
          </w:p>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rPr>
              <w:t xml:space="preserve">开标时间：</w:t>
            </w:r>
            <w:r>
              <w:rPr>
                <w:rFonts w:hint="eastAsia" w:ascii="宋体" w:hAnsi="宋体" w:cs="宋体"/>
                <w:b/>
                <w:bCs/>
                <w:color w:val="auto"/>
                <w:sz w:val="24"/>
                <w:szCs w:val="24"/>
                <w:highlight w:val="none"/>
                <w:lang w:val="en-US" w:eastAsia="zh-CN"/>
              </w:rPr>
              <w:t xml:space="preserve">2026年</w:t>
            </w:r>
            <w:r>
              <w:rPr>
                <w:rFonts w:hint="eastAsia" w:ascii="宋体" w:hAnsi="宋体" w:cs="宋体"/>
                <w:b/>
                <w:bCs/>
                <w:color w:val="auto"/>
                <w:sz w:val="24"/>
                <w:szCs w:val="24"/>
                <w:highlight w:val="none"/>
                <w:lang w:eastAsia="zh-CN"/>
              </w:rPr>
              <w:t xml:space="preserve">6月16日</w:t>
            </w:r>
            <w:r/>
            <w:r>
              <w:rPr>
                <w:rFonts w:hint="eastAsia" w:ascii="宋体" w:hAnsi="宋体" w:cs="宋体"/>
                <w:b/>
                <w:bCs/>
                <w:color w:val="auto"/>
                <w:sz w:val="24"/>
                <w:szCs w:val="24"/>
                <w:highlight w:val="none"/>
                <w:lang w:val="en-US" w:eastAsia="zh-CN"/>
              </w:rPr>
            </w:r>
            <w:r>
              <w:rPr>
                <w:rFonts w:hint="eastAsia" w:ascii="宋体" w:hAnsi="宋体" w:eastAsia="宋体" w:cs="宋体"/>
                <w:b/>
                <w:bCs/>
                <w:color w:val="auto"/>
                <w:sz w:val="24"/>
                <w:szCs w:val="24"/>
                <w:highlight w:val="none"/>
              </w:rPr>
              <w:t xml:space="preserve">09:30（标准时间）</w:t>
            </w:r>
            <w:r>
              <w:rPr>
                <w:rFonts w:hint="eastAsia" w:ascii="宋体" w:hAnsi="宋体" w:eastAsia="宋体" w:cs="宋体"/>
                <w:color w:val="auto"/>
                <w:sz w:val="24"/>
                <w:szCs w:val="24"/>
                <w:highlight w:val="none"/>
              </w:rPr>
              <w:t xml:space="preserve">。</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2、开标地点：“苏采云”系统（网址： http://jszfcg.jsczt.cn/）“开标大厅”或进入徐州政府采购网（网址：http://czj.xz.gov.cn/Home/HomeIndex）--业务工作--用户登录，点击“苏采云”进入系统“开标大厅”。</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(二十五)3</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auto"/>
                <w:sz w:val="24"/>
                <w:szCs w:val="24"/>
                <w:highlight w:val="none"/>
              </w:rPr>
              <w:t xml:space="preserve">开标时间后30分钟内</w:t>
            </w:r>
            <w:r>
              <w:rPr>
                <w:rFonts w:hint="eastAsia" w:ascii="宋体" w:hAnsi="宋体" w:cs="宋体"/>
                <w:color w:val="auto"/>
                <w:sz w:val="24"/>
                <w:szCs w:val="24"/>
                <w:highlight w:val="none"/>
              </w:rPr>
              <w:t xml:space="preserve">，通过“苏采云”系统（使用“CA数字证书”）解密。</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所有投标人解密（或解密时间）结束后，“苏采云”系统生成开标记录并向社会公众公布，但依法应当保密的除外。</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(二十七)</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本项目的评标方法：综合评分法。</w:t>
            </w:r>
            <w:r/>
          </w:p>
        </w:tc>
      </w:tr>
      <w:tr>
        <w:trPr>
          <w:trHeight w:val="90"/>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(二十八)1</w:t>
            </w:r>
            <w:r/>
          </w:p>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(二十八)1（4）</w:t>
            </w:r>
            <w:r/>
          </w:p>
        </w:tc>
        <w:tc>
          <w:tcPr>
            <w:tcW w:w="8685" w:type="dxa"/>
            <w:vAlign w:val="top"/>
            <w:textDirection w:val="lrTb"/>
            <w:noWrap w:val="false"/>
          </w:tcPr>
          <w:p>
            <w:pPr>
              <w:ind w:left="0" w:firstLine="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一、推荐中标候选供应商名单。中标候选供应商数量应当根据采购需要确定，但必须按顺序排列中标候选供应商。</w:t>
            </w:r>
            <w:r/>
          </w:p>
          <w:p>
            <w:pPr>
              <w:ind w:left="0" w:firstLine="0"/>
              <w:spacing w:line="4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rPr>
              <w:t xml:space="preserve">采用综合评分法的，按评审后得分由高到低顺序排列。得分相同的，按投标报价由低到高顺序排列。得分且投标报价相同的，按</w:t>
            </w:r>
            <w:r>
              <w:rPr>
                <w:rFonts w:hint="eastAsia" w:ascii="宋体" w:hAnsi="宋体" w:eastAsia="宋体" w:cs="宋体"/>
                <w:color w:val="auto"/>
                <w:sz w:val="24"/>
                <w:szCs w:val="24"/>
                <w:highlight w:val="none"/>
              </w:rPr>
              <w:t xml:space="preserve">服务方案总</w:t>
            </w:r>
            <w:r>
              <w:rPr>
                <w:rFonts w:hint="eastAsia" w:ascii="宋体" w:hAnsi="宋体" w:cs="宋体"/>
                <w:color w:val="auto"/>
                <w:sz w:val="24"/>
                <w:szCs w:val="24"/>
                <w:highlight w:val="none"/>
              </w:rPr>
              <w:t xml:space="preserve">得分顺序排列</w:t>
            </w:r>
            <w:r>
              <w:rPr>
                <w:rFonts w:hint="eastAsia" w:ascii="宋体" w:hAnsi="宋体" w:cs="宋体"/>
                <w:color w:val="auto"/>
                <w:sz w:val="24"/>
                <w:szCs w:val="24"/>
                <w:highlight w:val="none"/>
                <w:lang w:eastAsia="zh-CN"/>
              </w:rPr>
              <w:t xml:space="preserve">。</w:t>
            </w:r>
            <w:r/>
          </w:p>
          <w:p>
            <w:pPr>
              <w:ind w:left="0" w:firstLine="0"/>
              <w:spacing w:line="400" w:lineRule="exact"/>
              <w:rPr>
                <w:rFonts w:hint="eastAsia"/>
                <w:color w:val="auto"/>
                <w:highlight w:val="none"/>
                <w:lang w:val="en-US" w:eastAsia="zh-CN"/>
              </w:rPr>
            </w:pPr>
            <w:r>
              <w:rPr>
                <w:rFonts w:hint="eastAsia" w:ascii="宋体" w:hAnsi="宋体" w:cs="宋体"/>
                <w:b/>
                <w:bCs/>
                <w:color w:val="auto"/>
                <w:sz w:val="24"/>
                <w:szCs w:val="24"/>
                <w:highlight w:val="none"/>
                <w:lang w:val="en-US" w:eastAsia="zh-CN"/>
              </w:rPr>
              <w:t xml:space="preserve">三、本项目分为六个采购包，同一投标人可以兼投所有采购包，但只能中标采购包一至采购包五其中的一个采购包(采购包一至采购包五不兼中)和采购包六，确定中标先后顺序依次为采购包一/采购包二/采购包三/采购包四/采购包五，采购包六。</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（二十九）</w:t>
            </w:r>
            <w:r/>
          </w:p>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1、评标中需要投标人对投标文件澄清或者说明的，应当通过“苏采云”系统交换数据电文。在评标期间，请投标人保持在线。</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政府采购合同</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(三十七)1</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采购人与中标、成交供应商应当在中标、成交通知书发出之日起30日内，按照采购文件确定的事项签订政府采购合同。</w:t>
            </w:r>
            <w:r/>
          </w:p>
        </w:tc>
      </w:tr>
      <w:tr>
        <w:trPr>
          <w:trHeight w:val="468"/>
        </w:trPr>
        <w:tc>
          <w:tcPr>
            <w:tcW w:w="172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（三十八）</w:t>
            </w:r>
            <w:r/>
          </w:p>
        </w:tc>
        <w:tc>
          <w:tcPr>
            <w:tcW w:w="8685" w:type="dxa"/>
            <w:vAlign w:val="top"/>
            <w:textDirection w:val="lrTb"/>
            <w:noWrap w:val="false"/>
          </w:tcPr>
          <w:p>
            <w:pPr>
              <w:pStyle w:val="966"/>
              <w:rPr>
                <w:rFonts w:hint="eastAsia" w:hAnsi="宋体"/>
                <w:color w:val="auto"/>
                <w:sz w:val="24"/>
                <w:szCs w:val="24"/>
                <w:highlight w:val="none"/>
              </w:rPr>
            </w:pPr>
            <w:r>
              <w:rPr>
                <w:rFonts w:hint="eastAsia" w:hAnsi="宋体"/>
                <w:color w:val="auto"/>
                <w:sz w:val="24"/>
                <w:szCs w:val="24"/>
                <w:highlight w:val="none"/>
                <w:lang w:val="zh-CN"/>
              </w:rPr>
              <w:t xml:space="preserve">履约保证金：</w:t>
            </w:r>
            <w:r>
              <w:rPr>
                <w:rFonts w:hint="eastAsia" w:hAnsi="宋体"/>
                <w:color w:val="auto"/>
                <w:sz w:val="24"/>
                <w:szCs w:val="24"/>
                <w:highlight w:val="none"/>
              </w:rPr>
              <w:t xml:space="preserve">无。</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(四十一)</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供应商在法定质疑期内一次性提出针对同一采购程序环节的质疑。</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质疑接收人：</w:t>
            </w:r>
            <w:r>
              <w:rPr>
                <w:rFonts w:hint="eastAsia" w:ascii="宋体" w:hAnsi="宋体" w:cs="宋体"/>
                <w:color w:val="auto"/>
                <w:sz w:val="24"/>
                <w:szCs w:val="24"/>
                <w:highlight w:val="none"/>
                <w:lang w:eastAsia="zh-CN"/>
              </w:rPr>
              <w:t xml:space="preserve">张卉</w:t>
            </w: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0516-83333882</w:t>
            </w:r>
            <w:r>
              <w:rPr>
                <w:rFonts w:hint="eastAsia" w:ascii="宋体" w:hAnsi="宋体" w:cs="宋体"/>
                <w:color w:val="auto"/>
                <w:sz w:val="24"/>
                <w:szCs w:val="24"/>
                <w:highlight w:val="none"/>
              </w:rPr>
              <w:t xml:space="preserve">；</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办公地址：</w:t>
            </w:r>
            <w:r>
              <w:rPr>
                <w:rFonts w:hint="eastAsia" w:ascii="宋体" w:hAnsi="宋体" w:cs="宋体"/>
                <w:color w:val="auto"/>
                <w:sz w:val="24"/>
                <w:szCs w:val="24"/>
                <w:highlight w:val="none"/>
                <w:lang w:eastAsia="zh-CN"/>
              </w:rPr>
              <w:t xml:space="preserve">江苏省徐州市云龙区绿地商务城蓝海officeA座21楼</w:t>
            </w:r>
            <w:r>
              <w:rPr>
                <w:rFonts w:hint="eastAsia" w:ascii="宋体" w:hAnsi="宋体" w:cs="宋体"/>
                <w:color w:val="auto"/>
                <w:sz w:val="24"/>
                <w:szCs w:val="24"/>
                <w:highlight w:val="none"/>
              </w:rPr>
              <w:t xml:space="preserve">。</w:t>
            </w:r>
            <w:r/>
          </w:p>
        </w:tc>
      </w:tr>
      <w:tr>
        <w:trPr/>
        <w:tc>
          <w:tcPr>
            <w:tcW w:w="1725"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附加说明</w:t>
            </w:r>
            <w:r/>
          </w:p>
        </w:tc>
        <w:tc>
          <w:tcPr>
            <w:tcW w:w="8685"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中标供应商须在领取中标通知书之前</w:t>
            </w:r>
            <w:r>
              <w:rPr>
                <w:rFonts w:hint="eastAsia" w:ascii="宋体" w:hAnsi="宋体" w:cs="宋体"/>
                <w:color w:val="auto"/>
                <w:sz w:val="24"/>
                <w:szCs w:val="24"/>
                <w:highlight w:val="none"/>
              </w:rPr>
              <w:t xml:space="preserve">，须向采购代理机构提交《开标一览表》和《分项价格表》的数据文件（WORD格式）及</w:t>
            </w:r>
            <w:r>
              <w:rPr>
                <w:rFonts w:hint="eastAsia" w:ascii="宋体" w:hAnsi="宋体" w:cs="宋体"/>
                <w:color w:val="auto"/>
                <w:sz w:val="24"/>
                <w:szCs w:val="24"/>
                <w:highlight w:val="none"/>
                <w:lang w:val="en-US" w:eastAsia="zh-CN"/>
              </w:rPr>
              <w:t xml:space="preserve">纸质标书文件一式两份，正本一份，副本一份</w:t>
            </w:r>
            <w:r>
              <w:rPr>
                <w:rFonts w:hint="eastAsia" w:ascii="宋体" w:hAnsi="宋体" w:cs="宋体"/>
                <w:color w:val="auto"/>
                <w:sz w:val="24"/>
                <w:szCs w:val="24"/>
                <w:highlight w:val="none"/>
              </w:rPr>
              <w:t xml:space="preserve">。</w:t>
            </w:r>
            <w:r/>
          </w:p>
        </w:tc>
      </w:tr>
    </w:tbl>
    <w:p>
      <w:pPr>
        <w:ind w:firstLine="600"/>
        <w:spacing w:line="240" w:lineRule="exact"/>
        <w:widowControl/>
        <w:rPr>
          <w:rFonts w:hint="eastAsia" w:ascii="宋体" w:hAnsi="宋体" w:cs="宋体"/>
          <w:color w:val="auto"/>
          <w:sz w:val="30"/>
          <w:szCs w:val="30"/>
          <w:highlight w:val="none"/>
        </w:rPr>
      </w:pPr>
      <w:r/>
      <w:bookmarkStart w:id="8" w:name="_Toc522790133"/>
      <w:r/>
      <w:r/>
    </w:p>
    <w:p>
      <w:pPr>
        <w:spacing w:line="520" w:lineRule="exact"/>
        <w:widowControl/>
        <w:rPr>
          <w:rFonts w:hint="eastAsia" w:ascii="宋体" w:hAnsi="宋体" w:cs="宋体"/>
          <w:b/>
          <w:color w:val="auto"/>
          <w:sz w:val="24"/>
          <w:szCs w:val="24"/>
          <w:highlight w:val="none"/>
        </w:rPr>
      </w:pPr>
      <w:r/>
      <w:bookmarkStart w:id="9" w:name="_Toc523404698"/>
      <w:r>
        <w:rPr>
          <w:rFonts w:hint="eastAsia" w:ascii="宋体" w:hAnsi="宋体" w:cs="宋体"/>
          <w:color w:val="auto"/>
          <w:sz w:val="24"/>
          <w:szCs w:val="24"/>
          <w:highlight w:val="none"/>
        </w:rPr>
        <w:t xml:space="preserve">本章附件：</w:t>
      </w:r>
      <w:r>
        <w:rPr>
          <w:rFonts w:hint="eastAsia" w:ascii="宋体" w:hAnsi="宋体" w:cs="宋体"/>
          <w:b/>
          <w:color w:val="auto"/>
          <w:sz w:val="24"/>
          <w:szCs w:val="24"/>
          <w:highlight w:val="none"/>
        </w:rPr>
        <w:t xml:space="preserve">招标代理服务收费标准</w:t>
      </w:r>
      <w:r/>
    </w:p>
    <w:tbl>
      <w:tblPr>
        <w:tblStyle w:val="7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08"/>
        <w:gridCol w:w="3308"/>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0.005%</w:t>
            </w:r>
            <w:r/>
          </w:p>
        </w:tc>
      </w:tr>
    </w:tbl>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675"/>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1、按上表计算的收费为代理服务全过程的收费金额。各社会代理机构不再收取采购文件制作售卖费用。</w:t>
      </w:r>
      <w:r/>
    </w:p>
    <w:p>
      <w:pPr>
        <w:ind w:firstLine="675"/>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2、代理服务费按差额定率累进法计算。</w:t>
      </w:r>
      <w:r/>
    </w:p>
    <w:p>
      <w:pPr>
        <w:ind w:firstLine="675"/>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3、代理服务费基准金额（按差额定率累进法计算的）=中标金额（按差额定率累进法计算的）*费率（%）</w:t>
      </w:r>
      <w:r/>
    </w:p>
    <w:p>
      <w:pPr>
        <w:ind w:firstLine="675"/>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4、代理服务费应收取金额=代理服务费基准金额（按差额定率累进法计算的）的合计数。</w:t>
      </w:r>
      <w:r/>
    </w:p>
    <w:p>
      <w:pPr>
        <w:ind w:firstLine="675"/>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5、定点类等无金额或事先不能计算出价格总额的项目，按中标（成交）金额100万元计算服务费。</w:t>
      </w:r>
      <w:r/>
    </w:p>
    <w:p>
      <w:pPr>
        <w:ind w:firstLine="675"/>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6.有分包(分标段)的以一个项目计算。</w:t>
      </w:r>
      <w:r/>
    </w:p>
    <w:p>
      <w:pPr>
        <w:ind w:firstLine="675"/>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7.以上价格为协会指导价，双方可根据项目难易程度和优质优价原则协商确定。</w:t>
      </w:r>
      <w:r/>
    </w:p>
    <w:p>
      <w:pPr>
        <w:numPr>
          <w:ilvl w:val="0"/>
          <w:numId w:val="1"/>
        </w:numPr>
        <w:ind w:left="0" w:firstLine="0"/>
        <w:jc w:val="center"/>
        <w:spacing w:line="520" w:lineRule="exact"/>
        <w:widowControl/>
        <w:rPr>
          <w:rFonts w:hint="eastAsia" w:ascii="宋体" w:hAnsi="宋体" w:cs="宋体"/>
          <w:b/>
          <w:bCs/>
          <w:color w:val="auto"/>
          <w:sz w:val="30"/>
          <w:szCs w:val="44"/>
          <w:highlight w:val="none"/>
        </w:rPr>
      </w:pPr>
      <w:r>
        <w:rPr>
          <w:rFonts w:hint="eastAsia" w:ascii="宋体" w:hAnsi="宋体" w:cs="宋体"/>
          <w:color w:val="auto"/>
          <w:highlight w:val="none"/>
        </w:rPr>
        <w:br w:type="page" w:clear="all"/>
      </w:r>
      <w:r>
        <w:rPr>
          <w:rFonts w:hint="eastAsia" w:ascii="宋体" w:hAnsi="宋体" w:cs="宋体"/>
          <w:b/>
          <w:bCs/>
          <w:color w:val="auto"/>
          <w:sz w:val="30"/>
          <w:szCs w:val="44"/>
          <w:highlight w:val="none"/>
        </w:rPr>
        <w:t xml:space="preserve"> 评标标准</w:t>
      </w:r>
      <w:bookmarkEnd w:id="8"/>
      <w:r/>
      <w:bookmarkEnd w:id="9"/>
      <w:r>
        <w:rPr>
          <w:rFonts w:hint="eastAsia" w:ascii="宋体" w:hAnsi="宋体" w:cs="宋体"/>
          <w:b/>
          <w:bCs/>
          <w:color w:val="auto"/>
          <w:sz w:val="30"/>
          <w:szCs w:val="44"/>
          <w:highlight w:val="none"/>
        </w:rPr>
        <w:t xml:space="preserve">（</w:t>
      </w:r>
      <w:r>
        <w:rPr>
          <w:rFonts w:hint="eastAsia" w:ascii="宋体" w:hAnsi="宋体" w:cs="宋体"/>
          <w:b/>
          <w:bCs/>
          <w:color w:val="auto"/>
          <w:sz w:val="30"/>
          <w:szCs w:val="44"/>
          <w:highlight w:val="none"/>
          <w:lang w:val="en-US" w:eastAsia="zh-CN"/>
        </w:rPr>
        <w:t xml:space="preserve">采购包</w:t>
      </w:r>
      <w:r>
        <w:rPr>
          <w:rFonts w:hint="eastAsia" w:ascii="宋体" w:hAnsi="宋体" w:cs="宋体"/>
          <w:b/>
          <w:bCs/>
          <w:color w:val="auto"/>
          <w:sz w:val="30"/>
          <w:szCs w:val="44"/>
          <w:highlight w:val="none"/>
        </w:rPr>
        <w:t xml:space="preserve">一、二、三、四、五、六通用）</w:t>
      </w:r>
      <w:r/>
    </w:p>
    <w:p>
      <w:pPr>
        <w:pStyle w:val="947"/>
        <w:jc w:val="center"/>
        <w:rPr>
          <w:rFonts w:hint="eastAsia"/>
          <w:b/>
          <w:bCs/>
          <w:color w:val="auto"/>
          <w:highlight w:val="none"/>
        </w:rPr>
      </w:pPr>
      <w:r>
        <w:rPr>
          <w:rFonts w:hint="eastAsia"/>
          <w:b/>
          <w:bCs/>
          <w:color w:val="auto"/>
          <w:highlight w:val="none"/>
        </w:rPr>
      </w:r>
      <w:r/>
    </w:p>
    <w:tbl>
      <w:tblPr>
        <w:tblStyle w:val="765"/>
        <w:tblW w:w="0" w:type="auto"/>
        <w:tblInd w:w="-6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95"/>
        <w:gridCol w:w="7635"/>
      </w:tblGrid>
      <w:tr>
        <w:trPr>
          <w:trHeight w:val="0"/>
        </w:trPr>
        <w:tc>
          <w:tcPr>
            <w:shd w:val="clear" w:color="auto" w:fill="ffffff"/>
            <w:tcW w:w="1995" w:type="dxa"/>
            <w:vAlign w:val="center"/>
            <w:textDirection w:val="lrTb"/>
            <w:noWrap w:val="false"/>
          </w:tcPr>
          <w:p>
            <w:pPr>
              <w:jc w:val="center"/>
              <w:widowControl w:val="off"/>
              <w:rPr>
                <w:rFonts w:hint="default" w:ascii="宋体" w:hAnsi="宋体" w:eastAsia="宋体" w:cs="Times New Roman"/>
                <w:b/>
                <w:color w:val="auto"/>
                <w:sz w:val="21"/>
                <w:szCs w:val="21"/>
                <w:highlight w:val="none"/>
                <w:lang w:val="en-US" w:eastAsia="zh-CN" w:bidi="ar-SA"/>
              </w:rPr>
              <w:outlineLvl w:val="1"/>
            </w:pPr>
            <w:r>
              <w:rPr>
                <w:rFonts w:hint="default" w:ascii="宋体" w:hAnsi="宋体" w:eastAsia="宋体" w:cs="Times New Roman"/>
                <w:b/>
                <w:bCs/>
                <w:color w:val="auto"/>
                <w:sz w:val="24"/>
                <w:szCs w:val="24"/>
                <w:highlight w:val="none"/>
                <w:lang w:val="en-US" w:eastAsia="zh-CN" w:bidi="ar-SA"/>
              </w:rPr>
              <w:t xml:space="preserve">评审因素</w:t>
            </w:r>
            <w:r/>
          </w:p>
        </w:tc>
        <w:tc>
          <w:tcPr>
            <w:shd w:val="clear" w:color="auto" w:fill="ffffff"/>
            <w:tcW w:w="7635" w:type="dxa"/>
            <w:vAlign w:val="center"/>
            <w:textDirection w:val="lrTb"/>
            <w:noWrap w:val="false"/>
          </w:tcPr>
          <w:p>
            <w:pPr>
              <w:jc w:val="center"/>
              <w:widowControl w:val="off"/>
              <w:rPr>
                <w:rFonts w:hint="default" w:ascii="宋体" w:hAnsi="宋体" w:eastAsia="宋体" w:cs="Times New Roman"/>
                <w:b/>
                <w:color w:val="auto"/>
                <w:sz w:val="21"/>
                <w:szCs w:val="21"/>
                <w:highlight w:val="none"/>
                <w:lang w:val="en-US" w:eastAsia="zh-CN" w:bidi="ar-SA"/>
              </w:rPr>
              <w:outlineLvl w:val="1"/>
            </w:pPr>
            <w:r>
              <w:rPr>
                <w:rFonts w:hint="default" w:ascii="宋体" w:hAnsi="宋体" w:eastAsia="宋体" w:cs="Times New Roman"/>
                <w:b/>
                <w:bCs/>
                <w:color w:val="auto"/>
                <w:sz w:val="24"/>
                <w:szCs w:val="24"/>
                <w:highlight w:val="none"/>
                <w:lang w:val="en-US" w:eastAsia="zh-CN" w:bidi="ar-SA"/>
              </w:rPr>
              <w:t xml:space="preserve">评审因素细化和量化</w:t>
            </w:r>
            <w:r/>
          </w:p>
        </w:tc>
      </w:tr>
      <w:tr>
        <w:trPr>
          <w:trHeight w:val="0"/>
        </w:trPr>
        <w:tc>
          <w:tcPr>
            <w:shd w:val="clear" w:color="auto" w:fill="ffffff"/>
            <w:tcW w:w="1995" w:type="dxa"/>
            <w:vAlign w:val="center"/>
            <w:textDirection w:val="lrTb"/>
            <w:noWrap w:val="false"/>
          </w:tcPr>
          <w:p>
            <w:pPr>
              <w:ind w:left="108"/>
              <w:jc w:val="center"/>
              <w:spacing w:line="400" w:lineRule="exact"/>
              <w:widowControl w:val="off"/>
              <w:rPr>
                <w:rFonts w:hint="default" w:ascii="Times New Roman" w:hAnsi="Times New Roman" w:eastAsia="宋体" w:cs="宋体"/>
                <w:b/>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价格（10分）</w:t>
            </w:r>
            <w:r/>
          </w:p>
        </w:tc>
        <w:tc>
          <w:tcPr>
            <w:shd w:val="clear" w:color="auto" w:fill="ffffff"/>
            <w:tcW w:w="7635" w:type="dxa"/>
            <w:vAlign w:val="top"/>
            <w:textDirection w:val="lrTb"/>
            <w:noWrap w:val="false"/>
          </w:tcPr>
          <w:p>
            <w:pPr>
              <w:jc w:val="both"/>
              <w:keepLines w:val="0"/>
              <w:keepNext w:val="0"/>
              <w:pageBreakBefore w:val="0"/>
              <w:spacing w:line="288"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各投标人得分=最低评审价格÷各投标人评审价格×10分；</w:t>
            </w:r>
            <w:r/>
          </w:p>
          <w:p>
            <w:pPr>
              <w:jc w:val="both"/>
              <w:keepLines w:val="0"/>
              <w:keepNext w:val="0"/>
              <w:pageBreakBefore w:val="0"/>
              <w:spacing w:line="288"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p>
            <w:pPr>
              <w:ind w:left="108"/>
              <w:jc w:val="both"/>
              <w:keepLines w:val="0"/>
              <w:keepNext w:val="0"/>
              <w:pageBreakBefore w:val="0"/>
              <w:spacing w:line="288" w:lineRule="auto"/>
              <w:widowControl w:val="off"/>
              <w:rPr>
                <w:rFonts w:hint="default" w:ascii="Times New Roman" w:hAnsi="Times New Roman" w:eastAsia="宋体" w:cs="宋体"/>
                <w:b/>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注：得分四舍五入保留小数点后2位。</w:t>
            </w:r>
            <w:r/>
          </w:p>
        </w:tc>
      </w:tr>
      <w:tr>
        <w:trPr>
          <w:trHeight w:val="0"/>
        </w:trPr>
        <w:tc>
          <w:tcPr>
            <w:shd w:val="clear" w:color="auto" w:fill="ffffff"/>
            <w:tcW w:w="1995" w:type="dxa"/>
            <w:vAlign w:val="center"/>
            <w:textDirection w:val="lrTb"/>
            <w:noWrap w:val="false"/>
          </w:tcPr>
          <w:p>
            <w:pPr>
              <w:ind w:left="108"/>
              <w:jc w:val="center"/>
              <w:spacing w:line="400" w:lineRule="exact"/>
              <w:widowControl w:val="off"/>
              <w:rPr>
                <w:rFonts w:hint="default" w:ascii="Times New Roman" w:hAnsi="Times New Roman" w:eastAsia="宋体" w:cs="宋体"/>
                <w:color w:val="auto"/>
                <w:spacing w:val="-3"/>
                <w:sz w:val="24"/>
                <w:szCs w:val="24"/>
                <w:highlight w:val="none"/>
                <w:lang w:val="en-US" w:eastAsia="zh-CN" w:bidi="ar-SA"/>
              </w:rPr>
            </w:pPr>
            <w:r>
              <w:rPr>
                <w:rFonts w:hint="eastAsia" w:ascii="Times New Roman" w:hAnsi="Times New Roman" w:eastAsia="宋体" w:cs="宋体"/>
                <w:color w:val="auto"/>
                <w:spacing w:val="-3"/>
                <w:sz w:val="24"/>
                <w:szCs w:val="24"/>
                <w:highlight w:val="none"/>
                <w:lang w:val="en-US" w:eastAsia="zh-CN" w:bidi="ar-SA"/>
              </w:rPr>
              <w:t xml:space="preserve">项目人员（8分）</w:t>
            </w:r>
            <w:r/>
          </w:p>
        </w:tc>
        <w:tc>
          <w:tcPr>
            <w:shd w:val="clear" w:color="auto" w:fill="ffffff"/>
            <w:tcW w:w="7635" w:type="dxa"/>
            <w:vAlign w:val="center"/>
            <w:textDirection w:val="lrTb"/>
            <w:noWrap w:val="false"/>
          </w:tcPr>
          <w:p>
            <w:pPr>
              <w:ind w:left="108"/>
              <w:jc w:val="both"/>
              <w:keepLines w:val="0"/>
              <w:keepNext w:val="0"/>
              <w:pageBreakBefore w:val="0"/>
              <w:spacing w:line="288" w:lineRule="auto"/>
              <w:widowControl w:val="off"/>
              <w:rPr>
                <w:rFonts w:hint="default" w:ascii="Times New Roman" w:hAnsi="Times New Roman" w:eastAsia="宋体" w:cs="宋体"/>
                <w:color w:val="auto"/>
                <w:spacing w:val="-3"/>
                <w:sz w:val="24"/>
                <w:szCs w:val="24"/>
                <w:highlight w:val="none"/>
                <w:lang w:val="en-US" w:eastAsia="zh-CN" w:bidi="ar-SA"/>
              </w:rPr>
            </w:pPr>
            <w:r>
              <w:rPr>
                <w:rFonts w:hint="eastAsia" w:ascii="Times New Roman" w:hAnsi="Times New Roman" w:eastAsia="宋体" w:cs="宋体"/>
                <w:color w:val="auto"/>
                <w:spacing w:val="-3"/>
                <w:sz w:val="24"/>
                <w:szCs w:val="24"/>
                <w:highlight w:val="none"/>
                <w:lang w:val="en-US" w:eastAsia="zh-CN" w:bidi="ar-SA"/>
              </w:rPr>
              <w:t xml:space="preserve">拟投入本项目的团队配置：</w:t>
            </w:r>
            <w:r/>
          </w:p>
          <w:p>
            <w:pPr>
              <w:ind w:left="108"/>
              <w:jc w:val="both"/>
              <w:keepLines w:val="0"/>
              <w:keepNext w:val="0"/>
              <w:pageBreakBefore w:val="0"/>
              <w:spacing w:line="288" w:lineRule="auto"/>
              <w:widowControl w:val="off"/>
              <w:rPr>
                <w:rFonts w:hint="default" w:ascii="Times New Roman" w:hAnsi="Times New Roman" w:eastAsia="宋体" w:cs="宋体"/>
                <w:color w:val="auto"/>
                <w:spacing w:val="-3"/>
                <w:sz w:val="24"/>
                <w:szCs w:val="24"/>
                <w:highlight w:val="none"/>
                <w:lang w:val="en-US" w:eastAsia="zh-CN" w:bidi="ar-SA"/>
              </w:rPr>
            </w:pPr>
            <w:r>
              <w:rPr>
                <w:rFonts w:hint="eastAsia" w:ascii="Times New Roman" w:hAnsi="Times New Roman" w:eastAsia="宋体" w:cs="宋体"/>
                <w:color w:val="auto"/>
                <w:spacing w:val="-3"/>
                <w:sz w:val="24"/>
                <w:szCs w:val="24"/>
                <w:highlight w:val="none"/>
                <w:lang w:val="en-US" w:eastAsia="zh-CN" w:bidi="ar-SA"/>
              </w:rPr>
              <w:t xml:space="preserve">1、具有专职食品检验人员的数量：24人以下不得分，24人得1分，每增加5人加0.5分，满分 2 分。</w:t>
            </w:r>
            <w:r/>
          </w:p>
          <w:p>
            <w:pPr>
              <w:ind w:left="108"/>
              <w:jc w:val="both"/>
              <w:keepLines w:val="0"/>
              <w:keepNext w:val="0"/>
              <w:pageBreakBefore w:val="0"/>
              <w:spacing w:line="288" w:lineRule="auto"/>
              <w:widowControl w:val="off"/>
              <w:rPr>
                <w:rFonts w:hint="default" w:ascii="Times New Roman" w:hAnsi="Times New Roman" w:eastAsia="宋体" w:cs="宋体"/>
                <w:color w:val="auto"/>
                <w:spacing w:val="-3"/>
                <w:sz w:val="24"/>
                <w:szCs w:val="24"/>
                <w:highlight w:val="none"/>
                <w:lang w:val="en-US" w:eastAsia="zh-CN" w:bidi="ar-SA"/>
              </w:rPr>
            </w:pPr>
            <w:r>
              <w:rPr>
                <w:rFonts w:hint="eastAsia" w:ascii="Times New Roman" w:hAnsi="Times New Roman" w:eastAsia="宋体" w:cs="宋体"/>
                <w:color w:val="auto"/>
                <w:spacing w:val="-3"/>
                <w:sz w:val="24"/>
                <w:szCs w:val="24"/>
                <w:highlight w:val="none"/>
                <w:lang w:val="en-US" w:eastAsia="zh-CN" w:bidi="ar-SA"/>
              </w:rPr>
              <w:t xml:space="preserve">2、具有承担食品抽检工作的专职抽样人员：8人以下不得分，8人得1分，每增加1人加0.5分，满分 2 分。</w:t>
            </w:r>
            <w:r/>
          </w:p>
          <w:p>
            <w:pPr>
              <w:ind w:left="108"/>
              <w:jc w:val="both"/>
              <w:keepLines w:val="0"/>
              <w:keepNext w:val="0"/>
              <w:pageBreakBefore w:val="0"/>
              <w:spacing w:line="288" w:lineRule="auto"/>
              <w:widowControl w:val="off"/>
              <w:rPr>
                <w:rFonts w:hint="default" w:ascii="Times New Roman" w:hAnsi="Times New Roman" w:eastAsia="宋体" w:cs="宋体"/>
                <w:color w:val="auto"/>
                <w:spacing w:val="-3"/>
                <w:sz w:val="24"/>
                <w:szCs w:val="24"/>
                <w:highlight w:val="none"/>
                <w:lang w:val="en-US" w:eastAsia="zh-CN" w:bidi="ar-SA"/>
              </w:rPr>
            </w:pPr>
            <w:r>
              <w:rPr>
                <w:rFonts w:hint="eastAsia" w:ascii="Times New Roman" w:hAnsi="Times New Roman" w:eastAsia="宋体" w:cs="宋体"/>
                <w:color w:val="auto"/>
                <w:spacing w:val="-3"/>
                <w:sz w:val="24"/>
                <w:szCs w:val="24"/>
                <w:highlight w:val="none"/>
                <w:lang w:val="en-US" w:eastAsia="zh-CN" w:bidi="ar-SA"/>
              </w:rPr>
              <w:t xml:space="preserve">3、从事食品检验工作的副高级及以上技术职称人员数量：4人以下不得分，4人得1分，每增加1人加0.5分，满分2分。</w:t>
            </w:r>
            <w:r/>
          </w:p>
          <w:p>
            <w:pPr>
              <w:ind w:left="108"/>
              <w:jc w:val="both"/>
              <w:keepLines w:val="0"/>
              <w:keepNext w:val="0"/>
              <w:pageBreakBefore w:val="0"/>
              <w:spacing w:line="288" w:lineRule="auto"/>
              <w:widowControl w:val="off"/>
              <w:rPr>
                <w:rFonts w:hint="default" w:ascii="Times New Roman" w:hAnsi="Times New Roman" w:eastAsia="宋体" w:cs="宋体"/>
                <w:color w:val="auto"/>
                <w:spacing w:val="-3"/>
                <w:sz w:val="24"/>
                <w:szCs w:val="24"/>
                <w:highlight w:val="none"/>
                <w:lang w:val="en-US" w:eastAsia="zh-CN" w:bidi="ar-SA"/>
              </w:rPr>
            </w:pPr>
            <w:r>
              <w:rPr>
                <w:rFonts w:hint="eastAsia" w:ascii="Times New Roman" w:hAnsi="Times New Roman" w:eastAsia="宋体" w:cs="宋体"/>
                <w:color w:val="auto"/>
                <w:spacing w:val="-3"/>
                <w:sz w:val="24"/>
                <w:szCs w:val="24"/>
                <w:highlight w:val="none"/>
                <w:lang w:val="en-US" w:eastAsia="zh-CN" w:bidi="ar-SA"/>
              </w:rPr>
              <w:t xml:space="preserve">4、项目负责人能力：</w:t>
            </w:r>
            <w:r/>
          </w:p>
          <w:p>
            <w:pPr>
              <w:ind w:left="108"/>
              <w:jc w:val="both"/>
              <w:keepLines w:val="0"/>
              <w:keepNext w:val="0"/>
              <w:pageBreakBefore w:val="0"/>
              <w:spacing w:line="288" w:lineRule="auto"/>
              <w:widowControl w:val="off"/>
              <w:rPr>
                <w:rFonts w:hint="default" w:ascii="Times New Roman" w:hAnsi="Times New Roman" w:eastAsia="宋体" w:cs="宋体"/>
                <w:color w:val="auto"/>
                <w:spacing w:val="-3"/>
                <w:sz w:val="24"/>
                <w:szCs w:val="24"/>
                <w:highlight w:val="none"/>
                <w:lang w:val="en-US" w:eastAsia="zh-CN" w:bidi="ar-SA"/>
              </w:rPr>
            </w:pPr>
            <w:r>
              <w:rPr>
                <w:rFonts w:hint="eastAsia" w:ascii="Times New Roman" w:hAnsi="Times New Roman" w:eastAsia="宋体" w:cs="宋体"/>
                <w:color w:val="auto"/>
                <w:spacing w:val="-3"/>
                <w:sz w:val="24"/>
                <w:szCs w:val="24"/>
                <w:highlight w:val="none"/>
                <w:lang w:val="en-US" w:eastAsia="zh-CN" w:bidi="ar-SA"/>
              </w:rPr>
              <w:t xml:space="preserve">（1）具有研究生学历，高级职称，从事食品抽检工作年限5年以上、经验丰富、专业水平高、管理能力强，得2分；</w:t>
            </w:r>
            <w:r/>
          </w:p>
          <w:p>
            <w:pPr>
              <w:ind w:left="108"/>
              <w:jc w:val="both"/>
              <w:keepLines w:val="0"/>
              <w:keepNext w:val="0"/>
              <w:pageBreakBefore w:val="0"/>
              <w:spacing w:line="288" w:lineRule="auto"/>
              <w:widowControl w:val="off"/>
              <w:rPr>
                <w:rFonts w:hint="default" w:ascii="Times New Roman" w:hAnsi="Times New Roman" w:eastAsia="宋体" w:cs="宋体"/>
                <w:color w:val="auto"/>
                <w:spacing w:val="-3"/>
                <w:sz w:val="24"/>
                <w:szCs w:val="24"/>
                <w:highlight w:val="none"/>
                <w:lang w:val="en-US" w:eastAsia="zh-CN" w:bidi="ar-SA"/>
              </w:rPr>
            </w:pPr>
            <w:r>
              <w:rPr>
                <w:rFonts w:hint="eastAsia" w:ascii="Times New Roman" w:hAnsi="Times New Roman" w:eastAsia="宋体" w:cs="宋体"/>
                <w:color w:val="auto"/>
                <w:spacing w:val="-3"/>
                <w:sz w:val="24"/>
                <w:szCs w:val="24"/>
                <w:highlight w:val="none"/>
                <w:lang w:val="en-US" w:eastAsia="zh-CN" w:bidi="ar-SA"/>
              </w:rPr>
              <w:t xml:space="preserve">（2）具有本科学历，高级职称，从事食品抽检工作年限3年以上、经验较丰富、专业水平较高、管理能力较强，得1 分； </w:t>
            </w:r>
            <w:r/>
          </w:p>
          <w:p>
            <w:pPr>
              <w:ind w:left="108"/>
              <w:jc w:val="both"/>
              <w:keepLines w:val="0"/>
              <w:keepNext w:val="0"/>
              <w:pageBreakBefore w:val="0"/>
              <w:spacing w:line="288" w:lineRule="auto"/>
              <w:widowControl w:val="off"/>
              <w:rPr>
                <w:rFonts w:hint="default" w:ascii="Times New Roman" w:hAnsi="Times New Roman" w:eastAsia="宋体" w:cs="宋体"/>
                <w:color w:val="auto"/>
                <w:spacing w:val="-3"/>
                <w:sz w:val="24"/>
                <w:szCs w:val="24"/>
                <w:highlight w:val="none"/>
                <w:lang w:val="en-US" w:eastAsia="zh-CN" w:bidi="ar-SA"/>
              </w:rPr>
            </w:pPr>
            <w:r>
              <w:rPr>
                <w:rFonts w:hint="eastAsia" w:ascii="Times New Roman" w:hAnsi="Times New Roman" w:eastAsia="宋体" w:cs="宋体"/>
                <w:color w:val="auto"/>
                <w:spacing w:val="-3"/>
                <w:sz w:val="24"/>
                <w:szCs w:val="24"/>
                <w:highlight w:val="none"/>
                <w:lang w:val="en-US" w:eastAsia="zh-CN" w:bidi="ar-SA"/>
              </w:rPr>
              <w:t xml:space="preserve">（3）具有专科学历，中级职称，经验较丰富，具有一定的专业水平和管理能力，得 0.5 分； </w:t>
            </w:r>
            <w:r/>
          </w:p>
          <w:p>
            <w:pPr>
              <w:ind w:left="108"/>
              <w:jc w:val="both"/>
              <w:keepLines w:val="0"/>
              <w:keepNext w:val="0"/>
              <w:pageBreakBefore w:val="0"/>
              <w:spacing w:line="288" w:lineRule="auto"/>
              <w:widowControl w:val="off"/>
              <w:rPr>
                <w:rFonts w:hint="default" w:ascii="Times New Roman" w:hAnsi="Times New Roman" w:eastAsia="宋体" w:cs="宋体"/>
                <w:color w:val="auto"/>
                <w:spacing w:val="-3"/>
                <w:sz w:val="24"/>
                <w:szCs w:val="24"/>
                <w:highlight w:val="none"/>
                <w:lang w:val="en-US" w:eastAsia="zh-CN" w:bidi="ar-SA"/>
              </w:rPr>
            </w:pPr>
            <w:r>
              <w:rPr>
                <w:rFonts w:hint="eastAsia" w:ascii="Times New Roman" w:hAnsi="Times New Roman" w:eastAsia="宋体" w:cs="宋体"/>
                <w:color w:val="auto"/>
                <w:spacing w:val="-3"/>
                <w:sz w:val="24"/>
                <w:szCs w:val="24"/>
                <w:highlight w:val="none"/>
                <w:lang w:val="en-US" w:eastAsia="zh-CN" w:bidi="ar-SA"/>
              </w:rPr>
              <w:t xml:space="preserve">（4）专科学历以下或中级职称以下，经验欠缺的，得 0 分。</w:t>
            </w:r>
            <w:r/>
          </w:p>
          <w:p>
            <w:pPr>
              <w:ind w:left="108"/>
              <w:jc w:val="both"/>
              <w:keepLines w:val="0"/>
              <w:keepNext w:val="0"/>
              <w:pageBreakBefore w:val="0"/>
              <w:spacing w:line="288" w:lineRule="auto"/>
              <w:widowControl w:val="off"/>
              <w:rPr>
                <w:rFonts w:hint="default" w:ascii="Times New Roman" w:hAnsi="Times New Roman" w:eastAsia="宋体" w:cs="宋体"/>
                <w:b/>
                <w:bCs/>
                <w:color w:val="auto"/>
                <w:spacing w:val="-3"/>
                <w:sz w:val="24"/>
                <w:szCs w:val="24"/>
                <w:highlight w:val="none"/>
                <w:lang w:val="en-US" w:eastAsia="zh-CN" w:bidi="ar-SA"/>
              </w:rPr>
            </w:pPr>
            <w:r>
              <w:rPr>
                <w:rFonts w:hint="eastAsia" w:ascii="Times New Roman" w:hAnsi="Times New Roman" w:eastAsia="宋体" w:cs="宋体"/>
                <w:b/>
                <w:bCs/>
                <w:color w:val="auto"/>
                <w:spacing w:val="-3"/>
                <w:sz w:val="24"/>
                <w:szCs w:val="24"/>
                <w:highlight w:val="none"/>
                <w:lang w:val="en-US" w:eastAsia="zh-CN" w:bidi="ar-SA"/>
              </w:rPr>
              <w:t xml:space="preserve">注：1、以上项目人员需在投标文件人员配备表中明确相关信息（姓名、岗位、职称、工作年限等），否则不得分；</w:t>
            </w:r>
            <w:r/>
          </w:p>
          <w:p>
            <w:pPr>
              <w:ind w:left="108" w:firstLine="470"/>
              <w:jc w:val="both"/>
              <w:keepLines w:val="0"/>
              <w:keepNext w:val="0"/>
              <w:pageBreakBefore w:val="0"/>
              <w:spacing w:line="288" w:lineRule="auto"/>
              <w:widowControl w:val="off"/>
              <w:rPr>
                <w:rFonts w:hint="default" w:ascii="Times New Roman" w:hAnsi="Times New Roman" w:eastAsia="宋体" w:cs="宋体"/>
                <w:b/>
                <w:bCs/>
                <w:color w:val="auto"/>
                <w:spacing w:val="-3"/>
                <w:sz w:val="24"/>
                <w:szCs w:val="24"/>
                <w:highlight w:val="none"/>
                <w:lang w:val="en-US" w:eastAsia="zh-CN" w:bidi="ar-SA"/>
              </w:rPr>
            </w:pPr>
            <w:r>
              <w:rPr>
                <w:rFonts w:hint="eastAsia" w:ascii="Times New Roman" w:hAnsi="Times New Roman" w:eastAsia="宋体" w:cs="宋体"/>
                <w:b/>
                <w:bCs/>
                <w:color w:val="auto"/>
                <w:spacing w:val="-3"/>
                <w:sz w:val="24"/>
                <w:szCs w:val="24"/>
                <w:highlight w:val="none"/>
                <w:lang w:val="en-US" w:eastAsia="zh-CN" w:bidi="ar-SA"/>
              </w:rPr>
              <w:t xml:space="preserve">2、抽样人员与检验人员不得重复，重复的不计分；</w:t>
            </w:r>
            <w:r/>
          </w:p>
          <w:p>
            <w:pPr>
              <w:ind w:left="108" w:firstLine="470"/>
              <w:jc w:val="both"/>
              <w:keepLines w:val="0"/>
              <w:keepNext w:val="0"/>
              <w:pageBreakBefore w:val="0"/>
              <w:spacing w:line="288" w:lineRule="auto"/>
              <w:widowControl w:val="off"/>
              <w:rPr>
                <w:rFonts w:hint="default" w:ascii="Times New Roman" w:hAnsi="Times New Roman" w:eastAsia="宋体" w:cs="宋体"/>
                <w:color w:val="auto"/>
                <w:spacing w:val="-3"/>
                <w:sz w:val="24"/>
                <w:szCs w:val="24"/>
                <w:highlight w:val="none"/>
                <w:lang w:val="en-US" w:eastAsia="zh-CN" w:bidi="ar-SA"/>
              </w:rPr>
            </w:pPr>
            <w:r>
              <w:rPr>
                <w:rFonts w:hint="eastAsia" w:ascii="Times New Roman" w:hAnsi="Times New Roman" w:eastAsia="宋体" w:cs="宋体"/>
                <w:b/>
                <w:bCs/>
                <w:color w:val="auto"/>
                <w:spacing w:val="-3"/>
                <w:sz w:val="24"/>
                <w:szCs w:val="24"/>
                <w:highlight w:val="none"/>
                <w:lang w:val="en-US" w:eastAsia="zh-CN" w:bidi="ar-SA"/>
              </w:rPr>
              <w:t xml:space="preserve">3、以上项目人员，提供近三个月内在投标人单位缴纳社保证明材料，劳务派遣人员提供用工合同。</w:t>
            </w:r>
            <w:r/>
          </w:p>
        </w:tc>
      </w:tr>
      <w:tr>
        <w:trPr>
          <w:trHeight w:val="0"/>
        </w:trPr>
        <w:tc>
          <w:tcPr>
            <w:shd w:val="clear" w:color="auto" w:fill="ffffff"/>
            <w:tcW w:w="1995" w:type="dxa"/>
            <w:vAlign w:val="center"/>
            <w:textDirection w:val="lrTb"/>
            <w:noWrap w:val="false"/>
          </w:tcPr>
          <w:p>
            <w:pPr>
              <w:ind w:left="108"/>
              <w:jc w:val="center"/>
              <w:spacing w:line="400" w:lineRule="exact"/>
              <w:widowControl w:val="off"/>
              <w:rPr>
                <w:rFonts w:hint="default" w:ascii="Times New Roman" w:hAnsi="Times New Roman" w:eastAsia="宋体" w:cs="宋体"/>
                <w:color w:val="auto"/>
                <w:spacing w:val="-3"/>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实验</w:t>
            </w:r>
            <w:r>
              <w:rPr>
                <w:rFonts w:hint="eastAsia" w:ascii="Times New Roman" w:hAnsi="Times New Roman" w:eastAsia="宋体" w:cs="宋体"/>
                <w:color w:val="auto"/>
                <w:sz w:val="24"/>
                <w:szCs w:val="24"/>
                <w:highlight w:val="none"/>
                <w:lang w:val="en-US" w:eastAsia="zh-CN" w:bidi="ar-SA"/>
              </w:rPr>
              <w:t xml:space="preserve">场所（5分）</w:t>
            </w:r>
            <w:r/>
          </w:p>
        </w:tc>
        <w:tc>
          <w:tcPr>
            <w:shd w:val="clear" w:color="auto" w:fill="ffffff"/>
            <w:tcW w:w="7635" w:type="dxa"/>
            <w:vAlign w:val="center"/>
            <w:textDirection w:val="lrTb"/>
            <w:noWrap w:val="false"/>
          </w:tcPr>
          <w:p>
            <w:pPr>
              <w:ind w:left="108"/>
              <w:jc w:val="both"/>
              <w:keepLines w:val="0"/>
              <w:keepNext w:val="0"/>
              <w:pageBreakBefore w:val="0"/>
              <w:spacing w:line="288" w:lineRule="auto"/>
              <w:widowControl w:val="off"/>
              <w:rPr>
                <w:rFonts w:hint="default"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开展食品安全抽样检验工作实验场所面积：</w:t>
            </w:r>
            <w:r/>
          </w:p>
          <w:p>
            <w:pPr>
              <w:ind w:left="108"/>
              <w:jc w:val="both"/>
              <w:keepLines w:val="0"/>
              <w:keepNext w:val="0"/>
              <w:pageBreakBefore w:val="0"/>
              <w:spacing w:line="288" w:lineRule="auto"/>
              <w:widowControl w:val="off"/>
              <w:rPr>
                <w:rFonts w:hint="default"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1、面积≥5000 m</w:t>
            </w:r>
            <w:r>
              <w:rPr>
                <w:rFonts w:hint="eastAsia" w:ascii="Times New Roman" w:hAnsi="Times New Roman" w:eastAsia="宋体" w:cs="宋体"/>
                <w:color w:val="auto"/>
                <w:sz w:val="24"/>
                <w:szCs w:val="24"/>
                <w:highlight w:val="none"/>
                <w:vertAlign w:val="superscript"/>
                <w:lang w:val="en-US" w:eastAsia="zh-CN" w:bidi="ar-SA"/>
              </w:rPr>
              <w:t xml:space="preserve">2</w:t>
            </w:r>
            <w:r>
              <w:rPr>
                <w:rFonts w:hint="eastAsia" w:ascii="Times New Roman" w:hAnsi="Times New Roman" w:eastAsia="宋体" w:cs="宋体"/>
                <w:color w:val="auto"/>
                <w:sz w:val="24"/>
                <w:szCs w:val="24"/>
                <w:highlight w:val="none"/>
                <w:lang w:val="en-US" w:eastAsia="zh-CN" w:bidi="ar-SA"/>
              </w:rPr>
              <w:t xml:space="preserve">，得5分；</w:t>
            </w:r>
            <w:r/>
          </w:p>
          <w:p>
            <w:pPr>
              <w:ind w:left="108"/>
              <w:jc w:val="both"/>
              <w:keepLines w:val="0"/>
              <w:keepNext w:val="0"/>
              <w:pageBreakBefore w:val="0"/>
              <w:spacing w:line="288" w:lineRule="auto"/>
              <w:widowControl w:val="off"/>
              <w:rPr>
                <w:rFonts w:hint="default"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color w:val="auto"/>
                <w:spacing w:val="-3"/>
                <w:sz w:val="24"/>
                <w:szCs w:val="24"/>
                <w:highlight w:val="none"/>
                <w:lang w:val="en-US" w:eastAsia="zh-CN" w:bidi="ar-SA"/>
              </w:rPr>
              <w:t xml:space="preserve">2、</w:t>
            </w:r>
            <w:r>
              <w:rPr>
                <w:rFonts w:hint="eastAsia" w:ascii="Times New Roman" w:hAnsi="Times New Roman" w:eastAsia="宋体" w:cs="宋体"/>
                <w:color w:val="auto"/>
                <w:sz w:val="24"/>
                <w:szCs w:val="24"/>
                <w:highlight w:val="none"/>
                <w:lang w:val="en-US" w:eastAsia="zh-CN" w:bidi="ar-SA"/>
              </w:rPr>
              <w:t xml:space="preserve">3000 m</w:t>
            </w:r>
            <w:r>
              <w:rPr>
                <w:rFonts w:hint="eastAsia" w:ascii="Times New Roman" w:hAnsi="Times New Roman" w:eastAsia="宋体" w:cs="宋体"/>
                <w:color w:val="auto"/>
                <w:sz w:val="24"/>
                <w:szCs w:val="24"/>
                <w:highlight w:val="none"/>
                <w:vertAlign w:val="superscript"/>
                <w:lang w:val="en-US" w:eastAsia="zh-CN" w:bidi="ar-SA"/>
              </w:rPr>
              <w:t xml:space="preserve">2</w:t>
            </w:r>
            <w:r>
              <w:rPr>
                <w:rFonts w:hint="eastAsia" w:ascii="Times New Roman" w:hAnsi="Times New Roman" w:eastAsia="宋体" w:cs="宋体"/>
                <w:color w:val="auto"/>
                <w:sz w:val="24"/>
                <w:szCs w:val="24"/>
                <w:highlight w:val="none"/>
                <w:lang w:val="en-US" w:eastAsia="zh-CN" w:bidi="ar-SA"/>
              </w:rPr>
              <w:t xml:space="preserve">≤面积＜5000 m</w:t>
            </w:r>
            <w:r>
              <w:rPr>
                <w:rFonts w:hint="eastAsia" w:ascii="Times New Roman" w:hAnsi="Times New Roman" w:eastAsia="宋体" w:cs="宋体"/>
                <w:color w:val="auto"/>
                <w:sz w:val="24"/>
                <w:szCs w:val="24"/>
                <w:highlight w:val="none"/>
                <w:vertAlign w:val="superscript"/>
                <w:lang w:val="en-US" w:eastAsia="zh-CN" w:bidi="ar-SA"/>
              </w:rPr>
              <w:t xml:space="preserve">2</w:t>
            </w:r>
            <w:r>
              <w:rPr>
                <w:rFonts w:hint="eastAsia" w:ascii="Times New Roman" w:hAnsi="Times New Roman" w:eastAsia="宋体" w:cs="宋体"/>
                <w:color w:val="auto"/>
                <w:sz w:val="24"/>
                <w:szCs w:val="24"/>
                <w:highlight w:val="none"/>
                <w:lang w:val="en-US" w:eastAsia="zh-CN" w:bidi="ar-SA"/>
              </w:rPr>
              <w:t xml:space="preserve">，得 3 分；</w:t>
            </w:r>
            <w:r/>
          </w:p>
          <w:p>
            <w:pPr>
              <w:ind w:left="108"/>
              <w:jc w:val="both"/>
              <w:keepLines w:val="0"/>
              <w:keepNext w:val="0"/>
              <w:pageBreakBefore w:val="0"/>
              <w:spacing w:line="288" w:lineRule="auto"/>
              <w:widowControl w:val="off"/>
              <w:rPr>
                <w:rFonts w:hint="default"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3、面积＜3000 m</w:t>
            </w:r>
            <w:r>
              <w:rPr>
                <w:rFonts w:hint="eastAsia" w:ascii="Times New Roman" w:hAnsi="Times New Roman" w:eastAsia="宋体" w:cs="宋体"/>
                <w:color w:val="auto"/>
                <w:sz w:val="24"/>
                <w:szCs w:val="24"/>
                <w:highlight w:val="none"/>
                <w:vertAlign w:val="superscript"/>
                <w:lang w:val="en-US" w:eastAsia="zh-CN" w:bidi="ar-SA"/>
              </w:rPr>
              <w:t xml:space="preserve">2</w:t>
            </w:r>
            <w:r>
              <w:rPr>
                <w:rFonts w:hint="eastAsia" w:ascii="Times New Roman" w:hAnsi="Times New Roman" w:eastAsia="宋体" w:cs="宋体"/>
                <w:color w:val="auto"/>
                <w:sz w:val="24"/>
                <w:szCs w:val="24"/>
                <w:highlight w:val="none"/>
                <w:lang w:val="en-US" w:eastAsia="zh-CN" w:bidi="ar-SA"/>
              </w:rPr>
              <w:t xml:space="preserve">，得 0分。</w:t>
            </w:r>
            <w:r/>
          </w:p>
          <w:p>
            <w:pPr>
              <w:ind w:left="108"/>
              <w:jc w:val="both"/>
              <w:keepLines w:val="0"/>
              <w:keepNext w:val="0"/>
              <w:pageBreakBefore w:val="0"/>
              <w:spacing w:line="288" w:lineRule="auto"/>
              <w:widowControl w:val="off"/>
              <w:rPr>
                <w:rFonts w:hint="default"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注：1、投标人须承诺抽样检验的实验室为投标人自有实验室，并提供承诺书。采购人有权在合同签订前进行现场考察，一旦发现弄虚作假，将取消中标资格，并报有关部门严肃处理；</w:t>
            </w:r>
            <w:r/>
          </w:p>
          <w:p>
            <w:pPr>
              <w:ind w:left="108" w:firstLine="354"/>
              <w:jc w:val="both"/>
              <w:keepLines w:val="0"/>
              <w:keepNext w:val="0"/>
              <w:pageBreakBefore w:val="0"/>
              <w:spacing w:line="288" w:lineRule="auto"/>
              <w:widowControl w:val="off"/>
              <w:rPr>
                <w:rFonts w:hint="default"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2、提供抽样检验场所的房产证或所有权证明文件或服务期内有效的房屋租赁合同加发票扫描件及相关证明材料；</w:t>
            </w:r>
            <w:r/>
          </w:p>
          <w:p>
            <w:pPr>
              <w:ind w:left="108" w:firstLine="354"/>
              <w:jc w:val="both"/>
              <w:keepLines w:val="0"/>
              <w:keepNext w:val="0"/>
              <w:pageBreakBefore w:val="0"/>
              <w:spacing w:line="288" w:lineRule="auto"/>
              <w:widowControl w:val="off"/>
              <w:rPr>
                <w:rFonts w:hint="default"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3、提供食品实验室平面布局图，并提供各组成部分面积清单；</w:t>
            </w:r>
            <w:r/>
          </w:p>
          <w:p>
            <w:pPr>
              <w:ind w:left="108" w:firstLine="354"/>
              <w:jc w:val="both"/>
              <w:keepLines w:val="0"/>
              <w:keepNext w:val="0"/>
              <w:pageBreakBefore w:val="0"/>
              <w:spacing w:line="288" w:lineRule="auto"/>
              <w:widowControl w:val="off"/>
              <w:rPr>
                <w:rFonts w:hint="default"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4、未达到上述要求或未提供有效证明文件的不得分。</w:t>
            </w:r>
            <w:r/>
          </w:p>
        </w:tc>
      </w:tr>
      <w:tr>
        <w:trPr>
          <w:trHeight w:val="0"/>
        </w:trPr>
        <w:tc>
          <w:tcPr>
            <w:shd w:val="clear" w:color="auto" w:fill="ffffff"/>
            <w:tcW w:w="1995" w:type="dxa"/>
            <w:vAlign w:val="center"/>
            <w:textDirection w:val="lrTb"/>
            <w:noWrap w:val="false"/>
          </w:tcPr>
          <w:p>
            <w:pPr>
              <w:ind w:left="108"/>
              <w:jc w:val="center"/>
              <w:spacing w:line="400" w:lineRule="exact"/>
              <w:widowControl w:val="off"/>
              <w:rPr>
                <w:rFonts w:hint="default"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采样</w:t>
            </w:r>
            <w:r>
              <w:rPr>
                <w:rFonts w:hint="eastAsia" w:ascii="Times New Roman" w:hAnsi="Times New Roman" w:eastAsia="宋体" w:cs="宋体"/>
                <w:color w:val="auto"/>
                <w:sz w:val="24"/>
                <w:szCs w:val="24"/>
                <w:highlight w:val="none"/>
                <w:lang w:val="en-US" w:eastAsia="zh-CN" w:bidi="ar-SA"/>
              </w:rPr>
              <w:t xml:space="preserve">设备（5分）</w:t>
            </w:r>
            <w:r/>
          </w:p>
        </w:tc>
        <w:tc>
          <w:tcPr>
            <w:shd w:val="clear" w:color="auto" w:fill="ffffff"/>
            <w:tcW w:w="7635" w:type="dxa"/>
            <w:vAlign w:val="top"/>
            <w:textDirection w:val="lrTb"/>
            <w:noWrap w:val="false"/>
          </w:tcPr>
          <w:p>
            <w:pPr>
              <w:jc w:val="both"/>
              <w:keepLines w:val="0"/>
              <w:keepNext w:val="0"/>
              <w:pageBreakBefore w:val="0"/>
              <w:spacing w:line="288" w:lineRule="auto"/>
              <w:widowControl w:val="off"/>
              <w:rPr>
                <w:rFonts w:hint="default"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根据投标人配备的满足采购人项目需求中有关采样需求的工作装备设备的采样设备能力进行评分。</w:t>
            </w:r>
            <w:r/>
          </w:p>
          <w:p>
            <w:pPr>
              <w:jc w:val="both"/>
              <w:keepLines w:val="0"/>
              <w:keepNext w:val="0"/>
              <w:pageBreakBefore w:val="0"/>
              <w:spacing w:line="288" w:lineRule="auto"/>
              <w:widowControl w:val="off"/>
              <w:rPr>
                <w:rFonts w:hint="default"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1</w:t>
            </w:r>
            <w:r>
              <w:rPr>
                <w:rFonts w:hint="eastAsia" w:ascii="宋体" w:hAnsi="宋体" w:eastAsia="宋体" w:cs="宋体"/>
                <w:color w:val="auto"/>
                <w:sz w:val="24"/>
                <w:szCs w:val="24"/>
                <w:highlight w:val="none"/>
                <w:lang w:val="en-US" w:eastAsia="zh-CN" w:bidi="zh-CN"/>
              </w:rPr>
              <w:t xml:space="preserve">.</w:t>
            </w:r>
            <w:r>
              <w:rPr>
                <w:rFonts w:hint="eastAsia" w:ascii="宋体" w:hAnsi="宋体" w:eastAsia="宋体" w:cs="宋体"/>
                <w:color w:val="auto"/>
                <w:sz w:val="24"/>
                <w:szCs w:val="24"/>
                <w:highlight w:val="none"/>
                <w:lang w:val="zh-CN" w:eastAsia="zh-CN" w:bidi="zh-CN"/>
              </w:rPr>
              <w:t xml:space="preserve">用于食品采样的车辆不少于 </w:t>
            </w:r>
            <w:r>
              <w:rPr>
                <w:rFonts w:hint="eastAsia" w:ascii="宋体" w:hAnsi="宋体" w:eastAsia="宋体" w:cs="宋体"/>
                <w:color w:val="auto"/>
                <w:sz w:val="24"/>
                <w:szCs w:val="24"/>
                <w:highlight w:val="none"/>
                <w:lang w:val="en-US" w:eastAsia="zh-CN" w:bidi="zh-CN"/>
              </w:rPr>
              <w:t xml:space="preserve">4</w:t>
            </w:r>
            <w:r>
              <w:rPr>
                <w:rFonts w:hint="eastAsia" w:ascii="宋体" w:hAnsi="宋体" w:eastAsia="宋体" w:cs="宋体"/>
                <w:color w:val="auto"/>
                <w:sz w:val="24"/>
                <w:szCs w:val="24"/>
                <w:highlight w:val="none"/>
                <w:lang w:val="zh-CN" w:eastAsia="zh-CN" w:bidi="zh-CN"/>
              </w:rPr>
              <w:t xml:space="preserve">台（其中冷藏车不少于1台），同时满足得 </w:t>
            </w:r>
            <w:r>
              <w:rPr>
                <w:rFonts w:hint="eastAsia" w:ascii="宋体" w:hAnsi="宋体" w:eastAsia="宋体" w:cs="宋体"/>
                <w:color w:val="auto"/>
                <w:sz w:val="24"/>
                <w:szCs w:val="24"/>
                <w:highlight w:val="none"/>
                <w:lang w:val="en-US" w:eastAsia="zh-CN" w:bidi="zh-CN"/>
              </w:rPr>
              <w:t xml:space="preserve">2</w:t>
            </w:r>
            <w:r>
              <w:rPr>
                <w:rFonts w:hint="eastAsia" w:ascii="宋体" w:hAnsi="宋体" w:eastAsia="宋体" w:cs="宋体"/>
                <w:color w:val="auto"/>
                <w:sz w:val="24"/>
                <w:szCs w:val="24"/>
                <w:highlight w:val="none"/>
                <w:lang w:val="zh-CN" w:eastAsia="zh-CN" w:bidi="zh-CN"/>
              </w:rPr>
              <w:t xml:space="preserve">分；未同时满足得1分；其他不得分（</w:t>
            </w:r>
            <w:r>
              <w:rPr>
                <w:rFonts w:hint="eastAsia" w:ascii="宋体" w:hAnsi="宋体" w:eastAsia="宋体" w:cs="宋体"/>
                <w:color w:val="auto"/>
                <w:sz w:val="24"/>
                <w:szCs w:val="24"/>
                <w:highlight w:val="none"/>
                <w:lang w:val="en-US" w:eastAsia="zh-CN" w:bidi="zh-CN"/>
              </w:rPr>
              <w:t xml:space="preserve">2</w:t>
            </w:r>
            <w:r>
              <w:rPr>
                <w:rFonts w:hint="eastAsia" w:ascii="宋体" w:hAnsi="宋体" w:eastAsia="宋体" w:cs="宋体"/>
                <w:color w:val="auto"/>
                <w:sz w:val="24"/>
                <w:szCs w:val="24"/>
                <w:highlight w:val="none"/>
                <w:lang w:val="zh-CN" w:eastAsia="zh-CN" w:bidi="zh-CN"/>
              </w:rPr>
              <w:t xml:space="preserve">分）。</w:t>
            </w:r>
            <w:r/>
          </w:p>
          <w:p>
            <w:pPr>
              <w:jc w:val="both"/>
              <w:keepLines w:val="0"/>
              <w:keepNext w:val="0"/>
              <w:pageBreakBefore w:val="0"/>
              <w:spacing w:line="288" w:lineRule="auto"/>
              <w:widowControl w:val="off"/>
              <w:rPr>
                <w:rFonts w:hint="default" w:ascii="宋体" w:hAnsi="宋体" w:eastAsia="宋体" w:cs="宋体"/>
                <w:b/>
                <w:bCs/>
                <w:color w:val="auto"/>
                <w:sz w:val="24"/>
                <w:szCs w:val="24"/>
                <w:highlight w:val="none"/>
                <w:lang w:val="zh-CN" w:eastAsia="zh-CN" w:bidi="zh-CN"/>
              </w:rPr>
            </w:pPr>
            <w:r>
              <w:rPr>
                <w:rFonts w:hint="eastAsia" w:ascii="宋体" w:hAnsi="宋体" w:eastAsia="宋体" w:cs="宋体"/>
                <w:b/>
                <w:bCs/>
                <w:color w:val="auto"/>
                <w:sz w:val="24"/>
                <w:szCs w:val="24"/>
                <w:highlight w:val="none"/>
                <w:lang w:val="zh-CN" w:eastAsia="zh-CN" w:bidi="zh-CN"/>
              </w:rPr>
              <w:t xml:space="preserve">注：上述评分点须提供有效的供应商购置或租赁的证明材料，如购置发票、有效租赁合同。</w:t>
            </w:r>
            <w:r/>
          </w:p>
          <w:p>
            <w:pPr>
              <w:jc w:val="both"/>
              <w:keepLines w:val="0"/>
              <w:keepNext w:val="0"/>
              <w:pageBreakBefore w:val="0"/>
              <w:spacing w:line="288"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zh-CN"/>
              </w:rPr>
              <w:t xml:space="preserve">2</w:t>
            </w:r>
            <w:r>
              <w:rPr>
                <w:rFonts w:hint="eastAsia" w:ascii="宋体" w:hAnsi="宋体" w:eastAsia="宋体" w:cs="宋体"/>
                <w:color w:val="auto"/>
                <w:sz w:val="24"/>
                <w:szCs w:val="24"/>
                <w:highlight w:val="none"/>
                <w:lang w:val="en-US" w:eastAsia="zh-CN" w:bidi="zh-CN"/>
              </w:rPr>
              <w:t xml:space="preserve">.</w:t>
            </w:r>
            <w:r>
              <w:rPr>
                <w:rFonts w:hint="eastAsia" w:ascii="宋体" w:hAnsi="宋体" w:eastAsia="宋体" w:cs="宋体"/>
                <w:color w:val="auto"/>
                <w:sz w:val="24"/>
                <w:szCs w:val="24"/>
                <w:highlight w:val="none"/>
                <w:lang w:val="zh-CN" w:eastAsia="zh-CN" w:bidi="zh-CN"/>
              </w:rPr>
              <w:t xml:space="preserve">配备投标人独立购置的用于采样过程取证的执法记录仪，不少于</w:t>
            </w:r>
            <w:r>
              <w:rPr>
                <w:rFonts w:hint="eastAsia" w:ascii="宋体" w:hAnsi="宋体" w:eastAsia="宋体" w:cs="宋体"/>
                <w:color w:val="auto"/>
                <w:sz w:val="24"/>
                <w:szCs w:val="24"/>
                <w:highlight w:val="none"/>
                <w:lang w:val="en-US" w:eastAsia="zh-CN" w:bidi="zh-CN"/>
              </w:rPr>
              <w:t xml:space="preserve">4</w:t>
            </w:r>
            <w:r>
              <w:rPr>
                <w:rFonts w:hint="eastAsia" w:ascii="宋体" w:hAnsi="宋体" w:eastAsia="宋体" w:cs="宋体"/>
                <w:color w:val="auto"/>
                <w:sz w:val="24"/>
                <w:szCs w:val="24"/>
                <w:highlight w:val="none"/>
                <w:lang w:val="zh-CN" w:eastAsia="zh-CN" w:bidi="zh-CN"/>
              </w:rPr>
              <w:t xml:space="preserve">部，得1分；不满足不得分（1分）。</w:t>
            </w:r>
            <w:r/>
          </w:p>
          <w:p>
            <w:pPr>
              <w:jc w:val="both"/>
              <w:keepLines w:val="0"/>
              <w:keepNext w:val="0"/>
              <w:pageBreakBefore w:val="0"/>
              <w:spacing w:line="288"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3.配备投标人独立购置的用于食品保存的车载冰箱，不少于4台得1分，不满足不得分（1分）。</w:t>
            </w:r>
            <w:r/>
          </w:p>
          <w:p>
            <w:pPr>
              <w:jc w:val="both"/>
              <w:keepLines w:val="0"/>
              <w:keepNext w:val="0"/>
              <w:pageBreakBefore w:val="0"/>
              <w:spacing w:line="288" w:lineRule="auto"/>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4.配备投标人独立购置的用于食品采样后保存样品的保温箱，不少于4个得1分，不满足不得分（1分）。</w:t>
            </w:r>
            <w:r/>
          </w:p>
          <w:p>
            <w:pPr>
              <w:jc w:val="both"/>
              <w:keepLines w:val="0"/>
              <w:keepNext w:val="0"/>
              <w:pageBreakBefore w:val="0"/>
              <w:spacing w:line="288" w:lineRule="auto"/>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注：1、本评分项上述第2、3、4评分点须提供投标人自有购置发票或采购合同等相关证明材料（不含租赁）。</w:t>
            </w:r>
            <w:r/>
          </w:p>
          <w:p>
            <w:pPr>
              <w:ind w:left="108" w:firstLine="354"/>
              <w:jc w:val="both"/>
              <w:keepLines w:val="0"/>
              <w:keepNext w:val="0"/>
              <w:pageBreakBefore w:val="0"/>
              <w:spacing w:line="288" w:lineRule="auto"/>
              <w:widowControl w:val="off"/>
              <w:rPr>
                <w:rFonts w:hint="default"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2、本评分项1-4所有评分点证明资料不完整或证明材料与投标人不一致、不清晰、不明确、不符合要求者均不得分。</w:t>
            </w:r>
            <w:r/>
          </w:p>
        </w:tc>
      </w:tr>
      <w:tr>
        <w:trPr>
          <w:trHeight w:val="0"/>
        </w:trPr>
        <w:tc>
          <w:tcPr>
            <w:shd w:val="clear" w:color="auto" w:fill="ffffff"/>
            <w:tcW w:w="1995" w:type="dxa"/>
            <w:vAlign w:val="center"/>
            <w:textDirection w:val="lrTb"/>
            <w:noWrap w:val="false"/>
          </w:tcPr>
          <w:p>
            <w:pPr>
              <w:ind w:left="108"/>
              <w:jc w:val="center"/>
              <w:spacing w:line="400" w:lineRule="exact"/>
              <w:widowControl w:val="off"/>
              <w:rPr>
                <w:rFonts w:hint="default"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实验室</w:t>
            </w:r>
            <w:r>
              <w:rPr>
                <w:rFonts w:hint="eastAsia" w:ascii="Times New Roman" w:hAnsi="Times New Roman" w:eastAsia="宋体" w:cs="宋体"/>
                <w:color w:val="auto"/>
                <w:sz w:val="24"/>
                <w:szCs w:val="24"/>
                <w:highlight w:val="none"/>
                <w:lang w:val="en-US" w:eastAsia="zh-CN" w:bidi="ar-SA"/>
              </w:rPr>
              <w:t xml:space="preserve">设备（5分）</w:t>
            </w:r>
            <w:r/>
          </w:p>
        </w:tc>
        <w:tc>
          <w:tcPr>
            <w:shd w:val="clear" w:color="auto" w:fill="ffffff"/>
            <w:tcW w:w="7635" w:type="dxa"/>
            <w:vAlign w:val="top"/>
            <w:textDirection w:val="lrTb"/>
            <w:noWrap w:val="false"/>
          </w:tcPr>
          <w:p>
            <w:pPr>
              <w:jc w:val="both"/>
              <w:keepLines w:val="0"/>
              <w:keepNext w:val="0"/>
              <w:pageBreakBefore w:val="0"/>
              <w:spacing w:line="288"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zh-CN"/>
              </w:rPr>
              <w:t xml:space="preserve">基本要求：</w:t>
            </w:r>
            <w:r>
              <w:rPr>
                <w:rFonts w:hint="eastAsia" w:ascii="宋体" w:hAnsi="宋体" w:eastAsia="宋体" w:cs="宋体"/>
                <w:color w:val="auto"/>
                <w:sz w:val="24"/>
                <w:szCs w:val="24"/>
                <w:highlight w:val="none"/>
                <w:shd w:val="clear" w:color="auto" w:fill="auto"/>
                <w:lang w:val="en-US" w:eastAsia="zh-CN" w:bidi="ar-SA"/>
              </w:rPr>
              <w:t xml:space="preserve">具有用于动物源性成分和转基因成分鉴定的分子生物学实验室、实时荧光PCR仪。</w:t>
            </w:r>
            <w:r>
              <w:rPr>
                <w:rFonts w:hint="eastAsia" w:ascii="宋体" w:hAnsi="宋体" w:eastAsia="宋体" w:cs="宋体"/>
                <w:color w:val="auto"/>
                <w:sz w:val="24"/>
                <w:szCs w:val="24"/>
                <w:highlight w:val="none"/>
                <w:lang w:val="en-US" w:eastAsia="zh-CN" w:bidi="ar-SA"/>
              </w:rPr>
              <w:t xml:space="preserve">需至少具有液质联用仪2台、液相色谱仪4台、气相色谱仪3台、气质联用仪1台、电感耦合等离子体质谱仪（ICP-MS）1台、原子荧光光谱仪2台仪器设备。</w:t>
            </w:r>
            <w:r/>
          </w:p>
          <w:p>
            <w:pPr>
              <w:jc w:val="both"/>
              <w:keepLines w:val="0"/>
              <w:keepNext w:val="0"/>
              <w:pageBreakBefore w:val="0"/>
              <w:spacing w:line="288" w:lineRule="auto"/>
              <w:widowControl w:val="off"/>
              <w:rPr>
                <w:rFonts w:hint="default"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在满足以上基本要求的基础上，</w:t>
            </w:r>
            <w:r>
              <w:rPr>
                <w:rFonts w:hint="eastAsia" w:ascii="宋体" w:hAnsi="宋体" w:eastAsia="宋体" w:cs="宋体"/>
                <w:color w:val="auto"/>
                <w:sz w:val="24"/>
                <w:szCs w:val="24"/>
                <w:highlight w:val="none"/>
                <w:lang w:val="zh-CN" w:eastAsia="zh-CN" w:bidi="zh-CN"/>
              </w:rPr>
              <w:t xml:space="preserve">每增加</w:t>
            </w:r>
            <w:r>
              <w:rPr>
                <w:rFonts w:hint="eastAsia" w:ascii="宋体" w:hAnsi="宋体" w:eastAsia="宋体" w:cs="宋体"/>
                <w:color w:val="auto"/>
                <w:sz w:val="24"/>
                <w:szCs w:val="24"/>
                <w:highlight w:val="none"/>
                <w:lang w:val="en-US" w:eastAsia="zh-CN" w:bidi="zh-CN"/>
              </w:rPr>
              <w:t xml:space="preserve">1</w:t>
            </w:r>
            <w:r>
              <w:rPr>
                <w:rFonts w:hint="eastAsia" w:ascii="宋体" w:hAnsi="宋体" w:eastAsia="宋体" w:cs="宋体"/>
                <w:color w:val="auto"/>
                <w:sz w:val="24"/>
                <w:szCs w:val="24"/>
                <w:highlight w:val="none"/>
                <w:lang w:val="zh-CN" w:eastAsia="zh-CN" w:bidi="zh-CN"/>
              </w:rPr>
              <w:t xml:space="preserve">台液质联用仪、气质联用仪</w:t>
            </w:r>
            <w:r>
              <w:rPr>
                <w:rFonts w:hint="eastAsia" w:ascii="宋体" w:hAnsi="宋体" w:eastAsia="宋体" w:cs="宋体"/>
                <w:color w:val="auto"/>
                <w:sz w:val="24"/>
                <w:szCs w:val="24"/>
                <w:highlight w:val="none"/>
                <w:lang w:val="en-US" w:eastAsia="zh-CN" w:bidi="zh-CN"/>
              </w:rPr>
              <w:t xml:space="preserve">或电感耦合等离子体质谱仪</w:t>
            </w:r>
            <w:r>
              <w:rPr>
                <w:rFonts w:hint="eastAsia" w:ascii="宋体" w:hAnsi="宋体" w:eastAsia="宋体" w:cs="宋体"/>
                <w:color w:val="auto"/>
                <w:sz w:val="24"/>
                <w:szCs w:val="24"/>
                <w:highlight w:val="none"/>
                <w:lang w:val="zh-CN" w:eastAsia="zh-CN" w:bidi="zh-CN"/>
              </w:rPr>
              <w:t xml:space="preserve">得</w:t>
            </w:r>
            <w:r>
              <w:rPr>
                <w:rFonts w:hint="eastAsia" w:ascii="宋体" w:hAnsi="宋体" w:eastAsia="宋体" w:cs="宋体"/>
                <w:color w:val="auto"/>
                <w:sz w:val="24"/>
                <w:szCs w:val="24"/>
                <w:highlight w:val="none"/>
                <w:lang w:val="en-US" w:eastAsia="zh-CN" w:bidi="zh-CN"/>
              </w:rPr>
              <w:t xml:space="preserve">2</w:t>
            </w:r>
            <w:r>
              <w:rPr>
                <w:rFonts w:hint="eastAsia" w:ascii="宋体" w:hAnsi="宋体" w:eastAsia="宋体" w:cs="宋体"/>
                <w:color w:val="auto"/>
                <w:sz w:val="24"/>
                <w:szCs w:val="24"/>
                <w:highlight w:val="none"/>
                <w:lang w:val="zh-CN" w:eastAsia="zh-CN" w:bidi="zh-CN"/>
              </w:rPr>
              <w:t xml:space="preserve">分，最高得</w:t>
            </w:r>
            <w:r>
              <w:rPr>
                <w:rFonts w:hint="eastAsia" w:ascii="宋体" w:hAnsi="宋体" w:eastAsia="宋体" w:cs="宋体"/>
                <w:b/>
                <w:bCs w:val="0"/>
                <w:color w:val="auto"/>
                <w:sz w:val="24"/>
                <w:szCs w:val="24"/>
                <w:highlight w:val="none"/>
                <w:lang w:val="en-US" w:eastAsia="zh-CN" w:bidi="zh-CN"/>
              </w:rPr>
              <w:t xml:space="preserve">5</w:t>
            </w:r>
            <w:r>
              <w:rPr>
                <w:rFonts w:hint="eastAsia" w:ascii="宋体" w:hAnsi="宋体" w:eastAsia="宋体" w:cs="宋体"/>
                <w:bCs/>
                <w:color w:val="auto"/>
                <w:sz w:val="24"/>
                <w:szCs w:val="24"/>
                <w:highlight w:val="none"/>
                <w:lang w:val="zh-CN" w:eastAsia="zh-CN" w:bidi="zh-CN"/>
              </w:rPr>
              <w:t xml:space="preserve">分</w:t>
            </w:r>
            <w:r>
              <w:rPr>
                <w:rFonts w:hint="eastAsia" w:ascii="宋体" w:hAnsi="宋体" w:eastAsia="宋体" w:cs="宋体"/>
                <w:color w:val="auto"/>
                <w:sz w:val="24"/>
                <w:szCs w:val="24"/>
                <w:highlight w:val="none"/>
                <w:lang w:val="zh-CN" w:eastAsia="zh-CN" w:bidi="zh-CN"/>
              </w:rPr>
              <w:t xml:space="preserve">。</w:t>
            </w:r>
            <w:r/>
          </w:p>
          <w:p>
            <w:pPr>
              <w:ind w:left="108"/>
              <w:jc w:val="both"/>
              <w:keepLines w:val="0"/>
              <w:keepNext w:val="0"/>
              <w:pageBreakBefore w:val="0"/>
              <w:spacing w:line="288" w:lineRule="auto"/>
              <w:widowControl w:val="off"/>
              <w:rPr>
                <w:rFonts w:hint="default"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注：须提供上述仪器设备购置清单、发票等证明材料扫描件，并加盖投标人公章。</w:t>
            </w:r>
            <w:r/>
          </w:p>
        </w:tc>
      </w:tr>
      <w:tr>
        <w:trPr>
          <w:trHeight w:val="0"/>
        </w:trPr>
        <w:tc>
          <w:tcPr>
            <w:shd w:val="clear" w:color="auto" w:fill="ffffff"/>
            <w:tcW w:w="1995" w:type="dxa"/>
            <w:vAlign w:val="center"/>
            <w:textDirection w:val="lrTb"/>
            <w:noWrap w:val="false"/>
          </w:tcPr>
          <w:p>
            <w:pPr>
              <w:ind w:left="108"/>
              <w:jc w:val="center"/>
              <w:spacing w:line="400" w:lineRule="exact"/>
              <w:widowControl w:val="off"/>
              <w:rPr>
                <w:rFonts w:hint="default"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实验室能力验证（5分）</w:t>
            </w:r>
            <w:r/>
          </w:p>
        </w:tc>
        <w:tc>
          <w:tcPr>
            <w:shd w:val="clear" w:color="auto" w:fill="ffffff"/>
            <w:tcW w:w="7635" w:type="dxa"/>
            <w:vAlign w:val="top"/>
            <w:textDirection w:val="lrTb"/>
            <w:noWrap w:val="false"/>
          </w:tcPr>
          <w:p>
            <w:pPr>
              <w:keepLines w:val="0"/>
              <w:keepNext w:val="0"/>
              <w:pageBreakBefore w:val="0"/>
              <w:spacing w:line="288" w:lineRule="auto"/>
              <w:rPr>
                <w:rFonts w:hint="eastAsia"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zh-CN" w:eastAsia="zh-CN" w:bidi="ar-SA"/>
              </w:rPr>
              <w:t xml:space="preserve">自</w:t>
            </w:r>
            <w:r>
              <w:rPr>
                <w:rFonts w:hint="eastAsia" w:ascii="Times New Roman" w:hAnsi="Times New Roman" w:eastAsia="宋体" w:cs="宋体"/>
                <w:color w:val="auto"/>
                <w:sz w:val="24"/>
                <w:szCs w:val="24"/>
                <w:highlight w:val="none"/>
                <w:lang w:val="zh-CN" w:eastAsia="zh-CN" w:bidi="ar-SA"/>
              </w:rPr>
              <w:t xml:space="preserve">202</w:t>
            </w:r>
            <w:r>
              <w:rPr>
                <w:rFonts w:hint="eastAsia" w:ascii="Times New Roman" w:hAnsi="Times New Roman" w:eastAsia="宋体" w:cs="宋体"/>
                <w:color w:val="auto"/>
                <w:sz w:val="24"/>
                <w:szCs w:val="24"/>
                <w:highlight w:val="none"/>
                <w:lang w:val="en-US" w:eastAsia="zh-CN" w:bidi="ar-SA"/>
              </w:rPr>
              <w:t xml:space="preserve">3</w:t>
            </w:r>
            <w:r>
              <w:rPr>
                <w:rFonts w:hint="eastAsia" w:ascii="Times New Roman" w:hAnsi="Times New Roman" w:eastAsia="宋体" w:cs="宋体"/>
                <w:color w:val="auto"/>
                <w:sz w:val="24"/>
                <w:szCs w:val="24"/>
                <w:highlight w:val="none"/>
                <w:lang w:val="zh-CN" w:eastAsia="zh-CN" w:bidi="ar-SA"/>
              </w:rPr>
              <w:t xml:space="preserve">年</w:t>
            </w:r>
            <w:r>
              <w:rPr>
                <w:rFonts w:hint="eastAsia" w:ascii="Times New Roman" w:hAnsi="Times New Roman" w:eastAsia="宋体" w:cs="宋体"/>
                <w:color w:val="auto"/>
                <w:sz w:val="24"/>
                <w:szCs w:val="24"/>
                <w:highlight w:val="none"/>
                <w:lang w:val="en-US" w:eastAsia="zh-CN" w:bidi="ar-SA"/>
              </w:rPr>
              <w:t xml:space="preserve">5</w:t>
            </w:r>
            <w:r>
              <w:rPr>
                <w:rFonts w:hint="eastAsia" w:ascii="Times New Roman" w:hAnsi="Times New Roman" w:eastAsia="宋体" w:cs="宋体"/>
                <w:color w:val="auto"/>
                <w:sz w:val="24"/>
                <w:szCs w:val="24"/>
                <w:highlight w:val="none"/>
                <w:lang w:val="zh-CN" w:eastAsia="zh-CN" w:bidi="ar-SA"/>
              </w:rPr>
              <w:t xml:space="preserve">月1日</w:t>
            </w:r>
            <w:r>
              <w:rPr>
                <w:rFonts w:hint="eastAsia" w:ascii="Times New Roman" w:hAnsi="Times New Roman" w:eastAsia="宋体" w:cs="宋体"/>
                <w:color w:val="auto"/>
                <w:sz w:val="24"/>
                <w:szCs w:val="24"/>
                <w:highlight w:val="none"/>
                <w:lang w:val="zh-CN" w:eastAsia="zh-CN" w:bidi="ar-SA"/>
              </w:rPr>
              <w:t xml:space="preserve">以来，</w:t>
            </w:r>
            <w:r>
              <w:rPr>
                <w:rFonts w:hint="eastAsia" w:ascii="Times New Roman" w:hAnsi="Times New Roman" w:eastAsia="宋体" w:cs="宋体"/>
                <w:color w:val="auto"/>
                <w:sz w:val="24"/>
                <w:szCs w:val="24"/>
                <w:highlight w:val="none"/>
                <w:lang w:val="en-US" w:eastAsia="zh-CN" w:bidi="ar-SA"/>
              </w:rPr>
              <w:t xml:space="preserve">供应商</w:t>
            </w:r>
            <w:r>
              <w:rPr>
                <w:rFonts w:hint="eastAsia" w:ascii="Times New Roman" w:hAnsi="Times New Roman" w:eastAsia="宋体" w:cs="宋体"/>
                <w:color w:val="auto"/>
                <w:sz w:val="24"/>
                <w:szCs w:val="24"/>
                <w:highlight w:val="none"/>
                <w:lang w:val="zh-CN" w:eastAsia="zh-CN" w:bidi="ar-SA"/>
              </w:rPr>
              <w:t xml:space="preserve">参加过相关机构组织的食品检测项目的实验室能力验证或市场监管部门组织的盲样考核，并获得满意结果的，</w:t>
            </w:r>
            <w:r>
              <w:rPr>
                <w:rFonts w:hint="eastAsia" w:ascii="Times New Roman" w:hAnsi="Times New Roman" w:eastAsia="宋体" w:cs="宋体"/>
                <w:color w:val="auto"/>
                <w:sz w:val="24"/>
                <w:szCs w:val="24"/>
                <w:highlight w:val="none"/>
                <w:lang w:val="en-US" w:eastAsia="zh-CN" w:bidi="ar-SA"/>
              </w:rPr>
              <w:t xml:space="preserve">具备全部9个领域，得5分；具备8个领域，得3分；具备7个领域，得2分；具备5-6个领域，得1分；其他不得分。（9个领域为：农药残留、兽药残留、重金属、真菌毒素、食品添加剂、非法添加、微生物、营养元素、动物源性成分/转基因成分）</w:t>
            </w:r>
            <w:r/>
          </w:p>
          <w:p>
            <w:pPr>
              <w:ind w:left="0" w:firstLine="0"/>
              <w:jc w:val="both"/>
              <w:keepLines w:val="0"/>
              <w:keepNext w:val="0"/>
              <w:pageBreakBefore w:val="0"/>
              <w:spacing w:line="288" w:lineRule="auto"/>
              <w:widowControl w:val="off"/>
              <w:rPr>
                <w:rFonts w:hint="default"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zh-CN" w:eastAsia="zh-CN" w:bidi="ar-SA"/>
              </w:rPr>
              <w:t xml:space="preserve">注：须提供能力验证报告或证明结果满意的证书复印件，获得不满意结果的或未提供有效证明文件的不得分。</w:t>
            </w:r>
            <w:r/>
          </w:p>
        </w:tc>
      </w:tr>
      <w:tr>
        <w:trPr>
          <w:trHeight w:val="0"/>
        </w:trPr>
        <w:tc>
          <w:tcPr>
            <w:shd w:val="clear" w:color="auto" w:fill="ffffff"/>
            <w:tcW w:w="1995" w:type="dxa"/>
            <w:vAlign w:val="center"/>
            <w:textDirection w:val="lrTb"/>
            <w:noWrap w:val="false"/>
          </w:tcPr>
          <w:p>
            <w:pPr>
              <w:ind w:left="108"/>
              <w:jc w:val="center"/>
              <w:spacing w:line="400" w:lineRule="exact"/>
              <w:widowControl w:val="off"/>
              <w:rPr>
                <w:rFonts w:hint="default"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合格备份样品再利用工作（2分）</w:t>
            </w:r>
            <w:r/>
          </w:p>
        </w:tc>
        <w:tc>
          <w:tcPr>
            <w:shd w:val="clear" w:color="auto" w:fill="ffffff"/>
            <w:tcW w:w="7635" w:type="dxa"/>
            <w:vAlign w:val="top"/>
            <w:textDirection w:val="lrTb"/>
            <w:noWrap w:val="false"/>
          </w:tcPr>
          <w:p>
            <w:pPr>
              <w:ind w:left="108"/>
              <w:jc w:val="both"/>
              <w:keepLines w:val="0"/>
              <w:keepNext w:val="0"/>
              <w:pageBreakBefore w:val="0"/>
              <w:spacing w:line="288" w:lineRule="auto"/>
              <w:widowControl w:val="off"/>
              <w:rPr>
                <w:rFonts w:hint="default"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自</w:t>
            </w:r>
            <w:r>
              <w:rPr>
                <w:rFonts w:hint="eastAsia" w:ascii="Times New Roman" w:hAnsi="Times New Roman" w:eastAsia="宋体" w:cs="宋体"/>
                <w:color w:val="auto"/>
                <w:sz w:val="24"/>
                <w:szCs w:val="24"/>
                <w:highlight w:val="none"/>
                <w:lang w:val="en-US" w:eastAsia="zh-CN" w:bidi="ar-SA"/>
              </w:rPr>
              <w:t xml:space="preserve">2024年1月1日以</w:t>
            </w:r>
            <w:r>
              <w:rPr>
                <w:rFonts w:hint="eastAsia" w:ascii="Times New Roman" w:hAnsi="Times New Roman" w:eastAsia="宋体" w:cs="宋体"/>
                <w:color w:val="auto"/>
                <w:sz w:val="24"/>
                <w:szCs w:val="24"/>
                <w:highlight w:val="none"/>
                <w:lang w:val="en-US" w:eastAsia="zh-CN" w:bidi="ar-SA"/>
              </w:rPr>
              <w:t xml:space="preserve">来，投标人：</w:t>
            </w:r>
            <w:r/>
          </w:p>
          <w:p>
            <w:pPr>
              <w:ind w:left="108"/>
              <w:jc w:val="both"/>
              <w:keepLines w:val="0"/>
              <w:keepNext w:val="0"/>
              <w:pageBreakBefore w:val="0"/>
              <w:spacing w:line="288" w:lineRule="auto"/>
              <w:widowControl w:val="off"/>
              <w:rPr>
                <w:rFonts w:hint="default"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1、已建立抽检合格备份样品再利用工作制度机制的，得1分；</w:t>
            </w:r>
            <w:r/>
          </w:p>
          <w:p>
            <w:pPr>
              <w:ind w:left="108"/>
              <w:jc w:val="both"/>
              <w:keepLines w:val="0"/>
              <w:keepNext w:val="0"/>
              <w:pageBreakBefore w:val="0"/>
              <w:spacing w:line="288" w:lineRule="auto"/>
              <w:widowControl w:val="off"/>
              <w:rPr>
                <w:rFonts w:hint="default"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2、开展的合格备份样品再利用工作取得良好社会效果的（如媒体报道、受益方出具的感谢信等），得1分；不符合上述要求的，不得分。</w:t>
            </w:r>
            <w:r/>
          </w:p>
          <w:p>
            <w:pPr>
              <w:ind w:left="108"/>
              <w:jc w:val="both"/>
              <w:keepLines w:val="0"/>
              <w:keepNext w:val="0"/>
              <w:pageBreakBefore w:val="0"/>
              <w:spacing w:line="288" w:lineRule="auto"/>
              <w:widowControl w:val="off"/>
              <w:rPr>
                <w:rFonts w:hint="default" w:ascii="Times New Roman" w:hAnsi="Times New Roman" w:eastAsia="宋体" w:cs="宋体"/>
                <w:b/>
                <w:color w:val="auto"/>
                <w:sz w:val="24"/>
                <w:szCs w:val="24"/>
                <w:highlight w:val="none"/>
                <w:lang w:val="en-US" w:eastAsia="zh-CN" w:bidi="ar-SA"/>
              </w:rPr>
            </w:pPr>
            <w:r>
              <w:rPr>
                <w:rFonts w:hint="eastAsia" w:ascii="Times New Roman" w:hAnsi="Times New Roman" w:eastAsia="宋体" w:cs="宋体"/>
                <w:b/>
                <w:color w:val="auto"/>
                <w:sz w:val="24"/>
                <w:szCs w:val="24"/>
                <w:highlight w:val="none"/>
                <w:lang w:val="en-US" w:eastAsia="zh-CN" w:bidi="ar-SA"/>
              </w:rPr>
              <w:t xml:space="preserve">注：须提供相关工作制度、开展情况介绍、预包装食品备样再利用率、良好的社会效应等证明材料。备样再利用方式包括捐赠、拍卖、义卖等方式。</w:t>
            </w:r>
            <w:r/>
          </w:p>
        </w:tc>
      </w:tr>
      <w:tr>
        <w:trPr>
          <w:trHeight w:val="0"/>
        </w:trPr>
        <w:tc>
          <w:tcPr>
            <w:tcW w:w="1995" w:type="dxa"/>
            <w:vAlign w:val="center"/>
            <w:textDirection w:val="lrTb"/>
            <w:noWrap w:val="false"/>
          </w:tcPr>
          <w:p>
            <w:pPr>
              <w:jc w:val="center"/>
              <w:spacing w:line="3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管理制度与工作质量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w:t>
            </w:r>
            <w:r/>
          </w:p>
        </w:tc>
        <w:tc>
          <w:tcPr>
            <w:tcW w:w="7635" w:type="dxa"/>
            <w:vAlign w:val="center"/>
            <w:textDirection w:val="lrTb"/>
            <w:noWrap w:val="false"/>
          </w:tcPr>
          <w:p>
            <w:pPr>
              <w:pStyle w:val="771"/>
              <w:ind w:left="0"/>
              <w:keepLines w:val="0"/>
              <w:keepNext w:val="0"/>
              <w:pageBreakBefore w:val="0"/>
              <w:spacing w:line="288" w:lineRule="auto"/>
              <w:rPr>
                <w:rFonts w:hint="eastAsia" w:hAnsi="宋体" w:cs="宋体"/>
                <w:b w:val="0"/>
                <w:color w:val="auto"/>
                <w:position w:val="0"/>
                <w:sz w:val="24"/>
                <w:szCs w:val="24"/>
                <w:highlight w:val="none"/>
              </w:rPr>
            </w:pPr>
            <w:r>
              <w:rPr>
                <w:rFonts w:hint="eastAsia" w:hAnsi="宋体" w:cs="宋体"/>
                <w:b w:val="0"/>
                <w:color w:val="auto"/>
                <w:position w:val="0"/>
                <w:sz w:val="24"/>
                <w:szCs w:val="24"/>
                <w:highlight w:val="none"/>
              </w:rPr>
              <w:t xml:space="preserve">1、依据《食品安全抽样检验管理办法》等法律法规规章，建立健全相关制度，</w:t>
            </w:r>
            <w:r>
              <w:rPr>
                <w:rFonts w:hint="eastAsia" w:hAnsi="宋体" w:cs="宋体"/>
                <w:b w:val="0"/>
                <w:color w:val="auto"/>
                <w:position w:val="0"/>
                <w:sz w:val="24"/>
                <w:szCs w:val="24"/>
                <w:highlight w:val="none"/>
                <w:lang w:val="en-US" w:eastAsia="zh-CN"/>
              </w:rPr>
              <w:t xml:space="preserve">管理制度</w:t>
            </w:r>
            <w:r>
              <w:rPr>
                <w:rFonts w:hint="eastAsia" w:hAnsi="宋体" w:cs="宋体"/>
                <w:b w:val="0"/>
                <w:color w:val="auto"/>
                <w:position w:val="0"/>
                <w:sz w:val="24"/>
                <w:szCs w:val="24"/>
                <w:highlight w:val="none"/>
              </w:rPr>
              <w:t xml:space="preserve">具备全部12个</w:t>
            </w:r>
            <w:r>
              <w:rPr>
                <w:rFonts w:hint="eastAsia" w:hAnsi="宋体" w:cs="宋体"/>
                <w:b w:val="0"/>
                <w:color w:val="auto"/>
                <w:position w:val="0"/>
                <w:sz w:val="24"/>
                <w:szCs w:val="24"/>
                <w:highlight w:val="none"/>
                <w:lang w:val="en-US" w:eastAsia="zh-CN"/>
              </w:rPr>
              <w:t xml:space="preserve">方面</w:t>
            </w:r>
            <w:r>
              <w:rPr>
                <w:rFonts w:hint="eastAsia" w:hAnsi="宋体" w:cs="宋体"/>
                <w:b w:val="0"/>
                <w:color w:val="auto"/>
                <w:position w:val="0"/>
                <w:sz w:val="24"/>
                <w:szCs w:val="24"/>
                <w:highlight w:val="none"/>
              </w:rPr>
              <w:t xml:space="preserve">，得5分；具备10</w:t>
            </w:r>
            <w:r>
              <w:rPr>
                <w:rFonts w:hint="eastAsia" w:hAnsi="宋体" w:cs="宋体"/>
                <w:b w:val="0"/>
                <w:color w:val="auto"/>
                <w:position w:val="0"/>
                <w:sz w:val="24"/>
                <w:szCs w:val="24"/>
                <w:highlight w:val="none"/>
                <w:lang w:val="en-US" w:eastAsia="zh-CN"/>
              </w:rPr>
              <w:t xml:space="preserve">-11</w:t>
            </w:r>
            <w:r>
              <w:rPr>
                <w:rFonts w:hint="eastAsia" w:hAnsi="宋体" w:cs="宋体"/>
                <w:b w:val="0"/>
                <w:color w:val="auto"/>
                <w:position w:val="0"/>
                <w:sz w:val="24"/>
                <w:szCs w:val="24"/>
                <w:highlight w:val="none"/>
              </w:rPr>
              <w:t xml:space="preserve">个</w:t>
            </w:r>
            <w:r>
              <w:rPr>
                <w:rFonts w:hint="eastAsia" w:hAnsi="宋体" w:cs="宋体"/>
                <w:b w:val="0"/>
                <w:color w:val="auto"/>
                <w:position w:val="0"/>
                <w:sz w:val="24"/>
                <w:szCs w:val="24"/>
                <w:highlight w:val="none"/>
                <w:lang w:val="en-US" w:eastAsia="zh-CN"/>
              </w:rPr>
              <w:t xml:space="preserve">方面</w:t>
            </w:r>
            <w:r>
              <w:rPr>
                <w:rFonts w:hint="eastAsia" w:hAnsi="宋体" w:cs="宋体"/>
                <w:b w:val="0"/>
                <w:color w:val="auto"/>
                <w:position w:val="0"/>
                <w:sz w:val="24"/>
                <w:szCs w:val="24"/>
                <w:highlight w:val="none"/>
              </w:rPr>
              <w:t xml:space="preserve">，得3分；具备8</w:t>
            </w:r>
            <w:r>
              <w:rPr>
                <w:rFonts w:hint="eastAsia" w:hAnsi="宋体" w:cs="宋体"/>
                <w:b w:val="0"/>
                <w:color w:val="auto"/>
                <w:position w:val="0"/>
                <w:sz w:val="24"/>
                <w:szCs w:val="24"/>
                <w:highlight w:val="none"/>
                <w:lang w:val="en-US" w:eastAsia="zh-CN"/>
              </w:rPr>
              <w:t xml:space="preserve">-9</w:t>
            </w:r>
            <w:r>
              <w:rPr>
                <w:rFonts w:hint="eastAsia" w:hAnsi="宋体" w:cs="宋体"/>
                <w:b w:val="0"/>
                <w:color w:val="auto"/>
                <w:position w:val="0"/>
                <w:sz w:val="24"/>
                <w:szCs w:val="24"/>
                <w:highlight w:val="none"/>
              </w:rPr>
              <w:t xml:space="preserve">个</w:t>
            </w:r>
            <w:r>
              <w:rPr>
                <w:rFonts w:hint="eastAsia" w:hAnsi="宋体" w:cs="宋体"/>
                <w:b w:val="0"/>
                <w:color w:val="auto"/>
                <w:position w:val="0"/>
                <w:sz w:val="24"/>
                <w:szCs w:val="24"/>
                <w:highlight w:val="none"/>
                <w:lang w:val="en-US" w:eastAsia="zh-CN"/>
              </w:rPr>
              <w:t xml:space="preserve">方面</w:t>
            </w:r>
            <w:r>
              <w:rPr>
                <w:rFonts w:hint="eastAsia" w:hAnsi="宋体" w:cs="宋体"/>
                <w:b w:val="0"/>
                <w:color w:val="auto"/>
                <w:position w:val="0"/>
                <w:sz w:val="24"/>
                <w:szCs w:val="24"/>
                <w:highlight w:val="none"/>
              </w:rPr>
              <w:t xml:space="preserve">，得1分；其他不得分。（12个</w:t>
            </w:r>
            <w:r>
              <w:rPr>
                <w:rFonts w:hint="eastAsia" w:hAnsi="宋体" w:cs="宋体"/>
                <w:b w:val="0"/>
                <w:color w:val="auto"/>
                <w:position w:val="0"/>
                <w:sz w:val="24"/>
                <w:szCs w:val="24"/>
                <w:highlight w:val="none"/>
                <w:lang w:val="en-US" w:eastAsia="zh-CN"/>
              </w:rPr>
              <w:t xml:space="preserve">方面</w:t>
            </w:r>
            <w:r>
              <w:rPr>
                <w:rFonts w:hint="eastAsia" w:hAnsi="宋体" w:cs="宋体"/>
                <w:b w:val="0"/>
                <w:color w:val="auto"/>
                <w:position w:val="0"/>
                <w:sz w:val="24"/>
                <w:szCs w:val="24"/>
                <w:highlight w:val="none"/>
              </w:rPr>
              <w:t xml:space="preserve">为：抽样管理、人员管理、培训、样品管理、复验、信息报送、保密、回避、检验责任追究、档案管理、食品安全舆情应急检验预案、食品安全风险信息报送等制度）</w:t>
            </w:r>
            <w:r/>
          </w:p>
          <w:p>
            <w:pPr>
              <w:pStyle w:val="771"/>
              <w:ind w:left="0"/>
              <w:keepLines w:val="0"/>
              <w:keepNext w:val="0"/>
              <w:pageBreakBefore w:val="0"/>
              <w:spacing w:line="288" w:lineRule="auto"/>
              <w:rPr>
                <w:rFonts w:hint="eastAsia" w:hAnsi="宋体" w:cs="宋体"/>
                <w:color w:val="auto"/>
                <w:sz w:val="24"/>
                <w:szCs w:val="24"/>
                <w:highlight w:val="none"/>
              </w:rPr>
            </w:pPr>
            <w:r>
              <w:rPr>
                <w:rFonts w:hint="eastAsia" w:hAnsi="宋体" w:cs="宋体"/>
                <w:color w:val="auto"/>
                <w:sz w:val="24"/>
                <w:szCs w:val="24"/>
                <w:highlight w:val="none"/>
              </w:rPr>
              <w:t xml:space="preserve">注：须提供相关有效证明材料。</w:t>
            </w:r>
            <w:r/>
          </w:p>
          <w:p>
            <w:pPr>
              <w:pStyle w:val="771"/>
              <w:numPr>
                <w:ilvl w:val="0"/>
                <w:numId w:val="0"/>
              </w:numPr>
              <w:ind w:left="0"/>
              <w:keepLines w:val="0"/>
              <w:keepNext w:val="0"/>
              <w:pageBreakBefore w:val="0"/>
              <w:spacing w:line="288" w:lineRule="auto"/>
              <w:rPr>
                <w:rFonts w:hint="eastAsia" w:hAnsi="宋体" w:cs="宋体"/>
                <w:b w:val="0"/>
                <w:color w:val="auto"/>
                <w:position w:val="0"/>
                <w:sz w:val="24"/>
                <w:szCs w:val="24"/>
                <w:highlight w:val="none"/>
                <w:lang w:val="en-US" w:eastAsia="zh-CN"/>
              </w:rPr>
            </w:pPr>
            <w:r>
              <w:rPr>
                <w:rFonts w:hint="eastAsia" w:hAnsi="宋体" w:cs="宋体"/>
                <w:b w:val="0"/>
                <w:color w:val="auto"/>
                <w:position w:val="0"/>
                <w:sz w:val="24"/>
                <w:szCs w:val="24"/>
                <w:highlight w:val="none"/>
                <w:lang w:val="en-US" w:eastAsia="zh-CN"/>
              </w:rPr>
              <w:t xml:space="preserve">2、</w:t>
            </w:r>
            <w:r>
              <w:rPr>
                <w:rFonts w:hint="eastAsia" w:hAnsi="宋体" w:cs="宋体"/>
                <w:b w:val="0"/>
                <w:color w:val="auto"/>
                <w:position w:val="0"/>
                <w:sz w:val="24"/>
                <w:szCs w:val="24"/>
                <w:highlight w:val="none"/>
              </w:rPr>
              <w:t xml:space="preserve">对管理制度落实和</w:t>
            </w:r>
            <w:r>
              <w:rPr>
                <w:rFonts w:hint="eastAsia" w:hAnsi="宋体" w:cs="宋体"/>
                <w:b w:val="0"/>
                <w:color w:val="auto"/>
                <w:position w:val="0"/>
                <w:sz w:val="24"/>
                <w:szCs w:val="24"/>
                <w:highlight w:val="none"/>
                <w:lang w:val="en-US" w:eastAsia="zh-CN"/>
              </w:rPr>
              <w:t xml:space="preserve">工作</w:t>
            </w:r>
            <w:r>
              <w:rPr>
                <w:rFonts w:hint="eastAsia" w:hAnsi="宋体" w:cs="宋体"/>
                <w:b w:val="0"/>
                <w:color w:val="auto"/>
                <w:position w:val="0"/>
                <w:sz w:val="24"/>
                <w:szCs w:val="24"/>
                <w:highlight w:val="none"/>
              </w:rPr>
              <w:t xml:space="preserve">执行情况</w:t>
            </w:r>
            <w:r>
              <w:rPr>
                <w:rFonts w:hint="eastAsia" w:hAnsi="宋体" w:cs="宋体"/>
                <w:b w:val="0"/>
                <w:color w:val="auto"/>
                <w:position w:val="0"/>
                <w:sz w:val="24"/>
                <w:szCs w:val="24"/>
                <w:highlight w:val="none"/>
                <w:lang w:val="en-US" w:eastAsia="zh-CN"/>
              </w:rPr>
              <w:t xml:space="preserve">进行打分</w:t>
            </w:r>
            <w:r/>
          </w:p>
          <w:p>
            <w:pPr>
              <w:pStyle w:val="771"/>
              <w:numPr>
                <w:ilvl w:val="0"/>
                <w:numId w:val="0"/>
              </w:numPr>
              <w:ind w:left="0"/>
              <w:keepLines w:val="0"/>
              <w:keepNext w:val="0"/>
              <w:pageBreakBefore w:val="0"/>
              <w:spacing w:line="288" w:lineRule="auto"/>
              <w:rPr>
                <w:rFonts w:hint="eastAsia" w:hAnsi="宋体" w:eastAsia="宋体" w:cs="宋体"/>
                <w:b w:val="0"/>
                <w:color w:val="auto"/>
                <w:position w:val="0"/>
                <w:sz w:val="24"/>
                <w:szCs w:val="24"/>
                <w:highlight w:val="none"/>
                <w:lang w:eastAsia="zh-CN"/>
              </w:rPr>
            </w:pPr>
            <w:r>
              <w:rPr>
                <w:rFonts w:hint="eastAsia" w:hAnsi="宋体" w:cs="宋体"/>
                <w:b w:val="0"/>
                <w:color w:val="auto"/>
                <w:position w:val="0"/>
                <w:sz w:val="24"/>
                <w:szCs w:val="24"/>
                <w:highlight w:val="none"/>
              </w:rPr>
              <w:t xml:space="preserve">管理制度落实和</w:t>
            </w:r>
            <w:r>
              <w:rPr>
                <w:rFonts w:hint="eastAsia" w:hAnsi="宋体" w:cs="宋体"/>
                <w:b w:val="0"/>
                <w:color w:val="auto"/>
                <w:position w:val="0"/>
                <w:sz w:val="24"/>
                <w:szCs w:val="24"/>
                <w:highlight w:val="none"/>
                <w:lang w:val="en-US" w:eastAsia="zh-CN"/>
              </w:rPr>
              <w:t xml:space="preserve">工作</w:t>
            </w:r>
            <w:r>
              <w:rPr>
                <w:rFonts w:hint="eastAsia" w:hAnsi="宋体" w:cs="宋体"/>
                <w:b w:val="0"/>
                <w:color w:val="auto"/>
                <w:position w:val="0"/>
                <w:sz w:val="24"/>
                <w:szCs w:val="24"/>
                <w:highlight w:val="none"/>
              </w:rPr>
              <w:t xml:space="preserve">执行情况包括但不限于管理制度执行情况，工作执行情况，工作质量通报情况</w:t>
            </w:r>
            <w:r>
              <w:rPr>
                <w:rFonts w:hint="eastAsia" w:hAnsi="宋体" w:cs="宋体"/>
                <w:b w:val="0"/>
                <w:color w:val="auto"/>
                <w:position w:val="0"/>
                <w:sz w:val="24"/>
                <w:szCs w:val="24"/>
                <w:highlight w:val="none"/>
                <w:lang w:eastAsia="zh-CN"/>
              </w:rPr>
              <w:t xml:space="preserve">。</w:t>
            </w:r>
            <w:r/>
          </w:p>
          <w:p>
            <w:pPr>
              <w:pStyle w:val="771"/>
              <w:numPr>
                <w:ilvl w:val="0"/>
                <w:numId w:val="0"/>
              </w:numPr>
              <w:keepLines w:val="0"/>
              <w:keepNext w:val="0"/>
              <w:pageBreakBefore w:val="0"/>
              <w:spacing w:line="288" w:lineRule="auto"/>
              <w:rPr>
                <w:rFonts w:hint="eastAsia" w:hAnsi="宋体" w:cs="宋体"/>
                <w:b w:val="0"/>
                <w:color w:val="auto"/>
                <w:position w:val="0"/>
                <w:sz w:val="24"/>
                <w:szCs w:val="24"/>
                <w:highlight w:val="none"/>
              </w:rPr>
            </w:pPr>
            <w:r>
              <w:rPr>
                <w:rFonts w:hint="eastAsia" w:hAnsi="宋体" w:cs="宋体"/>
                <w:b w:val="0"/>
                <w:color w:val="auto"/>
                <w:position w:val="0"/>
                <w:sz w:val="24"/>
                <w:szCs w:val="24"/>
                <w:highlight w:val="none"/>
              </w:rPr>
              <w:t xml:space="preserve">（1）管理制度内容齐全、与现行法律法规一致，工作执行情况好，</w:t>
            </w:r>
            <w:r>
              <w:rPr>
                <w:rFonts w:hint="eastAsia" w:hAnsi="宋体" w:cs="宋体"/>
                <w:b w:val="0"/>
                <w:color w:val="auto"/>
                <w:position w:val="0"/>
                <w:sz w:val="24"/>
                <w:szCs w:val="24"/>
                <w:highlight w:val="none"/>
                <w:lang w:val="en-US" w:eastAsia="zh-CN"/>
              </w:rPr>
              <w:t xml:space="preserve">完全</w:t>
            </w:r>
            <w:r>
              <w:rPr>
                <w:rFonts w:hint="eastAsia" w:ascii="宋体" w:hAnsi="宋体" w:eastAsia="宋体" w:cs="宋体"/>
                <w:b w:val="0"/>
                <w:color w:val="auto"/>
                <w:position w:val="0"/>
                <w:sz w:val="24"/>
                <w:szCs w:val="24"/>
                <w:highlight w:val="none"/>
              </w:rPr>
              <w:t xml:space="preserve">落实相关管理制度</w:t>
            </w:r>
            <w:r>
              <w:rPr>
                <w:rFonts w:hint="eastAsia" w:hAnsi="宋体" w:cs="宋体"/>
                <w:b w:val="0"/>
                <w:color w:val="auto"/>
                <w:position w:val="0"/>
                <w:sz w:val="24"/>
                <w:szCs w:val="24"/>
                <w:highlight w:val="none"/>
                <w:lang w:eastAsia="zh-CN"/>
              </w:rPr>
              <w:t xml:space="preserve">，</w:t>
            </w:r>
            <w:r>
              <w:rPr>
                <w:rFonts w:hint="eastAsia" w:hAnsi="宋体" w:cs="宋体"/>
                <w:b w:val="0"/>
                <w:color w:val="auto"/>
                <w:position w:val="0"/>
                <w:sz w:val="24"/>
                <w:szCs w:val="24"/>
                <w:highlight w:val="none"/>
              </w:rPr>
              <w:t xml:space="preserve">得 </w:t>
            </w:r>
            <w:r>
              <w:rPr>
                <w:rFonts w:hint="eastAsia" w:hAnsi="宋体" w:cs="宋体"/>
                <w:b w:val="0"/>
                <w:color w:val="auto"/>
                <w:position w:val="0"/>
                <w:sz w:val="24"/>
                <w:szCs w:val="24"/>
                <w:highlight w:val="none"/>
                <w:lang w:val="en-US" w:eastAsia="zh-CN"/>
              </w:rPr>
              <w:t xml:space="preserve">5</w:t>
            </w:r>
            <w:r>
              <w:rPr>
                <w:rFonts w:hint="eastAsia" w:hAnsi="宋体" w:cs="宋体"/>
                <w:b w:val="0"/>
                <w:color w:val="auto"/>
                <w:position w:val="0"/>
                <w:sz w:val="24"/>
                <w:szCs w:val="24"/>
                <w:highlight w:val="none"/>
              </w:rPr>
              <w:t xml:space="preserve"> 分；</w:t>
            </w:r>
            <w:r/>
          </w:p>
          <w:p>
            <w:pPr>
              <w:pStyle w:val="771"/>
              <w:numPr>
                <w:ilvl w:val="0"/>
                <w:numId w:val="0"/>
              </w:numPr>
              <w:keepLines w:val="0"/>
              <w:keepNext w:val="0"/>
              <w:pageBreakBefore w:val="0"/>
              <w:spacing w:line="288" w:lineRule="auto"/>
              <w:rPr>
                <w:rFonts w:hint="eastAsia" w:hAnsi="宋体" w:cs="宋体"/>
                <w:b w:val="0"/>
                <w:color w:val="auto"/>
                <w:position w:val="0"/>
                <w:sz w:val="24"/>
                <w:szCs w:val="24"/>
                <w:highlight w:val="none"/>
              </w:rPr>
            </w:pPr>
            <w:r>
              <w:rPr>
                <w:rFonts w:hint="eastAsia" w:hAnsi="宋体" w:cs="宋体"/>
                <w:b w:val="0"/>
                <w:color w:val="auto"/>
                <w:position w:val="0"/>
                <w:sz w:val="24"/>
                <w:szCs w:val="24"/>
                <w:highlight w:val="none"/>
              </w:rPr>
              <w:t xml:space="preserve">（2）管理制度内容较齐全，与现行法律法规较一致，工作执行情况</w:t>
            </w:r>
            <w:r>
              <w:rPr>
                <w:rFonts w:hint="eastAsia" w:hAnsi="宋体" w:cs="宋体"/>
                <w:b w:val="0"/>
                <w:color w:val="auto"/>
                <w:position w:val="0"/>
                <w:sz w:val="24"/>
                <w:szCs w:val="24"/>
                <w:highlight w:val="none"/>
                <w:lang w:val="en-US" w:eastAsia="zh-CN"/>
              </w:rPr>
              <w:t xml:space="preserve">较</w:t>
            </w:r>
            <w:r>
              <w:rPr>
                <w:rFonts w:hint="eastAsia" w:hAnsi="宋体" w:cs="宋体"/>
                <w:b w:val="0"/>
                <w:color w:val="auto"/>
                <w:position w:val="0"/>
                <w:sz w:val="24"/>
                <w:szCs w:val="24"/>
                <w:highlight w:val="none"/>
              </w:rPr>
              <w:t xml:space="preserve">好，</w:t>
            </w:r>
            <w:r>
              <w:rPr>
                <w:rFonts w:hint="eastAsia" w:hAnsi="宋体" w:cs="宋体"/>
                <w:b w:val="0"/>
                <w:color w:val="auto"/>
                <w:position w:val="0"/>
                <w:sz w:val="24"/>
                <w:szCs w:val="24"/>
                <w:highlight w:val="none"/>
                <w:lang w:val="en-US" w:eastAsia="zh-CN"/>
              </w:rPr>
              <w:t xml:space="preserve">较好落实相关管理制度</w:t>
            </w:r>
            <w:r>
              <w:rPr>
                <w:rFonts w:hint="eastAsia" w:hAnsi="宋体" w:cs="宋体"/>
                <w:b w:val="0"/>
                <w:color w:val="auto"/>
                <w:position w:val="0"/>
                <w:sz w:val="24"/>
                <w:szCs w:val="24"/>
                <w:highlight w:val="none"/>
                <w:lang w:eastAsia="zh-CN"/>
              </w:rPr>
              <w:t xml:space="preserve">，</w:t>
            </w:r>
            <w:r>
              <w:rPr>
                <w:rFonts w:hint="eastAsia" w:hAnsi="宋体" w:cs="宋体"/>
                <w:b w:val="0"/>
                <w:color w:val="auto"/>
                <w:position w:val="0"/>
                <w:sz w:val="24"/>
                <w:szCs w:val="24"/>
                <w:highlight w:val="none"/>
              </w:rPr>
              <w:t xml:space="preserve">得 </w:t>
            </w:r>
            <w:r>
              <w:rPr>
                <w:rFonts w:hint="eastAsia" w:hAnsi="宋体" w:cs="宋体"/>
                <w:b w:val="0"/>
                <w:color w:val="auto"/>
                <w:position w:val="0"/>
                <w:sz w:val="24"/>
                <w:szCs w:val="24"/>
                <w:highlight w:val="none"/>
                <w:lang w:val="en-US" w:eastAsia="zh-CN"/>
              </w:rPr>
              <w:t xml:space="preserve">3</w:t>
            </w:r>
            <w:r>
              <w:rPr>
                <w:rFonts w:hint="eastAsia" w:hAnsi="宋体" w:cs="宋体"/>
                <w:b w:val="0"/>
                <w:color w:val="auto"/>
                <w:position w:val="0"/>
                <w:sz w:val="24"/>
                <w:szCs w:val="24"/>
                <w:highlight w:val="none"/>
              </w:rPr>
              <w:t xml:space="preserve"> 分；</w:t>
            </w:r>
            <w:r/>
          </w:p>
          <w:p>
            <w:pPr>
              <w:pStyle w:val="771"/>
              <w:numPr>
                <w:ilvl w:val="0"/>
                <w:numId w:val="0"/>
              </w:numPr>
              <w:keepLines w:val="0"/>
              <w:keepNext w:val="0"/>
              <w:pageBreakBefore w:val="0"/>
              <w:spacing w:line="288" w:lineRule="auto"/>
              <w:rPr>
                <w:rFonts w:hint="default" w:hAnsi="宋体" w:eastAsia="宋体" w:cs="宋体"/>
                <w:b w:val="0"/>
                <w:color w:val="auto"/>
                <w:position w:val="0"/>
                <w:sz w:val="24"/>
                <w:szCs w:val="24"/>
                <w:highlight w:val="none"/>
                <w:lang w:val="en-US" w:eastAsia="zh-CN"/>
              </w:rPr>
            </w:pPr>
            <w:r>
              <w:rPr>
                <w:rFonts w:hint="eastAsia" w:hAnsi="宋体" w:cs="宋体"/>
                <w:b w:val="0"/>
                <w:color w:val="auto"/>
                <w:position w:val="0"/>
                <w:sz w:val="24"/>
                <w:szCs w:val="24"/>
                <w:highlight w:val="none"/>
              </w:rPr>
              <w:t xml:space="preserve">（3）管理制度内容</w:t>
            </w:r>
            <w:r>
              <w:rPr>
                <w:rFonts w:hint="eastAsia" w:hAnsi="宋体" w:cs="宋体"/>
                <w:b w:val="0"/>
                <w:color w:val="auto"/>
                <w:position w:val="0"/>
                <w:sz w:val="24"/>
                <w:szCs w:val="24"/>
                <w:highlight w:val="none"/>
                <w:lang w:val="en-US" w:eastAsia="zh-CN"/>
              </w:rPr>
              <w:t xml:space="preserve">基本</w:t>
            </w:r>
            <w:r>
              <w:rPr>
                <w:rFonts w:hint="eastAsia" w:ascii="宋体" w:hAnsi="宋体" w:eastAsia="宋体" w:cs="宋体"/>
                <w:b w:val="0"/>
                <w:color w:val="auto"/>
                <w:position w:val="0"/>
                <w:sz w:val="24"/>
                <w:szCs w:val="24"/>
                <w:highlight w:val="none"/>
              </w:rPr>
              <w:t xml:space="preserve">齐全</w:t>
            </w:r>
            <w:r>
              <w:rPr>
                <w:rFonts w:hint="eastAsia" w:hAnsi="宋体" w:cs="宋体"/>
                <w:b w:val="0"/>
                <w:color w:val="auto"/>
                <w:position w:val="0"/>
                <w:sz w:val="24"/>
                <w:szCs w:val="24"/>
                <w:highlight w:val="none"/>
              </w:rPr>
              <w:t xml:space="preserve">，与现行法律法规</w:t>
            </w:r>
            <w:r>
              <w:rPr>
                <w:rFonts w:hint="eastAsia" w:hAnsi="宋体" w:cs="宋体"/>
                <w:b w:val="0"/>
                <w:color w:val="auto"/>
                <w:position w:val="0"/>
                <w:sz w:val="24"/>
                <w:szCs w:val="24"/>
                <w:highlight w:val="none"/>
                <w:lang w:val="en-US" w:eastAsia="zh-CN"/>
              </w:rPr>
              <w:t xml:space="preserve">基本</w:t>
            </w:r>
            <w:r>
              <w:rPr>
                <w:rFonts w:hint="eastAsia" w:hAnsi="宋体" w:cs="宋体"/>
                <w:b w:val="0"/>
                <w:color w:val="auto"/>
                <w:position w:val="0"/>
                <w:sz w:val="24"/>
                <w:szCs w:val="24"/>
                <w:highlight w:val="none"/>
              </w:rPr>
              <w:t xml:space="preserve">一致</w:t>
            </w:r>
            <w:r>
              <w:rPr>
                <w:rFonts w:hint="eastAsia" w:hAnsi="宋体" w:cs="宋体"/>
                <w:b w:val="0"/>
                <w:color w:val="auto"/>
                <w:position w:val="0"/>
                <w:sz w:val="24"/>
                <w:szCs w:val="24"/>
                <w:highlight w:val="none"/>
                <w:lang w:eastAsia="zh-CN"/>
              </w:rPr>
              <w:t xml:space="preserve">，</w:t>
            </w:r>
            <w:r>
              <w:rPr>
                <w:rFonts w:hint="eastAsia" w:hAnsi="宋体" w:cs="宋体"/>
                <w:b w:val="0"/>
                <w:color w:val="auto"/>
                <w:position w:val="0"/>
                <w:sz w:val="24"/>
                <w:szCs w:val="24"/>
                <w:highlight w:val="none"/>
              </w:rPr>
              <w:t xml:space="preserve">工作</w:t>
            </w:r>
            <w:r>
              <w:rPr>
                <w:rFonts w:hint="eastAsia" w:hAnsi="宋体" w:cs="宋体"/>
                <w:b w:val="0"/>
                <w:color w:val="auto"/>
                <w:position w:val="0"/>
                <w:sz w:val="24"/>
                <w:szCs w:val="24"/>
                <w:highlight w:val="none"/>
                <w:lang w:val="en-US" w:eastAsia="zh-CN"/>
              </w:rPr>
              <w:t xml:space="preserve">执行情况一般，基本</w:t>
            </w:r>
            <w:r>
              <w:rPr>
                <w:rFonts w:hint="eastAsia" w:hAnsi="宋体" w:cs="宋体"/>
                <w:b w:val="0"/>
                <w:color w:val="auto"/>
                <w:position w:val="0"/>
                <w:sz w:val="24"/>
                <w:szCs w:val="24"/>
                <w:highlight w:val="none"/>
              </w:rPr>
              <w:t xml:space="preserve">落实相关管理制度</w:t>
            </w:r>
            <w:r>
              <w:rPr>
                <w:rFonts w:hint="eastAsia" w:hAnsi="宋体" w:cs="宋体"/>
                <w:b w:val="0"/>
                <w:color w:val="auto"/>
                <w:position w:val="0"/>
                <w:sz w:val="24"/>
                <w:szCs w:val="24"/>
                <w:highlight w:val="none"/>
                <w:lang w:eastAsia="zh-CN"/>
              </w:rPr>
              <w:t xml:space="preserve">，</w:t>
            </w:r>
            <w:r>
              <w:rPr>
                <w:rFonts w:hint="eastAsia" w:hAnsi="宋体" w:cs="宋体"/>
                <w:b w:val="0"/>
                <w:color w:val="auto"/>
                <w:position w:val="0"/>
                <w:sz w:val="24"/>
                <w:szCs w:val="24"/>
                <w:highlight w:val="none"/>
                <w:lang w:val="en-US" w:eastAsia="zh-CN"/>
              </w:rPr>
              <w:t xml:space="preserve">得 1 分；</w:t>
            </w:r>
            <w:r/>
          </w:p>
          <w:p>
            <w:pPr>
              <w:jc w:val="left"/>
              <w:keepLines w:val="0"/>
              <w:keepNext w:val="0"/>
              <w:pageBreakBefore w:val="0"/>
              <w:spacing w:line="288" w:lineRule="auto"/>
              <w:rPr>
                <w:rFonts w:hint="eastAsia" w:ascii="宋体" w:hAnsi="宋体" w:eastAsia="宋体" w:cs="宋体"/>
                <w:color w:val="auto"/>
                <w:sz w:val="24"/>
                <w:szCs w:val="24"/>
                <w:highlight w:val="none"/>
                <w:lang w:val="en-US" w:eastAsia="zh-CN" w:bidi="ar-SA"/>
              </w:rPr>
            </w:pPr>
            <w:r>
              <w:rPr>
                <w:rFonts w:hint="eastAsia" w:ascii="Times New Roman" w:hAnsi="宋体" w:eastAsia="宋体" w:cs="宋体"/>
                <w:b w:val="0"/>
                <w:color w:val="auto"/>
                <w:position w:val="0"/>
                <w:sz w:val="24"/>
                <w:szCs w:val="24"/>
                <w:highlight w:val="none"/>
              </w:rPr>
              <w:t xml:space="preserve">（</w:t>
            </w:r>
            <w:r>
              <w:rPr>
                <w:rFonts w:hint="eastAsia" w:ascii="Times New Roman" w:hAnsi="宋体" w:eastAsia="宋体" w:cs="宋体"/>
                <w:b w:val="0"/>
                <w:color w:val="auto"/>
                <w:position w:val="0"/>
                <w:sz w:val="24"/>
                <w:szCs w:val="24"/>
                <w:highlight w:val="none"/>
                <w:lang w:val="en-US" w:eastAsia="zh-CN"/>
              </w:rPr>
              <w:t xml:space="preserve">4</w:t>
            </w:r>
            <w:r>
              <w:rPr>
                <w:rFonts w:hint="eastAsia" w:ascii="Times New Roman" w:hAnsi="宋体" w:eastAsia="宋体" w:cs="宋体"/>
                <w:b w:val="0"/>
                <w:color w:val="auto"/>
                <w:position w:val="0"/>
                <w:sz w:val="24"/>
                <w:szCs w:val="24"/>
                <w:highlight w:val="none"/>
              </w:rPr>
              <w:t xml:space="preserve">）</w:t>
            </w:r>
            <w:r>
              <w:rPr>
                <w:rFonts w:hint="eastAsia" w:ascii="Times New Roman" w:hAnsi="宋体" w:eastAsia="宋体" w:cs="宋体"/>
                <w:b w:val="0"/>
                <w:color w:val="auto"/>
                <w:position w:val="0"/>
                <w:sz w:val="24"/>
                <w:szCs w:val="24"/>
                <w:highlight w:val="none"/>
                <w:lang w:val="en-US" w:eastAsia="zh-CN"/>
              </w:rPr>
              <w:t xml:space="preserve">未提供</w:t>
            </w:r>
            <w:r>
              <w:rPr>
                <w:rFonts w:hint="eastAsia" w:ascii="Times New Roman" w:hAnsi="宋体" w:eastAsia="宋体" w:cs="宋体"/>
                <w:b w:val="0"/>
                <w:color w:val="auto"/>
                <w:position w:val="0"/>
                <w:sz w:val="24"/>
                <w:szCs w:val="24"/>
                <w:highlight w:val="none"/>
              </w:rPr>
              <w:t xml:space="preserve">管理制度落实和</w:t>
            </w:r>
            <w:r>
              <w:rPr>
                <w:rFonts w:hint="eastAsia" w:ascii="Times New Roman" w:hAnsi="宋体" w:eastAsia="宋体" w:cs="宋体"/>
                <w:b w:val="0"/>
                <w:color w:val="auto"/>
                <w:position w:val="0"/>
                <w:sz w:val="24"/>
                <w:szCs w:val="24"/>
                <w:highlight w:val="none"/>
                <w:lang w:val="en-US" w:eastAsia="zh-CN"/>
              </w:rPr>
              <w:t xml:space="preserve">工作</w:t>
            </w:r>
            <w:r>
              <w:rPr>
                <w:rFonts w:hint="eastAsia" w:ascii="Times New Roman" w:hAnsi="宋体" w:eastAsia="宋体" w:cs="宋体"/>
                <w:b w:val="0"/>
                <w:color w:val="auto"/>
                <w:position w:val="0"/>
                <w:sz w:val="24"/>
                <w:szCs w:val="24"/>
                <w:highlight w:val="none"/>
              </w:rPr>
              <w:t xml:space="preserve">执行情况或在上一年度在承担食品安全抽检任务中，有因工作质量问题被通报的情况的不得分。</w:t>
            </w:r>
            <w:r/>
          </w:p>
        </w:tc>
      </w:tr>
      <w:tr>
        <w:trPr>
          <w:trHeight w:val="0"/>
        </w:trPr>
        <w:tc>
          <w:tcPr>
            <w:shd w:val="clear" w:color="auto" w:fill="ffffff"/>
            <w:tcW w:w="1995" w:type="dxa"/>
            <w:vAlign w:val="center"/>
            <w:textDirection w:val="lrTb"/>
            <w:noWrap w:val="false"/>
          </w:tcPr>
          <w:p>
            <w:pPr>
              <w:ind w:left="108"/>
              <w:jc w:val="center"/>
              <w:spacing w:line="400" w:lineRule="exact"/>
              <w:widowControl w:val="off"/>
              <w:rPr>
                <w:rFonts w:hint="default" w:ascii="宋体" w:hAnsi="宋体" w:eastAsia="宋体" w:cs="宋体"/>
                <w:b/>
                <w:color w:val="auto"/>
                <w:sz w:val="24"/>
                <w:szCs w:val="24"/>
                <w:highlight w:val="none"/>
                <w:lang w:val="en-US" w:eastAsia="zh-CN" w:bidi="ar-SA"/>
              </w:rPr>
            </w:pPr>
            <w:r>
              <w:rPr>
                <w:rFonts w:hint="eastAsia" w:ascii="Times New Roman" w:hAnsi="Times New Roman" w:eastAsia="宋体" w:cs="宋体"/>
                <w:color w:val="auto"/>
                <w:spacing w:val="-3"/>
                <w:sz w:val="24"/>
                <w:szCs w:val="24"/>
                <w:highlight w:val="none"/>
                <w:lang w:val="en-US" w:eastAsia="zh-CN" w:bidi="ar-SA"/>
              </w:rPr>
              <w:t xml:space="preserve">投标人业绩（4分）</w:t>
            </w:r>
            <w:r/>
          </w:p>
        </w:tc>
        <w:tc>
          <w:tcPr>
            <w:shd w:val="clear" w:color="auto" w:fill="ffffff"/>
            <w:tcW w:w="7635" w:type="dxa"/>
            <w:vAlign w:val="center"/>
            <w:textDirection w:val="lrTb"/>
            <w:noWrap w:val="false"/>
          </w:tcPr>
          <w:p>
            <w:pPr>
              <w:keepLines w:val="0"/>
              <w:keepNext w:val="0"/>
              <w:pageBreakBefore w:val="0"/>
              <w:spacing w:before="0" w:after="0" w:line="288" w:lineRule="auto"/>
              <w:rPr>
                <w:rFonts w:hint="default" w:ascii="宋体" w:hAnsi="宋体" w:eastAsia="宋体" w:cs="宋体"/>
                <w:color w:val="auto"/>
                <w:spacing w:val="-3"/>
                <w:sz w:val="24"/>
                <w:szCs w:val="24"/>
                <w:highlight w:val="none"/>
                <w:lang w:val="zh-CN" w:bidi="zh-CN"/>
              </w:rPr>
            </w:pPr>
            <w:r>
              <w:rPr>
                <w:rFonts w:hint="eastAsia" w:ascii="宋体" w:hAnsi="宋体" w:eastAsia="宋体" w:cs="宋体"/>
                <w:color w:val="auto"/>
                <w:spacing w:val="-3"/>
                <w:sz w:val="24"/>
                <w:szCs w:val="24"/>
                <w:highlight w:val="none"/>
                <w:lang w:bidi="zh-CN"/>
              </w:rPr>
              <w:t xml:space="preserve">投标文件中提供投标人为乙方(卖方) ，合同签订日期在</w:t>
            </w:r>
            <w:r>
              <w:rPr>
                <w:rFonts w:hint="eastAsia" w:ascii="宋体" w:hAnsi="宋体" w:eastAsia="宋体" w:cs="宋体"/>
                <w:color w:val="auto"/>
                <w:spacing w:val="-3"/>
                <w:sz w:val="24"/>
                <w:szCs w:val="24"/>
                <w:highlight w:val="none"/>
                <w:lang w:bidi="zh-CN"/>
              </w:rPr>
              <w:t xml:space="preserve"> 202</w:t>
            </w:r>
            <w:r>
              <w:rPr>
                <w:rFonts w:hint="eastAsia" w:ascii="宋体" w:hAnsi="宋体" w:eastAsia="宋体" w:cs="宋体"/>
                <w:color w:val="auto"/>
                <w:spacing w:val="-3"/>
                <w:sz w:val="24"/>
                <w:szCs w:val="24"/>
                <w:highlight w:val="none"/>
                <w:lang w:val="en-US" w:bidi="zh-CN"/>
              </w:rPr>
              <w:t xml:space="preserve">3</w:t>
            </w:r>
            <w:r>
              <w:rPr>
                <w:rFonts w:hint="eastAsia" w:ascii="宋体" w:hAnsi="宋体" w:eastAsia="宋体" w:cs="宋体"/>
                <w:color w:val="auto"/>
                <w:spacing w:val="-3"/>
                <w:sz w:val="24"/>
                <w:szCs w:val="24"/>
                <w:highlight w:val="none"/>
                <w:lang w:val="zh-CN" w:bidi="zh-CN"/>
              </w:rPr>
              <w:t xml:space="preserve">年</w:t>
            </w:r>
            <w:r>
              <w:rPr>
                <w:rFonts w:hint="eastAsia" w:ascii="宋体" w:hAnsi="宋体" w:eastAsia="宋体" w:cs="宋体"/>
                <w:color w:val="auto"/>
                <w:spacing w:val="-3"/>
                <w:sz w:val="24"/>
                <w:szCs w:val="24"/>
                <w:highlight w:val="none"/>
                <w:lang w:val="en-US" w:bidi="zh-CN"/>
              </w:rPr>
              <w:t xml:space="preserve">5</w:t>
            </w:r>
            <w:r>
              <w:rPr>
                <w:rFonts w:hint="eastAsia" w:ascii="宋体" w:hAnsi="宋体" w:eastAsia="宋体" w:cs="宋体"/>
                <w:color w:val="auto"/>
                <w:spacing w:val="-3"/>
                <w:sz w:val="24"/>
                <w:szCs w:val="24"/>
                <w:highlight w:val="none"/>
                <w:lang w:val="zh-CN" w:bidi="zh-CN"/>
              </w:rPr>
              <w:t xml:space="preserve">月1日</w:t>
            </w:r>
            <w:r>
              <w:rPr>
                <w:rFonts w:hint="eastAsia" w:ascii="宋体" w:hAnsi="宋体" w:eastAsia="宋体" w:cs="宋体"/>
                <w:color w:val="auto"/>
                <w:spacing w:val="-3"/>
                <w:sz w:val="24"/>
                <w:szCs w:val="24"/>
                <w:highlight w:val="none"/>
                <w:lang w:val="zh-CN" w:bidi="zh-CN"/>
              </w:rPr>
              <w:t xml:space="preserve">（以合同签订时间为准）至今，投标人承</w:t>
            </w:r>
            <w:r>
              <w:rPr>
                <w:rFonts w:hint="eastAsia" w:ascii="宋体" w:hAnsi="宋体" w:eastAsia="宋体" w:cs="宋体"/>
                <w:color w:val="auto"/>
                <w:spacing w:val="-3"/>
                <w:sz w:val="24"/>
                <w:szCs w:val="24"/>
                <w:highlight w:val="none"/>
                <w:lang w:val="zh-CN" w:bidi="zh-CN"/>
              </w:rPr>
              <w:t xml:space="preserve">担过国家机关组织</w:t>
            </w:r>
            <w:r>
              <w:rPr>
                <w:rFonts w:hint="eastAsia" w:ascii="宋体" w:hAnsi="宋体" w:eastAsia="宋体" w:cs="宋体"/>
                <w:color w:val="auto"/>
                <w:spacing w:val="-3"/>
                <w:sz w:val="24"/>
                <w:szCs w:val="24"/>
                <w:highlight w:val="none"/>
                <w:lang w:val="zh-CN" w:bidi="zh-CN"/>
              </w:rPr>
              <w:t xml:space="preserve">的抽检任务的（</w:t>
            </w:r>
            <w:r>
              <w:rPr>
                <w:rFonts w:hint="eastAsia" w:ascii="宋体" w:hAnsi="宋体" w:eastAsia="宋体" w:cs="宋体"/>
                <w:color w:val="auto"/>
                <w:spacing w:val="-6"/>
                <w:sz w:val="24"/>
                <w:szCs w:val="24"/>
                <w:highlight w:val="none"/>
              </w:rPr>
              <w:t xml:space="preserve">包含监</w:t>
            </w:r>
            <w:r>
              <w:rPr>
                <w:rFonts w:hint="eastAsia" w:ascii="宋体" w:hAnsi="宋体" w:eastAsia="宋体" w:cs="宋体"/>
                <w:color w:val="auto"/>
                <w:spacing w:val="-5"/>
                <w:sz w:val="24"/>
                <w:szCs w:val="24"/>
                <w:highlight w:val="none"/>
              </w:rPr>
              <w:t xml:space="preserve">督抽检、</w:t>
            </w:r>
            <w:r>
              <w:rPr>
                <w:rFonts w:hint="eastAsia" w:ascii="宋体" w:hAnsi="宋体" w:eastAsia="宋体" w:cs="宋体"/>
                <w:color w:val="auto"/>
                <w:sz w:val="24"/>
                <w:szCs w:val="24"/>
                <w:highlight w:val="none"/>
              </w:rPr>
              <w:t xml:space="preserve">风险监</w:t>
            </w:r>
            <w:r>
              <w:rPr>
                <w:rFonts w:hint="eastAsia" w:ascii="宋体" w:hAnsi="宋体" w:eastAsia="宋体" w:cs="宋体"/>
                <w:color w:val="auto"/>
                <w:spacing w:val="-5"/>
                <w:sz w:val="24"/>
                <w:szCs w:val="24"/>
                <w:highlight w:val="none"/>
              </w:rPr>
              <w:t xml:space="preserve">测、评价性抽检、专项抽检</w:t>
            </w:r>
            <w:r>
              <w:rPr>
                <w:rFonts w:hint="eastAsia" w:ascii="宋体" w:hAnsi="宋体" w:eastAsia="宋体" w:cs="宋体"/>
                <w:color w:val="auto"/>
                <w:sz w:val="24"/>
                <w:szCs w:val="24"/>
                <w:highlight w:val="none"/>
              </w:rPr>
              <w:t xml:space="preserve">等</w:t>
            </w:r>
            <w:r>
              <w:rPr>
                <w:rFonts w:hint="eastAsia" w:ascii="宋体" w:hAnsi="宋体" w:eastAsia="宋体" w:cs="宋体"/>
                <w:color w:val="auto"/>
                <w:spacing w:val="-3"/>
                <w:sz w:val="24"/>
                <w:szCs w:val="24"/>
                <w:highlight w:val="none"/>
                <w:lang w:val="zh-CN" w:bidi="zh-CN"/>
              </w:rPr>
              <w:t xml:space="preserve">），合同内容为同类食品安全抽样检测项目相关业绩材料复印件(检测合同或任务委托书等)。每提供一份得 2 分，同一采购人同样业务不同年份的业绩算一份，本项最高得 4 分。</w:t>
            </w:r>
            <w:r/>
          </w:p>
          <w:p>
            <w:pPr>
              <w:jc w:val="both"/>
              <w:keepLines w:val="0"/>
              <w:keepNext w:val="0"/>
              <w:pageBreakBefore w:val="0"/>
              <w:spacing w:line="288" w:lineRule="auto"/>
              <w:widowControl w:val="off"/>
              <w:rPr>
                <w:rFonts w:hint="default" w:ascii="宋体" w:hAnsi="宋体" w:eastAsia="宋体" w:cs="宋体"/>
                <w:b/>
                <w:color w:val="auto"/>
                <w:sz w:val="24"/>
                <w:szCs w:val="24"/>
                <w:highlight w:val="none"/>
                <w:lang w:val="en-US" w:eastAsia="zh-CN" w:bidi="ar-SA"/>
              </w:rPr>
            </w:pPr>
            <w:r>
              <w:rPr>
                <w:rFonts w:hint="eastAsia" w:ascii="宋体" w:hAnsi="宋体" w:eastAsia="宋体" w:cs="宋体"/>
                <w:b/>
                <w:bCs/>
                <w:color w:val="auto"/>
                <w:spacing w:val="-3"/>
                <w:sz w:val="24"/>
                <w:szCs w:val="24"/>
                <w:highlight w:val="none"/>
                <w:lang w:val="zh-CN" w:eastAsia="zh-CN" w:bidi="zh-CN"/>
              </w:rPr>
              <w:t xml:space="preserve">注：</w:t>
            </w:r>
            <w:r>
              <w:rPr>
                <w:rFonts w:hint="eastAsia" w:ascii="宋体" w:hAnsi="宋体" w:eastAsia="宋体" w:cs="宋体"/>
                <w:b/>
                <w:bCs/>
                <w:color w:val="auto"/>
                <w:spacing w:val="-3"/>
                <w:sz w:val="24"/>
                <w:szCs w:val="24"/>
                <w:highlight w:val="none"/>
                <w:lang w:val="en-US" w:eastAsia="zh-CN" w:bidi="ar-SA"/>
              </w:rPr>
              <w:t xml:space="preserve">投标人应提供合同或委托书等证明文件的主要内容页和签字盖章页的扫描件。</w:t>
            </w:r>
            <w:r/>
          </w:p>
        </w:tc>
      </w:tr>
      <w:tr>
        <w:trPr>
          <w:trHeight w:val="0"/>
        </w:trPr>
        <w:tc>
          <w:tcPr>
            <w:shd w:val="clear" w:color="auto" w:fill="ffffff"/>
            <w:tcW w:w="1995" w:type="dxa"/>
            <w:vAlign w:val="center"/>
            <w:textDirection w:val="lrTb"/>
            <w:noWrap w:val="false"/>
          </w:tcPr>
          <w:p>
            <w:pPr>
              <w:ind w:left="108"/>
              <w:jc w:val="center"/>
              <w:spacing w:line="400" w:lineRule="exact"/>
              <w:widowControl w:val="off"/>
              <w:rPr>
                <w:rFonts w:hint="default" w:ascii="Times New Roman" w:hAnsi="Times New Roman" w:eastAsia="宋体" w:cs="宋体"/>
                <w:color w:val="auto"/>
                <w:spacing w:val="-5"/>
                <w:sz w:val="24"/>
                <w:szCs w:val="24"/>
                <w:highlight w:val="none"/>
                <w:lang w:val="en-US" w:eastAsia="zh-CN" w:bidi="ar-SA"/>
              </w:rPr>
            </w:pPr>
            <w:r>
              <w:rPr>
                <w:rFonts w:hint="eastAsia" w:ascii="Times New Roman" w:hAnsi="Times New Roman" w:eastAsia="宋体" w:cs="宋体"/>
                <w:color w:val="auto"/>
                <w:spacing w:val="-5"/>
                <w:sz w:val="24"/>
                <w:szCs w:val="24"/>
                <w:highlight w:val="none"/>
                <w:lang w:val="en-US" w:eastAsia="zh-CN" w:bidi="ar-SA"/>
              </w:rPr>
              <w:t xml:space="preserve">承担任务考核情况（3分）</w:t>
            </w:r>
            <w:r/>
          </w:p>
        </w:tc>
        <w:tc>
          <w:tcPr>
            <w:shd w:val="clear" w:color="auto" w:fill="ffffff"/>
            <w:tcW w:w="7635" w:type="dxa"/>
            <w:vAlign w:val="center"/>
            <w:textDirection w:val="lrTb"/>
            <w:noWrap w:val="false"/>
          </w:tcPr>
          <w:p>
            <w:pPr>
              <w:ind w:left="108"/>
              <w:jc w:val="both"/>
              <w:keepLines w:val="0"/>
              <w:keepNext w:val="0"/>
              <w:pageBreakBefore w:val="0"/>
              <w:spacing w:line="288" w:lineRule="auto"/>
              <w:widowControl w:val="off"/>
              <w:rPr>
                <w:rFonts w:hint="default" w:ascii="Times New Roman" w:hAnsi="Times New Roman" w:eastAsia="宋体" w:cs="宋体"/>
                <w:color w:val="auto"/>
                <w:spacing w:val="-3"/>
                <w:sz w:val="24"/>
                <w:szCs w:val="24"/>
                <w:highlight w:val="none"/>
                <w:lang w:val="en-US" w:eastAsia="zh-CN" w:bidi="ar-SA"/>
              </w:rPr>
            </w:pPr>
            <w:r>
              <w:rPr>
                <w:rFonts w:hint="eastAsia" w:ascii="Times New Roman" w:hAnsi="Times New Roman" w:eastAsia="宋体" w:cs="宋体"/>
                <w:color w:val="auto"/>
                <w:spacing w:val="-3"/>
                <w:sz w:val="24"/>
                <w:szCs w:val="24"/>
                <w:highlight w:val="none"/>
                <w:lang w:val="en-US" w:eastAsia="zh-CN" w:bidi="ar-SA"/>
              </w:rPr>
              <w:t xml:space="preserve">2025年1月1日以来，承担普通食品和食用农产品抽检任务的机构考核90分以上的，得3分；80-90分（含90分）得2分；70-80分（含80分）得1分，70分及以下不得分。</w:t>
            </w:r>
            <w:r/>
          </w:p>
        </w:tc>
      </w:tr>
      <w:tr>
        <w:trPr>
          <w:trHeight w:val="0"/>
        </w:trPr>
        <w:tc>
          <w:tcPr>
            <w:shd w:val="clear" w:color="auto" w:fill="ffffff"/>
            <w:tcW w:w="1995" w:type="dxa"/>
            <w:vAlign w:val="center"/>
            <w:textDirection w:val="lrTb"/>
            <w:noWrap w:val="false"/>
          </w:tcPr>
          <w:p>
            <w:pPr>
              <w:ind w:left="108"/>
              <w:jc w:val="center"/>
              <w:spacing w:line="400" w:lineRule="exact"/>
              <w:widowControl w:val="off"/>
              <w:rPr>
                <w:rFonts w:hint="default" w:ascii="Times New Roman" w:hAnsi="Times New Roman" w:eastAsia="宋体" w:cs="宋体"/>
                <w:color w:val="auto"/>
                <w:spacing w:val="-3"/>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综合覆盖率专业类产品检测能力（4分）</w:t>
            </w:r>
            <w:r/>
          </w:p>
        </w:tc>
        <w:tc>
          <w:tcPr>
            <w:shd w:val="clear" w:color="auto" w:fill="ffffff"/>
            <w:tcW w:w="7635" w:type="dxa"/>
            <w:vAlign w:val="center"/>
            <w:textDirection w:val="lrTb"/>
            <w:noWrap w:val="false"/>
          </w:tcPr>
          <w:p>
            <w:pPr>
              <w:jc w:val="both"/>
              <w:keepLines w:val="0"/>
              <w:keepNext w:val="0"/>
              <w:pageBreakBefore w:val="0"/>
              <w:spacing w:line="288" w:lineRule="auto"/>
              <w:widowControl w:val="off"/>
              <w:rPr>
                <w:rFonts w:hint="default" w:ascii="宋体" w:hAnsi="宋体" w:eastAsia="宋体" w:cs="宋体"/>
                <w:color w:val="auto"/>
                <w:sz w:val="24"/>
                <w:szCs w:val="24"/>
                <w:highlight w:val="none"/>
                <w:shd w:val="clear" w:color="ffffff" w:fill="d9d9d9"/>
                <w:lang w:val="en-US" w:eastAsia="zh-CN" w:bidi="ar-SA"/>
              </w:rPr>
            </w:pPr>
            <w:r>
              <w:rPr>
                <w:rFonts w:hint="eastAsia" w:ascii="宋体" w:hAnsi="宋体" w:eastAsia="宋体" w:cs="宋体"/>
                <w:color w:val="auto"/>
                <w:sz w:val="24"/>
                <w:szCs w:val="24"/>
                <w:highlight w:val="none"/>
                <w:lang w:val="en-US" w:eastAsia="zh-CN" w:bidi="ar-SA"/>
              </w:rPr>
              <w:t xml:space="preserve">投标人具有与承检任务相适应的综合覆盖率</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检测品种、检测项目。《国家食品安全监督抽检实施细</w:t>
            </w:r>
            <w:r>
              <w:rPr>
                <w:rFonts w:hint="eastAsia" w:ascii="宋体" w:hAnsi="宋体" w:eastAsia="宋体" w:cs="宋体"/>
                <w:color w:val="auto"/>
                <w:spacing w:val="-3"/>
                <w:sz w:val="24"/>
                <w:szCs w:val="24"/>
                <w:highlight w:val="none"/>
                <w:lang w:val="en-US" w:eastAsia="zh-CN" w:bidi="zh-CN"/>
              </w:rPr>
              <w:t xml:space="preserve">则》2026版综合覆盖率</w:t>
            </w:r>
            <w:r>
              <w:rPr>
                <w:rFonts w:hint="eastAsia" w:ascii="宋体" w:hAnsi="宋体" w:eastAsia="宋体" w:cs="宋体"/>
                <w:color w:val="auto"/>
                <w:sz w:val="24"/>
                <w:szCs w:val="24"/>
                <w:highlight w:val="none"/>
                <w:lang w:val="en-US" w:eastAsia="zh-CN" w:bidi="ar-SA"/>
              </w:rPr>
              <w:t xml:space="preserve">不足98%不得分，</w:t>
            </w:r>
            <w:r>
              <w:rPr>
                <w:rFonts w:hint="eastAsia" w:ascii="宋体" w:hAnsi="宋体" w:eastAsia="宋体" w:cs="宋体"/>
                <w:color w:val="auto"/>
                <w:sz w:val="24"/>
                <w:szCs w:val="24"/>
                <w:highlight w:val="none"/>
                <w:lang w:val="en-US" w:eastAsia="zh-CN" w:bidi="ar-SA"/>
              </w:rPr>
              <w:t xml:space="preserve">覆盖率100%为4分，</w:t>
            </w:r>
            <w:r>
              <w:rPr>
                <w:rFonts w:hint="eastAsia" w:ascii="Times New Roman" w:hAnsi="Times New Roman" w:eastAsia="宋体" w:cs="宋体"/>
                <w:b/>
                <w:bCs/>
                <w:color w:val="auto"/>
                <w:spacing w:val="-3"/>
                <w:sz w:val="24"/>
                <w:szCs w:val="24"/>
                <w:highlight w:val="none"/>
                <w:lang w:val="en-US" w:eastAsia="zh-CN" w:bidi="ar-SA"/>
              </w:rPr>
              <w:t xml:space="preserve">每降低0.25%扣0.5分，不足部分线性扣分，扣完为止。本项最高得4分，最低得0分。</w:t>
            </w:r>
            <w:r/>
          </w:p>
          <w:p>
            <w:pPr>
              <w:jc w:val="both"/>
              <w:keepLines w:val="0"/>
              <w:keepNext w:val="0"/>
              <w:pageBreakBefore w:val="0"/>
              <w:spacing w:line="288" w:lineRule="auto"/>
              <w:widowControl w:val="off"/>
              <w:rPr>
                <w:rFonts w:hint="default" w:ascii="宋体" w:hAnsi="宋体" w:eastAsia="宋体" w:cs="宋体"/>
                <w:b/>
                <w:bCs/>
                <w:color w:val="auto"/>
                <w:spacing w:val="-3"/>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注：须按照《国家食品安全监督抽检实施细则》2026版食品类别、品种、项目提供其计量认证证书对应具体页码、项目号明细，扫描后加盖投标人公章。</w:t>
            </w:r>
            <w:r/>
          </w:p>
        </w:tc>
      </w:tr>
      <w:tr>
        <w:trPr>
          <w:trHeight w:val="0"/>
        </w:trPr>
        <w:tc>
          <w:tcPr>
            <w:shd w:val="clear" w:color="auto" w:fill="ffffff"/>
            <w:tcW w:w="1995" w:type="dxa"/>
            <w:vAlign w:val="center"/>
            <w:textDirection w:val="lrTb"/>
            <w:noWrap w:val="false"/>
          </w:tcPr>
          <w:p>
            <w:pPr>
              <w:ind w:left="108"/>
              <w:jc w:val="center"/>
              <w:spacing w:line="400" w:lineRule="exact"/>
              <w:widowControl w:val="off"/>
              <w:rPr>
                <w:rFonts w:hint="default"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实验室</w:t>
            </w:r>
            <w:r>
              <w:rPr>
                <w:rFonts w:hint="eastAsia" w:ascii="Times New Roman" w:hAnsi="Times New Roman" w:eastAsia="宋体" w:cs="宋体"/>
                <w:color w:val="auto"/>
                <w:sz w:val="24"/>
                <w:szCs w:val="24"/>
                <w:highlight w:val="none"/>
                <w:lang w:val="en-US" w:eastAsia="zh-CN" w:bidi="ar-SA"/>
              </w:rPr>
              <w:t xml:space="preserve">资质</w:t>
            </w:r>
            <w:r>
              <w:rPr>
                <w:rFonts w:hint="eastAsia" w:ascii="Times New Roman" w:hAnsi="Times New Roman" w:eastAsia="宋体" w:cs="宋体"/>
                <w:color w:val="auto"/>
                <w:sz w:val="24"/>
                <w:szCs w:val="24"/>
                <w:highlight w:val="none"/>
                <w:lang w:val="en-US" w:eastAsia="zh-CN" w:bidi="ar-SA"/>
              </w:rPr>
              <w:t xml:space="preserve">（6分）</w:t>
            </w:r>
            <w:r/>
          </w:p>
        </w:tc>
        <w:tc>
          <w:tcPr>
            <w:shd w:val="clear" w:color="auto" w:fill="ffffff"/>
            <w:tcW w:w="7635" w:type="dxa"/>
            <w:vAlign w:val="top"/>
            <w:textDirection w:val="lrTb"/>
            <w:noWrap w:val="false"/>
          </w:tcPr>
          <w:p>
            <w:pPr>
              <w:ind w:left="108"/>
              <w:jc w:val="both"/>
              <w:keepLines w:val="0"/>
              <w:keepNext w:val="0"/>
              <w:pageBreakBefore w:val="0"/>
              <w:spacing w:line="288" w:lineRule="auto"/>
              <w:widowControl w:val="off"/>
              <w:rPr>
                <w:rFonts w:hint="default"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1、具备农产品质量安全检测机构证书CATL。（2分）</w:t>
            </w:r>
            <w:r/>
          </w:p>
          <w:p>
            <w:pPr>
              <w:ind w:left="108"/>
              <w:jc w:val="both"/>
              <w:keepLines w:val="0"/>
              <w:keepNext w:val="0"/>
              <w:pageBreakBefore w:val="0"/>
              <w:spacing w:line="288" w:lineRule="auto"/>
              <w:widowControl w:val="off"/>
              <w:rPr>
                <w:rFonts w:hint="default"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2、具备CNAS实验室认可证书。（1分）</w:t>
            </w:r>
            <w:r/>
          </w:p>
          <w:p>
            <w:pPr>
              <w:ind w:left="108"/>
              <w:jc w:val="both"/>
              <w:keepLines w:val="0"/>
              <w:keepNext w:val="0"/>
              <w:pageBreakBefore w:val="0"/>
              <w:spacing w:line="288" w:lineRule="auto"/>
              <w:widowControl w:val="off"/>
              <w:rPr>
                <w:rFonts w:hint="default"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3、具备质量管理体系、环境管理体系、职业健康安全管理体系证书。具备质量管理体系证书得2分，环境管理体系、职业健康安全管理体系证书每提供一个得0.5分，满分3分。</w:t>
            </w:r>
            <w:r/>
          </w:p>
          <w:p>
            <w:pPr>
              <w:ind w:left="108"/>
              <w:jc w:val="both"/>
              <w:keepLines w:val="0"/>
              <w:keepNext w:val="0"/>
              <w:pageBreakBefore w:val="0"/>
              <w:spacing w:line="288" w:lineRule="auto"/>
              <w:widowControl w:val="off"/>
              <w:rPr>
                <w:rFonts w:hint="default"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注：须提供相关证书或证明文件。</w:t>
            </w:r>
            <w:r/>
          </w:p>
        </w:tc>
      </w:tr>
      <w:tr>
        <w:trPr>
          <w:trHeight w:val="0"/>
        </w:trPr>
        <w:tc>
          <w:tcPr>
            <w:shd w:val="clear" w:color="auto" w:fill="ffffff"/>
            <w:tcW w:w="1995" w:type="dxa"/>
            <w:vAlign w:val="center"/>
            <w:textDirection w:val="lrTb"/>
            <w:noWrap w:val="false"/>
          </w:tcPr>
          <w:p>
            <w:pPr>
              <w:jc w:val="center"/>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应急时间响应（4分）</w:t>
            </w:r>
            <w:r/>
          </w:p>
        </w:tc>
        <w:tc>
          <w:tcPr>
            <w:shd w:val="clear" w:color="auto" w:fill="ffffff"/>
            <w:tcW w:w="7635" w:type="dxa"/>
            <w:vAlign w:val="top"/>
            <w:textDirection w:val="lrTb"/>
            <w:noWrap w:val="false"/>
          </w:tcPr>
          <w:p>
            <w:pPr>
              <w:keepLines w:val="0"/>
              <w:keepNext w:val="0"/>
              <w:pageBreakBefore w:val="0"/>
              <w:spacing w:line="288" w:lineRule="auto"/>
              <w:rPr>
                <w:rFonts w:hint="eastAsia"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根据供应商在工作日工作时段出现突发状况时到达抽样地区（以徐州市市场监督管理局地址为准）的时间进行评分。</w:t>
            </w:r>
            <w:r/>
          </w:p>
          <w:p>
            <w:pPr>
              <w:keepLines w:val="0"/>
              <w:keepNext w:val="0"/>
              <w:pageBreakBefore w:val="0"/>
              <w:spacing w:line="288" w:lineRule="auto"/>
              <w:rPr>
                <w:rFonts w:hint="eastAsia"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1 小时内及时响应到达抽样地区开展工作的，得 4 分；</w:t>
            </w:r>
            <w:r/>
          </w:p>
          <w:p>
            <w:pPr>
              <w:keepLines w:val="0"/>
              <w:keepNext w:val="0"/>
              <w:pageBreakBefore w:val="0"/>
              <w:spacing w:line="288" w:lineRule="auto"/>
              <w:rPr>
                <w:rFonts w:hint="eastAsia"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2 小时内及时响应到达抽样地区开展工作的，得 3 分；</w:t>
            </w:r>
            <w:r/>
          </w:p>
          <w:p>
            <w:pPr>
              <w:keepLines w:val="0"/>
              <w:keepNext w:val="0"/>
              <w:pageBreakBefore w:val="0"/>
              <w:spacing w:line="288" w:lineRule="auto"/>
              <w:rPr>
                <w:rFonts w:hint="eastAsia"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3 小时内及时响应到达抽样地区开展工作的，得 2 分；</w:t>
            </w:r>
            <w:r/>
          </w:p>
          <w:p>
            <w:pPr>
              <w:keepLines w:val="0"/>
              <w:keepNext w:val="0"/>
              <w:pageBreakBefore w:val="0"/>
              <w:spacing w:line="288" w:lineRule="auto"/>
              <w:rPr>
                <w:rFonts w:hint="eastAsia"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4 小时内及时响应到达抽样地区开展工作的，得 1 分；</w:t>
            </w:r>
            <w:r/>
          </w:p>
          <w:p>
            <w:pPr>
              <w:keepLines w:val="0"/>
              <w:keepNext w:val="0"/>
              <w:pageBreakBefore w:val="0"/>
              <w:spacing w:line="288" w:lineRule="auto"/>
              <w:rPr>
                <w:rFonts w:hint="eastAsia"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不符合上述要求的，不得分。</w:t>
            </w:r>
            <w:r/>
          </w:p>
          <w:p>
            <w:pPr>
              <w:jc w:val="left"/>
              <w:keepLines w:val="0"/>
              <w:keepNext w:val="0"/>
              <w:pageBreakBefore w:val="0"/>
              <w:spacing w:line="288" w:lineRule="auto"/>
              <w:widowControl w:val="off"/>
              <w:rPr>
                <w:rFonts w:hint="default" w:ascii="宋体" w:hAnsi="宋体" w:eastAsia="宋体" w:cs="宋体"/>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注：供应商须提交在工作日工作时段以供应商实验室为起点至抽样地区（以徐州市市场监督管理局地址为准）为终点的全部行程导航截图，若更换交通工具，须分段截图，行程方式包括飞机、火车、汽车等。此外，在供应商已提供的导航截图及时间信息基础上，针对飞机、火车等不同交通方式，将分别增加额外的时间成本，具体为：飞机增加1小时，火车增加0.5小时，以覆盖机场候机、火车站候车的时间成本。</w:t>
            </w:r>
            <w:r/>
          </w:p>
        </w:tc>
      </w:tr>
      <w:tr>
        <w:trPr>
          <w:trHeight w:val="0"/>
        </w:trPr>
        <w:tc>
          <w:tcPr>
            <w:shd w:val="clear" w:color="auto" w:fill="ffffff"/>
            <w:tcW w:w="1995" w:type="dxa"/>
            <w:vAlign w:val="center"/>
            <w:textDirection w:val="lrTb"/>
            <w:noWrap w:val="false"/>
          </w:tcPr>
          <w:p>
            <w:pPr>
              <w:ind w:left="108"/>
              <w:jc w:val="center"/>
              <w:spacing w:line="400" w:lineRule="exact"/>
              <w:widowControl w:val="off"/>
              <w:rPr>
                <w:rFonts w:hint="default"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实施方案（</w:t>
            </w:r>
            <w:r>
              <w:rPr>
                <w:rFonts w:hint="eastAsia" w:ascii="Times New Roman" w:hAnsi="Times New Roman" w:eastAsia="宋体" w:cs="宋体"/>
                <w:color w:val="auto"/>
                <w:sz w:val="24"/>
                <w:szCs w:val="24"/>
                <w:highlight w:val="none"/>
                <w:lang w:val="en-US" w:eastAsia="zh-CN" w:bidi="ar-SA"/>
              </w:rPr>
              <w:t xml:space="preserve">10分）</w:t>
            </w:r>
            <w:r/>
          </w:p>
        </w:tc>
        <w:tc>
          <w:tcPr>
            <w:shd w:val="clear" w:color="auto" w:fill="ffffff"/>
            <w:tcW w:w="7635" w:type="dxa"/>
            <w:vAlign w:val="top"/>
            <w:textDirection w:val="lrTb"/>
            <w:noWrap w:val="false"/>
          </w:tcPr>
          <w:p>
            <w:pPr>
              <w:jc w:val="both"/>
              <w:keepLines w:val="0"/>
              <w:keepNext w:val="0"/>
              <w:pageBreakBefore w:val="0"/>
              <w:spacing w:line="288"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根据投标人实施方案进行评分。实施方案应包括但不限于抽样、检验、数据上报、分析汇总等各项内容。</w:t>
            </w:r>
            <w:r/>
          </w:p>
          <w:p>
            <w:pPr>
              <w:jc w:val="both"/>
              <w:keepLines w:val="0"/>
              <w:keepNext w:val="0"/>
              <w:pageBreakBefore w:val="0"/>
              <w:spacing w:line="288"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1、方案内容全面，科学有效，可操作性强得10分；</w:t>
            </w:r>
            <w:r/>
          </w:p>
          <w:p>
            <w:pPr>
              <w:jc w:val="both"/>
              <w:keepLines w:val="0"/>
              <w:keepNext w:val="0"/>
              <w:pageBreakBefore w:val="0"/>
              <w:spacing w:line="288"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2、方案内容较全面，较科学，较有效，可操作性较强得6分；</w:t>
            </w:r>
            <w:r/>
          </w:p>
          <w:p>
            <w:pPr>
              <w:jc w:val="both"/>
              <w:keepLines w:val="0"/>
              <w:keepNext w:val="0"/>
              <w:pageBreakBefore w:val="0"/>
              <w:spacing w:line="288"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3、实施方案内容基本完整，可操作性一般的得3分；</w:t>
            </w:r>
            <w:r/>
          </w:p>
          <w:p>
            <w:pPr>
              <w:jc w:val="both"/>
              <w:keepLines w:val="0"/>
              <w:keepNext w:val="0"/>
              <w:pageBreakBefore w:val="0"/>
              <w:spacing w:line="288"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4、实施方案内容不完整，可操作性差的得1分；</w:t>
            </w:r>
            <w:r/>
          </w:p>
          <w:p>
            <w:pPr>
              <w:jc w:val="both"/>
              <w:keepLines w:val="0"/>
              <w:keepNext w:val="0"/>
              <w:pageBreakBefore w:val="0"/>
              <w:spacing w:line="288"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5、未提供的不得分。 </w:t>
            </w:r>
            <w:r/>
          </w:p>
        </w:tc>
      </w:tr>
      <w:tr>
        <w:trPr>
          <w:trHeight w:val="0"/>
        </w:trPr>
        <w:tc>
          <w:tcPr>
            <w:shd w:val="clear" w:color="auto" w:fill="ffffff"/>
            <w:tcW w:w="1995" w:type="dxa"/>
            <w:vAlign w:val="center"/>
            <w:textDirection w:val="lrTb"/>
            <w:noWrap w:val="false"/>
          </w:tcPr>
          <w:p>
            <w:pPr>
              <w:ind w:left="108"/>
              <w:jc w:val="center"/>
              <w:spacing w:line="400" w:lineRule="exact"/>
              <w:widowControl w:val="off"/>
              <w:rPr>
                <w:rFonts w:hint="default"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突发事件应急处置预案（10分）</w:t>
            </w:r>
            <w:r/>
          </w:p>
        </w:tc>
        <w:tc>
          <w:tcPr>
            <w:shd w:val="clear" w:color="auto" w:fill="ffffff"/>
            <w:tcW w:w="7635" w:type="dxa"/>
            <w:vAlign w:val="top"/>
            <w:textDirection w:val="lrTb"/>
            <w:noWrap w:val="false"/>
          </w:tcPr>
          <w:p>
            <w:pPr>
              <w:jc w:val="both"/>
              <w:keepLines w:val="0"/>
              <w:keepNext w:val="0"/>
              <w:pageBreakBefore w:val="0"/>
              <w:spacing w:line="288"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根据投标人突发事件应急处置预案进行评分。突发事件应急处置预案包括抽检过程中可能遇到的各类突发情况，以及对应的应急解决处置措施。</w:t>
            </w:r>
            <w:r/>
          </w:p>
          <w:p>
            <w:pPr>
              <w:jc w:val="both"/>
              <w:keepLines w:val="0"/>
              <w:keepNext w:val="0"/>
              <w:pageBreakBefore w:val="0"/>
              <w:spacing w:line="288"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1、预案内容全面，处置应对措施科学有效，可操作性强，得10分；</w:t>
            </w:r>
            <w:r/>
          </w:p>
          <w:p>
            <w:pPr>
              <w:jc w:val="both"/>
              <w:keepLines w:val="0"/>
              <w:keepNext w:val="0"/>
              <w:pageBreakBefore w:val="0"/>
              <w:spacing w:line="288"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2、预案内容较全面，处置应对措施较科学，较有效，可操作性较强，得6分；</w:t>
            </w:r>
            <w:r/>
          </w:p>
          <w:p>
            <w:pPr>
              <w:jc w:val="both"/>
              <w:keepLines w:val="0"/>
              <w:keepNext w:val="0"/>
              <w:pageBreakBefore w:val="0"/>
              <w:spacing w:line="288"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3、预案内容不全面，处置应对措施科学性、有效性有欠缺，可操作性不强，得3分；</w:t>
            </w:r>
            <w:r/>
          </w:p>
          <w:p>
            <w:pPr>
              <w:jc w:val="both"/>
              <w:keepLines w:val="0"/>
              <w:keepNext w:val="0"/>
              <w:pageBreakBefore w:val="0"/>
              <w:spacing w:line="288"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4、预案内容不完整，可操作性差的得1分；</w:t>
            </w:r>
            <w:r/>
          </w:p>
          <w:p>
            <w:pPr>
              <w:jc w:val="both"/>
              <w:keepLines w:val="0"/>
              <w:keepNext w:val="0"/>
              <w:pageBreakBefore w:val="0"/>
              <w:spacing w:line="288"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5、预案不符合服务要求及未提供方案的不得分。</w:t>
            </w:r>
            <w:r/>
          </w:p>
        </w:tc>
      </w:tr>
      <w:tr>
        <w:trPr>
          <w:trHeight w:val="0"/>
        </w:trPr>
        <w:tc>
          <w:tcPr>
            <w:shd w:val="clear" w:color="auto" w:fill="ffffff"/>
            <w:tcW w:w="1995" w:type="dxa"/>
            <w:vAlign w:val="center"/>
            <w:textDirection w:val="lrTb"/>
            <w:noWrap w:val="false"/>
          </w:tcPr>
          <w:p>
            <w:pPr>
              <w:ind w:left="108"/>
              <w:jc w:val="center"/>
              <w:spacing w:line="400" w:lineRule="exact"/>
              <w:widowControl w:val="off"/>
              <w:rPr>
                <w:rFonts w:hint="default"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分析报告（</w:t>
            </w:r>
            <w:r>
              <w:rPr>
                <w:rFonts w:hint="eastAsia" w:ascii="Times New Roman" w:hAnsi="Times New Roman" w:eastAsia="宋体" w:cs="宋体"/>
                <w:color w:val="auto"/>
                <w:sz w:val="24"/>
                <w:szCs w:val="24"/>
                <w:highlight w:val="none"/>
                <w:lang w:val="en-US" w:eastAsia="zh-CN" w:bidi="ar-SA"/>
              </w:rPr>
              <w:t xml:space="preserve">5</w:t>
            </w:r>
            <w:r>
              <w:rPr>
                <w:rFonts w:hint="eastAsia" w:ascii="Times New Roman" w:hAnsi="Times New Roman" w:eastAsia="宋体" w:cs="宋体"/>
                <w:color w:val="auto"/>
                <w:sz w:val="24"/>
                <w:szCs w:val="24"/>
                <w:highlight w:val="none"/>
                <w:lang w:val="en-US" w:eastAsia="zh-CN" w:bidi="ar-SA"/>
              </w:rPr>
              <w:t xml:space="preserve">分）</w:t>
            </w:r>
            <w:r/>
          </w:p>
        </w:tc>
        <w:tc>
          <w:tcPr>
            <w:shd w:val="clear" w:color="auto" w:fill="ffffff"/>
            <w:tcW w:w="7635" w:type="dxa"/>
            <w:vAlign w:val="top"/>
            <w:textDirection w:val="lrTb"/>
            <w:noWrap w:val="false"/>
          </w:tcPr>
          <w:p>
            <w:pPr>
              <w:ind w:left="108"/>
              <w:jc w:val="both"/>
              <w:keepLines w:val="0"/>
              <w:keepNext w:val="0"/>
              <w:pageBreakBefore w:val="0"/>
              <w:spacing w:line="288" w:lineRule="auto"/>
              <w:widowControl w:val="off"/>
              <w:rPr>
                <w:rFonts w:hint="default"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根据投标人上一年度（2025年）分析报告进行评分。</w:t>
            </w:r>
            <w:r/>
          </w:p>
          <w:p>
            <w:pPr>
              <w:ind w:left="108"/>
              <w:jc w:val="both"/>
              <w:keepLines w:val="0"/>
              <w:keepNext w:val="0"/>
              <w:pageBreakBefore w:val="0"/>
              <w:spacing w:line="288" w:lineRule="auto"/>
              <w:widowControl w:val="off"/>
              <w:rPr>
                <w:rFonts w:hint="default"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分析报告应包括但不限于任务抽检情况、结果分析、风险预警、工作建议等方面内容。</w:t>
            </w:r>
            <w:r/>
          </w:p>
          <w:p>
            <w:pPr>
              <w:ind w:left="108"/>
              <w:jc w:val="both"/>
              <w:keepLines w:val="0"/>
              <w:keepNext w:val="0"/>
              <w:pageBreakBefore w:val="0"/>
              <w:spacing w:line="288" w:lineRule="auto"/>
              <w:widowControl w:val="off"/>
              <w:rPr>
                <w:rFonts w:hint="default"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1、分析报告内容全面、表述通俗易懂、风险提示清晰明确、建议切实可行，得5分；</w:t>
            </w:r>
            <w:r/>
          </w:p>
          <w:p>
            <w:pPr>
              <w:ind w:left="108"/>
              <w:jc w:val="both"/>
              <w:keepLines w:val="0"/>
              <w:keepNext w:val="0"/>
              <w:pageBreakBefore w:val="0"/>
              <w:spacing w:line="288" w:lineRule="auto"/>
              <w:widowControl w:val="off"/>
              <w:rPr>
                <w:rFonts w:hint="default"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2、</w:t>
            </w:r>
            <w:bookmarkStart w:id="10" w:name="OLE_LINK4"/>
            <w:r/>
            <w:bookmarkStart w:id="11" w:name="OLE_LINK3"/>
            <w:r>
              <w:rPr>
                <w:rFonts w:hint="eastAsia" w:ascii="Times New Roman" w:hAnsi="Times New Roman" w:eastAsia="宋体" w:cs="宋体"/>
                <w:color w:val="auto"/>
                <w:sz w:val="24"/>
                <w:szCs w:val="24"/>
                <w:highlight w:val="none"/>
                <w:lang w:val="en-US" w:eastAsia="zh-CN" w:bidi="ar-SA"/>
              </w:rPr>
              <w:t xml:space="preserve">分析报告内容相对全面、表述较通俗、风险提示较明确、建议较可行，得4分；</w:t>
            </w:r>
            <w:bookmarkEnd w:id="10"/>
            <w:r/>
            <w:bookmarkEnd w:id="11"/>
            <w:r/>
            <w:r/>
          </w:p>
          <w:p>
            <w:pPr>
              <w:ind w:left="108"/>
              <w:jc w:val="both"/>
              <w:keepLines w:val="0"/>
              <w:keepNext w:val="0"/>
              <w:pageBreakBefore w:val="0"/>
              <w:spacing w:line="288" w:lineRule="auto"/>
              <w:widowControl w:val="off"/>
              <w:rPr>
                <w:rFonts w:hint="default"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3、分析报告内容存在不足、表述难理解、风险提示模糊不明、建议缺乏可行性，得3分；</w:t>
            </w:r>
            <w:r/>
          </w:p>
          <w:p>
            <w:pPr>
              <w:ind w:left="108"/>
              <w:jc w:val="both"/>
              <w:keepLines w:val="0"/>
              <w:keepNext w:val="0"/>
              <w:pageBreakBefore w:val="0"/>
              <w:spacing w:line="288" w:lineRule="auto"/>
              <w:widowControl w:val="off"/>
              <w:rPr>
                <w:rFonts w:hint="default"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4、分析报告内容严重不足、表述混乱、风险提示不明确、建议不可行，得1分；</w:t>
            </w:r>
            <w:r/>
          </w:p>
          <w:p>
            <w:pPr>
              <w:ind w:left="108"/>
              <w:jc w:val="both"/>
              <w:keepLines w:val="0"/>
              <w:keepNext w:val="0"/>
              <w:pageBreakBefore w:val="0"/>
              <w:spacing w:line="288" w:lineRule="auto"/>
              <w:widowControl w:val="off"/>
              <w:rPr>
                <w:rFonts w:hint="default"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5、其他或未提供的不得分。</w:t>
            </w:r>
            <w:r/>
          </w:p>
        </w:tc>
      </w:tr>
      <w:tr>
        <w:trPr>
          <w:trHeight w:val="0"/>
        </w:trPr>
        <w:tc>
          <w:tcPr>
            <w:shd w:val="clear" w:color="auto" w:fill="ffffff"/>
            <w:tcW w:w="1995" w:type="dxa"/>
            <w:vAlign w:val="center"/>
            <w:textDirection w:val="lrTb"/>
            <w:noWrap w:val="false"/>
          </w:tcPr>
          <w:p>
            <w:pPr>
              <w:ind w:left="108"/>
              <w:jc w:val="center"/>
              <w:spacing w:line="400" w:lineRule="exact"/>
              <w:widowControl w:val="off"/>
              <w:rPr>
                <w:rFonts w:hint="eastAsia"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风险预警能力（4）</w:t>
            </w:r>
            <w:r/>
          </w:p>
        </w:tc>
        <w:tc>
          <w:tcPr>
            <w:shd w:val="clear" w:color="auto" w:fill="ffffff"/>
            <w:tcW w:w="7635" w:type="dxa"/>
            <w:vAlign w:val="top"/>
            <w:textDirection w:val="lrTb"/>
            <w:noWrap w:val="false"/>
          </w:tcPr>
          <w:p>
            <w:pPr>
              <w:ind w:left="108"/>
              <w:jc w:val="both"/>
              <w:keepLines w:val="0"/>
              <w:keepNext w:val="0"/>
              <w:pageBreakBefore w:val="0"/>
              <w:spacing w:line="288" w:lineRule="auto"/>
              <w:widowControl w:val="off"/>
              <w:rPr>
                <w:rFonts w:hint="eastAsia"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自2025年1月1日起供应商发现潜在系统性、区域性食品安全风险隐患，及时向监管部门报告并被采纳的，得2分，且所报告的风险隐患属于</w:t>
            </w:r>
            <w:r>
              <w:rPr>
                <w:rFonts w:hint="default" w:ascii="Times New Roman" w:hAnsi="Times New Roman" w:eastAsia="宋体" w:cs="宋体"/>
                <w:color w:val="auto"/>
                <w:sz w:val="24"/>
                <w:szCs w:val="24"/>
                <w:highlight w:val="none"/>
                <w:lang w:val="en-US" w:eastAsia="zh-CN" w:bidi="ar-SA"/>
              </w:rPr>
              <w:t xml:space="preserve">市场监督管理</w:t>
            </w:r>
            <w:r>
              <w:rPr>
                <w:rFonts w:hint="eastAsia" w:ascii="Times New Roman" w:hAnsi="Times New Roman" w:eastAsia="宋体" w:cs="宋体"/>
                <w:color w:val="auto"/>
                <w:sz w:val="24"/>
                <w:szCs w:val="24"/>
                <w:highlight w:val="none"/>
                <w:lang w:val="en-US" w:eastAsia="zh-CN" w:bidi="ar-SA"/>
              </w:rPr>
              <w:t xml:space="preserve">部门</w:t>
            </w:r>
            <w:r>
              <w:rPr>
                <w:rFonts w:hint="default" w:ascii="Times New Roman" w:hAnsi="Times New Roman" w:eastAsia="宋体" w:cs="宋体"/>
                <w:color w:val="auto"/>
                <w:sz w:val="24"/>
                <w:szCs w:val="24"/>
                <w:highlight w:val="none"/>
                <w:lang w:val="en-US" w:eastAsia="zh-CN" w:bidi="ar-SA"/>
              </w:rPr>
              <w:t xml:space="preserve">食品安全抽检类</w:t>
            </w:r>
            <w:r>
              <w:rPr>
                <w:rFonts w:hint="eastAsia" w:ascii="Times New Roman" w:hAnsi="Times New Roman" w:eastAsia="宋体" w:cs="宋体"/>
                <w:color w:val="auto"/>
                <w:sz w:val="24"/>
                <w:szCs w:val="24"/>
                <w:highlight w:val="none"/>
                <w:lang w:val="en-US" w:eastAsia="zh-CN" w:bidi="ar-SA"/>
              </w:rPr>
              <w:t xml:space="preserve">相关细则范围以外的，得2分，本项满分4分。</w:t>
            </w:r>
            <w:r/>
          </w:p>
          <w:p>
            <w:pPr>
              <w:ind w:left="108"/>
              <w:jc w:val="both"/>
              <w:keepLines w:val="0"/>
              <w:keepNext w:val="0"/>
              <w:pageBreakBefore w:val="0"/>
              <w:spacing w:line="288" w:lineRule="auto"/>
              <w:widowControl w:val="off"/>
              <w:rPr>
                <w:rFonts w:hint="eastAsia"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不符合上述要求的，不得分。</w:t>
            </w:r>
            <w:r/>
          </w:p>
          <w:p>
            <w:pPr>
              <w:ind w:left="108"/>
              <w:jc w:val="both"/>
              <w:keepLines w:val="0"/>
              <w:keepNext w:val="0"/>
              <w:pageBreakBefore w:val="0"/>
              <w:spacing w:line="288" w:lineRule="auto"/>
              <w:widowControl w:val="off"/>
              <w:rPr>
                <w:rFonts w:hint="eastAsia"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注：须提供监管部门出具的相关证明材料。</w:t>
            </w:r>
            <w:r/>
          </w:p>
        </w:tc>
      </w:tr>
    </w:tbl>
    <w:p>
      <w:pPr>
        <w:pStyle w:val="948"/>
        <w:rPr>
          <w:rFonts w:hint="eastAsia" w:ascii="宋体" w:hAnsi="宋体" w:cs="仿宋_GB2312"/>
          <w:color w:val="auto"/>
          <w:sz w:val="28"/>
          <w:szCs w:val="28"/>
          <w:highlight w:val="none"/>
        </w:rPr>
      </w:pPr>
      <w:r>
        <w:rPr>
          <w:rFonts w:hint="eastAsia" w:ascii="宋体" w:hAnsi="宋体" w:cs="仿宋_GB2312"/>
          <w:color w:val="auto"/>
          <w:sz w:val="28"/>
          <w:szCs w:val="28"/>
          <w:highlight w:val="none"/>
        </w:rPr>
      </w:r>
      <w:r/>
    </w:p>
    <w:p>
      <w:pPr>
        <w:pStyle w:val="948"/>
        <w:rPr>
          <w:rFonts w:ascii="宋体" w:hAnsi="宋体" w:cs="仿宋_GB2312"/>
          <w:color w:val="auto"/>
          <w:sz w:val="28"/>
          <w:szCs w:val="28"/>
          <w:highlight w:val="none"/>
        </w:rPr>
      </w:pPr>
      <w:r>
        <w:rPr>
          <w:rFonts w:hint="eastAsia" w:ascii="宋体" w:hAnsi="宋体" w:cs="仿宋_GB2312"/>
          <w:color w:val="auto"/>
          <w:sz w:val="24"/>
          <w:szCs w:val="24"/>
          <w:highlight w:val="none"/>
        </w:rPr>
        <w:t xml:space="preserve">本章说明：本项目采用综合评分法，评分结果精确到小数点后两位。</w:t>
      </w:r>
      <w:r/>
    </w:p>
    <w:p>
      <w:pPr>
        <w:pStyle w:val="887"/>
        <w:rPr>
          <w:rFonts w:hint="eastAsia" w:ascii="宋体" w:hAnsi="宋体" w:eastAsia="宋体" w:cs="宋体"/>
          <w:color w:val="auto"/>
          <w:sz w:val="24"/>
          <w:highlight w:val="none"/>
        </w:rPr>
      </w:pPr>
      <w:r/>
      <w:bookmarkStart w:id="12" w:name="_Toc522790134"/>
      <w:r/>
      <w:bookmarkStart w:id="13" w:name="_Toc523404699"/>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第五章  </w:t>
      </w:r>
      <w:bookmarkStart w:id="14" w:name="OLE_LINK1"/>
      <w:r>
        <w:rPr>
          <w:rFonts w:hint="eastAsia" w:ascii="宋体" w:hAnsi="宋体" w:eastAsia="宋体" w:cs="宋体"/>
          <w:color w:val="auto"/>
          <w:highlight w:val="none"/>
        </w:rPr>
        <w:t xml:space="preserve">拟签订的合同文本</w:t>
      </w:r>
      <w:bookmarkEnd w:id="12"/>
      <w:r/>
      <w:bookmarkEnd w:id="13"/>
      <w:r/>
      <w:bookmarkEnd w:id="14"/>
      <w:r/>
      <w:r/>
    </w:p>
    <w:p>
      <w:pPr>
        <w:pStyle w:val="80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项目名称：</w:t>
      </w:r>
      <w:r>
        <w:rPr>
          <w:rFonts w:hint="eastAsia" w:ascii="宋体" w:hAnsi="宋体" w:cs="宋体"/>
          <w:color w:val="auto"/>
          <w:sz w:val="24"/>
          <w:szCs w:val="24"/>
          <w:highlight w:val="none"/>
          <w:lang w:val="en-US" w:eastAsia="zh-CN"/>
        </w:rPr>
        <w:t xml:space="preserve">徐州市市场监督管理局食品安全监督抽检</w:t>
      </w:r>
      <w:r/>
    </w:p>
    <w:p>
      <w:pPr>
        <w:pStyle w:val="80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项目编号：</w:t>
      </w:r>
      <w:r>
        <w:rPr>
          <w:rFonts w:hint="eastAsia" w:ascii="宋体" w:hAnsi="宋体" w:cs="宋体"/>
          <w:color w:val="auto"/>
          <w:sz w:val="24"/>
          <w:szCs w:val="24"/>
          <w:highlight w:val="none"/>
          <w:lang w:val="en-US" w:eastAsia="zh-CN"/>
        </w:rPr>
        <w:t xml:space="preserve">JSZC-320300-YMXM-G2026-0004</w:t>
      </w:r>
      <w:r/>
    </w:p>
    <w:p>
      <w:pPr>
        <w:pStyle w:val="800"/>
        <w:ind w:firstLine="198"/>
        <w:jc w:val="center"/>
        <w:spacing w:line="300" w:lineRule="auto"/>
        <w:rPr>
          <w:rFonts w:cs="宋体" w:asciiTheme="minorEastAsia" w:hAnsiTheme="minorEastAsia" w:eastAsiaTheme="minorEastAsia"/>
          <w:color w:val="auto"/>
          <w:sz w:val="44"/>
          <w:szCs w:val="44"/>
          <w:highlight w:val="none"/>
          <w:lang w:eastAsia="zh-CN"/>
        </w:rPr>
      </w:pPr>
      <w:r>
        <w:rPr>
          <w:rFonts w:hint="eastAsia" w:cs="宋体" w:asciiTheme="minorEastAsia" w:hAnsiTheme="minorEastAsia" w:eastAsiaTheme="minorEastAsia"/>
          <w:color w:val="auto"/>
          <w:sz w:val="44"/>
          <w:szCs w:val="44"/>
          <w:highlight w:val="none"/>
          <w:lang w:eastAsia="zh-CN"/>
        </w:rPr>
        <w:t xml:space="preserve">政</w:t>
      </w:r>
      <w:r/>
    </w:p>
    <w:p>
      <w:pPr>
        <w:pStyle w:val="800"/>
        <w:ind w:firstLine="198"/>
        <w:jc w:val="center"/>
        <w:spacing w:line="300" w:lineRule="auto"/>
        <w:rPr>
          <w:rFonts w:cs="宋体" w:asciiTheme="minorEastAsia" w:hAnsiTheme="minorEastAsia" w:eastAsiaTheme="minorEastAsia"/>
          <w:color w:val="auto"/>
          <w:sz w:val="44"/>
          <w:szCs w:val="44"/>
          <w:highlight w:val="none"/>
          <w:lang w:eastAsia="zh-CN"/>
        </w:rPr>
      </w:pPr>
      <w:r>
        <w:rPr>
          <w:rFonts w:hint="eastAsia" w:cs="宋体" w:asciiTheme="minorEastAsia" w:hAnsiTheme="minorEastAsia" w:eastAsiaTheme="minorEastAsia"/>
          <w:color w:val="auto"/>
          <w:sz w:val="44"/>
          <w:szCs w:val="44"/>
          <w:highlight w:val="none"/>
          <w:lang w:eastAsia="zh-CN"/>
        </w:rPr>
        <w:t xml:space="preserve">府</w:t>
      </w:r>
      <w:r/>
    </w:p>
    <w:p>
      <w:pPr>
        <w:pStyle w:val="800"/>
        <w:ind w:firstLine="198"/>
        <w:jc w:val="center"/>
        <w:spacing w:line="300" w:lineRule="auto"/>
        <w:rPr>
          <w:rFonts w:cs="宋体" w:asciiTheme="minorEastAsia" w:hAnsiTheme="minorEastAsia" w:eastAsiaTheme="minorEastAsia"/>
          <w:color w:val="auto"/>
          <w:sz w:val="44"/>
          <w:szCs w:val="44"/>
          <w:highlight w:val="none"/>
          <w:lang w:eastAsia="zh-CN"/>
        </w:rPr>
      </w:pPr>
      <w:r>
        <w:rPr>
          <w:rFonts w:hint="eastAsia" w:cs="宋体" w:asciiTheme="minorEastAsia" w:hAnsiTheme="minorEastAsia" w:eastAsiaTheme="minorEastAsia"/>
          <w:color w:val="auto"/>
          <w:sz w:val="44"/>
          <w:szCs w:val="44"/>
          <w:highlight w:val="none"/>
          <w:lang w:eastAsia="zh-CN"/>
        </w:rPr>
        <w:t xml:space="preserve">采</w:t>
      </w:r>
      <w:r/>
    </w:p>
    <w:p>
      <w:pPr>
        <w:pStyle w:val="800"/>
        <w:ind w:firstLine="198"/>
        <w:jc w:val="center"/>
        <w:spacing w:line="300" w:lineRule="auto"/>
        <w:rPr>
          <w:rFonts w:cs="宋体" w:asciiTheme="minorEastAsia" w:hAnsiTheme="minorEastAsia" w:eastAsiaTheme="minorEastAsia"/>
          <w:color w:val="auto"/>
          <w:sz w:val="44"/>
          <w:szCs w:val="44"/>
          <w:highlight w:val="none"/>
          <w:lang w:eastAsia="zh-CN"/>
        </w:rPr>
      </w:pPr>
      <w:r>
        <w:rPr>
          <w:rFonts w:hint="eastAsia" w:cs="宋体" w:asciiTheme="minorEastAsia" w:hAnsiTheme="minorEastAsia" w:eastAsiaTheme="minorEastAsia"/>
          <w:color w:val="auto"/>
          <w:sz w:val="44"/>
          <w:szCs w:val="44"/>
          <w:highlight w:val="none"/>
          <w:lang w:eastAsia="zh-CN"/>
        </w:rPr>
        <w:t xml:space="preserve">购</w:t>
      </w:r>
      <w:r/>
    </w:p>
    <w:p>
      <w:pPr>
        <w:pStyle w:val="800"/>
        <w:ind w:firstLine="198"/>
        <w:jc w:val="center"/>
        <w:spacing w:line="300" w:lineRule="auto"/>
        <w:rPr>
          <w:rFonts w:cs="宋体" w:asciiTheme="minorEastAsia" w:hAnsiTheme="minorEastAsia" w:eastAsiaTheme="minorEastAsia"/>
          <w:color w:val="auto"/>
          <w:sz w:val="44"/>
          <w:szCs w:val="44"/>
          <w:highlight w:val="none"/>
          <w:lang w:eastAsia="zh-CN"/>
        </w:rPr>
      </w:pPr>
      <w:r>
        <w:rPr>
          <w:rFonts w:hint="eastAsia" w:cs="宋体" w:asciiTheme="minorEastAsia" w:hAnsiTheme="minorEastAsia" w:eastAsiaTheme="minorEastAsia"/>
          <w:color w:val="auto"/>
          <w:sz w:val="44"/>
          <w:szCs w:val="44"/>
          <w:highlight w:val="none"/>
          <w:lang w:eastAsia="zh-CN"/>
        </w:rPr>
        <w:t xml:space="preserve">合</w:t>
      </w:r>
      <w:r/>
    </w:p>
    <w:p>
      <w:pPr>
        <w:pStyle w:val="800"/>
        <w:ind w:firstLine="198"/>
        <w:jc w:val="center"/>
        <w:spacing w:line="300" w:lineRule="auto"/>
        <w:rPr>
          <w:rFonts w:cs="宋体" w:asciiTheme="minorEastAsia" w:hAnsiTheme="minorEastAsia" w:eastAsiaTheme="minorEastAsia"/>
          <w:color w:val="auto"/>
          <w:sz w:val="44"/>
          <w:szCs w:val="44"/>
          <w:highlight w:val="none"/>
          <w:lang w:eastAsia="zh-CN"/>
        </w:rPr>
      </w:pPr>
      <w:r>
        <w:rPr>
          <w:rFonts w:hint="eastAsia" w:cs="宋体" w:asciiTheme="minorEastAsia" w:hAnsiTheme="minorEastAsia" w:eastAsiaTheme="minorEastAsia"/>
          <w:color w:val="auto"/>
          <w:sz w:val="44"/>
          <w:szCs w:val="44"/>
          <w:highlight w:val="none"/>
          <w:lang w:eastAsia="zh-CN"/>
        </w:rPr>
        <w:t xml:space="preserve">同</w:t>
      </w:r>
      <w:r/>
    </w:p>
    <w:p>
      <w:pPr>
        <w:pStyle w:val="800"/>
        <w:spacing w:line="360" w:lineRule="auto"/>
        <w:rPr>
          <w:rFonts w:cs="宋体" w:asciiTheme="minorEastAsia" w:hAnsiTheme="minorEastAsia" w:eastAsiaTheme="minorEastAsia"/>
          <w:color w:val="auto"/>
          <w:sz w:val="24"/>
          <w:szCs w:val="24"/>
          <w:highlight w:val="none"/>
          <w:lang w:eastAsia="zh-CN"/>
        </w:rPr>
      </w:pPr>
      <w:r>
        <w:rPr>
          <w:rFonts w:cs="宋体" w:asciiTheme="minorEastAsia" w:hAnsiTheme="minorEastAsia" w:eastAsiaTheme="minorEastAsia"/>
          <w:color w:val="auto"/>
          <w:sz w:val="24"/>
          <w:szCs w:val="24"/>
          <w:highlight w:val="none"/>
          <w:lang w:eastAsia="zh-CN"/>
        </w:rPr>
      </w:r>
      <w:r/>
    </w:p>
    <w:p>
      <w:pPr>
        <w:pStyle w:val="80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  购  人：徐州市市场监督管理局</w:t>
      </w:r>
      <w:r/>
    </w:p>
    <w:p>
      <w:pPr>
        <w:pStyle w:val="80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成交供应商：</w:t>
      </w:r>
      <w:r/>
    </w:p>
    <w:p>
      <w:pPr>
        <w:pStyle w:val="80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合同签订日期：   年   月   日</w:t>
      </w:r>
      <w:r/>
    </w:p>
    <w:p>
      <w:pPr>
        <w:pStyle w:val="795"/>
        <w:ind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友情提醒：采购人与中标、成交供应商应当在中标、成交通知书发出之日起三十日内，按照采购文件确定的事项签订政府采购合同。</w:t>
      </w:r>
      <w:r/>
    </w:p>
    <w:p>
      <w:pPr>
        <w:ind w:firstLine="482"/>
        <w:jc w:val="left"/>
        <w:keepLines w:val="0"/>
        <w:keepNext w:val="0"/>
        <w:pageBreakBefore w:val="0"/>
        <w:spacing w:line="360" w:lineRule="auto"/>
        <w:widowControl w:val="off"/>
        <w:tabs>
          <w:tab w:val="left" w:pos="720" w:leader="none"/>
        </w:tabs>
        <w:rPr>
          <w:rFonts w:hint="eastAsia" w:ascii="宋体" w:hAnsi="宋体" w:eastAsia="宋体" w:cs="宋体"/>
          <w:b/>
          <w:bCs/>
          <w:color w:val="auto"/>
          <w:sz w:val="52"/>
          <w:szCs w:val="52"/>
          <w:highlight w:val="none"/>
        </w:rPr>
      </w:pPr>
      <w:r>
        <w:rPr>
          <w:rFonts w:hint="eastAsia" w:ascii="宋体" w:hAnsi="宋体" w:eastAsia="宋体" w:cs="宋体"/>
          <w:b/>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spacing w:line="360" w:lineRule="auto"/>
        <w:tabs>
          <w:tab w:val="left" w:pos="720" w:leader="none"/>
        </w:tabs>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r>
      <w:r/>
    </w:p>
    <w:p>
      <w:pPr>
        <w:pStyle w:val="938"/>
        <w:rPr>
          <w:rFonts w:hint="eastAsia"/>
          <w:color w:val="auto"/>
          <w:highlight w:val="none"/>
        </w:rPr>
      </w:pPr>
      <w:r>
        <w:rPr>
          <w:rFonts w:hint="eastAsia"/>
          <w:color w:val="auto"/>
          <w:highlight w:val="none"/>
        </w:rPr>
      </w:r>
      <w:r/>
    </w:p>
    <w:p>
      <w:pPr>
        <w:spacing w:line="360" w:lineRule="auto"/>
        <w:tabs>
          <w:tab w:val="left" w:pos="720" w:leader="none"/>
        </w:tabs>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r>
      <w:r/>
    </w:p>
    <w:p>
      <w:pPr>
        <w:spacing w:line="360" w:lineRule="auto"/>
        <w:tabs>
          <w:tab w:val="left" w:pos="720" w:leader="none"/>
        </w:tabs>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t xml:space="preserve">        </w:t>
      </w:r>
      <w:r/>
    </w:p>
    <w:p>
      <w:pPr>
        <w:pStyle w:val="851"/>
        <w:ind w:firstLine="480"/>
        <w:keepLines w:val="0"/>
        <w:keepNext w:val="0"/>
        <w:pageBreakBefore w:val="0"/>
        <w:spacing w:before="120" w:after="120" w:line="360" w:lineRule="auto"/>
        <w:widowControl w:val="off"/>
        <w:rPr>
          <w:rFonts w:hint="eastAsia" w:ascii="宋体" w:hAnsi="宋体" w:eastAsia="宋体" w:cs="宋体"/>
          <w:color w:val="auto"/>
          <w:sz w:val="24"/>
          <w:szCs w:val="24"/>
          <w:highlight w:val="none"/>
        </w:rPr>
      </w:pPr>
      <w:r/>
      <w:bookmarkStart w:id="15" w:name="_Toc523404701"/>
      <w:r/>
      <w:bookmarkStart w:id="16" w:name="_Toc522790136"/>
      <w:r>
        <w:rPr>
          <w:rFonts w:hint="eastAsia" w:ascii="宋体" w:hAnsi="宋体" w:eastAsia="宋体" w:cs="宋体"/>
          <w:color w:val="auto"/>
          <w:sz w:val="24"/>
          <w:szCs w:val="24"/>
          <w:highlight w:val="none"/>
        </w:rPr>
        <w:t xml:space="preserve">甲方（买方）：       </w:t>
      </w:r>
      <w:r/>
    </w:p>
    <w:p>
      <w:pPr>
        <w:pStyle w:val="851"/>
        <w:ind w:firstLine="480"/>
        <w:keepLines w:val="0"/>
        <w:keepNext w:val="0"/>
        <w:pageBreakBefore w:val="0"/>
        <w:spacing w:before="120" w:after="120"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乙方（卖方）：</w:t>
      </w:r>
      <w:r/>
    </w:p>
    <w:p>
      <w:pPr>
        <w:pStyle w:val="851"/>
        <w:ind w:firstLine="480"/>
        <w:keepLines w:val="0"/>
        <w:keepNext w:val="0"/>
        <w:pageBreakBefore w:val="0"/>
        <w:spacing w:before="120"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签订地点：</w:t>
      </w:r>
      <w:r>
        <w:rPr>
          <w:rFonts w:hint="eastAsia" w:ascii="宋体" w:hAnsi="宋体" w:eastAsia="宋体" w:cs="宋体"/>
          <w:color w:val="auto"/>
          <w:sz w:val="24"/>
          <w:szCs w:val="24"/>
          <w:highlight w:val="none"/>
          <w:u w:val="single"/>
        </w:rPr>
        <w:t xml:space="preserve">                 </w:t>
      </w:r>
      <w:r/>
    </w:p>
    <w:p>
      <w:pPr>
        <w:pStyle w:val="851"/>
        <w:ind w:firstLine="480"/>
        <w:keepLines w:val="0"/>
        <w:keepNext w:val="0"/>
        <w:pageBreakBefore w:val="0"/>
        <w:spacing w:before="120" w:after="120"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签订日期：</w:t>
      </w:r>
      <w:r>
        <w:rPr>
          <w:rFonts w:hint="eastAsia" w:ascii="宋体" w:hAnsi="宋体" w:eastAsia="宋体" w:cs="宋体"/>
          <w:color w:val="auto"/>
          <w:sz w:val="24"/>
          <w:szCs w:val="24"/>
          <w:highlight w:val="none"/>
          <w:u w:val="single"/>
        </w:rPr>
        <w:t xml:space="preserve">                 </w:t>
      </w:r>
      <w:r/>
    </w:p>
    <w:p>
      <w:pPr>
        <w:pStyle w:val="851"/>
        <w:ind w:firstLine="480"/>
        <w:keepLines w:val="0"/>
        <w:keepNext w:val="0"/>
        <w:pageBreakBefore w:val="0"/>
        <w:spacing w:before="120"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项目招标采购的结果，甲方将</w:t>
      </w:r>
      <w:r>
        <w:rPr>
          <w:rFonts w:hint="eastAsia" w:ascii="宋体" w:hAnsi="宋体" w:eastAsia="宋体" w:cs="宋体"/>
          <w:color w:val="auto"/>
          <w:sz w:val="24"/>
          <w:szCs w:val="24"/>
          <w:highlight w:val="none"/>
          <w:u w:val="single"/>
        </w:rPr>
        <w:t xml:space="preserve">             项目</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）标段</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 xml:space="preserve">委托给乙方。根据《中华人民共和国民法典》、《中华人民共和国政府采购法》及有关法律、法规，在自愿、平等、协商一致的基础上，甲乙双方恪守公平、公正、诚信的原则，签订本合同。</w:t>
      </w:r>
      <w:r/>
    </w:p>
    <w:p>
      <w:pPr>
        <w:pStyle w:val="851"/>
        <w:ind w:firstLine="480"/>
        <w:keepLines w:val="0"/>
        <w:keepNext w:val="0"/>
        <w:pageBreakBefore w:val="0"/>
        <w:spacing w:before="120"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一、服务范围及内容：乙方根据甲方需求，提供下列服务： </w:t>
      </w:r>
      <w:r/>
    </w:p>
    <w:p>
      <w:pPr>
        <w:pStyle w:val="851"/>
        <w:ind w:firstLine="480"/>
        <w:keepLines w:val="0"/>
        <w:keepNext w:val="0"/>
        <w:pageBreakBefore w:val="0"/>
        <w:spacing w:before="120"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1、抽检品种：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851"/>
        <w:ind w:firstLine="480"/>
        <w:keepLines w:val="0"/>
        <w:keepNext w:val="0"/>
        <w:pageBreakBefore w:val="0"/>
        <w:spacing w:before="120"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2、检测项目及批次：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851"/>
        <w:ind w:firstLine="480"/>
        <w:keepLines w:val="0"/>
        <w:keepNext w:val="0"/>
        <w:pageBreakBefore w:val="0"/>
        <w:spacing w:before="120"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二、合同价及结算方式：</w:t>
      </w:r>
      <w:r/>
    </w:p>
    <w:p>
      <w:pPr>
        <w:pStyle w:val="851"/>
        <w:ind w:firstLine="480"/>
        <w:keepLines w:val="0"/>
        <w:keepNext w:val="0"/>
        <w:pageBreakBefore w:val="0"/>
        <w:spacing w:before="120"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1、合同总价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）。经双方协商一致， 选择以下第 （    ）种付款方式:</w:t>
      </w:r>
      <w:r/>
    </w:p>
    <w:p>
      <w:pPr>
        <w:pStyle w:val="796"/>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付款方式一：提交预付款保函的</w:t>
      </w:r>
      <w:r/>
    </w:p>
    <w:p>
      <w:pPr>
        <w:pStyle w:val="796"/>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合同总价的百分之五</w:t>
      </w:r>
      <w:r>
        <w:rPr>
          <w:rFonts w:hint="eastAsia" w:ascii="宋体" w:hAnsi="宋体" w:eastAsia="宋体" w:cs="宋体"/>
          <w:color w:val="auto"/>
          <w:sz w:val="24"/>
          <w:szCs w:val="24"/>
          <w:highlight w:val="none"/>
          <w:u w:val="single"/>
        </w:rPr>
        <w:t xml:space="preserve">十 </w:t>
      </w:r>
      <w:r>
        <w:rPr>
          <w:rFonts w:hint="eastAsia" w:ascii="宋体" w:hAnsi="宋体" w:eastAsia="宋体" w:cs="宋体"/>
          <w:color w:val="auto"/>
          <w:sz w:val="24"/>
          <w:szCs w:val="24"/>
          <w:highlight w:val="none"/>
        </w:rPr>
        <w:t xml:space="preserve">(50%)即￥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在合同签订生效15日内，乙方向甲方出具等额预付款保函后，办理政府采购资金结算手续</w:t>
      </w:r>
      <w:r>
        <w:rPr>
          <w:rFonts w:hint="eastAsia" w:ascii="宋体" w:hAnsi="宋体" w:eastAsia="宋体" w:cs="宋体"/>
          <w:bCs/>
          <w:color w:val="auto"/>
          <w:sz w:val="24"/>
          <w:szCs w:val="24"/>
          <w:highlight w:val="none"/>
        </w:rPr>
        <w:t xml:space="preserve">支付给乙方</w:t>
      </w:r>
      <w:r>
        <w:rPr>
          <w:rFonts w:hint="eastAsia" w:ascii="宋体" w:hAnsi="宋体" w:eastAsia="宋体" w:cs="宋体"/>
          <w:color w:val="auto"/>
          <w:sz w:val="24"/>
          <w:szCs w:val="24"/>
          <w:highlight w:val="none"/>
        </w:rPr>
        <w:t xml:space="preserve">。</w:t>
      </w:r>
      <w:r/>
    </w:p>
    <w:p>
      <w:pPr>
        <w:pStyle w:val="796"/>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合同总价的剩余部分，在乙方完成委托抽检任务后，由甲方根据任务完成情况在15日内按实际完成量进行结算，自收到发票（发票金额为合同总价的50%）后</w:t>
      </w:r>
      <w:r>
        <w:rPr>
          <w:rFonts w:hint="eastAsia" w:ascii="宋体" w:hAnsi="宋体" w:eastAsia="宋体" w:cs="宋体"/>
          <w:color w:val="auto"/>
          <w:sz w:val="24"/>
          <w:szCs w:val="24"/>
          <w:highlight w:val="none"/>
          <w:u w:val="single"/>
        </w:rPr>
        <w:t xml:space="preserve">15日</w:t>
      </w:r>
      <w:r>
        <w:rPr>
          <w:rFonts w:hint="eastAsia" w:ascii="宋体" w:hAnsi="宋体" w:eastAsia="宋体" w:cs="宋体"/>
          <w:color w:val="auto"/>
          <w:sz w:val="24"/>
          <w:szCs w:val="24"/>
          <w:highlight w:val="none"/>
        </w:rPr>
        <w:t xml:space="preserve">内，由甲方办理政府采购资金结算手续，经审核后支付给乙方。</w:t>
      </w:r>
      <w:r/>
    </w:p>
    <w:p>
      <w:pPr>
        <w:pStyle w:val="796"/>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6"/>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付款方式二：不提交预付款保函的</w:t>
      </w:r>
      <w:r/>
    </w:p>
    <w:p>
      <w:pPr>
        <w:pStyle w:val="796"/>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w:t>
      </w:r>
      <w:r>
        <w:rPr>
          <w:rFonts w:hint="eastAsia" w:ascii="宋体" w:hAnsi="宋体" w:eastAsia="宋体" w:cs="宋体"/>
          <w:color w:val="auto"/>
          <w:sz w:val="24"/>
          <w:szCs w:val="24"/>
          <w:highlight w:val="none"/>
          <w:u w:val="single"/>
        </w:rPr>
        <w:t xml:space="preserve">三十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30</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在合同签订生效，买方自收到发票（发票金额为合同总价的</w:t>
      </w:r>
      <w:r>
        <w:rPr>
          <w:rFonts w:hint="eastAsia" w:ascii="宋体" w:hAnsi="宋体" w:eastAsia="宋体" w:cs="宋体"/>
          <w:color w:val="auto"/>
          <w:sz w:val="24"/>
          <w:szCs w:val="24"/>
          <w:highlight w:val="none"/>
          <w:u w:val="single"/>
        </w:rPr>
        <w:t xml:space="preserve">30</w:t>
      </w:r>
      <w:r>
        <w:rPr>
          <w:rFonts w:hint="eastAsia" w:ascii="宋体" w:hAnsi="宋体" w:eastAsia="宋体" w:cs="宋体"/>
          <w:color w:val="auto"/>
          <w:sz w:val="24"/>
          <w:szCs w:val="24"/>
          <w:highlight w:val="none"/>
        </w:rPr>
        <w:t xml:space="preserve">%）后</w:t>
      </w:r>
      <w:r>
        <w:rPr>
          <w:rFonts w:hint="eastAsia" w:ascii="宋体" w:hAnsi="宋体" w:eastAsia="宋体" w:cs="宋体"/>
          <w:color w:val="auto"/>
          <w:sz w:val="24"/>
          <w:szCs w:val="24"/>
          <w:highlight w:val="none"/>
          <w:u w:val="single"/>
        </w:rPr>
        <w:t xml:space="preserve">15日</w:t>
      </w:r>
      <w:r>
        <w:rPr>
          <w:rFonts w:hint="eastAsia" w:ascii="宋体" w:hAnsi="宋体" w:eastAsia="宋体" w:cs="宋体"/>
          <w:color w:val="auto"/>
          <w:sz w:val="24"/>
          <w:szCs w:val="24"/>
          <w:highlight w:val="none"/>
        </w:rPr>
        <w:t xml:space="preserve">内，办理政府采购资金结算手续</w:t>
      </w:r>
      <w:r>
        <w:rPr>
          <w:rFonts w:hint="eastAsia" w:ascii="宋体" w:hAnsi="宋体" w:eastAsia="宋体" w:cs="宋体"/>
          <w:bCs/>
          <w:color w:val="auto"/>
          <w:sz w:val="24"/>
          <w:szCs w:val="24"/>
          <w:highlight w:val="none"/>
        </w:rPr>
        <w:t xml:space="preserve">支付给乙方</w:t>
      </w:r>
      <w:r>
        <w:rPr>
          <w:rFonts w:hint="eastAsia" w:ascii="宋体" w:hAnsi="宋体" w:eastAsia="宋体" w:cs="宋体"/>
          <w:color w:val="auto"/>
          <w:sz w:val="24"/>
          <w:szCs w:val="24"/>
          <w:highlight w:val="none"/>
        </w:rPr>
        <w:t xml:space="preserve">。</w:t>
      </w:r>
      <w:r/>
    </w:p>
    <w:p>
      <w:pPr>
        <w:pStyle w:val="796"/>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合同总价的剩余部分，在乙方完成委托抽检任务后，由甲方根据任务完成情况在15日内按实际完成量进行结算，自收到发票（发票金额为合同总价的70%）后</w:t>
      </w:r>
      <w:r>
        <w:rPr>
          <w:rFonts w:hint="eastAsia" w:ascii="宋体" w:hAnsi="宋体" w:eastAsia="宋体" w:cs="宋体"/>
          <w:color w:val="auto"/>
          <w:sz w:val="24"/>
          <w:szCs w:val="24"/>
          <w:highlight w:val="none"/>
          <w:u w:val="single"/>
        </w:rPr>
        <w:t xml:space="preserve">15日</w:t>
      </w:r>
      <w:r>
        <w:rPr>
          <w:rFonts w:hint="eastAsia" w:ascii="宋体" w:hAnsi="宋体" w:eastAsia="宋体" w:cs="宋体"/>
          <w:color w:val="auto"/>
          <w:sz w:val="24"/>
          <w:szCs w:val="24"/>
          <w:highlight w:val="none"/>
        </w:rPr>
        <w:t xml:space="preserve">内，由甲方办理政府采购资金结算手续，经审核后支付给乙方。</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乙方要求付款应提供以下资料：乙方开具的正式发票。 </w:t>
      </w:r>
      <w:r/>
    </w:p>
    <w:p>
      <w:pPr>
        <w:pStyle w:val="851"/>
        <w:ind w:firstLine="480"/>
        <w:keepLines w:val="0"/>
        <w:keepNext w:val="0"/>
        <w:pageBreakBefore w:val="0"/>
        <w:spacing w:before="120"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2、在招标文件未列明，而是乙方履行本合同必需的费用也包含在合同总价中。</w:t>
      </w:r>
      <w:r/>
    </w:p>
    <w:p>
      <w:pPr>
        <w:pStyle w:val="851"/>
        <w:ind w:firstLine="480"/>
        <w:keepLines w:val="0"/>
        <w:keepNext w:val="0"/>
        <w:pageBreakBefore w:val="0"/>
        <w:spacing w:before="120"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3、本合同总价还包含乙方提供的伴随服务售后服务费用。</w:t>
      </w:r>
      <w:r/>
    </w:p>
    <w:p>
      <w:pPr>
        <w:pStyle w:val="851"/>
        <w:ind w:firstLine="480"/>
        <w:keepLines w:val="0"/>
        <w:keepNext w:val="0"/>
        <w:pageBreakBefore w:val="0"/>
        <w:spacing w:before="120"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采购时的价格水平做相应的调减，并据此签订补充合同；除上述情况外，本合同执行期间合同总价不变。</w:t>
      </w:r>
      <w:r/>
    </w:p>
    <w:p>
      <w:pPr>
        <w:pStyle w:val="851"/>
        <w:ind w:firstLine="480"/>
        <w:keepLines w:val="0"/>
        <w:keepNext w:val="0"/>
        <w:pageBreakBefore w:val="0"/>
        <w:spacing w:before="120" w:after="120"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三、质量要求、技术标准及服务承诺：</w:t>
      </w:r>
      <w:r>
        <w:rPr>
          <w:rFonts w:hint="eastAsia" w:ascii="宋体" w:hAnsi="宋体" w:eastAsia="宋体" w:cs="宋体"/>
          <w:color w:val="auto"/>
          <w:sz w:val="24"/>
          <w:szCs w:val="24"/>
          <w:highlight w:val="none"/>
          <w:u w:val="single"/>
        </w:rPr>
        <w:t xml:space="preserve">具体见招标文件及乙方投标文件[项目编号：           ]</w:t>
      </w:r>
      <w:r>
        <w:rPr>
          <w:rFonts w:hint="eastAsia" w:ascii="宋体" w:hAnsi="宋体" w:eastAsia="宋体" w:cs="宋体"/>
          <w:color w:val="auto"/>
          <w:sz w:val="24"/>
          <w:szCs w:val="24"/>
          <w:highlight w:val="none"/>
        </w:rPr>
        <w:t xml:space="preserve">。</w:t>
      </w:r>
      <w:r/>
    </w:p>
    <w:p>
      <w:pPr>
        <w:pStyle w:val="801"/>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四、履约保证金：无</w:t>
      </w:r>
      <w:r/>
    </w:p>
    <w:p>
      <w:pPr>
        <w:pStyle w:val="851"/>
        <w:ind w:firstLine="482"/>
        <w:keepLines w:val="0"/>
        <w:keepNext w:val="0"/>
        <w:pageBreakBefore w:val="0"/>
        <w:spacing w:before="120" w:after="12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五、组成本合同的有关文件</w:t>
      </w:r>
      <w:r/>
    </w:p>
    <w:p>
      <w:pPr>
        <w:pStyle w:val="851"/>
        <w:ind w:firstLine="480"/>
        <w:keepLines w:val="0"/>
        <w:keepNext w:val="0"/>
        <w:pageBreakBefore w:val="0"/>
        <w:spacing w:before="120"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1、乙方应按招标文件规定的时间向甲方提供服务的有关技术资料。</w:t>
      </w:r>
      <w:r/>
    </w:p>
    <w:p>
      <w:pPr>
        <w:pStyle w:val="851"/>
        <w:ind w:firstLine="480"/>
        <w:keepLines w:val="0"/>
        <w:keepNext w:val="0"/>
        <w:pageBreakBefore w:val="0"/>
        <w:spacing w:before="120"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2、没有经甲方书面同意，乙方不得将由甲方提供的有关合同或任何合同条文或资料提供给任何其他人。即使向履行本合同有关的人员提供，也应注意保密并限于履行合同的必需范围。</w:t>
      </w:r>
      <w:r/>
    </w:p>
    <w:p>
      <w:pPr>
        <w:pStyle w:val="851"/>
        <w:ind w:firstLine="480"/>
        <w:keepLines w:val="0"/>
        <w:keepNext w:val="0"/>
        <w:pageBreakBefore w:val="0"/>
        <w:spacing w:before="120"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3、关于本项目招标文件、投标文件或与本次采购活动方式相适应的文件及有关附件是本合同不可分割的组成部分，这些文件包括但不限于：</w:t>
      </w:r>
      <w:r/>
    </w:p>
    <w:p>
      <w:pPr>
        <w:pStyle w:val="851"/>
        <w:ind w:firstLine="480"/>
        <w:keepLines w:val="0"/>
        <w:keepNext w:val="0"/>
        <w:pageBreakBefore w:val="0"/>
        <w:spacing w:before="120"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（1）招标文件；（2）投标文件；（3）项目组人员表；（4）技术参数、商务条款响应及偏离表；（5）服务承诺；（6）中标（成交）通知书；（7）甲乙双方补充协议；</w:t>
      </w:r>
      <w:r/>
    </w:p>
    <w:p>
      <w:pPr>
        <w:pStyle w:val="851"/>
        <w:ind w:firstLine="482"/>
        <w:keepLines w:val="0"/>
        <w:keepNext w:val="0"/>
        <w:pageBreakBefore w:val="0"/>
        <w:spacing w:before="120" w:after="12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六、交付和验收：</w:t>
      </w:r>
      <w:r/>
    </w:p>
    <w:p>
      <w:pPr>
        <w:pStyle w:val="851"/>
        <w:ind w:firstLine="480"/>
        <w:keepLines w:val="0"/>
        <w:keepNext w:val="0"/>
        <w:pageBreakBefore w:val="0"/>
        <w:spacing w:before="120"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1、乙方应当在合同签订后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天内完成服务事项，招标文件有约定的，从其约定。</w:t>
      </w:r>
      <w:r/>
    </w:p>
    <w:p>
      <w:pPr>
        <w:pStyle w:val="851"/>
        <w:ind w:firstLine="480"/>
        <w:keepLines w:val="0"/>
        <w:keepNext w:val="0"/>
        <w:pageBreakBefore w:val="0"/>
        <w:spacing w:before="120"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在交付前，乙方应作出全面检查和对验收文件进行整理，并列出清单，作为甲方初验收和使用的技术条件依据，检验的结果交甲方。</w:t>
      </w:r>
      <w:r/>
    </w:p>
    <w:p>
      <w:pPr>
        <w:pStyle w:val="851"/>
        <w:ind w:firstLine="480"/>
        <w:keepLines w:val="0"/>
        <w:keepNext w:val="0"/>
        <w:pageBreakBefore w:val="0"/>
        <w:spacing w:before="120"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2、验收标准：按招标文件的要求及乙方投标文件的承诺，并不低于国家相关标准。</w:t>
      </w:r>
      <w:r/>
    </w:p>
    <w:p>
      <w:pPr>
        <w:pStyle w:val="851"/>
        <w:ind w:firstLine="480"/>
        <w:keepLines w:val="0"/>
        <w:keepNext w:val="0"/>
        <w:pageBreakBefore w:val="0"/>
        <w:spacing w:before="120"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对于乙方要交付的服务，甲乙双方须在</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 xml:space="preserve">工作日内初验收，甲方对乙方提交的服务依据招标文件上的技术要求和国家有关质量标准进行现场初步验收，外观、说明书、包装符合招标文件技术要求的，给予签收，初步验收不合格的不予签收。</w:t>
      </w:r>
      <w:r/>
    </w:p>
    <w:p>
      <w:pPr>
        <w:pStyle w:val="851"/>
        <w:ind w:firstLine="480"/>
        <w:keepLines w:val="0"/>
        <w:keepNext w:val="0"/>
        <w:pageBreakBefore w:val="0"/>
        <w:spacing w:before="120"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3、乙方按照招标文件要求培训甲方的相关人员，乙方在甲方使用前进行调试，调试直到符合技术要求的甲方才做最终验收。</w:t>
      </w:r>
      <w:r/>
    </w:p>
    <w:p>
      <w:pPr>
        <w:pStyle w:val="851"/>
        <w:ind w:firstLine="480"/>
        <w:keepLines w:val="0"/>
        <w:keepNext w:val="0"/>
        <w:pageBreakBefore w:val="0"/>
        <w:spacing w:before="120"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w:t>
      </w:r>
      <w:r/>
    </w:p>
    <w:p>
      <w:pPr>
        <w:pStyle w:val="851"/>
        <w:ind w:firstLine="480"/>
        <w:keepLines w:val="0"/>
        <w:keepNext w:val="0"/>
        <w:pageBreakBefore w:val="0"/>
        <w:spacing w:before="120"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5、甲乙双方关于调试和验收的其他约定：</w:t>
      </w:r>
      <w:r>
        <w:rPr>
          <w:rFonts w:hint="eastAsia" w:ascii="宋体" w:hAnsi="宋体" w:eastAsia="宋体" w:cs="宋体"/>
          <w:color w:val="auto"/>
          <w:sz w:val="24"/>
          <w:szCs w:val="24"/>
          <w:highlight w:val="none"/>
          <w:u w:val="single"/>
        </w:rPr>
        <w:t xml:space="preserve"> 无</w:t>
      </w:r>
      <w:r>
        <w:rPr>
          <w:rFonts w:hint="eastAsia" w:ascii="宋体" w:hAnsi="宋体" w:eastAsia="宋体" w:cs="宋体"/>
          <w:color w:val="auto"/>
          <w:sz w:val="24"/>
          <w:szCs w:val="24"/>
          <w:highlight w:val="none"/>
        </w:rPr>
        <w:t xml:space="preserve">。</w:t>
      </w:r>
      <w:r/>
    </w:p>
    <w:p>
      <w:pPr>
        <w:pStyle w:val="851"/>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七、质量保证及售后服务：</w:t>
      </w:r>
      <w:r/>
    </w:p>
    <w:p>
      <w:pPr>
        <w:pStyle w:val="85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1、乙方应按招标文件规定及投标文件承诺的技术性能、技术要求、质量标准向甲方提供服务；若无特殊说明，则按国家有关部门最新颁布的标准及规范为准。</w:t>
      </w:r>
      <w:r/>
    </w:p>
    <w:p>
      <w:pPr>
        <w:pStyle w:val="85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2、乙方应保证其提供的服务是全面和规范的，并完全符合招标文件。如因乙方提供的服务有瑕疵造成甲方损失的，所需费用由乙方承担。</w:t>
      </w:r>
      <w:r/>
    </w:p>
    <w:p>
      <w:pPr>
        <w:pStyle w:val="85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3、如在使用过程中发生质量问题，乙方在接到甲方通知后在</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小时内到达甲方现场。</w:t>
      </w:r>
      <w:r/>
    </w:p>
    <w:p>
      <w:pPr>
        <w:pStyle w:val="85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4、免费维保期为30日。免费维保期内，乙方应对所提供服务出现的质量及安全问题负责处理解决并承担一切费用。</w:t>
      </w:r>
      <w:r/>
    </w:p>
    <w:p>
      <w:pPr>
        <w:pStyle w:val="851"/>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八、甲乙双方的权利和义务：</w:t>
      </w:r>
      <w:r/>
    </w:p>
    <w:p>
      <w:pPr>
        <w:pStyle w:val="85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（一）甲方权利</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1、甲方有权要求乙方按合同规定提供服务。</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2、乙方违反合同任何条款，甲方有权提前3天以书面形式通知乙方终止本合同。</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3、甲方在项目结束后，有权要求乙方提供招标文件和合同要求中约定的全部资料。</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4、甲方委托乙方研究形成的报告及相应成果知识产权归甲方所有。</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5、对乙方工作进度、质量进行督查，甲方有权按合同约定要求乙方调整进度。</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（二）甲方义务</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1、甲方必须遵守本合同之规定及相关法律规定。</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2、甲方应尽可能向乙方提供可靠、详细的资料，并保证资料的真实性、准确性。</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3、未经乙方书面同意，甲方不得向任何第三方提供审核项目的信息。</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4、对乙方开展的项目提供必要的协助和指导。</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5、按合同约定进度及时向乙方支付项目费用。</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（三）乙方权利</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1、乙方有权要求甲方遵守本合同规定及其附件。</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2、乙方有权要求甲方按合同约定的时间支付相关费用。</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（四）乙方义务</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1、乙方必须遵守本合同之规定及相关法律规定。</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2、乙方不得拒绝甲方委托乙方研究内容的相关咨询，对甲方的咨询乙方必须给予正式的书面答复，并应具有科学性和适用性。</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3、乙方按照本合同及招标文件和乙方的投标文件为甲方提供服务工作，乙方需要对项目组成员进行调整时，须书面征得甲方同意。</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4、非经甲方书面同意，乙方不得向任何第三方透露项目的任何内容。</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5、乙方不得向任何第三方透露从甲方得到或研究发现的甲方内部信息。</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6、乙方人员在甲方活动时，需听从甲方有关人员安排和引导。</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7、甲方提出收回向乙方提供的有关资料时，乙方应按照甲方要求将有关资料及其复制件返还甲方。</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8、在甲方统筹协调下开展实施方案前期调研和资料收集工作。</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9、乙方按照合同约定进度和质量要求完成项目。</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10、合同规定期限内，乙方完成项目时，提交成果文本文件、电子文件等。</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11、乙方保留收集的客观资料。</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12、乙方完成本协议工作内容所发生的人工、住宿、交通、餐饮等费用由乙方承担。</w:t>
      </w:r>
      <w:r/>
    </w:p>
    <w:p>
      <w:pPr>
        <w:pStyle w:val="801"/>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九、违约责任</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因自身原因导致继续履行本合同已无意义的，甲方可以要求解除本合同，解除通知发出后满7天合同即终止，合同款项按终止日结算，已支付但超出结算款项部分乙方应予退还甲方，已支付款项少于结算款项的，甲方应向乙方支付差额部分。</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2、乙方因无力履行合同提出解约，须全额返还甲方已支付的款项，并向甲方支付合同项目总费用100%的违约金。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3、乙方应按照甲方规定的时间提供抽检服务，并将结果交付甲方。如果乙方无正当理由拖延服务期限，甲方有权终止合同，乙方应就未完成部分退还甲方，并支付20%的违约金。</w:t>
      </w:r>
      <w:r/>
    </w:p>
    <w:p>
      <w:pPr>
        <w:pStyle w:val="77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履行合同过程中，乙方遇到不能按时提供服务的情况，应及时以书面形式将不能按时提供服务的理由及可能延误的时间通知甲方。甲方在收到乙方通知后，应对情况进行分析，决定是否修改合同或终止合同；同时保留索赔的权力。</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4、未经甲方允许，乙方将项目审核任务转包或违法分包的，甲方有权终止合同，并计扣乙方合同价20%的违约金。</w:t>
      </w:r>
      <w:r/>
    </w:p>
    <w:p>
      <w:pPr>
        <w:pStyle w:val="801"/>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十、不可抗力事件处理</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1、在合同有效期内，任何一方因不可抗力事件导致不能履行合同，则合同履行期可延长，其延长期与不可抗力影响期相同。</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2、不可抗力事件发生后，应立即通知对方，并寄送有关权威机构出具的证明。</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3、不可抗力事件延续120天以上，双方应通过友好协商，确定是否继续履行合同。</w:t>
      </w:r>
      <w:r/>
    </w:p>
    <w:p>
      <w:pPr>
        <w:pStyle w:val="801"/>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十一、合同生效及其它约定事项</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1、合同经双方法定代表人或授权代表人签字并加盖单位公章后生效。</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2、招标文件和乙方的投标文件为本合同的不可分割的组成部分，与本合同具有同样效力。</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3、知识产权保证：</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乙方保证甲方在使用、接受本合同服务或其任何一部分时，不受第三方提出侵犯其专利权、版权、商标权和工业设计权等知识产权的起诉。一旦出现侵权，由乙方负全部责任。</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4、产权保证：</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乙方保证所交付的服务和服务所涉及的物品所有权无任何抵押、查封等权利瑕疵。</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5、转包或分包：本合同禁止转包，本合同范围的服务，应由乙方直接提供的，不得转让他人提供。经甲方同意，乙方可以依法采取分包方式履行合同，但是分包方式履行的，乙方应就采购项目向甲方负全责。</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6、本合同附件为本合同组成部分，与本合同具有同等效力。</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7、合同执行中涉及采购资金和采购内容修改或补充的，须经财政部门审批，并签书面补充协议报财政部门备案，方可作为主合同不可分割的一部分。</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8、本合同未注明事项，招标文件中有规定的，按招标文件中的规定处理，没有规定的，按照国家的有关规定处理。</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9、本合同未尽事宜甲乙双方协商解决，协商不一致时，向甲方所在地人民法院起诉。</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10、本合同一式</w:t>
      </w:r>
      <w:r>
        <w:rPr>
          <w:rFonts w:hint="eastAsia" w:ascii="宋体" w:hAnsi="宋体" w:eastAsia="宋体" w:cs="宋体"/>
          <w:color w:val="auto"/>
          <w:sz w:val="24"/>
          <w:szCs w:val="24"/>
          <w:highlight w:val="none"/>
          <w:u w:val="single"/>
        </w:rPr>
        <w:t xml:space="preserve">陆</w:t>
      </w:r>
      <w:r>
        <w:rPr>
          <w:rFonts w:hint="eastAsia" w:ascii="宋体" w:hAnsi="宋体" w:eastAsia="宋体" w:cs="宋体"/>
          <w:color w:val="auto"/>
          <w:sz w:val="24"/>
          <w:szCs w:val="24"/>
          <w:highlight w:val="none"/>
        </w:rPr>
        <w:t xml:space="preserve">份，具有同等法律效力，甲方执</w:t>
      </w:r>
      <w:r>
        <w:rPr>
          <w:rFonts w:hint="eastAsia" w:ascii="宋体" w:hAnsi="宋体" w:eastAsia="宋体" w:cs="宋体"/>
          <w:color w:val="auto"/>
          <w:sz w:val="24"/>
          <w:szCs w:val="24"/>
          <w:highlight w:val="none"/>
          <w:u w:val="single"/>
        </w:rPr>
        <w:t xml:space="preserve">贰</w:t>
      </w:r>
      <w:r>
        <w:rPr>
          <w:rFonts w:hint="eastAsia" w:ascii="宋体" w:hAnsi="宋体" w:eastAsia="宋体" w:cs="宋体"/>
          <w:color w:val="auto"/>
          <w:sz w:val="24"/>
          <w:szCs w:val="24"/>
          <w:highlight w:val="none"/>
        </w:rPr>
        <w:t xml:space="preserve">份、乙方执</w:t>
      </w:r>
      <w:r>
        <w:rPr>
          <w:rFonts w:hint="eastAsia" w:ascii="宋体" w:hAnsi="宋体" w:eastAsia="宋体" w:cs="宋体"/>
          <w:color w:val="auto"/>
          <w:sz w:val="24"/>
          <w:szCs w:val="24"/>
          <w:highlight w:val="none"/>
          <w:u w:val="single"/>
        </w:rPr>
        <w:t xml:space="preserve">贰</w:t>
      </w:r>
      <w:r>
        <w:rPr>
          <w:rFonts w:hint="eastAsia" w:ascii="宋体" w:hAnsi="宋体" w:eastAsia="宋体" w:cs="宋体"/>
          <w:color w:val="auto"/>
          <w:sz w:val="24"/>
          <w:szCs w:val="24"/>
          <w:highlight w:val="none"/>
        </w:rPr>
        <w:t xml:space="preserve">份，采购代理机构</w:t>
      </w:r>
      <w:r>
        <w:rPr>
          <w:rFonts w:hint="eastAsia" w:ascii="宋体" w:hAnsi="宋体" w:eastAsia="宋体" w:cs="宋体"/>
          <w:color w:val="auto"/>
          <w:sz w:val="24"/>
          <w:szCs w:val="24"/>
          <w:highlight w:val="none"/>
          <w:u w:val="single"/>
        </w:rPr>
        <w:t xml:space="preserve">壹份</w:t>
      </w:r>
      <w:r>
        <w:rPr>
          <w:rFonts w:hint="eastAsia" w:ascii="宋体" w:hAnsi="宋体" w:eastAsia="宋体" w:cs="宋体"/>
          <w:color w:val="auto"/>
          <w:sz w:val="24"/>
          <w:szCs w:val="24"/>
          <w:highlight w:val="none"/>
        </w:rPr>
        <w:t xml:space="preserve">存档，政府采购管理部门</w:t>
      </w:r>
      <w:r>
        <w:rPr>
          <w:rFonts w:hint="eastAsia" w:ascii="宋体" w:hAnsi="宋体" w:eastAsia="宋体" w:cs="宋体"/>
          <w:color w:val="auto"/>
          <w:sz w:val="24"/>
          <w:szCs w:val="24"/>
          <w:highlight w:val="none"/>
          <w:u w:val="single"/>
        </w:rPr>
        <w:t xml:space="preserve">壹份</w:t>
      </w:r>
      <w:r>
        <w:rPr>
          <w:rFonts w:hint="eastAsia" w:ascii="宋体" w:hAnsi="宋体" w:eastAsia="宋体" w:cs="宋体"/>
          <w:color w:val="auto"/>
          <w:sz w:val="24"/>
          <w:szCs w:val="24"/>
          <w:highlight w:val="none"/>
        </w:rPr>
        <w:t xml:space="preserve">备案。合同自双方签字盖章且乙方提交履约保证金后生效。本合同未尽事宜，由甲乙双方协商解决。</w:t>
      </w:r>
      <w:r/>
    </w:p>
    <w:p>
      <w:pPr>
        <w:pStyle w:val="801"/>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甲方和乙方由其正式授权代表于上述所写日期和地点签订本合同。</w:t>
      </w:r>
      <w:r/>
    </w:p>
    <w:p>
      <w:pPr>
        <w:pStyle w:val="801"/>
        <w:spacing w:line="520" w:lineRule="exact"/>
        <w:rPr>
          <w:rFonts w:ascii="宋体" w:hAnsi="宋体"/>
          <w:color w:val="auto"/>
          <w:sz w:val="24"/>
          <w:highlight w:val="none"/>
        </w:rPr>
      </w:pPr>
      <w:r>
        <w:rPr>
          <w:rFonts w:ascii="宋体" w:hAnsi="宋体"/>
          <w:color w:val="auto"/>
          <w:sz w:val="24"/>
          <w:highlight w:val="none"/>
        </w:rPr>
      </w:r>
      <w:r/>
    </w:p>
    <w:p>
      <w:pPr>
        <w:pStyle w:val="801"/>
        <w:ind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甲方（签章）： </w:t>
      </w:r>
      <w:r/>
    </w:p>
    <w:p>
      <w:pPr>
        <w:pStyle w:val="801"/>
        <w:ind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地址：  </w:t>
      </w:r>
      <w:r/>
    </w:p>
    <w:p>
      <w:pPr>
        <w:pStyle w:val="801"/>
        <w:ind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邮编： </w:t>
      </w:r>
      <w:r/>
    </w:p>
    <w:p>
      <w:pPr>
        <w:pStyle w:val="801"/>
        <w:ind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传真： </w:t>
      </w:r>
      <w:r/>
    </w:p>
    <w:p>
      <w:pPr>
        <w:pStyle w:val="801"/>
        <w:ind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电话： </w:t>
      </w:r>
      <w:r/>
    </w:p>
    <w:p>
      <w:pPr>
        <w:pStyle w:val="801"/>
        <w:ind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法定代表人或授权代表(签名)： </w:t>
      </w:r>
      <w:r/>
    </w:p>
    <w:p>
      <w:pPr>
        <w:pStyle w:val="801"/>
        <w:ind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r>
      <w:r/>
    </w:p>
    <w:p>
      <w:pPr>
        <w:pStyle w:val="801"/>
        <w:ind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乙方（签章）：</w:t>
      </w:r>
      <w:r/>
    </w:p>
    <w:p>
      <w:pPr>
        <w:pStyle w:val="801"/>
        <w:ind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地址： </w:t>
      </w:r>
      <w:r/>
    </w:p>
    <w:p>
      <w:pPr>
        <w:pStyle w:val="801"/>
        <w:ind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邮编： </w:t>
      </w:r>
      <w:r/>
    </w:p>
    <w:p>
      <w:pPr>
        <w:pStyle w:val="801"/>
        <w:ind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传真：</w:t>
      </w:r>
      <w:r/>
    </w:p>
    <w:p>
      <w:pPr>
        <w:pStyle w:val="801"/>
        <w:ind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电话：</w:t>
      </w:r>
      <w:r/>
    </w:p>
    <w:p>
      <w:pPr>
        <w:pStyle w:val="801"/>
        <w:ind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开户银行：      </w:t>
      </w:r>
      <w:r/>
    </w:p>
    <w:p>
      <w:pPr>
        <w:pStyle w:val="801"/>
        <w:ind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银行</w:t>
      </w:r>
      <w:r>
        <w:rPr>
          <w:rFonts w:hint="eastAsia" w:ascii="宋体" w:hAnsi="宋体"/>
          <w:color w:val="auto"/>
          <w:sz w:val="24"/>
          <w:highlight w:val="none"/>
          <w:lang w:val="en-US" w:eastAsia="zh-CN"/>
        </w:rPr>
        <w:t xml:space="preserve">账</w:t>
      </w:r>
      <w:r>
        <w:rPr>
          <w:rFonts w:ascii="宋体" w:hAnsi="宋体"/>
          <w:color w:val="auto"/>
          <w:sz w:val="24"/>
          <w:highlight w:val="none"/>
        </w:rPr>
        <w:t xml:space="preserve">号：</w:t>
      </w:r>
      <w:r/>
    </w:p>
    <w:p>
      <w:pPr>
        <w:pStyle w:val="796"/>
        <w:ind w:firstLine="480"/>
        <w:keepLines w:val="0"/>
        <w:keepNext w:val="0"/>
        <w:pageBreakBefore w:val="0"/>
        <w:spacing w:line="360" w:lineRule="auto"/>
        <w:widowControl w:val="off"/>
        <w:rPr>
          <w:rFonts w:ascii="宋体" w:hAnsi="宋体"/>
          <w:color w:val="auto"/>
          <w:sz w:val="24"/>
          <w:highlight w:val="none"/>
        </w:rPr>
        <w:sectPr>
          <w:footerReference w:type="default" r:id="rId10"/>
          <w:footnotePr/>
          <w:endnotePr/>
          <w:type w:val="nextPage"/>
          <w:pgSz w:w="11906" w:h="16838" w:orient="portrait"/>
          <w:pgMar w:top="1417" w:right="1587" w:bottom="1417" w:left="1587" w:header="851" w:footer="992" w:gutter="0"/>
          <w:cols w:num="1" w:sep="0" w:space="1701" w:equalWidth="1"/>
          <w:docGrid w:linePitch="360"/>
        </w:sectPr>
      </w:pPr>
      <w:r>
        <w:rPr>
          <w:rFonts w:ascii="宋体" w:hAnsi="宋体"/>
          <w:color w:val="auto"/>
          <w:sz w:val="24"/>
          <w:highlight w:val="none"/>
        </w:rPr>
        <w:t xml:space="preserve">法定代表人或授权代表(签名)： _______________</w:t>
      </w:r>
      <w:r/>
    </w:p>
    <w:p>
      <w:pPr>
        <w:pStyle w:val="887"/>
        <w:rPr>
          <w:rFonts w:hint="eastAsia" w:ascii="宋体" w:hAnsi="宋体" w:eastAsia="宋体" w:cs="宋体"/>
          <w:color w:val="auto"/>
          <w:highlight w:val="none"/>
        </w:rPr>
      </w:pPr>
      <w:r>
        <w:rPr>
          <w:rFonts w:hint="eastAsia" w:ascii="宋体" w:hAnsi="宋体" w:eastAsia="宋体" w:cs="宋体"/>
          <w:color w:val="auto"/>
          <w:highlight w:val="none"/>
        </w:rPr>
        <w:t xml:space="preserve">第六章</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采购需求</w:t>
      </w:r>
      <w:r/>
    </w:p>
    <w:p>
      <w:pPr>
        <w:numPr>
          <w:ilvl w:val="0"/>
          <w:numId w:val="2"/>
        </w:numPr>
        <w:jc w:val="left"/>
        <w:keepLines/>
        <w:keepNext/>
        <w:spacing w:before="50"/>
        <w:widowControl w:val="off"/>
        <w:tabs>
          <w:tab w:val="left" w:pos="0" w:leader="none"/>
        </w:tabs>
        <w:rPr>
          <w:rFonts w:ascii="宋体" w:hAnsi="宋体" w:eastAsia="宋体" w:cs="Times New Roman"/>
          <w:b/>
          <w:bCs/>
          <w:color w:val="auto"/>
          <w:sz w:val="24"/>
          <w:szCs w:val="24"/>
          <w:highlight w:val="none"/>
          <w:lang w:val="en-US" w:eastAsia="zh-CN" w:bidi="ar-SA"/>
        </w:rPr>
        <w:outlineLvl w:val="1"/>
      </w:pPr>
      <w:r>
        <w:rPr>
          <w:rFonts w:ascii="宋体" w:hAnsi="宋体" w:eastAsia="宋体" w:cs="Times New Roman"/>
          <w:b/>
          <w:bCs/>
          <w:color w:val="auto"/>
          <w:sz w:val="24"/>
          <w:szCs w:val="24"/>
          <w:highlight w:val="none"/>
          <w:lang w:val="en-US" w:eastAsia="zh-CN" w:bidi="ar-SA"/>
        </w:rPr>
        <w:t xml:space="preserve">项目</w:t>
      </w:r>
      <w:r>
        <w:rPr>
          <w:rFonts w:hint="eastAsia" w:ascii="宋体" w:hAnsi="宋体" w:eastAsia="宋体" w:cs="Times New Roman"/>
          <w:b/>
          <w:bCs/>
          <w:color w:val="auto"/>
          <w:sz w:val="24"/>
          <w:szCs w:val="24"/>
          <w:highlight w:val="none"/>
          <w:lang w:val="en-US" w:eastAsia="zh-CN" w:bidi="ar-SA"/>
        </w:rPr>
        <w:t xml:space="preserve">概况</w:t>
      </w:r>
      <w:r/>
    </w:p>
    <w:p>
      <w:pPr>
        <w:numPr>
          <w:ilvl w:val="0"/>
          <w:numId w:val="3"/>
        </w:numPr>
        <w:ind w:firstLine="480"/>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val="en-US" w:eastAsia="zh-CN" w:bidi="ar-SA"/>
        </w:rPr>
        <w:t xml:space="preserve">徐州市市场监督管理局食品安全监督抽检</w:t>
      </w:r>
      <w:r/>
    </w:p>
    <w:p>
      <w:pPr>
        <w:ind w:firstLine="480"/>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2、项目预算：</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本项目预算金额317万元人民币，其中</w:t>
      </w:r>
      <w:r>
        <w:rPr>
          <w:rFonts w:hint="eastAsia" w:ascii="宋体" w:hAnsi="宋体" w:eastAsia="宋体" w:cs="宋体"/>
          <w:color w:val="auto"/>
          <w:sz w:val="24"/>
          <w:szCs w:val="24"/>
          <w:highlight w:val="none"/>
          <w:lang w:val="en-US" w:eastAsia="zh-CN" w:bidi="ar-SA"/>
        </w:rPr>
        <w:t xml:space="preserve">食品安全监督抽检（采购包一）预算金额193万元人民币，不接受单批次报价超过849元人民币、总任务量低于2274批次的投标报价；食品安全监督抽检（采购包</w:t>
      </w:r>
      <w:r>
        <w:rPr>
          <w:rFonts w:hint="eastAsia" w:ascii="宋体" w:hAnsi="宋体" w:eastAsia="宋体" w:cs="宋体"/>
          <w:color w:val="auto"/>
          <w:sz w:val="24"/>
          <w:szCs w:val="24"/>
          <w:highlight w:val="none"/>
          <w:lang w:val="en-US" w:eastAsia="zh-CN" w:bidi="ar-SA"/>
        </w:rPr>
        <w:t xml:space="preserve">二）预算金额29万元人民币，不接受单批次报价超过849元人民币、总任务量低于342批次的投标报价；食品安全监督抽检（采购包三）预算金额29万元人民币，不接受单批次报价超过849元人民币、总任务量低于342批次的投标报价；食品安全监督抽检（采购包四）预算金额28万元人民币，不接受单批次报价超过849元人民币、总任务量低于330批次的投标报价；食品安全监督抽检（采购包五）预算金额28万元人民币，不接受单批次报价超过849元人民币、总任务量低于330批次的投标报价；承检机构评价（采购包六）预算金额10万元人民币。</w:t>
      </w:r>
      <w:r/>
    </w:p>
    <w:p>
      <w:pPr>
        <w:ind w:firstLine="480"/>
        <w:jc w:val="left"/>
        <w:spacing w:line="360" w:lineRule="auto"/>
        <w:widowControl w:val="off"/>
        <w:rPr>
          <w:rFonts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投标批次数量需根据预算金额除以投标单价得出，且为整数。2、报价包含包括政府采购代理费、采样费、检测费、买样费、各种税费、交通费、人工、保险、利润、税金、复检合格应支付给复检机构的复检费用及合同包含的所有风险、责任等各项应有的全部费用，采购人不再支付报价以外的任何费用。）</w:t>
      </w:r>
      <w:r/>
    </w:p>
    <w:p>
      <w:pPr>
        <w:ind w:firstLine="480"/>
        <w:jc w:val="left"/>
        <w:spacing w:line="360" w:lineRule="auto"/>
        <w:widowControl w:val="off"/>
        <w:rPr>
          <w:rFonts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0"/>
          <w:highlight w:val="none"/>
          <w:lang w:val="en-US" w:eastAsia="zh-CN" w:bidi="ar-SA"/>
        </w:rPr>
        <w:t xml:space="preserve">3、项目属性：服务，</w:t>
      </w:r>
      <w:r>
        <w:rPr>
          <w:rFonts w:hint="eastAsia" w:ascii="宋体" w:hAnsi="宋体" w:eastAsia="宋体" w:cs="宋体"/>
          <w:b/>
          <w:bCs/>
          <w:color w:val="auto"/>
          <w:sz w:val="24"/>
          <w:szCs w:val="24"/>
          <w:highlight w:val="none"/>
          <w:lang w:val="en-US" w:eastAsia="zh-CN" w:bidi="ar-SA"/>
        </w:rPr>
        <w:t xml:space="preserve">本项目是不专门面向中小微企业采购的项目</w:t>
      </w:r>
      <w:r/>
    </w:p>
    <w:p>
      <w:pPr>
        <w:ind w:firstLine="480"/>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4、项目地点：徐州市</w:t>
      </w:r>
      <w:r/>
    </w:p>
    <w:p>
      <w:pPr>
        <w:ind w:firstLine="480"/>
        <w:jc w:val="left"/>
        <w:spacing w:line="360" w:lineRule="auto"/>
        <w:widowControl/>
        <w:rPr>
          <w:rFonts w:hint="default" w:ascii="宋体" w:hAnsi="宋体" w:eastAsia="宋体" w:cs="宋体"/>
          <w:b/>
          <w:color w:val="auto"/>
          <w:sz w:val="24"/>
          <w:szCs w:val="22"/>
          <w:highlight w:val="none"/>
        </w:rPr>
      </w:pPr>
      <w:r>
        <w:rPr>
          <w:rFonts w:hint="eastAsia" w:ascii="宋体" w:hAnsi="宋体" w:eastAsia="宋体" w:cs="宋体"/>
          <w:color w:val="auto"/>
          <w:sz w:val="24"/>
          <w:szCs w:val="24"/>
          <w:highlight w:val="none"/>
        </w:rPr>
        <w:t xml:space="preserve">5、服务期限：</w:t>
      </w:r>
      <w:r>
        <w:rPr>
          <w:rFonts w:hint="eastAsia" w:ascii="宋体" w:hAnsi="宋体" w:eastAsia="宋体" w:cs="宋体"/>
          <w:b/>
          <w:color w:val="auto"/>
          <w:sz w:val="24"/>
          <w:szCs w:val="22"/>
          <w:highlight w:val="none"/>
        </w:rPr>
        <w:t xml:space="preserve">自合同签字之日起至202</w:t>
      </w:r>
      <w:r>
        <w:rPr>
          <w:rFonts w:hint="eastAsia" w:ascii="宋体" w:hAnsi="宋体" w:eastAsia="宋体" w:cs="宋体"/>
          <w:b/>
          <w:color w:val="auto"/>
          <w:sz w:val="24"/>
          <w:szCs w:val="22"/>
          <w:highlight w:val="none"/>
          <w:lang w:val="en-US" w:eastAsia="zh-CN"/>
        </w:rPr>
        <w:t xml:space="preserve">6</w:t>
      </w:r>
      <w:r>
        <w:rPr>
          <w:rFonts w:hint="eastAsia" w:ascii="宋体" w:hAnsi="宋体" w:eastAsia="宋体" w:cs="宋体"/>
          <w:b/>
          <w:color w:val="auto"/>
          <w:sz w:val="24"/>
          <w:szCs w:val="22"/>
          <w:highlight w:val="none"/>
        </w:rPr>
        <w:t xml:space="preserve">年1</w:t>
      </w:r>
      <w:r>
        <w:rPr>
          <w:rFonts w:hint="eastAsia" w:ascii="宋体" w:hAnsi="宋体" w:eastAsia="宋体" w:cs="宋体"/>
          <w:b/>
          <w:color w:val="auto"/>
          <w:sz w:val="24"/>
          <w:szCs w:val="22"/>
          <w:highlight w:val="none"/>
          <w:lang w:val="en-US" w:eastAsia="zh-CN"/>
        </w:rPr>
        <w:t xml:space="preserve">1</w:t>
      </w:r>
      <w:r>
        <w:rPr>
          <w:rFonts w:hint="eastAsia" w:ascii="宋体" w:hAnsi="宋体" w:eastAsia="宋体" w:cs="宋体"/>
          <w:b/>
          <w:color w:val="auto"/>
          <w:sz w:val="24"/>
          <w:szCs w:val="22"/>
          <w:highlight w:val="none"/>
        </w:rPr>
        <w:t xml:space="preserve">月3</w:t>
      </w:r>
      <w:r>
        <w:rPr>
          <w:rFonts w:hint="eastAsia" w:ascii="宋体" w:hAnsi="宋体" w:eastAsia="宋体" w:cs="宋体"/>
          <w:b/>
          <w:color w:val="auto"/>
          <w:sz w:val="24"/>
          <w:szCs w:val="22"/>
          <w:highlight w:val="none"/>
          <w:lang w:val="en-US" w:eastAsia="zh-CN"/>
        </w:rPr>
        <w:t xml:space="preserve">0</w:t>
      </w:r>
      <w:r>
        <w:rPr>
          <w:rFonts w:hint="eastAsia" w:ascii="宋体" w:hAnsi="宋体" w:eastAsia="宋体" w:cs="宋体"/>
          <w:b/>
          <w:color w:val="auto"/>
          <w:sz w:val="24"/>
          <w:szCs w:val="22"/>
          <w:highlight w:val="none"/>
        </w:rPr>
        <w:t xml:space="preserve">日</w:t>
      </w:r>
      <w:r/>
    </w:p>
    <w:p>
      <w:pPr>
        <w:ind w:firstLine="480"/>
        <w:jc w:val="left"/>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6、项目背景：</w:t>
      </w:r>
      <w:r>
        <w:rPr>
          <w:rFonts w:hint="eastAsia" w:ascii="宋体" w:hAnsi="宋体" w:eastAsia="宋体" w:cs="宋体"/>
          <w:color w:val="auto"/>
          <w:sz w:val="24"/>
          <w:szCs w:val="24"/>
          <w:highlight w:val="none"/>
          <w:lang w:val="en-US" w:eastAsia="zh-CN" w:bidi="ar-SA"/>
        </w:rPr>
        <w:t xml:space="preserve">为确保徐州市食品安全抽检监测工作顺利开展，现向全国范围内进行检验机构招标，承担2026年徐州市食品安全抽检监测任务。</w:t>
      </w:r>
      <w:r/>
    </w:p>
    <w:p>
      <w:pPr>
        <w:ind w:left="0" w:firstLine="0"/>
        <w:jc w:val="both"/>
        <w:spacing w:after="0" w:line="360" w:lineRule="auto"/>
        <w:widowControl w:val="off"/>
        <w:rPr>
          <w:rFonts w:ascii="宋体" w:hAnsi="宋体" w:eastAsia="宋体" w:cs="Times New Roman"/>
          <w:color w:val="auto"/>
          <w:sz w:val="20"/>
          <w:szCs w:val="20"/>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二、</w:t>
      </w:r>
      <w:r>
        <w:rPr>
          <w:rFonts w:ascii="宋体" w:hAnsi="宋体" w:eastAsia="宋体" w:cs="Times New Roman"/>
          <w:b/>
          <w:bCs/>
          <w:color w:val="auto"/>
          <w:sz w:val="24"/>
          <w:szCs w:val="24"/>
          <w:highlight w:val="none"/>
          <w:lang w:val="en-US" w:eastAsia="zh-CN" w:bidi="ar-SA"/>
        </w:rPr>
        <w:t xml:space="preserve">服务范围</w:t>
      </w:r>
      <w:r/>
    </w:p>
    <w:p>
      <w:pPr>
        <w:ind w:left="0" w:firstLine="480"/>
        <w:jc w:val="both"/>
        <w:spacing w:after="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w:t>
      </w:r>
      <w:r>
        <w:rPr>
          <w:rFonts w:hint="eastAsia" w:ascii="宋体" w:hAnsi="宋体" w:eastAsia="宋体" w:cs="宋体"/>
          <w:color w:val="auto"/>
          <w:sz w:val="24"/>
          <w:szCs w:val="20"/>
          <w:highlight w:val="none"/>
          <w:lang w:val="en-US" w:eastAsia="zh-CN" w:bidi="ar-SA"/>
        </w:rPr>
        <w:t xml:space="preserve">食品安全监督抽检（采购包一）</w:t>
      </w:r>
      <w:r>
        <w:rPr>
          <w:rFonts w:hint="eastAsia" w:ascii="宋体" w:hAnsi="宋体" w:eastAsia="宋体" w:cs="Times New Roman"/>
          <w:color w:val="auto"/>
          <w:sz w:val="24"/>
          <w:szCs w:val="24"/>
          <w:highlight w:val="none"/>
          <w:lang w:val="en-US" w:eastAsia="zh-CN" w:bidi="ar-SA"/>
        </w:rPr>
        <w:t xml:space="preserve">服务范围</w:t>
      </w:r>
      <w:r>
        <w:rPr>
          <w:rFonts w:ascii="宋体" w:hAnsi="宋体" w:eastAsia="宋体" w:cs="Times New Roman"/>
          <w:color w:val="auto"/>
          <w:sz w:val="24"/>
          <w:szCs w:val="24"/>
          <w:highlight w:val="none"/>
          <w:lang w:val="en-US" w:eastAsia="zh-CN" w:bidi="ar-SA"/>
        </w:rPr>
        <w:t xml:space="preserve">：</w:t>
      </w:r>
      <w:r/>
    </w:p>
    <w:p>
      <w:pPr>
        <w:ind w:left="0" w:firstLine="480"/>
        <w:jc w:val="left"/>
        <w:spacing w:after="0" w:line="360" w:lineRule="auto"/>
        <w:widowControl w:val="off"/>
        <w:rPr>
          <w:rFonts w:ascii="宋体" w:hAnsi="宋体" w:eastAsia="宋体" w:cs="Times New Roman"/>
          <w:bCs/>
          <w:color w:val="auto"/>
          <w:sz w:val="24"/>
          <w:szCs w:val="24"/>
          <w:highlight w:val="none"/>
          <w:lang w:val="en-US" w:eastAsia="zh-CN" w:bidi="ar-SA"/>
        </w:rPr>
      </w:pPr>
      <w:r>
        <w:rPr>
          <w:rFonts w:ascii="宋体" w:hAnsi="宋体" w:eastAsia="宋体" w:cs="Times New Roman"/>
          <w:bCs/>
          <w:color w:val="auto"/>
          <w:sz w:val="24"/>
          <w:szCs w:val="24"/>
          <w:highlight w:val="none"/>
          <w:lang w:val="en-US" w:eastAsia="zh-CN" w:bidi="ar-SA"/>
        </w:rPr>
        <w:t xml:space="preserve">对徐州市开展</w:t>
      </w:r>
      <w:r>
        <w:rPr>
          <w:rFonts w:hint="eastAsia" w:ascii="宋体" w:hAnsi="宋体" w:eastAsia="宋体" w:cs="Times New Roman"/>
          <w:bCs/>
          <w:color w:val="auto"/>
          <w:sz w:val="24"/>
          <w:szCs w:val="24"/>
          <w:highlight w:val="none"/>
          <w:lang w:val="en-US" w:eastAsia="zh-CN" w:bidi="ar-SA"/>
        </w:rPr>
        <w:t xml:space="preserve">网络餐饮、</w:t>
      </w:r>
      <w:r>
        <w:rPr>
          <w:rFonts w:hint="eastAsia" w:ascii="宋体" w:hAnsi="宋体" w:eastAsia="宋体" w:cs="Times New Roman"/>
          <w:color w:val="auto"/>
          <w:sz w:val="24"/>
          <w:szCs w:val="24"/>
          <w:highlight w:val="none"/>
          <w:lang w:val="en-US" w:eastAsia="zh-CN" w:bidi="ar-SA"/>
        </w:rPr>
        <w:t xml:space="preserve">集中配餐、校园食品、校园大宗食材、养老机构食品、生产企业跟踪抽检(不合格食品专项)、你点我检及</w:t>
      </w:r>
      <w:r>
        <w:rPr>
          <w:rFonts w:hint="eastAsia" w:ascii="宋体" w:hAnsi="宋体" w:eastAsia="宋体" w:cs="Times New Roman"/>
          <w:color w:val="auto"/>
          <w:sz w:val="24"/>
          <w:szCs w:val="24"/>
          <w:highlight w:val="none"/>
          <w:lang w:val="en-US" w:eastAsia="zh-CN" w:bidi="ar-SA"/>
        </w:rPr>
        <w:t xml:space="preserve">应急投</w:t>
      </w:r>
      <w:r>
        <w:rPr>
          <w:rFonts w:hint="eastAsia" w:ascii="宋体" w:hAnsi="宋体" w:eastAsia="宋体" w:cs="Times New Roman"/>
          <w:bCs/>
          <w:color w:val="auto"/>
          <w:sz w:val="24"/>
          <w:szCs w:val="24"/>
          <w:highlight w:val="none"/>
          <w:lang w:val="en-US" w:eastAsia="zh-CN" w:bidi="ar-SA"/>
        </w:rPr>
        <w:t xml:space="preserve">诉</w:t>
      </w:r>
      <w:r>
        <w:rPr>
          <w:rFonts w:hint="eastAsia" w:ascii="宋体" w:hAnsi="宋体" w:eastAsia="宋体" w:cs="Times New Roman"/>
          <w:bCs/>
          <w:color w:val="auto"/>
          <w:sz w:val="24"/>
          <w:szCs w:val="24"/>
          <w:highlight w:val="none"/>
          <w:lang w:val="en-US" w:eastAsia="zh-CN" w:bidi="ar-SA"/>
        </w:rPr>
        <w:t xml:space="preserve">等食品安全</w:t>
      </w:r>
      <w:r>
        <w:rPr>
          <w:rFonts w:ascii="宋体" w:hAnsi="宋体" w:eastAsia="宋体" w:cs="Times New Roman"/>
          <w:bCs/>
          <w:color w:val="auto"/>
          <w:sz w:val="24"/>
          <w:szCs w:val="24"/>
          <w:highlight w:val="none"/>
          <w:lang w:val="en-US" w:eastAsia="zh-CN" w:bidi="ar-SA"/>
        </w:rPr>
        <w:t xml:space="preserve">监督抽检。</w:t>
      </w:r>
      <w:r/>
    </w:p>
    <w:p>
      <w:pPr>
        <w:ind w:left="0" w:firstLine="480"/>
        <w:jc w:val="both"/>
        <w:spacing w:after="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w:t>
      </w:r>
      <w:r>
        <w:rPr>
          <w:rFonts w:hint="eastAsia" w:ascii="宋体" w:hAnsi="宋体" w:eastAsia="宋体" w:cs="宋体"/>
          <w:color w:val="auto"/>
          <w:sz w:val="24"/>
          <w:szCs w:val="20"/>
          <w:highlight w:val="none"/>
          <w:lang w:val="en-US" w:eastAsia="zh-CN" w:bidi="ar-SA"/>
        </w:rPr>
        <w:t xml:space="preserve">食品安全监督抽检（采购包二）</w:t>
      </w:r>
      <w:r>
        <w:rPr>
          <w:rFonts w:hint="eastAsia" w:ascii="宋体" w:hAnsi="宋体" w:eastAsia="宋体" w:cs="Times New Roman"/>
          <w:color w:val="auto"/>
          <w:sz w:val="24"/>
          <w:szCs w:val="24"/>
          <w:highlight w:val="none"/>
          <w:lang w:val="en-US" w:eastAsia="zh-CN" w:bidi="ar-SA"/>
        </w:rPr>
        <w:t xml:space="preserve">服务范围</w:t>
      </w:r>
      <w:r>
        <w:rPr>
          <w:rFonts w:ascii="宋体" w:hAnsi="宋体" w:eastAsia="宋体" w:cs="Times New Roman"/>
          <w:color w:val="auto"/>
          <w:sz w:val="24"/>
          <w:szCs w:val="24"/>
          <w:highlight w:val="none"/>
          <w:lang w:val="en-US" w:eastAsia="zh-CN" w:bidi="ar-SA"/>
        </w:rPr>
        <w:t xml:space="preserve">：</w:t>
      </w:r>
      <w:r/>
    </w:p>
    <w:p>
      <w:pPr>
        <w:ind w:left="0" w:firstLine="480"/>
        <w:jc w:val="both"/>
        <w:spacing w:after="0" w:line="360" w:lineRule="auto"/>
        <w:widowControl w:val="off"/>
        <w:rPr>
          <w:rFonts w:ascii="宋体" w:hAnsi="宋体" w:eastAsia="宋体" w:cs="Times New Roman"/>
          <w:bCs/>
          <w:color w:val="auto"/>
          <w:sz w:val="24"/>
          <w:szCs w:val="24"/>
          <w:highlight w:val="none"/>
          <w:lang w:val="en-US" w:eastAsia="zh-CN" w:bidi="ar-SA"/>
        </w:rPr>
      </w:pPr>
      <w:r>
        <w:rPr>
          <w:rFonts w:ascii="宋体" w:hAnsi="宋体" w:eastAsia="宋体" w:cs="Times New Roman"/>
          <w:bCs/>
          <w:color w:val="auto"/>
          <w:sz w:val="24"/>
          <w:szCs w:val="24"/>
          <w:highlight w:val="none"/>
          <w:lang w:val="en-US" w:eastAsia="zh-CN" w:bidi="ar-SA"/>
        </w:rPr>
        <w:t xml:space="preserve">对徐州市开展</w:t>
      </w:r>
      <w:r>
        <w:rPr>
          <w:rFonts w:hint="eastAsia" w:ascii="宋体" w:hAnsi="宋体" w:eastAsia="宋体" w:cs="Times New Roman"/>
          <w:bCs/>
          <w:color w:val="auto"/>
          <w:sz w:val="24"/>
          <w:szCs w:val="24"/>
          <w:highlight w:val="none"/>
          <w:lang w:val="en-US" w:eastAsia="zh-CN" w:bidi="ar-SA"/>
        </w:rPr>
        <w:t xml:space="preserve">肉及</w:t>
      </w:r>
      <w:r>
        <w:rPr>
          <w:rFonts w:hint="eastAsia" w:ascii="宋体" w:hAnsi="宋体" w:eastAsia="宋体" w:cs="Times New Roman"/>
          <w:color w:val="auto"/>
          <w:sz w:val="24"/>
          <w:szCs w:val="24"/>
          <w:highlight w:val="none"/>
          <w:lang w:val="en-US" w:eastAsia="zh-CN" w:bidi="ar-SA"/>
        </w:rPr>
        <w:t xml:space="preserve">肉制品</w:t>
      </w:r>
      <w:r>
        <w:rPr>
          <w:rFonts w:hint="eastAsia" w:ascii="宋体" w:hAnsi="宋体" w:eastAsia="宋体" w:cs="Times New Roman"/>
          <w:bCs/>
          <w:color w:val="auto"/>
          <w:sz w:val="24"/>
          <w:szCs w:val="24"/>
          <w:highlight w:val="none"/>
          <w:lang w:val="en-US" w:eastAsia="zh-CN" w:bidi="ar-SA"/>
        </w:rPr>
        <w:t xml:space="preserve">、地方特色食品专项等食品</w:t>
      </w:r>
      <w:r>
        <w:rPr>
          <w:rFonts w:ascii="宋体" w:hAnsi="宋体" w:eastAsia="宋体" w:cs="Times New Roman"/>
          <w:bCs/>
          <w:color w:val="auto"/>
          <w:sz w:val="24"/>
          <w:szCs w:val="24"/>
          <w:highlight w:val="none"/>
          <w:lang w:val="en-US" w:eastAsia="zh-CN" w:bidi="ar-SA"/>
        </w:rPr>
        <w:t xml:space="preserve">安全</w:t>
      </w:r>
      <w:r>
        <w:rPr>
          <w:rFonts w:hint="eastAsia" w:ascii="宋体" w:hAnsi="宋体" w:eastAsia="宋体" w:cs="Times New Roman"/>
          <w:bCs/>
          <w:color w:val="auto"/>
          <w:sz w:val="24"/>
          <w:szCs w:val="24"/>
          <w:highlight w:val="none"/>
          <w:lang w:val="en-US" w:eastAsia="zh-CN" w:bidi="ar-SA"/>
        </w:rPr>
        <w:t xml:space="preserve">专项</w:t>
      </w:r>
      <w:r>
        <w:rPr>
          <w:rFonts w:ascii="宋体" w:hAnsi="宋体" w:eastAsia="宋体" w:cs="Times New Roman"/>
          <w:bCs/>
          <w:color w:val="auto"/>
          <w:sz w:val="24"/>
          <w:szCs w:val="24"/>
          <w:highlight w:val="none"/>
          <w:lang w:val="en-US" w:eastAsia="zh-CN" w:bidi="ar-SA"/>
        </w:rPr>
        <w:t xml:space="preserve">监督抽检。</w:t>
      </w:r>
      <w:r/>
    </w:p>
    <w:p>
      <w:pPr>
        <w:ind w:left="0" w:firstLine="480"/>
        <w:jc w:val="both"/>
        <w:spacing w:after="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w:t>
      </w:r>
      <w:r>
        <w:rPr>
          <w:rFonts w:hint="eastAsia" w:ascii="宋体" w:hAnsi="宋体" w:eastAsia="宋体" w:cs="宋体"/>
          <w:color w:val="auto"/>
          <w:sz w:val="24"/>
          <w:szCs w:val="20"/>
          <w:highlight w:val="none"/>
          <w:lang w:val="en-US" w:eastAsia="zh-CN" w:bidi="ar-SA"/>
        </w:rPr>
        <w:t xml:space="preserve">食品安全监督抽检（</w:t>
      </w:r>
      <w:r>
        <w:rPr>
          <w:rFonts w:hint="eastAsia" w:ascii="宋体" w:hAnsi="宋体" w:eastAsia="宋体" w:cs="宋体"/>
          <w:color w:val="auto"/>
          <w:sz w:val="24"/>
          <w:szCs w:val="20"/>
          <w:highlight w:val="none"/>
          <w:lang w:val="en-US" w:eastAsia="zh-CN" w:bidi="ar-SA"/>
        </w:rPr>
        <w:t xml:space="preserve">采购包</w:t>
      </w:r>
      <w:r>
        <w:rPr>
          <w:rFonts w:hint="eastAsia" w:ascii="宋体" w:hAnsi="宋体" w:eastAsia="宋体" w:cs="宋体"/>
          <w:color w:val="auto"/>
          <w:sz w:val="24"/>
          <w:szCs w:val="20"/>
          <w:highlight w:val="none"/>
          <w:lang w:val="en-US" w:eastAsia="zh-CN" w:bidi="ar-SA"/>
        </w:rPr>
        <w:t xml:space="preserve">三）</w:t>
      </w:r>
      <w:r>
        <w:rPr>
          <w:rFonts w:hint="eastAsia" w:ascii="宋体" w:hAnsi="宋体" w:eastAsia="宋体" w:cs="Times New Roman"/>
          <w:color w:val="auto"/>
          <w:sz w:val="24"/>
          <w:szCs w:val="24"/>
          <w:highlight w:val="none"/>
          <w:lang w:val="en-US" w:eastAsia="zh-CN" w:bidi="ar-SA"/>
        </w:rPr>
        <w:t xml:space="preserve">服务范围</w:t>
      </w:r>
      <w:r>
        <w:rPr>
          <w:rFonts w:ascii="宋体" w:hAnsi="宋体" w:eastAsia="宋体" w:cs="Times New Roman"/>
          <w:color w:val="auto"/>
          <w:sz w:val="24"/>
          <w:szCs w:val="24"/>
          <w:highlight w:val="none"/>
          <w:lang w:val="en-US" w:eastAsia="zh-CN" w:bidi="ar-SA"/>
        </w:rPr>
        <w:t xml:space="preserve">：</w:t>
      </w:r>
      <w:r/>
    </w:p>
    <w:p>
      <w:pPr>
        <w:ind w:left="0" w:firstLine="480"/>
        <w:jc w:val="both"/>
        <w:spacing w:after="0" w:line="360" w:lineRule="auto"/>
        <w:widowControl w:val="off"/>
        <w:rPr>
          <w:rFonts w:ascii="宋体" w:hAnsi="宋体" w:eastAsia="宋体" w:cs="Times New Roman"/>
          <w:bCs/>
          <w:color w:val="auto"/>
          <w:sz w:val="24"/>
          <w:szCs w:val="24"/>
          <w:highlight w:val="none"/>
          <w:lang w:val="en-US" w:eastAsia="zh-CN" w:bidi="ar-SA"/>
        </w:rPr>
      </w:pPr>
      <w:r>
        <w:rPr>
          <w:rFonts w:ascii="宋体" w:hAnsi="宋体" w:eastAsia="宋体" w:cs="Times New Roman"/>
          <w:bCs/>
          <w:color w:val="auto"/>
          <w:sz w:val="24"/>
          <w:szCs w:val="24"/>
          <w:highlight w:val="none"/>
          <w:lang w:val="en-US" w:eastAsia="zh-CN" w:bidi="ar-SA"/>
        </w:rPr>
        <w:t xml:space="preserve">对徐州市开展</w:t>
      </w:r>
      <w:r>
        <w:rPr>
          <w:rFonts w:hint="eastAsia" w:ascii="宋体" w:hAnsi="宋体" w:eastAsia="宋体" w:cs="Times New Roman"/>
          <w:bCs/>
          <w:color w:val="auto"/>
          <w:sz w:val="24"/>
          <w:szCs w:val="24"/>
          <w:highlight w:val="none"/>
          <w:lang w:val="en-US" w:eastAsia="zh-CN" w:bidi="ar-SA"/>
        </w:rPr>
        <w:t xml:space="preserve">保健食品、重点问题食用农产品等食品</w:t>
      </w:r>
      <w:r>
        <w:rPr>
          <w:rFonts w:ascii="宋体" w:hAnsi="宋体" w:eastAsia="宋体" w:cs="Times New Roman"/>
          <w:bCs/>
          <w:color w:val="auto"/>
          <w:sz w:val="24"/>
          <w:szCs w:val="24"/>
          <w:highlight w:val="none"/>
          <w:lang w:val="en-US" w:eastAsia="zh-CN" w:bidi="ar-SA"/>
        </w:rPr>
        <w:t xml:space="preserve">安全</w:t>
      </w:r>
      <w:r>
        <w:rPr>
          <w:rFonts w:hint="eastAsia" w:ascii="宋体" w:hAnsi="宋体" w:eastAsia="宋体" w:cs="Times New Roman"/>
          <w:bCs/>
          <w:color w:val="auto"/>
          <w:sz w:val="24"/>
          <w:szCs w:val="24"/>
          <w:highlight w:val="none"/>
          <w:lang w:val="en-US" w:eastAsia="zh-CN" w:bidi="ar-SA"/>
        </w:rPr>
        <w:t xml:space="preserve">专项</w:t>
      </w:r>
      <w:r>
        <w:rPr>
          <w:rFonts w:ascii="宋体" w:hAnsi="宋体" w:eastAsia="宋体" w:cs="Times New Roman"/>
          <w:bCs/>
          <w:color w:val="auto"/>
          <w:sz w:val="24"/>
          <w:szCs w:val="24"/>
          <w:highlight w:val="none"/>
          <w:lang w:val="en-US" w:eastAsia="zh-CN" w:bidi="ar-SA"/>
        </w:rPr>
        <w:t xml:space="preserve">监督抽检。</w:t>
      </w:r>
      <w:r/>
    </w:p>
    <w:p>
      <w:pPr>
        <w:ind w:left="0" w:firstLine="480"/>
        <w:jc w:val="both"/>
        <w:spacing w:after="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w:t>
      </w:r>
      <w:r>
        <w:rPr>
          <w:rFonts w:hint="eastAsia" w:ascii="宋体" w:hAnsi="宋体" w:eastAsia="宋体" w:cs="宋体"/>
          <w:color w:val="auto"/>
          <w:sz w:val="24"/>
          <w:szCs w:val="20"/>
          <w:highlight w:val="none"/>
          <w:lang w:val="en-US" w:eastAsia="zh-CN" w:bidi="ar-SA"/>
        </w:rPr>
        <w:t xml:space="preserve">食品安全监督抽检（</w:t>
      </w:r>
      <w:r>
        <w:rPr>
          <w:rFonts w:hint="eastAsia" w:ascii="宋体" w:hAnsi="宋体" w:eastAsia="宋体" w:cs="宋体"/>
          <w:color w:val="auto"/>
          <w:sz w:val="24"/>
          <w:szCs w:val="20"/>
          <w:highlight w:val="none"/>
          <w:lang w:val="en-US" w:eastAsia="zh-CN" w:bidi="ar-SA"/>
        </w:rPr>
        <w:t xml:space="preserve">采购包</w:t>
      </w:r>
      <w:r>
        <w:rPr>
          <w:rFonts w:hint="eastAsia" w:ascii="宋体" w:hAnsi="宋体" w:eastAsia="宋体" w:cs="宋体"/>
          <w:color w:val="auto"/>
          <w:sz w:val="24"/>
          <w:szCs w:val="20"/>
          <w:highlight w:val="none"/>
          <w:lang w:val="en-US" w:eastAsia="zh-CN" w:bidi="ar-SA"/>
        </w:rPr>
        <w:t xml:space="preserve">四）</w:t>
      </w:r>
      <w:r>
        <w:rPr>
          <w:rFonts w:hint="eastAsia" w:ascii="宋体" w:hAnsi="宋体" w:eastAsia="宋体" w:cs="Times New Roman"/>
          <w:color w:val="auto"/>
          <w:sz w:val="24"/>
          <w:szCs w:val="24"/>
          <w:highlight w:val="none"/>
          <w:lang w:val="en-US" w:eastAsia="zh-CN" w:bidi="ar-SA"/>
        </w:rPr>
        <w:t xml:space="preserve">服务范围</w:t>
      </w:r>
      <w:r>
        <w:rPr>
          <w:rFonts w:ascii="宋体" w:hAnsi="宋体" w:eastAsia="宋体" w:cs="Times New Roman"/>
          <w:color w:val="auto"/>
          <w:sz w:val="24"/>
          <w:szCs w:val="24"/>
          <w:highlight w:val="none"/>
          <w:lang w:val="en-US" w:eastAsia="zh-CN" w:bidi="ar-SA"/>
        </w:rPr>
        <w:t xml:space="preserve">：</w:t>
      </w:r>
      <w:r/>
    </w:p>
    <w:p>
      <w:pPr>
        <w:ind w:left="0" w:firstLine="480"/>
        <w:jc w:val="left"/>
        <w:spacing w:after="0" w:line="360" w:lineRule="auto"/>
        <w:widowControl w:val="off"/>
        <w:rPr>
          <w:rFonts w:ascii="宋体" w:hAnsi="宋体" w:eastAsia="宋体" w:cs="Times New Roman"/>
          <w:bCs/>
          <w:color w:val="auto"/>
          <w:sz w:val="24"/>
          <w:szCs w:val="24"/>
          <w:highlight w:val="none"/>
          <w:lang w:val="en-US" w:eastAsia="zh-CN" w:bidi="ar-SA"/>
        </w:rPr>
      </w:pPr>
      <w:r>
        <w:rPr>
          <w:rFonts w:ascii="宋体" w:hAnsi="宋体" w:eastAsia="宋体" w:cs="Times New Roman"/>
          <w:bCs/>
          <w:color w:val="auto"/>
          <w:sz w:val="24"/>
          <w:szCs w:val="24"/>
          <w:highlight w:val="none"/>
          <w:lang w:val="en-US" w:eastAsia="zh-CN" w:bidi="ar-SA"/>
        </w:rPr>
        <w:t xml:space="preserve">对徐州市开展</w:t>
      </w:r>
      <w:r>
        <w:rPr>
          <w:rFonts w:hint="eastAsia" w:ascii="宋体" w:hAnsi="宋体" w:eastAsia="宋体" w:cs="Times New Roman"/>
          <w:bCs/>
          <w:color w:val="auto"/>
          <w:sz w:val="24"/>
          <w:szCs w:val="24"/>
          <w:highlight w:val="none"/>
          <w:lang w:val="en-US" w:eastAsia="zh-CN" w:bidi="ar-SA"/>
        </w:rPr>
        <w:t xml:space="preserve">批发市场食用农产品等食品安全</w:t>
      </w:r>
      <w:r>
        <w:rPr>
          <w:rFonts w:ascii="宋体" w:hAnsi="宋体" w:eastAsia="宋体" w:cs="Times New Roman"/>
          <w:bCs/>
          <w:color w:val="auto"/>
          <w:sz w:val="24"/>
          <w:szCs w:val="24"/>
          <w:highlight w:val="none"/>
          <w:lang w:val="en-US" w:eastAsia="zh-CN" w:bidi="ar-SA"/>
        </w:rPr>
        <w:t xml:space="preserve">监督抽检。</w:t>
      </w:r>
      <w:r/>
    </w:p>
    <w:p>
      <w:pPr>
        <w:ind w:left="0" w:firstLine="480"/>
        <w:jc w:val="both"/>
        <w:spacing w:after="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w:t>
      </w:r>
      <w:r>
        <w:rPr>
          <w:rFonts w:hint="eastAsia" w:ascii="宋体" w:hAnsi="宋体" w:eastAsia="宋体" w:cs="宋体"/>
          <w:color w:val="auto"/>
          <w:sz w:val="24"/>
          <w:szCs w:val="20"/>
          <w:highlight w:val="none"/>
          <w:lang w:val="en-US" w:eastAsia="zh-CN" w:bidi="ar-SA"/>
        </w:rPr>
        <w:t xml:space="preserve">食品安全监督抽检（</w:t>
      </w:r>
      <w:r>
        <w:rPr>
          <w:rFonts w:hint="eastAsia" w:ascii="宋体" w:hAnsi="宋体" w:eastAsia="宋体" w:cs="宋体"/>
          <w:color w:val="auto"/>
          <w:sz w:val="24"/>
          <w:szCs w:val="20"/>
          <w:highlight w:val="none"/>
          <w:lang w:val="en-US" w:eastAsia="zh-CN" w:bidi="ar-SA"/>
        </w:rPr>
        <w:t xml:space="preserve">采购包</w:t>
      </w:r>
      <w:r>
        <w:rPr>
          <w:rFonts w:hint="eastAsia" w:ascii="宋体" w:hAnsi="宋体" w:eastAsia="宋体" w:cs="宋体"/>
          <w:color w:val="auto"/>
          <w:sz w:val="24"/>
          <w:szCs w:val="20"/>
          <w:highlight w:val="none"/>
          <w:lang w:val="en-US" w:eastAsia="zh-CN" w:bidi="ar-SA"/>
        </w:rPr>
        <w:t xml:space="preserve">五）</w:t>
      </w:r>
      <w:r>
        <w:rPr>
          <w:rFonts w:hint="eastAsia" w:ascii="宋体" w:hAnsi="宋体" w:eastAsia="宋体" w:cs="Times New Roman"/>
          <w:color w:val="auto"/>
          <w:sz w:val="24"/>
          <w:szCs w:val="24"/>
          <w:highlight w:val="none"/>
          <w:lang w:val="en-US" w:eastAsia="zh-CN" w:bidi="ar-SA"/>
        </w:rPr>
        <w:t xml:space="preserve">服务范围</w:t>
      </w:r>
      <w:r>
        <w:rPr>
          <w:rFonts w:ascii="宋体" w:hAnsi="宋体" w:eastAsia="宋体" w:cs="Times New Roman"/>
          <w:color w:val="auto"/>
          <w:sz w:val="24"/>
          <w:szCs w:val="24"/>
          <w:highlight w:val="none"/>
          <w:lang w:val="en-US" w:eastAsia="zh-CN" w:bidi="ar-SA"/>
        </w:rPr>
        <w:t xml:space="preserve">：</w:t>
      </w:r>
      <w:r/>
    </w:p>
    <w:p>
      <w:pPr>
        <w:ind w:left="0" w:firstLine="480"/>
        <w:jc w:val="both"/>
        <w:spacing w:after="0" w:line="360" w:lineRule="auto"/>
        <w:widowControl w:val="off"/>
        <w:rPr>
          <w:rFonts w:ascii="宋体" w:hAnsi="宋体" w:eastAsia="宋体" w:cs="Times New Roman"/>
          <w:bCs/>
          <w:color w:val="auto"/>
          <w:sz w:val="24"/>
          <w:szCs w:val="24"/>
          <w:highlight w:val="none"/>
          <w:lang w:val="en-US" w:eastAsia="zh-CN" w:bidi="ar-SA"/>
        </w:rPr>
      </w:pPr>
      <w:r>
        <w:rPr>
          <w:rFonts w:ascii="宋体" w:hAnsi="宋体" w:eastAsia="宋体" w:cs="Times New Roman"/>
          <w:bCs/>
          <w:color w:val="auto"/>
          <w:sz w:val="24"/>
          <w:szCs w:val="24"/>
          <w:highlight w:val="none"/>
          <w:lang w:val="en-US" w:eastAsia="zh-CN" w:bidi="ar-SA"/>
        </w:rPr>
        <w:t xml:space="preserve">对徐州市</w:t>
      </w:r>
      <w:r>
        <w:rPr>
          <w:rFonts w:hint="eastAsia" w:ascii="宋体" w:hAnsi="宋体" w:eastAsia="宋体" w:cs="Times New Roman"/>
          <w:bCs/>
          <w:color w:val="auto"/>
          <w:sz w:val="24"/>
          <w:szCs w:val="24"/>
          <w:highlight w:val="none"/>
          <w:lang w:val="en-US" w:eastAsia="zh-CN" w:bidi="ar-SA"/>
        </w:rPr>
        <w:t xml:space="preserve">开展网络食品、城乡结合部及农村地区食品</w:t>
      </w:r>
      <w:r>
        <w:rPr>
          <w:rFonts w:ascii="宋体" w:hAnsi="宋体" w:eastAsia="宋体" w:cs="Times New Roman"/>
          <w:bCs/>
          <w:color w:val="auto"/>
          <w:sz w:val="24"/>
          <w:szCs w:val="24"/>
          <w:highlight w:val="none"/>
          <w:lang w:val="en-US" w:eastAsia="zh-CN" w:bidi="ar-SA"/>
        </w:rPr>
        <w:t xml:space="preserve">安全监督抽检。</w:t>
      </w:r>
      <w:r/>
    </w:p>
    <w:p>
      <w:pPr>
        <w:ind w:left="0" w:firstLine="480"/>
        <w:jc w:val="both"/>
        <w:spacing w:after="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w:t>
      </w:r>
      <w:r>
        <w:rPr>
          <w:rFonts w:hint="eastAsia" w:ascii="宋体" w:hAnsi="宋体" w:eastAsia="宋体" w:cs="宋体"/>
          <w:color w:val="auto"/>
          <w:sz w:val="24"/>
          <w:szCs w:val="20"/>
          <w:highlight w:val="none"/>
          <w:lang w:val="en-US" w:eastAsia="zh-CN" w:bidi="ar-SA"/>
        </w:rPr>
        <w:t xml:space="preserve">承检机构评价（</w:t>
      </w:r>
      <w:r>
        <w:rPr>
          <w:rFonts w:hint="eastAsia" w:ascii="宋体" w:hAnsi="宋体" w:eastAsia="宋体" w:cs="宋体"/>
          <w:color w:val="auto"/>
          <w:sz w:val="24"/>
          <w:szCs w:val="20"/>
          <w:highlight w:val="none"/>
          <w:lang w:val="en-US" w:eastAsia="zh-CN" w:bidi="ar-SA"/>
        </w:rPr>
        <w:t xml:space="preserve">采购包</w:t>
      </w:r>
      <w:r>
        <w:rPr>
          <w:rFonts w:hint="eastAsia" w:ascii="宋体" w:hAnsi="宋体" w:eastAsia="宋体" w:cs="宋体"/>
          <w:color w:val="auto"/>
          <w:sz w:val="24"/>
          <w:szCs w:val="20"/>
          <w:highlight w:val="none"/>
          <w:lang w:val="en-US" w:eastAsia="zh-CN" w:bidi="ar-SA"/>
        </w:rPr>
        <w:t xml:space="preserve">六）</w:t>
      </w:r>
      <w:r>
        <w:rPr>
          <w:rFonts w:hint="eastAsia" w:ascii="宋体" w:hAnsi="宋体" w:eastAsia="宋体" w:cs="Times New Roman"/>
          <w:color w:val="auto"/>
          <w:sz w:val="24"/>
          <w:szCs w:val="24"/>
          <w:highlight w:val="none"/>
          <w:lang w:val="en-US" w:eastAsia="zh-CN" w:bidi="ar-SA"/>
        </w:rPr>
        <w:t xml:space="preserve">服务范围</w:t>
      </w:r>
      <w:r>
        <w:rPr>
          <w:rFonts w:ascii="宋体" w:hAnsi="宋体" w:eastAsia="宋体" w:cs="Times New Roman"/>
          <w:color w:val="auto"/>
          <w:sz w:val="24"/>
          <w:szCs w:val="24"/>
          <w:highlight w:val="none"/>
          <w:lang w:val="en-US" w:eastAsia="zh-CN" w:bidi="ar-SA"/>
        </w:rPr>
        <w:t xml:space="preserve">：</w:t>
      </w:r>
      <w:r/>
    </w:p>
    <w:p>
      <w:pPr>
        <w:ind w:left="0" w:firstLine="480"/>
        <w:jc w:val="both"/>
        <w:spacing w:after="0" w:line="360" w:lineRule="auto"/>
        <w:widowControl w:val="off"/>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对2026年度全市食品安全承检机构进行评价。</w:t>
      </w:r>
      <w:r/>
    </w:p>
    <w:p>
      <w:pPr>
        <w:ind w:left="0" w:firstLine="480"/>
        <w:jc w:val="both"/>
        <w:spacing w:after="0" w:line="360" w:lineRule="auto"/>
        <w:widowControl w:val="off"/>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评价内容包括：盲样评价、现场评价、报告评价、留样再测。</w:t>
      </w:r>
      <w:r/>
    </w:p>
    <w:p>
      <w:pPr>
        <w:ind w:firstLine="480"/>
        <w:jc w:val="both"/>
        <w:spacing w:line="360" w:lineRule="auto"/>
        <w:widowControl w:val="off"/>
        <w:rPr>
          <w:rFonts w:ascii="宋体" w:hAnsi="宋体" w:eastAsia="宋体" w:cs="Times New Roman"/>
          <w:b/>
          <w:bCs/>
          <w:color w:val="auto"/>
          <w:sz w:val="24"/>
          <w:szCs w:val="24"/>
          <w:highlight w:val="none"/>
          <w:lang w:val="en-US" w:eastAsia="zh-CN" w:bidi="ar-SA"/>
        </w:rPr>
      </w:pPr>
      <w:r>
        <w:rPr>
          <w:rFonts w:ascii="宋体" w:hAnsi="宋体" w:eastAsia="宋体" w:cs="Times New Roman"/>
          <w:b/>
          <w:bCs/>
          <w:color w:val="auto"/>
          <w:sz w:val="24"/>
          <w:szCs w:val="24"/>
          <w:highlight w:val="none"/>
          <w:lang w:val="en-US" w:eastAsia="zh-CN" w:bidi="ar-SA"/>
        </w:rPr>
        <w:t xml:space="preserve">注：</w:t>
      </w:r>
      <w:r>
        <w:rPr>
          <w:rFonts w:hint="eastAsia" w:ascii="宋体" w:hAnsi="宋体" w:eastAsia="宋体" w:cs="Times New Roman"/>
          <w:b/>
          <w:bCs/>
          <w:color w:val="auto"/>
          <w:sz w:val="24"/>
          <w:szCs w:val="24"/>
          <w:highlight w:val="none"/>
          <w:lang w:val="en-US" w:eastAsia="zh-CN" w:bidi="ar-SA"/>
        </w:rPr>
        <w:t xml:space="preserve">各采购包的总任务量，</w:t>
      </w:r>
      <w:r>
        <w:rPr>
          <w:rFonts w:ascii="宋体" w:hAnsi="宋体" w:eastAsia="宋体" w:cs="Times New Roman"/>
          <w:b/>
          <w:bCs/>
          <w:color w:val="auto"/>
          <w:sz w:val="24"/>
          <w:szCs w:val="24"/>
          <w:highlight w:val="none"/>
          <w:lang w:val="en-US" w:eastAsia="zh-CN" w:bidi="ar-SA"/>
        </w:rPr>
        <w:t xml:space="preserve">是采购人根据工作计划初步测算的结果，实际履约时</w:t>
      </w:r>
      <w:r>
        <w:rPr>
          <w:rFonts w:hint="eastAsia" w:ascii="宋体" w:hAnsi="宋体" w:eastAsia="宋体" w:cs="Times New Roman"/>
          <w:b/>
          <w:bCs/>
          <w:color w:val="auto"/>
          <w:sz w:val="24"/>
          <w:szCs w:val="24"/>
          <w:highlight w:val="none"/>
          <w:lang w:val="en-US" w:eastAsia="zh-CN" w:bidi="ar-SA"/>
        </w:rPr>
        <w:t xml:space="preserve">各监督抽检专项</w:t>
      </w:r>
      <w:r>
        <w:rPr>
          <w:rFonts w:ascii="宋体" w:hAnsi="宋体" w:eastAsia="宋体" w:cs="Times New Roman"/>
          <w:b/>
          <w:bCs/>
          <w:color w:val="auto"/>
          <w:sz w:val="24"/>
          <w:szCs w:val="24"/>
          <w:highlight w:val="none"/>
          <w:lang w:val="en-US" w:eastAsia="zh-CN" w:bidi="ar-SA"/>
        </w:rPr>
        <w:t xml:space="preserve">的批次数由采购人根据工作任务动态调整。在执行招标文件规定的计价原则和最高限价的前提下，实际履约过程中当实际结算支付的所有费用总金额达到预算金额时，采购人不再安排抽检任务批次。</w:t>
      </w:r>
      <w:r/>
    </w:p>
    <w:p>
      <w:pPr>
        <w:ind w:firstLine="0"/>
        <w:jc w:val="both"/>
        <w:spacing w:line="360" w:lineRule="auto"/>
        <w:widowControl w:val="off"/>
        <w:rPr>
          <w:rFonts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三、</w:t>
      </w:r>
      <w:r>
        <w:rPr>
          <w:rFonts w:ascii="宋体" w:hAnsi="宋体" w:eastAsia="宋体" w:cs="Times New Roman"/>
          <w:b/>
          <w:bCs/>
          <w:color w:val="auto"/>
          <w:sz w:val="24"/>
          <w:szCs w:val="24"/>
          <w:highlight w:val="none"/>
          <w:lang w:val="en-US" w:eastAsia="zh-CN" w:bidi="ar-SA"/>
        </w:rPr>
        <w:t xml:space="preserve">项目要求：</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1、抽检范围及品种</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食用农产品，在抽样品种上，应结合季节供应特点、当地食用习惯合理确定各类食用农产品的抽样比例和批次，不得同一农产品反复抽检，重点抽检当季食用农产品，对不合格较多的食用农产品适当增加抽检频次。</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2、检测项目</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食用农产品检测项目包括必检项目及可选项目，</w:t>
      </w:r>
      <w:r>
        <w:rPr>
          <w:rFonts w:ascii="宋体" w:hAnsi="宋体" w:eastAsia="宋体" w:cs="Times New Roman"/>
          <w:b w:val="0"/>
          <w:bCs w:val="0"/>
          <w:color w:val="auto"/>
          <w:sz w:val="24"/>
          <w:szCs w:val="24"/>
          <w:highlight w:val="none"/>
          <w:lang w:val="en-US" w:eastAsia="zh-CN" w:bidi="ar-SA"/>
        </w:rPr>
        <w:t xml:space="preserve">按</w:t>
      </w:r>
      <w:r>
        <w:rPr>
          <w:rFonts w:ascii="宋体" w:hAnsi="宋体" w:eastAsia="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2026</w:t>
      </w:r>
      <w:r>
        <w:rPr>
          <w:rFonts w:ascii="宋体" w:hAnsi="宋体" w:eastAsia="宋体" w:cs="Times New Roman"/>
          <w:color w:val="auto"/>
          <w:sz w:val="24"/>
          <w:szCs w:val="24"/>
          <w:highlight w:val="none"/>
          <w:lang w:val="en-US" w:eastAsia="zh-CN" w:bidi="ar-SA"/>
        </w:rPr>
        <w:t xml:space="preserve">年徐州市级食用农产品安全监督抽检品种及项目表》执行。</w:t>
      </w:r>
      <w:r/>
    </w:p>
    <w:p>
      <w:pPr>
        <w:numPr>
          <w:ilvl w:val="0"/>
          <w:numId w:val="4"/>
        </w:num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食用农产品其他抽检要求</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食用农产品其他抽检要求按江苏省市场监督管理局《2022年江苏省食品安全抽检</w:t>
      </w:r>
      <w:r>
        <w:rPr>
          <w:rFonts w:hint="eastAsia" w:ascii="宋体" w:hAnsi="宋体" w:eastAsia="宋体" w:cs="Times New Roman"/>
          <w:color w:val="auto"/>
          <w:sz w:val="24"/>
          <w:szCs w:val="24"/>
          <w:highlight w:val="none"/>
          <w:lang w:val="en-US" w:eastAsia="zh-CN" w:bidi="ar-SA"/>
        </w:rPr>
        <w:t xml:space="preserve">监</w:t>
      </w:r>
      <w:r>
        <w:rPr>
          <w:rFonts w:ascii="宋体" w:hAnsi="宋体" w:eastAsia="宋体" w:cs="Times New Roman"/>
          <w:color w:val="auto"/>
          <w:sz w:val="24"/>
          <w:szCs w:val="24"/>
          <w:highlight w:val="none"/>
          <w:lang w:val="en-US" w:eastAsia="zh-CN" w:bidi="ar-SA"/>
        </w:rPr>
        <w:t xml:space="preserve">测工作计划》（苏市监食检【2022】53号）</w:t>
      </w:r>
      <w:r>
        <w:rPr>
          <w:rFonts w:hint="eastAsia" w:ascii="宋体" w:hAnsi="宋体" w:eastAsia="宋体" w:cs="Times New Roman"/>
          <w:color w:val="auto"/>
          <w:sz w:val="24"/>
          <w:szCs w:val="24"/>
          <w:highlight w:val="none"/>
          <w:lang w:val="en-US" w:eastAsia="zh-CN" w:bidi="ar-SA"/>
        </w:rPr>
        <w:t xml:space="preserve">附件</w:t>
      </w:r>
      <w:r>
        <w:rPr>
          <w:rFonts w:ascii="宋体" w:hAnsi="宋体" w:eastAsia="宋体" w:cs="Times New Roman"/>
          <w:color w:val="auto"/>
          <w:sz w:val="24"/>
          <w:szCs w:val="24"/>
          <w:highlight w:val="none"/>
          <w:lang w:val="en-US" w:eastAsia="zh-CN" w:bidi="ar-SA"/>
        </w:rPr>
        <w:t xml:space="preserve">“2022年食用农产品监督抽检工作要求”执行。</w:t>
      </w:r>
      <w:r/>
    </w:p>
    <w:p>
      <w:pPr>
        <w:numPr>
          <w:ilvl w:val="0"/>
          <w:numId w:val="4"/>
        </w:num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食品安全监督抽检品种、项目</w:t>
      </w:r>
      <w:r/>
    </w:p>
    <w:p>
      <w:pPr>
        <w:ind w:firstLine="482"/>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食品细类检验项目按照《国家食品安全监督抽检实施细则》</w:t>
      </w:r>
      <w:r>
        <w:rPr>
          <w:rFonts w:hint="eastAsia" w:ascii="宋体" w:hAnsi="宋体" w:eastAsia="宋体" w:cs="Times New Roman"/>
          <w:color w:val="auto"/>
          <w:sz w:val="24"/>
          <w:szCs w:val="24"/>
          <w:highlight w:val="none"/>
          <w:lang w:val="en-US" w:eastAsia="zh-CN" w:bidi="ar-SA"/>
        </w:rPr>
        <w:t xml:space="preserve">2026</w:t>
      </w:r>
      <w:r>
        <w:rPr>
          <w:rFonts w:ascii="宋体" w:hAnsi="宋体" w:eastAsia="宋体" w:cs="Times New Roman"/>
          <w:color w:val="auto"/>
          <w:sz w:val="24"/>
          <w:szCs w:val="24"/>
          <w:highlight w:val="none"/>
          <w:lang w:val="en-US" w:eastAsia="zh-CN" w:bidi="ar-SA"/>
        </w:rPr>
        <w:t xml:space="preserve">版为基准，该细则细类检验项目少于8个项目按实际项目检验，8个项目以上按60%项目检验，但不得少于8个项目。</w:t>
      </w:r>
      <w:r/>
    </w:p>
    <w:p>
      <w:pPr>
        <w:numPr>
          <w:ilvl w:val="0"/>
          <w:numId w:val="4"/>
        </w:numPr>
        <w:ind w:firstLine="480"/>
        <w:jc w:val="both"/>
        <w:spacing w:line="360" w:lineRule="auto"/>
        <w:widowControl w:val="off"/>
        <w:rPr>
          <w:rFonts w:ascii="宋体" w:hAnsi="宋体" w:eastAsia="宋体" w:cs="Times New Roman"/>
          <w:b/>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承检机构在抽检工作开始前将抽检计划、方案（含具体检测项目）报委托方备案。</w:t>
      </w:r>
      <w:r/>
    </w:p>
    <w:p>
      <w:pPr>
        <w:jc w:val="both"/>
        <w:spacing w:line="360" w:lineRule="auto"/>
        <w:widowControl w:val="off"/>
        <w:rPr>
          <w:rFonts w:ascii="Times New Roman" w:hAnsi="Times New Roman" w:eastAsia="宋体" w:cs="Times New Roman"/>
          <w:b/>
          <w:color w:val="auto"/>
          <w:sz w:val="21"/>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四、</w:t>
      </w:r>
      <w:r>
        <w:rPr>
          <w:rFonts w:ascii="宋体" w:hAnsi="宋体" w:eastAsia="宋体" w:cs="Times New Roman"/>
          <w:b/>
          <w:color w:val="auto"/>
          <w:sz w:val="24"/>
          <w:szCs w:val="24"/>
          <w:highlight w:val="none"/>
          <w:lang w:val="en-US" w:eastAsia="zh-CN" w:bidi="ar-SA"/>
        </w:rPr>
        <w:t xml:space="preserve">工作要求</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 承检机构应严格按照《食品安全法》及其《实施条例》，以及《国家食品安全监督抽检实施细则》、</w:t>
      </w:r>
      <w:r>
        <w:rPr>
          <w:rFonts w:hint="eastAsia" w:ascii="宋体" w:hAnsi="宋体" w:eastAsia="宋体" w:cs="Times New Roman"/>
          <w:color w:val="auto"/>
          <w:sz w:val="24"/>
          <w:szCs w:val="24"/>
          <w:highlight w:val="none"/>
          <w:lang w:val="en-US" w:eastAsia="zh-CN" w:bidi="ar-SA"/>
        </w:rPr>
        <w:t xml:space="preserve">《食品安全抽样检验工作规范》、《食品安全抽样检验管理办法》、《食用农产品抽样检验和核查处置规定》</w:t>
      </w:r>
      <w:r>
        <w:rPr>
          <w:rFonts w:ascii="宋体" w:hAnsi="宋体" w:eastAsia="宋体" w:cs="Times New Roman"/>
          <w:color w:val="auto"/>
          <w:sz w:val="24"/>
          <w:szCs w:val="24"/>
          <w:highlight w:val="none"/>
          <w:lang w:val="en-US" w:eastAsia="zh-CN" w:bidi="ar-SA"/>
        </w:rPr>
        <w:t xml:space="preserve">等相关规定和要求实施抽样检验工作，对检测报告承担法律责任。</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2. 承检机构对抽检信息、数据等负有保密义务，未经委托方授权，不得向除委托方外的任何单位与个人透露情况。</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3. 检验项目由委托方确定，承检机构应按照委托方要求，及时将抽样检验相关资料准确录入委托方指定的信息管理系统。</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4. 承检机构不得将检验任务外包或分包给其他检验机构，一经发现，立即终止承检任务。</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5. 承检机构必须保证抽检过程公平、公正，出现较严重检验事故的，立即终止承检任务。</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6. 承检机构应按照委托方要求，严格遵守抽样工作规范，保证抽样工作有效。样品抽取要由专门人员完成，样品运输要符合样品管理规定，鼓励派专人专车送达。</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7. 承检机构应在规定时间内完成委托方部署的抽样检验工作，依法出具检验报告，汇总样品抽检结果信息，提交抽检工作分析总结报告。</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8．为保证检验任务高效优质地完成，承检机构须接受委托方组织的各种形式的检查和考核，对于委托方在考核中提出的问题要及时进行整改，并提交整改报告。整改不到位的，委托方有权终止其任务并保留追究其经济赔偿责任和法律责任的权利。</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9. 因违反抽样、检验、信息披露等相关规定的，委托方有权取消其承检任务并追究其经济赔偿责任和法律责任。</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10. 中标承检机构不得拒绝委托方委托的抽检任务，否则视为违约。</w:t>
      </w:r>
      <w:bookmarkStart w:id="17" w:name="_Toc459319303"/>
      <w:r/>
      <w:bookmarkEnd w:id="17"/>
      <w:r/>
      <w:r/>
    </w:p>
    <w:p>
      <w:pPr>
        <w:ind w:left="0" w:firstLine="420"/>
        <w:jc w:val="both"/>
        <w:spacing w:after="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11.承检机构需配备熟练的专业人员组成食品抽检数据核查工作组及核查处置专家库，为委托方提供数据核查及不合格食品生产企业的现场核查等其他配套服务。</w:t>
      </w:r>
      <w:r/>
    </w:p>
    <w:p>
      <w:pPr>
        <w:jc w:val="both"/>
        <w:spacing w:line="360" w:lineRule="auto"/>
        <w:widowControl w:val="off"/>
        <w:rPr>
          <w:rFonts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五、</w:t>
      </w:r>
      <w:r>
        <w:rPr>
          <w:rFonts w:ascii="宋体" w:hAnsi="宋体" w:eastAsia="宋体" w:cs="Times New Roman"/>
          <w:b/>
          <w:color w:val="auto"/>
          <w:sz w:val="24"/>
          <w:szCs w:val="24"/>
          <w:highlight w:val="none"/>
          <w:lang w:val="en-US" w:eastAsia="zh-CN" w:bidi="ar-SA"/>
        </w:rPr>
        <w:t xml:space="preserve">服务考核</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1、食品抽检数据质量考核：徐州市市场监督管理局每月随机抽取承检机构食品抽检数据，按照评分标准，评价数据质量。被国家总局、省局通报数据质量问题的，酌情扣款。</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2、抽检问题发现率考核：食品及食用农产品监督抽检问题发现率指市、县级食品及食用农产品监督抽检发现食品安全问题能力。食品及食用农产品监督抽检不合格率=累计食品及食用农产品监督抽检不合格样品数（食品细类单一品种不合格数不超过不合格总数的10%，超出数值不计算）/食品及食用农产品监督抽检样品数。达不到</w:t>
      </w:r>
      <w:r>
        <w:rPr>
          <w:rFonts w:hint="eastAsia" w:ascii="宋体" w:hAnsi="宋体" w:eastAsia="宋体" w:cs="Times New Roman"/>
          <w:color w:val="auto"/>
          <w:sz w:val="24"/>
          <w:szCs w:val="24"/>
          <w:highlight w:val="none"/>
          <w:lang w:val="en-US" w:eastAsia="zh-CN" w:bidi="ar-SA"/>
        </w:rPr>
        <w:t xml:space="preserve">江苏省市场监督管理局要求的指标</w:t>
      </w:r>
      <w:r>
        <w:rPr>
          <w:rFonts w:ascii="宋体" w:hAnsi="宋体" w:eastAsia="宋体" w:cs="Times New Roman"/>
          <w:color w:val="auto"/>
          <w:sz w:val="24"/>
          <w:szCs w:val="24"/>
          <w:highlight w:val="none"/>
          <w:lang w:val="en-US" w:eastAsia="zh-CN" w:bidi="ar-SA"/>
        </w:rPr>
        <w:t xml:space="preserve">，酌情扣款。</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3、抽检任务推进考核：按照采购方下达的不同任务要求均衡推进抽检，按任务要求完成的时间阶段进行考核。</w:t>
      </w:r>
      <w:r/>
    </w:p>
    <w:p>
      <w:pPr>
        <w:ind w:left="0" w:firstLine="420"/>
        <w:jc w:val="both"/>
        <w:spacing w:after="0"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4、因抽样、检验过程不规范，影响核查处置工作推进的及初检结论被推翻的，酌情扣款。</w:t>
      </w:r>
      <w:r/>
    </w:p>
    <w:p>
      <w:pPr>
        <w:jc w:val="left"/>
        <w:spacing w:line="360" w:lineRule="auto"/>
        <w:widowControl w:val="off"/>
        <w:rPr>
          <w:rFonts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六</w:t>
      </w:r>
      <w:r>
        <w:rPr>
          <w:rFonts w:ascii="宋体" w:hAnsi="宋体" w:eastAsia="宋体" w:cs="Times New Roman"/>
          <w:b/>
          <w:color w:val="auto"/>
          <w:sz w:val="24"/>
          <w:szCs w:val="24"/>
          <w:highlight w:val="none"/>
          <w:lang w:val="en-US" w:eastAsia="zh-CN" w:bidi="ar-SA"/>
        </w:rPr>
        <w:t xml:space="preserve">、其他要求</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 xml:space="preserve">本次项目各</w:t>
      </w:r>
      <w:r>
        <w:rPr>
          <w:rFonts w:hint="eastAsia" w:ascii="宋体" w:hAnsi="宋体" w:eastAsia="宋体" w:cs="Times New Roman"/>
          <w:color w:val="auto"/>
          <w:sz w:val="24"/>
          <w:szCs w:val="24"/>
          <w:highlight w:val="none"/>
          <w:lang w:val="en-US" w:eastAsia="zh-CN" w:bidi="ar-SA"/>
        </w:rPr>
        <w:t xml:space="preserve">采购包</w:t>
      </w:r>
      <w:r>
        <w:rPr>
          <w:rFonts w:ascii="宋体" w:hAnsi="宋体" w:eastAsia="宋体" w:cs="Times New Roman"/>
          <w:color w:val="auto"/>
          <w:sz w:val="24"/>
          <w:szCs w:val="24"/>
          <w:highlight w:val="none"/>
          <w:lang w:val="en-US" w:eastAsia="zh-CN" w:bidi="ar-SA"/>
        </w:rPr>
        <w:t xml:space="preserve">中标人负责对采购人根据上级部署任务和实际工作需要而确定的项目进行委托抽检工作，按实际完成量据实支付。</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其他内容详见拟签订的合同文本。</w:t>
      </w:r>
      <w:r/>
    </w:p>
    <w:p>
      <w:pPr>
        <w:ind w:firstLine="560"/>
        <w:keepLines w:val="0"/>
        <w:keepNext w:val="0"/>
        <w:pageBreakBefore w:val="0"/>
        <w:spacing w:line="520" w:lineRule="exact"/>
        <w:widowControl w:val="off"/>
        <w:rPr>
          <w:rFonts w:hint="eastAsia" w:ascii="宋体" w:hAnsi="宋体"/>
          <w:color w:val="auto"/>
          <w:sz w:val="28"/>
          <w:szCs w:val="28"/>
          <w:highlight w:val="none"/>
          <w:lang w:eastAsia="zh-CN"/>
        </w:rPr>
        <w:sectPr>
          <w:footnotePr/>
          <w:endnotePr/>
          <w:type w:val="nextPage"/>
          <w:pgSz w:w="11906" w:h="16838" w:orient="portrait"/>
          <w:pgMar w:top="1417" w:right="1587" w:bottom="1417" w:left="1587" w:header="851" w:footer="992" w:gutter="0"/>
          <w:cols w:num="1" w:sep="0" w:space="1701" w:equalWidth="1"/>
          <w:docGrid w:linePitch="360"/>
        </w:sectPr>
      </w:pPr>
      <w:r>
        <w:rPr>
          <w:rFonts w:hint="eastAsia" w:ascii="宋体" w:hAnsi="宋体"/>
          <w:color w:val="auto"/>
          <w:sz w:val="28"/>
          <w:szCs w:val="28"/>
          <w:highlight w:val="none"/>
          <w:lang w:eastAsia="zh-CN"/>
        </w:rPr>
      </w:r>
      <w:r/>
    </w:p>
    <w:p>
      <w:pPr>
        <w:pStyle w:val="887"/>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第</w:t>
      </w:r>
      <w:r>
        <w:rPr>
          <w:rFonts w:hint="eastAsia" w:ascii="宋体" w:hAnsi="宋体" w:eastAsia="宋体" w:cs="宋体"/>
          <w:color w:val="auto"/>
          <w:highlight w:val="none"/>
          <w:lang w:val="en-US" w:eastAsia="zh-CN"/>
        </w:rPr>
        <w:t xml:space="preserve">七</w:t>
      </w:r>
      <w:r>
        <w:rPr>
          <w:rFonts w:hint="eastAsia" w:ascii="宋体" w:hAnsi="宋体" w:eastAsia="宋体" w:cs="宋体"/>
          <w:color w:val="auto"/>
          <w:highlight w:val="none"/>
        </w:rPr>
        <w:t xml:space="preserve">章  投标文件相关格式</w:t>
      </w:r>
      <w:bookmarkEnd w:id="15"/>
      <w:r/>
      <w:bookmarkEnd w:id="16"/>
      <w:r/>
      <w:r/>
    </w:p>
    <w:p>
      <w:pPr>
        <w:jc w:val="center"/>
        <w:spacing w:line="520" w:lineRule="exact"/>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一、投标函</w:t>
      </w:r>
      <w:r/>
    </w:p>
    <w:p>
      <w:pPr>
        <w:spacing w:line="4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致：</w:t>
      </w:r>
      <w:r>
        <w:rPr>
          <w:rFonts w:hint="eastAsia" w:ascii="宋体" w:hAnsi="宋体" w:cs="宋体"/>
          <w:color w:val="auto"/>
          <w:sz w:val="24"/>
          <w:szCs w:val="24"/>
          <w:highlight w:val="none"/>
          <w:u w:val="single"/>
          <w:lang w:eastAsia="zh-CN"/>
        </w:rPr>
        <w:t xml:space="preserve">永明项目管理有限公司</w:t>
      </w:r>
      <w:r/>
    </w:p>
    <w:p>
      <w:pPr>
        <w:ind w:firstLine="5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项目[项目编号：</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]招标文件，</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(姓名)代表我方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（投标人的名称）全权处理本次投标的有关事宜。</w:t>
      </w:r>
      <w:r/>
    </w:p>
    <w:p>
      <w:pPr>
        <w:ind w:firstLine="5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据此函，投标人承诺并同意如下： </w:t>
      </w:r>
      <w:r/>
    </w:p>
    <w:p>
      <w:pPr>
        <w:ind w:firstLine="5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1.投标人唯一投标报价见《开标一览表》。</w:t>
      </w:r>
      <w:r/>
    </w:p>
    <w:p>
      <w:pPr>
        <w:ind w:firstLine="5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2.投标人将按招标文件的规定履行合同责任和义务。</w:t>
      </w:r>
      <w:r/>
    </w:p>
    <w:p>
      <w:pPr>
        <w:ind w:firstLine="5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3.投标人已详细审查全部招标文件，包括第[插入编号] [补遗书][如果有的话]。投标人完全理解并同意放弃对这方面有不明及误解的权力。</w:t>
      </w:r>
      <w:r/>
    </w:p>
    <w:p>
      <w:pPr>
        <w:ind w:firstLine="5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4.投标有效期为开标之日后90天。</w:t>
      </w:r>
      <w:r/>
    </w:p>
    <w:p>
      <w:pPr>
        <w:ind w:firstLine="5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5.投标人同意提供按照贵方可能要求的与其投标有关的一切数据或资料，完全理解贵方不一定接受最低价的投标或收到的任何投标。</w:t>
      </w:r>
      <w:r/>
    </w:p>
    <w:p>
      <w:pPr>
        <w:ind w:firstLine="5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6.投标人同意在授予合同后，按照有关规定支付公证费(如有)。</w:t>
      </w:r>
      <w:r/>
    </w:p>
    <w:p>
      <w:pPr>
        <w:ind w:right="29" w:firstLine="5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eastAsia="zh-CN"/>
        </w:rPr>
        <w:t xml:space="preserve">永明项目管理有限公司</w:t>
      </w:r>
      <w:r>
        <w:rPr>
          <w:rFonts w:hint="eastAsia" w:ascii="宋体" w:hAnsi="宋体" w:cs="宋体"/>
          <w:color w:val="auto"/>
          <w:sz w:val="24"/>
          <w:szCs w:val="24"/>
          <w:highlight w:val="none"/>
        </w:rPr>
        <w:t xml:space="preserve">有权将我单位本项目的《开标一览表》和《分项价格表》予以公示，公示的方式由</w:t>
      </w:r>
      <w:r>
        <w:rPr>
          <w:rFonts w:hint="eastAsia" w:ascii="宋体" w:hAnsi="宋体" w:cs="宋体"/>
          <w:color w:val="auto"/>
          <w:sz w:val="24"/>
          <w:szCs w:val="24"/>
          <w:highlight w:val="none"/>
          <w:lang w:eastAsia="zh-CN"/>
        </w:rPr>
        <w:t xml:space="preserve">永明项目管理有限公司</w:t>
      </w:r>
      <w:r>
        <w:rPr>
          <w:rFonts w:hint="eastAsia" w:ascii="宋体" w:hAnsi="宋体" w:cs="宋体"/>
          <w:color w:val="auto"/>
          <w:sz w:val="24"/>
          <w:szCs w:val="24"/>
          <w:highlight w:val="none"/>
        </w:rPr>
        <w:t xml:space="preserve">确定。</w:t>
      </w:r>
      <w:r/>
    </w:p>
    <w:p>
      <w:pPr>
        <w:ind w:right="29" w:firstLine="5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9.与本投标有关的一切正式往来信函请寄：</w:t>
      </w:r>
      <w:r/>
    </w:p>
    <w:p>
      <w:pPr>
        <w:ind w:firstLine="112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 </w:t>
      </w:r>
      <w:r/>
    </w:p>
    <w:p>
      <w:pPr>
        <w:ind w:firstLine="112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w:t>
      </w:r>
      <w:r/>
    </w:p>
    <w:p>
      <w:pPr>
        <w:ind w:firstLine="112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移动电话： </w:t>
      </w:r>
      <w:r/>
    </w:p>
    <w:p>
      <w:pPr>
        <w:ind w:firstLine="112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传真： </w:t>
      </w:r>
      <w:r/>
    </w:p>
    <w:p>
      <w:pPr>
        <w:ind w:firstLine="364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           </w:t>
      </w:r>
      <w:r/>
    </w:p>
    <w:p>
      <w:pPr>
        <w:ind w:firstLine="45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jc w:val="center"/>
        <w:spacing w:line="48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clear="all"/>
      </w:r>
      <w:r>
        <w:rPr>
          <w:rFonts w:hint="eastAsia" w:ascii="宋体" w:hAnsi="宋体" w:cs="宋体"/>
          <w:b/>
          <w:bCs/>
          <w:color w:val="auto"/>
          <w:sz w:val="30"/>
          <w:szCs w:val="30"/>
          <w:highlight w:val="none"/>
        </w:rPr>
        <w:t xml:space="preserve">二、开标一览表</w:t>
      </w:r>
      <w:r/>
    </w:p>
    <w:p>
      <w:pP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560"/>
        <w:spacing w:line="52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项目名称： </w:t>
      </w:r>
      <w:r/>
    </w:p>
    <w:p>
      <w:pPr>
        <w:ind w:firstLine="560"/>
        <w:spacing w:line="52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项目编号：</w:t>
      </w:r>
      <w:r/>
    </w:p>
    <w:p>
      <w:pPr>
        <w:ind w:firstLine="560"/>
        <w:spacing w:line="520" w:lineRule="exact"/>
        <w:rPr>
          <w:rFonts w:hint="eastAsia"/>
          <w:color w:val="auto"/>
          <w:highlight w:val="none"/>
          <w:lang w:eastAsia="zh-CN"/>
        </w:rPr>
      </w:pPr>
      <w:r>
        <w:rPr>
          <w:rFonts w:hint="eastAsia" w:ascii="宋体" w:hAnsi="宋体" w:cs="宋体"/>
          <w:color w:val="auto"/>
          <w:sz w:val="24"/>
          <w:szCs w:val="24"/>
          <w:highlight w:val="none"/>
        </w:rPr>
        <w:t xml:space="preserve">采购包：</w:t>
      </w:r>
      <w:r/>
    </w:p>
    <w:p>
      <w:pPr>
        <w:ind w:firstLine="56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货币单位：人民币元</w:t>
      </w:r>
      <w:r/>
    </w:p>
    <w:p>
      <w:pPr>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56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详见苏采云系统中的格式。</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94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w:t>
      </w:r>
      <w:r/>
    </w:p>
    <w:p>
      <w:pPr>
        <w:ind w:firstLine="6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39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95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jc w:val="cente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br w:type="page" w:clear="all"/>
      </w:r>
      <w:r>
        <w:rPr>
          <w:rFonts w:hint="eastAsia" w:ascii="宋体" w:hAnsi="宋体" w:cs="宋体"/>
          <w:b/>
          <w:bCs/>
          <w:color w:val="auto"/>
          <w:sz w:val="30"/>
          <w:szCs w:val="30"/>
          <w:highlight w:val="none"/>
        </w:rPr>
        <w:t xml:space="preserve">三、分项价格表</w:t>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5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w:t>
      </w:r>
      <w:r/>
    </w:p>
    <w:p>
      <w:pPr>
        <w:ind w:firstLine="5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w:t>
      </w:r>
      <w:r/>
    </w:p>
    <w:p>
      <w:pPr>
        <w:ind w:firstLine="5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采购包：</w:t>
      </w:r>
      <w:r/>
    </w:p>
    <w:p>
      <w:pPr>
        <w:ind w:firstLine="560"/>
        <w:jc w:val="right"/>
        <w:spacing w:line="480" w:lineRule="exact"/>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货币单位：人民币元</w:t>
      </w:r>
      <w:r/>
    </w:p>
    <w:tbl>
      <w:tblPr>
        <w:tblStyle w:val="791"/>
        <w:tblpPr w:horzAnchor="page" w:tblpX="1331" w:vertAnchor="text" w:tblpY="97" w:leftFromText="180" w:topFromText="0" w:rightFromText="180" w:bottomFromText="0"/>
        <w:tblW w:w="4997" w:type="pct"/>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2287"/>
        <w:gridCol w:w="1678"/>
        <w:gridCol w:w="1669"/>
        <w:gridCol w:w="2108"/>
        <w:gridCol w:w="2106"/>
      </w:tblGrid>
      <w:tr>
        <w:trPr>
          <w:trHeight w:val="1023"/>
        </w:trPr>
        <w:tc>
          <w:tcPr>
            <w:tcW w:w="1161" w:type="pct"/>
            <w:vAlign w:val="center"/>
            <w:textDirection w:val="lrTb"/>
            <w:noWrap w:val="false"/>
          </w:tcPr>
          <w:p>
            <w:pPr>
              <w:jc w:val="center"/>
              <w:spacing w:after="0"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852" w:type="pct"/>
            <w:vAlign w:val="center"/>
            <w:textDirection w:val="lrTb"/>
            <w:noWrap w:val="false"/>
          </w:tcPr>
          <w:p>
            <w:pPr>
              <w:jc w:val="center"/>
              <w:spacing w:after="0"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W w:w="847" w:type="pct"/>
            <w:vAlign w:val="center"/>
            <w:textDirection w:val="lrTb"/>
            <w:noWrap w:val="false"/>
          </w:tcPr>
          <w:p>
            <w:pPr>
              <w:jc w:val="center"/>
              <w:spacing w:after="0"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070" w:type="pct"/>
            <w:vAlign w:val="center"/>
            <w:textDirection w:val="lrTb"/>
            <w:noWrap w:val="false"/>
          </w:tcPr>
          <w:p>
            <w:pPr>
              <w:jc w:val="center"/>
              <w:spacing w:after="0" w:line="520" w:lineRule="exact"/>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单价（小写）</w:t>
            </w:r>
            <w:r/>
          </w:p>
        </w:tc>
        <w:tc>
          <w:tcPr>
            <w:tcW w:w="1069" w:type="pct"/>
            <w:vAlign w:val="center"/>
            <w:textDirection w:val="lrTb"/>
            <w:noWrap w:val="false"/>
          </w:tcPr>
          <w:p>
            <w:pPr>
              <w:jc w:val="center"/>
              <w:spacing w:after="0" w:line="52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总价（小写）</w:t>
            </w:r>
            <w:r/>
          </w:p>
        </w:tc>
      </w:tr>
      <w:tr>
        <w:trPr>
          <w:trHeight w:val="1304"/>
        </w:trPr>
        <w:tc>
          <w:tcPr>
            <w:tcW w:w="1161" w:type="pct"/>
            <w:vAlign w:val="center"/>
            <w:textDirection w:val="lrTb"/>
            <w:noWrap w:val="false"/>
          </w:tcPr>
          <w:p>
            <w:pPr>
              <w:jc w:val="center"/>
              <w:spacing w:after="0"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徐州市市场监督管理局食品安全监督抽检</w:t>
            </w:r>
            <w:r/>
          </w:p>
        </w:tc>
        <w:tc>
          <w:tcPr>
            <w:tcW w:w="852" w:type="pct"/>
            <w:vAlign w:val="center"/>
            <w:textDirection w:val="lrTb"/>
            <w:noWrap w:val="false"/>
          </w:tcPr>
          <w:p>
            <w:pPr>
              <w:jc w:val="center"/>
              <w:spacing w:after="0" w:line="52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详见招标文件</w:t>
            </w:r>
            <w:r/>
          </w:p>
        </w:tc>
        <w:tc>
          <w:tcPr>
            <w:tcW w:w="847" w:type="pct"/>
            <w:vAlign w:val="center"/>
            <w:textDirection w:val="lrTb"/>
            <w:noWrap w:val="false"/>
          </w:tcPr>
          <w:p>
            <w:pPr>
              <w:jc w:val="center"/>
              <w:spacing w:after="0" w:line="52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70" w:type="pct"/>
            <w:vAlign w:val="center"/>
            <w:textDirection w:val="lrTb"/>
            <w:noWrap w:val="false"/>
          </w:tcPr>
          <w:p>
            <w:pPr>
              <w:jc w:val="center"/>
              <w:spacing w:after="0" w:line="52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69" w:type="pct"/>
            <w:vAlign w:val="center"/>
            <w:textDirection w:val="lrTb"/>
            <w:noWrap w:val="false"/>
          </w:tcPr>
          <w:p>
            <w:pPr>
              <w:jc w:val="center"/>
              <w:spacing w:after="0" w:line="52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919"/>
        </w:trPr>
        <w:tc>
          <w:tcPr>
            <w:tcW w:w="1161" w:type="pct"/>
            <w:vAlign w:val="center"/>
            <w:textDirection w:val="lrTb"/>
            <w:noWrap w:val="false"/>
          </w:tcPr>
          <w:p>
            <w:pPr>
              <w:jc w:val="center"/>
              <w:spacing w:after="0" w:line="520" w:lineRule="exact"/>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单价（大写）</w:t>
            </w:r>
            <w:r/>
          </w:p>
        </w:tc>
        <w:tc>
          <w:tcPr>
            <w:gridSpan w:val="4"/>
            <w:tcW w:w="3838" w:type="pct"/>
            <w:vAlign w:val="center"/>
            <w:textDirection w:val="lrTb"/>
            <w:noWrap w:val="false"/>
          </w:tcPr>
          <w:p>
            <w:pPr>
              <w:jc w:val="center"/>
              <w:spacing w:after="0" w:line="52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892"/>
        </w:trPr>
        <w:tc>
          <w:tcPr>
            <w:tcW w:w="2287" w:type="dxa"/>
            <w:vAlign w:val="center"/>
            <w:textDirection w:val="lrTb"/>
            <w:noWrap w:val="false"/>
          </w:tcPr>
          <w:p>
            <w:pPr>
              <w:jc w:val="center"/>
              <w:spacing w:after="0" w:line="52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总价</w:t>
            </w:r>
            <w:r>
              <w:rPr>
                <w:rFonts w:hint="eastAsia" w:ascii="宋体" w:hAnsi="宋体" w:eastAsia="宋体" w:cs="宋体"/>
                <w:color w:val="auto"/>
                <w:sz w:val="24"/>
                <w:szCs w:val="24"/>
                <w:highlight w:val="none"/>
              </w:rPr>
              <w:t xml:space="preserve">（大写）</w:t>
            </w:r>
            <w:r/>
          </w:p>
        </w:tc>
        <w:tc>
          <w:tcPr>
            <w:gridSpan w:val="4"/>
            <w:tcW w:w="7561" w:type="dxa"/>
            <w:vAlign w:val="center"/>
            <w:textDirection w:val="lrTb"/>
            <w:noWrap w:val="false"/>
          </w:tcPr>
          <w:p>
            <w:pPr>
              <w:jc w:val="center"/>
              <w:spacing w:after="0" w:line="52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firstLine="26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firstLine="33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w:t>
      </w:r>
      <w:r/>
    </w:p>
    <w:p>
      <w:pPr>
        <w:ind w:left="0" w:firstLine="33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投标人授权代表：（签字或盖章） </w:t>
      </w:r>
      <w:r/>
    </w:p>
    <w:p>
      <w:pPr>
        <w:ind w:left="0" w:firstLine="336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ind w:firstLine="560"/>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20"/>
        <w:keepLines w:val="0"/>
        <w:keepNext w:val="0"/>
        <w:pageBreakBefore w:val="0"/>
        <w:spacing w:line="520" w:lineRule="exact"/>
        <w:widowControl w:val="off"/>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注：1、本</w:t>
      </w:r>
      <w:r>
        <w:rPr>
          <w:rFonts w:hint="eastAsia" w:ascii="宋体" w:hAnsi="宋体" w:cs="宋体"/>
          <w:color w:val="auto"/>
          <w:sz w:val="21"/>
          <w:szCs w:val="21"/>
          <w:highlight w:val="none"/>
          <w:lang w:val="en-US" w:eastAsia="zh-CN"/>
        </w:rPr>
        <w:t xml:space="preserve">项目</w:t>
      </w:r>
      <w:r>
        <w:rPr>
          <w:rFonts w:hint="eastAsia" w:ascii="宋体" w:hAnsi="宋体" w:cs="宋体"/>
          <w:b/>
          <w:bCs/>
          <w:color w:val="auto"/>
          <w:sz w:val="21"/>
          <w:szCs w:val="21"/>
          <w:highlight w:val="none"/>
          <w:lang w:val="en-US" w:eastAsia="zh-CN"/>
        </w:rPr>
        <w:t xml:space="preserve">投标批次数量需根据预算金额除以投标单价得出，且为整数。</w:t>
      </w:r>
      <w:r/>
    </w:p>
    <w:p>
      <w:pPr>
        <w:ind w:firstLine="420"/>
        <w:keepLines w:val="0"/>
        <w:keepNext w:val="0"/>
        <w:pageBreakBefore w:val="0"/>
        <w:spacing w:line="5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如果不提供详细分项报价将视为没有实质性响应招标文件。</w:t>
      </w:r>
      <w:r/>
    </w:p>
    <w:p>
      <w:pPr>
        <w:ind w:firstLine="420"/>
        <w:keepLines w:val="0"/>
        <w:keepNext w:val="0"/>
        <w:pageBreakBefore w:val="0"/>
        <w:spacing w:line="5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投标人对以上数据的真实性负责。</w:t>
      </w:r>
      <w:r/>
    </w:p>
    <w:p>
      <w:pPr>
        <w:ind w:firstLine="420"/>
        <w:keepLines w:val="0"/>
        <w:keepNext w:val="0"/>
        <w:pageBreakBefore w:val="0"/>
        <w:spacing w:line="52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永明项目管理有限公司</w:t>
      </w:r>
      <w:r>
        <w:rPr>
          <w:rFonts w:hint="eastAsia" w:ascii="宋体" w:hAnsi="宋体" w:cs="宋体"/>
          <w:color w:val="auto"/>
          <w:sz w:val="21"/>
          <w:szCs w:val="21"/>
          <w:highlight w:val="none"/>
        </w:rPr>
        <w:t xml:space="preserve">有权将以上内容进行公示。</w:t>
      </w:r>
      <w:r/>
    </w:p>
    <w:p>
      <w:pPr>
        <w:jc w:val="center"/>
        <w:spacing w:line="480" w:lineRule="exact"/>
        <w:rPr>
          <w:rFonts w:hint="eastAsia" w:ascii="宋体" w:hAnsi="宋体" w:cs="宋体"/>
          <w:color w:val="auto"/>
          <w:sz w:val="24"/>
          <w:highlight w:val="none"/>
        </w:rPr>
      </w:pPr>
      <w:r>
        <w:rPr>
          <w:rFonts w:hint="eastAsia" w:ascii="宋体" w:hAnsi="宋体" w:cs="宋体"/>
          <w:color w:val="auto"/>
          <w:sz w:val="28"/>
          <w:szCs w:val="28"/>
          <w:highlight w:val="none"/>
        </w:rPr>
        <w:br w:type="page" w:clear="all"/>
      </w:r>
      <w:r>
        <w:rPr>
          <w:rFonts w:hint="eastAsia" w:ascii="宋体" w:hAnsi="宋体" w:cs="宋体"/>
          <w:b/>
          <w:bCs/>
          <w:color w:val="auto"/>
          <w:sz w:val="30"/>
          <w:szCs w:val="30"/>
          <w:highlight w:val="none"/>
        </w:rPr>
        <w:t xml:space="preserve">四、偏离表</w:t>
      </w:r>
      <w:r/>
    </w:p>
    <w:p>
      <w:pP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00"/>
        <w:jc w:val="left"/>
        <w:spacing w:line="480" w:lineRule="exact"/>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 xml:space="preserve">项目名称：徐州市市场监督管理局食品安全监督抽检</w:t>
      </w:r>
      <w:r/>
    </w:p>
    <w:p>
      <w:pPr>
        <w:ind w:firstLine="600"/>
        <w:jc w:val="left"/>
        <w:spacing w:line="480" w:lineRule="exact"/>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 xml:space="preserve">项目编号：JSZC-320300-YMXM-G2026-0004</w:t>
      </w:r>
      <w:r/>
    </w:p>
    <w:p>
      <w:pPr>
        <w:jc w:val="both"/>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r>
      <w:r/>
    </w:p>
    <w:tbl>
      <w:tblPr>
        <w:tblStyle w:val="765"/>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caps/>
                <w:color w:val="auto"/>
                <w:sz w:val="24"/>
                <w:szCs w:val="24"/>
                <w:highlight w:val="none"/>
              </w:rPr>
            </w:pPr>
            <w:r>
              <w:rPr>
                <w:rFonts w:hint="eastAsia" w:ascii="宋体" w:hAnsi="宋体" w:cs="宋体"/>
                <w:cap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hint="eastAsia" w:ascii="宋体" w:hAnsi="宋体" w:cs="宋体"/>
                <w:caps/>
                <w:color w:val="auto"/>
                <w:sz w:val="24"/>
                <w:szCs w:val="24"/>
                <w:highlight w:val="none"/>
              </w:rPr>
            </w:pPr>
            <w:r>
              <w:rPr>
                <w:rFonts w:hint="eastAsia" w:ascii="宋体" w:hAnsi="宋体" w:cs="宋体"/>
                <w:caps/>
                <w:color w:val="auto"/>
                <w:sz w:val="24"/>
                <w:szCs w:val="24"/>
                <w:highlight w:val="none"/>
              </w:rPr>
              <w:t xml:space="preserve">偏离内容</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rPr>
                <w:rFonts w:hint="eastAsia" w:ascii="宋体" w:hAnsi="宋体" w:cs="宋体"/>
                <w:caps/>
                <w:color w:val="auto"/>
                <w:sz w:val="24"/>
                <w:szCs w:val="24"/>
                <w:highlight w:val="none"/>
              </w:rPr>
            </w:pPr>
            <w:r>
              <w:rPr>
                <w:rFonts w:hint="eastAsia" w:ascii="宋体" w:hAnsi="宋体" w:cs="宋体"/>
                <w:color w:val="auto"/>
                <w:sz w:val="24"/>
                <w:szCs w:val="24"/>
                <w:highlight w:val="none"/>
              </w:rPr>
              <w:t xml:space="preserve">招标文件的要求</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hint="eastAsia" w:ascii="宋体" w:hAnsi="宋体" w:cs="宋体"/>
                <w:caps/>
                <w:color w:val="auto"/>
                <w:sz w:val="24"/>
                <w:szCs w:val="24"/>
                <w:highlight w:val="none"/>
              </w:rPr>
            </w:pPr>
            <w:r>
              <w:rPr>
                <w:rFonts w:hint="eastAsia" w:ascii="宋体" w:hAnsi="宋体" w:cs="宋体"/>
                <w:color w:val="auto"/>
                <w:sz w:val="24"/>
                <w:szCs w:val="24"/>
                <w:highlight w:val="none"/>
              </w:rPr>
              <w:t xml:space="preserve">投标文件中的内容</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hint="eastAsia" w:ascii="宋体" w:hAnsi="宋体" w:cs="宋体"/>
                <w:caps/>
                <w:color w:val="auto"/>
                <w:sz w:val="24"/>
                <w:szCs w:val="24"/>
                <w:highlight w:val="none"/>
              </w:rPr>
            </w:pPr>
            <w:r>
              <w:rPr>
                <w:rFonts w:hint="eastAsia" w:ascii="宋体" w:hAnsi="宋体" w:cs="宋体"/>
                <w:caps/>
                <w:color w:val="auto"/>
                <w:sz w:val="24"/>
                <w:szCs w:val="24"/>
                <w:highlight w:val="none"/>
              </w:rPr>
              <w:t xml:space="preserve">（正/负/无）偏离</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rPr>
                <w:rFonts w:hint="eastAsia" w:ascii="宋体" w:hAnsi="宋体" w:cs="宋体"/>
                <w:caps/>
                <w:color w:val="auto"/>
                <w:sz w:val="24"/>
                <w:szCs w:val="24"/>
                <w:highlight w:val="none"/>
              </w:rPr>
            </w:pPr>
            <w:r>
              <w:rPr>
                <w:rFonts w:hint="eastAsia" w:ascii="宋体" w:hAnsi="宋体" w:cs="宋体"/>
                <w:caps/>
                <w:color w:val="auto"/>
                <w:sz w:val="24"/>
                <w:szCs w:val="24"/>
                <w:highlight w:val="none"/>
              </w:rPr>
              <w:t xml:space="preserve">说明</w:t>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76"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r>
      <w:r/>
    </w:p>
    <w:p>
      <w:pPr>
        <w:ind w:firstLine="562"/>
        <w:spacing w:line="440" w:lineRule="exact"/>
        <w:rPr>
          <w:rFonts w:hint="eastAsia" w:ascii="宋体" w:hAnsi="宋体" w:cs="宋体"/>
          <w:color w:val="auto"/>
          <w:sz w:val="24"/>
          <w:szCs w:val="24"/>
          <w:highlight w:val="none"/>
        </w:rPr>
      </w:pPr>
      <w:r>
        <w:rPr>
          <w:rFonts w:hint="eastAsia" w:ascii="宋体" w:hAnsi="宋体" w:cs="宋体"/>
          <w:b/>
          <w:color w:val="auto"/>
          <w:sz w:val="24"/>
          <w:szCs w:val="24"/>
          <w:highlight w:val="none"/>
          <w:u w:val="single"/>
        </w:rPr>
        <w:t xml:space="preserve">注</w:t>
      </w:r>
      <w:r>
        <w:rPr>
          <w:rFonts w:hint="eastAsia" w:ascii="宋体" w:hAnsi="宋体" w:cs="宋体"/>
          <w:color w:val="auto"/>
          <w:sz w:val="24"/>
          <w:szCs w:val="24"/>
          <w:highlight w:val="none"/>
          <w:u w:val="single"/>
        </w:rPr>
        <w:t xml:space="preserve">：投标人的投标文件中的内容与招标文件（含招标文件的澄清或者修改的内容）的要求不同时，逐条列在偏离表中，否则将认为投标人接受招标文件的要求。</w:t>
      </w:r>
      <w:r/>
    </w:p>
    <w:p>
      <w:pPr>
        <w:ind w:firstLine="39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9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9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9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w:t>
      </w:r>
      <w:r/>
    </w:p>
    <w:p>
      <w:pPr>
        <w:ind w:firstLine="39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39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ind w:firstLine="600"/>
        <w:spacing w:line="4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600"/>
        <w:spacing w:line="4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600"/>
        <w:spacing w:line="4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rPr>
          <w:rFonts w:hint="eastAsia" w:ascii="宋体" w:hAnsi="宋体" w:cs="宋体"/>
          <w:bCs/>
          <w:color w:val="auto"/>
          <w:sz w:val="30"/>
          <w:szCs w:val="30"/>
          <w:highlight w:val="none"/>
        </w:rPr>
      </w:pPr>
      <w:r>
        <w:rPr>
          <w:rFonts w:hint="eastAsia" w:ascii="宋体" w:hAnsi="宋体" w:cs="宋体"/>
          <w:bCs/>
          <w:color w:val="auto"/>
          <w:sz w:val="30"/>
          <w:szCs w:val="30"/>
          <w:highlight w:val="none"/>
        </w:rPr>
        <w:br w:type="page" w:clear="all"/>
      </w:r>
      <w:r/>
    </w:p>
    <w:p>
      <w:pPr>
        <w:jc w:val="center"/>
        <w:spacing w:line="480" w:lineRule="exact"/>
        <w:rPr>
          <w:rFonts w:hint="eastAsia" w:ascii="宋体" w:hAnsi="宋体" w:cs="宋体"/>
          <w:b/>
          <w:bCs w:val="0"/>
          <w:color w:val="auto"/>
          <w:sz w:val="30"/>
          <w:szCs w:val="30"/>
          <w:highlight w:val="none"/>
        </w:rPr>
      </w:pPr>
      <w:r>
        <w:rPr>
          <w:rFonts w:hint="eastAsia" w:ascii="宋体" w:hAnsi="宋体" w:cs="宋体"/>
          <w:b/>
          <w:bCs w:val="0"/>
          <w:color w:val="auto"/>
          <w:sz w:val="30"/>
          <w:szCs w:val="30"/>
          <w:highlight w:val="none"/>
        </w:rPr>
        <w:t xml:space="preserve">五、法定代表人授权书</w:t>
      </w:r>
      <w:r/>
    </w:p>
    <w:p>
      <w:pP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委托人：</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法定代表人（负责人）：               职务：</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统一社会信用代码：</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受托人：                   性别：男（女）  </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年龄：  岁                 民族：   族</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职务：</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身份证号：</w:t>
      </w:r>
      <w:r/>
    </w:p>
    <w:p>
      <w:pPr>
        <w:ind w:firstLine="6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兹委托（      ）全权代表我企业（公司）参与（</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）项目（项目编号：</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特此授权委托。</w:t>
      </w:r>
      <w:r/>
    </w:p>
    <w:p>
      <w:pPr>
        <w:ind w:firstLine="6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委托人（盖章）：               受托人（签字）：</w:t>
      </w:r>
      <w:r/>
    </w:p>
    <w:p>
      <w:pPr>
        <w:ind w:firstLine="6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法定代表人（签字）： </w:t>
      </w:r>
      <w:r/>
    </w:p>
    <w:p>
      <w:pPr>
        <w:ind w:right="600" w:firstLine="615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年   月   日 </w:t>
      </w:r>
      <w:r/>
    </w:p>
    <w:p>
      <w:pPr>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(受托人身份证复印件附后)</w:t>
      </w:r>
      <w:r/>
    </w:p>
    <w:p>
      <w:pPr>
        <w:ind w:firstLine="447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firstLine="447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47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47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before="100" w:beforeAutospacing="1" w:after="100" w:afterAutospacing="1" w:line="480" w:lineRule="exact"/>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br w:type="page" w:clear="all"/>
      </w:r>
      <w:r>
        <w:rPr>
          <w:rFonts w:hint="eastAsia" w:ascii="宋体" w:hAnsi="宋体" w:cs="宋体"/>
          <w:b/>
          <w:bCs/>
          <w:color w:val="auto"/>
          <w:sz w:val="30"/>
          <w:szCs w:val="30"/>
          <w:highlight w:val="none"/>
        </w:rPr>
        <w:t xml:space="preserve">六、中小企业声明函</w:t>
      </w:r>
      <w:r/>
    </w:p>
    <w:p>
      <w:pPr>
        <w:keepLines w:val="0"/>
        <w:keepNext w:val="0"/>
        <w:pageBreakBefore w:val="0"/>
        <w:spacing w:line="520" w:lineRule="exact"/>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项目名称：徐州市市场监督管理局食品安全监督抽检</w:t>
      </w:r>
      <w:r/>
    </w:p>
    <w:p>
      <w:pPr>
        <w:keepLines w:val="0"/>
        <w:keepNext w:val="0"/>
        <w:pageBreakBefore w:val="0"/>
        <w:spacing w:line="520" w:lineRule="exact"/>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项目编号：JSZC-320300-YMXM-G2026-0004</w:t>
      </w:r>
      <w:r/>
    </w:p>
    <w:p>
      <w:pPr>
        <w:keepLines w:val="0"/>
        <w:keepNext w:val="0"/>
        <w:pageBreakBefore w:val="0"/>
        <w:spacing w:line="520" w:lineRule="exact"/>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p>
      <w:pPr>
        <w:ind w:firstLine="48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ind w:firstLine="48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lang w:eastAsia="zh-CN"/>
        </w:rPr>
        <w:t xml:space="preserve">徐州市市场监督管理局食品安全监督抽检</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lang w:eastAsia="zh-CN"/>
        </w:rPr>
        <w:t xml:space="preserve">其他未列明行业</w:t>
      </w:r>
      <w:r>
        <w:rPr>
          <w:rFonts w:hint="eastAsia" w:ascii="宋体" w:hAnsi="宋体" w:cs="宋体"/>
          <w:color w:val="auto"/>
          <w:sz w:val="24"/>
          <w:szCs w:val="24"/>
          <w:highlight w:val="none"/>
        </w:rPr>
        <w:t xml:space="preserve">）行业；承建（承接）企业为（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万元，属于（□中型企业、□小型企业、□微型企业，</w:t>
      </w:r>
      <w:r>
        <w:rPr>
          <w:rFonts w:hint="eastAsia" w:ascii="宋体" w:hAnsi="宋体" w:cs="宋体"/>
          <w:color w:val="auto"/>
          <w:sz w:val="24"/>
          <w:szCs w:val="24"/>
          <w:highlight w:val="none"/>
        </w:rPr>
        <w:t xml:space="preserve">请勾选！</w:t>
      </w:r>
      <w:r>
        <w:rPr>
          <w:rFonts w:hint="eastAsia" w:ascii="宋体" w:hAnsi="宋体" w:cs="宋体"/>
          <w:color w:val="auto"/>
          <w:sz w:val="24"/>
          <w:szCs w:val="24"/>
          <w:highlight w:val="none"/>
        </w:rPr>
        <w:t xml:space="preserve">)；</w:t>
      </w:r>
      <w:r/>
    </w:p>
    <w:p>
      <w:pPr>
        <w:ind w:firstLine="48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firstLine="480"/>
        <w:jc w:val="center"/>
        <w:keepLines w:val="0"/>
        <w:keepNext w:val="0"/>
        <w:pageBreakBefore w:val="0"/>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企业名称（供应商名称）（电子签章）： </w:t>
      </w:r>
      <w:r/>
    </w:p>
    <w:p>
      <w:pPr>
        <w:ind w:right="480"/>
        <w:keepLines w:val="0"/>
        <w:keepNext w:val="0"/>
        <w:pageBreakBefore w:val="0"/>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  期：  年  月  日</w:t>
      </w:r>
      <w:r/>
    </w:p>
    <w:p>
      <w:pPr>
        <w:spacing w:line="3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注：本项目采购的服务属于</w:t>
      </w:r>
      <w:r>
        <w:rPr>
          <w:rFonts w:hint="eastAsia" w:ascii="宋体" w:hAnsi="宋体" w:cs="宋体"/>
          <w:color w:val="auto"/>
          <w:sz w:val="24"/>
          <w:szCs w:val="24"/>
          <w:highlight w:val="none"/>
          <w:lang w:eastAsia="zh-CN"/>
        </w:rPr>
        <w:t xml:space="preserve">其他未列明行业</w:t>
      </w:r>
      <w:r>
        <w:rPr>
          <w:rFonts w:hint="eastAsia" w:ascii="宋体" w:hAnsi="宋体" w:cs="宋体"/>
          <w:color w:val="auto"/>
          <w:sz w:val="24"/>
          <w:szCs w:val="24"/>
          <w:highlight w:val="none"/>
        </w:rPr>
        <w:t xml:space="preserve">。</w:t>
      </w:r>
      <w:r/>
    </w:p>
    <w:p>
      <w:pPr>
        <w:ind w:firstLine="480"/>
        <w:jc w:val="left"/>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ind w:firstLine="480"/>
        <w:jc w:val="left"/>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1、从业人员、营业收入、资产总额填报上一年度数据，无上一年度数据的新成立企业可不填报。</w:t>
      </w:r>
      <w:r/>
    </w:p>
    <w:p>
      <w:pPr>
        <w:pStyle w:val="974"/>
        <w:ind w:firstLine="480"/>
        <w:keepLines w:val="0"/>
        <w:keepNext w:val="0"/>
        <w:pageBreakBefore w:val="0"/>
        <w:spacing w:line="520" w:lineRule="exact"/>
        <w:widowControl w:val="off"/>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2、《中小企业声明函》查询渠道用微信搜索“中小企业规模类型自测小程序”。</w:t>
      </w:r>
      <w:r/>
    </w:p>
    <w:p>
      <w:pPr>
        <w:pStyle w:val="974"/>
        <w:ind w:firstLine="480"/>
        <w:keepLines w:val="0"/>
        <w:keepNext w:val="0"/>
        <w:pageBreakBefore w:val="0"/>
        <w:spacing w:line="520" w:lineRule="exact"/>
        <w:widowControl w:val="off"/>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看下列截图:</w:t>
      </w:r>
      <w:r/>
    </w:p>
    <w:p>
      <w:pPr>
        <w:pStyle w:val="943"/>
        <w:ind w:left="0" w:firstLine="0"/>
        <w:jc w:val="center"/>
        <w:rPr>
          <w:rFonts w:hint="eastAsia" w:ascii="宋体" w:hAnsi="宋体" w:cs="宋体"/>
          <w:color w:val="auto"/>
          <w:sz w:val="30"/>
          <w:szCs w:val="30"/>
          <w:highlight w:val="none"/>
        </w:rPr>
      </w:pPr>
      <w:r>
        <w:rPr>
          <w:rFonts w:hint="eastAsia" w:ascii="宋体" w:hAnsi="宋体"/>
          <w:color w:val="auto"/>
          <w:highlight w:val="none"/>
        </w:rPr>
        <mc:AlternateContent>
          <mc:Choice Requires="wpg">
            <w:drawing>
              <wp:inline xmlns:wp="http://schemas.openxmlformats.org/drawingml/2006/wordprocessingDrawing" distT="0" distB="0" distL="0" distR="0">
                <wp:extent cx="1836420" cy="379476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rcRect l="0" t="4498" r="0" b="0"/>
                        <a:stretch/>
                      </pic:blipFill>
                      <pic:spPr bwMode="auto">
                        <a:xfrm>
                          <a:off x="0" y="0"/>
                          <a:ext cx="1836419" cy="3794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44.6pt;height:298.8pt;mso-wrap-distance-left:0.0pt;mso-wrap-distance-top:0.0pt;mso-wrap-distance-right:0.0pt;mso-wrap-distance-bottom:0.0pt;" stroked="f">
                <v:path textboxrect="0,0,0,0"/>
                <v:imagedata r:id="rId15" o:title=""/>
              </v:shape>
            </w:pict>
          </mc:Fallback>
        </mc:AlternateContent>
      </w:r>
      <w:r/>
    </w:p>
    <w:p>
      <w:pPr>
        <w:pStyle w:val="943"/>
        <w:rPr>
          <w:rFonts w:hint="eastAsia" w:ascii="宋体" w:hAnsi="宋体" w:cs="宋体"/>
          <w:color w:val="auto"/>
          <w:highlight w:val="none"/>
        </w:rPr>
      </w:pPr>
      <w:r>
        <w:rPr>
          <w:rFonts w:hint="eastAsia" w:ascii="宋体" w:hAnsi="宋体" w:cs="宋体"/>
          <w:color w:val="auto"/>
          <w:highlight w:val="none"/>
        </w:rPr>
      </w:r>
      <w:r/>
    </w:p>
    <w:p>
      <w:pPr>
        <w:jc w:val="center"/>
        <w:spacing w:line="480" w:lineRule="exact"/>
        <w:rPr>
          <w:rFonts w:hint="eastAsia" w:ascii="宋体" w:hAnsi="宋体" w:cs="宋体"/>
          <w:b/>
          <w:color w:val="auto"/>
          <w:spacing w:val="6"/>
          <w:sz w:val="30"/>
          <w:szCs w:val="30"/>
          <w:highlight w:val="none"/>
        </w:rPr>
      </w:pPr>
      <w:r>
        <w:rPr>
          <w:rFonts w:hint="eastAsia" w:ascii="宋体" w:hAnsi="宋体" w:cs="宋体"/>
          <w:color w:val="auto"/>
          <w:sz w:val="30"/>
          <w:szCs w:val="30"/>
          <w:highlight w:val="none"/>
        </w:rPr>
        <w:br w:type="page" w:clear="all"/>
      </w:r>
      <w:r>
        <w:rPr>
          <w:rFonts w:hint="eastAsia" w:ascii="宋体" w:hAnsi="宋体" w:cs="宋体"/>
          <w:b/>
          <w:bCs/>
          <w:color w:val="auto"/>
          <w:sz w:val="30"/>
          <w:szCs w:val="30"/>
          <w:highlight w:val="none"/>
        </w:rPr>
        <w:t xml:space="preserve">七、残疾人福利性单位声明函</w:t>
      </w:r>
      <w:r/>
    </w:p>
    <w:p>
      <w:pPr>
        <w:jc w:val="center"/>
        <w:spacing w:line="480" w:lineRule="exact"/>
        <w:rPr>
          <w:rFonts w:ascii="宋体" w:hAnsi="宋体" w:eastAsia="仿宋" w:cs="宋体"/>
          <w:color w:val="auto"/>
          <w:sz w:val="24"/>
          <w:highlight w:val="none"/>
        </w:rPr>
      </w:pPr>
      <w:r>
        <w:rPr>
          <w:rFonts w:ascii="宋体" w:hAnsi="宋体" w:eastAsia="仿宋" w:cs="宋体"/>
          <w:b/>
          <w:bCs/>
          <w:color w:val="auto"/>
          <w:sz w:val="28"/>
          <w:szCs w:val="28"/>
          <w:highlight w:val="none"/>
        </w:rPr>
        <w:t xml:space="preserve">（如供应商不属于残疾人福利性单位不需要提供此声明函）</w:t>
      </w:r>
      <w:r/>
    </w:p>
    <w:p>
      <w:pPr>
        <w:ind w:firstLine="624"/>
        <w:spacing w:line="480" w:lineRule="exact"/>
        <w:rPr>
          <w:rFonts w:hint="eastAsia" w:ascii="宋体" w:hAnsi="宋体" w:eastAsia="仿宋" w:cs="宋体"/>
          <w:color w:val="auto"/>
          <w:sz w:val="24"/>
          <w:highlight w:val="none"/>
        </w:rPr>
      </w:pPr>
      <w:r>
        <w:rPr>
          <w:rFonts w:hint="eastAsia" w:ascii="宋体" w:hAnsi="宋体" w:eastAsia="仿宋" w:cs="宋体"/>
          <w:color w:val="auto"/>
          <w:sz w:val="24"/>
          <w:highlight w:val="none"/>
        </w:rPr>
      </w:r>
      <w:r/>
    </w:p>
    <w:p>
      <w:pPr>
        <w:ind w:firstLine="624"/>
        <w:spacing w:line="48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项目名称：</w:t>
      </w:r>
      <w:r>
        <w:rPr>
          <w:rFonts w:hint="eastAsia" w:ascii="宋体" w:hAnsi="宋体" w:cs="宋体"/>
          <w:color w:val="auto"/>
          <w:spacing w:val="6"/>
          <w:sz w:val="24"/>
          <w:szCs w:val="24"/>
          <w:highlight w:val="none"/>
          <w:lang w:eastAsia="zh-CN"/>
        </w:rPr>
        <w:t xml:space="preserve">徐州市市场监督管理局食品安全监督抽检</w:t>
      </w:r>
      <w:r>
        <w:rPr>
          <w:rFonts w:hint="eastAsia" w:ascii="宋体" w:hAnsi="宋体" w:cs="宋体"/>
          <w:color w:val="auto"/>
          <w:spacing w:val="6"/>
          <w:sz w:val="24"/>
          <w:szCs w:val="24"/>
          <w:highlight w:val="none"/>
        </w:rPr>
        <w:t xml:space="preserve"> </w:t>
      </w:r>
      <w:r/>
    </w:p>
    <w:p>
      <w:pPr>
        <w:ind w:firstLine="624"/>
        <w:spacing w:line="480" w:lineRule="exact"/>
        <w:rPr>
          <w:rFonts w:hint="eastAsia" w:ascii="宋体" w:hAnsi="宋体" w:eastAsia="宋体" w:cs="宋体"/>
          <w:color w:val="auto"/>
          <w:spacing w:val="6"/>
          <w:sz w:val="24"/>
          <w:szCs w:val="24"/>
          <w:highlight w:val="none"/>
          <w:lang w:eastAsia="zh-CN"/>
        </w:rPr>
      </w:pPr>
      <w:r>
        <w:rPr>
          <w:rFonts w:hint="eastAsia" w:ascii="宋体" w:hAnsi="宋体" w:cs="宋体"/>
          <w:color w:val="auto"/>
          <w:spacing w:val="6"/>
          <w:sz w:val="24"/>
          <w:szCs w:val="24"/>
          <w:highlight w:val="none"/>
        </w:rPr>
        <w:t xml:space="preserve">项目编号：</w:t>
      </w:r>
      <w:r>
        <w:rPr>
          <w:rFonts w:hint="eastAsia" w:ascii="宋体" w:hAnsi="宋体" w:cs="宋体"/>
          <w:color w:val="auto"/>
          <w:spacing w:val="6"/>
          <w:sz w:val="24"/>
          <w:szCs w:val="24"/>
          <w:highlight w:val="none"/>
          <w:lang w:eastAsia="zh-CN"/>
        </w:rPr>
        <w:t xml:space="preserve">JSZC-320300-YMXM-G2026-0004</w:t>
      </w:r>
      <w:r/>
    </w:p>
    <w:p>
      <w:pPr>
        <w:ind w:firstLine="624"/>
        <w:spacing w:line="48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szCs w:val="24"/>
          <w:highlight w:val="none"/>
        </w:rPr>
        <w:t xml:space="preserve">〔2017〕141</w:t>
      </w:r>
      <w:r>
        <w:rPr>
          <w:rFonts w:hint="eastAsia" w:ascii="宋体" w:hAnsi="宋体" w:cs="宋体"/>
          <w:color w:val="auto"/>
          <w:spacing w:val="6"/>
          <w:sz w:val="24"/>
          <w:szCs w:val="24"/>
          <w:highlight w:val="none"/>
        </w:rPr>
        <w:t xml:space="preserve">号）的规定，本单位为符合条件的残疾人福利性单位，且本单位参加</w:t>
      </w:r>
      <w:r>
        <w:rPr>
          <w:rFonts w:hint="eastAsia" w:ascii="宋体" w:hAnsi="宋体" w:cs="宋体"/>
          <w:color w:val="auto"/>
          <w:sz w:val="24"/>
          <w:szCs w:val="24"/>
          <w:highlight w:val="none"/>
        </w:rPr>
        <w:t xml:space="preserve">______</w:t>
      </w:r>
      <w:r>
        <w:rPr>
          <w:rFonts w:hint="eastAsia" w:ascii="宋体" w:hAnsi="宋体" w:cs="宋体"/>
          <w:color w:val="auto"/>
          <w:spacing w:val="6"/>
          <w:sz w:val="24"/>
          <w:szCs w:val="24"/>
          <w:highlight w:val="none"/>
        </w:rPr>
        <w:t xml:space="preserve">单位的</w:t>
      </w:r>
      <w:r>
        <w:rPr>
          <w:rFonts w:hint="eastAsia" w:ascii="宋体" w:hAnsi="宋体" w:cs="宋体"/>
          <w:color w:val="auto"/>
          <w:sz w:val="24"/>
          <w:szCs w:val="24"/>
          <w:highlight w:val="none"/>
        </w:rPr>
        <w:t xml:space="preserve">______</w:t>
      </w:r>
      <w:r>
        <w:rPr>
          <w:rFonts w:hint="eastAsia" w:ascii="宋体" w:hAnsi="宋体" w:cs="宋体"/>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本单位对上述声明的真实性负责。如有虚假，将依法承担相应责任。</w:t>
      </w:r>
      <w:r/>
    </w:p>
    <w:p>
      <w:pPr>
        <w:ind w:firstLine="624"/>
        <w:spacing w:line="48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ind w:firstLine="624"/>
        <w:spacing w:line="48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ind w:firstLine="255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w:t>
      </w:r>
      <w:r/>
    </w:p>
    <w:p>
      <w:pPr>
        <w:ind w:firstLine="6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5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5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ind w:firstLine="45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24"/>
        <w:spacing w:line="48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说明：</w:t>
      </w:r>
      <w:r/>
    </w:p>
    <w:p>
      <w:pPr>
        <w:ind w:firstLine="624"/>
        <w:spacing w:line="48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中标、成交供应商为残疾人福利性单位的，采购人或者其委托的采购代理机构应当随中标、成交结果同时公告其《残疾人福利性单位声明函》，接受社会监督。</w:t>
      </w:r>
      <w:r/>
    </w:p>
    <w:p>
      <w:pPr>
        <w:ind w:firstLine="624"/>
        <w:spacing w:line="48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供应商提供的《残疾人福利性单位声明函》与事实不符的，依照《政府采购法》第七十七条第一款的规定追究法律责任。</w:t>
      </w:r>
      <w:r/>
    </w:p>
    <w:p>
      <w:pPr>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br w:type="page" w:clear="all"/>
      </w:r>
      <w:r>
        <w:rPr>
          <w:rFonts w:hint="eastAsia" w:ascii="宋体" w:hAnsi="宋体" w:cs="宋体"/>
          <w:b/>
          <w:bCs/>
          <w:color w:val="auto"/>
          <w:sz w:val="30"/>
          <w:szCs w:val="30"/>
          <w:highlight w:val="none"/>
        </w:rPr>
        <w:t xml:space="preserve">八、投标人参加政府采购活动前3年内在经营活动中没有重大违法记录的书面声明</w:t>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6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我单位在参加</w:t>
      </w:r>
      <w:r>
        <w:rPr>
          <w:rFonts w:hint="eastAsia" w:ascii="宋体" w:hAnsi="宋体" w:cs="宋体"/>
          <w:color w:val="auto"/>
          <w:sz w:val="24"/>
          <w:szCs w:val="24"/>
          <w:highlight w:val="none"/>
          <w:lang w:eastAsia="zh-CN"/>
        </w:rPr>
        <w:t xml:space="preserve">徐州市市场监督管理局食品安全监督抽检</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JSZC-320300-YMXM-G2026-0004</w:t>
      </w:r>
      <w:r>
        <w:rPr>
          <w:rFonts w:hint="eastAsia" w:ascii="宋体" w:hAnsi="宋体" w:cs="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980"/>
        <w:ind w:firstLine="600"/>
        <w:spacing w:before="0" w:beforeAutospacing="0" w:after="0" w:afterAutospacing="0" w:line="480" w:lineRule="exact"/>
        <w:rPr>
          <w:rFonts w:hint="eastAsia"/>
          <w:color w:val="auto"/>
          <w:sz w:val="24"/>
          <w:szCs w:val="24"/>
          <w:highlight w:val="none"/>
        </w:rPr>
      </w:pPr>
      <w:r>
        <w:rPr>
          <w:rFonts w:hint="eastAsia"/>
          <w:color w:val="auto"/>
          <w:sz w:val="24"/>
          <w:szCs w:val="24"/>
          <w:highlight w:val="none"/>
        </w:rPr>
        <w:t xml:space="preserve">我单位对上述声明的真实性负责。如有虚假，将依法承担相应责任。</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85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w:t>
      </w:r>
      <w:r/>
    </w:p>
    <w:p>
      <w:pPr>
        <w:ind w:firstLine="6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5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95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ind w:firstLine="60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600"/>
        <w:spacing w:line="4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600"/>
        <w:spacing w:line="4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600"/>
        <w:spacing w:line="4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600"/>
        <w:spacing w:line="48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pStyle w:val="967"/>
        <w:jc w:val="center"/>
        <w:rPr>
          <w:rFonts w:hint="eastAsia" w:ascii="宋体" w:hAnsi="宋体" w:eastAsia="宋体" w:cs="宋体"/>
          <w:b/>
          <w:bCs/>
          <w:color w:val="auto"/>
          <w:sz w:val="30"/>
          <w:szCs w:val="30"/>
          <w:highlight w:val="none"/>
          <w:lang w:val="en-US" w:eastAsia="zh-CN" w:bidi="ar-SA"/>
        </w:rPr>
      </w:pPr>
      <w:r>
        <w:rPr>
          <w:rFonts w:hint="eastAsia" w:ascii="宋体" w:hAnsi="宋体" w:cs="宋体"/>
          <w:b/>
          <w:color w:val="auto"/>
          <w:sz w:val="28"/>
          <w:szCs w:val="28"/>
          <w:highlight w:val="none"/>
        </w:rPr>
        <w:br w:type="page" w:clear="all"/>
      </w:r>
      <w:r>
        <w:rPr>
          <w:rFonts w:hint="eastAsia" w:ascii="宋体" w:hAnsi="宋体" w:eastAsia="宋体" w:cs="宋体"/>
          <w:b/>
          <w:bCs/>
          <w:color w:val="auto"/>
          <w:sz w:val="30"/>
          <w:szCs w:val="30"/>
          <w:highlight w:val="none"/>
          <w:lang w:val="en-US" w:eastAsia="zh-CN" w:bidi="ar-SA"/>
        </w:rPr>
        <w:t xml:space="preserve">九、具备履行合同所必需的设备和专业技术能力的书面声明</w:t>
      </w:r>
      <w:r/>
    </w:p>
    <w:p>
      <w:pPr>
        <w:pStyle w:val="967"/>
        <w:jc w:val="center"/>
        <w:rPr>
          <w:rFonts w:hint="eastAsia"/>
          <w:color w:val="auto"/>
          <w:highlight w:val="none"/>
        </w:rPr>
      </w:pPr>
      <w:r>
        <w:rPr>
          <w:rFonts w:hint="eastAsia" w:ascii="宋体" w:hAnsi="宋体" w:eastAsia="宋体" w:cs="宋体"/>
          <w:b/>
          <w:bCs/>
          <w:color w:val="auto"/>
          <w:sz w:val="30"/>
          <w:szCs w:val="30"/>
          <w:highlight w:val="none"/>
          <w:lang w:val="en-US" w:eastAsia="zh-CN" w:bidi="ar-SA"/>
        </w:rPr>
        <w:t xml:space="preserve">（附证明材料）</w:t>
      </w:r>
      <w:r/>
    </w:p>
    <w:p>
      <w:pPr>
        <w:ind w:firstLine="0"/>
        <w:rPr>
          <w:color w:val="auto"/>
          <w:highlight w:val="none"/>
        </w:rPr>
      </w:pPr>
      <w:r>
        <w:rPr>
          <w:color w:val="auto"/>
          <w:highlight w:val="none"/>
        </w:rPr>
      </w:r>
      <w:r/>
    </w:p>
    <w:p>
      <w:pPr>
        <w:pStyle w:val="812"/>
        <w:ind w:firstLine="0"/>
        <w:rPr>
          <w:rFonts w:hint="eastAsia" w:eastAsia="宋体"/>
          <w:color w:val="auto"/>
          <w:sz w:val="24"/>
          <w:szCs w:val="24"/>
          <w:highlight w:val="none"/>
          <w:lang w:eastAsia="zh-CN"/>
        </w:rPr>
      </w:pPr>
      <w:r>
        <w:rPr>
          <w:rFonts w:hint="eastAsia"/>
          <w:color w:val="auto"/>
          <w:sz w:val="24"/>
          <w:szCs w:val="24"/>
          <w:highlight w:val="none"/>
        </w:rPr>
        <w:t xml:space="preserve">项目名称：</w:t>
      </w:r>
      <w:r>
        <w:rPr>
          <w:rFonts w:hint="eastAsia"/>
          <w:color w:val="auto"/>
          <w:sz w:val="24"/>
          <w:szCs w:val="24"/>
          <w:highlight w:val="none"/>
          <w:lang w:eastAsia="zh-CN"/>
        </w:rPr>
        <w:t xml:space="preserve">徐州市市场监督管理局食品安全监督抽检</w:t>
      </w:r>
      <w:r/>
    </w:p>
    <w:p>
      <w:pPr>
        <w:ind w:firstLine="0"/>
        <w:rPr>
          <w:color w:val="auto"/>
          <w:sz w:val="24"/>
          <w:szCs w:val="24"/>
          <w:highlight w:val="none"/>
        </w:rPr>
      </w:pPr>
      <w:r>
        <w:rPr>
          <w:rFonts w:hint="eastAsia"/>
          <w:color w:val="auto"/>
          <w:sz w:val="24"/>
          <w:szCs w:val="24"/>
          <w:highlight w:val="none"/>
        </w:rPr>
        <w:t xml:space="preserve">项目编号：</w:t>
      </w:r>
      <w:r>
        <w:rPr>
          <w:rFonts w:hint="eastAsia"/>
          <w:color w:val="auto"/>
          <w:sz w:val="24"/>
          <w:szCs w:val="24"/>
          <w:highlight w:val="none"/>
          <w:lang w:eastAsia="zh-CN"/>
        </w:rPr>
        <w:t xml:space="preserve">JSZC-320300-YMXM-G2026-0004</w:t>
      </w:r>
      <w:r/>
    </w:p>
    <w:p>
      <w:pPr>
        <w:ind w:firstLine="0"/>
        <w:rPr>
          <w:color w:val="auto"/>
          <w:sz w:val="24"/>
          <w:szCs w:val="24"/>
          <w:highlight w:val="none"/>
        </w:rPr>
      </w:pPr>
      <w:r>
        <w:rPr>
          <w:rFonts w:hint="eastAsia"/>
          <w:color w:val="auto"/>
          <w:sz w:val="24"/>
          <w:szCs w:val="24"/>
          <w:highlight w:val="none"/>
        </w:rPr>
        <w:t xml:space="preserve">                         </w:t>
      </w:r>
      <w:r/>
    </w:p>
    <w:p>
      <w:pPr>
        <w:pStyle w:val="801"/>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投标人郑重声明：投标人具备履行合同（项目名称：</w:t>
      </w:r>
      <w:r>
        <w:rPr>
          <w:rFonts w:ascii="宋体" w:hAnsi="宋体"/>
          <w:color w:val="auto"/>
          <w:sz w:val="24"/>
          <w:szCs w:val="24"/>
          <w:highlight w:val="none"/>
          <w:u w:val="single"/>
        </w:rPr>
        <w:t xml:space="preserve">             </w:t>
      </w:r>
      <w:r>
        <w:rPr>
          <w:rFonts w:ascii="宋体" w:hAnsi="宋体"/>
          <w:color w:val="auto"/>
          <w:sz w:val="24"/>
          <w:szCs w:val="24"/>
          <w:highlight w:val="none"/>
        </w:rPr>
        <w:t xml:space="preserve">，项目编号：</w:t>
      </w:r>
      <w:r>
        <w:rPr>
          <w:rFonts w:ascii="宋体" w:hAnsi="宋体"/>
          <w:color w:val="auto"/>
          <w:sz w:val="24"/>
          <w:szCs w:val="24"/>
          <w:highlight w:val="none"/>
          <w:u w:val="single"/>
        </w:rPr>
        <w:t xml:space="preserve">              </w:t>
      </w:r>
      <w:r>
        <w:rPr>
          <w:rFonts w:ascii="宋体" w:hAnsi="宋体"/>
          <w:color w:val="auto"/>
          <w:sz w:val="24"/>
          <w:szCs w:val="24"/>
          <w:highlight w:val="none"/>
        </w:rPr>
        <w:t xml:space="preserve">）所必需的设备和专业技术能力</w:t>
      </w:r>
      <w:r>
        <w:rPr>
          <w:rFonts w:hint="eastAsia" w:ascii="宋体" w:hAnsi="宋体"/>
          <w:color w:val="auto"/>
          <w:sz w:val="24"/>
          <w:szCs w:val="24"/>
          <w:highlight w:val="none"/>
        </w:rPr>
        <w:t xml:space="preserve">，具体为：</w:t>
      </w:r>
      <w:r/>
    </w:p>
    <w:p>
      <w:pPr>
        <w:ind w:firstLine="0"/>
        <w:rPr>
          <w:color w:val="auto"/>
          <w:sz w:val="24"/>
          <w:szCs w:val="24"/>
          <w:highlight w:val="none"/>
        </w:rPr>
      </w:pPr>
      <w:r>
        <w:rPr>
          <w:rFonts w:hint="eastAsia"/>
          <w:color w:val="auto"/>
          <w:sz w:val="24"/>
          <w:szCs w:val="24"/>
          <w:highlight w:val="none"/>
        </w:rPr>
        <w:t xml:space="preserve">设备：</w:t>
      </w:r>
      <w:r/>
    </w:p>
    <w:p>
      <w:pPr>
        <w:ind w:firstLine="0"/>
        <w:rPr>
          <w:color w:val="auto"/>
          <w:sz w:val="24"/>
          <w:szCs w:val="24"/>
          <w:highlight w:val="none"/>
        </w:rPr>
      </w:pPr>
      <w:r>
        <w:rPr>
          <w:rFonts w:hint="eastAsia"/>
          <w:color w:val="auto"/>
          <w:sz w:val="24"/>
          <w:szCs w:val="24"/>
          <w:highlight w:val="none"/>
        </w:rPr>
        <w:t xml:space="preserve">1.                           （证明材料原件的扫描件附后）</w:t>
      </w:r>
      <w:r/>
    </w:p>
    <w:p>
      <w:pPr>
        <w:ind w:firstLine="0"/>
        <w:rPr>
          <w:color w:val="auto"/>
          <w:sz w:val="24"/>
          <w:szCs w:val="24"/>
          <w:highlight w:val="none"/>
        </w:rPr>
      </w:pPr>
      <w:r>
        <w:rPr>
          <w:rFonts w:hint="eastAsia"/>
          <w:color w:val="auto"/>
          <w:sz w:val="24"/>
          <w:szCs w:val="24"/>
          <w:highlight w:val="none"/>
        </w:rPr>
        <w:t xml:space="preserve">2.                           （证明材料原件的扫描件附后）</w:t>
      </w:r>
      <w:r/>
    </w:p>
    <w:p>
      <w:pPr>
        <w:ind w:firstLine="0"/>
        <w:rPr>
          <w:color w:val="auto"/>
          <w:sz w:val="24"/>
          <w:szCs w:val="24"/>
          <w:highlight w:val="none"/>
        </w:rPr>
      </w:pPr>
      <w:r>
        <w:rPr>
          <w:rFonts w:hint="eastAsia"/>
          <w:color w:val="auto"/>
          <w:sz w:val="24"/>
          <w:szCs w:val="24"/>
          <w:highlight w:val="none"/>
        </w:rPr>
        <w:t xml:space="preserve">3.                           （证明材料原件的扫描件附后）</w:t>
      </w:r>
      <w:r/>
    </w:p>
    <w:p>
      <w:pPr>
        <w:ind w:firstLine="0"/>
        <w:rPr>
          <w:color w:val="auto"/>
          <w:sz w:val="24"/>
          <w:szCs w:val="24"/>
          <w:highlight w:val="none"/>
        </w:rPr>
      </w:pPr>
      <w:r>
        <w:rPr>
          <w:rFonts w:hint="eastAsia"/>
          <w:color w:val="auto"/>
          <w:sz w:val="24"/>
          <w:szCs w:val="24"/>
          <w:highlight w:val="none"/>
        </w:rPr>
        <w:t xml:space="preserve">…………</w:t>
      </w:r>
      <w:r/>
    </w:p>
    <w:p>
      <w:pPr>
        <w:ind w:firstLine="0"/>
        <w:rPr>
          <w:color w:val="auto"/>
          <w:sz w:val="24"/>
          <w:szCs w:val="24"/>
          <w:highlight w:val="none"/>
        </w:rPr>
      </w:pPr>
      <w:r>
        <w:rPr>
          <w:color w:val="auto"/>
          <w:sz w:val="24"/>
          <w:szCs w:val="24"/>
          <w:highlight w:val="none"/>
        </w:rPr>
      </w:r>
      <w:r/>
    </w:p>
    <w:p>
      <w:pPr>
        <w:ind w:firstLine="0"/>
        <w:rPr>
          <w:color w:val="auto"/>
          <w:sz w:val="24"/>
          <w:szCs w:val="24"/>
          <w:highlight w:val="none"/>
        </w:rPr>
      </w:pPr>
      <w:r>
        <w:rPr>
          <w:rFonts w:hint="eastAsia"/>
          <w:color w:val="auto"/>
          <w:sz w:val="24"/>
          <w:szCs w:val="24"/>
          <w:highlight w:val="none"/>
        </w:rPr>
        <w:t xml:space="preserve">专业技术能力：</w:t>
      </w:r>
      <w:r/>
    </w:p>
    <w:p>
      <w:pPr>
        <w:ind w:firstLine="0"/>
        <w:rPr>
          <w:color w:val="auto"/>
          <w:sz w:val="24"/>
          <w:szCs w:val="24"/>
          <w:highlight w:val="none"/>
        </w:rPr>
      </w:pPr>
      <w:r>
        <w:rPr>
          <w:rFonts w:hint="eastAsia"/>
          <w:color w:val="auto"/>
          <w:sz w:val="24"/>
          <w:szCs w:val="24"/>
          <w:highlight w:val="none"/>
        </w:rPr>
        <w:t xml:space="preserve">1.                           （证明材料彩色的扫描件附后）</w:t>
      </w:r>
      <w:r/>
    </w:p>
    <w:p>
      <w:pPr>
        <w:ind w:firstLine="0"/>
        <w:rPr>
          <w:color w:val="auto"/>
          <w:sz w:val="24"/>
          <w:szCs w:val="24"/>
          <w:highlight w:val="none"/>
        </w:rPr>
      </w:pPr>
      <w:r>
        <w:rPr>
          <w:rFonts w:hint="eastAsia"/>
          <w:color w:val="auto"/>
          <w:sz w:val="24"/>
          <w:szCs w:val="24"/>
          <w:highlight w:val="none"/>
        </w:rPr>
        <w:t xml:space="preserve">2.                           （证明材料彩色的扫描件附后）</w:t>
      </w:r>
      <w:r/>
    </w:p>
    <w:p>
      <w:pPr>
        <w:ind w:firstLine="0"/>
        <w:rPr>
          <w:color w:val="auto"/>
          <w:sz w:val="24"/>
          <w:szCs w:val="24"/>
          <w:highlight w:val="none"/>
        </w:rPr>
      </w:pPr>
      <w:r>
        <w:rPr>
          <w:rFonts w:hint="eastAsia"/>
          <w:color w:val="auto"/>
          <w:sz w:val="24"/>
          <w:szCs w:val="24"/>
          <w:highlight w:val="none"/>
        </w:rPr>
        <w:t xml:space="preserve">3.                           （证明材料彩色的扫描件附后）</w:t>
      </w:r>
      <w:r/>
    </w:p>
    <w:p>
      <w:pPr>
        <w:ind w:firstLine="0"/>
        <w:rPr>
          <w:color w:val="auto"/>
          <w:sz w:val="24"/>
          <w:szCs w:val="24"/>
          <w:highlight w:val="none"/>
        </w:rPr>
      </w:pPr>
      <w:r>
        <w:rPr>
          <w:rFonts w:hint="eastAsia"/>
          <w:color w:val="auto"/>
          <w:sz w:val="24"/>
          <w:szCs w:val="24"/>
          <w:highlight w:val="none"/>
        </w:rPr>
        <w:t xml:space="preserve">…………</w:t>
      </w:r>
      <w:r/>
    </w:p>
    <w:p>
      <w:pPr>
        <w:ind w:firstLine="0"/>
        <w:rPr>
          <w:color w:val="auto"/>
          <w:sz w:val="24"/>
          <w:szCs w:val="24"/>
          <w:highlight w:val="none"/>
        </w:rPr>
      </w:pPr>
      <w:r>
        <w:rPr>
          <w:color w:val="auto"/>
          <w:sz w:val="24"/>
          <w:szCs w:val="24"/>
          <w:highlight w:val="none"/>
        </w:rPr>
      </w:r>
      <w:r/>
    </w:p>
    <w:p>
      <w:pPr>
        <w:ind w:firstLine="0"/>
        <w:rPr>
          <w:color w:val="auto"/>
          <w:sz w:val="24"/>
          <w:szCs w:val="24"/>
          <w:highlight w:val="none"/>
        </w:rPr>
      </w:pPr>
      <w:r>
        <w:rPr>
          <w:rFonts w:hint="eastAsia"/>
          <w:color w:val="auto"/>
          <w:sz w:val="24"/>
          <w:szCs w:val="24"/>
          <w:highlight w:val="none"/>
        </w:rPr>
        <w:t xml:space="preserve">特此声明。</w:t>
      </w:r>
      <w:r/>
    </w:p>
    <w:p>
      <w:pPr>
        <w:ind w:firstLine="0"/>
        <w:rPr>
          <w:color w:val="auto"/>
          <w:sz w:val="24"/>
          <w:szCs w:val="24"/>
          <w:highlight w:val="none"/>
        </w:rPr>
      </w:pPr>
      <w:r>
        <w:rPr>
          <w:rFonts w:hint="eastAsia"/>
          <w:color w:val="auto"/>
          <w:sz w:val="24"/>
          <w:szCs w:val="24"/>
          <w:highlight w:val="none"/>
        </w:rPr>
        <w:t xml:space="preserve">投标人对上述声明的真实性负责。如有虚假，将依法承担相应责任。</w:t>
      </w:r>
      <w:r/>
    </w:p>
    <w:p>
      <w:pPr>
        <w:ind w:firstLine="0"/>
        <w:rPr>
          <w:color w:val="auto"/>
          <w:sz w:val="24"/>
          <w:szCs w:val="24"/>
          <w:highlight w:val="none"/>
        </w:rPr>
      </w:pPr>
      <w:r>
        <w:rPr>
          <w:color w:val="auto"/>
          <w:sz w:val="24"/>
          <w:szCs w:val="24"/>
          <w:highlight w:val="none"/>
        </w:rPr>
      </w:r>
      <w:r/>
    </w:p>
    <w:p>
      <w:pPr>
        <w:pStyle w:val="801"/>
        <w:spacing w:line="380" w:lineRule="exact"/>
        <w:rPr>
          <w:rFonts w:ascii="宋体" w:hAnsi="宋体"/>
          <w:color w:val="auto"/>
          <w:sz w:val="24"/>
          <w:szCs w:val="24"/>
          <w:highlight w:val="none"/>
        </w:rPr>
      </w:pPr>
      <w:r>
        <w:rPr>
          <w:rFonts w:ascii="宋体" w:hAnsi="宋体"/>
          <w:color w:val="auto"/>
          <w:sz w:val="24"/>
          <w:szCs w:val="24"/>
          <w:highlight w:val="none"/>
        </w:rPr>
        <w:t xml:space="preserve">                            </w:t>
      </w:r>
      <w:r/>
    </w:p>
    <w:p>
      <w:pPr>
        <w:ind w:firstLine="0"/>
        <w:rPr>
          <w:color w:val="auto"/>
          <w:sz w:val="24"/>
          <w:szCs w:val="24"/>
          <w:highlight w:val="none"/>
        </w:rPr>
      </w:pPr>
      <w:r>
        <w:rPr>
          <w:color w:val="auto"/>
          <w:sz w:val="24"/>
          <w:szCs w:val="24"/>
          <w:highlight w:val="none"/>
        </w:rPr>
      </w:r>
      <w:r/>
    </w:p>
    <w:p>
      <w:pPr>
        <w:pStyle w:val="801"/>
        <w:spacing w:line="380" w:lineRule="exact"/>
        <w:rPr>
          <w:rFonts w:ascii="宋体" w:hAnsi="宋体"/>
          <w:color w:val="auto"/>
          <w:sz w:val="24"/>
          <w:szCs w:val="24"/>
          <w:highlight w:val="none"/>
        </w:rPr>
      </w:pPr>
      <w:r>
        <w:rPr>
          <w:rFonts w:ascii="宋体" w:hAnsi="宋体"/>
          <w:color w:val="auto"/>
          <w:sz w:val="24"/>
          <w:szCs w:val="24"/>
          <w:highlight w:val="none"/>
        </w:rPr>
        <w:t xml:space="preserve">投标人：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（电子签章）</w:t>
      </w:r>
      <w:r/>
    </w:p>
    <w:p>
      <w:pPr>
        <w:rPr>
          <w:color w:val="auto"/>
          <w:sz w:val="24"/>
          <w:szCs w:val="24"/>
          <w:highlight w:val="none"/>
        </w:rPr>
      </w:pPr>
      <w:r>
        <w:rPr>
          <w:color w:val="auto"/>
          <w:sz w:val="24"/>
          <w:szCs w:val="24"/>
          <w:highlight w:val="none"/>
        </w:rPr>
      </w:r>
      <w:r/>
    </w:p>
    <w:p>
      <w:pPr>
        <w:ind w:firstLine="0"/>
        <w:jc w:val="left"/>
        <w:rPr>
          <w:rFonts w:hint="eastAsia"/>
          <w:color w:val="auto"/>
          <w:sz w:val="24"/>
          <w:szCs w:val="24"/>
          <w:highlight w:val="none"/>
        </w:rPr>
      </w:pPr>
      <w:r>
        <w:rPr>
          <w:rFonts w:hint="eastAsia"/>
          <w:color w:val="auto"/>
          <w:sz w:val="24"/>
          <w:szCs w:val="24"/>
          <w:highlight w:val="none"/>
        </w:rPr>
        <w:t xml:space="preserve">日期：   年  月  日</w:t>
      </w:r>
      <w:r/>
    </w:p>
    <w:p>
      <w:pPr>
        <w:jc w:val="center"/>
        <w:rPr>
          <w:rFonts w:hint="eastAsia" w:eastAsia="宋体"/>
          <w:color w:val="auto"/>
          <w:sz w:val="24"/>
          <w:szCs w:val="24"/>
          <w:highlight w:val="none"/>
          <w:lang w:eastAsia="zh-CN"/>
        </w:rPr>
      </w:pPr>
      <w:r>
        <w:rPr>
          <w:rFonts w:hint="eastAsia" w:eastAsia="宋体"/>
          <w:color w:val="auto"/>
          <w:sz w:val="24"/>
          <w:szCs w:val="24"/>
          <w:highlight w:val="none"/>
          <w:lang w:eastAsia="zh-CN"/>
        </w:rPr>
      </w:r>
      <w:r/>
    </w:p>
    <w:p>
      <w:pPr>
        <w:jc w:val="center"/>
        <w:spacing w:line="480" w:lineRule="exact"/>
        <w:rPr>
          <w:rFonts w:hint="eastAsia" w:ascii="宋体" w:hAnsi="宋体" w:cs="宋体"/>
          <w:b/>
          <w:bCs/>
          <w:color w:val="auto"/>
          <w:sz w:val="30"/>
          <w:szCs w:val="30"/>
          <w:highlight w:val="none"/>
          <w:lang w:val="en-US" w:eastAsia="zh-CN"/>
        </w:rPr>
      </w:pPr>
      <w:r>
        <w:rPr>
          <w:rFonts w:hint="eastAsia" w:ascii="宋体" w:hAnsi="宋体" w:cs="宋体"/>
          <w:b/>
          <w:color w:val="auto"/>
          <w:sz w:val="28"/>
          <w:szCs w:val="28"/>
          <w:highlight w:val="none"/>
        </w:rPr>
        <w:br w:type="page" w:clear="all"/>
      </w:r>
      <w:r>
        <w:rPr>
          <w:rFonts w:hint="eastAsia" w:ascii="宋体" w:hAnsi="宋体" w:cs="宋体"/>
          <w:b/>
          <w:color w:val="auto"/>
          <w:sz w:val="28"/>
          <w:szCs w:val="28"/>
          <w:highlight w:val="none"/>
          <w:lang w:val="en-US" w:eastAsia="zh-CN"/>
        </w:rPr>
        <w:t xml:space="preserve">十</w:t>
      </w:r>
      <w:r>
        <w:rPr>
          <w:rFonts w:hint="eastAsia" w:ascii="宋体" w:hAnsi="宋体" w:cs="宋体"/>
          <w:b/>
          <w:bCs/>
          <w:color w:val="auto"/>
          <w:sz w:val="30"/>
          <w:szCs w:val="30"/>
          <w:highlight w:val="none"/>
          <w:lang w:val="en-US" w:eastAsia="zh-CN"/>
        </w:rPr>
        <w:t xml:space="preserve">、预付款保函支付条款模板</w:t>
      </w:r>
      <w:r/>
    </w:p>
    <w:p>
      <w:pPr>
        <w:ind w:firstLine="482"/>
        <w:keepLines w:val="0"/>
        <w:keepNext w:val="0"/>
        <w:pageBreakBefore w:val="0"/>
        <w:spacing w:line="520" w:lineRule="exact"/>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符合条件一：提交预付款保函的</w:t>
      </w:r>
      <w:r/>
    </w:p>
    <w:p>
      <w:pPr>
        <w:ind w:firstLine="480"/>
        <w:keepLines w:val="0"/>
        <w:keepNext w:val="0"/>
        <w:pageBreakBefore w:val="0"/>
        <w:spacing w:line="52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（1）合同签订且乙方向甲方出具预付款保函后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        XX（    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617" w:firstLine="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乙方需提交的支付文件：乙方出具的全额正式发票。</w:t>
      </w:r>
      <w:r/>
    </w:p>
    <w:p>
      <w:pPr>
        <w:ind w:left="17" w:firstLine="40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（2）验收合格后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XX（    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keepLines w:val="0"/>
        <w:keepNext w:val="0"/>
        <w:pageBreakBefore w:val="0"/>
        <w:spacing w:line="520" w:lineRule="exact"/>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w:t>
      </w:r>
      <w:r/>
    </w:p>
    <w:p>
      <w:pPr>
        <w:ind w:firstLine="482"/>
        <w:keepLines w:val="0"/>
        <w:keepNext w:val="0"/>
        <w:pageBreakBefore w:val="0"/>
        <w:spacing w:line="520" w:lineRule="exact"/>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符合条件二：不提交预付款保函的</w:t>
      </w:r>
      <w:r/>
    </w:p>
    <w:p>
      <w:pPr>
        <w:ind w:firstLine="480"/>
        <w:keepLines w:val="0"/>
        <w:keepNext w:val="0"/>
        <w:pageBreakBefore w:val="0"/>
        <w:spacing w:line="520" w:lineRule="exact"/>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（1）合同签订后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XX（    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140" w:firstLine="48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乙方需提交的支付文件：乙方出具的全额正式发票。</w:t>
      </w:r>
      <w:r/>
    </w:p>
    <w:p>
      <w:pPr>
        <w:ind w:left="0" w:firstLine="42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（2）验收合格后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XX（    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keepLines w:val="0"/>
        <w:keepNext w:val="0"/>
        <w:pageBreakBefore w:val="0"/>
        <w:spacing w:line="520" w:lineRule="exact"/>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w:t>
      </w:r>
      <w:r/>
    </w:p>
    <w:p>
      <w:pPr>
        <w:ind w:left="0" w:firstLine="422"/>
        <w:keepLines w:val="0"/>
        <w:keepNext w:val="0"/>
        <w:pageBreakBefore w:val="0"/>
        <w:spacing w:line="520" w:lineRule="exact"/>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注:</w:t>
      </w:r>
      <w:r/>
    </w:p>
    <w:p>
      <w:pPr>
        <w:ind w:left="0" w:firstLine="42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1、付款条件一中，出具预付款保函后支付的合同款应当与保函金额一致。</w:t>
      </w:r>
      <w:r/>
    </w:p>
    <w:p>
      <w:pPr>
        <w:ind w:left="0" w:firstLine="420"/>
        <w:keepLines w:val="0"/>
        <w:keepNext w:val="0"/>
        <w:pageBreakBefore w:val="0"/>
        <w:spacing w:line="5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2、付款条件二中，预付款比例设定应符合《关于做好政府采购支持企业发展有关事项的通知》(苏财购〔2020〕52号)要求。</w:t>
      </w:r>
      <w:r/>
    </w:p>
    <w:p>
      <w:pPr>
        <w:rPr>
          <w:rFonts w:hint="eastAsia" w:ascii="宋体" w:hAnsi="宋体" w:cs="宋体"/>
          <w:color w:val="auto"/>
          <w:sz w:val="30"/>
          <w:szCs w:val="30"/>
          <w:highlight w:val="none"/>
        </w:rPr>
      </w:pPr>
      <w:r>
        <w:rPr>
          <w:rFonts w:hint="eastAsia" w:ascii="宋体" w:hAnsi="宋体" w:cs="宋体"/>
          <w:color w:val="auto"/>
          <w:sz w:val="30"/>
          <w:szCs w:val="30"/>
          <w:highlight w:val="none"/>
        </w:rPr>
        <w:br w:type="page" w:clear="all"/>
      </w:r>
      <w:r/>
    </w:p>
    <w:p>
      <w:pPr>
        <w:pStyle w:val="779"/>
        <w:jc w:val="center"/>
        <w:rPr>
          <w:rFonts w:hint="eastAsia" w:ascii="宋体" w:hAnsi="宋体" w:cs="宋体"/>
          <w:color w:val="auto"/>
          <w:sz w:val="30"/>
          <w:szCs w:val="30"/>
          <w:highlight w:val="none"/>
        </w:rPr>
      </w:pPr>
      <w:r>
        <w:rPr>
          <w:rFonts w:hint="eastAsia" w:ascii="宋体" w:hAnsi="宋体" w:cs="宋体"/>
          <w:b/>
          <w:bCs/>
          <w:color w:val="auto"/>
          <w:sz w:val="30"/>
          <w:szCs w:val="30"/>
          <w:highlight w:val="none"/>
          <w:lang w:val="en-US" w:eastAsia="zh-CN" w:bidi="ar-SA"/>
        </w:rPr>
        <w:t xml:space="preserve">十一、</w:t>
      </w:r>
      <w:r>
        <w:rPr>
          <w:rFonts w:hint="eastAsia" w:ascii="宋体" w:hAnsi="宋体" w:eastAsia="宋体" w:cs="宋体"/>
          <w:b/>
          <w:bCs/>
          <w:color w:val="auto"/>
          <w:sz w:val="30"/>
          <w:szCs w:val="30"/>
          <w:highlight w:val="none"/>
          <w:lang w:val="en-US" w:eastAsia="zh-CN" w:bidi="ar-SA"/>
        </w:rPr>
        <w:t xml:space="preserve">投标人相关承诺</w:t>
      </w:r>
      <w:r/>
    </w:p>
    <w:p>
      <w:pPr>
        <w:pStyle w:val="779"/>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812"/>
        <w:ind w:firstLine="0"/>
        <w:rPr>
          <w:rFonts w:hint="eastAsia" w:eastAsia="宋体"/>
          <w:color w:val="auto"/>
          <w:sz w:val="24"/>
          <w:szCs w:val="24"/>
          <w:highlight w:val="none"/>
          <w:lang w:eastAsia="zh-CN"/>
        </w:rPr>
      </w:pPr>
      <w:r>
        <w:rPr>
          <w:rFonts w:hint="eastAsia"/>
          <w:color w:val="auto"/>
          <w:sz w:val="24"/>
          <w:szCs w:val="24"/>
          <w:highlight w:val="none"/>
        </w:rPr>
        <w:t xml:space="preserve">项目名称：</w:t>
      </w:r>
      <w:r>
        <w:rPr>
          <w:rFonts w:hint="eastAsia"/>
          <w:color w:val="auto"/>
          <w:sz w:val="24"/>
          <w:szCs w:val="24"/>
          <w:highlight w:val="none"/>
          <w:lang w:eastAsia="zh-CN"/>
        </w:rPr>
        <w:t xml:space="preserve">徐州市市场监督管理局食品安全监督抽检</w:t>
      </w:r>
      <w:r/>
    </w:p>
    <w:p>
      <w:pPr>
        <w:ind w:firstLine="0"/>
        <w:rPr>
          <w:color w:val="auto"/>
          <w:sz w:val="24"/>
          <w:szCs w:val="24"/>
          <w:highlight w:val="none"/>
        </w:rPr>
      </w:pPr>
      <w:r>
        <w:rPr>
          <w:rFonts w:hint="eastAsia"/>
          <w:color w:val="auto"/>
          <w:sz w:val="24"/>
          <w:szCs w:val="24"/>
          <w:highlight w:val="none"/>
        </w:rPr>
        <w:t xml:space="preserve">项目编号：</w:t>
      </w:r>
      <w:r>
        <w:rPr>
          <w:rFonts w:hint="eastAsia"/>
          <w:color w:val="auto"/>
          <w:sz w:val="24"/>
          <w:szCs w:val="24"/>
          <w:highlight w:val="none"/>
          <w:lang w:eastAsia="zh-CN"/>
        </w:rPr>
        <w:t xml:space="preserve">JSZC-320300-YMXM-G2026-0004</w:t>
      </w:r>
      <w:r/>
    </w:p>
    <w:p>
      <w:pPr>
        <w:pStyle w:val="779"/>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79"/>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79"/>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我单位承诺：</w:t>
      </w:r>
      <w:r/>
    </w:p>
    <w:p>
      <w:pPr>
        <w:pStyle w:val="779"/>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如有参与同一合同项下政府采购活动的投标人与我单位存在负责人为同一人的情况或者存在直接控股、管理关系，我单位不再参加该同一合同项下的政府采购活动。</w:t>
      </w:r>
      <w:r/>
    </w:p>
    <w:p>
      <w:pPr>
        <w:pStyle w:val="779"/>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79"/>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我单位对上述承诺负责，并依法承担相应责任。</w:t>
      </w:r>
      <w:r/>
    </w:p>
    <w:p>
      <w:pPr>
        <w:pStyle w:val="779"/>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79"/>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79"/>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79"/>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79"/>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79"/>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79"/>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79"/>
        <w:ind w:left="0" w:firstLine="294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                  （电子签章） </w:t>
      </w:r>
      <w:r/>
    </w:p>
    <w:p>
      <w:pPr>
        <w:pStyle w:val="779"/>
        <w:ind w:left="0" w:firstLine="294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pStyle w:val="779"/>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79"/>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79"/>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79"/>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79"/>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79"/>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79"/>
        <w:jc w:val="center"/>
        <w:rPr>
          <w:rFonts w:hint="eastAsia" w:ascii="宋体" w:hAnsi="宋体" w:eastAsia="宋体" w:cs="宋体"/>
          <w:b/>
          <w:bCs/>
          <w:color w:val="auto"/>
          <w:sz w:val="30"/>
          <w:szCs w:val="30"/>
          <w:highlight w:val="none"/>
          <w:lang w:val="en-US" w:eastAsia="zh-CN" w:bidi="ar-SA"/>
        </w:rPr>
      </w:pPr>
      <w:r>
        <w:rPr>
          <w:rFonts w:hint="eastAsia" w:ascii="宋体" w:hAnsi="宋体" w:cs="宋体"/>
          <w:color w:val="auto"/>
          <w:sz w:val="30"/>
          <w:szCs w:val="30"/>
          <w:highlight w:val="none"/>
        </w:rPr>
        <w:br w:type="page" w:clear="all"/>
      </w:r>
      <w:r>
        <w:rPr>
          <w:rFonts w:hint="eastAsia" w:ascii="宋体" w:hAnsi="宋体" w:cs="宋体"/>
          <w:b/>
          <w:bCs/>
          <w:color w:val="auto"/>
          <w:sz w:val="30"/>
          <w:szCs w:val="30"/>
          <w:highlight w:val="none"/>
          <w:lang w:val="en-US" w:eastAsia="zh-CN" w:bidi="ar-SA"/>
        </w:rPr>
        <w:t xml:space="preserve">十二、</w:t>
      </w:r>
      <w:r>
        <w:rPr>
          <w:rFonts w:hint="eastAsia" w:ascii="宋体" w:hAnsi="宋体" w:eastAsia="宋体" w:cs="宋体"/>
          <w:b/>
          <w:bCs/>
          <w:color w:val="auto"/>
          <w:sz w:val="30"/>
          <w:szCs w:val="30"/>
          <w:highlight w:val="none"/>
          <w:lang w:val="en-US" w:eastAsia="zh-CN" w:bidi="ar-SA"/>
        </w:rPr>
        <w:t xml:space="preserve">投标人书面声明</w:t>
      </w:r>
      <w:r/>
    </w:p>
    <w:p>
      <w:pPr>
        <w:pStyle w:val="779"/>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812"/>
        <w:ind w:firstLine="0"/>
        <w:rPr>
          <w:rFonts w:hint="eastAsia" w:eastAsia="宋体"/>
          <w:color w:val="auto"/>
          <w:sz w:val="24"/>
          <w:szCs w:val="24"/>
          <w:highlight w:val="none"/>
          <w:lang w:eastAsia="zh-CN"/>
        </w:rPr>
      </w:pPr>
      <w:r>
        <w:rPr>
          <w:rFonts w:hint="eastAsia"/>
          <w:color w:val="auto"/>
          <w:sz w:val="24"/>
          <w:szCs w:val="24"/>
          <w:highlight w:val="none"/>
        </w:rPr>
        <w:t xml:space="preserve">项目名称：</w:t>
      </w:r>
      <w:r>
        <w:rPr>
          <w:rFonts w:hint="eastAsia"/>
          <w:color w:val="auto"/>
          <w:sz w:val="24"/>
          <w:szCs w:val="24"/>
          <w:highlight w:val="none"/>
          <w:lang w:eastAsia="zh-CN"/>
        </w:rPr>
        <w:t xml:space="preserve">徐州市市场监督管理局食品安全监督抽检</w:t>
      </w:r>
      <w:r/>
    </w:p>
    <w:p>
      <w:pPr>
        <w:ind w:firstLine="0"/>
        <w:rPr>
          <w:rFonts w:hint="eastAsia" w:ascii="宋体" w:hAnsi="宋体" w:cs="宋体"/>
          <w:color w:val="auto"/>
          <w:sz w:val="30"/>
          <w:szCs w:val="30"/>
          <w:highlight w:val="none"/>
        </w:rPr>
      </w:pPr>
      <w:r>
        <w:rPr>
          <w:rFonts w:hint="eastAsia"/>
          <w:color w:val="auto"/>
          <w:sz w:val="24"/>
          <w:szCs w:val="24"/>
          <w:highlight w:val="none"/>
        </w:rPr>
        <w:t xml:space="preserve">项目编号：</w:t>
      </w:r>
      <w:r>
        <w:rPr>
          <w:rFonts w:hint="eastAsia"/>
          <w:color w:val="auto"/>
          <w:sz w:val="24"/>
          <w:szCs w:val="24"/>
          <w:highlight w:val="none"/>
          <w:lang w:eastAsia="zh-CN"/>
        </w:rPr>
        <w:t xml:space="preserve">JSZC-320300-YMXM-G2026-0004</w:t>
      </w:r>
      <w:r/>
    </w:p>
    <w:p>
      <w:pPr>
        <w:pStyle w:val="779"/>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我单位不是为本采购项目提供整体设计、规范编制或者项目管理、监理、检测等服务的供应商。</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特此声明。</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我单位对上述声明的真实性负责。如有虚假，将依法承担相应责任。</w:t>
      </w:r>
      <w:r/>
    </w:p>
    <w:p>
      <w:pPr>
        <w:ind w:firstLine="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79"/>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79"/>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79"/>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79"/>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79"/>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79"/>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79"/>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79"/>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79"/>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79"/>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79"/>
        <w:ind w:left="0" w:firstLine="294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                  （电子签章） </w:t>
      </w:r>
      <w:r/>
    </w:p>
    <w:p>
      <w:pPr>
        <w:pStyle w:val="779"/>
        <w:ind w:left="0" w:firstLine="294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pStyle w:val="779"/>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79"/>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79"/>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79"/>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79"/>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779"/>
        <w:rPr>
          <w:rFonts w:hint="eastAsia" w:ascii="宋体" w:hAnsi="宋体" w:cs="宋体"/>
          <w:color w:val="auto"/>
          <w:sz w:val="30"/>
          <w:szCs w:val="30"/>
          <w:highlight w:val="none"/>
        </w:rPr>
      </w:pPr>
      <w:r>
        <w:rPr>
          <w:rFonts w:hint="eastAsia" w:ascii="宋体" w:hAnsi="宋体" w:cs="宋体"/>
          <w:color w:val="auto"/>
          <w:sz w:val="30"/>
          <w:szCs w:val="30"/>
          <w:highlight w:val="none"/>
        </w:rPr>
        <w:br w:type="page" w:clear="all"/>
      </w:r>
      <w:r/>
    </w:p>
    <w:p>
      <w:pPr>
        <w:rPr>
          <w:rFonts w:hint="eastAsia"/>
          <w:color w:val="auto"/>
          <w:highlight w:val="none"/>
        </w:rPr>
        <w:sectPr>
          <w:headerReference w:type="default" r:id="rId9"/>
          <w:footerReference w:type="default" r:id="rId11"/>
          <w:footnotePr/>
          <w:endnotePr/>
          <w:type w:val="nextPage"/>
          <w:pgSz w:w="11906" w:h="16838" w:orient="portrait"/>
          <w:pgMar w:top="1440" w:right="1134" w:bottom="1440" w:left="1134" w:header="851" w:footer="992" w:gutter="0"/>
          <w:cols w:num="1" w:sep="0" w:space="1701" w:equalWidth="1"/>
          <w:docGrid w:linePitch="360"/>
        </w:sectPr>
      </w:pPr>
      <w:r>
        <w:rPr>
          <w:rFonts w:hint="eastAsia"/>
          <w:color w:val="auto"/>
          <w:highlight w:val="none"/>
        </w:rPr>
      </w:r>
      <w:r/>
    </w:p>
    <w:p>
      <w:pPr>
        <w:jc w:val="both"/>
        <w:spacing w:after="200" w:line="640" w:lineRule="exact"/>
        <w:widowControl/>
        <w:rPr>
          <w:rFonts w:hint="eastAsia" w:ascii="方正小标宋_GBK" w:hAnsi="Times New Roman" w:eastAsia="方正小标宋_GBK" w:cs="Times New Roman"/>
          <w:color w:val="auto"/>
          <w:sz w:val="32"/>
          <w:szCs w:val="32"/>
          <w:highlight w:val="none"/>
          <w:lang w:val="en-US" w:eastAsia="zh-CN"/>
        </w:rPr>
      </w:pPr>
      <w:r>
        <w:rPr>
          <w:rFonts w:hint="eastAsia" w:ascii="方正小标宋_GBK" w:hAnsi="Times New Roman" w:eastAsia="方正小标宋_GBK" w:cs="Times New Roman"/>
          <w:color w:val="auto"/>
          <w:sz w:val="32"/>
          <w:szCs w:val="32"/>
          <w:highlight w:val="none"/>
          <w:lang w:eastAsia="zh-CN"/>
        </w:rPr>
        <w:t xml:space="preserve">附件：</w:t>
      </w:r>
      <w:r/>
    </w:p>
    <w:p>
      <w:pPr>
        <w:jc w:val="center"/>
        <w:spacing w:after="200" w:line="640" w:lineRule="exact"/>
        <w:widowControl/>
        <w:rPr>
          <w:rFonts w:hint="eastAsia" w:ascii="方正小标宋_GBK" w:hAnsi="Times New Roman" w:eastAsia="方正小标宋_GBK" w:cs="Times New Roman"/>
          <w:color w:val="auto"/>
          <w:sz w:val="44"/>
          <w:szCs w:val="44"/>
          <w:highlight w:val="none"/>
        </w:rPr>
      </w:pPr>
      <w:r>
        <w:rPr>
          <w:rFonts w:hint="eastAsia" w:ascii="方正小标宋_GBK" w:hAnsi="Times New Roman" w:eastAsia="方正小标宋_GBK" w:cs="Times New Roman"/>
          <w:color w:val="auto"/>
          <w:sz w:val="44"/>
          <w:szCs w:val="44"/>
          <w:highlight w:val="none"/>
        </w:rPr>
        <w:t xml:space="preserve">2026年徐州市级食用农产品监督抽检品种及项目表</w:t>
      </w:r>
      <w:r/>
    </w:p>
    <w:tbl>
      <w:tblPr>
        <w:tblStyle w:val="765"/>
        <w:tblW w:w="149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28" w:type="dxa"/>
          <w:right w:w="108" w:type="dxa"/>
          <w:bottom w:w="28" w:type="dxa"/>
        </w:tblCellMar>
        <w:tblLook w:val="04A0" w:firstRow="1" w:lastRow="0" w:firstColumn="1" w:lastColumn="0" w:noHBand="0" w:noVBand="1"/>
      </w:tblPr>
      <w:tblGrid>
        <w:gridCol w:w="624"/>
        <w:gridCol w:w="1173"/>
        <w:gridCol w:w="1069"/>
        <w:gridCol w:w="1092"/>
        <w:gridCol w:w="3402"/>
        <w:gridCol w:w="6236"/>
        <w:gridCol w:w="1322"/>
      </w:tblGrid>
      <w:tr>
        <w:trPr>
          <w:jc w:val="center"/>
          <w:tblHeader/>
        </w:trPr>
        <w:tc>
          <w:tcPr>
            <w:tcW w:w="624" w:type="dxa"/>
            <w:vAlign w:val="center"/>
            <w:textDirection w:val="lrTb"/>
            <w:noWrap w:val="false"/>
          </w:tcPr>
          <w:p>
            <w:pPr>
              <w:jc w:val="center"/>
              <w:spacing w:line="240" w:lineRule="exact"/>
              <w:widowControl/>
              <w:rPr>
                <w:rFonts w:hint="eastAsia" w:ascii="方正黑体_GBK" w:hAnsi="方正黑体_GBK" w:eastAsia="方正黑体_GBK" w:cs="方正黑体_GBK"/>
                <w:color w:val="auto"/>
                <w:sz w:val="20"/>
                <w:szCs w:val="20"/>
                <w:highlight w:val="none"/>
                <w:lang w:bidi="ar"/>
              </w:rPr>
            </w:pPr>
            <w:r>
              <w:rPr>
                <w:rFonts w:hint="eastAsia" w:ascii="方正黑体_GBK" w:hAnsi="方正黑体_GBK" w:eastAsia="方正黑体_GBK" w:cs="方正黑体_GBK"/>
                <w:color w:val="auto"/>
                <w:sz w:val="20"/>
                <w:szCs w:val="20"/>
                <w:highlight w:val="none"/>
                <w:lang w:bidi="ar"/>
              </w:rPr>
              <w:t xml:space="preserve">序号</w:t>
            </w:r>
            <w:r/>
          </w:p>
        </w:tc>
        <w:tc>
          <w:tcPr>
            <w:tcW w:w="1173" w:type="dxa"/>
            <w:vAlign w:val="center"/>
            <w:textDirection w:val="lrTb"/>
            <w:noWrap w:val="false"/>
          </w:tcPr>
          <w:p>
            <w:pPr>
              <w:jc w:val="center"/>
              <w:spacing w:line="240" w:lineRule="exact"/>
              <w:widowControl/>
              <w:rPr>
                <w:rFonts w:hint="eastAsia" w:ascii="方正黑体_GBK" w:hAnsi="方正黑体_GBK" w:eastAsia="方正黑体_GBK" w:cs="方正黑体_GBK"/>
                <w:color w:val="auto"/>
                <w:sz w:val="20"/>
                <w:szCs w:val="20"/>
                <w:highlight w:val="none"/>
                <w:lang w:bidi="ar"/>
              </w:rPr>
            </w:pPr>
            <w:r>
              <w:rPr>
                <w:rFonts w:hint="eastAsia" w:ascii="方正黑体_GBK" w:hAnsi="方正黑体_GBK" w:eastAsia="方正黑体_GBK" w:cs="方正黑体_GBK"/>
                <w:color w:val="auto"/>
                <w:sz w:val="20"/>
                <w:szCs w:val="20"/>
                <w:highlight w:val="none"/>
                <w:lang w:bidi="ar"/>
              </w:rPr>
              <w:t xml:space="preserve">食品亚类</w:t>
            </w:r>
            <w:r/>
          </w:p>
          <w:p>
            <w:pPr>
              <w:jc w:val="center"/>
              <w:spacing w:line="240" w:lineRule="exact"/>
              <w:widowControl/>
              <w:rPr>
                <w:rFonts w:hint="eastAsia" w:ascii="方正黑体_GBK" w:hAnsi="方正黑体_GBK" w:eastAsia="方正黑体_GBK" w:cs="方正黑体_GBK"/>
                <w:color w:val="auto"/>
                <w:sz w:val="20"/>
                <w:szCs w:val="20"/>
                <w:highlight w:val="none"/>
              </w:rPr>
            </w:pPr>
            <w:r>
              <w:rPr>
                <w:rFonts w:hint="eastAsia" w:ascii="方正黑体_GBK" w:hAnsi="方正黑体_GBK" w:eastAsia="方正黑体_GBK" w:cs="方正黑体_GBK"/>
                <w:color w:val="auto"/>
                <w:sz w:val="20"/>
                <w:szCs w:val="20"/>
                <w:highlight w:val="none"/>
                <w:lang w:bidi="ar"/>
              </w:rPr>
              <w:t xml:space="preserve">（二级）</w:t>
            </w:r>
            <w:r/>
          </w:p>
        </w:tc>
        <w:tc>
          <w:tcPr>
            <w:tcW w:w="1069" w:type="dxa"/>
            <w:vAlign w:val="center"/>
            <w:textDirection w:val="lrTb"/>
            <w:noWrap w:val="false"/>
          </w:tcPr>
          <w:p>
            <w:pPr>
              <w:jc w:val="center"/>
              <w:spacing w:line="240" w:lineRule="exact"/>
              <w:widowControl/>
              <w:rPr>
                <w:rFonts w:hint="eastAsia" w:ascii="方正黑体_GBK" w:hAnsi="方正黑体_GBK" w:eastAsia="方正黑体_GBK" w:cs="方正黑体_GBK"/>
                <w:color w:val="auto"/>
                <w:sz w:val="20"/>
                <w:szCs w:val="20"/>
                <w:highlight w:val="none"/>
              </w:rPr>
            </w:pPr>
            <w:r>
              <w:rPr>
                <w:rFonts w:hint="eastAsia" w:ascii="方正黑体_GBK" w:hAnsi="方正黑体_GBK" w:eastAsia="方正黑体_GBK" w:cs="方正黑体_GBK"/>
                <w:color w:val="auto"/>
                <w:sz w:val="20"/>
                <w:szCs w:val="20"/>
                <w:highlight w:val="none"/>
                <w:lang w:bidi="ar"/>
              </w:rPr>
              <w:t xml:space="preserve">食品品种（三级）</w:t>
            </w:r>
            <w:r/>
          </w:p>
        </w:tc>
        <w:tc>
          <w:tcPr>
            <w:tcW w:w="1092" w:type="dxa"/>
            <w:vAlign w:val="center"/>
            <w:textDirection w:val="lrTb"/>
            <w:noWrap w:val="false"/>
          </w:tcPr>
          <w:p>
            <w:pPr>
              <w:jc w:val="center"/>
              <w:spacing w:line="240" w:lineRule="exact"/>
              <w:widowControl/>
              <w:rPr>
                <w:rFonts w:hint="eastAsia" w:ascii="方正黑体_GBK" w:hAnsi="方正黑体_GBK" w:eastAsia="方正黑体_GBK" w:cs="方正黑体_GBK"/>
                <w:color w:val="auto"/>
                <w:sz w:val="20"/>
                <w:szCs w:val="20"/>
                <w:highlight w:val="none"/>
              </w:rPr>
            </w:pPr>
            <w:r>
              <w:rPr>
                <w:rFonts w:hint="eastAsia" w:ascii="方正黑体_GBK" w:hAnsi="方正黑体_GBK" w:eastAsia="方正黑体_GBK" w:cs="方正黑体_GBK"/>
                <w:color w:val="auto"/>
                <w:sz w:val="20"/>
                <w:szCs w:val="20"/>
                <w:highlight w:val="none"/>
                <w:lang w:bidi="ar"/>
              </w:rPr>
              <w:t xml:space="preserve">食品细类（四级）</w:t>
            </w:r>
            <w:r/>
          </w:p>
        </w:tc>
        <w:tc>
          <w:tcPr>
            <w:tcW w:w="3402" w:type="dxa"/>
            <w:vAlign w:val="center"/>
            <w:textDirection w:val="lrTb"/>
            <w:noWrap w:val="false"/>
          </w:tcPr>
          <w:p>
            <w:pPr>
              <w:jc w:val="center"/>
              <w:spacing w:line="240" w:lineRule="exact"/>
              <w:widowControl/>
              <w:rPr>
                <w:rFonts w:hint="eastAsia" w:ascii="方正黑体_GBK" w:hAnsi="方正黑体_GBK" w:eastAsia="方正黑体_GBK" w:cs="方正黑体_GBK"/>
                <w:color w:val="auto"/>
                <w:sz w:val="20"/>
                <w:szCs w:val="20"/>
                <w:highlight w:val="none"/>
              </w:rPr>
            </w:pPr>
            <w:r>
              <w:rPr>
                <w:rFonts w:hint="eastAsia" w:ascii="方正黑体_GBK" w:hAnsi="方正黑体_GBK" w:eastAsia="方正黑体_GBK" w:cs="方正黑体_GBK"/>
                <w:color w:val="auto"/>
                <w:sz w:val="20"/>
                <w:szCs w:val="20"/>
                <w:highlight w:val="none"/>
                <w:lang w:bidi="ar"/>
              </w:rPr>
              <w:t xml:space="preserve">必  检  项  目</w:t>
            </w:r>
            <w:r/>
          </w:p>
        </w:tc>
        <w:tc>
          <w:tcPr>
            <w:tcW w:w="6236" w:type="dxa"/>
            <w:vAlign w:val="center"/>
            <w:textDirection w:val="lrTb"/>
            <w:noWrap w:val="false"/>
          </w:tcPr>
          <w:p>
            <w:pPr>
              <w:jc w:val="center"/>
              <w:spacing w:line="240" w:lineRule="exact"/>
              <w:widowControl/>
              <w:rPr>
                <w:rFonts w:hint="eastAsia" w:ascii="方正黑体_GBK" w:hAnsi="方正黑体_GBK" w:eastAsia="方正黑体_GBK" w:cs="方正黑体_GBK"/>
                <w:color w:val="auto"/>
                <w:sz w:val="20"/>
                <w:szCs w:val="20"/>
                <w:highlight w:val="none"/>
                <w:lang w:eastAsia="zh-CN"/>
              </w:rPr>
            </w:pPr>
            <w:r>
              <w:rPr>
                <w:rFonts w:hint="eastAsia" w:ascii="方正黑体_GBK" w:hAnsi="方正黑体_GBK" w:eastAsia="方正黑体_GBK" w:cs="方正黑体_GBK"/>
                <w:color w:val="auto"/>
                <w:sz w:val="20"/>
                <w:szCs w:val="20"/>
                <w:highlight w:val="none"/>
                <w:lang w:bidi="ar"/>
              </w:rPr>
              <w:t xml:space="preserve">可    选    项    目</w:t>
            </w:r>
            <w:r>
              <w:rPr>
                <w:rFonts w:hint="eastAsia" w:ascii="方正黑体_GBK" w:hAnsi="方正黑体_GBK" w:eastAsia="方正黑体_GBK" w:cs="方正黑体_GBK"/>
                <w:color w:val="auto"/>
                <w:sz w:val="20"/>
                <w:szCs w:val="20"/>
                <w:highlight w:val="none"/>
                <w:lang w:eastAsia="zh-CN" w:bidi="ar"/>
              </w:rPr>
              <w:t xml:space="preserve">（</w:t>
            </w:r>
            <w:r>
              <w:rPr>
                <w:rFonts w:hint="eastAsia" w:ascii="方正黑体_GBK" w:hAnsi="方正黑体_GBK" w:eastAsia="方正黑体_GBK" w:cs="方正黑体_GBK"/>
                <w:color w:val="auto"/>
                <w:sz w:val="20"/>
                <w:szCs w:val="20"/>
                <w:highlight w:val="none"/>
                <w:lang w:bidi="ar"/>
              </w:rPr>
              <w:t xml:space="preserve">不少于2个</w:t>
            </w:r>
            <w:r>
              <w:rPr>
                <w:rFonts w:hint="eastAsia" w:ascii="方正黑体_GBK" w:hAnsi="方正黑体_GBK" w:eastAsia="方正黑体_GBK" w:cs="方正黑体_GBK"/>
                <w:color w:val="auto"/>
                <w:sz w:val="20"/>
                <w:szCs w:val="20"/>
                <w:highlight w:val="none"/>
                <w:lang w:eastAsia="zh-CN" w:bidi="ar"/>
              </w:rPr>
              <w:t xml:space="preserve">）</w:t>
            </w:r>
            <w:r/>
          </w:p>
        </w:tc>
        <w:tc>
          <w:tcPr>
            <w:tcW w:w="1322" w:type="dxa"/>
            <w:vAlign w:val="center"/>
            <w:textDirection w:val="lrTb"/>
            <w:noWrap w:val="false"/>
          </w:tcPr>
          <w:p>
            <w:pPr>
              <w:jc w:val="center"/>
              <w:spacing w:line="240" w:lineRule="exact"/>
              <w:widowControl/>
              <w:rPr>
                <w:rFonts w:hint="eastAsia" w:ascii="方正黑体_GBK" w:hAnsi="方正黑体_GBK" w:eastAsia="方正黑体_GBK" w:cs="方正黑体_GBK"/>
                <w:color w:val="auto"/>
                <w:sz w:val="20"/>
                <w:szCs w:val="20"/>
                <w:highlight w:val="none"/>
              </w:rPr>
            </w:pPr>
            <w:r>
              <w:rPr>
                <w:rFonts w:hint="eastAsia" w:ascii="方正黑体_GBK" w:hAnsi="方正黑体_GBK" w:eastAsia="方正黑体_GBK" w:cs="方正黑体_GBK"/>
                <w:color w:val="auto"/>
                <w:sz w:val="20"/>
                <w:szCs w:val="20"/>
                <w:highlight w:val="none"/>
                <w:lang w:bidi="ar"/>
              </w:rPr>
              <w:t xml:space="preserve">备  注</w:t>
            </w:r>
            <w:r/>
          </w:p>
        </w:tc>
      </w:tr>
      <w:tr>
        <w:trPr>
          <w:jc w:val="center"/>
        </w:trPr>
        <w:tc>
          <w:tcPr>
            <w:tcW w:w="624" w:type="dxa"/>
            <w:vAlign w:val="center"/>
            <w:vMerge w:val="restart"/>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t xml:space="preserve">1</w:t>
            </w:r>
            <w:r/>
          </w:p>
        </w:tc>
        <w:tc>
          <w:tcPr>
            <w:tcW w:w="1173" w:type="dxa"/>
            <w:vAlign w:val="center"/>
            <w:vMerge w:val="restart"/>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畜禽肉及副产品</w:t>
            </w:r>
            <w:r/>
          </w:p>
        </w:tc>
        <w:tc>
          <w:tcPr>
            <w:tcW w:w="1069" w:type="dxa"/>
            <w:vAlign w:val="center"/>
            <w:vMerge w:val="restart"/>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畜肉</w:t>
            </w:r>
            <w:r/>
          </w:p>
        </w:tc>
        <w:tc>
          <w:tcPr>
            <w:tcW w:w="1092" w:type="dxa"/>
            <w:vAlign w:val="center"/>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猪肉</w:t>
            </w:r>
            <w:r/>
          </w:p>
        </w:tc>
        <w:tc>
          <w:tcPr>
            <w:tcW w:w="3402" w:type="dxa"/>
            <w:vAlign w:val="center"/>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恩诺沙星、氟苯尼考、磺胺类（总量）、氯霉素、沙丁胺醇、多西环素</w:t>
            </w:r>
            <w:r/>
          </w:p>
        </w:tc>
        <w:tc>
          <w:tcPr>
            <w:tcW w:w="6236" w:type="dxa"/>
            <w:vAlign w:val="center"/>
            <w:textDirection w:val="lrTb"/>
            <w:noWrap w:val="false"/>
          </w:tcPr>
          <w:p>
            <w:pPr>
              <w:jc w:val="left"/>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挥发性盐基氮、水分、呋喃唑酮代谢物、呋喃西林代谢物、克伦特罗、莱克多巴胺、喹乙醇、替米考星、甲氧苄啶、地塞米松、甲硝唑、氯丙嗪、林可霉素、土霉素/金霉素/四环素（组合含量）</w:t>
            </w:r>
            <w:r/>
          </w:p>
        </w:tc>
        <w:tc>
          <w:tcPr>
            <w:tcW w:w="1322" w:type="dxa"/>
            <w:vAlign w:val="center"/>
            <w:textDirection w:val="lrTb"/>
            <w:noWrap w:val="false"/>
          </w:tcPr>
          <w:p>
            <w:pPr>
              <w:jc w:val="left"/>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r>
      <w:tr>
        <w:trPr>
          <w:jc w:val="center"/>
        </w:trPr>
        <w:tc>
          <w:tcPr>
            <w:tcW w:w="624" w:type="dxa"/>
            <w:vAlign w:val="center"/>
            <w:vMerge w:val="continue"/>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173" w:type="dxa"/>
            <w:vAlign w:val="center"/>
            <w:vMerge w:val="continue"/>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069" w:type="dxa"/>
            <w:vAlign w:val="center"/>
            <w:vMerge w:val="continue"/>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092" w:type="dxa"/>
            <w:vAlign w:val="center"/>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牛肉</w:t>
            </w:r>
            <w:r/>
          </w:p>
        </w:tc>
        <w:tc>
          <w:tcPr>
            <w:tcW w:w="3402" w:type="dxa"/>
            <w:vAlign w:val="center"/>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地塞米松、恩诺沙星、磺胺类（总量）、克伦特罗、氯霉素、氟苯尼考</w:t>
            </w:r>
            <w:r/>
          </w:p>
        </w:tc>
        <w:tc>
          <w:tcPr>
            <w:tcW w:w="6236" w:type="dxa"/>
            <w:vAlign w:val="center"/>
            <w:textDirection w:val="lrTb"/>
            <w:noWrap w:val="false"/>
          </w:tcPr>
          <w:p>
            <w:pPr>
              <w:jc w:val="left"/>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挥发性盐基氮、水分、呋喃唑酮代谢物、呋喃西林代谢物、莱克多巴胺、沙丁胺醇、甲氧苄啶、氟尼辛、多西环素、林可霉素、倍他米松、土霉素/金霉素/四环素（组合含量）</w:t>
            </w:r>
            <w:r/>
          </w:p>
        </w:tc>
        <w:tc>
          <w:tcPr>
            <w:tcW w:w="1322" w:type="dxa"/>
            <w:vAlign w:val="center"/>
            <w:textDirection w:val="lrTb"/>
            <w:noWrap w:val="false"/>
          </w:tcPr>
          <w:p>
            <w:pPr>
              <w:jc w:val="left"/>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r>
      <w:tr>
        <w:trPr>
          <w:jc w:val="center"/>
        </w:trPr>
        <w:tc>
          <w:tcPr>
            <w:tcW w:w="624" w:type="dxa"/>
            <w:vAlign w:val="center"/>
            <w:vMerge w:val="continue"/>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173" w:type="dxa"/>
            <w:vAlign w:val="center"/>
            <w:vMerge w:val="continue"/>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069" w:type="dxa"/>
            <w:vAlign w:val="center"/>
            <w:vMerge w:val="continue"/>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092" w:type="dxa"/>
            <w:vAlign w:val="center"/>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羊肉</w:t>
            </w:r>
            <w:r/>
          </w:p>
        </w:tc>
        <w:tc>
          <w:tcPr>
            <w:tcW w:w="3402" w:type="dxa"/>
            <w:vAlign w:val="center"/>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恩诺沙星、磺胺类（总量）、克伦特罗、氯霉素</w:t>
            </w:r>
            <w:r/>
          </w:p>
        </w:tc>
        <w:tc>
          <w:tcPr>
            <w:tcW w:w="6236" w:type="dxa"/>
            <w:vAlign w:val="center"/>
            <w:textDirection w:val="lrTb"/>
            <w:noWrap w:val="false"/>
          </w:tcPr>
          <w:p>
            <w:pPr>
              <w:jc w:val="left"/>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水分、呋喃唑酮代谢物、呋喃西林代谢物、莱克多巴胺、沙丁胺醇、氟苯尼考、林可霉素、土霉素/金霉素/四环素（组合含量）</w:t>
            </w:r>
            <w:r/>
          </w:p>
        </w:tc>
        <w:tc>
          <w:tcPr>
            <w:tcW w:w="1322" w:type="dxa"/>
            <w:vAlign w:val="center"/>
            <w:textDirection w:val="lrTb"/>
            <w:noWrap w:val="false"/>
          </w:tcPr>
          <w:p>
            <w:pPr>
              <w:jc w:val="left"/>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r>
      <w:tr>
        <w:trPr>
          <w:jc w:val="center"/>
        </w:trPr>
        <w:tc>
          <w:tcPr>
            <w:tcW w:w="624" w:type="dxa"/>
            <w:vAlign w:val="center"/>
            <w:vMerge w:val="continue"/>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173" w:type="dxa"/>
            <w:vAlign w:val="center"/>
            <w:vMerge w:val="continue"/>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069" w:type="dxa"/>
            <w:vAlign w:val="center"/>
            <w:vMerge w:val="restart"/>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禽肉</w:t>
            </w:r>
            <w:r/>
          </w:p>
        </w:tc>
        <w:tc>
          <w:tcPr>
            <w:tcW w:w="1092" w:type="dxa"/>
            <w:vAlign w:val="center"/>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鸡肉</w:t>
            </w:r>
            <w:r/>
          </w:p>
        </w:tc>
        <w:tc>
          <w:tcPr>
            <w:tcW w:w="3402" w:type="dxa"/>
            <w:vAlign w:val="center"/>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多西环素、恩诺沙星、磺胺类（总量）、甲氧苄啶、氯霉素</w:t>
            </w:r>
            <w:r/>
          </w:p>
        </w:tc>
        <w:tc>
          <w:tcPr>
            <w:tcW w:w="6236" w:type="dxa"/>
            <w:vAlign w:val="center"/>
            <w:textDirection w:val="lrTb"/>
            <w:noWrap w:val="false"/>
          </w:tcPr>
          <w:p>
            <w:pPr>
              <w:jc w:val="left"/>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挥发性盐基氮、水分、呋喃唑酮代谢物、呋喃西林代谢物、呋喃它酮代谢物、氧氟沙星、培氟沙星、诺氟沙星、沙拉沙星、替米考星、氟苯尼考、甲硝唑、尼卡巴嗪、环丙氨嗪、土霉素/金霉素/四环素（组合含量）</w:t>
            </w:r>
            <w:r/>
          </w:p>
        </w:tc>
        <w:tc>
          <w:tcPr>
            <w:tcW w:w="1322" w:type="dxa"/>
            <w:vAlign w:val="center"/>
            <w:textDirection w:val="lrTb"/>
            <w:noWrap w:val="false"/>
          </w:tcPr>
          <w:p>
            <w:pPr>
              <w:jc w:val="left"/>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r>
      <w:tr>
        <w:trPr>
          <w:jc w:val="center"/>
        </w:trPr>
        <w:tc>
          <w:tcPr>
            <w:tcW w:w="624" w:type="dxa"/>
            <w:vAlign w:val="center"/>
            <w:vMerge w:val="continue"/>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173" w:type="dxa"/>
            <w:vAlign w:val="center"/>
            <w:vMerge w:val="continue"/>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069" w:type="dxa"/>
            <w:vAlign w:val="center"/>
            <w:vMerge w:val="continue"/>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092" w:type="dxa"/>
            <w:vAlign w:val="center"/>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t xml:space="preserve">其他禽肉（重点品种：鸽肉）</w:t>
            </w:r>
            <w:r/>
          </w:p>
        </w:tc>
        <w:tc>
          <w:tcPr>
            <w:tcW w:w="3402" w:type="dxa"/>
            <w:vAlign w:val="center"/>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t xml:space="preserve">恩诺沙星、甲硝唑、多西环素</w:t>
            </w:r>
            <w:r/>
          </w:p>
        </w:tc>
        <w:tc>
          <w:tcPr>
            <w:tcW w:w="6236" w:type="dxa"/>
            <w:vAlign w:val="center"/>
            <w:textDirection w:val="lrTb"/>
            <w:noWrap w:val="false"/>
          </w:tcPr>
          <w:p>
            <w:pPr>
              <w:jc w:val="left"/>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呋喃唑酮代谢物、氯霉素、氧氟沙星、培氟沙星、洛美沙星、达氟沙星、磺胺类（总量）、环丙氨嗪</w:t>
            </w:r>
            <w:r/>
          </w:p>
        </w:tc>
        <w:tc>
          <w:tcPr>
            <w:tcW w:w="1322" w:type="dxa"/>
            <w:vAlign w:val="center"/>
            <w:textDirection w:val="lrTb"/>
            <w:noWrap w:val="false"/>
          </w:tcPr>
          <w:p>
            <w:pPr>
              <w:jc w:val="left"/>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r>
      <w:tr>
        <w:trPr>
          <w:jc w:val="center"/>
        </w:trPr>
        <w:tc>
          <w:tcPr>
            <w:tcW w:w="624" w:type="dxa"/>
            <w:vAlign w:val="center"/>
            <w:vMerge w:val="continue"/>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173" w:type="dxa"/>
            <w:vAlign w:val="center"/>
            <w:vMerge w:val="continue"/>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069" w:type="dxa"/>
            <w:vAlign w:val="center"/>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t xml:space="preserve">畜副产品</w:t>
            </w:r>
            <w:r/>
          </w:p>
        </w:tc>
        <w:tc>
          <w:tcPr>
            <w:tcW w:w="1092" w:type="dxa"/>
            <w:vAlign w:val="center"/>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t xml:space="preserve">猪肝</w:t>
            </w:r>
            <w:r/>
          </w:p>
        </w:tc>
        <w:tc>
          <w:tcPr>
            <w:tcW w:w="3402" w:type="dxa"/>
            <w:vAlign w:val="center"/>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t xml:space="preserve">恩诺沙星、磺胺类（总量）、甲氧苄啶</w:t>
            </w:r>
            <w:r/>
          </w:p>
        </w:tc>
        <w:tc>
          <w:tcPr>
            <w:tcW w:w="6236" w:type="dxa"/>
            <w:vAlign w:val="center"/>
            <w:textDirection w:val="lrTb"/>
            <w:noWrap w:val="false"/>
          </w:tcPr>
          <w:p>
            <w:pPr>
              <w:jc w:val="left"/>
              <w:spacing w:line="23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t xml:space="preserve">镉（以Cd计）、呋喃唑酮代谢物、呋喃西林代谢物、氯霉素、克伦特罗、莱克多巴胺、沙丁胺醇、氯丙嗪、双氯芬酸</w:t>
            </w:r>
            <w:r/>
          </w:p>
        </w:tc>
        <w:tc>
          <w:tcPr>
            <w:tcW w:w="1322" w:type="dxa"/>
            <w:vAlign w:val="center"/>
            <w:textDirection w:val="lrTb"/>
            <w:noWrap w:val="false"/>
          </w:tcPr>
          <w:p>
            <w:pPr>
              <w:jc w:val="left"/>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r>
      <w:tr>
        <w:trPr>
          <w:jc w:val="center"/>
        </w:trPr>
        <w:tc>
          <w:tcPr>
            <w:tcW w:w="624" w:type="dxa"/>
            <w:vAlign w:val="center"/>
            <w:vMerge w:val="restart"/>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t xml:space="preserve">2</w:t>
            </w:r>
            <w:r/>
          </w:p>
        </w:tc>
        <w:tc>
          <w:tcPr>
            <w:tcW w:w="1173" w:type="dxa"/>
            <w:vAlign w:val="center"/>
            <w:vMerge w:val="restart"/>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蔬菜</w:t>
            </w:r>
            <w:r/>
          </w:p>
        </w:tc>
        <w:tc>
          <w:tcPr>
            <w:tcW w:w="1069" w:type="dxa"/>
            <w:vAlign w:val="center"/>
            <w:vMerge w:val="restart"/>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豆类蔬菜</w:t>
            </w:r>
            <w:r/>
          </w:p>
        </w:tc>
        <w:tc>
          <w:tcPr>
            <w:tcW w:w="1092" w:type="dxa"/>
            <w:vAlign w:val="center"/>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菜豆</w:t>
            </w:r>
            <w:r/>
          </w:p>
        </w:tc>
        <w:tc>
          <w:tcPr>
            <w:tcW w:w="3402" w:type="dxa"/>
            <w:vAlign w:val="center"/>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噻虫胺、乙酰甲胺磷、甲胺磷、氧乐果、甲氨基阿维菌素苯甲酸盐</w:t>
            </w:r>
            <w:r/>
          </w:p>
        </w:tc>
        <w:tc>
          <w:tcPr>
            <w:tcW w:w="6236" w:type="dxa"/>
            <w:vAlign w:val="center"/>
            <w:textDirection w:val="lrTb"/>
            <w:noWrap w:val="false"/>
          </w:tcPr>
          <w:p>
            <w:pPr>
              <w:jc w:val="left"/>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倍硫磷、吡虫啉、毒死蜱、多菌灵、克百威、氯氟氰菊酯和高效氯氟氰菊酯、灭蝇胺、水胺硫磷</w:t>
            </w:r>
            <w:r/>
          </w:p>
        </w:tc>
        <w:tc>
          <w:tcPr>
            <w:tcW w:w="1322" w:type="dxa"/>
            <w:vAlign w:val="center"/>
            <w:textDirection w:val="lrTb"/>
            <w:noWrap w:val="false"/>
          </w:tcPr>
          <w:p>
            <w:pPr>
              <w:jc w:val="left"/>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r>
      <w:tr>
        <w:trPr>
          <w:jc w:val="center"/>
        </w:trPr>
        <w:tc>
          <w:tcPr>
            <w:tcW w:w="624" w:type="dxa"/>
            <w:vAlign w:val="center"/>
            <w:vMerge w:val="continue"/>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173" w:type="dxa"/>
            <w:vAlign w:val="center"/>
            <w:vMerge w:val="continue"/>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069" w:type="dxa"/>
            <w:vAlign w:val="center"/>
            <w:vMerge w:val="continue"/>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092" w:type="dxa"/>
            <w:vAlign w:val="center"/>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豇豆</w:t>
            </w:r>
            <w:r/>
          </w:p>
        </w:tc>
        <w:tc>
          <w:tcPr>
            <w:tcW w:w="3402" w:type="dxa"/>
            <w:vAlign w:val="center"/>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噻虫胺、噻虫嗪、倍硫磷、氧乐果、灭蝇胺、克百威、啶虫脒、毒死蜱</w:t>
            </w:r>
            <w:r/>
          </w:p>
        </w:tc>
        <w:tc>
          <w:tcPr>
            <w:tcW w:w="6236" w:type="dxa"/>
            <w:vAlign w:val="center"/>
            <w:textDirection w:val="lrTb"/>
            <w:noWrap w:val="false"/>
          </w:tcPr>
          <w:p>
            <w:pPr>
              <w:jc w:val="left"/>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阿维菌素、氟虫腈、甲氨基阿维菌素苯甲酸盐、甲胺磷、甲拌磷、甲基异柳磷、乐果、氯氟氰菊酯和高效氯氟氰菊酯、三唑磷、水胺硫磷、乙酰甲胺磷</w:t>
            </w:r>
            <w:r/>
          </w:p>
        </w:tc>
        <w:tc>
          <w:tcPr>
            <w:tcW w:w="1322" w:type="dxa"/>
            <w:vAlign w:val="center"/>
            <w:textDirection w:val="lrTb"/>
            <w:noWrap w:val="false"/>
          </w:tcPr>
          <w:p>
            <w:pPr>
              <w:jc w:val="left"/>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r>
      <w:tr>
        <w:trPr>
          <w:jc w:val="center"/>
        </w:trPr>
        <w:tc>
          <w:tcPr>
            <w:tcW w:w="624" w:type="dxa"/>
            <w:vAlign w:val="center"/>
            <w:vMerge w:val="continue"/>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173" w:type="dxa"/>
            <w:vAlign w:val="center"/>
            <w:vMerge w:val="continue"/>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069" w:type="dxa"/>
            <w:vAlign w:val="center"/>
            <w:vMerge w:val="continue"/>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092" w:type="dxa"/>
            <w:vAlign w:val="center"/>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食荚豌豆</w:t>
            </w:r>
            <w:r/>
          </w:p>
        </w:tc>
        <w:tc>
          <w:tcPr>
            <w:tcW w:w="3402" w:type="dxa"/>
            <w:vAlign w:val="center"/>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吡唑醚菌酯、多菌灵、噻虫胺、烯酰吗啉、乙酰甲胺磷、氧乐果</w:t>
            </w:r>
            <w:r/>
          </w:p>
        </w:tc>
        <w:tc>
          <w:tcPr>
            <w:tcW w:w="6236" w:type="dxa"/>
            <w:vAlign w:val="center"/>
            <w:textDirection w:val="lrTb"/>
            <w:noWrap w:val="false"/>
          </w:tcPr>
          <w:p>
            <w:pPr>
              <w:jc w:val="left"/>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苯醚甲环唑、毒死蜱、甲氨基阿维菌素苯甲酸盐、甲胺磷、灭蝇胺、噻虫嗪</w:t>
            </w:r>
            <w:r/>
          </w:p>
        </w:tc>
        <w:tc>
          <w:tcPr>
            <w:tcW w:w="1322" w:type="dxa"/>
            <w:vAlign w:val="center"/>
            <w:textDirection w:val="lrTb"/>
            <w:noWrap w:val="false"/>
          </w:tcPr>
          <w:p>
            <w:pPr>
              <w:jc w:val="left"/>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r>
      <w:tr>
        <w:trPr>
          <w:jc w:val="center"/>
        </w:trPr>
        <w:tc>
          <w:tcPr>
            <w:tcW w:w="624" w:type="dxa"/>
            <w:vAlign w:val="center"/>
            <w:vMerge w:val="continue"/>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r>
            <w:r/>
          </w:p>
        </w:tc>
        <w:tc>
          <w:tcPr>
            <w:tcW w:w="1173" w:type="dxa"/>
            <w:vAlign w:val="center"/>
            <w:vMerge w:val="continue"/>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069" w:type="dxa"/>
            <w:vAlign w:val="center"/>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豆芽</w:t>
            </w:r>
            <w:r/>
          </w:p>
        </w:tc>
        <w:tc>
          <w:tcPr>
            <w:tcW w:w="1092" w:type="dxa"/>
            <w:vAlign w:val="center"/>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豆芽</w:t>
            </w:r>
            <w:r/>
          </w:p>
        </w:tc>
        <w:tc>
          <w:tcPr>
            <w:tcW w:w="3402" w:type="dxa"/>
            <w:vAlign w:val="center"/>
            <w:textDirection w:val="lrTb"/>
            <w:noWrap w:val="false"/>
          </w:tcPr>
          <w:p>
            <w:pPr>
              <w:jc w:val="center"/>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4-氯苯氧乙酸钠（以4-氯苯氧乙酸计）、6-苄基腺嘌呤（6-BA）、亚硫酸盐（以SO</w:t>
            </w:r>
            <w:r>
              <w:rPr>
                <w:rFonts w:hint="default" w:ascii="Times New Roman" w:hAnsi="Times New Roman" w:eastAsia="方正仿宋_GBK" w:cs="Times New Roman"/>
                <w:color w:val="auto"/>
                <w:sz w:val="20"/>
                <w:szCs w:val="20"/>
                <w:highlight w:val="none"/>
                <w:lang w:bidi="ar"/>
              </w:rPr>
              <w:t xml:space="preserve">₂</w:t>
            </w:r>
            <w:r>
              <w:rPr>
                <w:rFonts w:hint="default" w:ascii="方正仿宋_GBK" w:hAnsi="方正仿宋_GBK" w:eastAsia="方正仿宋_GBK" w:cs="方正仿宋_GBK"/>
                <w:color w:val="auto"/>
                <w:sz w:val="20"/>
                <w:szCs w:val="20"/>
                <w:highlight w:val="none"/>
                <w:lang w:bidi="ar"/>
              </w:rPr>
              <w:t xml:space="preserve">计）、总汞（以</w:t>
            </w:r>
            <w:r>
              <w:rPr>
                <w:rFonts w:hint="default" w:ascii="方正仿宋_GBK" w:hAnsi="Times New Roman" w:eastAsia="方正仿宋_GBK" w:cs="Times New Roman"/>
                <w:color w:val="auto"/>
                <w:sz w:val="20"/>
                <w:szCs w:val="20"/>
                <w:highlight w:val="none"/>
                <w:lang w:bidi="ar"/>
              </w:rPr>
              <w:t xml:space="preserve">Hg计）</w:t>
            </w:r>
            <w:r/>
          </w:p>
        </w:tc>
        <w:tc>
          <w:tcPr>
            <w:tcW w:w="6236" w:type="dxa"/>
            <w:vAlign w:val="center"/>
            <w:textDirection w:val="lrTb"/>
            <w:noWrap w:val="false"/>
          </w:tcPr>
          <w:p>
            <w:pPr>
              <w:jc w:val="left"/>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铅（以Pb计）</w:t>
            </w:r>
            <w:r/>
          </w:p>
        </w:tc>
        <w:tc>
          <w:tcPr>
            <w:tcW w:w="1322" w:type="dxa"/>
            <w:vAlign w:val="center"/>
            <w:textDirection w:val="lrTb"/>
            <w:noWrap w:val="false"/>
          </w:tcPr>
          <w:p>
            <w:pPr>
              <w:jc w:val="left"/>
              <w:spacing w:line="23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r>
      <w:tr>
        <w:trPr>
          <w:jc w:val="center"/>
        </w:trPr>
        <w:tc>
          <w:tcPr>
            <w:tcW w:w="624" w:type="dxa"/>
            <w:vAlign w:val="center"/>
            <w:vMerge w:val="restart"/>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2</w:t>
            </w:r>
            <w:r/>
          </w:p>
        </w:tc>
        <w:tc>
          <w:tcPr>
            <w:tcW w:w="1173" w:type="dxa"/>
            <w:vAlign w:val="center"/>
            <w:vMerge w:val="restart"/>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蔬菜</w:t>
            </w:r>
            <w:r/>
          </w:p>
        </w:tc>
        <w:tc>
          <w:tcPr>
            <w:tcW w:w="1069" w:type="dxa"/>
            <w:vAlign w:val="center"/>
            <w:vMerge w:val="restart"/>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根茎类和薯芋类蔬菜</w:t>
            </w:r>
            <w:r/>
          </w:p>
        </w:tc>
        <w:tc>
          <w:tcPr>
            <w:tcW w:w="109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t xml:space="preserve">甘薯</w:t>
            </w:r>
            <w:r/>
          </w:p>
        </w:tc>
        <w:tc>
          <w:tcPr>
            <w:tcW w:w="340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t xml:space="preserve">氯氟氰菊酯和高效氯氟氰菊酯、毒死蜱、氯氰菊酯和高效氯氰菊酯、噻虫嗪</w:t>
            </w:r>
            <w:r/>
          </w:p>
        </w:tc>
        <w:tc>
          <w:tcPr>
            <w:tcW w:w="6236"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t xml:space="preserve">铅（以Pb计）、苯醚甲环唑、氟虫腈、甲拌磷、联苯菊酯、杀扑磷</w:t>
            </w:r>
            <w:r/>
          </w:p>
        </w:tc>
        <w:tc>
          <w:tcPr>
            <w:tcW w:w="1322"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r>
      <w:tr>
        <w:trPr>
          <w:jc w:val="center"/>
        </w:trPr>
        <w:tc>
          <w:tcPr>
            <w:tcW w:w="624"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173"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069"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09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胡萝卜</w:t>
            </w:r>
            <w:r/>
          </w:p>
        </w:tc>
        <w:tc>
          <w:tcPr>
            <w:tcW w:w="340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噻虫胺、甲拌磷、氟虫腈、氯氟氰菊酯和高效氯氟氰菊酯、毒死蜱</w:t>
            </w:r>
            <w:r/>
          </w:p>
        </w:tc>
        <w:tc>
          <w:tcPr>
            <w:tcW w:w="6236"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铅（以Pb计）、腈菌唑、乐果、噻虫嗪、辛硫磷</w:t>
            </w:r>
            <w:r/>
          </w:p>
        </w:tc>
        <w:tc>
          <w:tcPr>
            <w:tcW w:w="1322"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r>
      <w:tr>
        <w:trPr>
          <w:jc w:val="center"/>
        </w:trPr>
        <w:tc>
          <w:tcPr>
            <w:tcW w:w="624"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173"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069"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09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姜</w:t>
            </w:r>
            <w:r/>
          </w:p>
        </w:tc>
        <w:tc>
          <w:tcPr>
            <w:tcW w:w="340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噻虫胺、铅（以Pb计）、镉（以Cd计）、噻虫嗪、毒死蜱、吡虫啉、二氧化硫残留量</w:t>
            </w:r>
            <w:r/>
          </w:p>
        </w:tc>
        <w:tc>
          <w:tcPr>
            <w:tcW w:w="6236"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吡唑醚菌酯、敌敌畏、甲拌磷、克百威、六六六、氯氟氰菊酯和高效氯氟氰菊酯、氯氰菊酯和高效氯氰菊酯、氯唑磷、咪鲜胺和咪鲜胺锰盐</w:t>
            </w:r>
            <w:r/>
          </w:p>
        </w:tc>
        <w:tc>
          <w:tcPr>
            <w:tcW w:w="1322"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r>
      <w:tr>
        <w:trPr>
          <w:jc w:val="center"/>
        </w:trPr>
        <w:tc>
          <w:tcPr>
            <w:tcW w:w="624"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173"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069"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09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t xml:space="preserve">萝卜</w:t>
            </w:r>
            <w:r/>
          </w:p>
        </w:tc>
        <w:tc>
          <w:tcPr>
            <w:tcW w:w="340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t xml:space="preserve">噻虫嗪、氯氟氰菊酯和高效氯氟氰菊酯、毒死蜱</w:t>
            </w:r>
            <w:r/>
          </w:p>
        </w:tc>
        <w:tc>
          <w:tcPr>
            <w:tcW w:w="6236"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t xml:space="preserve">铅（以Pb计）、甲胺磷、甲拌磷、噻虫胺、氧乐果</w:t>
            </w:r>
            <w:r/>
          </w:p>
        </w:tc>
        <w:tc>
          <w:tcPr>
            <w:tcW w:w="1322"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r>
      <w:tr>
        <w:trPr>
          <w:jc w:val="center"/>
        </w:trPr>
        <w:tc>
          <w:tcPr>
            <w:tcW w:w="624"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173"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069"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09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t xml:space="preserve">马铃薯</w:t>
            </w:r>
            <w:r/>
          </w:p>
        </w:tc>
        <w:tc>
          <w:tcPr>
            <w:tcW w:w="340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t xml:space="preserve">毒死蜱、噻虫嗪、氯氟氰菊酯和高效氯氟氰菊酯、镉（以Cd计）、甲拌磷</w:t>
            </w:r>
            <w:r/>
          </w:p>
        </w:tc>
        <w:tc>
          <w:tcPr>
            <w:tcW w:w="6236"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t xml:space="preserve">铅（以Pb计）、氯氰菊酯和高效氯氰菊酯、乙酰甲胺磷、二氧化硫残留量</w:t>
            </w:r>
            <w:r/>
          </w:p>
        </w:tc>
        <w:tc>
          <w:tcPr>
            <w:tcW w:w="1322"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r>
      <w:tr>
        <w:trPr>
          <w:jc w:val="center"/>
        </w:trPr>
        <w:tc>
          <w:tcPr>
            <w:tcW w:w="624"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173"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069"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09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山药</w:t>
            </w:r>
            <w:r/>
          </w:p>
        </w:tc>
        <w:tc>
          <w:tcPr>
            <w:tcW w:w="340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咪鲜胺和咪鲜胺锰盐、涕灭威、毒死蜱</w:t>
            </w:r>
            <w:r/>
          </w:p>
        </w:tc>
        <w:tc>
          <w:tcPr>
            <w:tcW w:w="6236"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铅（以Pb计）、氯氟氰菊酯和高效氯氟氰菊酯</w:t>
            </w:r>
            <w:r/>
          </w:p>
        </w:tc>
        <w:tc>
          <w:tcPr>
            <w:tcW w:w="1322"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r>
      <w:tr>
        <w:trPr>
          <w:jc w:val="center"/>
        </w:trPr>
        <w:tc>
          <w:tcPr>
            <w:tcW w:w="624"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173"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069" w:type="dxa"/>
            <w:vAlign w:val="center"/>
            <w:vMerge w:val="restart"/>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鳞茎类蔬菜</w:t>
            </w:r>
            <w:r/>
          </w:p>
        </w:tc>
        <w:tc>
          <w:tcPr>
            <w:tcW w:w="109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葱</w:t>
            </w:r>
            <w:r/>
          </w:p>
        </w:tc>
        <w:tc>
          <w:tcPr>
            <w:tcW w:w="340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噻虫嗪、丙环唑、戊唑醇、镉（以Cd计）、毒死蜱、氯氟氰菊酯和高效氯氟氰菊酯</w:t>
            </w:r>
            <w:r/>
          </w:p>
        </w:tc>
        <w:tc>
          <w:tcPr>
            <w:tcW w:w="6236"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铅（以Pb计）、氟虫腈、甲拌磷、甲基异柳磷、克百威、乐果、三唑磷、水胺硫磷、氧乐果、乙酰甲胺磷</w:t>
            </w:r>
            <w:r/>
          </w:p>
        </w:tc>
        <w:tc>
          <w:tcPr>
            <w:tcW w:w="1322"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r>
      <w:tr>
        <w:trPr>
          <w:jc w:val="center"/>
        </w:trPr>
        <w:tc>
          <w:tcPr>
            <w:tcW w:w="624"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173"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069"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09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韭菜</w:t>
            </w:r>
            <w:r/>
          </w:p>
        </w:tc>
        <w:tc>
          <w:tcPr>
            <w:tcW w:w="340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镉（以Cd计）、毒死蜱、氯氟氰菊酯和高效氯氟氰菊酯、克百威、氧乐果、乙酰甲胺磷</w:t>
            </w:r>
            <w:r/>
          </w:p>
        </w:tc>
        <w:tc>
          <w:tcPr>
            <w:tcW w:w="6236"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铅（以Pb计）、阿维菌素、敌敌畏、多菌灵、二甲戊灵、腐霉利、甲胺磷、甲拌磷、乐果、氯氰菊酯和高效氯氰菊酯、三唑磷、辛硫磷</w:t>
            </w:r>
            <w:r/>
          </w:p>
        </w:tc>
        <w:tc>
          <w:tcPr>
            <w:tcW w:w="1322"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r>
      <w:tr>
        <w:trPr>
          <w:jc w:val="center"/>
        </w:trPr>
        <w:tc>
          <w:tcPr>
            <w:tcW w:w="624"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r>
            <w:r/>
          </w:p>
        </w:tc>
        <w:tc>
          <w:tcPr>
            <w:tcW w:w="1173"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069" w:type="dxa"/>
            <w:vAlign w:val="center"/>
            <w:vMerge w:val="restart"/>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t xml:space="preserve">茄果类蔬菜</w:t>
            </w:r>
            <w:r/>
          </w:p>
        </w:tc>
        <w:tc>
          <w:tcPr>
            <w:tcW w:w="109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辣椒</w:t>
            </w:r>
            <w:r/>
          </w:p>
        </w:tc>
        <w:tc>
          <w:tcPr>
            <w:tcW w:w="340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噻虫胺、镉（以Cd计）、啶虫脒、毒死蜱、呋虫胺、氧乐果、噻虫嗪、倍硫磷</w:t>
            </w:r>
            <w:r/>
          </w:p>
        </w:tc>
        <w:tc>
          <w:tcPr>
            <w:tcW w:w="6236"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铅（以Pb计）、吡虫啉、吡唑醚菌酯、丙溴磷、敌敌畏、氟吡菌胺、氟虫腈、甲氨基阿维菌素苯甲酸盐、甲胺磷、甲拌磷、克百威、乐果、联苯菊酯、氯氟氰菊酯和高效氯氟氰菊酯、三唑磷、杀扑磷、水胺硫磷、乙酰甲胺磷</w:t>
            </w:r>
            <w:r/>
          </w:p>
        </w:tc>
        <w:tc>
          <w:tcPr>
            <w:tcW w:w="1322"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r>
      <w:tr>
        <w:trPr>
          <w:jc w:val="center"/>
        </w:trPr>
        <w:tc>
          <w:tcPr>
            <w:tcW w:w="624"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r>
            <w:r/>
          </w:p>
        </w:tc>
        <w:tc>
          <w:tcPr>
            <w:tcW w:w="1173"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r>
            <w:r/>
          </w:p>
        </w:tc>
        <w:tc>
          <w:tcPr>
            <w:tcW w:w="1069"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r>
            <w:r/>
          </w:p>
        </w:tc>
        <w:tc>
          <w:tcPr>
            <w:tcW w:w="109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茄子</w:t>
            </w:r>
            <w:r/>
          </w:p>
        </w:tc>
        <w:tc>
          <w:tcPr>
            <w:tcW w:w="340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镉（以Cd计）、噻虫胺、噻虫嗪、氧乐果、毒死蜱</w:t>
            </w:r>
            <w:r/>
          </w:p>
        </w:tc>
        <w:tc>
          <w:tcPr>
            <w:tcW w:w="6236"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铅（以Pb计）、吡唑醚菌酯、甲氨基阿维菌素苯甲酸盐、甲胺磷、甲拌磷、克百威、霜霉威和霜霉威盐酸盐、水胺硫磷、乙酰甲胺磷</w:t>
            </w:r>
            <w:r/>
          </w:p>
        </w:tc>
        <w:tc>
          <w:tcPr>
            <w:tcW w:w="1322"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r>
      <w:tr>
        <w:trPr>
          <w:jc w:val="center"/>
        </w:trPr>
        <w:tc>
          <w:tcPr>
            <w:tcW w:w="624"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r>
            <w:r/>
          </w:p>
        </w:tc>
        <w:tc>
          <w:tcPr>
            <w:tcW w:w="1173"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r>
            <w:r/>
          </w:p>
        </w:tc>
        <w:tc>
          <w:tcPr>
            <w:tcW w:w="1069"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r>
            <w:r/>
          </w:p>
        </w:tc>
        <w:tc>
          <w:tcPr>
            <w:tcW w:w="109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甜椒</w:t>
            </w:r>
            <w:r/>
          </w:p>
        </w:tc>
        <w:tc>
          <w:tcPr>
            <w:tcW w:w="340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噻虫胺、吡虫啉、毒死蜱、噻虫嗪</w:t>
            </w:r>
            <w:r/>
          </w:p>
        </w:tc>
        <w:tc>
          <w:tcPr>
            <w:tcW w:w="6236"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镉（以Cd计）、阿维菌素、倍硫磷、吡唑醚菌酯、氟啶虫酰胺、氧乐果</w:t>
            </w:r>
            <w:r/>
          </w:p>
        </w:tc>
        <w:tc>
          <w:tcPr>
            <w:tcW w:w="1322"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r>
      <w:tr>
        <w:trPr>
          <w:jc w:val="center"/>
        </w:trPr>
        <w:tc>
          <w:tcPr>
            <w:tcW w:w="624"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173"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069"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叶菜类蔬菜</w:t>
            </w:r>
            <w:r/>
          </w:p>
        </w:tc>
        <w:tc>
          <w:tcPr>
            <w:tcW w:w="109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t xml:space="preserve">菠菜</w:t>
            </w:r>
            <w:r/>
          </w:p>
        </w:tc>
        <w:tc>
          <w:tcPr>
            <w:tcW w:w="340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毒死蜱、铬（以Cr计）、镉（以Cd计）、阿维菌素</w:t>
            </w:r>
            <w:r/>
          </w:p>
        </w:tc>
        <w:tc>
          <w:tcPr>
            <w:tcW w:w="6236"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铅（以Pb计）、氟虫腈、腐霉利、甲拌磷、克百威、氯氟氰菊酯和高效氯氟氰菊酯、氧乐果</w:t>
            </w:r>
            <w:r/>
          </w:p>
        </w:tc>
        <w:tc>
          <w:tcPr>
            <w:tcW w:w="1322"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r>
      <w:tr>
        <w:trPr>
          <w:jc w:val="center"/>
        </w:trPr>
        <w:tc>
          <w:tcPr>
            <w:tcMar>
              <w:top w:w="57" w:type="dxa"/>
              <w:bottom w:w="57" w:type="dxa"/>
            </w:tcMar>
            <w:tcW w:w="624" w:type="dxa"/>
            <w:vAlign w:val="center"/>
            <w:vMerge w:val="restart"/>
            <w:textDirection w:val="lrTb"/>
            <w:noWrap w:val="false"/>
          </w:tcPr>
          <w:p>
            <w:pPr>
              <w:jc w:val="center"/>
              <w:spacing w:line="25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t xml:space="preserve">2</w:t>
            </w:r>
            <w:r/>
          </w:p>
        </w:tc>
        <w:tc>
          <w:tcPr>
            <w:tcMar>
              <w:top w:w="57" w:type="dxa"/>
              <w:bottom w:w="57" w:type="dxa"/>
            </w:tcMar>
            <w:tcW w:w="1173" w:type="dxa"/>
            <w:vAlign w:val="center"/>
            <w:vMerge w:val="restart"/>
            <w:textDirection w:val="lrTb"/>
            <w:noWrap w:val="false"/>
          </w:tcPr>
          <w:p>
            <w:pPr>
              <w:jc w:val="center"/>
              <w:spacing w:line="25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蔬菜</w:t>
            </w:r>
            <w:r/>
          </w:p>
        </w:tc>
        <w:tc>
          <w:tcPr>
            <w:tcMar>
              <w:top w:w="57" w:type="dxa"/>
              <w:bottom w:w="57" w:type="dxa"/>
            </w:tcMar>
            <w:tcW w:w="1069" w:type="dxa"/>
            <w:vAlign w:val="center"/>
            <w:vMerge w:val="restart"/>
            <w:textDirection w:val="lrTb"/>
            <w:noWrap w:val="false"/>
          </w:tcPr>
          <w:p>
            <w:pPr>
              <w:jc w:val="center"/>
              <w:spacing w:line="25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叶菜类蔬菜</w:t>
            </w:r>
            <w:r/>
          </w:p>
        </w:tc>
        <w:tc>
          <w:tcPr>
            <w:tcMar>
              <w:top w:w="57" w:type="dxa"/>
              <w:bottom w:w="57" w:type="dxa"/>
            </w:tcMar>
            <w:tcW w:w="1092" w:type="dxa"/>
            <w:vAlign w:val="center"/>
            <w:textDirection w:val="lrTb"/>
            <w:noWrap w:val="false"/>
          </w:tcPr>
          <w:p>
            <w:pPr>
              <w:jc w:val="center"/>
              <w:spacing w:line="25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t xml:space="preserve">普通白菜</w:t>
            </w:r>
            <w:r/>
          </w:p>
        </w:tc>
        <w:tc>
          <w:tcPr>
            <w:tcMar>
              <w:top w:w="57" w:type="dxa"/>
              <w:bottom w:w="57" w:type="dxa"/>
            </w:tcMar>
            <w:tcW w:w="3402" w:type="dxa"/>
            <w:vAlign w:val="center"/>
            <w:textDirection w:val="lrTb"/>
            <w:noWrap w:val="false"/>
          </w:tcPr>
          <w:p>
            <w:pPr>
              <w:jc w:val="center"/>
              <w:spacing w:line="25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t xml:space="preserve">毒死蜱、啶虫脒、氟虫腈、阿维菌素、吡虫啉</w:t>
            </w:r>
            <w:r/>
          </w:p>
        </w:tc>
        <w:tc>
          <w:tcPr>
            <w:tcMar>
              <w:top w:w="57" w:type="dxa"/>
              <w:bottom w:w="57" w:type="dxa"/>
            </w:tcMar>
            <w:tcW w:w="6236" w:type="dxa"/>
            <w:vAlign w:val="center"/>
            <w:textDirection w:val="lrTb"/>
            <w:noWrap w:val="false"/>
          </w:tcPr>
          <w:p>
            <w:pPr>
              <w:jc w:val="left"/>
              <w:spacing w:line="25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t xml:space="preserve">镉（以Cd计）、敌敌畏、氟氯氰菊酯和高效氟氯氰菊酯、甲氨基阿维菌素苯甲酸盐、甲拌磷、甲基异柳磷、克百威、氯氟氰菊酯和高效氯氟氰菊酯、氯氰菊酯和高效氯氰菊酯、噻虫胺、氧乐果、乙酰甲胺磷</w:t>
            </w:r>
            <w:r/>
          </w:p>
        </w:tc>
        <w:tc>
          <w:tcPr>
            <w:tcMar>
              <w:top w:w="57" w:type="dxa"/>
              <w:bottom w:w="57" w:type="dxa"/>
            </w:tcMar>
            <w:tcW w:w="1322" w:type="dxa"/>
            <w:vAlign w:val="center"/>
            <w:textDirection w:val="lrTb"/>
            <w:noWrap w:val="false"/>
          </w:tcPr>
          <w:p>
            <w:pPr>
              <w:jc w:val="left"/>
              <w:spacing w:line="25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r>
      <w:tr>
        <w:trPr>
          <w:jc w:val="center"/>
        </w:trPr>
        <w:tc>
          <w:tcPr>
            <w:tcMar>
              <w:top w:w="57" w:type="dxa"/>
              <w:bottom w:w="57" w:type="dxa"/>
            </w:tcMar>
            <w:tcW w:w="624" w:type="dxa"/>
            <w:vAlign w:val="center"/>
            <w:vMerge w:val="continue"/>
            <w:textDirection w:val="lrTb"/>
            <w:noWrap w:val="false"/>
          </w:tcPr>
          <w:p>
            <w:pPr>
              <w:jc w:val="center"/>
              <w:spacing w:line="25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r>
            <w:r/>
          </w:p>
        </w:tc>
        <w:tc>
          <w:tcPr>
            <w:tcMar>
              <w:top w:w="57" w:type="dxa"/>
              <w:bottom w:w="57" w:type="dxa"/>
            </w:tcMar>
            <w:tcW w:w="1173" w:type="dxa"/>
            <w:vAlign w:val="center"/>
            <w:vMerge w:val="continue"/>
            <w:textDirection w:val="lrTb"/>
            <w:noWrap w:val="false"/>
          </w:tcPr>
          <w:p>
            <w:pPr>
              <w:jc w:val="center"/>
              <w:spacing w:line="25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r>
            <w:r/>
          </w:p>
        </w:tc>
        <w:tc>
          <w:tcPr>
            <w:tcMar>
              <w:top w:w="57" w:type="dxa"/>
              <w:bottom w:w="57" w:type="dxa"/>
            </w:tcMar>
            <w:tcW w:w="1069" w:type="dxa"/>
            <w:vAlign w:val="center"/>
            <w:vMerge w:val="continue"/>
            <w:textDirection w:val="lrTb"/>
            <w:noWrap w:val="false"/>
          </w:tcPr>
          <w:p>
            <w:pPr>
              <w:jc w:val="center"/>
              <w:spacing w:line="25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r>
            <w:r/>
          </w:p>
        </w:tc>
        <w:tc>
          <w:tcPr>
            <w:tcMar>
              <w:top w:w="57" w:type="dxa"/>
              <w:bottom w:w="57" w:type="dxa"/>
            </w:tcMar>
            <w:tcW w:w="1092" w:type="dxa"/>
            <w:vAlign w:val="center"/>
            <w:textDirection w:val="lrTb"/>
            <w:noWrap w:val="false"/>
          </w:tcPr>
          <w:p>
            <w:pPr>
              <w:jc w:val="center"/>
              <w:spacing w:line="25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芹菜</w:t>
            </w:r>
            <w:r/>
          </w:p>
        </w:tc>
        <w:tc>
          <w:tcPr>
            <w:tcMar>
              <w:top w:w="57" w:type="dxa"/>
              <w:bottom w:w="57" w:type="dxa"/>
            </w:tcMar>
            <w:tcW w:w="3402" w:type="dxa"/>
            <w:vAlign w:val="center"/>
            <w:textDirection w:val="lrTb"/>
            <w:noWrap w:val="false"/>
          </w:tcPr>
          <w:p>
            <w:pPr>
              <w:jc w:val="center"/>
              <w:spacing w:line="25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噻虫胺、毒死蜱、氧乐果、甲拌磷、噻虫嗪、氯氟氰菊酯和高效氯氟氰菊酯、辛硫磷</w:t>
            </w:r>
            <w:r/>
          </w:p>
        </w:tc>
        <w:tc>
          <w:tcPr>
            <w:tcMar>
              <w:top w:w="57" w:type="dxa"/>
              <w:bottom w:w="57" w:type="dxa"/>
            </w:tcMar>
            <w:tcW w:w="6236" w:type="dxa"/>
            <w:vAlign w:val="center"/>
            <w:textDirection w:val="lrTb"/>
            <w:noWrap w:val="false"/>
          </w:tcPr>
          <w:p>
            <w:pPr>
              <w:jc w:val="left"/>
              <w:spacing w:line="25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铅（以Pb计）、镉（以Cd计）、阿维菌素、百菌清、苯醚甲环唑、敌敌畏、啶虫脒、二甲戊灵、氟虫腈、甲基异柳磷、腈菌唑、克百威、乐果、氯氰菊酯和高效氯氰菊酯、三氯杀螨醇、水胺硫磷、乙酰甲胺磷</w:t>
            </w:r>
            <w:r/>
          </w:p>
        </w:tc>
        <w:tc>
          <w:tcPr>
            <w:tcMar>
              <w:top w:w="57" w:type="dxa"/>
              <w:bottom w:w="57" w:type="dxa"/>
            </w:tcMar>
            <w:tcW w:w="1322" w:type="dxa"/>
            <w:vAlign w:val="center"/>
            <w:textDirection w:val="lrTb"/>
            <w:noWrap w:val="false"/>
          </w:tcPr>
          <w:p>
            <w:pPr>
              <w:jc w:val="left"/>
              <w:spacing w:line="25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r>
      <w:tr>
        <w:trPr>
          <w:jc w:val="center"/>
        </w:trPr>
        <w:tc>
          <w:tcPr>
            <w:tcMar>
              <w:top w:w="57" w:type="dxa"/>
              <w:bottom w:w="57" w:type="dxa"/>
            </w:tcMar>
            <w:tcW w:w="624" w:type="dxa"/>
            <w:vAlign w:val="center"/>
            <w:vMerge w:val="continue"/>
            <w:textDirection w:val="lrTb"/>
            <w:noWrap w:val="false"/>
          </w:tcPr>
          <w:p>
            <w:pPr>
              <w:jc w:val="center"/>
              <w:spacing w:line="25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r>
            <w:r/>
          </w:p>
        </w:tc>
        <w:tc>
          <w:tcPr>
            <w:tcMar>
              <w:top w:w="57" w:type="dxa"/>
              <w:bottom w:w="57" w:type="dxa"/>
            </w:tcMar>
            <w:tcW w:w="1173" w:type="dxa"/>
            <w:vAlign w:val="center"/>
            <w:vMerge w:val="continue"/>
            <w:textDirection w:val="lrTb"/>
            <w:noWrap w:val="false"/>
          </w:tcPr>
          <w:p>
            <w:pPr>
              <w:jc w:val="center"/>
              <w:spacing w:line="25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r>
            <w:r/>
          </w:p>
        </w:tc>
        <w:tc>
          <w:tcPr>
            <w:tcMar>
              <w:top w:w="57" w:type="dxa"/>
              <w:bottom w:w="57" w:type="dxa"/>
            </w:tcMar>
            <w:tcW w:w="1069" w:type="dxa"/>
            <w:vAlign w:val="center"/>
            <w:vMerge w:val="continue"/>
            <w:textDirection w:val="lrTb"/>
            <w:noWrap w:val="false"/>
          </w:tcPr>
          <w:p>
            <w:pPr>
              <w:jc w:val="center"/>
              <w:spacing w:line="25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r>
            <w:r/>
          </w:p>
        </w:tc>
        <w:tc>
          <w:tcPr>
            <w:tcMar>
              <w:top w:w="57" w:type="dxa"/>
              <w:bottom w:w="57" w:type="dxa"/>
            </w:tcMar>
            <w:tcW w:w="1092" w:type="dxa"/>
            <w:vAlign w:val="center"/>
            <w:textDirection w:val="lrTb"/>
            <w:noWrap w:val="false"/>
          </w:tcPr>
          <w:p>
            <w:pPr>
              <w:jc w:val="center"/>
              <w:spacing w:line="25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t xml:space="preserve">油麦菜</w:t>
            </w:r>
            <w:r/>
          </w:p>
        </w:tc>
        <w:tc>
          <w:tcPr>
            <w:tcMar>
              <w:top w:w="57" w:type="dxa"/>
              <w:bottom w:w="57" w:type="dxa"/>
            </w:tcMar>
            <w:tcW w:w="3402" w:type="dxa"/>
            <w:vAlign w:val="center"/>
            <w:textDirection w:val="lrTb"/>
            <w:noWrap w:val="false"/>
          </w:tcPr>
          <w:p>
            <w:pPr>
              <w:jc w:val="center"/>
              <w:spacing w:line="25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t xml:space="preserve">阿维菌素、甲氨基阿维菌素苯甲酸盐、腈菌唑、毒死蜱</w:t>
            </w:r>
            <w:r/>
          </w:p>
        </w:tc>
        <w:tc>
          <w:tcPr>
            <w:tcMar>
              <w:top w:w="57" w:type="dxa"/>
              <w:bottom w:w="57" w:type="dxa"/>
            </w:tcMar>
            <w:tcW w:w="6236" w:type="dxa"/>
            <w:vAlign w:val="center"/>
            <w:textDirection w:val="lrTb"/>
            <w:noWrap w:val="false"/>
          </w:tcPr>
          <w:p>
            <w:pPr>
              <w:jc w:val="left"/>
              <w:spacing w:line="25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t xml:space="preserve">吡虫啉、啶虫脒、氟虫腈、甲拌磷、氯氟氰菊酯和高效氯氟氰菊酯、灭多威、噻虫嗪、氧乐果、乙酰甲胺磷</w:t>
            </w:r>
            <w:r/>
          </w:p>
        </w:tc>
        <w:tc>
          <w:tcPr>
            <w:tcMar>
              <w:top w:w="57" w:type="dxa"/>
              <w:bottom w:w="57" w:type="dxa"/>
            </w:tcMar>
            <w:tcW w:w="1322" w:type="dxa"/>
            <w:vAlign w:val="center"/>
            <w:textDirection w:val="lrTb"/>
            <w:noWrap w:val="false"/>
          </w:tcPr>
          <w:p>
            <w:pPr>
              <w:jc w:val="left"/>
              <w:spacing w:line="25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r>
      <w:tr>
        <w:trPr>
          <w:jc w:val="center"/>
        </w:trPr>
        <w:tc>
          <w:tcPr>
            <w:tcMar>
              <w:top w:w="57" w:type="dxa"/>
              <w:bottom w:w="57" w:type="dxa"/>
            </w:tcMar>
            <w:tcW w:w="624" w:type="dxa"/>
            <w:vAlign w:val="center"/>
            <w:vMerge w:val="continue"/>
            <w:textDirection w:val="lrTb"/>
            <w:noWrap w:val="false"/>
          </w:tcPr>
          <w:p>
            <w:pPr>
              <w:jc w:val="center"/>
              <w:spacing w:line="25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r>
            <w:r/>
          </w:p>
        </w:tc>
        <w:tc>
          <w:tcPr>
            <w:tcMar>
              <w:top w:w="57" w:type="dxa"/>
              <w:bottom w:w="57" w:type="dxa"/>
            </w:tcMar>
            <w:tcW w:w="1173" w:type="dxa"/>
            <w:vAlign w:val="center"/>
            <w:vMerge w:val="continue"/>
            <w:textDirection w:val="lrTb"/>
            <w:noWrap w:val="false"/>
          </w:tcPr>
          <w:p>
            <w:pPr>
              <w:jc w:val="center"/>
              <w:spacing w:line="25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r>
            <w:r/>
          </w:p>
        </w:tc>
        <w:tc>
          <w:tcPr>
            <w:tcMar>
              <w:top w:w="57" w:type="dxa"/>
              <w:bottom w:w="57" w:type="dxa"/>
            </w:tcMar>
            <w:tcW w:w="1069" w:type="dxa"/>
            <w:vAlign w:val="center"/>
            <w:textDirection w:val="lrTb"/>
            <w:noWrap w:val="false"/>
          </w:tcPr>
          <w:p>
            <w:pPr>
              <w:jc w:val="center"/>
              <w:spacing w:line="25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t xml:space="preserve">瓜类蔬菜</w:t>
            </w:r>
            <w:r/>
          </w:p>
        </w:tc>
        <w:tc>
          <w:tcPr>
            <w:tcMar>
              <w:top w:w="57" w:type="dxa"/>
              <w:bottom w:w="57" w:type="dxa"/>
            </w:tcMar>
            <w:tcW w:w="1092" w:type="dxa"/>
            <w:vAlign w:val="center"/>
            <w:textDirection w:val="lrTb"/>
            <w:noWrap w:val="false"/>
          </w:tcPr>
          <w:p>
            <w:pPr>
              <w:jc w:val="center"/>
              <w:spacing w:line="25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t xml:space="preserve">黄瓜</w:t>
            </w:r>
            <w:r/>
          </w:p>
        </w:tc>
        <w:tc>
          <w:tcPr>
            <w:tcMar>
              <w:top w:w="57" w:type="dxa"/>
              <w:bottom w:w="57" w:type="dxa"/>
            </w:tcMar>
            <w:tcW w:w="3402" w:type="dxa"/>
            <w:vAlign w:val="center"/>
            <w:textDirection w:val="lrTb"/>
            <w:noWrap w:val="false"/>
          </w:tcPr>
          <w:p>
            <w:pPr>
              <w:jc w:val="center"/>
              <w:spacing w:line="25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t xml:space="preserve">噻虫嗪、乙螨唑、阿维菌素、毒死蜱、哒螨灵</w:t>
            </w:r>
            <w:r/>
          </w:p>
        </w:tc>
        <w:tc>
          <w:tcPr>
            <w:tcMar>
              <w:top w:w="57" w:type="dxa"/>
              <w:bottom w:w="57" w:type="dxa"/>
            </w:tcMar>
            <w:tcW w:w="6236" w:type="dxa"/>
            <w:vAlign w:val="center"/>
            <w:textDirection w:val="lrTb"/>
            <w:noWrap w:val="false"/>
          </w:tcPr>
          <w:p>
            <w:pPr>
              <w:jc w:val="left"/>
              <w:spacing w:line="25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t xml:space="preserve">敌敌畏、腐霉利、甲氨基阿维菌素苯甲酸盐、甲拌磷、克百威、乐果、氧乐果、乙酰甲胺磷、异丙威</w:t>
            </w:r>
            <w:r/>
          </w:p>
        </w:tc>
        <w:tc>
          <w:tcPr>
            <w:tcMar>
              <w:top w:w="57" w:type="dxa"/>
              <w:bottom w:w="57" w:type="dxa"/>
            </w:tcMar>
            <w:tcW w:w="1322" w:type="dxa"/>
            <w:vAlign w:val="center"/>
            <w:textDirection w:val="lrTb"/>
            <w:noWrap w:val="false"/>
          </w:tcPr>
          <w:p>
            <w:pPr>
              <w:jc w:val="left"/>
              <w:spacing w:line="25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r>
      <w:tr>
        <w:trPr>
          <w:jc w:val="center"/>
        </w:trPr>
        <w:tc>
          <w:tcPr>
            <w:tcMar>
              <w:top w:w="57" w:type="dxa"/>
              <w:bottom w:w="57" w:type="dxa"/>
            </w:tcMar>
            <w:tcW w:w="624" w:type="dxa"/>
            <w:vAlign w:val="center"/>
            <w:vMerge w:val="restart"/>
            <w:textDirection w:val="lrTb"/>
            <w:noWrap w:val="false"/>
          </w:tcPr>
          <w:p>
            <w:pPr>
              <w:jc w:val="center"/>
              <w:spacing w:line="25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t xml:space="preserve">3</w:t>
            </w:r>
            <w:r/>
          </w:p>
        </w:tc>
        <w:tc>
          <w:tcPr>
            <w:tcMar>
              <w:top w:w="57" w:type="dxa"/>
              <w:bottom w:w="57" w:type="dxa"/>
            </w:tcMar>
            <w:tcW w:w="1173" w:type="dxa"/>
            <w:vAlign w:val="center"/>
            <w:vMerge w:val="restart"/>
            <w:textDirection w:val="lrTb"/>
            <w:noWrap w:val="false"/>
          </w:tcPr>
          <w:p>
            <w:pPr>
              <w:jc w:val="center"/>
              <w:spacing w:line="25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水产品</w:t>
            </w:r>
            <w:r/>
          </w:p>
        </w:tc>
        <w:tc>
          <w:tcPr>
            <w:tcMar>
              <w:top w:w="57" w:type="dxa"/>
              <w:bottom w:w="57" w:type="dxa"/>
            </w:tcMar>
            <w:tcW w:w="1069" w:type="dxa"/>
            <w:vAlign w:val="center"/>
            <w:textDirection w:val="lrTb"/>
            <w:noWrap w:val="false"/>
          </w:tcPr>
          <w:p>
            <w:pPr>
              <w:jc w:val="center"/>
              <w:spacing w:line="25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t xml:space="preserve">贝类</w:t>
            </w:r>
            <w:r/>
          </w:p>
        </w:tc>
        <w:tc>
          <w:tcPr>
            <w:tcMar>
              <w:top w:w="57" w:type="dxa"/>
              <w:bottom w:w="57" w:type="dxa"/>
            </w:tcMar>
            <w:tcW w:w="1092" w:type="dxa"/>
            <w:vAlign w:val="center"/>
            <w:textDirection w:val="lrTb"/>
            <w:noWrap w:val="false"/>
          </w:tcPr>
          <w:p>
            <w:pPr>
              <w:jc w:val="center"/>
              <w:spacing w:line="25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t xml:space="preserve">贝类</w:t>
            </w:r>
            <w:r/>
          </w:p>
        </w:tc>
        <w:tc>
          <w:tcPr>
            <w:tcMar>
              <w:top w:w="57" w:type="dxa"/>
              <w:bottom w:w="57" w:type="dxa"/>
            </w:tcMar>
            <w:tcW w:w="3402" w:type="dxa"/>
            <w:vAlign w:val="center"/>
            <w:textDirection w:val="lrTb"/>
            <w:noWrap w:val="false"/>
          </w:tcPr>
          <w:p>
            <w:pPr>
              <w:jc w:val="center"/>
              <w:spacing w:line="25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t xml:space="preserve">镉（以Cd计）、氯霉素</w:t>
            </w:r>
            <w:r/>
          </w:p>
        </w:tc>
        <w:tc>
          <w:tcPr>
            <w:tcMar>
              <w:top w:w="57" w:type="dxa"/>
              <w:bottom w:w="57" w:type="dxa"/>
            </w:tcMar>
            <w:tcW w:w="6236" w:type="dxa"/>
            <w:vAlign w:val="center"/>
            <w:textDirection w:val="lrTb"/>
            <w:noWrap w:val="false"/>
          </w:tcPr>
          <w:p>
            <w:pPr>
              <w:jc w:val="left"/>
              <w:spacing w:line="25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t xml:space="preserve">无机砷（以As计）、孔雀石绿、呋喃唑酮代谢物、呋喃西林代谢物、呋喃妥因代谢物、五氯酚酸钠（以五氯酚计）、恩诺沙星、氟苯尼考、磺胺类（总量）</w:t>
            </w:r>
            <w:r/>
          </w:p>
        </w:tc>
        <w:tc>
          <w:tcPr>
            <w:tcMar>
              <w:top w:w="57" w:type="dxa"/>
              <w:bottom w:w="57" w:type="dxa"/>
            </w:tcMar>
            <w:tcW w:w="1322" w:type="dxa"/>
            <w:vAlign w:val="center"/>
            <w:textDirection w:val="lrTb"/>
            <w:noWrap w:val="false"/>
          </w:tcPr>
          <w:p>
            <w:pPr>
              <w:jc w:val="left"/>
              <w:spacing w:line="25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r>
      <w:tr>
        <w:trPr>
          <w:jc w:val="center"/>
        </w:trPr>
        <w:tc>
          <w:tcPr>
            <w:tcMar>
              <w:top w:w="57" w:type="dxa"/>
              <w:bottom w:w="57" w:type="dxa"/>
            </w:tcMar>
            <w:tcW w:w="624" w:type="dxa"/>
            <w:vAlign w:val="center"/>
            <w:vMerge w:val="continue"/>
            <w:textDirection w:val="lrTb"/>
            <w:noWrap w:val="false"/>
          </w:tcPr>
          <w:p>
            <w:pPr>
              <w:jc w:val="center"/>
              <w:spacing w:line="25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Mar>
              <w:top w:w="57" w:type="dxa"/>
              <w:bottom w:w="57" w:type="dxa"/>
            </w:tcMar>
            <w:tcW w:w="1173" w:type="dxa"/>
            <w:vAlign w:val="center"/>
            <w:vMerge w:val="continue"/>
            <w:textDirection w:val="lrTb"/>
            <w:noWrap w:val="false"/>
          </w:tcPr>
          <w:p>
            <w:pPr>
              <w:jc w:val="center"/>
              <w:spacing w:line="25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Mar>
              <w:top w:w="57" w:type="dxa"/>
              <w:bottom w:w="57" w:type="dxa"/>
            </w:tcMar>
            <w:tcW w:w="1069" w:type="dxa"/>
            <w:vAlign w:val="center"/>
            <w:vMerge w:val="restart"/>
            <w:textDirection w:val="lrTb"/>
            <w:noWrap w:val="false"/>
          </w:tcPr>
          <w:p>
            <w:pPr>
              <w:jc w:val="center"/>
              <w:spacing w:line="25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淡水产品</w:t>
            </w:r>
            <w:r/>
          </w:p>
        </w:tc>
        <w:tc>
          <w:tcPr>
            <w:tcMar>
              <w:top w:w="57" w:type="dxa"/>
              <w:bottom w:w="57" w:type="dxa"/>
            </w:tcMar>
            <w:tcW w:w="1092" w:type="dxa"/>
            <w:vAlign w:val="center"/>
            <w:textDirection w:val="lrTb"/>
            <w:noWrap w:val="false"/>
          </w:tcPr>
          <w:p>
            <w:pPr>
              <w:jc w:val="center"/>
              <w:spacing w:line="25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淡水鱼</w:t>
            </w:r>
            <w:r/>
          </w:p>
        </w:tc>
        <w:tc>
          <w:tcPr>
            <w:tcMar>
              <w:top w:w="57" w:type="dxa"/>
              <w:bottom w:w="57" w:type="dxa"/>
            </w:tcMar>
            <w:tcW w:w="3402" w:type="dxa"/>
            <w:vAlign w:val="center"/>
            <w:textDirection w:val="lrTb"/>
            <w:noWrap w:val="false"/>
          </w:tcPr>
          <w:p>
            <w:pPr>
              <w:jc w:val="center"/>
              <w:spacing w:line="25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恩诺沙星、孔雀石绿、磺胺类（总量）、氧氟沙星、呋喃唑酮代谢物</w:t>
            </w:r>
            <w:r/>
          </w:p>
        </w:tc>
        <w:tc>
          <w:tcPr>
            <w:tcMar>
              <w:top w:w="57" w:type="dxa"/>
              <w:bottom w:w="57" w:type="dxa"/>
            </w:tcMar>
            <w:tcW w:w="6236" w:type="dxa"/>
            <w:vAlign w:val="center"/>
            <w:textDirection w:val="lrTb"/>
            <w:noWrap w:val="false"/>
          </w:tcPr>
          <w:p>
            <w:pPr>
              <w:jc w:val="left"/>
              <w:spacing w:line="25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挥发性盐基氮、镉（以Cd计）、氯霉素、呋喃西林代谢物、呋喃妥因代谢物、五氯酚酸钠（以五氯酚计）、沙拉沙星、甲氧苄啶、氟苯尼考、甲硝唑、地西泮、培氟沙星、诺氟沙星</w:t>
            </w:r>
            <w:r/>
          </w:p>
        </w:tc>
        <w:tc>
          <w:tcPr>
            <w:tcMar>
              <w:top w:w="57" w:type="dxa"/>
              <w:bottom w:w="57" w:type="dxa"/>
            </w:tcMar>
            <w:tcW w:w="1322" w:type="dxa"/>
            <w:vAlign w:val="center"/>
            <w:textDirection w:val="lrTb"/>
            <w:noWrap w:val="false"/>
          </w:tcPr>
          <w:p>
            <w:pPr>
              <w:jc w:val="left"/>
              <w:spacing w:line="25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r>
      <w:tr>
        <w:trPr>
          <w:jc w:val="center"/>
        </w:trPr>
        <w:tc>
          <w:tcPr>
            <w:tcMar>
              <w:top w:w="57" w:type="dxa"/>
              <w:bottom w:w="57" w:type="dxa"/>
            </w:tcMar>
            <w:tcW w:w="624" w:type="dxa"/>
            <w:vAlign w:val="center"/>
            <w:vMerge w:val="continue"/>
            <w:textDirection w:val="lrTb"/>
            <w:noWrap w:val="false"/>
          </w:tcPr>
          <w:p>
            <w:pPr>
              <w:jc w:val="center"/>
              <w:spacing w:line="25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Mar>
              <w:top w:w="57" w:type="dxa"/>
              <w:bottom w:w="57" w:type="dxa"/>
            </w:tcMar>
            <w:tcW w:w="1173" w:type="dxa"/>
            <w:vAlign w:val="center"/>
            <w:vMerge w:val="continue"/>
            <w:textDirection w:val="lrTb"/>
            <w:noWrap w:val="false"/>
          </w:tcPr>
          <w:p>
            <w:pPr>
              <w:jc w:val="center"/>
              <w:spacing w:line="25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Mar>
              <w:top w:w="57" w:type="dxa"/>
              <w:bottom w:w="57" w:type="dxa"/>
            </w:tcMar>
            <w:tcW w:w="1069" w:type="dxa"/>
            <w:vAlign w:val="center"/>
            <w:vMerge w:val="continue"/>
            <w:textDirection w:val="lrTb"/>
            <w:noWrap w:val="false"/>
          </w:tcPr>
          <w:p>
            <w:pPr>
              <w:jc w:val="center"/>
              <w:spacing w:line="25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r>
            <w:r/>
          </w:p>
        </w:tc>
        <w:tc>
          <w:tcPr>
            <w:tcMar>
              <w:top w:w="57" w:type="dxa"/>
              <w:bottom w:w="57" w:type="dxa"/>
            </w:tcMar>
            <w:tcW w:w="1092" w:type="dxa"/>
            <w:vAlign w:val="center"/>
            <w:textDirection w:val="lrTb"/>
            <w:noWrap w:val="false"/>
          </w:tcPr>
          <w:p>
            <w:pPr>
              <w:jc w:val="center"/>
              <w:spacing w:line="25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淡水虾（重点品种：罗氏沼虾）</w:t>
            </w:r>
            <w:r/>
          </w:p>
        </w:tc>
        <w:tc>
          <w:tcPr>
            <w:tcMar>
              <w:top w:w="57" w:type="dxa"/>
              <w:bottom w:w="57" w:type="dxa"/>
            </w:tcMar>
            <w:tcW w:w="3402" w:type="dxa"/>
            <w:vAlign w:val="center"/>
            <w:textDirection w:val="lrTb"/>
            <w:noWrap w:val="false"/>
          </w:tcPr>
          <w:p>
            <w:pPr>
              <w:jc w:val="center"/>
              <w:spacing w:line="25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恩诺沙星、呋喃唑酮代谢物</w:t>
            </w:r>
            <w:r/>
          </w:p>
        </w:tc>
        <w:tc>
          <w:tcPr>
            <w:tcMar>
              <w:top w:w="57" w:type="dxa"/>
              <w:bottom w:w="57" w:type="dxa"/>
            </w:tcMar>
            <w:tcW w:w="6236" w:type="dxa"/>
            <w:vAlign w:val="center"/>
            <w:textDirection w:val="lrTb"/>
            <w:noWrap w:val="false"/>
          </w:tcPr>
          <w:p>
            <w:pPr>
              <w:jc w:val="left"/>
              <w:spacing w:line="25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镉（以Cd计）、孔雀石绿、氯霉素、呋喃妥因代谢物、五氯酚酸钠（以五氯酚计）、磺胺类（总量）、土霉素/金霉素/四环素（组合含量）、氧氟沙星、诺氟沙星</w:t>
            </w:r>
            <w:r/>
          </w:p>
        </w:tc>
        <w:tc>
          <w:tcPr>
            <w:tcMar>
              <w:top w:w="57" w:type="dxa"/>
              <w:bottom w:w="57" w:type="dxa"/>
            </w:tcMar>
            <w:tcW w:w="1322" w:type="dxa"/>
            <w:vAlign w:val="center"/>
            <w:textDirection w:val="lrTb"/>
            <w:noWrap w:val="false"/>
          </w:tcPr>
          <w:p>
            <w:pPr>
              <w:jc w:val="left"/>
              <w:spacing w:line="25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r>
      <w:tr>
        <w:trPr>
          <w:jc w:val="center"/>
        </w:trPr>
        <w:tc>
          <w:tcPr>
            <w:tcMar>
              <w:top w:w="57" w:type="dxa"/>
              <w:bottom w:w="57" w:type="dxa"/>
            </w:tcMar>
            <w:tcW w:w="624" w:type="dxa"/>
            <w:vAlign w:val="center"/>
            <w:vMerge w:val="continue"/>
            <w:textDirection w:val="lrTb"/>
            <w:noWrap w:val="false"/>
          </w:tcPr>
          <w:p>
            <w:pPr>
              <w:jc w:val="center"/>
              <w:spacing w:line="25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Mar>
              <w:top w:w="57" w:type="dxa"/>
              <w:bottom w:w="57" w:type="dxa"/>
            </w:tcMar>
            <w:tcW w:w="1173" w:type="dxa"/>
            <w:vAlign w:val="center"/>
            <w:vMerge w:val="continue"/>
            <w:textDirection w:val="lrTb"/>
            <w:noWrap w:val="false"/>
          </w:tcPr>
          <w:p>
            <w:pPr>
              <w:jc w:val="center"/>
              <w:spacing w:line="25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Mar>
              <w:top w:w="57" w:type="dxa"/>
              <w:bottom w:w="57" w:type="dxa"/>
            </w:tcMar>
            <w:tcW w:w="1069" w:type="dxa"/>
            <w:vAlign w:val="center"/>
            <w:vMerge w:val="restart"/>
            <w:textDirection w:val="lrTb"/>
            <w:noWrap w:val="false"/>
          </w:tcPr>
          <w:p>
            <w:pPr>
              <w:jc w:val="center"/>
              <w:spacing w:line="25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海水产品</w:t>
            </w:r>
            <w:r/>
          </w:p>
        </w:tc>
        <w:tc>
          <w:tcPr>
            <w:tcMar>
              <w:top w:w="57" w:type="dxa"/>
              <w:bottom w:w="57" w:type="dxa"/>
            </w:tcMar>
            <w:tcW w:w="1092" w:type="dxa"/>
            <w:vAlign w:val="center"/>
            <w:textDirection w:val="lrTb"/>
            <w:noWrap w:val="false"/>
          </w:tcPr>
          <w:p>
            <w:pPr>
              <w:jc w:val="center"/>
              <w:spacing w:line="25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海水虾</w:t>
            </w:r>
            <w:r/>
          </w:p>
        </w:tc>
        <w:tc>
          <w:tcPr>
            <w:tcMar>
              <w:top w:w="57" w:type="dxa"/>
              <w:bottom w:w="57" w:type="dxa"/>
            </w:tcMar>
            <w:tcW w:w="3402" w:type="dxa"/>
            <w:vAlign w:val="center"/>
            <w:textDirection w:val="lrTb"/>
            <w:noWrap w:val="false"/>
          </w:tcPr>
          <w:p>
            <w:pPr>
              <w:jc w:val="center"/>
              <w:spacing w:line="25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镉（以Cd计）、恩诺沙星、土霉素/金霉素/四环素（组合含量）、二氧化硫残留量、呋喃唑酮代谢物</w:t>
            </w:r>
            <w:r/>
          </w:p>
        </w:tc>
        <w:tc>
          <w:tcPr>
            <w:tcMar>
              <w:top w:w="57" w:type="dxa"/>
              <w:bottom w:w="57" w:type="dxa"/>
            </w:tcMar>
            <w:tcW w:w="6236" w:type="dxa"/>
            <w:vAlign w:val="center"/>
            <w:textDirection w:val="lrTb"/>
            <w:noWrap w:val="false"/>
          </w:tcPr>
          <w:p>
            <w:pPr>
              <w:jc w:val="left"/>
              <w:spacing w:line="25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挥发性盐基氮、孔雀石绿、氯霉素、磺胺类（总量）、诺氟沙星</w:t>
            </w:r>
            <w:r/>
          </w:p>
        </w:tc>
        <w:tc>
          <w:tcPr>
            <w:tcMar>
              <w:top w:w="57" w:type="dxa"/>
              <w:bottom w:w="57" w:type="dxa"/>
            </w:tcMar>
            <w:tcW w:w="1322" w:type="dxa"/>
            <w:vAlign w:val="center"/>
            <w:textDirection w:val="lrTb"/>
            <w:noWrap w:val="false"/>
          </w:tcPr>
          <w:p>
            <w:pPr>
              <w:jc w:val="left"/>
              <w:spacing w:line="25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r>
      <w:tr>
        <w:trPr>
          <w:jc w:val="center"/>
        </w:trPr>
        <w:tc>
          <w:tcPr>
            <w:tcMar>
              <w:top w:w="57" w:type="dxa"/>
              <w:bottom w:w="57" w:type="dxa"/>
            </w:tcMar>
            <w:tcW w:w="624" w:type="dxa"/>
            <w:vAlign w:val="center"/>
            <w:vMerge w:val="continue"/>
            <w:textDirection w:val="lrTb"/>
            <w:noWrap w:val="false"/>
          </w:tcPr>
          <w:p>
            <w:pPr>
              <w:jc w:val="center"/>
              <w:spacing w:line="25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Mar>
              <w:top w:w="57" w:type="dxa"/>
              <w:bottom w:w="57" w:type="dxa"/>
            </w:tcMar>
            <w:tcW w:w="1173" w:type="dxa"/>
            <w:vAlign w:val="center"/>
            <w:vMerge w:val="continue"/>
            <w:textDirection w:val="lrTb"/>
            <w:noWrap w:val="false"/>
          </w:tcPr>
          <w:p>
            <w:pPr>
              <w:jc w:val="center"/>
              <w:spacing w:line="25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Mar>
              <w:top w:w="57" w:type="dxa"/>
              <w:bottom w:w="57" w:type="dxa"/>
            </w:tcMar>
            <w:tcW w:w="1069" w:type="dxa"/>
            <w:vAlign w:val="center"/>
            <w:vMerge w:val="continue"/>
            <w:textDirection w:val="lrTb"/>
            <w:noWrap w:val="false"/>
          </w:tcPr>
          <w:p>
            <w:pPr>
              <w:jc w:val="center"/>
              <w:spacing w:line="25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Mar>
              <w:top w:w="57" w:type="dxa"/>
              <w:bottom w:w="57" w:type="dxa"/>
            </w:tcMar>
            <w:tcW w:w="1092" w:type="dxa"/>
            <w:vAlign w:val="center"/>
            <w:textDirection w:val="lrTb"/>
            <w:noWrap w:val="false"/>
          </w:tcPr>
          <w:p>
            <w:pPr>
              <w:jc w:val="center"/>
              <w:spacing w:line="25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海水鱼</w:t>
            </w:r>
            <w:r/>
          </w:p>
        </w:tc>
        <w:tc>
          <w:tcPr>
            <w:tcMar>
              <w:top w:w="57" w:type="dxa"/>
              <w:bottom w:w="57" w:type="dxa"/>
            </w:tcMar>
            <w:tcW w:w="3402" w:type="dxa"/>
            <w:vAlign w:val="center"/>
            <w:textDirection w:val="lrTb"/>
            <w:noWrap w:val="false"/>
          </w:tcPr>
          <w:p>
            <w:pPr>
              <w:jc w:val="center"/>
              <w:spacing w:line="25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恩诺沙星、呋喃唑酮代谢物、甲硝唑</w:t>
            </w:r>
            <w:r/>
          </w:p>
        </w:tc>
        <w:tc>
          <w:tcPr>
            <w:tcMar>
              <w:top w:w="57" w:type="dxa"/>
              <w:bottom w:w="57" w:type="dxa"/>
            </w:tcMar>
            <w:tcW w:w="6236" w:type="dxa"/>
            <w:vAlign w:val="center"/>
            <w:textDirection w:val="lrTb"/>
            <w:noWrap w:val="false"/>
          </w:tcPr>
          <w:p>
            <w:pPr>
              <w:jc w:val="left"/>
              <w:spacing w:line="25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挥发性盐基氮、组胺、镉（以Cd计）、柠檬黄、孔雀石绿、氯霉素、呋喃它酮代谢物、呋喃西林代谢物、呋喃妥因代谢物、五氯酚酸钠（以五氯酚计）、磺胺类（总量）、土霉素/金霉素/四环素（组合含量）、甲氧苄啶、氧氟沙星、培氟沙星、诺氟沙星</w:t>
            </w:r>
            <w:r/>
          </w:p>
        </w:tc>
        <w:tc>
          <w:tcPr>
            <w:tcMar>
              <w:top w:w="57" w:type="dxa"/>
              <w:bottom w:w="57" w:type="dxa"/>
            </w:tcMar>
            <w:tcW w:w="1322" w:type="dxa"/>
            <w:vAlign w:val="center"/>
            <w:textDirection w:val="lrTb"/>
            <w:noWrap w:val="false"/>
          </w:tcPr>
          <w:p>
            <w:pPr>
              <w:jc w:val="left"/>
              <w:spacing w:line="25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r>
      <w:tr>
        <w:trPr>
          <w:jc w:val="center"/>
          <w:trHeight w:val="2072"/>
        </w:trPr>
        <w:tc>
          <w:tcPr>
            <w:tcW w:w="624" w:type="dxa"/>
            <w:vAlign w:val="center"/>
            <w:textDirection w:val="lrTb"/>
            <w:noWrap w:val="false"/>
          </w:tcPr>
          <w:p>
            <w:pPr>
              <w:jc w:val="center"/>
              <w:spacing w:line="25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t xml:space="preserve">3</w:t>
            </w:r>
            <w:r/>
          </w:p>
        </w:tc>
        <w:tc>
          <w:tcPr>
            <w:tcW w:w="1173" w:type="dxa"/>
            <w:vAlign w:val="center"/>
            <w:textDirection w:val="lrTb"/>
            <w:noWrap w:val="false"/>
          </w:tcPr>
          <w:p>
            <w:pPr>
              <w:jc w:val="center"/>
              <w:spacing w:line="25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t xml:space="preserve">水产品</w:t>
            </w:r>
            <w:r/>
          </w:p>
        </w:tc>
        <w:tc>
          <w:tcPr>
            <w:tcW w:w="1069"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其他水产品</w:t>
            </w:r>
            <w:r/>
          </w:p>
        </w:tc>
        <w:tc>
          <w:tcPr>
            <w:tcW w:w="109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其他水产品（恩诺沙星、氟苯尼考重点品种：牛蛙；镉重点品种：鱿鱼）</w:t>
            </w:r>
            <w:r/>
          </w:p>
        </w:tc>
        <w:tc>
          <w:tcPr>
            <w:tcW w:w="340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恩诺沙星</w:t>
            </w:r>
            <w:r>
              <w:rPr>
                <w:rFonts w:hint="default" w:ascii="方正仿宋_GBK" w:hAnsi="Times New Roman" w:eastAsia="方正仿宋_GBK" w:cs="Times New Roman"/>
                <w:color w:val="auto"/>
                <w:sz w:val="20"/>
                <w:szCs w:val="20"/>
                <w:highlight w:val="none"/>
                <w:vertAlign w:val="superscript"/>
                <w:lang w:bidi="ar"/>
              </w:rPr>
              <w:t xml:space="preserve">a</w:t>
            </w:r>
            <w:r>
              <w:rPr>
                <w:rFonts w:hint="default" w:ascii="方正仿宋_GBK" w:hAnsi="Times New Roman" w:eastAsia="方正仿宋_GBK" w:cs="Times New Roman"/>
                <w:color w:val="auto"/>
                <w:sz w:val="20"/>
                <w:szCs w:val="20"/>
                <w:highlight w:val="none"/>
                <w:lang w:bidi="ar"/>
              </w:rPr>
              <w:t xml:space="preserve">、氟苯尼考</w:t>
            </w:r>
            <w:r>
              <w:rPr>
                <w:rFonts w:hint="default" w:ascii="方正仿宋_GBK" w:hAnsi="Times New Roman" w:eastAsia="方正仿宋_GBK" w:cs="Times New Roman"/>
                <w:color w:val="auto"/>
                <w:sz w:val="20"/>
                <w:szCs w:val="20"/>
                <w:highlight w:val="none"/>
                <w:vertAlign w:val="superscript"/>
                <w:lang w:bidi="ar"/>
              </w:rPr>
              <w:t xml:space="preserve">a</w:t>
            </w:r>
            <w:r>
              <w:rPr>
                <w:rFonts w:hint="default" w:ascii="方正仿宋_GBK" w:hAnsi="Times New Roman" w:eastAsia="方正仿宋_GBK" w:cs="Times New Roman"/>
                <w:color w:val="auto"/>
                <w:sz w:val="20"/>
                <w:szCs w:val="20"/>
                <w:highlight w:val="none"/>
                <w:lang w:bidi="ar"/>
              </w:rPr>
              <w:t xml:space="preserve">、氧氟沙星</w:t>
            </w:r>
            <w:r>
              <w:rPr>
                <w:rFonts w:hint="default" w:ascii="方正仿宋_GBK" w:hAnsi="Times New Roman" w:eastAsia="方正仿宋_GBK" w:cs="Times New Roman"/>
                <w:color w:val="auto"/>
                <w:sz w:val="20"/>
                <w:szCs w:val="20"/>
                <w:highlight w:val="none"/>
                <w:vertAlign w:val="superscript"/>
                <w:lang w:bidi="ar"/>
              </w:rPr>
              <w:t xml:space="preserve">a</w:t>
            </w:r>
            <w:r>
              <w:rPr>
                <w:rFonts w:hint="default" w:ascii="方正仿宋_GBK" w:hAnsi="Times New Roman" w:eastAsia="方正仿宋_GBK" w:cs="Times New Roman"/>
                <w:color w:val="auto"/>
                <w:sz w:val="20"/>
                <w:szCs w:val="20"/>
                <w:highlight w:val="none"/>
                <w:lang w:bidi="ar"/>
              </w:rPr>
              <w:t xml:space="preserve">、呋喃唑酮代谢物、镉（以Cd计）</w:t>
            </w:r>
            <w:r>
              <w:rPr>
                <w:rFonts w:hint="default" w:ascii="方正仿宋_GBK" w:hAnsi="Times New Roman" w:eastAsia="方正仿宋_GBK" w:cs="Times New Roman"/>
                <w:color w:val="auto"/>
                <w:sz w:val="20"/>
                <w:szCs w:val="20"/>
                <w:highlight w:val="none"/>
                <w:vertAlign w:val="superscript"/>
                <w:lang w:bidi="ar"/>
              </w:rPr>
              <w:t xml:space="preserve">b</w:t>
            </w:r>
            <w:r/>
          </w:p>
        </w:tc>
        <w:tc>
          <w:tcPr>
            <w:tcW w:w="6236"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孔雀石绿、氯霉素、呋喃西林代谢物、呋喃妥因代谢物、五氯酚酸钠（以五氯酚计）、磺胺类（总量）、甲硝唑、氧氟沙星、诺氟沙星</w:t>
            </w:r>
            <w:r/>
          </w:p>
        </w:tc>
        <w:tc>
          <w:tcPr>
            <w:tcW w:w="1322"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t xml:space="preserve">a.仅蛙科、鳖科食品动物检测。</w:t>
            </w:r>
            <w:r/>
          </w:p>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b.限头足类、腹足类、棘皮类检测。</w:t>
            </w:r>
            <w:r/>
          </w:p>
        </w:tc>
      </w:tr>
      <w:tr>
        <w:trPr>
          <w:jc w:val="center"/>
        </w:trPr>
        <w:tc>
          <w:tcPr>
            <w:tcW w:w="624" w:type="dxa"/>
            <w:vAlign w:val="center"/>
            <w:vMerge w:val="restart"/>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t xml:space="preserve">4</w:t>
            </w:r>
            <w:r/>
          </w:p>
        </w:tc>
        <w:tc>
          <w:tcPr>
            <w:tcW w:w="1173" w:type="dxa"/>
            <w:vAlign w:val="center"/>
            <w:vMerge w:val="restart"/>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水果类</w:t>
            </w:r>
            <w:r/>
          </w:p>
        </w:tc>
        <w:tc>
          <w:tcPr>
            <w:tcW w:w="1069" w:type="dxa"/>
            <w:vAlign w:val="center"/>
            <w:vMerge w:val="restart"/>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柑橘类水果</w:t>
            </w:r>
            <w:r/>
          </w:p>
        </w:tc>
        <w:tc>
          <w:tcPr>
            <w:tcW w:w="109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橙</w:t>
            </w:r>
            <w:r/>
          </w:p>
        </w:tc>
        <w:tc>
          <w:tcPr>
            <w:tcW w:w="340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氯唑磷、联苯菊酯、苯醚甲环唑、丙溴磷、2,4-滴和2,4-滴钠盐</w:t>
            </w:r>
            <w:r/>
          </w:p>
        </w:tc>
        <w:tc>
          <w:tcPr>
            <w:tcW w:w="6236"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克百威、三唑磷、杀扑磷、水胺硫磷、氧乐果、敌敌畏、氯氟氰菊酯和高效氯氟氰菊酯、乙酰甲胺磷</w:t>
            </w:r>
            <w:r/>
          </w:p>
        </w:tc>
        <w:tc>
          <w:tcPr>
            <w:tcW w:w="1322"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r>
      <w:tr>
        <w:trPr>
          <w:jc w:val="center"/>
        </w:trPr>
        <w:tc>
          <w:tcPr>
            <w:tcW w:w="624"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173"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069"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09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柑、橘</w:t>
            </w:r>
            <w:r/>
          </w:p>
        </w:tc>
        <w:tc>
          <w:tcPr>
            <w:tcW w:w="340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联苯菊酯、苯醚甲环唑、丙溴磷、2,4-滴和2,4-滴钠盐、氯氟氰菊酯和高效氯氟氰菊酯、三唑磷</w:t>
            </w:r>
            <w:r/>
          </w:p>
        </w:tc>
        <w:tc>
          <w:tcPr>
            <w:tcW w:w="6236"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克百威、氯唑磷、水胺硫磷、氧乐果、甲拌磷、狄氏剂、杀扑磷、敌敌畏、联苯肼酯</w:t>
            </w:r>
            <w:r/>
          </w:p>
        </w:tc>
        <w:tc>
          <w:tcPr>
            <w:tcW w:w="1322"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r>
      <w:tr>
        <w:trPr>
          <w:jc w:val="center"/>
        </w:trPr>
        <w:tc>
          <w:tcPr>
            <w:tcW w:w="624"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173"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069"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t xml:space="preserve">核果类水果</w:t>
            </w:r>
            <w:r/>
          </w:p>
        </w:tc>
        <w:tc>
          <w:tcPr>
            <w:tcW w:w="109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t xml:space="preserve">油桃</w:t>
            </w:r>
            <w:r/>
          </w:p>
        </w:tc>
        <w:tc>
          <w:tcPr>
            <w:tcW w:w="340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t xml:space="preserve">噻虫胺、克百威</w:t>
            </w:r>
            <w:r/>
          </w:p>
        </w:tc>
        <w:tc>
          <w:tcPr>
            <w:tcW w:w="6236"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t xml:space="preserve">甲胺磷、氧乐果、敌敌畏、苯醚甲环唑</w:t>
            </w:r>
            <w:r/>
          </w:p>
        </w:tc>
        <w:tc>
          <w:tcPr>
            <w:tcW w:w="1322"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r>
      <w:tr>
        <w:trPr>
          <w:jc w:val="center"/>
        </w:trPr>
        <w:tc>
          <w:tcPr>
            <w:tcW w:w="624"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173"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069"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浆果和其他小型水果</w:t>
            </w:r>
            <w:r/>
          </w:p>
        </w:tc>
        <w:tc>
          <w:tcPr>
            <w:tcW w:w="109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桑葚</w:t>
            </w:r>
            <w:r/>
          </w:p>
        </w:tc>
        <w:tc>
          <w:tcPr>
            <w:tcW w:w="340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脱氢乙酸及其钠盐（以脱氢乙酸计）、糖精钠（以糖精计）、甜蜜素（以环己基氨基磺酸计）、多菌灵</w:t>
            </w:r>
            <w:r/>
          </w:p>
        </w:tc>
        <w:tc>
          <w:tcPr>
            <w:tcW w:w="6236"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苯甲酸及其钠盐（以苯甲酸计）、山梨酸及其钾盐（以山梨酸计）、三氯蔗糖、氯氟氰菊酯和高效氯氟氰菊酯、纽甜</w:t>
            </w:r>
            <w:r/>
          </w:p>
        </w:tc>
        <w:tc>
          <w:tcPr>
            <w:tcW w:w="1322"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r>
      <w:tr>
        <w:trPr>
          <w:jc w:val="center"/>
        </w:trPr>
        <w:tc>
          <w:tcPr>
            <w:tcW w:w="624"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173"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069" w:type="dxa"/>
            <w:vAlign w:val="center"/>
            <w:vMerge w:val="restart"/>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热带和亚热带水果</w:t>
            </w:r>
            <w:r/>
          </w:p>
        </w:tc>
        <w:tc>
          <w:tcPr>
            <w:tcW w:w="109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t xml:space="preserve">番木瓜</w:t>
            </w:r>
            <w:r/>
          </w:p>
        </w:tc>
        <w:tc>
          <w:tcPr>
            <w:tcW w:w="340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噻虫胺、噻虫嗪、乙酰甲胺磷</w:t>
            </w:r>
            <w:r/>
          </w:p>
        </w:tc>
        <w:tc>
          <w:tcPr>
            <w:tcW w:w="6236"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t xml:space="preserve">克百威、氧乐果</w:t>
            </w:r>
            <w:r/>
          </w:p>
        </w:tc>
        <w:tc>
          <w:tcPr>
            <w:tcW w:w="1322"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r>
      <w:tr>
        <w:trPr>
          <w:jc w:val="center"/>
        </w:trPr>
        <w:tc>
          <w:tcPr>
            <w:tcW w:w="624"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173"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069"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r>
            <w:r/>
          </w:p>
        </w:tc>
        <w:tc>
          <w:tcPr>
            <w:tcW w:w="109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荔枝</w:t>
            </w:r>
            <w:r/>
          </w:p>
        </w:tc>
        <w:tc>
          <w:tcPr>
            <w:tcW w:w="340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氯氟氰菊酯和高效氯氟氰菊酯、吡唑醚菌酯、除虫脲、苯醚甲环唑、氰霜唑</w:t>
            </w:r>
            <w:r/>
          </w:p>
        </w:tc>
        <w:tc>
          <w:tcPr>
            <w:tcW w:w="6236"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多菌灵、氧乐果、毒死蜱、氯氰菊酯和高效氯氰菊酯、氟吗啉、咪鲜胺和咪鲜胺锰盐、乐果、溴氰菊酯</w:t>
            </w:r>
            <w:r/>
          </w:p>
        </w:tc>
        <w:tc>
          <w:tcPr>
            <w:tcW w:w="1322"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r>
      <w:tr>
        <w:trPr>
          <w:jc w:val="center"/>
        </w:trPr>
        <w:tc>
          <w:tcPr>
            <w:tcW w:w="624"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173"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069"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r>
            <w:r/>
          </w:p>
        </w:tc>
        <w:tc>
          <w:tcPr>
            <w:tcW w:w="109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龙眼</w:t>
            </w:r>
            <w:r/>
          </w:p>
        </w:tc>
        <w:tc>
          <w:tcPr>
            <w:tcW w:w="340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二氧化硫残留量、氯氰菊酯和高效氯氰菊酯、氧乐果</w:t>
            </w:r>
            <w:r/>
          </w:p>
        </w:tc>
        <w:tc>
          <w:tcPr>
            <w:tcW w:w="6236"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克百威、氟虫腈</w:t>
            </w:r>
            <w:r/>
          </w:p>
        </w:tc>
        <w:tc>
          <w:tcPr>
            <w:tcW w:w="1322"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r>
      <w:tr>
        <w:trPr>
          <w:jc w:val="center"/>
        </w:trPr>
        <w:tc>
          <w:tcPr>
            <w:tcW w:w="624"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173"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069"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r>
            <w:r/>
          </w:p>
        </w:tc>
        <w:tc>
          <w:tcPr>
            <w:tcW w:w="109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芒果</w:t>
            </w:r>
            <w:r/>
          </w:p>
        </w:tc>
        <w:tc>
          <w:tcPr>
            <w:tcW w:w="340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吡唑醚菌酯、噻虫胺、戊唑醇、苯醚甲环唑、乙酰甲胺磷、噻嗪酮、吡虫啉</w:t>
            </w:r>
            <w:r/>
          </w:p>
        </w:tc>
        <w:tc>
          <w:tcPr>
            <w:tcW w:w="6236"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氧乐果、噻虫嗪、氯氟氰菊酯和高效氯氟氰菊酯</w:t>
            </w:r>
            <w:r/>
          </w:p>
        </w:tc>
        <w:tc>
          <w:tcPr>
            <w:tcW w:w="1322"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r>
      <w:tr>
        <w:trPr>
          <w:jc w:val="center"/>
        </w:trPr>
        <w:tc>
          <w:tcPr>
            <w:tcW w:w="624"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173"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069"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r>
            <w:r/>
          </w:p>
        </w:tc>
        <w:tc>
          <w:tcPr>
            <w:tcW w:w="109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香蕉</w:t>
            </w:r>
            <w:r/>
          </w:p>
        </w:tc>
        <w:tc>
          <w:tcPr>
            <w:tcW w:w="340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吡虫啉、噻虫嗪、噻虫胺、腈苯唑、氟唑菌酰胺</w:t>
            </w:r>
            <w:r/>
          </w:p>
        </w:tc>
        <w:tc>
          <w:tcPr>
            <w:tcW w:w="6236"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苯醚甲环唑、吡唑醚菌酯、氟虫腈、联苯菊酯、百菌清、氧乐果、氯氟氰菊酯和高效氯氟氰菊酯</w:t>
            </w:r>
            <w:r/>
          </w:p>
        </w:tc>
        <w:tc>
          <w:tcPr>
            <w:tcW w:w="1322"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r>
      <w:tr>
        <w:trPr>
          <w:jc w:val="center"/>
        </w:trPr>
        <w:tc>
          <w:tcPr>
            <w:tcW w:w="624"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173"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069"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r>
            <w:r/>
          </w:p>
        </w:tc>
        <w:tc>
          <w:tcPr>
            <w:tcW w:w="109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杨梅</w:t>
            </w:r>
            <w:r/>
          </w:p>
        </w:tc>
        <w:tc>
          <w:tcPr>
            <w:tcW w:w="340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脱氢乙酸及其钠盐（以脱氢乙酸计）、甜蜜素（以环己基氨基磺酸计）、糖精钠（以糖精计）、啶虫脒</w:t>
            </w:r>
            <w:r/>
          </w:p>
        </w:tc>
        <w:tc>
          <w:tcPr>
            <w:tcW w:w="6236"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山梨酸及其钾盐（以山梨酸计）、三氯蔗糖、氧乐果、阿维菌素、纽甜</w:t>
            </w:r>
            <w:r/>
          </w:p>
        </w:tc>
        <w:tc>
          <w:tcPr>
            <w:tcW w:w="1322"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r>
      <w:tr>
        <w:trPr>
          <w:jc w:val="center"/>
        </w:trPr>
        <w:tc>
          <w:tcPr>
            <w:tcW w:w="624"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t xml:space="preserve">4</w:t>
            </w:r>
            <w:r/>
          </w:p>
        </w:tc>
        <w:tc>
          <w:tcPr>
            <w:tcW w:w="1173"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t xml:space="preserve">水果类</w:t>
            </w:r>
            <w:r/>
          </w:p>
        </w:tc>
        <w:tc>
          <w:tcPr>
            <w:tcW w:w="1069"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仁果类水果</w:t>
            </w:r>
            <w:r/>
          </w:p>
        </w:tc>
        <w:tc>
          <w:tcPr>
            <w:tcW w:w="109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梨</w:t>
            </w:r>
            <w:r/>
          </w:p>
        </w:tc>
        <w:tc>
          <w:tcPr>
            <w:tcW w:w="340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乙螨唑、咪鲜胺和咪鲜胺锰盐、苯醚甲环唑、氯氟氰菊酯和高效氯氟氰菊酯</w:t>
            </w:r>
            <w:r/>
          </w:p>
        </w:tc>
        <w:tc>
          <w:tcPr>
            <w:tcW w:w="6236"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吡虫啉、敌敌畏、毒死蜱、多菌灵、克百威、氧乐果、水胺硫磷、噻虫嗪、乙酰甲胺磷、阿维菌素</w:t>
            </w:r>
            <w:r/>
          </w:p>
        </w:tc>
        <w:tc>
          <w:tcPr>
            <w:tcW w:w="1322"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r>
      <w:tr>
        <w:trPr>
          <w:jc w:val="center"/>
        </w:trPr>
        <w:tc>
          <w:tcPr>
            <w:tcW w:w="624" w:type="dxa"/>
            <w:vAlign w:val="center"/>
            <w:vMerge w:val="restart"/>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t xml:space="preserve">5</w:t>
            </w:r>
            <w:r/>
          </w:p>
        </w:tc>
        <w:tc>
          <w:tcPr>
            <w:tcW w:w="1173" w:type="dxa"/>
            <w:vAlign w:val="center"/>
            <w:vMerge w:val="restart"/>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鲜蛋</w:t>
            </w:r>
            <w:r/>
          </w:p>
        </w:tc>
        <w:tc>
          <w:tcPr>
            <w:tcW w:w="1069" w:type="dxa"/>
            <w:vAlign w:val="center"/>
            <w:vMerge w:val="restart"/>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鲜蛋</w:t>
            </w:r>
            <w:r/>
          </w:p>
        </w:tc>
        <w:tc>
          <w:tcPr>
            <w:tcW w:w="109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鸡蛋</w:t>
            </w:r>
            <w:r/>
          </w:p>
        </w:tc>
        <w:tc>
          <w:tcPr>
            <w:tcW w:w="340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多西环素、甲氧苄啶、磺胺类（总量）、甲硝唑、氟苯尼考、地美硝唑、恩诺沙星、托曲珠利</w:t>
            </w:r>
            <w:r/>
          </w:p>
        </w:tc>
        <w:tc>
          <w:tcPr>
            <w:tcW w:w="6236"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呋喃唑酮代谢物、呋喃西林代谢物、氟虫腈、氯霉素、甲砜霉素、氧氟沙星、沙拉沙星、地克珠利</w:t>
            </w:r>
            <w:r/>
          </w:p>
        </w:tc>
        <w:tc>
          <w:tcPr>
            <w:tcW w:w="1322"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r>
      <w:tr>
        <w:trPr>
          <w:jc w:val="center"/>
        </w:trPr>
        <w:tc>
          <w:tcPr>
            <w:tcW w:w="624"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173"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069" w:type="dxa"/>
            <w:vAlign w:val="center"/>
            <w:vMerge w:val="continue"/>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c>
          <w:tcPr>
            <w:tcW w:w="109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其他禽蛋</w:t>
            </w:r>
            <w:r/>
          </w:p>
        </w:tc>
        <w:tc>
          <w:tcPr>
            <w:tcW w:w="340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多西环素、磺胺类（总量）</w:t>
            </w:r>
            <w:r/>
          </w:p>
        </w:tc>
        <w:tc>
          <w:tcPr>
            <w:tcW w:w="6236"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呋喃唑酮代谢物、氯霉素</w:t>
            </w:r>
            <w:r/>
          </w:p>
        </w:tc>
        <w:tc>
          <w:tcPr>
            <w:tcW w:w="1322"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仅鸭蛋、鹅蛋检测多西环素</w:t>
            </w:r>
            <w:r/>
          </w:p>
        </w:tc>
      </w:tr>
      <w:tr>
        <w:trPr>
          <w:jc w:val="center"/>
        </w:trPr>
        <w:tc>
          <w:tcPr>
            <w:tcW w:w="624"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lang w:bidi="ar"/>
              </w:rPr>
            </w:pPr>
            <w:r>
              <w:rPr>
                <w:rFonts w:hint="default" w:ascii="方正仿宋_GBK" w:hAnsi="Times New Roman" w:eastAsia="方正仿宋_GBK" w:cs="Times New Roman"/>
                <w:color w:val="auto"/>
                <w:sz w:val="20"/>
                <w:szCs w:val="20"/>
                <w:highlight w:val="none"/>
                <w:lang w:bidi="ar"/>
              </w:rPr>
              <w:t xml:space="preserve">6</w:t>
            </w:r>
            <w:r/>
          </w:p>
        </w:tc>
        <w:tc>
          <w:tcPr>
            <w:tcW w:w="1173"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生干坚果与籽类食品</w:t>
            </w:r>
            <w:r/>
          </w:p>
        </w:tc>
        <w:tc>
          <w:tcPr>
            <w:tcW w:w="1069"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生干坚果与籽类食品</w:t>
            </w:r>
            <w:r/>
          </w:p>
        </w:tc>
        <w:tc>
          <w:tcPr>
            <w:tcW w:w="109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t xml:space="preserve">花生</w:t>
            </w:r>
            <w:r/>
          </w:p>
        </w:tc>
        <w:tc>
          <w:tcPr>
            <w:tcW w:w="3402" w:type="dxa"/>
            <w:vAlign w:val="center"/>
            <w:textDirection w:val="lrTb"/>
            <w:noWrap w:val="false"/>
          </w:tcPr>
          <w:p>
            <w:pPr>
              <w:jc w:val="center"/>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酸价、黄曲霉毒素B</w:t>
            </w:r>
            <w:r>
              <w:rPr>
                <w:rFonts w:hint="default" w:ascii="方正仿宋_GBK" w:hAnsi="Times New Roman" w:eastAsia="方正仿宋_GBK" w:cs="Times New Roman"/>
                <w:color w:val="auto"/>
                <w:sz w:val="20"/>
                <w:szCs w:val="20"/>
                <w:highlight w:val="none"/>
                <w:vertAlign w:val="subscript"/>
                <w:lang w:bidi="ar"/>
              </w:rPr>
              <w:t xml:space="preserve">1</w:t>
            </w:r>
            <w:r/>
          </w:p>
        </w:tc>
        <w:tc>
          <w:tcPr>
            <w:tcW w:w="6236"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lang w:bidi="ar"/>
              </w:rPr>
              <w:t xml:space="preserve">过氧化值（以脂肪计）、铅（以Pb计）、镉（以Cd计）、噻虫嗪、噻虫胺</w:t>
            </w:r>
            <w:r/>
          </w:p>
        </w:tc>
        <w:tc>
          <w:tcPr>
            <w:tcW w:w="1322" w:type="dxa"/>
            <w:vAlign w:val="center"/>
            <w:textDirection w:val="lrTb"/>
            <w:noWrap w:val="false"/>
          </w:tcPr>
          <w:p>
            <w:pPr>
              <w:jc w:val="left"/>
              <w:spacing w:line="240" w:lineRule="exact"/>
              <w:widowControl/>
              <w:rPr>
                <w:rFonts w:hint="default" w:ascii="方正仿宋_GBK" w:hAnsi="Times New Roman" w:eastAsia="方正仿宋_GBK" w:cs="Times New Roman"/>
                <w:color w:val="auto"/>
                <w:sz w:val="20"/>
                <w:szCs w:val="20"/>
                <w:highlight w:val="none"/>
              </w:rPr>
            </w:pPr>
            <w:r>
              <w:rPr>
                <w:rFonts w:hint="default" w:ascii="方正仿宋_GBK" w:hAnsi="Times New Roman" w:eastAsia="方正仿宋_GBK" w:cs="Times New Roman"/>
                <w:color w:val="auto"/>
                <w:sz w:val="20"/>
                <w:szCs w:val="20"/>
                <w:highlight w:val="none"/>
              </w:rPr>
            </w:r>
            <w:r/>
          </w:p>
        </w:tc>
      </w:tr>
    </w:tbl>
    <w:p>
      <w:pPr>
        <w:rPr>
          <w:color w:val="auto"/>
          <w:highlight w:val="none"/>
        </w:rPr>
        <w:sectPr>
          <w:footnotePr/>
          <w:endnotePr/>
          <w:type w:val="nextPage"/>
          <w:pgSz w:w="16838" w:h="11900" w:orient="landscape"/>
          <w:pgMar w:top="1440" w:right="1039" w:bottom="1440" w:left="639" w:header="0" w:footer="0" w:gutter="0"/>
          <w:cols w:num="1" w:sep="0" w:space="1701" w:equalWidth="0">
            <w:col w:w="9026" w:space="0"/>
          </w:cols>
          <w:docGrid w:linePitch="360"/>
        </w:sectPr>
      </w:pPr>
      <w:r>
        <w:rPr>
          <w:color w:val="auto"/>
          <w:highlight w:val="none"/>
        </w:rPr>
      </w:r>
      <w:r/>
    </w:p>
    <w:p>
      <w:pPr>
        <w:ind w:left="4"/>
        <w:spacing w:before="101" w:line="224" w:lineRule="auto"/>
        <w:rPr>
          <w:rFonts w:ascii="宋体" w:hAnsi="宋体" w:eastAsia="宋体" w:cs="宋体"/>
          <w:color w:val="auto"/>
          <w:sz w:val="30"/>
          <w:szCs w:val="30"/>
          <w:highlight w:val="none"/>
        </w:rPr>
      </w:pPr>
      <w:r>
        <w:rPr>
          <w:rFonts w:hint="eastAsia" w:ascii="宋体" w:hAnsi="宋体" w:eastAsia="宋体" w:cs="宋体"/>
          <w:color w:val="auto"/>
          <w:sz w:val="24"/>
          <w:szCs w:val="24"/>
          <w:highlight w:val="none"/>
        </w:rPr>
        <w:t xml:space="preserve">（苏市监食检【2022】53号）</w:t>
      </w:r>
      <w:r>
        <w:rPr>
          <w:rFonts w:hint="eastAsia" w:ascii="宋体" w:hAnsi="宋体" w:eastAsia="宋体" w:cs="宋体"/>
          <w:b/>
          <w:bCs/>
          <w:color w:val="auto"/>
          <w:sz w:val="24"/>
          <w:szCs w:val="24"/>
          <w:highlight w:val="none"/>
        </w:rPr>
        <w:t xml:space="preserve">附件3</w:t>
      </w:r>
      <w:r/>
    </w:p>
    <w:p>
      <w:pPr>
        <w:ind w:left="926"/>
        <w:jc w:val="center"/>
        <w:spacing w:before="153" w:line="219" w:lineRule="auto"/>
        <w:rPr>
          <w:rFonts w:ascii="宋体" w:hAnsi="宋体" w:eastAsia="宋体" w:cs="宋体"/>
          <w:color w:val="auto"/>
          <w:sz w:val="30"/>
          <w:szCs w:val="30"/>
          <w:highlight w:val="none"/>
        </w:rPr>
      </w:pPr>
      <w:r>
        <w:rPr>
          <w:rFonts w:hint="eastAsia" w:ascii="宋体" w:hAnsi="宋体" w:eastAsia="宋体" w:cs="宋体"/>
          <w:b/>
          <w:bCs/>
          <w:color w:val="auto"/>
          <w:spacing w:val="-8"/>
          <w:sz w:val="30"/>
          <w:szCs w:val="30"/>
          <w:highlight w:val="none"/>
        </w:rPr>
        <w:t xml:space="preserve">2022年食用农产品监督抽检工作要求</w:t>
      </w:r>
      <w:r/>
    </w:p>
    <w:p>
      <w:pPr>
        <w:ind w:firstLine="649"/>
        <w:jc w:val="both"/>
        <w:spacing w:before="101" w:line="341" w:lineRule="auto"/>
        <w:rPr>
          <w:rFonts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为规范食用农产品监督抽检工作，落实检管结合、溯源信息</w:t>
      </w:r>
      <w:r>
        <w:rPr>
          <w:rFonts w:hint="eastAsia" w:ascii="宋体" w:hAnsi="宋体" w:eastAsia="宋体" w:cs="宋体"/>
          <w:color w:val="auto"/>
          <w:spacing w:val="3"/>
          <w:sz w:val="24"/>
          <w:szCs w:val="24"/>
          <w:highlight w:val="none"/>
        </w:rPr>
        <w:t xml:space="preserve">填报、均衡抽检等工作要求，提升食用农产品监督抽检工作质量，</w:t>
      </w:r>
      <w:r>
        <w:rPr>
          <w:rFonts w:hint="eastAsia" w:ascii="宋体" w:hAnsi="宋体" w:eastAsia="宋体" w:cs="宋体"/>
          <w:color w:val="auto"/>
          <w:spacing w:val="4"/>
          <w:sz w:val="24"/>
          <w:szCs w:val="24"/>
          <w:highlight w:val="none"/>
        </w:rPr>
        <w:t xml:space="preserve">现就有关事项明确如下：</w:t>
      </w:r>
      <w:r/>
    </w:p>
    <w:p>
      <w:pPr>
        <w:ind w:left="734"/>
        <w:spacing w:before="1" w:line="220" w:lineRule="auto"/>
        <w:rPr>
          <w:rFonts w:ascii="宋体" w:hAnsi="宋体" w:eastAsia="宋体" w:cs="宋体"/>
          <w:color w:val="auto"/>
          <w:sz w:val="24"/>
          <w:szCs w:val="24"/>
          <w:highlight w:val="none"/>
        </w:rPr>
        <w:outlineLvl w:val="2"/>
      </w:pPr>
      <w:r>
        <w:rPr>
          <w:rFonts w:hint="eastAsia" w:ascii="宋体" w:hAnsi="宋体" w:eastAsia="宋体" w:cs="宋体"/>
          <w:b/>
          <w:bCs/>
          <w:color w:val="auto"/>
          <w:sz w:val="24"/>
          <w:szCs w:val="24"/>
          <w:highlight w:val="none"/>
        </w:rPr>
        <w:t xml:space="preserve">一</w:t>
      </w:r>
      <w:r>
        <w:rPr>
          <w:rFonts w:hint="eastAsia" w:ascii="宋体" w:hAnsi="宋体" w:eastAsia="宋体" w:cs="宋体"/>
          <w:color w:val="auto"/>
          <w:spacing w:val="-83"/>
          <w:sz w:val="24"/>
          <w:szCs w:val="24"/>
          <w:highlight w:val="none"/>
        </w:rPr>
        <w:t xml:space="preserve"> </w:t>
      </w:r>
      <w:r>
        <w:rPr>
          <w:rFonts w:hint="eastAsia" w:ascii="宋体" w:hAnsi="宋体" w:eastAsia="宋体" w:cs="宋体"/>
          <w:b/>
          <w:bCs/>
          <w:color w:val="auto"/>
          <w:sz w:val="24"/>
          <w:szCs w:val="24"/>
          <w:highlight w:val="none"/>
        </w:rPr>
        <w:t xml:space="preserve">、监管人员陪同抽样</w:t>
      </w:r>
      <w:r/>
    </w:p>
    <w:p>
      <w:pPr>
        <w:ind w:right="128" w:firstLine="649"/>
        <w:jc w:val="both"/>
        <w:spacing w:before="181" w:line="333" w:lineRule="auto"/>
        <w:rPr>
          <w:rFonts w:ascii="宋体" w:hAnsi="宋体" w:eastAsia="宋体" w:cs="宋体"/>
          <w:color w:val="auto"/>
          <w:sz w:val="24"/>
          <w:szCs w:val="24"/>
          <w:highlight w:val="none"/>
        </w:rPr>
      </w:pPr>
      <w:r>
        <w:rPr>
          <w:rFonts w:hint="eastAsia" w:ascii="宋体" w:hAnsi="宋体" w:eastAsia="宋体" w:cs="宋体"/>
          <w:color w:val="auto"/>
          <w:spacing w:val="22"/>
          <w:sz w:val="24"/>
          <w:szCs w:val="24"/>
          <w:highlight w:val="none"/>
        </w:rPr>
        <w:t xml:space="preserve">食用农产品抽样可由任务下达市场监管部门自行抽样或委</w:t>
      </w:r>
      <w:r>
        <w:rPr>
          <w:rFonts w:hint="eastAsia" w:ascii="宋体" w:hAnsi="宋体" w:eastAsia="宋体" w:cs="宋体"/>
          <w:color w:val="auto"/>
          <w:spacing w:val="9"/>
          <w:sz w:val="24"/>
          <w:szCs w:val="24"/>
          <w:highlight w:val="none"/>
        </w:rPr>
        <w:t xml:space="preserve">托承检机构抽样。委托抽样的，应由被抽样单位所在地辖区市场</w:t>
      </w:r>
      <w:r>
        <w:rPr>
          <w:rFonts w:hint="eastAsia" w:ascii="宋体" w:hAnsi="宋体" w:eastAsia="宋体" w:cs="宋体"/>
          <w:color w:val="auto"/>
          <w:spacing w:val="20"/>
          <w:sz w:val="24"/>
          <w:szCs w:val="24"/>
          <w:highlight w:val="none"/>
        </w:rPr>
        <w:t xml:space="preserve">监管部门2名监管人员、抽样机构2名抽样人员共同抽样；抽样</w:t>
      </w:r>
      <w:r>
        <w:rPr>
          <w:rFonts w:hint="eastAsia" w:ascii="宋体" w:hAnsi="宋体" w:eastAsia="宋体" w:cs="宋体"/>
          <w:color w:val="auto"/>
          <w:spacing w:val="9"/>
          <w:sz w:val="24"/>
          <w:szCs w:val="24"/>
          <w:highlight w:val="none"/>
        </w:rPr>
        <w:t xml:space="preserve">前，承检机构应与相关市场监管部门联系，明确拟抽样场</w:t>
      </w:r>
      <w:r>
        <w:rPr>
          <w:rFonts w:hint="eastAsia" w:ascii="宋体" w:hAnsi="宋体" w:eastAsia="宋体" w:cs="宋体"/>
          <w:color w:val="auto"/>
          <w:spacing w:val="8"/>
          <w:sz w:val="24"/>
          <w:szCs w:val="24"/>
          <w:highlight w:val="none"/>
        </w:rPr>
        <w:t xml:space="preserve">所及日</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9"/>
          <w:sz w:val="24"/>
          <w:szCs w:val="24"/>
          <w:highlight w:val="none"/>
        </w:rPr>
        <w:t xml:space="preserve">期，属地市场监管部门应及时协调并安排监管人员陪同抽样。</w:t>
      </w:r>
      <w:r/>
    </w:p>
    <w:p>
      <w:pPr>
        <w:ind w:right="129" w:firstLine="649"/>
        <w:jc w:val="both"/>
        <w:spacing w:before="41" w:line="348" w:lineRule="auto"/>
        <w:rPr>
          <w:rFonts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抽样人员选定样品后，监管人员应对被抽样单位</w:t>
      </w:r>
      <w:r>
        <w:rPr>
          <w:rFonts w:hint="eastAsia" w:ascii="宋体" w:hAnsi="宋体" w:eastAsia="宋体" w:cs="宋体"/>
          <w:color w:val="auto"/>
          <w:spacing w:val="8"/>
          <w:sz w:val="24"/>
          <w:szCs w:val="24"/>
          <w:highlight w:val="none"/>
        </w:rPr>
        <w:t xml:space="preserve">和个人依法</w:t>
      </w:r>
      <w:r>
        <w:rPr>
          <w:rFonts w:hint="eastAsia" w:ascii="宋体" w:hAnsi="宋体" w:eastAsia="宋体" w:cs="宋体"/>
          <w:color w:val="auto"/>
          <w:spacing w:val="10"/>
          <w:sz w:val="24"/>
          <w:szCs w:val="24"/>
          <w:highlight w:val="none"/>
        </w:rPr>
        <w:t xml:space="preserve">经营、索证索票等进行现场检查，发现违反有关法律法规的行为</w:t>
      </w:r>
      <w:r>
        <w:rPr>
          <w:rFonts w:hint="eastAsia" w:ascii="宋体" w:hAnsi="宋体" w:eastAsia="宋体" w:cs="宋体"/>
          <w:color w:val="auto"/>
          <w:spacing w:val="9"/>
          <w:sz w:val="24"/>
          <w:szCs w:val="24"/>
          <w:highlight w:val="none"/>
        </w:rPr>
        <w:t xml:space="preserve">应记录和取证并依法处罚。对符合抽检要求的，抽样人员和现场监管人员应共同在抽样单上签字，并在国家食品安全抽样检验信</w:t>
      </w:r>
      <w:r>
        <w:rPr>
          <w:rFonts w:hint="eastAsia" w:ascii="宋体" w:hAnsi="宋体" w:eastAsia="宋体" w:cs="宋体"/>
          <w:color w:val="auto"/>
          <w:spacing w:val="20"/>
          <w:sz w:val="24"/>
          <w:szCs w:val="24"/>
          <w:highlight w:val="none"/>
        </w:rPr>
        <w:t xml:space="preserve">息系统(以下简称“国抽信息系统”)中输入抽样人员和监管人</w:t>
      </w:r>
      <w:r>
        <w:rPr>
          <w:rFonts w:hint="eastAsia" w:ascii="宋体" w:hAnsi="宋体" w:eastAsia="宋体" w:cs="宋体"/>
          <w:color w:val="auto"/>
          <w:spacing w:val="21"/>
          <w:sz w:val="24"/>
          <w:szCs w:val="24"/>
          <w:highlight w:val="none"/>
        </w:rPr>
        <w:t xml:space="preserve">员姓名</w:t>
      </w:r>
      <w:r>
        <w:rPr>
          <w:rFonts w:hint="eastAsia" w:ascii="宋体" w:hAnsi="宋体" w:eastAsia="宋体" w:cs="宋体"/>
          <w:color w:val="auto"/>
          <w:spacing w:val="-69"/>
          <w:sz w:val="24"/>
          <w:szCs w:val="24"/>
          <w:highlight w:val="none"/>
        </w:rPr>
        <w:t xml:space="preserve"> </w:t>
      </w:r>
      <w:r>
        <w:rPr>
          <w:rFonts w:hint="eastAsia" w:ascii="宋体" w:hAnsi="宋体" w:eastAsia="宋体" w:cs="宋体"/>
          <w:color w:val="auto"/>
          <w:spacing w:val="21"/>
          <w:sz w:val="24"/>
          <w:szCs w:val="24"/>
          <w:highlight w:val="none"/>
        </w:rPr>
        <w:t xml:space="preserve">。</w:t>
      </w:r>
      <w:r/>
    </w:p>
    <w:p>
      <w:pPr>
        <w:ind w:left="774"/>
        <w:spacing w:before="1" w:line="220" w:lineRule="auto"/>
        <w:rPr>
          <w:rFonts w:ascii="宋体" w:hAnsi="宋体" w:eastAsia="宋体" w:cs="宋体"/>
          <w:color w:val="auto"/>
          <w:sz w:val="24"/>
          <w:szCs w:val="24"/>
          <w:highlight w:val="none"/>
        </w:rPr>
        <w:outlineLvl w:val="2"/>
      </w:pPr>
      <w:r>
        <w:rPr>
          <w:rFonts w:hint="eastAsia" w:ascii="宋体" w:hAnsi="宋体" w:eastAsia="宋体" w:cs="宋体"/>
          <w:b/>
          <w:bCs/>
          <w:color w:val="auto"/>
          <w:spacing w:val="6"/>
          <w:sz w:val="24"/>
          <w:szCs w:val="24"/>
          <w:highlight w:val="none"/>
        </w:rPr>
        <w:t xml:space="preserve">二、食用农产品溯源信息填报</w:t>
      </w:r>
      <w:r/>
    </w:p>
    <w:p>
      <w:pPr>
        <w:ind w:left="719"/>
        <w:spacing w:before="170" w:line="219" w:lineRule="auto"/>
        <w:rPr>
          <w:rFonts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食用农产品抽样应填写产地溯源信息，主要包括以下内容：</w:t>
      </w:r>
      <w:r/>
    </w:p>
    <w:p>
      <w:pPr>
        <w:ind w:right="254" w:firstLine="828"/>
        <w:jc w:val="both"/>
        <w:spacing w:before="101" w:line="334" w:lineRule="auto"/>
        <w:rPr>
          <w:rFonts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 xml:space="preserve">(一)食用农产品抽样溯源信息，包括抽检样品的供应商名</w:t>
      </w:r>
      <w:r>
        <w:rPr>
          <w:rFonts w:hint="eastAsia" w:ascii="宋体" w:hAnsi="宋体" w:eastAsia="宋体" w:cs="宋体"/>
          <w:color w:val="auto"/>
          <w:spacing w:val="10"/>
          <w:sz w:val="24"/>
          <w:szCs w:val="24"/>
          <w:highlight w:val="none"/>
        </w:rPr>
        <w:t xml:space="preserve">称、地址、电话或生产者名称、地址等</w:t>
      </w:r>
      <w:r>
        <w:rPr>
          <w:rFonts w:hint="eastAsia" w:ascii="宋体" w:hAnsi="宋体" w:eastAsia="宋体" w:cs="宋体"/>
          <w:color w:val="auto"/>
          <w:spacing w:val="10"/>
          <w:sz w:val="24"/>
          <w:szCs w:val="24"/>
          <w:highlight w:val="none"/>
        </w:rPr>
        <w:t xml:space="preserve">。</w:t>
      </w:r>
      <w:r>
        <w:rPr>
          <w:rFonts w:hint="eastAsia" w:ascii="宋体" w:hAnsi="宋体" w:eastAsia="宋体" w:cs="宋体"/>
          <w:color w:val="auto"/>
          <w:spacing w:val="10"/>
          <w:sz w:val="24"/>
          <w:szCs w:val="24"/>
          <w:highlight w:val="none"/>
        </w:rPr>
        <w:t xml:space="preserve">主要从样品标签，被抽</w:t>
      </w:r>
      <w:r>
        <w:rPr>
          <w:rFonts w:hint="eastAsia" w:ascii="宋体" w:hAnsi="宋体" w:eastAsia="宋体" w:cs="宋体"/>
          <w:color w:val="auto"/>
          <w:spacing w:val="8"/>
          <w:sz w:val="24"/>
          <w:szCs w:val="24"/>
          <w:highlight w:val="none"/>
        </w:rPr>
        <w:t xml:space="preserve">样单位提供样品的动物检疫合格证明、肉品品质检验合格证、动</w:t>
      </w:r>
      <w:r>
        <w:rPr>
          <w:rFonts w:hint="eastAsia" w:ascii="宋体" w:hAnsi="宋体" w:eastAsia="宋体" w:cs="宋体"/>
          <w:color w:val="auto"/>
          <w:spacing w:val="7"/>
          <w:sz w:val="24"/>
          <w:szCs w:val="24"/>
          <w:highlight w:val="none"/>
        </w:rPr>
        <w:t xml:space="preserve">物产品检疫验讫二维码、承诺达标合格证、入境货物检验检疫证</w:t>
      </w:r>
      <w:r>
        <w:rPr>
          <w:rFonts w:hint="eastAsia" w:ascii="宋体" w:hAnsi="宋体" w:eastAsia="宋体" w:cs="宋体"/>
          <w:color w:val="auto"/>
          <w:spacing w:val="3"/>
          <w:sz w:val="24"/>
          <w:szCs w:val="24"/>
          <w:highlight w:val="none"/>
        </w:rPr>
        <w:t xml:space="preserve">明、进货票据等凭证获取。</w:t>
      </w:r>
      <w:r/>
    </w:p>
    <w:p>
      <w:pPr>
        <w:ind w:right="254" w:firstLine="828"/>
        <w:jc w:val="both"/>
        <w:spacing w:before="101" w:line="334" w:lineRule="auto"/>
        <w:rPr>
          <w:rFonts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 xml:space="preserve">(二)抽样人员应严格按现场提供或确认的信息填写抽样单，有关溯源信息凭证应拍照并上传国抽信息系统。当溯源信息仅有生产者、供应商名称或证照编号(统一社会信用代码或注册号)时，可通过“国家企业信用公示系统”等平台查询缺失信息，并按实际情形备注说明。溯源信息不全时，被抽样单位至少要提供供应商姓名和联系电话。</w:t>
      </w:r>
      <w:r/>
    </w:p>
    <w:p>
      <w:pPr>
        <w:ind w:right="254" w:firstLine="828"/>
        <w:jc w:val="both"/>
        <w:spacing w:before="101" w:line="334" w:lineRule="auto"/>
        <w:rPr>
          <w:rFonts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 xml:space="preserve">(三)案件稽查、事故调查、应急处置或在抽样现场发现有明显问题的食用农产品，可不受抽样数量、抽样地点、被抽样单位是否具备合法资质、销售产品是否提供溯源信息等限制；对需要开展不合格食用农产品跟踪抽检的，抽样单备注栏填写“此样品为跟踪抽检”。</w:t>
      </w:r>
      <w:r/>
    </w:p>
    <w:p>
      <w:pPr>
        <w:ind w:left="764"/>
        <w:spacing w:before="219" w:line="221" w:lineRule="auto"/>
        <w:rPr>
          <w:rFonts w:ascii="宋体" w:hAnsi="宋体" w:eastAsia="宋体" w:cs="宋体"/>
          <w:color w:val="auto"/>
          <w:sz w:val="24"/>
          <w:szCs w:val="24"/>
          <w:highlight w:val="none"/>
        </w:rPr>
        <w:outlineLvl w:val="2"/>
      </w:pPr>
      <w:r>
        <w:rPr>
          <w:rFonts w:hint="eastAsia" w:ascii="宋体" w:hAnsi="宋体" w:eastAsia="宋体" w:cs="宋体"/>
          <w:b/>
          <w:bCs/>
          <w:color w:val="auto"/>
          <w:spacing w:val="4"/>
          <w:sz w:val="24"/>
          <w:szCs w:val="24"/>
          <w:highlight w:val="none"/>
        </w:rPr>
        <w:t xml:space="preserve">三、必检和自选品种及检验项目</w:t>
      </w:r>
      <w:r/>
    </w:p>
    <w:p>
      <w:pPr>
        <w:ind w:firstLine="689"/>
        <w:jc w:val="both"/>
        <w:spacing w:before="163" w:line="339" w:lineRule="auto"/>
        <w:rPr>
          <w:rFonts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依据《食用农产品“治违禁控药残促提升”三年行动方案》</w:t>
      </w:r>
      <w:r>
        <w:rPr>
          <w:rFonts w:hint="eastAsia" w:ascii="宋体" w:hAnsi="宋体" w:eastAsia="宋体" w:cs="宋体"/>
          <w:color w:val="auto"/>
          <w:spacing w:val="8"/>
          <w:sz w:val="24"/>
          <w:szCs w:val="24"/>
          <w:highlight w:val="none"/>
        </w:rPr>
        <w:t xml:space="preserve">及近三年全国食用农产品抽检监测情况，确定《2022年食用农产</w:t>
      </w:r>
      <w:r>
        <w:rPr>
          <w:rFonts w:hint="eastAsia" w:ascii="宋体" w:hAnsi="宋体" w:eastAsia="宋体" w:cs="宋体"/>
          <w:color w:val="auto"/>
          <w:spacing w:val="25"/>
          <w:sz w:val="24"/>
          <w:szCs w:val="24"/>
          <w:highlight w:val="none"/>
        </w:rPr>
        <w:t xml:space="preserve">品必检品种、项目表》(见附件7)。地方各级市场监管部门开</w:t>
      </w:r>
      <w:r>
        <w:rPr>
          <w:rFonts w:hint="eastAsia" w:ascii="宋体" w:hAnsi="宋体" w:eastAsia="宋体" w:cs="宋体"/>
          <w:color w:val="auto"/>
          <w:spacing w:val="8"/>
          <w:sz w:val="24"/>
          <w:szCs w:val="24"/>
          <w:highlight w:val="none"/>
        </w:rPr>
        <w:t xml:space="preserve">展食用农产品监督抽检应包括上表中所列品种及必检项目，同时结合监管实际选择不少于两个可选项目。市、县级市场监管部门</w:t>
      </w:r>
      <w:r>
        <w:rPr>
          <w:rFonts w:hint="eastAsia" w:ascii="宋体" w:hAnsi="宋体" w:eastAsia="宋体" w:cs="宋体"/>
          <w:color w:val="auto"/>
          <w:spacing w:val="6"/>
          <w:sz w:val="24"/>
          <w:szCs w:val="24"/>
          <w:highlight w:val="none"/>
        </w:rPr>
        <w:t xml:space="preserve">可选项目应由省级市场监管部门食品抽检处</w:t>
      </w:r>
      <w:r>
        <w:rPr>
          <w:rFonts w:hint="eastAsia" w:ascii="宋体" w:hAnsi="宋体" w:eastAsia="宋体" w:cs="宋体"/>
          <w:color w:val="auto"/>
          <w:spacing w:val="5"/>
          <w:sz w:val="24"/>
          <w:szCs w:val="24"/>
          <w:highlight w:val="none"/>
        </w:rPr>
        <w:t xml:space="preserve">室审核同意。</w:t>
      </w:r>
      <w:r>
        <w:rPr>
          <w:rFonts w:hint="eastAsia" w:ascii="宋体" w:hAnsi="宋体" w:eastAsia="宋体" w:cs="宋体"/>
          <w:color w:val="auto"/>
          <w:spacing w:val="8"/>
          <w:sz w:val="24"/>
          <w:szCs w:val="24"/>
          <w:highlight w:val="none"/>
        </w:rPr>
        <w:t xml:space="preserve">在抽样品种上，应结合季节供应特点、当地食用习惯合理确</w:t>
      </w:r>
      <w:r>
        <w:rPr>
          <w:rFonts w:hint="eastAsia" w:ascii="宋体" w:hAnsi="宋体" w:eastAsia="宋体" w:cs="宋体"/>
          <w:color w:val="auto"/>
          <w:spacing w:val="9"/>
          <w:sz w:val="24"/>
          <w:szCs w:val="24"/>
          <w:highlight w:val="none"/>
        </w:rPr>
        <w:t xml:space="preserve">定。应合理确定各类食用农产品的抽检比例和</w:t>
      </w:r>
      <w:r>
        <w:rPr>
          <w:rFonts w:hint="eastAsia" w:ascii="宋体" w:hAnsi="宋体" w:eastAsia="宋体" w:cs="宋体"/>
          <w:color w:val="auto"/>
          <w:spacing w:val="8"/>
          <w:sz w:val="24"/>
          <w:szCs w:val="24"/>
          <w:highlight w:val="none"/>
        </w:rPr>
        <w:t xml:space="preserve">批次，杜绝对同一食用农产品反复抽检。在自选检验项目上，应根据当地既往抽检情况、食品安全标准要求、舆情信息、农兽药使用情况等进行确</w:t>
      </w:r>
      <w:r>
        <w:rPr>
          <w:rFonts w:hint="eastAsia" w:ascii="宋体" w:hAnsi="宋体" w:eastAsia="宋体" w:cs="宋体"/>
          <w:color w:val="auto"/>
          <w:spacing w:val="-2"/>
          <w:sz w:val="24"/>
          <w:szCs w:val="24"/>
          <w:highlight w:val="none"/>
        </w:rPr>
        <w:t xml:space="preserve">定。</w:t>
      </w:r>
      <w:r/>
    </w:p>
    <w:p>
      <w:pPr>
        <w:ind w:left="794"/>
        <w:spacing w:line="222" w:lineRule="auto"/>
        <w:rPr>
          <w:rFonts w:ascii="宋体" w:hAnsi="宋体" w:eastAsia="宋体" w:cs="宋体"/>
          <w:color w:val="auto"/>
          <w:sz w:val="24"/>
          <w:szCs w:val="24"/>
          <w:highlight w:val="none"/>
        </w:rPr>
        <w:outlineLvl w:val="2"/>
      </w:pPr>
      <w:r>
        <w:rPr>
          <w:rFonts w:hint="eastAsia" w:ascii="宋体" w:hAnsi="宋体" w:eastAsia="宋体" w:cs="宋体"/>
          <w:b/>
          <w:bCs/>
          <w:color w:val="auto"/>
          <w:spacing w:val="-1"/>
          <w:sz w:val="24"/>
          <w:szCs w:val="24"/>
          <w:highlight w:val="none"/>
        </w:rPr>
        <w:t xml:space="preserve">四、推进均衡抽检</w:t>
      </w:r>
      <w:r/>
    </w:p>
    <w:p>
      <w:pPr>
        <w:ind w:firstLine="480"/>
        <w:keepLines w:val="0"/>
        <w:keepNext w:val="0"/>
        <w:pageBreakBefore w:val="0"/>
        <w:spacing w:line="400" w:lineRule="exact"/>
        <w:widowControl/>
        <w:rPr>
          <w:rFonts w:hint="eastAsia" w:ascii="宋体" w:hAnsi="宋体" w:cs="宋体"/>
          <w:color w:val="auto"/>
          <w:sz w:val="30"/>
          <w:szCs w:val="30"/>
          <w:highlight w:val="none"/>
        </w:rPr>
        <w:outlineLvl w:val="9"/>
      </w:pPr>
      <w:r>
        <w:rPr>
          <w:rFonts w:hint="eastAsia" w:ascii="宋体" w:hAnsi="宋体" w:eastAsia="宋体" w:cs="宋体"/>
          <w:color w:val="auto"/>
          <w:spacing w:val="20"/>
          <w:sz w:val="24"/>
          <w:szCs w:val="24"/>
          <w:highlight w:val="none"/>
        </w:rPr>
        <w:t xml:space="preserve">各级市场监管部门应根据本行政区域食用农产品生产销售</w:t>
      </w:r>
      <w:r>
        <w:rPr>
          <w:rFonts w:hint="eastAsia" w:ascii="宋体" w:hAnsi="宋体" w:eastAsia="宋体" w:cs="宋体"/>
          <w:color w:val="auto"/>
          <w:spacing w:val="8"/>
          <w:sz w:val="24"/>
          <w:szCs w:val="24"/>
          <w:highlight w:val="none"/>
        </w:rPr>
        <w:t xml:space="preserve">的季节特点安排监督抽检任务，应重点抽取当季食用农产品，对</w:t>
      </w:r>
      <w:r>
        <w:rPr>
          <w:rFonts w:hint="eastAsia" w:ascii="宋体" w:hAnsi="宋体" w:eastAsia="宋体" w:cs="宋体"/>
          <w:color w:val="auto"/>
          <w:spacing w:val="20"/>
          <w:sz w:val="24"/>
          <w:szCs w:val="24"/>
          <w:highlight w:val="none"/>
        </w:rPr>
        <w:t xml:space="preserve">不合格较多的食用农产品适当增加抽检频次。对食用农产品集</w:t>
      </w:r>
      <w:r>
        <w:rPr>
          <w:rFonts w:hint="eastAsia" w:ascii="宋体" w:hAnsi="宋体" w:eastAsia="宋体" w:cs="宋体"/>
          <w:color w:val="auto"/>
          <w:spacing w:val="12"/>
          <w:sz w:val="24"/>
          <w:szCs w:val="24"/>
          <w:highlight w:val="none"/>
        </w:rPr>
        <w:t xml:space="preserve"> </w:t>
      </w:r>
      <w:r>
        <w:rPr>
          <w:rFonts w:hint="eastAsia" w:ascii="宋体" w:hAnsi="宋体" w:eastAsia="宋体" w:cs="宋体"/>
          <w:color w:val="auto"/>
          <w:spacing w:val="8"/>
          <w:sz w:val="24"/>
          <w:szCs w:val="24"/>
          <w:highlight w:val="none"/>
        </w:rPr>
        <w:t xml:space="preserve">中交易市场的经营者尽可能抽检全覆盖。</w:t>
      </w:r>
      <w:bookmarkEnd w:id="18"/>
      <w:r/>
      <w:r/>
    </w:p>
    <w:sectPr>
      <w:footerReference w:type="default" r:id="rId12"/>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黑体_GBK">
    <w:panose1 w:val="020B0503020202020204"/>
  </w:font>
  <w:font w:name="楷体">
    <w:panose1 w:val="02010609060101010101"/>
  </w:font>
  <w:font w:name="Wingdings">
    <w:panose1 w:val="05000000000000000000"/>
  </w:font>
  <w:font w:name="MingLiU-ExtB">
    <w:panose1 w:val="02020500000000000000"/>
  </w:font>
  <w:font w:name="Calibri Light">
    <w:panose1 w:val="020F0302020204030204"/>
  </w:font>
  <w:font w:name="Symbol">
    <w:panose1 w:val="05050102010706020507"/>
  </w:font>
  <w:font w:name="新宋体">
    <w:panose1 w:val="02010609030101010101"/>
  </w:font>
  <w:font w:name="Cambria">
    <w:panose1 w:val="02040503050406030204"/>
  </w:font>
  <w:font w:name="Calibri">
    <w:panose1 w:val="020F0502020204030204"/>
  </w:font>
  <w:font w:name="黑体">
    <w:panose1 w:val="02010609060101010101"/>
  </w:font>
  <w:font w:name="仿宋_GB2312">
    <w:panose1 w:val="02010609060101010101"/>
  </w:font>
  <w:font w:name="Courier New">
    <w:panose1 w:val="02070309020205020404"/>
  </w:font>
  <w:font w:name="等线">
    <w:panose1 w:val="02010600030101010101"/>
  </w:font>
  <w:font w:name="仿宋">
    <w:panose1 w:val="02010609060101010101"/>
  </w:font>
  <w:font w:name="等线 Light">
    <w:panose1 w:val="02010600030101010101"/>
  </w:font>
  <w:font w:name="楷体_GB2312">
    <w:panose1 w:val="02010609060101010101"/>
  </w:font>
  <w:font w:name="Microsoft YaHei UI">
    <w:panose1 w:val="020B0503020204020204"/>
  </w:font>
  <w:font w:name="Arial">
    <w:panose1 w:val="020B0604020202020204"/>
  </w:font>
  <w:font w:name="宋体">
    <w:panose1 w:val="02010600030101010101"/>
  </w:font>
  <w:font w:name="方正小标宋_GBK">
    <w:panose1 w:val="020B0503020202020204"/>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7"/>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7"/>
                          </w:pPr>
                          <w:r>
                            <w:fldChar w:fldCharType="begin"/>
                          </w:r>
                          <w:r>
                            <w:instrText xml:space="preserve"> PAGE  \* MERGEFORMAT </w:instrText>
                          </w:r>
                          <w:r>
                            <w:fldChar w:fldCharType="separate"/>
                          </w:r>
                          <w:r>
                            <w:t xml:space="preserve">39</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7"/>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7"/>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default="1">
    <w:name w:val="Normal"/>
    <w:next w:val="758"/>
    <w:link w:val="9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5">
    <w:name w:val="Heading 1"/>
    <w:basedOn w:val="754"/>
    <w:next w:val="754"/>
    <w:uiPriority w:val="9"/>
    <w:qFormat/>
    <w:pPr>
      <w:keepLines/>
      <w:keepNext/>
      <w:spacing w:before="480" w:after="200"/>
      <w:outlineLvl w:val="0"/>
    </w:pPr>
    <w:rPr>
      <w:rFonts w:ascii="Arial" w:hAnsi="Arial" w:eastAsia="Arial" w:cs="Arial"/>
      <w:sz w:val="40"/>
      <w:szCs w:val="40"/>
    </w:rPr>
  </w:style>
  <w:style w:type="paragraph" w:styleId="756">
    <w:name w:val="Heading 2"/>
    <w:basedOn w:val="754"/>
    <w:next w:val="754"/>
    <w:uiPriority w:val="9"/>
    <w:unhideWhenUsed/>
    <w:qFormat/>
    <w:pPr>
      <w:keepLines/>
      <w:keepNext/>
      <w:spacing w:before="360" w:after="200"/>
      <w:outlineLvl w:val="1"/>
    </w:pPr>
    <w:rPr>
      <w:rFonts w:ascii="Arial" w:hAnsi="Arial" w:eastAsia="Arial" w:cs="Arial"/>
      <w:sz w:val="34"/>
    </w:rPr>
  </w:style>
  <w:style w:type="paragraph" w:styleId="757">
    <w:name w:val="Heading 3"/>
    <w:basedOn w:val="754"/>
    <w:next w:val="754"/>
    <w:uiPriority w:val="9"/>
    <w:unhideWhenUsed/>
    <w:qFormat/>
    <w:pPr>
      <w:keepLines/>
      <w:keepNext/>
      <w:spacing w:before="320" w:after="200"/>
      <w:outlineLvl w:val="2"/>
    </w:pPr>
    <w:rPr>
      <w:rFonts w:ascii="Arial" w:hAnsi="Arial" w:eastAsia="Arial" w:cs="Arial"/>
      <w:sz w:val="30"/>
      <w:szCs w:val="30"/>
    </w:rPr>
  </w:style>
  <w:style w:type="paragraph" w:styleId="758">
    <w:name w:val="Heading 4"/>
    <w:basedOn w:val="754"/>
    <w:next w:val="754"/>
    <w:uiPriority w:val="9"/>
    <w:unhideWhenUsed/>
    <w:qFormat/>
    <w:pPr>
      <w:keepLines/>
      <w:keepNext/>
      <w:spacing w:before="320" w:after="200"/>
      <w:outlineLvl w:val="3"/>
    </w:pPr>
    <w:rPr>
      <w:rFonts w:ascii="Arial" w:hAnsi="Arial" w:eastAsia="Arial" w:cs="Arial"/>
      <w:b/>
      <w:bCs/>
      <w:sz w:val="26"/>
      <w:szCs w:val="26"/>
    </w:rPr>
  </w:style>
  <w:style w:type="paragraph" w:styleId="759">
    <w:name w:val="Heading 5"/>
    <w:basedOn w:val="754"/>
    <w:next w:val="754"/>
    <w:uiPriority w:val="9"/>
    <w:unhideWhenUsed/>
    <w:qFormat/>
    <w:pPr>
      <w:keepLines/>
      <w:keepNext/>
      <w:spacing w:before="320" w:after="200"/>
      <w:outlineLvl w:val="4"/>
    </w:pPr>
    <w:rPr>
      <w:rFonts w:ascii="Arial" w:hAnsi="Arial" w:eastAsia="Arial" w:cs="Arial"/>
      <w:b/>
      <w:bCs/>
      <w:sz w:val="24"/>
      <w:szCs w:val="24"/>
    </w:rPr>
  </w:style>
  <w:style w:type="paragraph" w:styleId="760">
    <w:name w:val="Heading 6"/>
    <w:basedOn w:val="754"/>
    <w:next w:val="754"/>
    <w:uiPriority w:val="9"/>
    <w:unhideWhenUsed/>
    <w:qFormat/>
    <w:pPr>
      <w:keepLines/>
      <w:keepNext/>
      <w:spacing w:before="320" w:after="200"/>
      <w:outlineLvl w:val="5"/>
    </w:pPr>
    <w:rPr>
      <w:rFonts w:ascii="Arial" w:hAnsi="Arial" w:eastAsia="Arial" w:cs="Arial"/>
      <w:b/>
      <w:bCs/>
      <w:sz w:val="22"/>
      <w:szCs w:val="22"/>
    </w:rPr>
  </w:style>
  <w:style w:type="paragraph" w:styleId="761">
    <w:name w:val="Heading 7"/>
    <w:basedOn w:val="754"/>
    <w:next w:val="754"/>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Heading 8"/>
    <w:basedOn w:val="754"/>
    <w:next w:val="754"/>
    <w:uiPriority w:val="9"/>
    <w:unhideWhenUsed/>
    <w:qFormat/>
    <w:pPr>
      <w:keepLines/>
      <w:keepNext/>
      <w:spacing w:before="320" w:after="200"/>
      <w:outlineLvl w:val="7"/>
    </w:pPr>
    <w:rPr>
      <w:rFonts w:ascii="Arial" w:hAnsi="Arial" w:eastAsia="Arial" w:cs="Arial"/>
      <w:i/>
      <w:iCs/>
      <w:sz w:val="22"/>
      <w:szCs w:val="22"/>
    </w:rPr>
  </w:style>
  <w:style w:type="paragraph" w:styleId="763">
    <w:name w:val="Heading 9"/>
    <w:basedOn w:val="754"/>
    <w:next w:val="754"/>
    <w:uiPriority w:val="9"/>
    <w:unhideWhenUsed/>
    <w:qFormat/>
    <w:pPr>
      <w:keepLines/>
      <w:keepNext/>
      <w:spacing w:before="320" w:after="200"/>
      <w:outlineLvl w:val="8"/>
    </w:pPr>
    <w:rPr>
      <w:rFonts w:ascii="Arial" w:hAnsi="Arial" w:eastAsia="Arial" w:cs="Arial"/>
      <w:i/>
      <w:iCs/>
      <w:sz w:val="21"/>
      <w:szCs w:val="21"/>
    </w:rPr>
  </w:style>
  <w:style w:type="character" w:styleId="764" w:default="1">
    <w:name w:val="Default Paragraph Font"/>
    <w:uiPriority w:val="1"/>
    <w:semiHidden/>
    <w:unhideWhenUsed/>
    <w:qFormat/>
  </w:style>
  <w:style w:type="table" w:styleId="765" w:default="1">
    <w:name w:val="Normal Table"/>
    <w:uiPriority w:val="99"/>
    <w:semiHidden/>
    <w:unhideWhenUsed/>
    <w:qFormat/>
    <w:tblPr>
      <w:tblCellMar>
        <w:left w:w="108" w:type="dxa"/>
        <w:top w:w="0" w:type="dxa"/>
        <w:right w:w="108" w:type="dxa"/>
        <w:bottom w:w="0" w:type="dxa"/>
      </w:tblCellMar>
    </w:tblPr>
  </w:style>
  <w:style w:type="paragraph" w:styleId="766">
    <w:name w:val="toc 7"/>
    <w:basedOn w:val="754"/>
    <w:next w:val="754"/>
    <w:uiPriority w:val="39"/>
    <w:unhideWhenUsed/>
    <w:qFormat/>
    <w:pPr>
      <w:ind w:left="1701" w:right="0" w:firstLine="0"/>
      <w:spacing w:after="57"/>
    </w:pPr>
  </w:style>
  <w:style w:type="paragraph" w:styleId="767">
    <w:name w:val="Caption"/>
    <w:basedOn w:val="754"/>
    <w:next w:val="754"/>
    <w:uiPriority w:val="35"/>
    <w:semiHidden/>
    <w:unhideWhenUsed/>
    <w:qFormat/>
    <w:pPr>
      <w:spacing w:line="276" w:lineRule="auto"/>
    </w:pPr>
    <w:rPr>
      <w:b/>
      <w:bCs/>
      <w:color w:val="4f81bd" w:themeColor="accent1"/>
      <w:sz w:val="18"/>
      <w:szCs w:val="18"/>
    </w:rPr>
  </w:style>
  <w:style w:type="paragraph" w:styleId="768">
    <w:name w:val="Body Text"/>
    <w:basedOn w:val="754"/>
    <w:uiPriority w:val="0"/>
    <w:qFormat/>
    <w:rPr>
      <w:rFonts w:ascii="楷体_GB2312" w:hAnsi="Arial" w:eastAsia="楷体_GB2312"/>
      <w:sz w:val="28"/>
      <w:szCs w:val="28"/>
    </w:rPr>
  </w:style>
  <w:style w:type="paragraph" w:styleId="769">
    <w:name w:val="Body Text Indent"/>
    <w:basedOn w:val="754"/>
    <w:uiPriority w:val="0"/>
    <w:qFormat/>
    <w:pPr>
      <w:ind w:left="420"/>
      <w:spacing w:after="120"/>
    </w:pPr>
  </w:style>
  <w:style w:type="paragraph" w:styleId="770">
    <w:name w:val="Block Text"/>
    <w:basedOn w:val="754"/>
    <w:uiPriority w:val="6"/>
    <w:qFormat/>
    <w:pPr>
      <w:ind w:left="256" w:right="6" w:firstLine="624"/>
    </w:pPr>
    <w:rPr>
      <w:rFonts w:eastAsia="仿宋"/>
      <w:sz w:val="28"/>
      <w:szCs w:val="20"/>
    </w:rPr>
  </w:style>
  <w:style w:type="paragraph" w:styleId="771">
    <w:name w:val="index 4"/>
    <w:next w:val="754"/>
    <w:uiPriority w:val="99"/>
    <w:unhideWhenUsed/>
    <w:qFormat/>
    <w:pPr>
      <w:ind w:left="600"/>
      <w:jc w:val="both"/>
      <w:widowControl w:val="off"/>
    </w:pPr>
    <w:rPr>
      <w:rFonts w:hint="default" w:ascii="宋体" w:hAnsi="Times New Roman" w:eastAsia="宋体" w:cs="Times New Roman"/>
      <w:b/>
      <w:position w:val="-10"/>
      <w:sz w:val="24"/>
      <w:szCs w:val="20"/>
      <w:lang w:val="en-US" w:eastAsia="zh-CN" w:bidi="ar-SA"/>
    </w:rPr>
  </w:style>
  <w:style w:type="paragraph" w:styleId="772">
    <w:name w:val="toc 5"/>
    <w:basedOn w:val="754"/>
    <w:next w:val="754"/>
    <w:uiPriority w:val="39"/>
    <w:unhideWhenUsed/>
    <w:qFormat/>
    <w:pPr>
      <w:ind w:left="1134" w:right="0" w:firstLine="0"/>
      <w:spacing w:after="57"/>
    </w:pPr>
  </w:style>
  <w:style w:type="paragraph" w:styleId="773">
    <w:name w:val="toc 3"/>
    <w:basedOn w:val="754"/>
    <w:next w:val="754"/>
    <w:uiPriority w:val="39"/>
    <w:unhideWhenUsed/>
    <w:qFormat/>
    <w:pPr>
      <w:ind w:left="567" w:right="0" w:firstLine="0"/>
      <w:spacing w:after="57"/>
    </w:pPr>
  </w:style>
  <w:style w:type="paragraph" w:styleId="774">
    <w:name w:val="Plain Text"/>
    <w:basedOn w:val="754"/>
    <w:uiPriority w:val="0"/>
    <w:qFormat/>
    <w:rPr>
      <w:rFonts w:ascii="宋体" w:hAnsi="Courier New" w:eastAsia="楷体_GB2312"/>
      <w:sz w:val="26"/>
    </w:rPr>
  </w:style>
  <w:style w:type="paragraph" w:styleId="775">
    <w:name w:val="toc 8"/>
    <w:basedOn w:val="754"/>
    <w:next w:val="754"/>
    <w:uiPriority w:val="39"/>
    <w:unhideWhenUsed/>
    <w:qFormat/>
    <w:pPr>
      <w:ind w:left="1984" w:right="0" w:firstLine="0"/>
      <w:spacing w:after="57"/>
    </w:pPr>
  </w:style>
  <w:style w:type="paragraph" w:styleId="776">
    <w:name w:val="endnote text"/>
    <w:basedOn w:val="754"/>
    <w:uiPriority w:val="99"/>
    <w:semiHidden/>
    <w:unhideWhenUsed/>
    <w:qFormat/>
    <w:pPr>
      <w:spacing w:after="0" w:line="240" w:lineRule="auto"/>
    </w:pPr>
    <w:rPr>
      <w:sz w:val="20"/>
    </w:rPr>
  </w:style>
  <w:style w:type="paragraph" w:styleId="777">
    <w:name w:val="Footer"/>
    <w:basedOn w:val="754"/>
    <w:uiPriority w:val="99"/>
    <w:unhideWhenUsed/>
    <w:qFormat/>
    <w:pPr>
      <w:spacing w:after="0" w:line="240" w:lineRule="auto"/>
      <w:tabs>
        <w:tab w:val="center" w:pos="7143" w:leader="none"/>
        <w:tab w:val="right" w:pos="14287" w:leader="none"/>
      </w:tabs>
    </w:pPr>
  </w:style>
  <w:style w:type="paragraph" w:styleId="778">
    <w:name w:val="Header"/>
    <w:basedOn w:val="754"/>
    <w:uiPriority w:val="99"/>
    <w:unhideWhenUsed/>
    <w:qFormat/>
    <w:pPr>
      <w:spacing w:after="0" w:line="240" w:lineRule="auto"/>
      <w:tabs>
        <w:tab w:val="center" w:pos="7143" w:leader="none"/>
        <w:tab w:val="right" w:pos="14287" w:leader="none"/>
      </w:tabs>
    </w:pPr>
  </w:style>
  <w:style w:type="paragraph" w:styleId="779">
    <w:name w:val="toc 1"/>
    <w:basedOn w:val="754"/>
    <w:next w:val="754"/>
    <w:uiPriority w:val="39"/>
    <w:unhideWhenUsed/>
    <w:qFormat/>
    <w:pPr>
      <w:ind w:left="0" w:right="0" w:firstLine="0"/>
      <w:spacing w:after="57"/>
    </w:pPr>
  </w:style>
  <w:style w:type="paragraph" w:styleId="780">
    <w:name w:val="toc 4"/>
    <w:basedOn w:val="754"/>
    <w:next w:val="754"/>
    <w:uiPriority w:val="39"/>
    <w:unhideWhenUsed/>
    <w:qFormat/>
    <w:pPr>
      <w:ind w:left="850" w:right="0" w:firstLine="0"/>
      <w:spacing w:after="57"/>
    </w:pPr>
  </w:style>
  <w:style w:type="paragraph" w:styleId="781">
    <w:name w:val="Subtitle"/>
    <w:basedOn w:val="754"/>
    <w:next w:val="754"/>
    <w:uiPriority w:val="11"/>
    <w:qFormat/>
    <w:pPr>
      <w:spacing w:before="200" w:after="200"/>
    </w:pPr>
    <w:rPr>
      <w:sz w:val="24"/>
      <w:szCs w:val="24"/>
    </w:rPr>
  </w:style>
  <w:style w:type="paragraph" w:styleId="782">
    <w:name w:val="footnote text"/>
    <w:basedOn w:val="754"/>
    <w:uiPriority w:val="99"/>
    <w:semiHidden/>
    <w:unhideWhenUsed/>
    <w:qFormat/>
    <w:pPr>
      <w:spacing w:after="40" w:line="240" w:lineRule="auto"/>
    </w:pPr>
    <w:rPr>
      <w:sz w:val="18"/>
    </w:rPr>
  </w:style>
  <w:style w:type="paragraph" w:styleId="783">
    <w:name w:val="toc 6"/>
    <w:basedOn w:val="754"/>
    <w:next w:val="754"/>
    <w:uiPriority w:val="39"/>
    <w:unhideWhenUsed/>
    <w:qFormat/>
    <w:pPr>
      <w:ind w:left="1417" w:right="0" w:firstLine="0"/>
      <w:spacing w:after="57"/>
    </w:pPr>
  </w:style>
  <w:style w:type="paragraph" w:styleId="784">
    <w:name w:val="table of figures"/>
    <w:basedOn w:val="754"/>
    <w:next w:val="754"/>
    <w:uiPriority w:val="99"/>
    <w:unhideWhenUsed/>
    <w:qFormat/>
    <w:pPr>
      <w:spacing w:after="0" w:afterAutospacing="0"/>
    </w:pPr>
  </w:style>
  <w:style w:type="paragraph" w:styleId="785">
    <w:name w:val="toc 2"/>
    <w:basedOn w:val="754"/>
    <w:next w:val="754"/>
    <w:uiPriority w:val="39"/>
    <w:unhideWhenUsed/>
    <w:qFormat/>
    <w:pPr>
      <w:ind w:left="283" w:right="0" w:firstLine="0"/>
      <w:spacing w:after="57"/>
    </w:pPr>
  </w:style>
  <w:style w:type="paragraph" w:styleId="786">
    <w:name w:val="toc 9"/>
    <w:basedOn w:val="754"/>
    <w:next w:val="754"/>
    <w:uiPriority w:val="39"/>
    <w:unhideWhenUsed/>
    <w:qFormat/>
    <w:pPr>
      <w:ind w:left="2268" w:right="0" w:firstLine="0"/>
      <w:spacing w:after="57"/>
    </w:pPr>
  </w:style>
  <w:style w:type="paragraph" w:styleId="787">
    <w:name w:val="Normal (Web)"/>
    <w:basedOn w:val="754"/>
    <w:uiPriority w:val="99"/>
    <w:semiHidden/>
    <w:unhideWhenUsed/>
    <w:qFormat/>
    <w:pPr>
      <w:ind w:left="0" w:right="0"/>
      <w:jc w:val="left"/>
      <w:spacing w:before="0" w:beforeAutospacing="1" w:after="0" w:afterAutospacing="1"/>
    </w:pPr>
    <w:rPr>
      <w:sz w:val="24"/>
      <w:lang w:val="en-US" w:eastAsia="zh-CN" w:bidi="ar"/>
    </w:rPr>
  </w:style>
  <w:style w:type="paragraph" w:styleId="788">
    <w:name w:val="Title"/>
    <w:basedOn w:val="754"/>
    <w:next w:val="754"/>
    <w:uiPriority w:val="10"/>
    <w:qFormat/>
    <w:pPr>
      <w:contextualSpacing/>
      <w:spacing w:before="300" w:after="200"/>
    </w:pPr>
    <w:rPr>
      <w:sz w:val="48"/>
      <w:szCs w:val="48"/>
    </w:rPr>
  </w:style>
  <w:style w:type="paragraph" w:styleId="789">
    <w:name w:val="Body Text First Indent"/>
    <w:basedOn w:val="768"/>
    <w:next w:val="754"/>
    <w:uiPriority w:val="0"/>
    <w:qFormat/>
    <w:pPr>
      <w:ind w:firstLine="200"/>
      <w:spacing w:line="360" w:lineRule="auto"/>
    </w:pPr>
    <w:rPr>
      <w:rFonts w:ascii="仿宋_GB2312" w:eastAsia="仿宋_GB2312"/>
      <w:sz w:val="30"/>
      <w:szCs w:val="30"/>
    </w:rPr>
  </w:style>
  <w:style w:type="paragraph" w:styleId="790">
    <w:name w:val="Body Text First Indent 2"/>
    <w:basedOn w:val="769"/>
    <w:uiPriority w:val="0"/>
    <w:qFormat/>
    <w:pPr>
      <w:ind w:firstLine="420"/>
    </w:pPr>
  </w:style>
  <w:style w:type="table" w:styleId="79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2">
    <w:name w:val="endnote reference"/>
    <w:uiPriority w:val="99"/>
    <w:semiHidden/>
    <w:unhideWhenUsed/>
    <w:qFormat/>
    <w:rPr>
      <w:vertAlign w:val="superscript"/>
    </w:rPr>
  </w:style>
  <w:style w:type="character" w:styleId="793">
    <w:name w:val="Hyperlink"/>
    <w:basedOn w:val="764"/>
    <w:uiPriority w:val="99"/>
    <w:unhideWhenUsed/>
    <w:qFormat/>
    <w:rPr>
      <w:color w:val="0000ff" w:themeColor="hyperlink"/>
      <w:u w:val="single"/>
    </w:rPr>
  </w:style>
  <w:style w:type="character" w:styleId="794">
    <w:name w:val="footnote reference"/>
    <w:uiPriority w:val="99"/>
    <w:unhideWhenUsed/>
    <w:qFormat/>
    <w:rPr>
      <w:vertAlign w:val="superscript"/>
    </w:rPr>
  </w:style>
  <w:style w:type="paragraph" w:styleId="795" w:customStyle="1">
    <w:name w:val="正文1"/>
    <w:basedOn w:val="796"/>
    <w:next w:val="800"/>
    <w:uiPriority w:val="0"/>
    <w:qFormat/>
    <w:pPr>
      <w:jc w:val="both"/>
      <w:widowControl w:val="off"/>
    </w:pPr>
    <w:rPr>
      <w:rFonts w:ascii="Times New Roman" w:hAnsi="Times New Roman" w:eastAsia="宋体" w:cs="Times New Roman"/>
      <w:sz w:val="21"/>
      <w:szCs w:val="24"/>
      <w:lang w:val="en-US" w:eastAsia="zh-CN" w:bidi="ar-SA"/>
    </w:rPr>
  </w:style>
  <w:style w:type="paragraph" w:styleId="796" w:customStyle="1">
    <w:name w:val="正文11"/>
    <w:next w:val="7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7" w:customStyle="1">
    <w:name w:val="正文首行缩进 21"/>
    <w:basedOn w:val="798"/>
    <w:link w:val="923"/>
    <w:uiPriority w:val="0"/>
    <w:qFormat/>
    <w:pPr>
      <w:ind w:firstLine="420"/>
    </w:pPr>
    <w:rPr>
      <w:rFonts w:ascii="Times New Roman" w:hAnsi="Times New Roman"/>
    </w:rPr>
  </w:style>
  <w:style w:type="paragraph" w:styleId="798" w:customStyle="1">
    <w:name w:val="正文文本缩进1"/>
    <w:basedOn w:val="796"/>
    <w:next w:val="799"/>
    <w:link w:val="873"/>
    <w:uiPriority w:val="99"/>
    <w:qFormat/>
    <w:pPr>
      <w:ind w:left="420"/>
      <w:spacing w:after="120"/>
    </w:pPr>
    <w:rPr>
      <w:rFonts w:ascii="Calibri" w:hAnsi="Calibri"/>
    </w:rPr>
  </w:style>
  <w:style w:type="paragraph" w:styleId="799" w:customStyle="1">
    <w:name w:val="寄信人地址1"/>
    <w:basedOn w:val="796"/>
    <w:uiPriority w:val="0"/>
    <w:qFormat/>
    <w:rPr>
      <w:rFonts w:ascii="Arial" w:hAnsi="Arial"/>
    </w:rPr>
  </w:style>
  <w:style w:type="paragraph" w:styleId="800" w:customStyle="1">
    <w:name w:val="正文文本1"/>
    <w:basedOn w:val="795"/>
    <w:next w:val="801"/>
    <w:link w:val="911"/>
    <w:uiPriority w:val="0"/>
    <w:qFormat/>
    <w:pPr>
      <w:spacing w:after="120"/>
    </w:pPr>
    <w:rPr>
      <w:rFonts w:ascii="Calibri" w:hAnsi="Calibri"/>
    </w:rPr>
  </w:style>
  <w:style w:type="paragraph" w:styleId="801" w:customStyle="1">
    <w:name w:val="正文111"/>
    <w:next w:val="8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2" w:customStyle="1">
    <w:name w:val="目录 111"/>
    <w:basedOn w:val="754"/>
    <w:next w:val="801"/>
    <w:uiPriority w:val="39"/>
    <w:unhideWhenUsed/>
    <w:qFormat/>
    <w:pPr>
      <w:jc w:val="left"/>
      <w:spacing w:after="100" w:line="259" w:lineRule="auto"/>
      <w:widowControl/>
    </w:pPr>
    <w:rPr>
      <w:rFonts w:ascii="Calibri" w:hAnsi="Calibri"/>
      <w:sz w:val="22"/>
      <w:szCs w:val="22"/>
    </w:rPr>
  </w:style>
  <w:style w:type="paragraph" w:styleId="803" w:customStyle="1">
    <w:name w:val="索引 41"/>
    <w:basedOn w:val="754"/>
    <w:next w:val="795"/>
    <w:uiPriority w:val="99"/>
    <w:unhideWhenUsed/>
    <w:qFormat/>
    <w:pPr>
      <w:ind w:left="600"/>
    </w:pPr>
    <w:rPr>
      <w:rFonts w:ascii="Calibri" w:hAnsi="Calibri"/>
      <w:szCs w:val="22"/>
    </w:rPr>
  </w:style>
  <w:style w:type="paragraph" w:styleId="804" w:customStyle="1">
    <w:name w:val="一级条标题"/>
    <w:basedOn w:val="805"/>
    <w:next w:val="80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5" w:customStyle="1">
    <w:name w:val="章标题"/>
    <w:next w:val="75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06" w:customStyle="1">
    <w:name w:val="段"/>
    <w:basedOn w:val="796"/>
    <w:next w:val="754"/>
    <w:uiPriority w:val="0"/>
    <w:qFormat/>
    <w:pPr>
      <w:ind w:firstLine="200"/>
      <w:widowControl/>
    </w:pPr>
    <w:rPr>
      <w:rFonts w:hint="eastAsia" w:ascii="宋体"/>
      <w:szCs w:val="20"/>
    </w:rPr>
  </w:style>
  <w:style w:type="paragraph" w:styleId="807" w:customStyle="1">
    <w:name w:val="正文12"/>
    <w:next w:val="808"/>
    <w:uiPriority w:val="0"/>
    <w:qFormat/>
    <w:pPr>
      <w:jc w:val="both"/>
      <w:widowControl w:val="off"/>
    </w:pPr>
    <w:rPr>
      <w:rFonts w:hint="default" w:ascii="Arial" w:hAnsi="Arial" w:eastAsia="Arial" w:cs="Arial"/>
      <w:b/>
      <w:bCs/>
      <w:sz w:val="22"/>
      <w:szCs w:val="22"/>
      <w:lang w:val="en-US" w:eastAsia="zh-CN" w:bidi="ar-SA"/>
    </w:rPr>
  </w:style>
  <w:style w:type="paragraph" w:styleId="808" w:customStyle="1">
    <w:name w:val="文本块11"/>
    <w:basedOn w:val="807"/>
    <w:uiPriority w:val="6"/>
    <w:unhideWhenUsed/>
    <w:qFormat/>
    <w:pPr>
      <w:ind w:left="1440" w:right="1440"/>
      <w:spacing w:after="120"/>
    </w:pPr>
  </w:style>
  <w:style w:type="paragraph" w:styleId="809" w:customStyle="1">
    <w:name w:val="正文文本缩进11"/>
    <w:basedOn w:val="801"/>
    <w:next w:val="810"/>
    <w:uiPriority w:val="0"/>
    <w:qFormat/>
    <w:pPr>
      <w:ind w:firstLine="425"/>
      <w:spacing w:line="360" w:lineRule="auto"/>
    </w:pPr>
  </w:style>
  <w:style w:type="paragraph" w:styleId="810" w:customStyle="1">
    <w:name w:val="寄信人地址11"/>
    <w:basedOn w:val="796"/>
    <w:uiPriority w:val="0"/>
    <w:qFormat/>
    <w:rPr>
      <w:rFonts w:ascii="Arial" w:hAnsi="Arial"/>
    </w:rPr>
  </w:style>
  <w:style w:type="paragraph" w:styleId="811" w:customStyle="1">
    <w:name w:val="正文首行缩进11"/>
    <w:basedOn w:val="812"/>
    <w:next w:val="815"/>
    <w:uiPriority w:val="0"/>
    <w:qFormat/>
    <w:pPr>
      <w:ind w:firstLine="420"/>
    </w:pPr>
    <w:rPr>
      <w:rFonts w:ascii="仿宋_GB2312" w:hAnsi="Times New Roman" w:eastAsia="仿宋_GB2312"/>
      <w:sz w:val="30"/>
      <w:szCs w:val="30"/>
    </w:rPr>
  </w:style>
  <w:style w:type="paragraph" w:styleId="812" w:customStyle="1">
    <w:name w:val="正文文本11"/>
    <w:basedOn w:val="813"/>
    <w:next w:val="754"/>
    <w:uiPriority w:val="0"/>
    <w:qFormat/>
    <w:pPr>
      <w:spacing w:after="120"/>
    </w:pPr>
  </w:style>
  <w:style w:type="paragraph" w:styleId="813" w:customStyle="1">
    <w:name w:val="正文112"/>
    <w:next w:val="8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4" w:customStyle="1">
    <w:name w:val="标题 41"/>
    <w:basedOn w:val="796"/>
    <w:next w:val="796"/>
    <w:link w:val="861"/>
    <w:uiPriority w:val="9"/>
    <w:qFormat/>
    <w:pPr>
      <w:keepLines/>
      <w:keepNext/>
      <w:spacing w:before="280" w:after="290" w:line="376" w:lineRule="auto"/>
      <w:outlineLvl w:val="3"/>
    </w:pPr>
    <w:rPr>
      <w:rFonts w:ascii="Cambria" w:hAnsi="Cambria"/>
      <w:b/>
      <w:bCs/>
      <w:sz w:val="28"/>
      <w:szCs w:val="28"/>
    </w:rPr>
  </w:style>
  <w:style w:type="paragraph" w:styleId="815" w:customStyle="1">
    <w:name w:val="正文首行缩进 211"/>
    <w:basedOn w:val="809"/>
    <w:uiPriority w:val="0"/>
    <w:qFormat/>
    <w:pPr>
      <w:ind w:firstLine="420"/>
    </w:pPr>
  </w:style>
  <w:style w:type="paragraph" w:styleId="816" w:customStyle="1">
    <w:name w:val="标题 112"/>
    <w:basedOn w:val="754"/>
    <w:next w:val="754"/>
    <w:link w:val="827"/>
    <w:uiPriority w:val="9"/>
    <w:qFormat/>
    <w:pPr>
      <w:keepLines/>
      <w:keepNext/>
      <w:spacing w:before="480" w:after="200"/>
      <w:outlineLvl w:val="0"/>
    </w:pPr>
    <w:rPr>
      <w:rFonts w:ascii="Arial" w:hAnsi="Arial" w:eastAsia="Arial" w:cs="Arial"/>
      <w:sz w:val="40"/>
      <w:szCs w:val="40"/>
    </w:rPr>
  </w:style>
  <w:style w:type="paragraph" w:styleId="817" w:customStyle="1">
    <w:name w:val="标题 2111"/>
    <w:basedOn w:val="754"/>
    <w:next w:val="818"/>
    <w:link w:val="874"/>
    <w:uiPriority w:val="9"/>
    <w:unhideWhenUsed/>
    <w:qFormat/>
    <w:pPr>
      <w:keepLines/>
      <w:keepNext/>
      <w:spacing w:before="360" w:after="200"/>
      <w:outlineLvl w:val="1"/>
    </w:pPr>
    <w:rPr>
      <w:rFonts w:ascii="Arial" w:hAnsi="Arial" w:eastAsia="Arial" w:cs="Arial"/>
      <w:sz w:val="34"/>
    </w:rPr>
  </w:style>
  <w:style w:type="paragraph" w:styleId="818" w:customStyle="1">
    <w:name w:val="标题 311"/>
    <w:basedOn w:val="754"/>
    <w:next w:val="754"/>
    <w:link w:val="889"/>
    <w:uiPriority w:val="9"/>
    <w:unhideWhenUsed/>
    <w:qFormat/>
    <w:pPr>
      <w:keepLines/>
      <w:keepNext/>
      <w:spacing w:before="320" w:after="200"/>
      <w:outlineLvl w:val="2"/>
    </w:pPr>
    <w:rPr>
      <w:rFonts w:ascii="Arial" w:hAnsi="Arial" w:eastAsia="Arial" w:cs="Arial"/>
      <w:sz w:val="30"/>
      <w:szCs w:val="30"/>
    </w:rPr>
  </w:style>
  <w:style w:type="paragraph" w:styleId="819" w:customStyle="1">
    <w:name w:val="标题 411"/>
    <w:basedOn w:val="754"/>
    <w:next w:val="754"/>
    <w:link w:val="834"/>
    <w:uiPriority w:val="9"/>
    <w:unhideWhenUsed/>
    <w:qFormat/>
    <w:pPr>
      <w:keepLines/>
      <w:keepNext/>
      <w:spacing w:before="320" w:after="200"/>
      <w:outlineLvl w:val="3"/>
    </w:pPr>
    <w:rPr>
      <w:rFonts w:ascii="Arial" w:hAnsi="Arial" w:eastAsia="Arial" w:cs="Arial"/>
      <w:b/>
      <w:bCs/>
      <w:sz w:val="26"/>
      <w:szCs w:val="26"/>
    </w:rPr>
  </w:style>
  <w:style w:type="paragraph" w:styleId="820" w:customStyle="1">
    <w:name w:val="标题 511"/>
    <w:basedOn w:val="754"/>
    <w:next w:val="754"/>
    <w:link w:val="897"/>
    <w:uiPriority w:val="9"/>
    <w:unhideWhenUsed/>
    <w:qFormat/>
    <w:pPr>
      <w:keepLines/>
      <w:keepNext/>
      <w:spacing w:before="320" w:after="200"/>
      <w:outlineLvl w:val="4"/>
    </w:pPr>
    <w:rPr>
      <w:rFonts w:ascii="Arial" w:hAnsi="Arial" w:eastAsia="Arial" w:cs="Arial"/>
      <w:b/>
      <w:bCs/>
      <w:sz w:val="24"/>
      <w:szCs w:val="24"/>
    </w:rPr>
  </w:style>
  <w:style w:type="paragraph" w:styleId="821" w:customStyle="1">
    <w:name w:val="标题 61"/>
    <w:basedOn w:val="754"/>
    <w:next w:val="754"/>
    <w:link w:val="907"/>
    <w:uiPriority w:val="9"/>
    <w:unhideWhenUsed/>
    <w:qFormat/>
    <w:pPr>
      <w:keepLines/>
      <w:keepNext/>
      <w:spacing w:before="320" w:after="200"/>
      <w:outlineLvl w:val="5"/>
    </w:pPr>
    <w:rPr>
      <w:rFonts w:ascii="Arial" w:hAnsi="Arial" w:eastAsia="Arial" w:cs="Arial"/>
      <w:b/>
      <w:bCs/>
      <w:sz w:val="22"/>
      <w:szCs w:val="22"/>
    </w:rPr>
  </w:style>
  <w:style w:type="paragraph" w:styleId="822" w:customStyle="1">
    <w:name w:val="标题 711"/>
    <w:basedOn w:val="754"/>
    <w:next w:val="754"/>
    <w:link w:val="858"/>
    <w:uiPriority w:val="9"/>
    <w:unhideWhenUsed/>
    <w:qFormat/>
    <w:pPr>
      <w:keepLines/>
      <w:keepNext/>
      <w:spacing w:before="320" w:after="200"/>
      <w:outlineLvl w:val="6"/>
    </w:pPr>
    <w:rPr>
      <w:rFonts w:ascii="Arial" w:hAnsi="Arial" w:eastAsia="Arial" w:cs="Arial"/>
      <w:b/>
      <w:bCs/>
      <w:i/>
      <w:iCs/>
      <w:sz w:val="22"/>
      <w:szCs w:val="22"/>
    </w:rPr>
  </w:style>
  <w:style w:type="paragraph" w:styleId="823" w:customStyle="1">
    <w:name w:val="标题 81"/>
    <w:basedOn w:val="754"/>
    <w:next w:val="754"/>
    <w:link w:val="901"/>
    <w:uiPriority w:val="9"/>
    <w:unhideWhenUsed/>
    <w:qFormat/>
    <w:pPr>
      <w:keepLines/>
      <w:keepNext/>
      <w:spacing w:before="320" w:after="200"/>
      <w:outlineLvl w:val="7"/>
    </w:pPr>
    <w:rPr>
      <w:rFonts w:ascii="Arial" w:hAnsi="Arial" w:eastAsia="Arial" w:cs="Arial"/>
      <w:i/>
      <w:iCs/>
      <w:sz w:val="22"/>
      <w:szCs w:val="22"/>
    </w:rPr>
  </w:style>
  <w:style w:type="paragraph" w:styleId="824" w:customStyle="1">
    <w:name w:val="标题 91"/>
    <w:basedOn w:val="754"/>
    <w:next w:val="754"/>
    <w:link w:val="841"/>
    <w:uiPriority w:val="9"/>
    <w:unhideWhenUsed/>
    <w:qFormat/>
    <w:pPr>
      <w:keepLines/>
      <w:keepNext/>
      <w:spacing w:before="320" w:after="200"/>
      <w:outlineLvl w:val="8"/>
    </w:pPr>
    <w:rPr>
      <w:rFonts w:ascii="Arial" w:hAnsi="Arial" w:eastAsia="Arial" w:cs="Arial"/>
      <w:i/>
      <w:iCs/>
      <w:sz w:val="21"/>
      <w:szCs w:val="21"/>
    </w:rPr>
  </w:style>
  <w:style w:type="character" w:styleId="825" w:customStyle="1">
    <w:name w:val="默认段落字体11"/>
    <w:link w:val="754"/>
    <w:uiPriority w:val="1"/>
    <w:unhideWhenUsed/>
    <w:qFormat/>
  </w:style>
  <w:style w:type="table" w:styleId="826" w:customStyle="1">
    <w:name w:val="普通表格11"/>
    <w:uiPriority w:val="99"/>
    <w:unhideWhenUsed/>
    <w:qFormat/>
    <w:tblPr/>
  </w:style>
  <w:style w:type="character" w:styleId="827" w:customStyle="1">
    <w:name w:val="Heading 1 Char"/>
    <w:link w:val="816"/>
    <w:uiPriority w:val="9"/>
    <w:qFormat/>
    <w:rPr>
      <w:rFonts w:ascii="Arial" w:hAnsi="Arial" w:eastAsia="Arial" w:cs="Arial"/>
      <w:sz w:val="40"/>
      <w:szCs w:val="40"/>
    </w:rPr>
  </w:style>
  <w:style w:type="character" w:styleId="828" w:customStyle="1">
    <w:name w:val="标题 2 字符"/>
    <w:link w:val="754"/>
    <w:uiPriority w:val="0"/>
    <w:semiHidden/>
    <w:qFormat/>
    <w:rPr>
      <w:rFonts w:ascii="等线 Light" w:hAnsi="等线 Light" w:eastAsia="等线 Light" w:cs="Times New Roman"/>
      <w:b/>
      <w:bCs/>
      <w:sz w:val="32"/>
      <w:szCs w:val="32"/>
    </w:rPr>
  </w:style>
  <w:style w:type="character" w:styleId="829" w:customStyle="1">
    <w:name w:val="apple-converted-space"/>
    <w:link w:val="754"/>
    <w:uiPriority w:val="0"/>
    <w:qFormat/>
  </w:style>
  <w:style w:type="character" w:styleId="830" w:customStyle="1">
    <w:name w:val="Quote Char"/>
    <w:link w:val="831"/>
    <w:uiPriority w:val="29"/>
    <w:qFormat/>
    <w:rPr>
      <w:i/>
    </w:rPr>
  </w:style>
  <w:style w:type="paragraph" w:styleId="831">
    <w:name w:val="Quote"/>
    <w:basedOn w:val="754"/>
    <w:next w:val="754"/>
    <w:link w:val="830"/>
    <w:uiPriority w:val="29"/>
    <w:qFormat/>
    <w:pPr>
      <w:ind w:left="720" w:right="720"/>
    </w:pPr>
    <w:rPr>
      <w:i/>
    </w:rPr>
  </w:style>
  <w:style w:type="character" w:styleId="832" w:customStyle="1">
    <w:name w:val="批注文字 字符"/>
    <w:link w:val="833"/>
    <w:uiPriority w:val="0"/>
    <w:qFormat/>
    <w:rPr>
      <w:sz w:val="21"/>
      <w:szCs w:val="24"/>
    </w:rPr>
  </w:style>
  <w:style w:type="paragraph" w:styleId="833" w:customStyle="1">
    <w:name w:val="批注文字1"/>
    <w:basedOn w:val="754"/>
    <w:link w:val="832"/>
    <w:uiPriority w:val="0"/>
    <w:qFormat/>
    <w:pPr>
      <w:jc w:val="left"/>
    </w:pPr>
  </w:style>
  <w:style w:type="character" w:styleId="834" w:customStyle="1">
    <w:name w:val="Heading 4 Char"/>
    <w:link w:val="819"/>
    <w:uiPriority w:val="9"/>
    <w:qFormat/>
    <w:rPr>
      <w:rFonts w:ascii="Arial" w:hAnsi="Arial" w:eastAsia="Arial" w:cs="Arial"/>
      <w:b/>
      <w:bCs/>
      <w:sz w:val="26"/>
      <w:szCs w:val="26"/>
    </w:rPr>
  </w:style>
  <w:style w:type="character" w:styleId="835" w:customStyle="1">
    <w:name w:val="标题 5 字符"/>
    <w:link w:val="836"/>
    <w:uiPriority w:val="0"/>
    <w:semiHidden/>
    <w:qFormat/>
    <w:rPr>
      <w:b/>
      <w:bCs/>
      <w:sz w:val="28"/>
      <w:szCs w:val="28"/>
    </w:rPr>
  </w:style>
  <w:style w:type="paragraph" w:styleId="836" w:customStyle="1">
    <w:name w:val="标题 51"/>
    <w:basedOn w:val="754"/>
    <w:next w:val="754"/>
    <w:link w:val="835"/>
    <w:uiPriority w:val="0"/>
    <w:qFormat/>
    <w:pPr>
      <w:keepLines/>
      <w:keepNext/>
      <w:spacing w:before="280" w:after="290" w:line="376" w:lineRule="auto"/>
      <w:outlineLvl w:val="4"/>
    </w:pPr>
    <w:rPr>
      <w:b/>
      <w:bCs/>
      <w:sz w:val="28"/>
      <w:szCs w:val="28"/>
    </w:rPr>
  </w:style>
  <w:style w:type="character" w:styleId="837" w:customStyle="1">
    <w:name w:val="标题 7 字符"/>
    <w:link w:val="838"/>
    <w:uiPriority w:val="9"/>
    <w:semiHidden/>
    <w:qFormat/>
    <w:rPr>
      <w:rFonts w:ascii="Calibri" w:hAnsi="Calibri"/>
      <w:b/>
      <w:bCs/>
      <w:sz w:val="24"/>
      <w:szCs w:val="24"/>
    </w:rPr>
  </w:style>
  <w:style w:type="paragraph" w:styleId="838" w:customStyle="1">
    <w:name w:val="标题 71"/>
    <w:basedOn w:val="754"/>
    <w:next w:val="754"/>
    <w:link w:val="837"/>
    <w:uiPriority w:val="9"/>
    <w:qFormat/>
    <w:pPr>
      <w:keepLines/>
      <w:keepNext/>
      <w:spacing w:before="240" w:after="64" w:line="320" w:lineRule="auto"/>
      <w:outlineLvl w:val="6"/>
    </w:pPr>
    <w:rPr>
      <w:rFonts w:ascii="Calibri" w:hAnsi="Calibri"/>
      <w:b/>
      <w:bCs/>
      <w:sz w:val="24"/>
    </w:rPr>
  </w:style>
  <w:style w:type="character" w:styleId="839" w:customStyle="1">
    <w:name w:val="正文文本首行缩进 字符1"/>
    <w:link w:val="840"/>
    <w:uiPriority w:val="0"/>
    <w:qFormat/>
    <w:rPr>
      <w:rFonts w:ascii="仿宋_GB2312" w:hAnsi="Times New Roman" w:eastAsia="仿宋_GB2312"/>
      <w:sz w:val="30"/>
      <w:szCs w:val="30"/>
    </w:rPr>
  </w:style>
  <w:style w:type="paragraph" w:styleId="840" w:customStyle="1">
    <w:name w:val="正文首行缩进1"/>
    <w:basedOn w:val="812"/>
    <w:next w:val="797"/>
    <w:link w:val="839"/>
    <w:uiPriority w:val="0"/>
    <w:qFormat/>
    <w:pPr>
      <w:ind w:firstLine="420"/>
    </w:pPr>
    <w:rPr>
      <w:rFonts w:ascii="仿宋_GB2312" w:hAnsi="Times New Roman" w:eastAsia="仿宋_GB2312"/>
      <w:sz w:val="30"/>
      <w:szCs w:val="30"/>
    </w:rPr>
  </w:style>
  <w:style w:type="character" w:styleId="841" w:customStyle="1">
    <w:name w:val="Heading 9 Char"/>
    <w:link w:val="824"/>
    <w:uiPriority w:val="9"/>
    <w:qFormat/>
    <w:rPr>
      <w:rFonts w:ascii="Arial" w:hAnsi="Arial" w:eastAsia="Arial" w:cs="Arial"/>
      <w:i/>
      <w:iCs/>
      <w:sz w:val="21"/>
      <w:szCs w:val="21"/>
    </w:rPr>
  </w:style>
  <w:style w:type="character" w:styleId="842" w:customStyle="1">
    <w:name w:val="页脚 字符"/>
    <w:link w:val="843"/>
    <w:uiPriority w:val="99"/>
    <w:qFormat/>
    <w:rPr>
      <w:sz w:val="18"/>
      <w:szCs w:val="18"/>
    </w:rPr>
  </w:style>
  <w:style w:type="paragraph" w:styleId="843" w:customStyle="1">
    <w:name w:val="页脚1"/>
    <w:basedOn w:val="754"/>
    <w:link w:val="842"/>
    <w:uiPriority w:val="0"/>
    <w:qFormat/>
    <w:pPr>
      <w:jc w:val="left"/>
      <w:tabs>
        <w:tab w:val="center" w:pos="4153" w:leader="none"/>
        <w:tab w:val="right" w:pos="8306" w:leader="none"/>
      </w:tabs>
    </w:pPr>
    <w:rPr>
      <w:sz w:val="18"/>
      <w:szCs w:val="18"/>
    </w:rPr>
  </w:style>
  <w:style w:type="character" w:styleId="844" w:customStyle="1">
    <w:name w:val="正文缩进 字符"/>
    <w:link w:val="845"/>
    <w:uiPriority w:val="0"/>
    <w:qFormat/>
    <w:rPr>
      <w:sz w:val="21"/>
      <w:szCs w:val="24"/>
      <w:lang w:bidi="ar-SA"/>
    </w:rPr>
  </w:style>
  <w:style w:type="paragraph" w:styleId="845" w:customStyle="1">
    <w:name w:val="正文缩进1"/>
    <w:basedOn w:val="754"/>
    <w:link w:val="844"/>
    <w:uiPriority w:val="0"/>
    <w:qFormat/>
    <w:pPr>
      <w:ind w:firstLine="420"/>
    </w:pPr>
  </w:style>
  <w:style w:type="character" w:styleId="846" w:customStyle="1">
    <w:name w:val="超链接11"/>
    <w:link w:val="754"/>
    <w:uiPriority w:val="99"/>
    <w:unhideWhenUsed/>
    <w:qFormat/>
    <w:rPr>
      <w:color w:val="0000ff"/>
      <w:u w:val="single"/>
    </w:rPr>
  </w:style>
  <w:style w:type="character" w:styleId="847" w:customStyle="1">
    <w:name w:val="标题 4 Char"/>
    <w:link w:val="754"/>
    <w:uiPriority w:val="9"/>
    <w:semiHidden/>
    <w:qFormat/>
    <w:rPr>
      <w:rFonts w:ascii="Cambria" w:hAnsi="Cambria" w:eastAsia="宋体" w:cs="Times New Roman"/>
      <w:b/>
      <w:bCs/>
      <w:sz w:val="28"/>
      <w:szCs w:val="28"/>
    </w:rPr>
  </w:style>
  <w:style w:type="character" w:styleId="848" w:customStyle="1">
    <w:name w:val="要点1"/>
    <w:link w:val="754"/>
    <w:uiPriority w:val="0"/>
    <w:qFormat/>
    <w:rPr>
      <w:b/>
      <w:bCs/>
    </w:rPr>
  </w:style>
  <w:style w:type="character" w:styleId="849" w:customStyle="1">
    <w:name w:val="fontstyle01"/>
    <w:link w:val="754"/>
    <w:uiPriority w:val="0"/>
    <w:qFormat/>
    <w:rPr>
      <w:rFonts w:ascii="MicrosoftYaHeiLight" w:hAnsi="MicrosoftYaHeiLight"/>
      <w:color w:val="000000"/>
      <w:sz w:val="22"/>
      <w:szCs w:val="22"/>
    </w:rPr>
  </w:style>
  <w:style w:type="character" w:styleId="850" w:customStyle="1">
    <w:name w:val="纯文本 字符"/>
    <w:link w:val="851"/>
    <w:uiPriority w:val="0"/>
    <w:qFormat/>
    <w:rPr>
      <w:rFonts w:ascii="宋体" w:hAnsi="Courier New"/>
      <w:sz w:val="21"/>
    </w:rPr>
  </w:style>
  <w:style w:type="paragraph" w:styleId="851" w:customStyle="1">
    <w:name w:val="纯文本1"/>
    <w:basedOn w:val="801"/>
    <w:link w:val="850"/>
    <w:uiPriority w:val="0"/>
    <w:qFormat/>
    <w:rPr>
      <w:rFonts w:ascii="宋体" w:hAnsi="Courier New"/>
      <w:szCs w:val="20"/>
    </w:rPr>
  </w:style>
  <w:style w:type="character" w:styleId="852" w:customStyle="1">
    <w:name w:val="批注主题 字符"/>
    <w:link w:val="853"/>
    <w:uiPriority w:val="0"/>
    <w:qFormat/>
    <w:rPr>
      <w:b/>
      <w:bCs/>
      <w:sz w:val="21"/>
      <w:szCs w:val="24"/>
    </w:rPr>
  </w:style>
  <w:style w:type="paragraph" w:styleId="853" w:customStyle="1">
    <w:name w:val="批注主题1"/>
    <w:basedOn w:val="833"/>
    <w:next w:val="833"/>
    <w:link w:val="852"/>
    <w:uiPriority w:val="0"/>
    <w:qFormat/>
    <w:rPr>
      <w:b/>
      <w:bCs/>
    </w:rPr>
  </w:style>
  <w:style w:type="character" w:styleId="854" w:customStyle="1">
    <w:name w:val="批注文字 Char1"/>
    <w:link w:val="754"/>
    <w:uiPriority w:val="0"/>
    <w:qFormat/>
    <w:rPr>
      <w:sz w:val="21"/>
      <w:szCs w:val="24"/>
    </w:rPr>
  </w:style>
  <w:style w:type="character" w:styleId="855" w:customStyle="1">
    <w:name w:val="页眉 字符"/>
    <w:link w:val="856"/>
    <w:uiPriority w:val="0"/>
    <w:qFormat/>
    <w:rPr>
      <w:sz w:val="18"/>
      <w:szCs w:val="18"/>
    </w:rPr>
  </w:style>
  <w:style w:type="paragraph" w:styleId="856" w:customStyle="1">
    <w:name w:val="页眉1"/>
    <w:basedOn w:val="754"/>
    <w:link w:val="855"/>
    <w:uiPriority w:val="0"/>
    <w:qFormat/>
    <w:pPr>
      <w:jc w:val="center"/>
      <w:tabs>
        <w:tab w:val="center" w:pos="4153" w:leader="none"/>
        <w:tab w:val="right" w:pos="8306" w:leader="none"/>
      </w:tabs>
      <w:pBdr>
        <w:bottom w:val="single" w:color="000000" w:sz="6" w:space="1"/>
      </w:pBdr>
    </w:pPr>
    <w:rPr>
      <w:sz w:val="18"/>
      <w:szCs w:val="18"/>
    </w:rPr>
  </w:style>
  <w:style w:type="character" w:styleId="857" w:customStyle="1">
    <w:name w:val="标题 2 Char"/>
    <w:link w:val="754"/>
    <w:uiPriority w:val="0"/>
    <w:qFormat/>
    <w:rPr>
      <w:rFonts w:ascii="Cambria" w:hAnsi="Cambria" w:eastAsia="宋体" w:cs="Times New Roman"/>
      <w:b/>
      <w:bCs/>
      <w:sz w:val="32"/>
      <w:szCs w:val="32"/>
    </w:rPr>
  </w:style>
  <w:style w:type="character" w:styleId="858" w:customStyle="1">
    <w:name w:val="Heading 7 Char"/>
    <w:link w:val="822"/>
    <w:uiPriority w:val="9"/>
    <w:qFormat/>
    <w:rPr>
      <w:rFonts w:ascii="Arial" w:hAnsi="Arial" w:eastAsia="Arial" w:cs="Arial"/>
      <w:b/>
      <w:bCs/>
      <w:i/>
      <w:iCs/>
      <w:sz w:val="22"/>
      <w:szCs w:val="22"/>
    </w:rPr>
  </w:style>
  <w:style w:type="character" w:styleId="859" w:customStyle="1">
    <w:name w:val="正文文本首行缩进 字符"/>
    <w:link w:val="754"/>
    <w:uiPriority w:val="0"/>
    <w:qFormat/>
  </w:style>
  <w:style w:type="character" w:styleId="860" w:customStyle="1">
    <w:name w:val="纯文本 Char1"/>
    <w:link w:val="754"/>
    <w:uiPriority w:val="0"/>
    <w:qFormat/>
    <w:rPr>
      <w:rFonts w:ascii="宋体" w:hAnsi="Courier New" w:eastAsia="宋体" w:cs="Times New Roman"/>
      <w:szCs w:val="20"/>
    </w:rPr>
  </w:style>
  <w:style w:type="character" w:styleId="861" w:customStyle="1">
    <w:name w:val="标题 4 字符1"/>
    <w:link w:val="814"/>
    <w:uiPriority w:val="9"/>
    <w:semiHidden/>
    <w:qFormat/>
    <w:rPr>
      <w:rFonts w:ascii="Cambria" w:hAnsi="Cambria"/>
      <w:b/>
      <w:bCs/>
      <w:sz w:val="28"/>
      <w:szCs w:val="28"/>
    </w:rPr>
  </w:style>
  <w:style w:type="character" w:styleId="862" w:customStyle="1">
    <w:name w:val="font41"/>
    <w:basedOn w:val="764"/>
    <w:link w:val="754"/>
    <w:uiPriority w:val="0"/>
    <w:qFormat/>
    <w:rPr>
      <w:rFonts w:ascii="Symbol" w:hAnsi="Symbol" w:cs="Symbol"/>
      <w:color w:val="000000"/>
      <w:sz w:val="20"/>
      <w:szCs w:val="20"/>
      <w:u w:val="none"/>
    </w:rPr>
  </w:style>
  <w:style w:type="character" w:styleId="863" w:customStyle="1">
    <w:name w:val="批注主题 Char"/>
    <w:link w:val="754"/>
    <w:uiPriority w:val="0"/>
    <w:qFormat/>
    <w:rPr>
      <w:rFonts w:ascii="Times New Roman" w:hAnsi="Times New Roman"/>
      <w:b/>
      <w:bCs/>
      <w:sz w:val="21"/>
    </w:rPr>
  </w:style>
  <w:style w:type="character" w:styleId="864" w:customStyle="1">
    <w:name w:val="Header Char"/>
    <w:link w:val="865"/>
    <w:uiPriority w:val="99"/>
    <w:qFormat/>
  </w:style>
  <w:style w:type="paragraph" w:styleId="865" w:customStyle="1">
    <w:name w:val="页眉11"/>
    <w:basedOn w:val="754"/>
    <w:link w:val="864"/>
    <w:uiPriority w:val="99"/>
    <w:unhideWhenUsed/>
    <w:qFormat/>
    <w:pPr>
      <w:spacing w:after="0" w:line="240" w:lineRule="auto"/>
      <w:tabs>
        <w:tab w:val="center" w:pos="7143" w:leader="none"/>
        <w:tab w:val="right" w:pos="14287" w:leader="none"/>
      </w:tabs>
    </w:pPr>
  </w:style>
  <w:style w:type="character" w:styleId="866" w:customStyle="1">
    <w:name w:val="正文文本 Char"/>
    <w:link w:val="754"/>
    <w:uiPriority w:val="0"/>
    <w:qFormat/>
    <w:rPr>
      <w:sz w:val="21"/>
      <w:szCs w:val="24"/>
    </w:rPr>
  </w:style>
  <w:style w:type="character" w:styleId="867" w:customStyle="1">
    <w:name w:val="标题 3 字符"/>
    <w:link w:val="868"/>
    <w:uiPriority w:val="0"/>
    <w:semiHidden/>
    <w:qFormat/>
    <w:rPr>
      <w:b/>
      <w:bCs/>
      <w:sz w:val="32"/>
      <w:szCs w:val="32"/>
    </w:rPr>
  </w:style>
  <w:style w:type="paragraph" w:styleId="868" w:customStyle="1">
    <w:name w:val="标题 31"/>
    <w:basedOn w:val="754"/>
    <w:next w:val="801"/>
    <w:link w:val="867"/>
    <w:uiPriority w:val="9"/>
    <w:qFormat/>
    <w:pPr>
      <w:keepLines/>
      <w:keepNext/>
      <w:spacing w:before="260" w:after="260" w:line="416" w:lineRule="auto"/>
      <w:outlineLvl w:val="2"/>
    </w:pPr>
    <w:rPr>
      <w:b/>
      <w:bCs/>
      <w:sz w:val="32"/>
      <w:szCs w:val="32"/>
    </w:rPr>
  </w:style>
  <w:style w:type="character" w:styleId="869" w:customStyle="1">
    <w:name w:val="文档结构图 字符"/>
    <w:link w:val="754"/>
    <w:uiPriority w:val="0"/>
    <w:qFormat/>
    <w:rPr>
      <w:rFonts w:ascii="Microsoft YaHei UI" w:eastAsia="Microsoft YaHei UI"/>
      <w:sz w:val="18"/>
      <w:szCs w:val="18"/>
    </w:rPr>
  </w:style>
  <w:style w:type="character" w:styleId="870" w:customStyle="1">
    <w:name w:val="页码1"/>
    <w:link w:val="754"/>
    <w:uiPriority w:val="0"/>
    <w:qFormat/>
  </w:style>
  <w:style w:type="character" w:styleId="871" w:customStyle="1">
    <w:name w:val="Endnote Text Char"/>
    <w:link w:val="872"/>
    <w:uiPriority w:val="99"/>
    <w:qFormat/>
    <w:rPr>
      <w:sz w:val="20"/>
    </w:rPr>
  </w:style>
  <w:style w:type="paragraph" w:styleId="872" w:customStyle="1">
    <w:name w:val="尾注文本1"/>
    <w:basedOn w:val="754"/>
    <w:link w:val="871"/>
    <w:uiPriority w:val="99"/>
    <w:unhideWhenUsed/>
    <w:qFormat/>
    <w:pPr>
      <w:spacing w:after="0" w:line="240" w:lineRule="auto"/>
    </w:pPr>
    <w:rPr>
      <w:sz w:val="20"/>
    </w:rPr>
  </w:style>
  <w:style w:type="character" w:styleId="873" w:customStyle="1">
    <w:name w:val="正文文本缩进 字符"/>
    <w:link w:val="798"/>
    <w:uiPriority w:val="99"/>
    <w:qFormat/>
    <w:rPr>
      <w:rFonts w:ascii="Calibri" w:hAnsi="Calibri"/>
      <w:sz w:val="21"/>
      <w:szCs w:val="24"/>
    </w:rPr>
  </w:style>
  <w:style w:type="character" w:styleId="874" w:customStyle="1">
    <w:name w:val="Heading 2 Char"/>
    <w:link w:val="817"/>
    <w:uiPriority w:val="9"/>
    <w:qFormat/>
    <w:rPr>
      <w:rFonts w:ascii="Arial" w:hAnsi="Arial" w:eastAsia="Arial" w:cs="Arial"/>
      <w:sz w:val="34"/>
    </w:rPr>
  </w:style>
  <w:style w:type="character" w:styleId="875" w:customStyle="1">
    <w:name w:val="标书正文 Char1"/>
    <w:link w:val="876"/>
    <w:uiPriority w:val="0"/>
    <w:qFormat/>
    <w:rPr>
      <w:color w:val="000000"/>
      <w:sz w:val="22"/>
      <w:szCs w:val="28"/>
      <w:lang w:eastAsia="en-US"/>
    </w:rPr>
  </w:style>
  <w:style w:type="paragraph" w:styleId="876" w:customStyle="1">
    <w:name w:val="标书正文"/>
    <w:basedOn w:val="754"/>
    <w:link w:val="875"/>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877" w:customStyle="1">
    <w:name w:val="强调1"/>
    <w:link w:val="754"/>
    <w:uiPriority w:val="0"/>
    <w:qFormat/>
    <w:rPr>
      <w:i/>
    </w:rPr>
  </w:style>
  <w:style w:type="character" w:styleId="878" w:customStyle="1">
    <w:name w:val="尾注引用1"/>
    <w:link w:val="754"/>
    <w:uiPriority w:val="99"/>
    <w:unhideWhenUsed/>
    <w:qFormat/>
    <w:rPr>
      <w:vertAlign w:val="superscript"/>
    </w:rPr>
  </w:style>
  <w:style w:type="character" w:styleId="879" w:customStyle="1">
    <w:name w:val="默认段落字体1"/>
    <w:link w:val="754"/>
    <w:uiPriority w:val="0"/>
    <w:semiHidden/>
    <w:qFormat/>
  </w:style>
  <w:style w:type="character" w:styleId="880" w:customStyle="1">
    <w:name w:val="页脚 Char"/>
    <w:link w:val="754"/>
    <w:uiPriority w:val="0"/>
    <w:qFormat/>
    <w:rPr>
      <w:sz w:val="18"/>
      <w:szCs w:val="18"/>
    </w:rPr>
  </w:style>
  <w:style w:type="character" w:styleId="881" w:customStyle="1">
    <w:name w:val="批注文字 Char"/>
    <w:link w:val="754"/>
    <w:uiPriority w:val="0"/>
    <w:qFormat/>
    <w:rPr>
      <w:rFonts w:ascii="Times New Roman" w:hAnsi="Times New Roman"/>
      <w:sz w:val="21"/>
    </w:rPr>
  </w:style>
  <w:style w:type="character" w:styleId="882" w:customStyle="1">
    <w:name w:val="标题 4 字符"/>
    <w:link w:val="754"/>
    <w:uiPriority w:val="0"/>
    <w:semiHidden/>
    <w:qFormat/>
    <w:rPr>
      <w:rFonts w:ascii="等线 Light" w:hAnsi="等线 Light" w:eastAsia="等线 Light" w:cs="Times New Roman"/>
      <w:b/>
      <w:bCs/>
      <w:sz w:val="28"/>
      <w:szCs w:val="28"/>
    </w:rPr>
  </w:style>
  <w:style w:type="character" w:styleId="883" w:customStyle="1">
    <w:name w:val="超链接1"/>
    <w:link w:val="754"/>
    <w:uiPriority w:val="0"/>
    <w:unhideWhenUsed/>
    <w:qFormat/>
    <w:rPr>
      <w:color w:val="0000ff"/>
      <w:u w:val="single"/>
    </w:rPr>
  </w:style>
  <w:style w:type="character" w:styleId="884" w:customStyle="1">
    <w:name w:val="正文首行缩进 2 字符"/>
    <w:link w:val="885"/>
    <w:uiPriority w:val="99"/>
    <w:qFormat/>
    <w:rPr>
      <w:sz w:val="21"/>
      <w:szCs w:val="24"/>
    </w:rPr>
  </w:style>
  <w:style w:type="paragraph" w:styleId="885" w:customStyle="1">
    <w:name w:val="_Style 63"/>
    <w:basedOn w:val="798"/>
    <w:next w:val="754"/>
    <w:link w:val="884"/>
    <w:uiPriority w:val="99"/>
    <w:unhideWhenUsed/>
    <w:qFormat/>
    <w:pPr>
      <w:ind w:firstLine="420"/>
    </w:pPr>
    <w:rPr>
      <w:rFonts w:ascii="Times New Roman" w:hAnsi="Times New Roman"/>
    </w:rPr>
  </w:style>
  <w:style w:type="character" w:styleId="886" w:customStyle="1">
    <w:name w:val="标题 1 字符"/>
    <w:link w:val="887"/>
    <w:uiPriority w:val="0"/>
    <w:qFormat/>
    <w:rPr>
      <w:rFonts w:eastAsia="新宋体"/>
      <w:b/>
      <w:bCs/>
      <w:sz w:val="30"/>
      <w:szCs w:val="44"/>
    </w:rPr>
  </w:style>
  <w:style w:type="paragraph" w:styleId="887" w:customStyle="1">
    <w:name w:val="标题 111"/>
    <w:basedOn w:val="754"/>
    <w:next w:val="754"/>
    <w:link w:val="886"/>
    <w:uiPriority w:val="9"/>
    <w:qFormat/>
    <w:pPr>
      <w:jc w:val="center"/>
      <w:keepLines/>
      <w:keepNext/>
      <w:spacing w:line="578" w:lineRule="auto"/>
      <w:outlineLvl w:val="0"/>
    </w:pPr>
    <w:rPr>
      <w:rFonts w:eastAsia="新宋体"/>
      <w:b/>
      <w:bCs/>
      <w:sz w:val="30"/>
      <w:szCs w:val="44"/>
    </w:rPr>
  </w:style>
  <w:style w:type="character" w:styleId="888" w:customStyle="1">
    <w:name w:val="纯文本 Char"/>
    <w:link w:val="754"/>
    <w:uiPriority w:val="0"/>
    <w:qFormat/>
    <w:rPr>
      <w:rFonts w:ascii="宋体" w:hAnsi="Courier New" w:eastAsia="宋体" w:cs="Courier New"/>
      <w:szCs w:val="21"/>
    </w:rPr>
  </w:style>
  <w:style w:type="character" w:styleId="889" w:customStyle="1">
    <w:name w:val="Heading 3 Char"/>
    <w:link w:val="818"/>
    <w:uiPriority w:val="9"/>
    <w:qFormat/>
    <w:rPr>
      <w:rFonts w:ascii="Arial" w:hAnsi="Arial" w:eastAsia="Arial" w:cs="Arial"/>
      <w:sz w:val="30"/>
      <w:szCs w:val="30"/>
    </w:rPr>
  </w:style>
  <w:style w:type="character" w:styleId="890" w:customStyle="1">
    <w:name w:val="Intense Quote Char"/>
    <w:link w:val="891"/>
    <w:uiPriority w:val="30"/>
    <w:qFormat/>
    <w:rPr>
      <w:i/>
    </w:rPr>
  </w:style>
  <w:style w:type="paragraph" w:styleId="891">
    <w:name w:val="Intense Quote"/>
    <w:basedOn w:val="754"/>
    <w:next w:val="754"/>
    <w:link w:val="8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2" w:customStyle="1">
    <w:name w:val="脚注引用1"/>
    <w:link w:val="754"/>
    <w:uiPriority w:val="99"/>
    <w:unhideWhenUsed/>
    <w:qFormat/>
    <w:rPr>
      <w:vertAlign w:val="superscript"/>
    </w:rPr>
  </w:style>
  <w:style w:type="character" w:styleId="893" w:customStyle="1">
    <w:name w:val="标题 3 Char"/>
    <w:link w:val="754"/>
    <w:uiPriority w:val="9"/>
    <w:qFormat/>
    <w:rPr>
      <w:rFonts w:ascii="Arial" w:hAnsi="Arial" w:eastAsia="宋体" w:cs="Times New Roman"/>
      <w:b/>
      <w:sz w:val="32"/>
      <w:szCs w:val="20"/>
    </w:rPr>
  </w:style>
  <w:style w:type="character" w:styleId="894" w:customStyle="1">
    <w:name w:val="Caption Char"/>
    <w:link w:val="754"/>
    <w:uiPriority w:val="99"/>
    <w:qFormat/>
  </w:style>
  <w:style w:type="character" w:styleId="895" w:customStyle="1">
    <w:name w:val="页眉 Char"/>
    <w:link w:val="754"/>
    <w:uiPriority w:val="0"/>
    <w:qFormat/>
    <w:rPr>
      <w:sz w:val="18"/>
      <w:szCs w:val="18"/>
    </w:rPr>
  </w:style>
  <w:style w:type="character" w:styleId="896" w:customStyle="1">
    <w:name w:val="文档结构图 Char"/>
    <w:link w:val="754"/>
    <w:uiPriority w:val="99"/>
    <w:semiHidden/>
    <w:qFormat/>
    <w:rPr>
      <w:rFonts w:ascii="宋体"/>
      <w:sz w:val="18"/>
      <w:szCs w:val="18"/>
    </w:rPr>
  </w:style>
  <w:style w:type="character" w:styleId="897" w:customStyle="1">
    <w:name w:val="Heading 5 Char"/>
    <w:link w:val="820"/>
    <w:uiPriority w:val="9"/>
    <w:qFormat/>
    <w:rPr>
      <w:rFonts w:ascii="Arial" w:hAnsi="Arial" w:eastAsia="Arial" w:cs="Arial"/>
      <w:b/>
      <w:bCs/>
      <w:sz w:val="24"/>
      <w:szCs w:val="24"/>
    </w:rPr>
  </w:style>
  <w:style w:type="character" w:styleId="898" w:customStyle="1">
    <w:name w:val="Footer Char"/>
    <w:link w:val="899"/>
    <w:uiPriority w:val="99"/>
    <w:qFormat/>
  </w:style>
  <w:style w:type="paragraph" w:styleId="899" w:customStyle="1">
    <w:name w:val="页脚11"/>
    <w:basedOn w:val="754"/>
    <w:link w:val="898"/>
    <w:uiPriority w:val="99"/>
    <w:unhideWhenUsed/>
    <w:qFormat/>
    <w:pPr>
      <w:spacing w:after="0" w:line="240" w:lineRule="auto"/>
      <w:tabs>
        <w:tab w:val="center" w:pos="7143" w:leader="none"/>
        <w:tab w:val="right" w:pos="14287" w:leader="none"/>
      </w:tabs>
    </w:pPr>
  </w:style>
  <w:style w:type="character" w:styleId="900" w:customStyle="1">
    <w:name w:val="批注引用1"/>
    <w:link w:val="754"/>
    <w:uiPriority w:val="99"/>
    <w:qFormat/>
    <w:rPr>
      <w:sz w:val="21"/>
      <w:szCs w:val="21"/>
    </w:rPr>
  </w:style>
  <w:style w:type="character" w:styleId="901" w:customStyle="1">
    <w:name w:val="Heading 8 Char"/>
    <w:link w:val="823"/>
    <w:uiPriority w:val="9"/>
    <w:qFormat/>
    <w:rPr>
      <w:rFonts w:ascii="Arial" w:hAnsi="Arial" w:eastAsia="Arial" w:cs="Arial"/>
      <w:i/>
      <w:iCs/>
      <w:sz w:val="22"/>
      <w:szCs w:val="22"/>
    </w:rPr>
  </w:style>
  <w:style w:type="character" w:styleId="902" w:customStyle="1">
    <w:name w:val="NormalCharacter1"/>
    <w:link w:val="754"/>
    <w:uiPriority w:val="0"/>
    <w:semiHidden/>
    <w:qFormat/>
    <w:rPr>
      <w:sz w:val="28"/>
      <w:lang w:val="en-US" w:eastAsia="zh-CN" w:bidi="ar-SA"/>
    </w:rPr>
  </w:style>
  <w:style w:type="character" w:styleId="903" w:customStyle="1">
    <w:name w:val="正文文本缩进 2 字符"/>
    <w:link w:val="904"/>
    <w:uiPriority w:val="0"/>
    <w:qFormat/>
    <w:rPr>
      <w:rFonts w:ascii="仿宋_GB2312" w:eastAsia="仿宋_GB2312"/>
      <w:sz w:val="24"/>
      <w:szCs w:val="24"/>
      <w:lang w:bidi="ar-SA"/>
    </w:rPr>
  </w:style>
  <w:style w:type="paragraph" w:styleId="904" w:customStyle="1">
    <w:name w:val="正文文本缩进 21"/>
    <w:basedOn w:val="754"/>
    <w:link w:val="903"/>
    <w:uiPriority w:val="0"/>
    <w:qFormat/>
    <w:pPr>
      <w:ind w:firstLine="475"/>
      <w:spacing w:line="10" w:lineRule="atLeast"/>
    </w:pPr>
    <w:rPr>
      <w:rFonts w:ascii="仿宋_GB2312" w:eastAsia="仿宋_GB2312"/>
      <w:sz w:val="24"/>
    </w:rPr>
  </w:style>
  <w:style w:type="character" w:styleId="905" w:customStyle="1">
    <w:name w:val="Title Char"/>
    <w:link w:val="906"/>
    <w:uiPriority w:val="10"/>
    <w:qFormat/>
    <w:rPr>
      <w:sz w:val="48"/>
      <w:szCs w:val="48"/>
    </w:rPr>
  </w:style>
  <w:style w:type="paragraph" w:styleId="906" w:customStyle="1">
    <w:name w:val="标题11"/>
    <w:basedOn w:val="754"/>
    <w:next w:val="754"/>
    <w:link w:val="905"/>
    <w:uiPriority w:val="10"/>
    <w:qFormat/>
    <w:pPr>
      <w:contextualSpacing/>
      <w:spacing w:before="300" w:after="200"/>
    </w:pPr>
    <w:rPr>
      <w:sz w:val="48"/>
      <w:szCs w:val="48"/>
    </w:rPr>
  </w:style>
  <w:style w:type="character" w:styleId="907" w:customStyle="1">
    <w:name w:val="Heading 6 Char"/>
    <w:link w:val="821"/>
    <w:uiPriority w:val="9"/>
    <w:qFormat/>
    <w:rPr>
      <w:rFonts w:ascii="Arial" w:hAnsi="Arial" w:eastAsia="Arial" w:cs="Arial"/>
      <w:b/>
      <w:bCs/>
      <w:sz w:val="22"/>
      <w:szCs w:val="22"/>
    </w:rPr>
  </w:style>
  <w:style w:type="character" w:styleId="908" w:customStyle="1">
    <w:name w:val="日期 Char"/>
    <w:link w:val="754"/>
    <w:uiPriority w:val="99"/>
    <w:semiHidden/>
    <w:qFormat/>
  </w:style>
  <w:style w:type="character" w:styleId="909" w:customStyle="1">
    <w:name w:val="批注框文本 Char"/>
    <w:link w:val="754"/>
    <w:uiPriority w:val="0"/>
    <w:qFormat/>
    <w:rPr>
      <w:sz w:val="18"/>
      <w:szCs w:val="18"/>
    </w:rPr>
  </w:style>
  <w:style w:type="character" w:styleId="910" w:customStyle="1">
    <w:name w:val="标题 1 Char"/>
    <w:link w:val="754"/>
    <w:uiPriority w:val="9"/>
    <w:qFormat/>
    <w:rPr>
      <w:b/>
      <w:bCs/>
      <w:sz w:val="44"/>
      <w:szCs w:val="44"/>
    </w:rPr>
  </w:style>
  <w:style w:type="character" w:styleId="911" w:customStyle="1">
    <w:name w:val="正文文本 字符"/>
    <w:link w:val="800"/>
    <w:uiPriority w:val="1"/>
    <w:qFormat/>
    <w:rPr>
      <w:rFonts w:ascii="Calibri" w:hAnsi="Calibri"/>
      <w:sz w:val="21"/>
      <w:szCs w:val="24"/>
    </w:rPr>
  </w:style>
  <w:style w:type="character" w:styleId="912" w:customStyle="1">
    <w:name w:val="Footnote Text Char"/>
    <w:link w:val="913"/>
    <w:uiPriority w:val="99"/>
    <w:qFormat/>
    <w:rPr>
      <w:sz w:val="18"/>
    </w:rPr>
  </w:style>
  <w:style w:type="paragraph" w:styleId="913" w:customStyle="1">
    <w:name w:val="脚注文本111"/>
    <w:basedOn w:val="754"/>
    <w:link w:val="912"/>
    <w:uiPriority w:val="99"/>
    <w:unhideWhenUsed/>
    <w:qFormat/>
    <w:pPr>
      <w:spacing w:after="40" w:line="240" w:lineRule="auto"/>
    </w:pPr>
    <w:rPr>
      <w:sz w:val="18"/>
    </w:rPr>
  </w:style>
  <w:style w:type="character" w:styleId="914" w:customStyle="1">
    <w:name w:val="标题 2 字符1"/>
    <w:link w:val="915"/>
    <w:uiPriority w:val="9"/>
    <w:qFormat/>
    <w:rPr>
      <w:rFonts w:ascii="Cambria" w:hAnsi="Cambria"/>
      <w:b/>
      <w:bCs/>
      <w:sz w:val="32"/>
      <w:szCs w:val="32"/>
    </w:rPr>
  </w:style>
  <w:style w:type="paragraph" w:styleId="915" w:customStyle="1">
    <w:name w:val="标题 21"/>
    <w:basedOn w:val="801"/>
    <w:next w:val="868"/>
    <w:link w:val="914"/>
    <w:uiPriority w:val="0"/>
    <w:qFormat/>
    <w:pPr>
      <w:keepLines/>
      <w:keepNext/>
      <w:spacing w:before="260" w:after="260" w:line="416" w:lineRule="auto"/>
      <w:outlineLvl w:val="1"/>
    </w:pPr>
    <w:rPr>
      <w:rFonts w:ascii="Cambria" w:hAnsi="Cambria"/>
      <w:b/>
      <w:bCs/>
      <w:sz w:val="32"/>
      <w:szCs w:val="32"/>
    </w:rPr>
  </w:style>
  <w:style w:type="character" w:styleId="916" w:customStyle="1">
    <w:name w:val="日期 字符"/>
    <w:link w:val="917"/>
    <w:uiPriority w:val="99"/>
    <w:qFormat/>
    <w:rPr>
      <w:rFonts w:eastAsia="仿宋_GB2312"/>
      <w:sz w:val="28"/>
    </w:rPr>
  </w:style>
  <w:style w:type="paragraph" w:styleId="917" w:customStyle="1">
    <w:name w:val="日期1"/>
    <w:basedOn w:val="754"/>
    <w:next w:val="754"/>
    <w:link w:val="916"/>
    <w:uiPriority w:val="99"/>
    <w:qFormat/>
    <w:rPr>
      <w:rFonts w:eastAsia="仿宋_GB2312"/>
      <w:sz w:val="28"/>
      <w:szCs w:val="20"/>
    </w:rPr>
  </w:style>
  <w:style w:type="character" w:styleId="918" w:customStyle="1">
    <w:name w:val="font01"/>
    <w:link w:val="754"/>
    <w:uiPriority w:val="0"/>
    <w:qFormat/>
    <w:rPr>
      <w:rFonts w:hint="eastAsia" w:ascii="仿宋" w:hAnsi="仿宋" w:eastAsia="仿宋" w:cs="仿宋"/>
      <w:color w:val="000000"/>
      <w:sz w:val="20"/>
      <w:szCs w:val="20"/>
      <w:u w:val="none"/>
    </w:rPr>
  </w:style>
  <w:style w:type="character" w:styleId="919" w:customStyle="1">
    <w:name w:val="批注框文本 字符"/>
    <w:link w:val="920"/>
    <w:uiPriority w:val="0"/>
    <w:qFormat/>
    <w:rPr>
      <w:sz w:val="18"/>
      <w:szCs w:val="18"/>
    </w:rPr>
  </w:style>
  <w:style w:type="paragraph" w:styleId="920" w:customStyle="1">
    <w:name w:val="批注框文本1"/>
    <w:basedOn w:val="754"/>
    <w:link w:val="919"/>
    <w:uiPriority w:val="0"/>
    <w:qFormat/>
    <w:rPr>
      <w:sz w:val="18"/>
      <w:szCs w:val="18"/>
    </w:rPr>
  </w:style>
  <w:style w:type="character" w:styleId="921" w:customStyle="1">
    <w:name w:val="文档结构图 字符1"/>
    <w:link w:val="922"/>
    <w:uiPriority w:val="99"/>
    <w:qFormat/>
    <w:rPr>
      <w:rFonts w:ascii="宋体" w:hAnsi="Calibri"/>
      <w:sz w:val="18"/>
      <w:szCs w:val="18"/>
    </w:rPr>
  </w:style>
  <w:style w:type="paragraph" w:styleId="922" w:customStyle="1">
    <w:name w:val="文档结构图1"/>
    <w:basedOn w:val="754"/>
    <w:link w:val="921"/>
    <w:uiPriority w:val="99"/>
    <w:unhideWhenUsed/>
    <w:qFormat/>
    <w:rPr>
      <w:rFonts w:ascii="宋体" w:hAnsi="Calibri"/>
      <w:sz w:val="18"/>
      <w:szCs w:val="18"/>
    </w:rPr>
  </w:style>
  <w:style w:type="character" w:styleId="923" w:customStyle="1">
    <w:name w:val="正文文本首行缩进 2 字符"/>
    <w:link w:val="797"/>
    <w:uiPriority w:val="0"/>
    <w:qFormat/>
  </w:style>
  <w:style w:type="character" w:styleId="924" w:customStyle="1">
    <w:name w:val="Subtitle Char"/>
    <w:link w:val="925"/>
    <w:uiPriority w:val="11"/>
    <w:qFormat/>
    <w:rPr>
      <w:sz w:val="24"/>
      <w:szCs w:val="24"/>
    </w:rPr>
  </w:style>
  <w:style w:type="paragraph" w:styleId="925" w:customStyle="1">
    <w:name w:val="副标题1"/>
    <w:basedOn w:val="754"/>
    <w:next w:val="754"/>
    <w:link w:val="924"/>
    <w:uiPriority w:val="11"/>
    <w:qFormat/>
    <w:pPr>
      <w:spacing w:before="200" w:after="200"/>
    </w:pPr>
    <w:rPr>
      <w:sz w:val="24"/>
      <w:szCs w:val="24"/>
    </w:rPr>
  </w:style>
  <w:style w:type="paragraph" w:styleId="926" w:customStyle="1">
    <w:name w:val="目录 41"/>
    <w:basedOn w:val="754"/>
    <w:next w:val="754"/>
    <w:uiPriority w:val="39"/>
    <w:unhideWhenUsed/>
    <w:qFormat/>
    <w:pPr>
      <w:ind w:left="850" w:right="0" w:firstLine="0"/>
      <w:spacing w:after="57"/>
    </w:pPr>
  </w:style>
  <w:style w:type="paragraph" w:styleId="927" w:customStyle="1">
    <w:name w:val="UserStyle_1"/>
    <w:basedOn w:val="754"/>
    <w:uiPriority w:val="0"/>
    <w:qFormat/>
    <w:pPr>
      <w:ind w:left="-6" w:hanging="99"/>
      <w:jc w:val="left"/>
    </w:pPr>
    <w:rPr>
      <w:rFonts w:ascii="宋体"/>
      <w:b/>
    </w:rPr>
  </w:style>
  <w:style w:type="paragraph" w:styleId="928" w:customStyle="1">
    <w:name w:val="_Style 101"/>
    <w:basedOn w:val="754"/>
    <w:next w:val="754"/>
    <w:uiPriority w:val="39"/>
    <w:unhideWhenUsed/>
    <w:qFormat/>
    <w:pPr>
      <w:ind w:left="420"/>
    </w:pPr>
    <w:rPr>
      <w:rFonts w:ascii="Calibri" w:hAnsi="Calibri"/>
      <w:szCs w:val="22"/>
    </w:rPr>
  </w:style>
  <w:style w:type="paragraph" w:styleId="929" w:customStyle="1">
    <w:name w:val="Table Paragraph"/>
    <w:basedOn w:val="754"/>
    <w:uiPriority w:val="1"/>
    <w:qFormat/>
    <w:pPr>
      <w:ind w:left="108"/>
    </w:pPr>
  </w:style>
  <w:style w:type="paragraph" w:styleId="930" w:customStyle="1">
    <w:name w:val="索引 51"/>
    <w:basedOn w:val="795"/>
    <w:next w:val="795"/>
    <w:uiPriority w:val="0"/>
    <w:qFormat/>
    <w:pPr>
      <w:ind w:left="798"/>
      <w:jc w:val="left"/>
    </w:pPr>
    <w:rPr>
      <w:rFonts w:ascii="Calibri" w:hAnsi="Calibri"/>
    </w:rPr>
  </w:style>
  <w:style w:type="paragraph" w:styleId="931" w:customStyle="1">
    <w:name w:val="目录 61"/>
    <w:basedOn w:val="754"/>
    <w:next w:val="754"/>
    <w:uiPriority w:val="39"/>
    <w:unhideWhenUsed/>
    <w:qFormat/>
    <w:pPr>
      <w:ind w:left="1417" w:right="0" w:firstLine="0"/>
      <w:spacing w:after="57"/>
    </w:pPr>
  </w:style>
  <w:style w:type="paragraph" w:styleId="932">
    <w:name w:val="List Paragraph"/>
    <w:basedOn w:val="796"/>
    <w:uiPriority w:val="34"/>
    <w:qFormat/>
    <w:pPr>
      <w:contextualSpacing/>
      <w:ind w:left="720"/>
    </w:pPr>
  </w:style>
  <w:style w:type="paragraph" w:styleId="933" w:customStyle="1">
    <w:name w:val="投标文件正文"/>
    <w:basedOn w:val="754"/>
    <w:uiPriority w:val="0"/>
    <w:qFormat/>
    <w:pPr>
      <w:ind w:firstLine="200"/>
      <w:spacing w:before="40" w:after="40" w:line="400" w:lineRule="exact"/>
    </w:pPr>
    <w:rPr>
      <w:sz w:val="24"/>
    </w:rPr>
  </w:style>
  <w:style w:type="paragraph" w:styleId="934" w:customStyle="1">
    <w:name w:val="题注1"/>
    <w:basedOn w:val="754"/>
    <w:next w:val="754"/>
    <w:uiPriority w:val="35"/>
    <w:unhideWhenUsed/>
    <w:qFormat/>
    <w:pPr>
      <w:spacing w:line="276" w:lineRule="auto"/>
    </w:pPr>
    <w:rPr>
      <w:b/>
      <w:bCs/>
      <w:color w:val="4f81bd"/>
      <w:sz w:val="18"/>
      <w:szCs w:val="18"/>
    </w:rPr>
  </w:style>
  <w:style w:type="paragraph" w:styleId="935" w:customStyle="1">
    <w:name w:val="Heading21"/>
    <w:basedOn w:val="754"/>
    <w:next w:val="754"/>
    <w:uiPriority w:val="0"/>
    <w:qFormat/>
    <w:pPr>
      <w:jc w:val="left"/>
      <w:keepLines/>
      <w:keepNext/>
      <w:spacing w:before="260" w:after="260" w:line="416" w:lineRule="auto"/>
    </w:pPr>
    <w:rPr>
      <w:rFonts w:ascii="Calibri Light" w:hAnsi="Calibri Light"/>
      <w:b/>
      <w:bCs/>
      <w:sz w:val="24"/>
      <w:szCs w:val="32"/>
    </w:rPr>
  </w:style>
  <w:style w:type="paragraph" w:styleId="936" w:customStyle="1">
    <w:name w:val="纯文本11"/>
    <w:basedOn w:val="754"/>
    <w:uiPriority w:val="0"/>
    <w:qFormat/>
    <w:rPr>
      <w:rFonts w:ascii="宋体" w:hAnsi="Courier New" w:cs="Courier New"/>
      <w:szCs w:val="21"/>
    </w:rPr>
  </w:style>
  <w:style w:type="paragraph" w:styleId="937"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38" w:customStyle="1">
    <w:name w:val="正文首行缩进2"/>
    <w:basedOn w:val="939"/>
    <w:next w:val="940"/>
    <w:uiPriority w:val="0"/>
    <w:qFormat/>
    <w:pPr>
      <w:ind w:firstLine="420"/>
      <w:spacing w:after="0"/>
    </w:pPr>
    <w:rPr>
      <w:sz w:val="28"/>
      <w:szCs w:val="28"/>
    </w:rPr>
  </w:style>
  <w:style w:type="paragraph" w:styleId="939" w:customStyle="1">
    <w:name w:val="正文文本2"/>
    <w:basedOn w:val="754"/>
    <w:next w:val="804"/>
    <w:uiPriority w:val="0"/>
    <w:qFormat/>
    <w:pPr>
      <w:spacing w:after="120"/>
    </w:pPr>
  </w:style>
  <w:style w:type="paragraph" w:styleId="940" w:customStyle="1">
    <w:name w:val="正文首行缩进 22"/>
    <w:basedOn w:val="941"/>
    <w:next w:val="754"/>
    <w:uiPriority w:val="99"/>
    <w:unhideWhenUsed/>
    <w:qFormat/>
    <w:pPr>
      <w:ind w:firstLine="420"/>
    </w:pPr>
  </w:style>
  <w:style w:type="paragraph" w:styleId="941" w:customStyle="1">
    <w:name w:val="正文文本缩进2"/>
    <w:basedOn w:val="754"/>
    <w:next w:val="810"/>
    <w:uiPriority w:val="0"/>
    <w:qFormat/>
    <w:pPr>
      <w:ind w:firstLine="280"/>
    </w:pPr>
    <w:rPr>
      <w:rFonts w:ascii="宋体" w:hAnsi="宋体"/>
      <w:sz w:val="28"/>
      <w:szCs w:val="24"/>
    </w:rPr>
  </w:style>
  <w:style w:type="paragraph" w:styleId="942" w:customStyle="1">
    <w:name w:val="索引 11"/>
    <w:basedOn w:val="754"/>
    <w:next w:val="754"/>
    <w:uiPriority w:val="0"/>
    <w:qFormat/>
    <w:pPr>
      <w:jc w:val="center"/>
      <w:tabs>
        <w:tab w:val="left" w:pos="560" w:leader="none"/>
      </w:tabs>
    </w:pPr>
    <w:rPr>
      <w:rFonts w:ascii="宋体" w:hAnsi="宋体"/>
    </w:rPr>
  </w:style>
  <w:style w:type="paragraph" w:styleId="943" w:customStyle="1">
    <w:name w:val="索引 511"/>
    <w:basedOn w:val="754"/>
    <w:next w:val="754"/>
    <w:uiPriority w:val="0"/>
    <w:qFormat/>
    <w:pPr>
      <w:ind w:left="798"/>
      <w:jc w:val="left"/>
    </w:pPr>
    <w:rPr>
      <w:rFonts w:ascii="Calibri" w:hAnsi="Calibri"/>
    </w:rPr>
  </w:style>
  <w:style w:type="paragraph" w:styleId="944" w:customStyle="1">
    <w:name w:val="目录 1112"/>
    <w:basedOn w:val="754"/>
    <w:next w:val="754"/>
    <w:uiPriority w:val="39"/>
    <w:unhideWhenUsed/>
    <w:qFormat/>
    <w:pPr>
      <w:ind w:left="0" w:right="0" w:firstLine="0"/>
      <w:spacing w:after="57"/>
    </w:pPr>
  </w:style>
  <w:style w:type="paragraph" w:styleId="945" w:customStyle="1">
    <w:name w:val="目录 81"/>
    <w:basedOn w:val="754"/>
    <w:next w:val="754"/>
    <w:uiPriority w:val="39"/>
    <w:unhideWhenUsed/>
    <w:qFormat/>
    <w:pPr>
      <w:ind w:left="1984" w:right="0" w:firstLine="0"/>
      <w:spacing w:after="57"/>
    </w:pPr>
  </w:style>
  <w:style w:type="paragraph" w:styleId="946" w:customStyle="1">
    <w:name w:val="普通(网站)11"/>
    <w:basedOn w:val="754"/>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947" w:customStyle="1">
    <w:name w:val="文本块12"/>
    <w:basedOn w:val="754"/>
    <w:uiPriority w:val="0"/>
    <w:unhideWhenUsed/>
    <w:qFormat/>
    <w:pPr>
      <w:ind w:left="420" w:right="33"/>
    </w:pPr>
    <w:rPr>
      <w:sz w:val="24"/>
    </w:rPr>
  </w:style>
  <w:style w:type="paragraph" w:styleId="948" w:customStyle="1">
    <w:name w:val="目录 11"/>
    <w:basedOn w:val="807"/>
    <w:next w:val="796"/>
    <w:uiPriority w:val="39"/>
    <w:qFormat/>
  </w:style>
  <w:style w:type="paragraph" w:styleId="949" w:customStyle="1">
    <w:name w:val="目录 51"/>
    <w:basedOn w:val="754"/>
    <w:next w:val="754"/>
    <w:uiPriority w:val="39"/>
    <w:unhideWhenUsed/>
    <w:qFormat/>
    <w:pPr>
      <w:ind w:left="1134" w:right="0" w:firstLine="0"/>
      <w:spacing w:after="57"/>
    </w:pPr>
  </w:style>
  <w:style w:type="paragraph" w:styleId="950" w:customStyle="1">
    <w:name w:val="标题1"/>
    <w:basedOn w:val="754"/>
    <w:next w:val="754"/>
    <w:uiPriority w:val="10"/>
    <w:qFormat/>
    <w:pPr>
      <w:contextualSpacing/>
      <w:spacing w:before="300" w:after="200"/>
    </w:pPr>
    <w:rPr>
      <w:sz w:val="48"/>
      <w:szCs w:val="48"/>
    </w:rPr>
  </w:style>
  <w:style w:type="paragraph" w:styleId="951" w:customStyle="1">
    <w:name w:val="索引标题1"/>
    <w:basedOn w:val="754"/>
    <w:next w:val="942"/>
    <w:uiPriority w:val="0"/>
    <w:qFormat/>
    <w:pPr>
      <w:tabs>
        <w:tab w:val="left" w:pos="560" w:leader="none"/>
      </w:tabs>
    </w:pPr>
    <w:rPr>
      <w:rFonts w:ascii="Arial" w:hAnsi="Arial" w:cs="Arial"/>
      <w:b/>
      <w:bCs/>
    </w:rPr>
  </w:style>
  <w:style w:type="paragraph" w:styleId="952" w:customStyle="1">
    <w:name w:val="TOC 标题"/>
    <w:basedOn w:val="887"/>
    <w:next w:val="754"/>
    <w:uiPriority w:val="39"/>
    <w:qFormat/>
    <w:pPr>
      <w:jc w:val="left"/>
      <w:spacing w:before="480" w:line="276" w:lineRule="auto"/>
      <w:widowControl/>
      <w:outlineLvl w:val="9"/>
    </w:pPr>
    <w:rPr>
      <w:rFonts w:ascii="Cambria" w:hAnsi="Cambria" w:eastAsia="宋体"/>
      <w:color w:val="365f91"/>
      <w:sz w:val="28"/>
      <w:szCs w:val="28"/>
    </w:rPr>
  </w:style>
  <w:style w:type="paragraph" w:styleId="953" w:customStyle="1">
    <w:name w:val="图表目录1"/>
    <w:basedOn w:val="754"/>
    <w:next w:val="754"/>
    <w:uiPriority w:val="99"/>
    <w:unhideWhenUsed/>
    <w:qFormat/>
    <w:pPr>
      <w:spacing w:after="0" w:afterAutospacing="0"/>
    </w:pPr>
  </w:style>
  <w:style w:type="paragraph" w:styleId="954" w:customStyle="1">
    <w:name w:val="列出段落1"/>
    <w:basedOn w:val="754"/>
    <w:uiPriority w:val="0"/>
    <w:qFormat/>
    <w:pPr>
      <w:ind w:firstLine="420"/>
    </w:pPr>
    <w:rPr>
      <w:rFonts w:ascii="Calibri" w:hAnsi="Calibri"/>
    </w:rPr>
  </w:style>
  <w:style w:type="paragraph" w:styleId="955" w:customStyle="1">
    <w:name w:val="目录 91"/>
    <w:basedOn w:val="754"/>
    <w:next w:val="754"/>
    <w:uiPriority w:val="39"/>
    <w:unhideWhenUsed/>
    <w:qFormat/>
    <w:pPr>
      <w:ind w:left="2268" w:right="0" w:firstLine="0"/>
      <w:spacing w:after="57"/>
    </w:pPr>
  </w:style>
  <w:style w:type="paragraph" w:styleId="956" w:customStyle="1">
    <w:name w:val="NormalIndent1"/>
    <w:basedOn w:val="754"/>
    <w:uiPriority w:val="0"/>
    <w:qFormat/>
    <w:pPr>
      <w:ind w:firstLine="420"/>
    </w:pPr>
    <w:rPr>
      <w:szCs w:val="20"/>
    </w:rPr>
  </w:style>
  <w:style w:type="paragraph" w:styleId="957" w:customStyle="1">
    <w:name w:val="目录 71"/>
    <w:basedOn w:val="754"/>
    <w:next w:val="754"/>
    <w:uiPriority w:val="39"/>
    <w:unhideWhenUsed/>
    <w:qFormat/>
    <w:pPr>
      <w:ind w:left="1701" w:right="0" w:firstLine="0"/>
      <w:spacing w:after="57"/>
    </w:pPr>
  </w:style>
  <w:style w:type="paragraph" w:styleId="958" w:customStyle="1">
    <w:name w:val="目录 21"/>
    <w:basedOn w:val="754"/>
    <w:next w:val="754"/>
    <w:uiPriority w:val="39"/>
    <w:unhideWhenUsed/>
    <w:qFormat/>
    <w:pPr>
      <w:ind w:left="283" w:right="0" w:firstLine="0"/>
      <w:spacing w:after="57"/>
    </w:pPr>
  </w:style>
  <w:style w:type="paragraph" w:styleId="959" w:customStyle="1">
    <w:name w:val="纯文本2"/>
    <w:basedOn w:val="754"/>
    <w:uiPriority w:val="0"/>
    <w:qFormat/>
    <w:rPr>
      <w:rFonts w:ascii="宋体" w:hAnsi="Courier New"/>
    </w:rPr>
  </w:style>
  <w:style w:type="paragraph" w:styleId="960" w:customStyle="1">
    <w:name w:val="目录 1111"/>
    <w:basedOn w:val="754"/>
    <w:next w:val="754"/>
    <w:uiPriority w:val="39"/>
    <w:unhideWhenUsed/>
    <w:qFormat/>
    <w:pPr>
      <w:jc w:val="left"/>
      <w:spacing w:after="100" w:line="259" w:lineRule="auto"/>
      <w:widowControl/>
    </w:pPr>
    <w:rPr>
      <w:rFonts w:ascii="Calibri" w:hAnsi="Calibri" w:eastAsia="宋体"/>
      <w:sz w:val="22"/>
      <w:szCs w:val="22"/>
    </w:rPr>
  </w:style>
  <w:style w:type="paragraph" w:styleId="961" w:customStyle="1">
    <w:name w:val="正文文本缩进 22"/>
    <w:basedOn w:val="754"/>
    <w:uiPriority w:val="0"/>
    <w:qFormat/>
    <w:pPr>
      <w:ind w:firstLine="640"/>
      <w:jc w:val="left"/>
      <w:spacing w:line="590" w:lineRule="exact"/>
    </w:pPr>
    <w:rPr>
      <w:rFonts w:ascii="仿宋_GB2312" w:hAnsi="宋体" w:eastAsia="仿宋_GB2312" w:cs="Times New Roman"/>
      <w:sz w:val="32"/>
      <w:szCs w:val="28"/>
    </w:rPr>
  </w:style>
  <w:style w:type="paragraph" w:styleId="962" w:customStyle="1">
    <w:name w:val="one-p"/>
    <w:basedOn w:val="754"/>
    <w:uiPriority w:val="0"/>
    <w:qFormat/>
    <w:pPr>
      <w:jc w:val="left"/>
      <w:spacing w:before="100" w:beforeAutospacing="1" w:after="100" w:afterAutospacing="1"/>
      <w:widowControl/>
    </w:pPr>
    <w:rPr>
      <w:rFonts w:ascii="宋体" w:hAnsi="宋体" w:cs="宋体"/>
      <w:sz w:val="24"/>
    </w:rPr>
  </w:style>
  <w:style w:type="paragraph" w:styleId="963">
    <w:name w:val="No Spacing"/>
    <w:uiPriority w:val="1"/>
    <w:qFormat/>
    <w:pPr>
      <w:spacing w:before="0" w:after="0" w:line="240" w:lineRule="auto"/>
    </w:pPr>
    <w:rPr>
      <w:rFonts w:hint="default" w:ascii="Times New Roman" w:hAnsi="Times New Roman" w:eastAsia="宋体" w:cs="Times New Roman"/>
    </w:rPr>
  </w:style>
  <w:style w:type="paragraph" w:styleId="964" w:customStyle="1">
    <w:name w:val="目录 31"/>
    <w:basedOn w:val="754"/>
    <w:next w:val="754"/>
    <w:uiPriority w:val="39"/>
    <w:unhideWhenUsed/>
    <w:qFormat/>
    <w:pPr>
      <w:ind w:left="567" w:right="0" w:firstLine="0"/>
      <w:spacing w:after="57"/>
    </w:pPr>
  </w:style>
  <w:style w:type="paragraph" w:styleId="965" w:customStyle="1">
    <w:name w:val="正文缩进11"/>
    <w:basedOn w:val="754"/>
    <w:next w:val="754"/>
    <w:uiPriority w:val="99"/>
    <w:qFormat/>
    <w:pPr>
      <w:ind w:firstLine="480"/>
      <w:keepNext/>
      <w:spacing w:line="480" w:lineRule="exact"/>
    </w:pPr>
    <w:rPr>
      <w:rFonts w:ascii="宋体" w:hAnsi="宋体" w:eastAsia="等线"/>
      <w:bCs/>
      <w:color w:val="000000"/>
      <w:sz w:val="24"/>
      <w:lang w:val="zh-CN"/>
    </w:rPr>
  </w:style>
  <w:style w:type="paragraph" w:styleId="96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67" w:customStyle="1">
    <w:name w:val="标题 211"/>
    <w:basedOn w:val="754"/>
    <w:next w:val="754"/>
    <w:uiPriority w:val="9"/>
    <w:unhideWhenUsed/>
    <w:qFormat/>
    <w:pPr>
      <w:keepLines/>
      <w:keepNext/>
      <w:spacing w:before="360" w:after="200"/>
      <w:outlineLvl w:val="1"/>
    </w:pPr>
    <w:rPr>
      <w:rFonts w:ascii="Arial" w:hAnsi="Arial" w:eastAsia="Arial" w:cs="Arial"/>
      <w:sz w:val="34"/>
    </w:rPr>
  </w:style>
  <w:style w:type="paragraph" w:styleId="968" w:customStyle="1">
    <w:name w:val="Other|1"/>
    <w:basedOn w:val="754"/>
    <w:uiPriority w:val="0"/>
    <w:qFormat/>
    <w:pPr>
      <w:ind w:firstLine="400"/>
      <w:spacing w:line="418" w:lineRule="auto"/>
    </w:pPr>
    <w:rPr>
      <w:rFonts w:ascii="宋体" w:hAnsi="宋体" w:cs="宋体"/>
      <w:sz w:val="30"/>
      <w:szCs w:val="30"/>
      <w:lang w:val="zh-TW" w:eastAsia="zh-TW" w:bidi="zh-TW"/>
    </w:rPr>
  </w:style>
  <w:style w:type="paragraph" w:styleId="969" w:customStyle="1">
    <w:name w:val="脚注文本1"/>
    <w:basedOn w:val="795"/>
    <w:next w:val="930"/>
    <w:uiPriority w:val="0"/>
    <w:qFormat/>
    <w:pPr>
      <w:jc w:val="left"/>
    </w:pPr>
    <w:rPr>
      <w:rFonts w:ascii="宋体" w:eastAsia="Times New Roman"/>
      <w:sz w:val="18"/>
      <w:szCs w:val="18"/>
    </w:rPr>
  </w:style>
  <w:style w:type="paragraph" w:styleId="970" w:customStyle="1">
    <w:name w:val="样式"/>
    <w:uiPriority w:val="0"/>
    <w:qFormat/>
    <w:pPr>
      <w:widowControl w:val="off"/>
    </w:pPr>
    <w:rPr>
      <w:rFonts w:hint="default" w:ascii="宋体" w:hAnsi="宋体" w:eastAsia="宋体" w:cs="宋体"/>
      <w:sz w:val="24"/>
      <w:szCs w:val="24"/>
      <w:lang w:val="en-US" w:eastAsia="zh-CN" w:bidi="ar-SA"/>
    </w:rPr>
  </w:style>
  <w:style w:type="paragraph" w:styleId="971" w:customStyle="1">
    <w:name w:val="BodyTextIndent1"/>
    <w:basedOn w:val="754"/>
    <w:uiPriority w:val="0"/>
    <w:qFormat/>
    <w:pPr>
      <w:ind w:left="420"/>
      <w:spacing w:after="120"/>
    </w:pPr>
    <w:rPr>
      <w:sz w:val="28"/>
      <w:szCs w:val="20"/>
    </w:rPr>
  </w:style>
  <w:style w:type="paragraph" w:styleId="972" w:customStyle="1">
    <w:name w:val="标题 11"/>
    <w:basedOn w:val="795"/>
    <w:next w:val="795"/>
    <w:uiPriority w:val="0"/>
    <w:qFormat/>
    <w:pPr>
      <w:jc w:val="center"/>
      <w:keepLines/>
      <w:keepNext/>
      <w:spacing w:line="578" w:lineRule="auto"/>
      <w:outlineLvl w:val="0"/>
    </w:pPr>
    <w:rPr>
      <w:rFonts w:eastAsia="新宋体"/>
      <w:b/>
      <w:bCs/>
      <w:sz w:val="30"/>
      <w:szCs w:val="44"/>
    </w:rPr>
  </w:style>
  <w:style w:type="paragraph" w:styleId="973" w:customStyle="1">
    <w:name w:val="文本块1"/>
    <w:basedOn w:val="754"/>
    <w:uiPriority w:val="0"/>
    <w:qFormat/>
    <w:pPr>
      <w:ind w:left="420" w:right="33"/>
      <w:jc w:val="left"/>
    </w:pPr>
    <w:rPr>
      <w:sz w:val="24"/>
      <w:szCs w:val="20"/>
    </w:rPr>
  </w:style>
  <w:style w:type="paragraph" w:styleId="974" w:customStyle="1">
    <w:name w:val="脚注文本11"/>
    <w:basedOn w:val="754"/>
    <w:next w:val="943"/>
    <w:uiPriority w:val="0"/>
    <w:qFormat/>
    <w:pPr>
      <w:jc w:val="left"/>
    </w:pPr>
    <w:rPr>
      <w:rFonts w:ascii="宋体" w:eastAsia="Times New Roman"/>
      <w:sz w:val="18"/>
      <w:szCs w:val="18"/>
    </w:rPr>
  </w:style>
  <w:style w:type="paragraph" w:styleId="975" w:customStyle="1">
    <w:name w:val="179"/>
    <w:basedOn w:val="754"/>
    <w:uiPriority w:val="0"/>
    <w:qFormat/>
    <w:pPr>
      <w:ind w:firstLine="420"/>
      <w:jc w:val="left"/>
      <w:widowControl/>
    </w:pPr>
    <w:rPr>
      <w:rFonts w:ascii="宋体" w:hAnsi="宋体"/>
      <w:sz w:val="24"/>
    </w:rPr>
  </w:style>
  <w:style w:type="paragraph" w:styleId="976" w:customStyle="1">
    <w:name w:val="p0"/>
    <w:basedOn w:val="754"/>
    <w:uiPriority w:val="0"/>
    <w:qFormat/>
    <w:pPr>
      <w:widowControl/>
    </w:pPr>
    <w:rPr>
      <w:szCs w:val="21"/>
    </w:rPr>
  </w:style>
  <w:style w:type="paragraph" w:styleId="977" w:customStyle="1">
    <w:name w:val="列表段落"/>
    <w:basedOn w:val="754"/>
    <w:uiPriority w:val="99"/>
    <w:qFormat/>
    <w:pPr>
      <w:ind w:firstLine="420"/>
    </w:pPr>
  </w:style>
  <w:style w:type="paragraph" w:styleId="978" w:customStyle="1">
    <w:name w:val="_Style 15"/>
    <w:basedOn w:val="754"/>
    <w:next w:val="977"/>
    <w:uiPriority w:val="34"/>
    <w:qFormat/>
    <w:pPr>
      <w:ind w:firstLine="420"/>
    </w:pPr>
    <w:rPr>
      <w:rFonts w:ascii="Calibri" w:hAnsi="Calibri"/>
      <w:szCs w:val="22"/>
    </w:rPr>
  </w:style>
  <w:style w:type="paragraph" w:styleId="979" w:customStyle="1">
    <w:name w:val="TOC Heading"/>
    <w:uiPriority w:val="39"/>
    <w:unhideWhenUsed/>
    <w:qFormat/>
    <w:rPr>
      <w:rFonts w:hint="default" w:ascii="Times New Roman" w:hAnsi="Times New Roman" w:eastAsia="宋体" w:cs="Times New Roman"/>
    </w:rPr>
  </w:style>
  <w:style w:type="paragraph" w:styleId="980" w:customStyle="1">
    <w:name w:val="普通(网站)1"/>
    <w:basedOn w:val="754"/>
    <w:uiPriority w:val="99"/>
    <w:qFormat/>
    <w:pPr>
      <w:jc w:val="left"/>
      <w:spacing w:before="100" w:beforeAutospacing="1" w:after="100" w:afterAutospacing="1"/>
      <w:widowControl/>
    </w:pPr>
    <w:rPr>
      <w:rFonts w:ascii="宋体" w:hAnsi="宋体" w:cs="宋体"/>
      <w:sz w:val="24"/>
    </w:rPr>
  </w:style>
  <w:style w:type="paragraph" w:styleId="981" w:customStyle="1">
    <w:name w:val="首行缩进"/>
    <w:basedOn w:val="754"/>
    <w:uiPriority w:val="0"/>
    <w:qFormat/>
    <w:pPr>
      <w:ind w:firstLine="480"/>
    </w:pPr>
    <w:rPr>
      <w:szCs w:val="20"/>
      <w:lang w:val="zh-CN"/>
    </w:rPr>
  </w:style>
  <w:style w:type="table" w:styleId="982" w:customStyle="1">
    <w:name w:val="网格型12"/>
    <w:uiPriority w:val="59"/>
    <w:qFormat/>
    <w:pPr>
      <w:spacing w:after="0" w:line="240" w:lineRule="auto"/>
    </w:pPr>
    <w:tblPr/>
  </w:style>
  <w:style w:type="table" w:styleId="983" w:customStyle="1">
    <w:name w:val="List Table 1 Light"/>
    <w:uiPriority w:val="99"/>
    <w:qFormat/>
    <w:pPr>
      <w:spacing w:after="0" w:line="240" w:lineRule="auto"/>
    </w:pPr>
    <w:tblPr/>
  </w:style>
  <w:style w:type="table" w:styleId="984" w:customStyle="1">
    <w:name w:val="Grid Table 1 Light - Accent 5"/>
    <w:uiPriority w:val="99"/>
    <w:qFormat/>
    <w:pPr>
      <w:spacing w:after="0" w:line="240" w:lineRule="auto"/>
    </w:pPr>
    <w:tblPr/>
  </w:style>
  <w:style w:type="table" w:styleId="985" w:customStyle="1">
    <w:name w:val="Grid Table 6 Colorful - Accent 2"/>
    <w:uiPriority w:val="99"/>
    <w:qFormat/>
    <w:pPr>
      <w:spacing w:after="0" w:line="240" w:lineRule="auto"/>
    </w:pPr>
    <w:tblPr/>
  </w:style>
  <w:style w:type="table" w:styleId="986" w:customStyle="1">
    <w:name w:val="Bordered - Accent 6"/>
    <w:uiPriority w:val="99"/>
    <w:qFormat/>
    <w:pPr>
      <w:spacing w:after="0" w:line="240" w:lineRule="auto"/>
    </w:pPr>
    <w:tblPr/>
  </w:style>
  <w:style w:type="table" w:styleId="987" w:customStyle="1">
    <w:name w:val="Grid Table 2 - Accent 1"/>
    <w:uiPriority w:val="99"/>
    <w:qFormat/>
    <w:pPr>
      <w:spacing w:after="0" w:line="240" w:lineRule="auto"/>
    </w:pPr>
    <w:tblPr/>
  </w:style>
  <w:style w:type="table" w:styleId="988" w:customStyle="1">
    <w:name w:val="Grid Table 1 Light"/>
    <w:uiPriority w:val="99"/>
    <w:qFormat/>
    <w:pPr>
      <w:spacing w:after="0" w:line="240" w:lineRule="auto"/>
    </w:pPr>
    <w:tblPr/>
  </w:style>
  <w:style w:type="table" w:styleId="989" w:customStyle="1">
    <w:name w:val="Grid Table 2 - Accent 3"/>
    <w:uiPriority w:val="99"/>
    <w:qFormat/>
    <w:pPr>
      <w:spacing w:after="0" w:line="240" w:lineRule="auto"/>
    </w:pPr>
    <w:tblPr/>
  </w:style>
  <w:style w:type="table" w:styleId="990" w:customStyle="1">
    <w:name w:val="Bordered &amp; Lined - Accent 5"/>
    <w:uiPriority w:val="99"/>
    <w:qFormat/>
    <w:pPr>
      <w:spacing w:after="0" w:line="240" w:lineRule="auto"/>
    </w:pPr>
    <w:rPr>
      <w:color w:val="404040"/>
    </w:rPr>
    <w:tblPr/>
  </w:style>
  <w:style w:type="table" w:styleId="991" w:customStyle="1">
    <w:name w:val="Bordered - Accent 5"/>
    <w:uiPriority w:val="99"/>
    <w:qFormat/>
    <w:pPr>
      <w:spacing w:after="0" w:line="240" w:lineRule="auto"/>
    </w:pPr>
    <w:tblPr/>
  </w:style>
  <w:style w:type="table" w:styleId="992" w:customStyle="1">
    <w:name w:val="List Table 7 Colorful"/>
    <w:uiPriority w:val="99"/>
    <w:qFormat/>
    <w:pPr>
      <w:spacing w:after="0" w:line="240" w:lineRule="auto"/>
    </w:pPr>
    <w:tblPr/>
  </w:style>
  <w:style w:type="table" w:styleId="993" w:customStyle="1">
    <w:name w:val="Grid Table 1 Light - Accent 3"/>
    <w:uiPriority w:val="99"/>
    <w:qFormat/>
    <w:pPr>
      <w:spacing w:after="0" w:line="240" w:lineRule="auto"/>
    </w:pPr>
    <w:tblPr/>
  </w:style>
  <w:style w:type="table" w:styleId="994" w:customStyle="1">
    <w:name w:val="Lined - Accent 6"/>
    <w:uiPriority w:val="99"/>
    <w:qFormat/>
    <w:pPr>
      <w:spacing w:after="0" w:line="240" w:lineRule="auto"/>
    </w:pPr>
    <w:rPr>
      <w:color w:val="404040"/>
    </w:rPr>
    <w:tblPr/>
  </w:style>
  <w:style w:type="table" w:styleId="995" w:customStyle="1">
    <w:name w:val="List Table 6 Colorful - Accent 5"/>
    <w:uiPriority w:val="99"/>
    <w:qFormat/>
    <w:pPr>
      <w:spacing w:after="0" w:line="240" w:lineRule="auto"/>
    </w:pPr>
    <w:tblPr/>
  </w:style>
  <w:style w:type="table" w:styleId="996" w:customStyle="1">
    <w:name w:val="Grid Table 7 Colorful - Accent 1"/>
    <w:uiPriority w:val="99"/>
    <w:qFormat/>
    <w:pPr>
      <w:spacing w:after="0" w:line="240" w:lineRule="auto"/>
    </w:pPr>
    <w:tblPr/>
  </w:style>
  <w:style w:type="table" w:styleId="997" w:customStyle="1">
    <w:name w:val="Grid Table 5 Dark - Accent 2"/>
    <w:uiPriority w:val="99"/>
    <w:qFormat/>
    <w:pPr>
      <w:spacing w:after="0" w:line="240" w:lineRule="auto"/>
    </w:pPr>
    <w:tblPr/>
  </w:style>
  <w:style w:type="table" w:styleId="998" w:customStyle="1">
    <w:name w:val="List Table 3 - Accent 5"/>
    <w:uiPriority w:val="99"/>
    <w:qFormat/>
    <w:pPr>
      <w:spacing w:after="0" w:line="240" w:lineRule="auto"/>
    </w:pPr>
    <w:tblPr/>
  </w:style>
  <w:style w:type="table" w:styleId="999" w:customStyle="1">
    <w:name w:val="List Table 6 Colorful - Accent 4"/>
    <w:uiPriority w:val="99"/>
    <w:qFormat/>
    <w:pPr>
      <w:spacing w:after="0" w:line="240" w:lineRule="auto"/>
    </w:pPr>
    <w:tblPr/>
  </w:style>
  <w:style w:type="table" w:styleId="1000" w:customStyle="1">
    <w:name w:val="List Table 4 - Accent 1"/>
    <w:uiPriority w:val="99"/>
    <w:qFormat/>
    <w:pPr>
      <w:spacing w:after="0" w:line="240" w:lineRule="auto"/>
    </w:pPr>
    <w:tblPr/>
  </w:style>
  <w:style w:type="table" w:styleId="1001" w:customStyle="1">
    <w:name w:val="List Table 1 Light - Accent 1"/>
    <w:uiPriority w:val="99"/>
    <w:qFormat/>
    <w:pPr>
      <w:spacing w:after="0" w:line="240" w:lineRule="auto"/>
    </w:pPr>
    <w:tblPr/>
  </w:style>
  <w:style w:type="table" w:styleId="1002" w:customStyle="1">
    <w:name w:val="Grid Table 7 Colorful - Accent 2"/>
    <w:uiPriority w:val="99"/>
    <w:qFormat/>
    <w:pPr>
      <w:spacing w:after="0" w:line="240" w:lineRule="auto"/>
    </w:pPr>
    <w:tblPr/>
  </w:style>
  <w:style w:type="table" w:styleId="1003" w:customStyle="1">
    <w:name w:val="List Table 3 - Accent 6"/>
    <w:uiPriority w:val="99"/>
    <w:qFormat/>
    <w:pPr>
      <w:spacing w:after="0" w:line="240" w:lineRule="auto"/>
    </w:pPr>
    <w:tblPr/>
  </w:style>
  <w:style w:type="table" w:styleId="1004" w:customStyle="1">
    <w:name w:val="Lined - Accent 5"/>
    <w:uiPriority w:val="99"/>
    <w:qFormat/>
    <w:pPr>
      <w:spacing w:after="0" w:line="240" w:lineRule="auto"/>
    </w:pPr>
    <w:rPr>
      <w:color w:val="404040"/>
    </w:rPr>
    <w:tblPr/>
  </w:style>
  <w:style w:type="table" w:styleId="1005" w:customStyle="1">
    <w:name w:val="List Table 5 Dark - Accent 6"/>
    <w:uiPriority w:val="99"/>
    <w:qFormat/>
    <w:pPr>
      <w:spacing w:after="0" w:line="240" w:lineRule="auto"/>
    </w:pPr>
    <w:tblPr/>
  </w:style>
  <w:style w:type="table" w:styleId="1006" w:customStyle="1">
    <w:name w:val="List Table 4 - Accent 6"/>
    <w:uiPriority w:val="99"/>
    <w:qFormat/>
    <w:pPr>
      <w:spacing w:after="0" w:line="240" w:lineRule="auto"/>
    </w:pPr>
    <w:tblPr/>
  </w:style>
  <w:style w:type="table" w:styleId="1007" w:customStyle="1">
    <w:name w:val="List Table 2 - Accent 1"/>
    <w:uiPriority w:val="99"/>
    <w:qFormat/>
    <w:pPr>
      <w:spacing w:after="0" w:line="240" w:lineRule="auto"/>
    </w:pPr>
    <w:tblPr/>
  </w:style>
  <w:style w:type="table" w:styleId="1008" w:customStyle="1">
    <w:name w:val="Bordered &amp; Lined - Accent 1"/>
    <w:uiPriority w:val="99"/>
    <w:qFormat/>
    <w:pPr>
      <w:spacing w:after="0" w:line="240" w:lineRule="auto"/>
    </w:pPr>
    <w:rPr>
      <w:color w:val="404040"/>
    </w:rPr>
    <w:tblPr/>
  </w:style>
  <w:style w:type="table" w:styleId="1009" w:customStyle="1">
    <w:name w:val="List Table 5 Dark - Accent 2"/>
    <w:uiPriority w:val="99"/>
    <w:qFormat/>
    <w:pPr>
      <w:spacing w:after="0" w:line="240" w:lineRule="auto"/>
    </w:pPr>
    <w:tblPr/>
  </w:style>
  <w:style w:type="table" w:styleId="1010" w:customStyle="1">
    <w:name w:val="Bordered &amp; Lined - Accent 2"/>
    <w:uiPriority w:val="99"/>
    <w:qFormat/>
    <w:pPr>
      <w:spacing w:after="0" w:line="240" w:lineRule="auto"/>
    </w:pPr>
    <w:rPr>
      <w:color w:val="404040"/>
    </w:rPr>
    <w:tblPr/>
  </w:style>
  <w:style w:type="table" w:styleId="1011" w:customStyle="1">
    <w:name w:val="List Table 7 Colorful - Accent 1"/>
    <w:uiPriority w:val="99"/>
    <w:qFormat/>
    <w:pPr>
      <w:spacing w:after="0" w:line="240" w:lineRule="auto"/>
    </w:pPr>
    <w:tblPr/>
  </w:style>
  <w:style w:type="table" w:styleId="1012" w:customStyle="1">
    <w:name w:val="Plain Table 1"/>
    <w:uiPriority w:val="59"/>
    <w:qFormat/>
    <w:pPr>
      <w:spacing w:after="0" w:line="240" w:lineRule="auto"/>
    </w:pPr>
    <w:tblPr/>
  </w:style>
  <w:style w:type="table" w:styleId="1013" w:customStyle="1">
    <w:name w:val="Plain Table 4"/>
    <w:uiPriority w:val="99"/>
    <w:qFormat/>
    <w:pPr>
      <w:spacing w:after="0" w:line="240" w:lineRule="auto"/>
    </w:pPr>
    <w:tblPr/>
  </w:style>
  <w:style w:type="table" w:styleId="1014" w:customStyle="1">
    <w:name w:val="Grid Table 2"/>
    <w:uiPriority w:val="99"/>
    <w:qFormat/>
    <w:pPr>
      <w:spacing w:after="0" w:line="240" w:lineRule="auto"/>
    </w:pPr>
    <w:tblPr/>
  </w:style>
  <w:style w:type="table" w:styleId="1015" w:customStyle="1">
    <w:name w:val="Grid Table 4 - Accent 2"/>
    <w:uiPriority w:val="59"/>
    <w:qFormat/>
    <w:pPr>
      <w:spacing w:after="0" w:line="240" w:lineRule="auto"/>
    </w:pPr>
    <w:tblPr/>
  </w:style>
  <w:style w:type="table" w:styleId="1016" w:customStyle="1">
    <w:name w:val="Grid Table 6 Colorful - Accent 4"/>
    <w:uiPriority w:val="99"/>
    <w:qFormat/>
    <w:pPr>
      <w:spacing w:after="0" w:line="240" w:lineRule="auto"/>
    </w:pPr>
    <w:tblPr/>
  </w:style>
  <w:style w:type="table" w:styleId="1017" w:customStyle="1">
    <w:name w:val="Lined - Accent"/>
    <w:uiPriority w:val="99"/>
    <w:qFormat/>
    <w:pPr>
      <w:spacing w:after="0" w:line="240" w:lineRule="auto"/>
    </w:pPr>
    <w:rPr>
      <w:color w:val="404040"/>
    </w:rPr>
    <w:tblPr/>
  </w:style>
  <w:style w:type="table" w:styleId="1018" w:customStyle="1">
    <w:name w:val="List Table 5 Dark - Accent 3"/>
    <w:uiPriority w:val="99"/>
    <w:qFormat/>
    <w:pPr>
      <w:spacing w:after="0" w:line="240" w:lineRule="auto"/>
    </w:pPr>
    <w:tblPr/>
  </w:style>
  <w:style w:type="table" w:styleId="1019" w:customStyle="1">
    <w:name w:val="网格型11"/>
    <w:basedOn w:val="1020"/>
    <w:uiPriority w:val="99"/>
    <w:qFormat/>
    <w:pPr>
      <w:jc w:val="both"/>
      <w:widowControl w:val="off"/>
    </w:pPr>
    <w:tblPr/>
  </w:style>
  <w:style w:type="table" w:styleId="1020" w:customStyle="1">
    <w:name w:val="普通表格1"/>
    <w:uiPriority w:val="0"/>
    <w:semiHidden/>
    <w:qFormat/>
    <w:tblPr/>
  </w:style>
  <w:style w:type="table" w:styleId="1021" w:customStyle="1">
    <w:name w:val="List Table 6 Colorful - Accent 6"/>
    <w:uiPriority w:val="99"/>
    <w:qFormat/>
    <w:pPr>
      <w:spacing w:after="0" w:line="240" w:lineRule="auto"/>
    </w:pPr>
    <w:tblPr/>
  </w:style>
  <w:style w:type="table" w:styleId="1022" w:customStyle="1">
    <w:name w:val="Grid Table 7 Colorful"/>
    <w:uiPriority w:val="99"/>
    <w:qFormat/>
    <w:pPr>
      <w:spacing w:after="0" w:line="240" w:lineRule="auto"/>
    </w:pPr>
    <w:tblPr/>
  </w:style>
  <w:style w:type="table" w:styleId="1023" w:customStyle="1">
    <w:name w:val="List Table 4 - Accent 2"/>
    <w:uiPriority w:val="99"/>
    <w:qFormat/>
    <w:pPr>
      <w:spacing w:after="0" w:line="240" w:lineRule="auto"/>
    </w:pPr>
    <w:tblPr/>
  </w:style>
  <w:style w:type="table" w:styleId="1024" w:customStyle="1">
    <w:name w:val="List Table 6 Colorful - Accent 1"/>
    <w:uiPriority w:val="99"/>
    <w:qFormat/>
    <w:pPr>
      <w:spacing w:after="0" w:line="240" w:lineRule="auto"/>
    </w:pPr>
    <w:tblPr/>
  </w:style>
  <w:style w:type="table" w:styleId="1025" w:customStyle="1">
    <w:name w:val="List Table 1 Light - Accent 6"/>
    <w:uiPriority w:val="99"/>
    <w:qFormat/>
    <w:pPr>
      <w:spacing w:after="0" w:line="240" w:lineRule="auto"/>
    </w:pPr>
    <w:tblPr/>
  </w:style>
  <w:style w:type="table" w:styleId="1026" w:customStyle="1">
    <w:name w:val="Plain Table 2"/>
    <w:uiPriority w:val="59"/>
    <w:qFormat/>
    <w:pPr>
      <w:spacing w:after="0" w:line="240" w:lineRule="auto"/>
    </w:pPr>
    <w:tblPr/>
  </w:style>
  <w:style w:type="table" w:styleId="1027" w:customStyle="1">
    <w:name w:val="List Table 3 - Accent 4"/>
    <w:uiPriority w:val="99"/>
    <w:qFormat/>
    <w:pPr>
      <w:spacing w:after="0" w:line="240" w:lineRule="auto"/>
    </w:pPr>
    <w:tblPr/>
  </w:style>
  <w:style w:type="table" w:styleId="1028" w:customStyle="1">
    <w:name w:val="Plain Table 5"/>
    <w:uiPriority w:val="99"/>
    <w:qFormat/>
    <w:pPr>
      <w:spacing w:after="0" w:line="240" w:lineRule="auto"/>
    </w:pPr>
    <w:tblPr/>
  </w:style>
  <w:style w:type="table" w:styleId="1029" w:customStyle="1">
    <w:name w:val="Bordered - Accent 1"/>
    <w:uiPriority w:val="99"/>
    <w:qFormat/>
    <w:pPr>
      <w:spacing w:after="0" w:line="240" w:lineRule="auto"/>
    </w:pPr>
    <w:tblPr/>
  </w:style>
  <w:style w:type="table" w:styleId="1030" w:customStyle="1">
    <w:name w:val="List Table 1 Light - Accent 2"/>
    <w:uiPriority w:val="99"/>
    <w:qFormat/>
    <w:pPr>
      <w:spacing w:after="0" w:line="240" w:lineRule="auto"/>
    </w:pPr>
    <w:tblPr/>
  </w:style>
  <w:style w:type="table" w:styleId="1031" w:customStyle="1">
    <w:name w:val="Bordered - Accent 2"/>
    <w:uiPriority w:val="99"/>
    <w:qFormat/>
    <w:pPr>
      <w:spacing w:after="0" w:line="240" w:lineRule="auto"/>
    </w:pPr>
    <w:tblPr/>
  </w:style>
  <w:style w:type="table" w:styleId="1032" w:customStyle="1">
    <w:name w:val="Grid Table 1 Light - Accent 2"/>
    <w:uiPriority w:val="99"/>
    <w:qFormat/>
    <w:pPr>
      <w:spacing w:after="0" w:line="240" w:lineRule="auto"/>
    </w:pPr>
    <w:tblPr/>
  </w:style>
  <w:style w:type="table" w:styleId="1033" w:customStyle="1">
    <w:name w:val="List Table 2 - Accent 4"/>
    <w:uiPriority w:val="99"/>
    <w:qFormat/>
    <w:pPr>
      <w:spacing w:after="0" w:line="240" w:lineRule="auto"/>
    </w:pPr>
    <w:tblPr/>
  </w:style>
  <w:style w:type="table" w:styleId="1034" w:customStyle="1">
    <w:name w:val="Grid Table 6 Colorful - Accent 5"/>
    <w:uiPriority w:val="99"/>
    <w:qFormat/>
    <w:pPr>
      <w:spacing w:after="0" w:line="240" w:lineRule="auto"/>
    </w:pPr>
    <w:tblPr/>
  </w:style>
  <w:style w:type="table" w:styleId="1035" w:customStyle="1">
    <w:name w:val="Grid Table 3 - Accent 1"/>
    <w:uiPriority w:val="99"/>
    <w:qFormat/>
    <w:pPr>
      <w:spacing w:after="0" w:line="240" w:lineRule="auto"/>
    </w:pPr>
    <w:tblPr/>
  </w:style>
  <w:style w:type="table" w:styleId="1036" w:customStyle="1">
    <w:name w:val="Plain Table 3"/>
    <w:uiPriority w:val="99"/>
    <w:qFormat/>
    <w:pPr>
      <w:spacing w:after="0" w:line="240" w:lineRule="auto"/>
    </w:pPr>
    <w:tblPr/>
  </w:style>
  <w:style w:type="table" w:styleId="1037" w:customStyle="1">
    <w:name w:val="Grid Table 4 - Accent 1"/>
    <w:uiPriority w:val="59"/>
    <w:qFormat/>
    <w:pPr>
      <w:spacing w:after="0" w:line="240" w:lineRule="auto"/>
    </w:pPr>
    <w:tblPr/>
  </w:style>
  <w:style w:type="table" w:styleId="1038" w:customStyle="1">
    <w:name w:val="List Table 1 Light - Accent 5"/>
    <w:uiPriority w:val="99"/>
    <w:qFormat/>
    <w:pPr>
      <w:spacing w:after="0" w:line="240" w:lineRule="auto"/>
    </w:pPr>
    <w:tblPr/>
  </w:style>
  <w:style w:type="table" w:styleId="1039" w:customStyle="1">
    <w:name w:val="Grid Table 3 - Accent 5"/>
    <w:uiPriority w:val="99"/>
    <w:qFormat/>
    <w:pPr>
      <w:spacing w:after="0" w:line="240" w:lineRule="auto"/>
    </w:pPr>
    <w:tblPr/>
  </w:style>
  <w:style w:type="table" w:styleId="1040" w:customStyle="1">
    <w:name w:val="Grid Table 1 Light - Accent 1"/>
    <w:uiPriority w:val="99"/>
    <w:qFormat/>
    <w:pPr>
      <w:spacing w:after="0" w:line="240" w:lineRule="auto"/>
    </w:pPr>
    <w:tblPr/>
  </w:style>
  <w:style w:type="table" w:styleId="1041" w:customStyle="1">
    <w:name w:val="Grid Table 5 Dark"/>
    <w:uiPriority w:val="99"/>
    <w:qFormat/>
    <w:pPr>
      <w:spacing w:after="0" w:line="240" w:lineRule="auto"/>
    </w:pPr>
    <w:tblPr/>
  </w:style>
  <w:style w:type="table" w:styleId="1042" w:customStyle="1">
    <w:name w:val="List Table 2 - Accent 2"/>
    <w:uiPriority w:val="99"/>
    <w:qFormat/>
    <w:pPr>
      <w:spacing w:after="0" w:line="240" w:lineRule="auto"/>
    </w:pPr>
    <w:tblPr/>
  </w:style>
  <w:style w:type="table" w:styleId="1043" w:customStyle="1">
    <w:name w:val="Lined - Accent 1"/>
    <w:uiPriority w:val="99"/>
    <w:qFormat/>
    <w:pPr>
      <w:spacing w:after="0" w:line="240" w:lineRule="auto"/>
    </w:pPr>
    <w:rPr>
      <w:color w:val="404040"/>
    </w:rPr>
    <w:tblPr/>
  </w:style>
  <w:style w:type="table" w:styleId="1044" w:customStyle="1">
    <w:name w:val="Grid Table 1 Light - Accent 4"/>
    <w:uiPriority w:val="99"/>
    <w:qFormat/>
    <w:pPr>
      <w:spacing w:after="0" w:line="240" w:lineRule="auto"/>
    </w:pPr>
    <w:tblPr/>
  </w:style>
  <w:style w:type="table" w:styleId="1045" w:customStyle="1">
    <w:name w:val="Grid Table 6 Colorful - Accent 1"/>
    <w:uiPriority w:val="99"/>
    <w:qFormat/>
    <w:pPr>
      <w:spacing w:after="0" w:line="240" w:lineRule="auto"/>
    </w:pPr>
    <w:tblPr/>
  </w:style>
  <w:style w:type="table" w:styleId="1046" w:customStyle="1">
    <w:name w:val="List Table 1 Light - Accent 3"/>
    <w:uiPriority w:val="99"/>
    <w:qFormat/>
    <w:pPr>
      <w:spacing w:after="0" w:line="240" w:lineRule="auto"/>
    </w:pPr>
    <w:tblPr/>
  </w:style>
  <w:style w:type="table" w:styleId="1047" w:customStyle="1">
    <w:name w:val="Grid Table 3 - Accent 6"/>
    <w:uiPriority w:val="99"/>
    <w:qFormat/>
    <w:pPr>
      <w:spacing w:after="0" w:line="240" w:lineRule="auto"/>
    </w:pPr>
    <w:tblPr/>
  </w:style>
  <w:style w:type="table" w:styleId="1048" w:customStyle="1">
    <w:name w:val="Grid Table 7 Colorful - Accent 3"/>
    <w:uiPriority w:val="99"/>
    <w:qFormat/>
    <w:pPr>
      <w:spacing w:after="0" w:line="240" w:lineRule="auto"/>
    </w:pPr>
    <w:tblPr/>
  </w:style>
  <w:style w:type="table" w:styleId="1049" w:customStyle="1">
    <w:name w:val="Grid Table 2 - Accent 5"/>
    <w:uiPriority w:val="99"/>
    <w:qFormat/>
    <w:pPr>
      <w:spacing w:after="0" w:line="240" w:lineRule="auto"/>
    </w:pPr>
    <w:tblPr/>
  </w:style>
  <w:style w:type="table" w:styleId="1050" w:customStyle="1">
    <w:name w:val="Bordered &amp; Lined - Accent 3"/>
    <w:uiPriority w:val="99"/>
    <w:qFormat/>
    <w:pPr>
      <w:spacing w:after="0" w:line="240" w:lineRule="auto"/>
    </w:pPr>
    <w:rPr>
      <w:color w:val="404040"/>
    </w:rPr>
    <w:tblPr/>
  </w:style>
  <w:style w:type="table" w:styleId="1051" w:customStyle="1">
    <w:name w:val="List Table 5 Dark - Accent 5"/>
    <w:uiPriority w:val="99"/>
    <w:qFormat/>
    <w:pPr>
      <w:spacing w:after="0" w:line="240" w:lineRule="auto"/>
    </w:pPr>
    <w:tblPr/>
  </w:style>
  <w:style w:type="table" w:styleId="1052" w:customStyle="1">
    <w:name w:val="Bordered"/>
    <w:uiPriority w:val="99"/>
    <w:qFormat/>
    <w:pPr>
      <w:spacing w:after="0" w:line="240" w:lineRule="auto"/>
    </w:pPr>
    <w:tblPr/>
  </w:style>
  <w:style w:type="table" w:styleId="1053" w:customStyle="1">
    <w:name w:val="Bordered &amp; Lined - Accent"/>
    <w:uiPriority w:val="99"/>
    <w:qFormat/>
    <w:pPr>
      <w:spacing w:after="0" w:line="240" w:lineRule="auto"/>
    </w:pPr>
    <w:rPr>
      <w:color w:val="404040"/>
    </w:rPr>
    <w:tblPr/>
  </w:style>
  <w:style w:type="table" w:styleId="1054" w:customStyle="1">
    <w:name w:val="Grid Table 2 - Accent 2"/>
    <w:uiPriority w:val="99"/>
    <w:qFormat/>
    <w:pPr>
      <w:spacing w:after="0" w:line="240" w:lineRule="auto"/>
    </w:pPr>
    <w:tblPr/>
  </w:style>
  <w:style w:type="table" w:styleId="1055" w:customStyle="1">
    <w:name w:val="Grid Table 4 - Accent 5"/>
    <w:uiPriority w:val="59"/>
    <w:qFormat/>
    <w:pPr>
      <w:spacing w:after="0" w:line="240" w:lineRule="auto"/>
    </w:pPr>
    <w:tblPr/>
  </w:style>
  <w:style w:type="table" w:styleId="1056" w:customStyle="1">
    <w:name w:val="Grid Table 2 - Accent 4"/>
    <w:uiPriority w:val="99"/>
    <w:qFormat/>
    <w:pPr>
      <w:spacing w:after="0" w:line="240" w:lineRule="auto"/>
    </w:pPr>
    <w:tblPr/>
  </w:style>
  <w:style w:type="table" w:styleId="1057" w:customStyle="1">
    <w:name w:val="Grid Table 3"/>
    <w:uiPriority w:val="99"/>
    <w:qFormat/>
    <w:pPr>
      <w:spacing w:after="0" w:line="240" w:lineRule="auto"/>
    </w:pPr>
    <w:tblPr/>
  </w:style>
  <w:style w:type="table" w:styleId="1058" w:customStyle="1">
    <w:name w:val="Bordered - Accent 4"/>
    <w:uiPriority w:val="99"/>
    <w:qFormat/>
    <w:pPr>
      <w:spacing w:after="0" w:line="240" w:lineRule="auto"/>
    </w:pPr>
    <w:tblPr/>
  </w:style>
  <w:style w:type="table" w:styleId="1059" w:customStyle="1">
    <w:name w:val="Bordered &amp; Lined - Accent 4"/>
    <w:uiPriority w:val="99"/>
    <w:qFormat/>
    <w:pPr>
      <w:spacing w:after="0" w:line="240" w:lineRule="auto"/>
    </w:pPr>
    <w:rPr>
      <w:color w:val="404040"/>
    </w:rPr>
    <w:tblPr/>
  </w:style>
  <w:style w:type="table" w:styleId="1060" w:customStyle="1">
    <w:name w:val="Table Normal"/>
    <w:uiPriority w:val="2"/>
    <w:unhideWhenUsed/>
    <w:qFormat/>
    <w:tblPr/>
  </w:style>
  <w:style w:type="table" w:styleId="1061" w:customStyle="1">
    <w:name w:val="Grid Table 2 - Accent 6"/>
    <w:uiPriority w:val="99"/>
    <w:qFormat/>
    <w:pPr>
      <w:spacing w:after="0" w:line="240" w:lineRule="auto"/>
    </w:pPr>
    <w:tblPr/>
  </w:style>
  <w:style w:type="table" w:styleId="1062" w:customStyle="1">
    <w:name w:val="List Table 2 - Accent 6"/>
    <w:uiPriority w:val="99"/>
    <w:qFormat/>
    <w:pPr>
      <w:spacing w:after="0" w:line="240" w:lineRule="auto"/>
    </w:pPr>
    <w:tblPr/>
  </w:style>
  <w:style w:type="table" w:styleId="1063" w:customStyle="1">
    <w:name w:val="List Table 6 Colorful - Accent 2"/>
    <w:uiPriority w:val="99"/>
    <w:qFormat/>
    <w:pPr>
      <w:spacing w:after="0" w:line="240" w:lineRule="auto"/>
    </w:pPr>
    <w:tblPr/>
  </w:style>
  <w:style w:type="table" w:styleId="1064" w:customStyle="1">
    <w:name w:val="List Table 2 - Accent 3"/>
    <w:uiPriority w:val="99"/>
    <w:qFormat/>
    <w:pPr>
      <w:spacing w:after="0" w:line="240" w:lineRule="auto"/>
    </w:pPr>
    <w:tblPr/>
  </w:style>
  <w:style w:type="table" w:styleId="1065" w:customStyle="1">
    <w:name w:val="Grid Table 5 Dark- Accent 1"/>
    <w:uiPriority w:val="99"/>
    <w:qFormat/>
    <w:pPr>
      <w:spacing w:after="0" w:line="240" w:lineRule="auto"/>
    </w:pPr>
    <w:tblPr/>
  </w:style>
  <w:style w:type="table" w:styleId="1066" w:customStyle="1">
    <w:name w:val="Grid Table 5 Dark - Accent 5"/>
    <w:uiPriority w:val="99"/>
    <w:qFormat/>
    <w:pPr>
      <w:spacing w:after="0" w:line="240" w:lineRule="auto"/>
    </w:pPr>
    <w:tblPr/>
  </w:style>
  <w:style w:type="table" w:styleId="1067" w:customStyle="1">
    <w:name w:val="List Table 7 Colorful - Accent 6"/>
    <w:uiPriority w:val="99"/>
    <w:qFormat/>
    <w:pPr>
      <w:spacing w:after="0" w:line="240" w:lineRule="auto"/>
    </w:pPr>
    <w:tblPr/>
  </w:style>
  <w:style w:type="table" w:styleId="1068" w:customStyle="1">
    <w:name w:val="Grid Table 4 - Accent 3"/>
    <w:uiPriority w:val="59"/>
    <w:qFormat/>
    <w:pPr>
      <w:spacing w:after="0" w:line="240" w:lineRule="auto"/>
    </w:pPr>
    <w:tblPr/>
  </w:style>
  <w:style w:type="table" w:styleId="1069" w:customStyle="1">
    <w:name w:val="List Table 7 Colorful - Accent 2"/>
    <w:uiPriority w:val="99"/>
    <w:qFormat/>
    <w:pPr>
      <w:spacing w:after="0" w:line="240" w:lineRule="auto"/>
    </w:pPr>
    <w:tblPr/>
  </w:style>
  <w:style w:type="table" w:styleId="1070" w:customStyle="1">
    <w:name w:val="List Table 7 Colorful - Accent 5"/>
    <w:uiPriority w:val="99"/>
    <w:qFormat/>
    <w:pPr>
      <w:spacing w:after="0" w:line="240" w:lineRule="auto"/>
    </w:pPr>
    <w:tblPr/>
  </w:style>
  <w:style w:type="table" w:styleId="1071" w:customStyle="1">
    <w:name w:val="List Table 5 Dark - Accent 1"/>
    <w:uiPriority w:val="99"/>
    <w:qFormat/>
    <w:pPr>
      <w:spacing w:after="0" w:line="240" w:lineRule="auto"/>
    </w:pPr>
    <w:tblPr/>
  </w:style>
  <w:style w:type="table" w:styleId="1072" w:customStyle="1">
    <w:name w:val="Lined - Accent 2"/>
    <w:uiPriority w:val="99"/>
    <w:qFormat/>
    <w:pPr>
      <w:spacing w:after="0" w:line="240" w:lineRule="auto"/>
    </w:pPr>
    <w:rPr>
      <w:color w:val="404040"/>
    </w:rPr>
    <w:tblPr/>
  </w:style>
  <w:style w:type="table" w:styleId="1073" w:customStyle="1">
    <w:name w:val="网格型1"/>
    <w:basedOn w:val="1020"/>
    <w:uiPriority w:val="59"/>
    <w:qFormat/>
    <w:pPr>
      <w:jc w:val="both"/>
      <w:widowControl w:val="off"/>
    </w:pPr>
    <w:tblPr/>
  </w:style>
  <w:style w:type="table" w:styleId="1074" w:customStyle="1">
    <w:name w:val="List Table 4"/>
    <w:uiPriority w:val="99"/>
    <w:qFormat/>
    <w:pPr>
      <w:spacing w:after="0" w:line="240" w:lineRule="auto"/>
    </w:pPr>
    <w:tblPr/>
  </w:style>
  <w:style w:type="table" w:styleId="1075" w:customStyle="1">
    <w:name w:val="List Table 1 Light - Accent 4"/>
    <w:uiPriority w:val="99"/>
    <w:qFormat/>
    <w:pPr>
      <w:spacing w:after="0" w:line="240" w:lineRule="auto"/>
    </w:pPr>
    <w:tblPr/>
  </w:style>
  <w:style w:type="table" w:styleId="1076" w:customStyle="1">
    <w:name w:val="Table Grid Light"/>
    <w:uiPriority w:val="59"/>
    <w:qFormat/>
    <w:pPr>
      <w:spacing w:after="0" w:line="240" w:lineRule="auto"/>
    </w:pPr>
    <w:tblPr/>
  </w:style>
  <w:style w:type="table" w:styleId="1077" w:customStyle="1">
    <w:name w:val="Grid Table 4 - Accent 6"/>
    <w:uiPriority w:val="59"/>
    <w:qFormat/>
    <w:pPr>
      <w:spacing w:after="0" w:line="240" w:lineRule="auto"/>
    </w:pPr>
    <w:tblPr/>
  </w:style>
  <w:style w:type="table" w:styleId="1078" w:customStyle="1">
    <w:name w:val="List Table 3 - Accent 1"/>
    <w:uiPriority w:val="99"/>
    <w:qFormat/>
    <w:pPr>
      <w:spacing w:after="0" w:line="240" w:lineRule="auto"/>
    </w:pPr>
    <w:tblPr/>
  </w:style>
  <w:style w:type="table" w:styleId="1079" w:customStyle="1">
    <w:name w:val="Grid Table 6 Colorful"/>
    <w:uiPriority w:val="99"/>
    <w:qFormat/>
    <w:pPr>
      <w:spacing w:after="0" w:line="240" w:lineRule="auto"/>
    </w:pPr>
    <w:tblPr/>
  </w:style>
  <w:style w:type="table" w:styleId="1080" w:customStyle="1">
    <w:name w:val="Bordered &amp; Lined - Accent 6"/>
    <w:uiPriority w:val="99"/>
    <w:qFormat/>
    <w:pPr>
      <w:spacing w:after="0" w:line="240" w:lineRule="auto"/>
    </w:pPr>
    <w:rPr>
      <w:color w:val="404040"/>
    </w:rPr>
    <w:tblPr/>
  </w:style>
  <w:style w:type="table" w:styleId="1081" w:customStyle="1">
    <w:name w:val="List Table 2"/>
    <w:uiPriority w:val="99"/>
    <w:qFormat/>
    <w:pPr>
      <w:spacing w:after="0" w:line="240" w:lineRule="auto"/>
    </w:pPr>
    <w:tblPr/>
  </w:style>
  <w:style w:type="table" w:styleId="1082" w:customStyle="1">
    <w:name w:val="List Table 3"/>
    <w:uiPriority w:val="99"/>
    <w:qFormat/>
    <w:pPr>
      <w:spacing w:after="0" w:line="240" w:lineRule="auto"/>
    </w:pPr>
    <w:tblPr/>
  </w:style>
  <w:style w:type="table" w:styleId="1083" w:customStyle="1">
    <w:name w:val="Grid Table 6 Colorful - Accent 3"/>
    <w:uiPriority w:val="99"/>
    <w:qFormat/>
    <w:pPr>
      <w:spacing w:after="0" w:line="240" w:lineRule="auto"/>
    </w:pPr>
    <w:tblPr/>
  </w:style>
  <w:style w:type="table" w:styleId="1084" w:customStyle="1">
    <w:name w:val="Grid Table 3 - Accent 2"/>
    <w:uiPriority w:val="99"/>
    <w:qFormat/>
    <w:pPr>
      <w:spacing w:after="0" w:line="240" w:lineRule="auto"/>
    </w:pPr>
    <w:tblPr/>
  </w:style>
  <w:style w:type="table" w:styleId="1085" w:customStyle="1">
    <w:name w:val="List Table 7 Colorful - Accent 4"/>
    <w:uiPriority w:val="99"/>
    <w:qFormat/>
    <w:pPr>
      <w:spacing w:after="0" w:line="240" w:lineRule="auto"/>
    </w:pPr>
    <w:tblPr/>
  </w:style>
  <w:style w:type="table" w:styleId="1086" w:customStyle="1">
    <w:name w:val="List Table 5 Dark"/>
    <w:uiPriority w:val="99"/>
    <w:qFormat/>
    <w:pPr>
      <w:spacing w:after="0" w:line="240" w:lineRule="auto"/>
    </w:pPr>
    <w:tblPr/>
  </w:style>
  <w:style w:type="table" w:styleId="1087" w:customStyle="1">
    <w:name w:val="List Table 4 - Accent 4"/>
    <w:uiPriority w:val="99"/>
    <w:qFormat/>
    <w:pPr>
      <w:spacing w:after="0" w:line="240" w:lineRule="auto"/>
    </w:pPr>
    <w:tblPr/>
  </w:style>
  <w:style w:type="table" w:styleId="1088" w:customStyle="1">
    <w:name w:val="List Table 4 - Accent 5"/>
    <w:uiPriority w:val="99"/>
    <w:qFormat/>
    <w:pPr>
      <w:spacing w:after="0" w:line="240" w:lineRule="auto"/>
    </w:pPr>
    <w:tblPr/>
  </w:style>
  <w:style w:type="table" w:styleId="1089" w:customStyle="1">
    <w:name w:val="Grid Table 1 Light - Accent 6"/>
    <w:uiPriority w:val="99"/>
    <w:qFormat/>
    <w:pPr>
      <w:spacing w:after="0" w:line="240" w:lineRule="auto"/>
    </w:pPr>
    <w:tblPr/>
  </w:style>
  <w:style w:type="table" w:styleId="1090" w:customStyle="1">
    <w:name w:val="Grid Table 3 - Accent 4"/>
    <w:uiPriority w:val="99"/>
    <w:qFormat/>
    <w:pPr>
      <w:spacing w:after="0" w:line="240" w:lineRule="auto"/>
    </w:pPr>
    <w:tblPr/>
  </w:style>
  <w:style w:type="table" w:styleId="1091" w:customStyle="1">
    <w:name w:val="Grid Table 3 - Accent 3"/>
    <w:uiPriority w:val="99"/>
    <w:qFormat/>
    <w:pPr>
      <w:spacing w:after="0" w:line="240" w:lineRule="auto"/>
    </w:pPr>
    <w:tblPr/>
  </w:style>
  <w:style w:type="table" w:styleId="1092" w:customStyle="1">
    <w:name w:val="Grid Table 6 Colorful - Accent 6"/>
    <w:uiPriority w:val="99"/>
    <w:qFormat/>
    <w:pPr>
      <w:spacing w:after="0" w:line="240" w:lineRule="auto"/>
    </w:pPr>
    <w:tblPr/>
  </w:style>
  <w:style w:type="table" w:styleId="1093" w:customStyle="1">
    <w:name w:val="List Table 6 Colorful"/>
    <w:uiPriority w:val="99"/>
    <w:qFormat/>
    <w:pPr>
      <w:spacing w:after="0" w:line="240" w:lineRule="auto"/>
    </w:pPr>
    <w:tblPr/>
  </w:style>
  <w:style w:type="table" w:styleId="1094" w:customStyle="1">
    <w:name w:val="List Table 4 - Accent 3"/>
    <w:uiPriority w:val="99"/>
    <w:qFormat/>
    <w:pPr>
      <w:spacing w:after="0" w:line="240" w:lineRule="auto"/>
    </w:pPr>
    <w:tblPr/>
  </w:style>
  <w:style w:type="table" w:styleId="1095" w:customStyle="1">
    <w:name w:val="List Table 7 Colorful - Accent 3"/>
    <w:uiPriority w:val="99"/>
    <w:qFormat/>
    <w:pPr>
      <w:spacing w:after="0" w:line="240" w:lineRule="auto"/>
    </w:pPr>
    <w:tblPr/>
  </w:style>
  <w:style w:type="table" w:styleId="1096" w:customStyle="1">
    <w:name w:val="List Table 5 Dark - Accent 4"/>
    <w:uiPriority w:val="99"/>
    <w:qFormat/>
    <w:pPr>
      <w:spacing w:after="0" w:line="240" w:lineRule="auto"/>
    </w:pPr>
    <w:tblPr/>
  </w:style>
  <w:style w:type="table" w:styleId="1097" w:customStyle="1">
    <w:name w:val="Grid Table 5 Dark - Accent 3"/>
    <w:uiPriority w:val="99"/>
    <w:qFormat/>
    <w:pPr>
      <w:spacing w:after="0" w:line="240" w:lineRule="auto"/>
    </w:pPr>
    <w:tblPr/>
  </w:style>
  <w:style w:type="table" w:styleId="1098" w:customStyle="1">
    <w:name w:val="List Table 6 Colorful - Accent 3"/>
    <w:uiPriority w:val="99"/>
    <w:qFormat/>
    <w:pPr>
      <w:spacing w:after="0" w:line="240" w:lineRule="auto"/>
    </w:pPr>
    <w:tblPr/>
  </w:style>
  <w:style w:type="table" w:styleId="1099" w:customStyle="1">
    <w:name w:val="List Table 3 - Accent 3"/>
    <w:uiPriority w:val="99"/>
    <w:qFormat/>
    <w:pPr>
      <w:spacing w:after="0" w:line="240" w:lineRule="auto"/>
    </w:pPr>
    <w:tblPr/>
  </w:style>
  <w:style w:type="table" w:styleId="1100" w:customStyle="1">
    <w:name w:val="List Table 3 - Accent 2"/>
    <w:uiPriority w:val="99"/>
    <w:qFormat/>
    <w:pPr>
      <w:spacing w:after="0" w:line="240" w:lineRule="auto"/>
    </w:pPr>
    <w:tblPr/>
  </w:style>
  <w:style w:type="table" w:styleId="1101" w:customStyle="1">
    <w:name w:val="Grid Table 4"/>
    <w:uiPriority w:val="59"/>
    <w:qFormat/>
    <w:pPr>
      <w:spacing w:after="0" w:line="240" w:lineRule="auto"/>
    </w:pPr>
    <w:tblPr/>
  </w:style>
  <w:style w:type="table" w:styleId="1102" w:customStyle="1">
    <w:name w:val="Grid Table 7 Colorful - Accent 6"/>
    <w:uiPriority w:val="99"/>
    <w:qFormat/>
    <w:pPr>
      <w:spacing w:after="0" w:line="240" w:lineRule="auto"/>
    </w:pPr>
    <w:tblPr/>
  </w:style>
  <w:style w:type="table" w:styleId="1103" w:customStyle="1">
    <w:name w:val="Grid Table 5 Dark- Accent 4"/>
    <w:uiPriority w:val="99"/>
    <w:qFormat/>
    <w:pPr>
      <w:spacing w:after="0" w:line="240" w:lineRule="auto"/>
    </w:pPr>
    <w:tblPr/>
  </w:style>
  <w:style w:type="table" w:styleId="1104" w:customStyle="1">
    <w:name w:val="Bordered - Accent 3"/>
    <w:uiPriority w:val="99"/>
    <w:qFormat/>
    <w:pPr>
      <w:spacing w:after="0" w:line="240" w:lineRule="auto"/>
    </w:pPr>
    <w:tblPr/>
  </w:style>
  <w:style w:type="table" w:styleId="1105" w:customStyle="1">
    <w:name w:val="Grid Table 5 Dark - Accent 6"/>
    <w:uiPriority w:val="99"/>
    <w:qFormat/>
    <w:pPr>
      <w:spacing w:after="0" w:line="240" w:lineRule="auto"/>
    </w:pPr>
    <w:tblPr/>
  </w:style>
  <w:style w:type="table" w:styleId="1106" w:customStyle="1">
    <w:name w:val="Lined - Accent 4"/>
    <w:uiPriority w:val="99"/>
    <w:qFormat/>
    <w:pPr>
      <w:spacing w:after="0" w:line="240" w:lineRule="auto"/>
    </w:pPr>
    <w:rPr>
      <w:color w:val="404040"/>
    </w:rPr>
    <w:tblPr/>
  </w:style>
  <w:style w:type="table" w:styleId="1107" w:customStyle="1">
    <w:name w:val="Grid Table 7 Colorful - Accent 4"/>
    <w:uiPriority w:val="99"/>
    <w:qFormat/>
    <w:pPr>
      <w:spacing w:after="0" w:line="240" w:lineRule="auto"/>
    </w:pPr>
    <w:tblPr/>
  </w:style>
  <w:style w:type="table" w:styleId="1108" w:customStyle="1">
    <w:name w:val="List Table 2 - Accent 5"/>
    <w:uiPriority w:val="99"/>
    <w:qFormat/>
    <w:pPr>
      <w:spacing w:after="0" w:line="240" w:lineRule="auto"/>
    </w:pPr>
    <w:tblPr/>
  </w:style>
  <w:style w:type="table" w:styleId="1109" w:customStyle="1">
    <w:name w:val="Grid Table 7 Colorful - Accent 5"/>
    <w:uiPriority w:val="99"/>
    <w:qFormat/>
    <w:pPr>
      <w:spacing w:after="0" w:line="240" w:lineRule="auto"/>
    </w:pPr>
    <w:tblPr/>
  </w:style>
  <w:style w:type="table" w:styleId="1110" w:customStyle="1">
    <w:name w:val="Lined - Accent 3"/>
    <w:uiPriority w:val="99"/>
    <w:qFormat/>
    <w:pPr>
      <w:spacing w:after="0" w:line="240" w:lineRule="auto"/>
    </w:pPr>
    <w:rPr>
      <w:color w:val="404040"/>
    </w:rPr>
    <w:tblPr/>
  </w:style>
  <w:style w:type="table" w:styleId="1111" w:customStyle="1">
    <w:name w:val="Grid Table 4 - Accent 4"/>
    <w:uiPriority w:val="59"/>
    <w:qFormat/>
    <w:pPr>
      <w:spacing w:after="0" w:line="240" w:lineRule="auto"/>
    </w:pPr>
    <w:tblPr/>
  </w:style>
  <w:style w:type="character" w:styleId="1112" w:customStyle="1">
    <w:name w:val="font101"/>
    <w:uiPriority w:val="0"/>
    <w:qFormat/>
    <w:rPr>
      <w:rFonts w:hint="default" w:ascii="Times New Roman" w:hAnsi="Times New Roman" w:cs="Times New Roman"/>
      <w:color w:val="000000"/>
      <w:sz w:val="20"/>
      <w:szCs w:val="20"/>
      <w:u w:val="none"/>
      <w:vertAlign w:val="subscript"/>
    </w:rPr>
  </w:style>
  <w:style w:type="character" w:styleId="1113" w:customStyle="1">
    <w:name w:val="font112"/>
    <w:uiPriority w:val="0"/>
    <w:qFormat/>
    <w:rPr>
      <w:rFonts w:hint="eastAsia" w:ascii="宋体" w:hAnsi="宋体" w:eastAsia="宋体" w:cs="宋体"/>
      <w:color w:val="000000"/>
      <w:sz w:val="20"/>
      <w:szCs w:val="20"/>
      <w:u w:val="none"/>
      <w:vertAlign w:val="subscript"/>
    </w:rPr>
  </w:style>
  <w:style w:type="character" w:styleId="1114" w:customStyle="1">
    <w:name w:val="font141"/>
    <w:uiPriority w:val="0"/>
    <w:qFormat/>
    <w:rPr>
      <w:rFonts w:hint="default" w:ascii="Times New Roman" w:hAnsi="Times New Roman" w:cs="Times New Roman"/>
      <w:color w:val="000000"/>
      <w:sz w:val="20"/>
      <w:szCs w:val="20"/>
      <w:u w:val="none"/>
      <w:vertAlign w:val="superscript"/>
    </w:rPr>
  </w:style>
  <w:style w:type="character" w:styleId="1115" w:customStyle="1">
    <w:name w:val="font171"/>
    <w:uiPriority w:val="0"/>
    <w:qFormat/>
    <w:rPr>
      <w:rFonts w:ascii="MingLiU-ExtB" w:hAnsi="MingLiU-ExtB" w:eastAsia="MingLiU-ExtB" w:cs="MingLiU-ExtB"/>
      <w:color w:val="000000"/>
      <w:sz w:val="20"/>
      <w:szCs w:val="20"/>
      <w:u w:val="none"/>
    </w:rPr>
  </w:style>
  <w:style w:type="character" w:styleId="1116" w:customStyle="1">
    <w:name w:val="font181"/>
    <w:uiPriority w:val="0"/>
    <w:qFormat/>
    <w:rPr>
      <w:rFonts w:ascii="Arial" w:hAnsi="Arial" w:cs="Arial"/>
      <w:color w:val="000000"/>
      <w:sz w:val="20"/>
      <w:szCs w:val="20"/>
      <w:u w:val="none"/>
    </w:rPr>
  </w:style>
  <w:style w:type="paragraph" w:styleId="1117"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numbering" w:styleId="11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jpg"/><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54" textRotate="1"/>
    <customShpInfo spid="_x0000_s2055" textRotate="1"/>
    <customShpInfo spid="_x0000_s2061" textRotate="1"/>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dc:title>
  <dc:creator>U</dc:creator>
  <cp:lastModifiedBy>永明</cp:lastModifiedBy>
  <cp:revision>11</cp:revision>
  <dcterms:created xsi:type="dcterms:W3CDTF">2022-04-14T10:51:00Z</dcterms:created>
  <dcterms:modified xsi:type="dcterms:W3CDTF">2026-05-22T00:59:44Z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83EBD2CA6F9C401BB2754CCE65592D6D_12</vt:lpwstr>
  </property>
  <property fmtid="{D5CDD505-2E9C-101B-9397-08002B2CF9AE}" pid="4" name="KSOTemplateDocerSaveRecord">
    <vt:lpwstr>eyJoZGlkIjoiMDFkMmM2NjY2ZGU3Yjg5MmY2ZjJiMzRlYThkNmU4YjMiLCJ1c2VySWQiOiI3MTQ1Mjg4MzEifQ==</vt:lpwstr>
  </property>
</Properties>
</file>